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5391030"/>
      <w:bookmarkStart w:id="1" w:name="_Hlk44168446"/>
      <w:r w:rsidRPr="008028CE">
        <w:t>金融市场基础知识</w:t>
      </w:r>
      <w:bookmarkEnd w:id="0"/>
      <w:r w:rsidR="00985A59">
        <w:rPr>
          <w:rStyle w:val="a8"/>
          <w:rFonts w:hint="eastAsia"/>
          <w:b/>
          <w:bCs/>
        </w:rPr>
        <w:t>重要考点</w:t>
      </w:r>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283597">
        <w:fldChar w:fldCharType="begin"/>
      </w:r>
      <w:r>
        <w:instrText xml:space="preserve"> </w:instrText>
      </w:r>
      <w:r>
        <w:rPr>
          <w:rFonts w:hint="eastAsia"/>
        </w:rPr>
        <w:instrText>DATE  \@ "yyyy'年'M'月'd'日'"  \* MERGEFORMAT</w:instrText>
      </w:r>
      <w:r>
        <w:instrText xml:space="preserve"> </w:instrText>
      </w:r>
      <w:r w:rsidR="00283597">
        <w:fldChar w:fldCharType="separate"/>
      </w:r>
      <w:r w:rsidR="00944857">
        <w:rPr>
          <w:noProof/>
        </w:rPr>
        <w:t>2020年7月15日</w:t>
      </w:r>
      <w:r w:rsidR="00283597">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p w:rsidR="003878B2" w:rsidRPr="003878B2" w:rsidRDefault="003878B2" w:rsidP="003878B2">
      <w:pPr>
        <w:pStyle w:val="2"/>
      </w:pPr>
      <w:r>
        <w:rPr>
          <w:rFonts w:hint="eastAsia"/>
        </w:rPr>
        <w:lastRenderedPageBreak/>
        <w:t>重要考点速记</w:t>
      </w:r>
      <w:r w:rsidR="002E70DA">
        <w:rPr>
          <w:rFonts w:hint="eastAsia"/>
        </w:rPr>
        <w:t>0714</w:t>
      </w:r>
    </w:p>
    <w:p w:rsidR="008E7EFD" w:rsidRPr="008E7EFD" w:rsidRDefault="002B775C" w:rsidP="003D1D04">
      <w:pPr>
        <w:pStyle w:val="aa"/>
        <w:numPr>
          <w:ilvl w:val="0"/>
          <w:numId w:val="368"/>
        </w:numPr>
        <w:ind w:firstLineChars="0"/>
      </w:pPr>
      <w:r w:rsidRPr="008E7EFD">
        <w:rPr>
          <w:kern w:val="44"/>
        </w:rPr>
        <w:t>目前</w:t>
      </w:r>
      <w:r w:rsidRPr="008E7EFD">
        <w:rPr>
          <w:rFonts w:hint="eastAsia"/>
          <w:kern w:val="44"/>
        </w:rPr>
        <w:t>，</w:t>
      </w:r>
      <w:r w:rsidRPr="008E7EFD">
        <w:rPr>
          <w:kern w:val="44"/>
        </w:rPr>
        <w:t>构成短期资本流动主体的是</w:t>
      </w:r>
      <w:r w:rsidRPr="002B775C">
        <w:rPr>
          <w:rStyle w:val="af"/>
        </w:rPr>
        <w:t>投机性资金的流动</w:t>
      </w:r>
      <w:r w:rsidRPr="008E7EFD">
        <w:rPr>
          <w:rFonts w:hint="eastAsia"/>
          <w:kern w:val="44"/>
        </w:rPr>
        <w:t>。</w:t>
      </w:r>
      <w:bookmarkEnd w:id="1"/>
    </w:p>
    <w:p w:rsidR="00A34C15" w:rsidRDefault="008E7EFD" w:rsidP="00A34C15">
      <w:pPr>
        <w:pStyle w:val="aa"/>
        <w:numPr>
          <w:ilvl w:val="0"/>
          <w:numId w:val="368"/>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A34C15" w:rsidRDefault="00D9304B" w:rsidP="00A34C15">
      <w:pPr>
        <w:pStyle w:val="aa"/>
        <w:numPr>
          <w:ilvl w:val="0"/>
          <w:numId w:val="368"/>
        </w:numPr>
        <w:ind w:firstLineChars="0"/>
      </w:pPr>
      <w:r>
        <w:rPr>
          <w:rFonts w:hint="eastAsia"/>
        </w:rPr>
        <w:t>中期票据的特点：</w:t>
      </w:r>
    </w:p>
    <w:p w:rsidR="00A34C15" w:rsidRDefault="00D9304B" w:rsidP="00A34C15">
      <w:pPr>
        <w:pStyle w:val="aa"/>
        <w:numPr>
          <w:ilvl w:val="1"/>
          <w:numId w:val="368"/>
        </w:numPr>
        <w:ind w:firstLineChars="0"/>
      </w:pPr>
      <w:r>
        <w:rPr>
          <w:rFonts w:hint="eastAsia"/>
        </w:rPr>
        <w:t>中期票据的期限一般为</w:t>
      </w:r>
      <w:r w:rsidRPr="002E70DA">
        <w:rPr>
          <w:rStyle w:val="af"/>
          <w:rFonts w:hint="eastAsia"/>
        </w:rPr>
        <w:t>1</w:t>
      </w:r>
      <w:r w:rsidRPr="002E70DA">
        <w:rPr>
          <w:rStyle w:val="af"/>
        </w:rPr>
        <w:t>~10年</w:t>
      </w:r>
      <w:r>
        <w:rPr>
          <w:rFonts w:hint="eastAsia"/>
        </w:rPr>
        <w:t>，我国中期票据的期限通常为</w:t>
      </w:r>
      <w:r w:rsidRPr="002E70DA">
        <w:rPr>
          <w:rStyle w:val="af"/>
          <w:rFonts w:hint="eastAsia"/>
        </w:rPr>
        <w:t>3</w:t>
      </w:r>
      <w:r w:rsidRPr="002E70DA">
        <w:rPr>
          <w:rStyle w:val="af"/>
        </w:rPr>
        <w:t>年或者</w:t>
      </w:r>
      <w:r w:rsidRPr="002E70DA">
        <w:rPr>
          <w:rStyle w:val="af"/>
          <w:rFonts w:hint="eastAsia"/>
        </w:rPr>
        <w:t>5</w:t>
      </w:r>
      <w:r w:rsidRPr="002E70DA">
        <w:rPr>
          <w:rStyle w:val="af"/>
        </w:rPr>
        <w:t>年</w:t>
      </w:r>
      <w:r>
        <w:rPr>
          <w:rFonts w:hint="eastAsia"/>
        </w:rPr>
        <w:t>。</w:t>
      </w:r>
    </w:p>
    <w:p w:rsidR="00A34C15" w:rsidRDefault="00D9304B" w:rsidP="00A34C15">
      <w:pPr>
        <w:pStyle w:val="aa"/>
        <w:numPr>
          <w:ilvl w:val="1"/>
          <w:numId w:val="368"/>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2E70DA">
        <w:rPr>
          <w:rStyle w:val="af"/>
          <w:rFonts w:hint="eastAsia"/>
        </w:rPr>
        <w:t>4</w:t>
      </w:r>
      <w:r w:rsidRPr="002E70DA">
        <w:rPr>
          <w:rStyle w:val="af"/>
        </w:rPr>
        <w:t>0%</w:t>
      </w:r>
      <w:r>
        <w:rPr>
          <w:rFonts w:hint="eastAsia"/>
        </w:rPr>
        <w:t>。</w:t>
      </w:r>
    </w:p>
    <w:p w:rsidR="00A34C15" w:rsidRDefault="00486CF2" w:rsidP="00A34C15">
      <w:pPr>
        <w:pStyle w:val="aa"/>
        <w:numPr>
          <w:ilvl w:val="0"/>
          <w:numId w:val="368"/>
        </w:numPr>
        <w:ind w:firstLineChars="0"/>
      </w:pPr>
      <w:r>
        <w:rPr>
          <w:rFonts w:hint="eastAsia"/>
        </w:rPr>
        <w:t>影响财政政策作用发挥的因素：</w:t>
      </w:r>
      <w:r w:rsidRPr="00486CF2">
        <w:rPr>
          <w:rStyle w:val="af"/>
          <w:rFonts w:hint="eastAsia"/>
        </w:rPr>
        <w:t>税收政策、公共支出政策以及国债发行</w:t>
      </w:r>
      <w:r>
        <w:rPr>
          <w:rFonts w:hint="eastAsia"/>
        </w:rPr>
        <w:t>。</w:t>
      </w:r>
      <w:r>
        <w:br/>
      </w:r>
      <w:r>
        <w:rPr>
          <w:rFonts w:hint="eastAsia"/>
        </w:rPr>
        <w:t>（</w:t>
      </w:r>
      <w:r w:rsidRPr="00486CF2">
        <w:rPr>
          <w:rFonts w:hint="eastAsia"/>
        </w:rPr>
        <w:t>没有信贷政策，因为信贷不算财政</w:t>
      </w:r>
      <w:r>
        <w:rPr>
          <w:rFonts w:hint="eastAsia"/>
        </w:rPr>
        <w:t>）</w:t>
      </w:r>
    </w:p>
    <w:p w:rsidR="00486CF2" w:rsidRDefault="00EA04E4" w:rsidP="00A34C15">
      <w:pPr>
        <w:pStyle w:val="aa"/>
        <w:numPr>
          <w:ilvl w:val="0"/>
          <w:numId w:val="368"/>
        </w:numPr>
        <w:ind w:firstLineChars="0"/>
      </w:pPr>
      <w:r>
        <w:t>不构成商业银行表内资产</w:t>
      </w:r>
      <w:r>
        <w:rPr>
          <w:rFonts w:hint="eastAsia"/>
        </w:rPr>
        <w:t>、</w:t>
      </w:r>
      <w:r>
        <w:t>表内负债</w:t>
      </w:r>
      <w:r>
        <w:rPr>
          <w:rFonts w:hint="eastAsia"/>
        </w:rPr>
        <w:t>，</w:t>
      </w:r>
      <w:r>
        <w:t>形成银行非利息收入业务的是</w:t>
      </w:r>
      <w:r w:rsidRPr="00EA04E4">
        <w:rPr>
          <w:rStyle w:val="af"/>
        </w:rPr>
        <w:t>中间业务</w:t>
      </w:r>
      <w:r>
        <w:rPr>
          <w:rFonts w:hint="eastAsia"/>
        </w:rPr>
        <w:t>。</w:t>
      </w:r>
    </w:p>
    <w:p w:rsidR="00C928B6" w:rsidRDefault="00C928B6" w:rsidP="00C928B6">
      <w:pPr>
        <w:pStyle w:val="aa"/>
        <w:numPr>
          <w:ilvl w:val="0"/>
          <w:numId w:val="368"/>
        </w:numPr>
        <w:ind w:firstLineChars="0"/>
      </w:pPr>
      <w:r>
        <w:t>QDII投资比例限制</w:t>
      </w: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C928B6" w:rsidRDefault="000C1A7D" w:rsidP="00C928B6">
      <w:pPr>
        <w:pStyle w:val="aa"/>
        <w:numPr>
          <w:ilvl w:val="0"/>
          <w:numId w:val="368"/>
        </w:numPr>
        <w:ind w:firstLineChars="0"/>
      </w:pPr>
      <w:r w:rsidRPr="000C1A7D">
        <w:rPr>
          <w:rFonts w:hint="eastAsia"/>
        </w:rPr>
        <w:t>申请证券、期货投资咨询从业资格的机构应具备的条件</w:t>
      </w:r>
      <w:r>
        <w:rPr>
          <w:rFonts w:hint="eastAsia"/>
        </w:rPr>
        <w:t>：</w:t>
      </w:r>
    </w:p>
    <w:p w:rsidR="000C1A7D" w:rsidRDefault="000C1A7D" w:rsidP="000C1A7D">
      <w:pPr>
        <w:pStyle w:val="aa"/>
        <w:numPr>
          <w:ilvl w:val="1"/>
          <w:numId w:val="368"/>
        </w:numPr>
        <w:ind w:firstLineChars="0"/>
      </w:pPr>
      <w:r>
        <w:rPr>
          <w:rFonts w:hint="eastAsia"/>
        </w:rPr>
        <w:t>有人</w:t>
      </w:r>
    </w:p>
    <w:p w:rsidR="000C1A7D" w:rsidRDefault="000C1A7D" w:rsidP="000C1A7D">
      <w:pPr>
        <w:pStyle w:val="aa"/>
        <w:numPr>
          <w:ilvl w:val="2"/>
          <w:numId w:val="368"/>
        </w:numPr>
        <w:ind w:firstLineChars="0"/>
      </w:pPr>
      <w:r w:rsidRPr="00C557FA">
        <w:rPr>
          <w:rStyle w:val="af"/>
          <w:rFonts w:hint="eastAsia"/>
        </w:rPr>
        <w:t>分别从事</w:t>
      </w:r>
      <w:r>
        <w:rPr>
          <w:rFonts w:hint="eastAsia"/>
        </w:rPr>
        <w:t>证券或者期货投资咨询业务的机构，有</w:t>
      </w:r>
      <w:r w:rsidRPr="00C557FA">
        <w:rPr>
          <w:rStyle w:val="af"/>
          <w:rFonts w:hint="eastAsia"/>
        </w:rPr>
        <w:t>5名以上</w:t>
      </w:r>
      <w:r>
        <w:rPr>
          <w:rFonts w:hint="eastAsia"/>
        </w:rPr>
        <w:t>取得证券、期货投资咨询从业资格的专职人员；</w:t>
      </w:r>
    </w:p>
    <w:p w:rsidR="000C1A7D" w:rsidRDefault="000C1A7D" w:rsidP="000C1A7D">
      <w:pPr>
        <w:pStyle w:val="aa"/>
        <w:numPr>
          <w:ilvl w:val="2"/>
          <w:numId w:val="368"/>
        </w:numPr>
        <w:ind w:firstLineChars="0"/>
      </w:pPr>
      <w:r w:rsidRPr="00C557FA">
        <w:rPr>
          <w:rStyle w:val="af"/>
          <w:rFonts w:hint="eastAsia"/>
        </w:rPr>
        <w:t>同时从事</w:t>
      </w:r>
      <w:r>
        <w:rPr>
          <w:rFonts w:hint="eastAsia"/>
        </w:rPr>
        <w:t>证券和期货投资咨询业务的机构，有</w:t>
      </w:r>
      <w:r w:rsidRPr="00C557FA">
        <w:rPr>
          <w:rStyle w:val="af"/>
          <w:rFonts w:hint="eastAsia"/>
        </w:rPr>
        <w:t>1</w:t>
      </w:r>
      <w:r w:rsidRPr="00C557FA">
        <w:rPr>
          <w:rStyle w:val="af"/>
        </w:rPr>
        <w:t>0</w:t>
      </w:r>
      <w:r w:rsidRPr="00C557FA">
        <w:rPr>
          <w:rStyle w:val="af"/>
          <w:rFonts w:hint="eastAsia"/>
        </w:rPr>
        <w:t>名以上</w:t>
      </w:r>
      <w:r>
        <w:rPr>
          <w:rFonts w:hint="eastAsia"/>
        </w:rPr>
        <w:t>取得证券、期货投资咨询从业资格的专职人员；</w:t>
      </w:r>
    </w:p>
    <w:p w:rsidR="000C1A7D" w:rsidRDefault="000C1A7D" w:rsidP="000C1A7D">
      <w:pPr>
        <w:pStyle w:val="aa"/>
        <w:numPr>
          <w:ilvl w:val="2"/>
          <w:numId w:val="368"/>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0C1A7D" w:rsidRDefault="000C1A7D" w:rsidP="000C1A7D">
      <w:pPr>
        <w:pStyle w:val="aa"/>
        <w:numPr>
          <w:ilvl w:val="1"/>
          <w:numId w:val="368"/>
        </w:numPr>
        <w:ind w:firstLineChars="0"/>
      </w:pPr>
      <w:r>
        <w:rPr>
          <w:rFonts w:hint="eastAsia"/>
        </w:rPr>
        <w:t>有钱</w:t>
      </w:r>
    </w:p>
    <w:p w:rsidR="000C1A7D" w:rsidRDefault="000C1A7D" w:rsidP="000C1A7D">
      <w:pPr>
        <w:pStyle w:val="aa"/>
        <w:numPr>
          <w:ilvl w:val="2"/>
          <w:numId w:val="368"/>
        </w:numPr>
        <w:ind w:firstLineChars="0"/>
      </w:pPr>
      <w:r>
        <w:rPr>
          <w:rFonts w:hint="eastAsia"/>
        </w:rPr>
        <w:t>有</w:t>
      </w:r>
      <w:r w:rsidRPr="00C557FA">
        <w:rPr>
          <w:rStyle w:val="af"/>
          <w:rFonts w:hint="eastAsia"/>
        </w:rPr>
        <w:t>1</w:t>
      </w:r>
      <w:r w:rsidRPr="00C557FA">
        <w:rPr>
          <w:rStyle w:val="af"/>
        </w:rPr>
        <w:t>00万</w:t>
      </w:r>
      <w:r>
        <w:rPr>
          <w:rFonts w:hint="eastAsia"/>
        </w:rPr>
        <w:t>以上的注册资本</w:t>
      </w:r>
    </w:p>
    <w:p w:rsidR="000C1A7D" w:rsidRDefault="00DD32DF" w:rsidP="00C928B6">
      <w:pPr>
        <w:pStyle w:val="aa"/>
        <w:numPr>
          <w:ilvl w:val="0"/>
          <w:numId w:val="368"/>
        </w:numPr>
        <w:ind w:firstLineChars="0"/>
      </w:pPr>
      <w:r>
        <w:rPr>
          <w:rFonts w:hint="eastAsia"/>
        </w:rPr>
        <w:t>证券金融公司开展转融通业务，应当向证券公司以</w:t>
      </w:r>
      <w:r w:rsidRPr="007D0A00">
        <w:rPr>
          <w:rStyle w:val="af"/>
          <w:rFonts w:hint="eastAsia"/>
        </w:rPr>
        <w:t>信托</w:t>
      </w:r>
      <w:r>
        <w:rPr>
          <w:rFonts w:hint="eastAsia"/>
        </w:rPr>
        <w:t>的方式收取一定比例的</w:t>
      </w:r>
      <w:r w:rsidRPr="006B045F">
        <w:rPr>
          <w:rStyle w:val="a4"/>
          <w:rFonts w:hint="eastAsia"/>
        </w:rPr>
        <w:t>保证金</w:t>
      </w:r>
      <w:r>
        <w:rPr>
          <w:rFonts w:hint="eastAsia"/>
        </w:rPr>
        <w:t>；</w:t>
      </w:r>
    </w:p>
    <w:p w:rsidR="00DD32DF" w:rsidRDefault="006B15BF" w:rsidP="00C928B6">
      <w:pPr>
        <w:pStyle w:val="aa"/>
        <w:numPr>
          <w:ilvl w:val="0"/>
          <w:numId w:val="368"/>
        </w:numPr>
        <w:ind w:firstLineChars="0"/>
      </w:pPr>
      <w:r>
        <w:rPr>
          <w:rFonts w:hint="eastAsia"/>
        </w:rPr>
        <w:t>股票是</w:t>
      </w:r>
      <w:r w:rsidRPr="00DA5051">
        <w:rPr>
          <w:rStyle w:val="a4"/>
          <w:rFonts w:hint="eastAsia"/>
        </w:rPr>
        <w:t>有价</w:t>
      </w:r>
      <w:r>
        <w:rPr>
          <w:rStyle w:val="a4"/>
          <w:rFonts w:hint="eastAsia"/>
        </w:rPr>
        <w:t>、要式、资本、综合权利、</w:t>
      </w:r>
      <w:proofErr w:type="gramStart"/>
      <w:r w:rsidRPr="00346D4B">
        <w:rPr>
          <w:rStyle w:val="af"/>
        </w:rPr>
        <w:t>证</w:t>
      </w:r>
      <w:r w:rsidRPr="00346D4B">
        <w:rPr>
          <w:rStyle w:val="af"/>
          <w:rFonts w:hint="eastAsia"/>
        </w:rPr>
        <w:t>权</w:t>
      </w:r>
      <w:r>
        <w:rPr>
          <w:rFonts w:hint="eastAsia"/>
        </w:rPr>
        <w:t>证券</w:t>
      </w:r>
      <w:proofErr w:type="gramEnd"/>
      <w:r>
        <w:rPr>
          <w:rFonts w:hint="eastAsia"/>
        </w:rPr>
        <w:t>。（综合资本，正式有价）</w:t>
      </w:r>
    </w:p>
    <w:p w:rsidR="006B15BF" w:rsidRDefault="000D42F8" w:rsidP="00C928B6">
      <w:pPr>
        <w:pStyle w:val="aa"/>
        <w:numPr>
          <w:ilvl w:val="0"/>
          <w:numId w:val="368"/>
        </w:numPr>
        <w:ind w:firstLineChars="0"/>
      </w:pPr>
      <w:r>
        <w:rPr>
          <w:rFonts w:hint="eastAsia"/>
        </w:rPr>
        <w:t>有面额股票为股票</w:t>
      </w:r>
      <w:r w:rsidRPr="00170797">
        <w:rPr>
          <w:rStyle w:val="a4"/>
        </w:rPr>
        <w:t>发行价格的确定</w:t>
      </w:r>
      <w:r>
        <w:rPr>
          <w:rFonts w:hint="eastAsia"/>
        </w:rPr>
        <w:t>提供依据（面额就是</w:t>
      </w:r>
      <w:r w:rsidRPr="00D13E7D">
        <w:rPr>
          <w:rStyle w:val="af"/>
          <w:rFonts w:hint="eastAsia"/>
        </w:rPr>
        <w:t>发行价格的最低界限</w:t>
      </w:r>
      <w:r>
        <w:rPr>
          <w:rFonts w:hint="eastAsia"/>
        </w:rPr>
        <w:t>）。</w:t>
      </w:r>
      <w:r>
        <w:br/>
        <w:t>无面额股票</w:t>
      </w:r>
      <w:r>
        <w:rPr>
          <w:rFonts w:hint="eastAsia"/>
        </w:rPr>
        <w:t>便于</w:t>
      </w:r>
      <w:r w:rsidRPr="00483554">
        <w:rPr>
          <w:rStyle w:val="af"/>
        </w:rPr>
        <w:t>股票分割</w:t>
      </w:r>
      <w:r>
        <w:rPr>
          <w:rFonts w:hint="eastAsia"/>
        </w:rPr>
        <w:t>。</w:t>
      </w:r>
    </w:p>
    <w:p w:rsidR="000C1A7D" w:rsidRDefault="007D16B4" w:rsidP="00C928B6">
      <w:pPr>
        <w:pStyle w:val="aa"/>
        <w:numPr>
          <w:ilvl w:val="0"/>
          <w:numId w:val="368"/>
        </w:numPr>
        <w:ind w:firstLineChars="0"/>
      </w:pPr>
      <w:r>
        <w:t>股票的</w:t>
      </w:r>
      <w:r w:rsidRPr="007D16B4">
        <w:rPr>
          <w:rStyle w:val="af"/>
        </w:rPr>
        <w:t>技术分析法</w:t>
      </w:r>
      <w:r>
        <w:rPr>
          <w:rFonts w:hint="eastAsia"/>
        </w:rPr>
        <w:t>认为</w:t>
      </w:r>
      <w:r w:rsidRPr="00181CB4">
        <w:rPr>
          <w:rStyle w:val="af"/>
          <w:rFonts w:hint="eastAsia"/>
        </w:rPr>
        <w:t>股票价格波动是对市场供求均衡状态偏离的调整</w:t>
      </w:r>
      <w:r>
        <w:rPr>
          <w:rFonts w:hint="eastAsia"/>
        </w:rPr>
        <w:t>。</w:t>
      </w:r>
    </w:p>
    <w:p w:rsidR="007D16B4" w:rsidRDefault="005A2E10" w:rsidP="00C928B6">
      <w:pPr>
        <w:pStyle w:val="aa"/>
        <w:numPr>
          <w:ilvl w:val="0"/>
          <w:numId w:val="368"/>
        </w:numPr>
        <w:ind w:firstLineChars="0"/>
      </w:pPr>
      <w:r>
        <w:t>金融风险包括</w:t>
      </w:r>
      <w:r>
        <w:rPr>
          <w:rFonts w:hint="eastAsia"/>
        </w:rPr>
        <w:t>：</w:t>
      </w:r>
      <w:r w:rsidRPr="009756CF">
        <w:rPr>
          <w:rStyle w:val="af"/>
          <w:rFonts w:hint="eastAsia"/>
        </w:rPr>
        <w:t>信用风险</w:t>
      </w:r>
      <w:r>
        <w:rPr>
          <w:rFonts w:hint="eastAsia"/>
        </w:rPr>
        <w:t>、市场风险、操作风险、流动性风险，声誉风险。</w:t>
      </w:r>
      <w:r w:rsidR="009756CF">
        <w:rPr>
          <w:rFonts w:hint="eastAsia"/>
        </w:rPr>
        <w:t>（没有违约风险）（绅士操刘鑫）</w:t>
      </w:r>
    </w:p>
    <w:p w:rsidR="005A2E10" w:rsidRDefault="004E7FEC" w:rsidP="00C928B6">
      <w:pPr>
        <w:pStyle w:val="aa"/>
        <w:numPr>
          <w:ilvl w:val="0"/>
          <w:numId w:val="368"/>
        </w:numPr>
        <w:ind w:firstLineChars="0"/>
      </w:pPr>
      <w:r>
        <w:t>金融市场按分类</w:t>
      </w:r>
      <w:r>
        <w:rPr>
          <w:rFonts w:hint="eastAsia"/>
        </w:rPr>
        <w:t>：</w:t>
      </w:r>
      <w:r w:rsidRPr="00FF740F">
        <w:rPr>
          <w:rStyle w:val="af"/>
        </w:rPr>
        <w:t>资本市场（</w:t>
      </w:r>
      <w:r w:rsidRPr="00FF740F">
        <w:rPr>
          <w:rStyle w:val="af"/>
          <w:rFonts w:hint="eastAsia"/>
        </w:rPr>
        <w:t>一年以上</w:t>
      </w:r>
      <w:r w:rsidRPr="00FF740F">
        <w:rPr>
          <w:rStyle w:val="af"/>
        </w:rPr>
        <w:t>）</w:t>
      </w:r>
      <w:r>
        <w:rPr>
          <w:rFonts w:hint="eastAsia"/>
        </w:rPr>
        <w:t>，货币市场（一年以下）。</w:t>
      </w:r>
      <w:r>
        <w:br/>
        <w:t>资本市场包括</w:t>
      </w:r>
      <w:r>
        <w:rPr>
          <w:rFonts w:hint="eastAsia"/>
        </w:rPr>
        <w:t>：</w:t>
      </w:r>
      <w:r w:rsidRPr="00FF740F">
        <w:rPr>
          <w:rStyle w:val="af"/>
        </w:rPr>
        <w:t>股票市场、中长期国债市场、中长期银行贷款市场</w:t>
      </w:r>
      <w:r>
        <w:rPr>
          <w:rFonts w:hint="eastAsia"/>
        </w:rPr>
        <w:t>。</w:t>
      </w:r>
    </w:p>
    <w:p w:rsidR="004E7FEC" w:rsidRDefault="00922A71" w:rsidP="00C928B6">
      <w:pPr>
        <w:pStyle w:val="aa"/>
        <w:numPr>
          <w:ilvl w:val="0"/>
          <w:numId w:val="368"/>
        </w:numPr>
        <w:ind w:firstLineChars="0"/>
      </w:pPr>
      <w:r>
        <w:rPr>
          <w:rFonts w:hint="eastAsia"/>
        </w:rPr>
        <w:t>询价交易的报价包括</w:t>
      </w:r>
      <w:r w:rsidRPr="003B4B5A">
        <w:rPr>
          <w:rStyle w:val="af"/>
          <w:rFonts w:hint="eastAsia"/>
        </w:rPr>
        <w:t>公开报价、对话报价</w:t>
      </w:r>
      <w:r>
        <w:rPr>
          <w:rFonts w:hint="eastAsia"/>
        </w:rPr>
        <w:t>。</w:t>
      </w:r>
    </w:p>
    <w:p w:rsidR="004E7FEC" w:rsidRDefault="00D046D2" w:rsidP="002C6BAC">
      <w:pPr>
        <w:pStyle w:val="aa"/>
        <w:numPr>
          <w:ilvl w:val="0"/>
          <w:numId w:val="368"/>
        </w:numPr>
        <w:ind w:firstLineChars="0"/>
      </w:pPr>
      <w:r>
        <w:rPr>
          <w:rFonts w:hint="eastAsia"/>
        </w:rPr>
        <w:t>资产证券化的参与者：</w:t>
      </w:r>
      <w:r w:rsidRPr="00D046D2">
        <w:rPr>
          <w:rStyle w:val="af"/>
          <w:rFonts w:hint="eastAsia"/>
        </w:rPr>
        <w:t>发起人、受托人、特殊目的机构、信用增级机构、信用评级机构、承销商、服务机构</w:t>
      </w:r>
      <w:r>
        <w:rPr>
          <w:rFonts w:hint="eastAsia"/>
        </w:rPr>
        <w:t>。（没有投资人）</w:t>
      </w:r>
    </w:p>
    <w:p w:rsidR="002C6BAC" w:rsidRDefault="002C6BAC" w:rsidP="002C6BAC">
      <w:pPr>
        <w:pStyle w:val="aa"/>
        <w:numPr>
          <w:ilvl w:val="0"/>
          <w:numId w:val="368"/>
        </w:numPr>
        <w:ind w:firstLineChars="0"/>
      </w:pPr>
      <w:r>
        <w:rPr>
          <w:rFonts w:hint="eastAsia"/>
        </w:rPr>
        <w:t>中央银行的主要职能：</w:t>
      </w:r>
      <w:r w:rsidRPr="002C6BAC">
        <w:rPr>
          <w:rStyle w:val="af"/>
          <w:rFonts w:hint="eastAsia"/>
        </w:rPr>
        <w:t>发行的银行、银行的银行、政府的银行</w:t>
      </w:r>
      <w:r>
        <w:rPr>
          <w:rFonts w:hint="eastAsia"/>
        </w:rPr>
        <w:t>。（没有监管的银行）</w:t>
      </w:r>
    </w:p>
    <w:p w:rsidR="001076F7" w:rsidRDefault="001076F7" w:rsidP="002C6BAC">
      <w:pPr>
        <w:pStyle w:val="aa"/>
        <w:numPr>
          <w:ilvl w:val="0"/>
          <w:numId w:val="368"/>
        </w:numPr>
        <w:ind w:firstLineChars="0"/>
      </w:pPr>
      <w:r>
        <w:t>货币</w:t>
      </w:r>
      <w:r w:rsidRPr="00C06EA6">
        <w:rPr>
          <w:rStyle w:val="af"/>
        </w:rPr>
        <w:t>中介目标</w:t>
      </w:r>
      <w:r>
        <w:t>的选取必须符合以下标准：</w:t>
      </w:r>
      <w:r w:rsidRPr="00C06EA6">
        <w:rPr>
          <w:rStyle w:val="af"/>
        </w:rPr>
        <w:t>可测性、可控性</w:t>
      </w:r>
      <w:r>
        <w:t>、相关性、抗干扰性和适应性。</w:t>
      </w:r>
      <w:r>
        <w:rPr>
          <w:rFonts w:hint="eastAsia"/>
        </w:rPr>
        <w:t>（没有原子性和独立性）</w:t>
      </w:r>
    </w:p>
    <w:p w:rsidR="00D561E5" w:rsidRDefault="00D561E5" w:rsidP="002C6BAC">
      <w:pPr>
        <w:pStyle w:val="aa"/>
        <w:numPr>
          <w:ilvl w:val="0"/>
          <w:numId w:val="368"/>
        </w:numPr>
        <w:ind w:firstLineChars="0"/>
      </w:pPr>
      <w:r>
        <w:rPr>
          <w:rFonts w:hint="eastAsia"/>
        </w:rPr>
        <w:t>基金的自律组织有：</w:t>
      </w:r>
      <w:r w:rsidRPr="00E77DED">
        <w:rPr>
          <w:rStyle w:val="af"/>
        </w:rPr>
        <w:t>基金行业自律组织</w:t>
      </w:r>
      <w:r w:rsidRPr="00E77DED">
        <w:rPr>
          <w:rStyle w:val="af"/>
          <w:rFonts w:hint="eastAsia"/>
        </w:rPr>
        <w:t>（</w:t>
      </w:r>
      <w:r w:rsidRPr="00E77DED">
        <w:rPr>
          <w:rStyle w:val="af"/>
        </w:rPr>
        <w:t>证券投资基金业协会</w:t>
      </w:r>
      <w:r w:rsidRPr="00E77DED">
        <w:rPr>
          <w:rStyle w:val="af"/>
          <w:rFonts w:hint="eastAsia"/>
        </w:rPr>
        <w:t>），证券交易所</w:t>
      </w:r>
      <w:r>
        <w:rPr>
          <w:rFonts w:hint="eastAsia"/>
        </w:rPr>
        <w:t>。</w:t>
      </w:r>
    </w:p>
    <w:p w:rsidR="00E3324D" w:rsidRDefault="00E3324D" w:rsidP="00E3324D">
      <w:pPr>
        <w:pStyle w:val="aa"/>
        <w:numPr>
          <w:ilvl w:val="0"/>
          <w:numId w:val="368"/>
        </w:numPr>
        <w:ind w:firstLineChars="0"/>
      </w:pPr>
      <w:r>
        <w:rPr>
          <w:rFonts w:hint="eastAsia"/>
        </w:rPr>
        <w:t>金融债券的特点：</w:t>
      </w:r>
      <w:r w:rsidRPr="00E3324D">
        <w:rPr>
          <w:rFonts w:hint="eastAsia"/>
        </w:rPr>
        <w:t>不记名、不挂失，</w:t>
      </w:r>
      <w:r w:rsidRPr="00E3324D">
        <w:rPr>
          <w:rStyle w:val="af"/>
        </w:rPr>
        <w:t>可以抵押和转让</w:t>
      </w:r>
      <w:r>
        <w:rPr>
          <w:rFonts w:hint="eastAsia"/>
        </w:rPr>
        <w:t>。</w:t>
      </w:r>
    </w:p>
    <w:p w:rsidR="00732E23" w:rsidRDefault="00732E23" w:rsidP="00E3324D">
      <w:pPr>
        <w:pStyle w:val="aa"/>
        <w:numPr>
          <w:ilvl w:val="0"/>
          <w:numId w:val="368"/>
        </w:numPr>
        <w:ind w:firstLineChars="0"/>
      </w:pPr>
      <w:r>
        <w:rPr>
          <w:rFonts w:hint="eastAsia"/>
        </w:rPr>
        <w:t>证券市场监督的手段：</w:t>
      </w:r>
      <w:r w:rsidRPr="00732E23">
        <w:rPr>
          <w:rStyle w:val="af"/>
          <w:rFonts w:hint="eastAsia"/>
        </w:rPr>
        <w:t>法律手段、经济手段、行政手段</w:t>
      </w:r>
      <w:r>
        <w:rPr>
          <w:rFonts w:hint="eastAsia"/>
        </w:rPr>
        <w:t>。</w:t>
      </w:r>
    </w:p>
    <w:p w:rsidR="003735A9" w:rsidRDefault="009F4421" w:rsidP="009F4421">
      <w:pPr>
        <w:pStyle w:val="aa"/>
        <w:numPr>
          <w:ilvl w:val="0"/>
          <w:numId w:val="368"/>
        </w:numPr>
        <w:ind w:firstLineChars="0"/>
      </w:pPr>
      <w:r>
        <w:rPr>
          <w:rFonts w:hint="eastAsia"/>
        </w:rPr>
        <w:t>根据投资者的心理因素，可以证券市场投资者分为：</w:t>
      </w:r>
      <w:r w:rsidRPr="009F4421">
        <w:rPr>
          <w:rStyle w:val="af"/>
          <w:rFonts w:hint="eastAsia"/>
        </w:rPr>
        <w:t>稳健型、冒险型、中庸型</w:t>
      </w:r>
      <w:r>
        <w:rPr>
          <w:rFonts w:hint="eastAsia"/>
        </w:rPr>
        <w:t>。</w:t>
      </w:r>
    </w:p>
    <w:p w:rsidR="003735A9" w:rsidRDefault="003735A9" w:rsidP="003D1D04">
      <w:pPr>
        <w:rPr>
          <w:rFonts w:hint="eastAsia"/>
        </w:rPr>
      </w:pPr>
    </w:p>
    <w:p w:rsidR="00EA39A6" w:rsidRDefault="00EA39A6">
      <w:pPr>
        <w:widowControl/>
        <w:jc w:val="left"/>
      </w:pPr>
      <w:r>
        <w:br w:type="page"/>
      </w:r>
    </w:p>
    <w:p w:rsidR="00EA39A6" w:rsidRDefault="00EA39A6" w:rsidP="008E1A7D">
      <w:pPr>
        <w:pStyle w:val="2"/>
        <w:rPr>
          <w:rFonts w:hint="eastAsia"/>
        </w:rPr>
      </w:pPr>
      <w:r>
        <w:lastRenderedPageBreak/>
        <w:t>重要考点速记</w:t>
      </w:r>
      <w:r>
        <w:rPr>
          <w:rFonts w:hint="eastAsia"/>
        </w:rPr>
        <w:t>0715</w:t>
      </w:r>
    </w:p>
    <w:p w:rsidR="00EA39A6" w:rsidRDefault="00B33D54" w:rsidP="008E1A7D">
      <w:pPr>
        <w:pStyle w:val="aa"/>
        <w:numPr>
          <w:ilvl w:val="0"/>
          <w:numId w:val="368"/>
        </w:numPr>
        <w:ind w:firstLineChars="0"/>
        <w:rPr>
          <w:rFonts w:hint="eastAsia"/>
        </w:rPr>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B33D54" w:rsidRDefault="00542829" w:rsidP="008E1A7D">
      <w:pPr>
        <w:pStyle w:val="aa"/>
        <w:numPr>
          <w:ilvl w:val="0"/>
          <w:numId w:val="368"/>
        </w:numPr>
        <w:ind w:firstLineChars="0"/>
        <w:rPr>
          <w:rFonts w:hint="eastAsia"/>
        </w:rPr>
      </w:pPr>
      <w:r w:rsidRPr="009B3F87">
        <w:rPr>
          <w:rStyle w:val="af"/>
        </w:rPr>
        <w:t>企业集团财务公司</w:t>
      </w:r>
      <w:r>
        <w:rPr>
          <w:rFonts w:hint="eastAsia"/>
        </w:rPr>
        <w:t>发行金融债券后，资本充足率</w:t>
      </w:r>
      <w:r w:rsidRPr="00480871">
        <w:rPr>
          <w:rStyle w:val="af"/>
          <w:rFonts w:hint="eastAsia"/>
        </w:rPr>
        <w:t>不低于</w:t>
      </w:r>
      <w:r w:rsidRPr="00480871">
        <w:rPr>
          <w:rStyle w:val="af"/>
        </w:rPr>
        <w:t>10％</w:t>
      </w:r>
      <w:r>
        <w:rPr>
          <w:rFonts w:hint="eastAsia"/>
        </w:rPr>
        <w:t>；</w:t>
      </w:r>
    </w:p>
    <w:p w:rsidR="009B3F87" w:rsidRDefault="00653A87" w:rsidP="008E1A7D">
      <w:pPr>
        <w:pStyle w:val="aa"/>
        <w:numPr>
          <w:ilvl w:val="0"/>
          <w:numId w:val="368"/>
        </w:numPr>
        <w:ind w:firstLineChars="0"/>
        <w:rPr>
          <w:rFonts w:hint="eastAsia"/>
        </w:rPr>
      </w:pPr>
      <w:r w:rsidRPr="00060C7D">
        <w:rPr>
          <w:rStyle w:val="af"/>
          <w:rFonts w:hint="eastAsia"/>
        </w:rPr>
        <w:t>交易所市场</w:t>
      </w:r>
      <w:r>
        <w:rPr>
          <w:rFonts w:hint="eastAsia"/>
        </w:rPr>
        <w:t>的债券清算和结算主要采取中央对手方的</w:t>
      </w:r>
      <w:r w:rsidRPr="00117493">
        <w:rPr>
          <w:rStyle w:val="af"/>
          <w:rFonts w:hint="eastAsia"/>
        </w:rPr>
        <w:t>净额结算</w:t>
      </w:r>
      <w:r>
        <w:rPr>
          <w:rFonts w:hint="eastAsia"/>
        </w:rPr>
        <w:t>机制；</w:t>
      </w:r>
    </w:p>
    <w:p w:rsidR="00B33D54" w:rsidRDefault="00AD54B9" w:rsidP="008E1A7D">
      <w:pPr>
        <w:pStyle w:val="aa"/>
        <w:numPr>
          <w:ilvl w:val="0"/>
          <w:numId w:val="368"/>
        </w:numPr>
        <w:ind w:firstLineChars="0"/>
        <w:rPr>
          <w:rFonts w:hint="eastAsia"/>
        </w:rPr>
      </w:pPr>
      <w:r>
        <w:rPr>
          <w:rFonts w:hint="eastAsia"/>
        </w:rPr>
        <w:t>对于开放型基金而言，基金的申购采用</w:t>
      </w:r>
      <w:r w:rsidRPr="005F7369">
        <w:rPr>
          <w:rStyle w:val="af"/>
          <w:rFonts w:hint="eastAsia"/>
        </w:rPr>
        <w:t>“金额申购、份额赎回”</w:t>
      </w:r>
      <w:r>
        <w:rPr>
          <w:rFonts w:hint="eastAsia"/>
        </w:rPr>
        <w:t>原则。</w:t>
      </w:r>
    </w:p>
    <w:p w:rsidR="00AD54B9" w:rsidRDefault="00F43EFC" w:rsidP="008E1A7D">
      <w:pPr>
        <w:pStyle w:val="aa"/>
        <w:numPr>
          <w:ilvl w:val="0"/>
          <w:numId w:val="368"/>
        </w:numPr>
        <w:ind w:firstLineChars="0"/>
        <w:rPr>
          <w:rFonts w:hint="eastAsia"/>
        </w:rPr>
      </w:pPr>
      <w:r w:rsidRPr="003C7992">
        <w:rPr>
          <w:rStyle w:val="af"/>
          <w:rFonts w:hint="eastAsia"/>
        </w:rPr>
        <w:t>私募基金</w:t>
      </w:r>
      <w:r w:rsidRPr="00F43EFC">
        <w:rPr>
          <w:rFonts w:hint="eastAsia"/>
        </w:rPr>
        <w:t>运行期间</w:t>
      </w:r>
      <w:r>
        <w:rPr>
          <w:rFonts w:hint="eastAsia"/>
        </w:rPr>
        <w:t>内，信息披露义务人应当在</w:t>
      </w:r>
      <w:r w:rsidRPr="00F8289B">
        <w:rPr>
          <w:rStyle w:val="af"/>
          <w:rFonts w:hint="eastAsia"/>
        </w:rPr>
        <w:t>每季度</w:t>
      </w:r>
      <w:r>
        <w:rPr>
          <w:rFonts w:hint="eastAsia"/>
        </w:rPr>
        <w:t>结束之日起的</w:t>
      </w:r>
      <w:r w:rsidRPr="00604335">
        <w:rPr>
          <w:rStyle w:val="af"/>
          <w:rFonts w:hint="eastAsia"/>
        </w:rPr>
        <w:t>10个工作日</w:t>
      </w:r>
      <w:r>
        <w:rPr>
          <w:rFonts w:hint="eastAsia"/>
        </w:rPr>
        <w:t>内向投资者披露</w:t>
      </w:r>
      <w:r w:rsidR="00053950">
        <w:rPr>
          <w:rFonts w:hint="eastAsia"/>
        </w:rPr>
        <w:t>。</w:t>
      </w:r>
    </w:p>
    <w:p w:rsidR="0015027C" w:rsidRDefault="0015027C" w:rsidP="008E1A7D">
      <w:pPr>
        <w:pStyle w:val="aa"/>
        <w:numPr>
          <w:ilvl w:val="0"/>
          <w:numId w:val="368"/>
        </w:numPr>
        <w:ind w:firstLineChars="0"/>
        <w:rPr>
          <w:rFonts w:hint="eastAsia"/>
        </w:rPr>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5A105A" w:rsidRDefault="005A105A" w:rsidP="008E1A7D">
      <w:pPr>
        <w:pStyle w:val="aa"/>
        <w:numPr>
          <w:ilvl w:val="0"/>
          <w:numId w:val="368"/>
        </w:numPr>
        <w:ind w:firstLineChars="0"/>
        <w:rPr>
          <w:rFonts w:hint="eastAsia"/>
        </w:rPr>
      </w:pPr>
      <w:r>
        <w:rPr>
          <w:rFonts w:hint="eastAsia"/>
        </w:rPr>
        <w:t>私募基金在向投资者推介私募基金之前，募集机构应当采取</w:t>
      </w:r>
      <w:r w:rsidRPr="00604335">
        <w:rPr>
          <w:rStyle w:val="af"/>
          <w:rFonts w:hint="eastAsia"/>
        </w:rPr>
        <w:t>问卷调查</w:t>
      </w:r>
      <w:r>
        <w:rPr>
          <w:rFonts w:hint="eastAsia"/>
        </w:rPr>
        <w:t>等方式旅行特定对象确定程序，评估结果有效期最长不得超过</w:t>
      </w:r>
      <w:r w:rsidRPr="00604335">
        <w:rPr>
          <w:rStyle w:val="af"/>
          <w:rFonts w:hint="eastAsia"/>
        </w:rPr>
        <w:t>3年</w:t>
      </w:r>
      <w:r>
        <w:rPr>
          <w:rFonts w:hint="eastAsia"/>
        </w:rPr>
        <w:t>。</w:t>
      </w:r>
    </w:p>
    <w:p w:rsidR="00525C74" w:rsidRDefault="00525C74" w:rsidP="008E1A7D">
      <w:pPr>
        <w:pStyle w:val="aa"/>
        <w:numPr>
          <w:ilvl w:val="0"/>
          <w:numId w:val="368"/>
        </w:numPr>
        <w:ind w:firstLineChars="0"/>
        <w:rPr>
          <w:rFonts w:hint="eastAsia"/>
        </w:rPr>
      </w:pPr>
      <w:r w:rsidRPr="00525C74">
        <w:rPr>
          <w:rStyle w:val="af"/>
          <w:rFonts w:hint="eastAsia"/>
        </w:rPr>
        <w:t>私募基金</w:t>
      </w:r>
      <w:r>
        <w:rPr>
          <w:rFonts w:hint="eastAsia"/>
        </w:rPr>
        <w:t>管理人，应当向</w:t>
      </w:r>
      <w:r w:rsidRPr="00604335">
        <w:rPr>
          <w:rStyle w:val="af"/>
          <w:rFonts w:hint="eastAsia"/>
        </w:rPr>
        <w:t>证券投资基金业协会</w:t>
      </w:r>
      <w:r>
        <w:rPr>
          <w:rFonts w:hint="eastAsia"/>
        </w:rPr>
        <w:t>登记</w:t>
      </w:r>
      <w:r w:rsidR="004506F1">
        <w:rPr>
          <w:rFonts w:hint="eastAsia"/>
        </w:rPr>
        <w:t>办理</w:t>
      </w:r>
      <w:r>
        <w:rPr>
          <w:rFonts w:hint="eastAsia"/>
        </w:rPr>
        <w:t>备案手续。</w:t>
      </w:r>
    </w:p>
    <w:p w:rsidR="00D77F56" w:rsidRDefault="002E0EBF" w:rsidP="008E1A7D">
      <w:pPr>
        <w:pStyle w:val="aa"/>
        <w:numPr>
          <w:ilvl w:val="0"/>
          <w:numId w:val="368"/>
        </w:numPr>
        <w:ind w:firstLineChars="0"/>
        <w:rPr>
          <w:rFonts w:hint="eastAsia"/>
        </w:rPr>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AD54B9" w:rsidRDefault="00DC4FF2" w:rsidP="008E1A7D">
      <w:pPr>
        <w:pStyle w:val="aa"/>
        <w:numPr>
          <w:ilvl w:val="0"/>
          <w:numId w:val="368"/>
        </w:numPr>
        <w:ind w:firstLineChars="0"/>
        <w:rPr>
          <w:rFonts w:hint="eastAsia"/>
        </w:rPr>
      </w:pPr>
      <w:r w:rsidRPr="00DC4FF2">
        <w:rPr>
          <w:rFonts w:hint="eastAsia"/>
        </w:rPr>
        <w:t>证券资产管理业务</w:t>
      </w:r>
      <w:r w:rsidRPr="00DC4FF2">
        <w:t>为</w:t>
      </w:r>
      <w:r w:rsidRPr="005E3E71">
        <w:rPr>
          <w:rStyle w:val="af"/>
        </w:rPr>
        <w:t>多个投资者</w:t>
      </w:r>
      <w:r w:rsidRPr="00DC4FF2">
        <w:t>办理集合资产管理计划</w:t>
      </w:r>
      <w:r w:rsidRPr="0050788B">
        <w:rPr>
          <w:rStyle w:val="af"/>
          <w:rFonts w:hint="eastAsia"/>
        </w:rPr>
        <w:t>限定货币资金委托</w:t>
      </w:r>
      <w:r>
        <w:rPr>
          <w:rFonts w:hint="eastAsia"/>
        </w:rPr>
        <w:t>。</w:t>
      </w:r>
    </w:p>
    <w:p w:rsidR="00A7407F" w:rsidRDefault="00081A07" w:rsidP="008E1A7D">
      <w:pPr>
        <w:pStyle w:val="aa"/>
        <w:numPr>
          <w:ilvl w:val="0"/>
          <w:numId w:val="368"/>
        </w:numPr>
        <w:ind w:firstLineChars="0"/>
        <w:rPr>
          <w:rFonts w:hint="eastAsia"/>
        </w:rPr>
      </w:pPr>
      <w:r>
        <w:rPr>
          <w:rFonts w:hint="eastAsia"/>
        </w:rPr>
        <w:t>金融远期：按约定价格在约定的未来日期（交割日）买卖某种</w:t>
      </w:r>
      <w:r w:rsidRPr="00632E33">
        <w:rPr>
          <w:rStyle w:val="af"/>
          <w:rFonts w:hint="eastAsia"/>
        </w:rPr>
        <w:t>标的金融资产</w:t>
      </w:r>
      <w:r>
        <w:rPr>
          <w:rFonts w:hint="eastAsia"/>
        </w:rPr>
        <w:t>（或金融变量）的合约；</w:t>
      </w:r>
      <w:r>
        <w:br/>
        <w:t>金融期权</w:t>
      </w:r>
      <w:r>
        <w:rPr>
          <w:rFonts w:hint="eastAsia"/>
        </w:rPr>
        <w:t>：</w:t>
      </w:r>
      <w:r w:rsidR="00C16F45">
        <w:rPr>
          <w:rFonts w:hint="eastAsia"/>
        </w:rPr>
        <w:t>持有者能在规定的期限内按交易双方商定的价格</w:t>
      </w:r>
      <w:r w:rsidR="00C16F45" w:rsidRPr="006F4EE8">
        <w:rPr>
          <w:rStyle w:val="a4"/>
          <w:rFonts w:hint="eastAsia"/>
        </w:rPr>
        <w:t>购买或出售</w:t>
      </w:r>
      <w:r w:rsidR="00C16F45">
        <w:rPr>
          <w:rFonts w:hint="eastAsia"/>
        </w:rPr>
        <w:t>一定数量的基础工具的</w:t>
      </w:r>
      <w:r w:rsidR="00C16F45" w:rsidRPr="00632E33">
        <w:rPr>
          <w:rStyle w:val="af"/>
          <w:rFonts w:hint="eastAsia"/>
        </w:rPr>
        <w:t>权利</w:t>
      </w:r>
      <w:r w:rsidR="00C16F45">
        <w:rPr>
          <w:rFonts w:hint="eastAsia"/>
        </w:rPr>
        <w:t>。</w:t>
      </w:r>
    </w:p>
    <w:p w:rsidR="0093375B" w:rsidRDefault="0093375B" w:rsidP="008E1A7D">
      <w:pPr>
        <w:pStyle w:val="aa"/>
        <w:numPr>
          <w:ilvl w:val="0"/>
          <w:numId w:val="368"/>
        </w:numPr>
        <w:ind w:firstLineChars="0"/>
        <w:rPr>
          <w:rFonts w:hint="eastAsia"/>
        </w:rPr>
      </w:pPr>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A7407F" w:rsidRDefault="009026D8" w:rsidP="008E1A7D">
      <w:pPr>
        <w:pStyle w:val="aa"/>
        <w:numPr>
          <w:ilvl w:val="0"/>
          <w:numId w:val="368"/>
        </w:numPr>
        <w:ind w:firstLineChars="0"/>
        <w:rPr>
          <w:rFonts w:hint="eastAsia"/>
        </w:rPr>
      </w:pPr>
      <w:r>
        <w:rPr>
          <w:rFonts w:hint="eastAsia"/>
        </w:rPr>
        <w:t>股票是一种有价证券，但</w:t>
      </w:r>
      <w:r w:rsidRPr="00115F52">
        <w:rPr>
          <w:rStyle w:val="af"/>
          <w:rFonts w:hint="eastAsia"/>
        </w:rPr>
        <w:t>股票本身没有价值</w:t>
      </w:r>
      <w:r>
        <w:rPr>
          <w:rFonts w:hint="eastAsia"/>
        </w:rPr>
        <w:t>。</w:t>
      </w:r>
      <w:r w:rsidR="00161234">
        <w:br/>
      </w:r>
      <w:r w:rsidR="00D5190F">
        <w:rPr>
          <w:rFonts w:hint="eastAsia"/>
        </w:rPr>
        <w:t>股票是对股份有限公司</w:t>
      </w:r>
      <w:r w:rsidR="00D5190F" w:rsidRPr="009A63F3">
        <w:rPr>
          <w:rStyle w:val="af"/>
          <w:rFonts w:hint="eastAsia"/>
        </w:rPr>
        <w:t>净资产</w:t>
      </w:r>
      <w:r w:rsidR="00D5190F">
        <w:rPr>
          <w:rFonts w:hint="eastAsia"/>
        </w:rPr>
        <w:t>的</w:t>
      </w:r>
      <w:r w:rsidR="00D5190F" w:rsidRPr="0048439A">
        <w:rPr>
          <w:rStyle w:val="af"/>
          <w:rFonts w:hint="eastAsia"/>
        </w:rPr>
        <w:t>所有权</w:t>
      </w:r>
      <w:r w:rsidR="00D5190F">
        <w:rPr>
          <w:rFonts w:hint="eastAsia"/>
        </w:rPr>
        <w:t>。</w:t>
      </w:r>
    </w:p>
    <w:p w:rsidR="00A7407F" w:rsidRDefault="000813AB" w:rsidP="008E1A7D">
      <w:pPr>
        <w:pStyle w:val="aa"/>
        <w:numPr>
          <w:ilvl w:val="0"/>
          <w:numId w:val="368"/>
        </w:numPr>
        <w:ind w:firstLineChars="0"/>
        <w:rPr>
          <w:rFonts w:hint="eastAsia"/>
        </w:rPr>
      </w:pPr>
      <w:r>
        <w:rPr>
          <w:rFonts w:hint="eastAsia"/>
        </w:rPr>
        <w:t>优先股股东的</w:t>
      </w:r>
      <w:r>
        <w:rPr>
          <w:rStyle w:val="af"/>
        </w:rPr>
        <w:t>表决权受限</w:t>
      </w:r>
      <w:r>
        <w:rPr>
          <w:rStyle w:val="af"/>
          <w:rFonts w:hint="eastAsia"/>
        </w:rPr>
        <w:t>，</w:t>
      </w:r>
      <w:r w:rsidRPr="00115F52">
        <w:rPr>
          <w:rStyle w:val="af"/>
        </w:rPr>
        <w:t>但不是没有</w:t>
      </w:r>
      <w:r>
        <w:rPr>
          <w:rFonts w:hint="eastAsia"/>
        </w:rPr>
        <w:t>。</w:t>
      </w:r>
    </w:p>
    <w:p w:rsidR="002D0AAB" w:rsidRDefault="000F51C6" w:rsidP="008E1A7D">
      <w:pPr>
        <w:pStyle w:val="aa"/>
        <w:numPr>
          <w:ilvl w:val="0"/>
          <w:numId w:val="368"/>
        </w:numPr>
        <w:ind w:firstLineChars="0"/>
        <w:rPr>
          <w:rFonts w:hint="eastAsia"/>
        </w:rPr>
      </w:pPr>
      <w:r>
        <w:rPr>
          <w:rFonts w:hint="eastAsia"/>
        </w:rPr>
        <w:t>股票的</w:t>
      </w:r>
      <w:r w:rsidRPr="00544FB3">
        <w:rPr>
          <w:rStyle w:val="af"/>
          <w:rFonts w:hint="eastAsia"/>
        </w:rPr>
        <w:t>发行方式</w:t>
      </w:r>
      <w:r w:rsidR="008247CE">
        <w:rPr>
          <w:rStyle w:val="af"/>
          <w:rFonts w:hint="eastAsia"/>
        </w:rPr>
        <w:t>（配售制度）</w:t>
      </w:r>
      <w:r>
        <w:rPr>
          <w:rFonts w:hint="eastAsia"/>
        </w:rPr>
        <w:t>直接影响参与各方的利益分配。</w:t>
      </w:r>
    </w:p>
    <w:p w:rsidR="002D0AAB" w:rsidRDefault="005A0DEA" w:rsidP="008E1A7D">
      <w:pPr>
        <w:pStyle w:val="aa"/>
        <w:numPr>
          <w:ilvl w:val="0"/>
          <w:numId w:val="368"/>
        </w:numPr>
        <w:ind w:firstLineChars="0"/>
        <w:rPr>
          <w:rFonts w:hint="eastAsia"/>
        </w:rPr>
      </w:pPr>
      <w:r>
        <w:rPr>
          <w:rFonts w:hint="eastAsia"/>
        </w:rPr>
        <w:t>风险规避主要通过</w:t>
      </w:r>
      <w:r w:rsidRPr="000477EA">
        <w:rPr>
          <w:rStyle w:val="af"/>
          <w:rFonts w:hint="eastAsia"/>
        </w:rPr>
        <w:t>经济资本配置</w:t>
      </w:r>
      <w:r>
        <w:rPr>
          <w:rFonts w:hint="eastAsia"/>
        </w:rPr>
        <w:t>来实现。</w:t>
      </w:r>
    </w:p>
    <w:p w:rsidR="002D0AAB" w:rsidRDefault="00891C51" w:rsidP="008E1A7D">
      <w:pPr>
        <w:pStyle w:val="aa"/>
        <w:numPr>
          <w:ilvl w:val="0"/>
          <w:numId w:val="368"/>
        </w:numPr>
        <w:ind w:firstLineChars="0"/>
        <w:rPr>
          <w:rFonts w:hint="eastAsia"/>
        </w:rPr>
      </w:pPr>
      <w:r w:rsidRPr="00A66EBD">
        <w:rPr>
          <w:rStyle w:val="a8"/>
        </w:rPr>
        <w:t>香港的</w:t>
      </w:r>
      <w:r w:rsidRPr="00A66EBD">
        <w:rPr>
          <w:rStyle w:val="af"/>
        </w:rPr>
        <w:t>金融市场监管机构</w:t>
      </w:r>
      <w:r>
        <w:rPr>
          <w:rFonts w:hint="eastAsia"/>
        </w:rPr>
        <w:t>包括：</w:t>
      </w:r>
      <w:r>
        <w:t>香港金融管理局</w:t>
      </w:r>
      <w:r>
        <w:rPr>
          <w:rFonts w:hint="eastAsia"/>
        </w:rPr>
        <w:t>（金管局）、证券及期货事务监察委员会（证监会）；、保险业监理处（保监处）</w:t>
      </w:r>
      <w:r w:rsidR="00107247">
        <w:rPr>
          <w:rFonts w:hint="eastAsia"/>
        </w:rPr>
        <w:t>。</w:t>
      </w:r>
    </w:p>
    <w:p w:rsidR="00107247" w:rsidRDefault="00107247" w:rsidP="008E1A7D">
      <w:pPr>
        <w:pStyle w:val="aa"/>
        <w:numPr>
          <w:ilvl w:val="0"/>
          <w:numId w:val="368"/>
        </w:numPr>
        <w:ind w:firstLineChars="0"/>
        <w:rPr>
          <w:rFonts w:hint="eastAsia"/>
        </w:rPr>
      </w:pPr>
      <w:r>
        <w:t>非证券金融市场</w:t>
      </w: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107247" w:rsidRDefault="006C4A37" w:rsidP="008E1A7D">
      <w:pPr>
        <w:pStyle w:val="aa"/>
        <w:numPr>
          <w:ilvl w:val="0"/>
          <w:numId w:val="368"/>
        </w:numPr>
        <w:ind w:firstLineChars="0"/>
        <w:rPr>
          <w:rFonts w:hint="eastAsia"/>
        </w:rPr>
      </w:pPr>
      <w:r>
        <w:rPr>
          <w:rFonts w:hint="eastAsia"/>
        </w:rPr>
        <w:t>利率结构期限理论包括：</w:t>
      </w:r>
      <w:r w:rsidRPr="006A6568">
        <w:rPr>
          <w:rStyle w:val="af"/>
          <w:rFonts w:hint="eastAsia"/>
        </w:rPr>
        <w:t>市场预期理论</w:t>
      </w:r>
      <w:r>
        <w:rPr>
          <w:rFonts w:hint="eastAsia"/>
        </w:rPr>
        <w:t>、</w:t>
      </w:r>
      <w:r w:rsidRPr="006A6568">
        <w:rPr>
          <w:rStyle w:val="af"/>
          <w:rFonts w:hint="eastAsia"/>
        </w:rPr>
        <w:t>市场分割理论</w:t>
      </w:r>
      <w:r>
        <w:rPr>
          <w:rFonts w:hint="eastAsia"/>
        </w:rPr>
        <w:t>、</w:t>
      </w:r>
      <w:r w:rsidRPr="006A6568">
        <w:rPr>
          <w:rStyle w:val="af"/>
          <w:rFonts w:hint="eastAsia"/>
        </w:rPr>
        <w:t>流动性偏好理论</w:t>
      </w:r>
      <w:r>
        <w:rPr>
          <w:rFonts w:hint="eastAsia"/>
        </w:rPr>
        <w:t>。</w:t>
      </w:r>
    </w:p>
    <w:p w:rsidR="00107247" w:rsidRDefault="0035186E" w:rsidP="008E1A7D">
      <w:pPr>
        <w:pStyle w:val="aa"/>
        <w:numPr>
          <w:ilvl w:val="0"/>
          <w:numId w:val="368"/>
        </w:numPr>
        <w:ind w:firstLineChars="0"/>
        <w:rPr>
          <w:rFonts w:hint="eastAsia"/>
        </w:rPr>
      </w:pPr>
      <w:r>
        <w:t>宏观</w:t>
      </w:r>
      <w:r w:rsidRPr="000979B5">
        <w:rPr>
          <w:rStyle w:val="af"/>
        </w:rPr>
        <w:t>经济变量</w:t>
      </w:r>
      <w:r>
        <w:t>主要包括：</w:t>
      </w:r>
      <w:r w:rsidRPr="0035186E">
        <w:rPr>
          <w:rStyle w:val="af"/>
        </w:rPr>
        <w:t>国内生产总值</w:t>
      </w:r>
      <w:r>
        <w:rPr>
          <w:rFonts w:hint="eastAsia"/>
        </w:rPr>
        <w:t>、</w:t>
      </w:r>
      <w:r>
        <w:t>经济周期</w:t>
      </w:r>
      <w:r>
        <w:rPr>
          <w:rFonts w:hint="eastAsia"/>
        </w:rPr>
        <w:t>、</w:t>
      </w:r>
      <w:r>
        <w:t>通货膨胀与利率</w:t>
      </w:r>
      <w:r>
        <w:rPr>
          <w:rFonts w:hint="eastAsia"/>
        </w:rPr>
        <w:t>、</w:t>
      </w:r>
      <w:r>
        <w:t>汇率和国际资本流动</w:t>
      </w:r>
      <w:r>
        <w:rPr>
          <w:rFonts w:hint="eastAsia"/>
        </w:rPr>
        <w:t>。（</w:t>
      </w:r>
      <w:r w:rsidRPr="0035186E">
        <w:rPr>
          <w:rStyle w:val="af"/>
          <w:rFonts w:hint="eastAsia"/>
        </w:rPr>
        <w:t>不包括财政政策</w:t>
      </w:r>
      <w:r>
        <w:rPr>
          <w:rFonts w:hint="eastAsia"/>
        </w:rPr>
        <w:t>）</w:t>
      </w:r>
    </w:p>
    <w:p w:rsidR="0035186E" w:rsidRDefault="0035186E" w:rsidP="008E1A7D">
      <w:pPr>
        <w:pStyle w:val="aa"/>
        <w:numPr>
          <w:ilvl w:val="0"/>
          <w:numId w:val="368"/>
        </w:numPr>
        <w:ind w:firstLineChars="0"/>
        <w:rPr>
          <w:rFonts w:hint="eastAsia"/>
        </w:rPr>
      </w:pPr>
      <w:r>
        <w:rPr>
          <w:rFonts w:hint="eastAsia"/>
        </w:rPr>
        <w:t>“</w:t>
      </w:r>
      <w:r w:rsidRPr="0035186E">
        <w:rPr>
          <w:rStyle w:val="af"/>
          <w:rFonts w:hint="eastAsia"/>
        </w:rPr>
        <w:t>银行的银行</w:t>
      </w:r>
      <w:r>
        <w:rPr>
          <w:rFonts w:hint="eastAsia"/>
        </w:rPr>
        <w:t>”包括：组织全国商业银行之间的</w:t>
      </w:r>
      <w:r w:rsidRPr="0035186E">
        <w:rPr>
          <w:rStyle w:val="af"/>
          <w:rFonts w:hint="eastAsia"/>
        </w:rPr>
        <w:t>清算</w:t>
      </w:r>
      <w:r>
        <w:rPr>
          <w:rFonts w:hint="eastAsia"/>
        </w:rPr>
        <w:t>；</w:t>
      </w:r>
      <w:r>
        <w:br/>
      </w:r>
      <w:r>
        <w:rPr>
          <w:rFonts w:hint="eastAsia"/>
        </w:rPr>
        <w:t>“</w:t>
      </w:r>
      <w:r w:rsidRPr="0035186E">
        <w:rPr>
          <w:rStyle w:val="af"/>
          <w:rFonts w:hint="eastAsia"/>
        </w:rPr>
        <w:t>政府的银行</w:t>
      </w:r>
      <w:r>
        <w:rPr>
          <w:rFonts w:hint="eastAsia"/>
        </w:rPr>
        <w:t>”包括：管理各银行的</w:t>
      </w:r>
      <w:r w:rsidRPr="0035186E">
        <w:rPr>
          <w:rStyle w:val="af"/>
          <w:rFonts w:hint="eastAsia"/>
        </w:rPr>
        <w:t>黄金储备</w:t>
      </w:r>
      <w:r>
        <w:rPr>
          <w:rFonts w:hint="eastAsia"/>
        </w:rPr>
        <w:t>。</w:t>
      </w:r>
    </w:p>
    <w:p w:rsidR="0035186E" w:rsidRDefault="004C5804" w:rsidP="008E1A7D">
      <w:pPr>
        <w:pStyle w:val="aa"/>
        <w:numPr>
          <w:ilvl w:val="0"/>
          <w:numId w:val="368"/>
        </w:numPr>
        <w:ind w:firstLineChars="0"/>
        <w:rPr>
          <w:rFonts w:hint="eastAsia"/>
        </w:rPr>
      </w:pPr>
      <w:r w:rsidRPr="004C5804">
        <w:rPr>
          <w:rStyle w:val="af"/>
          <w:rFonts w:hint="eastAsia"/>
        </w:rPr>
        <w:t>货币政策</w:t>
      </w:r>
      <w:r>
        <w:rPr>
          <w:rFonts w:hint="eastAsia"/>
        </w:rPr>
        <w:t>作为总需求管理工具，在维护金融稳定方面有一定的</w:t>
      </w:r>
      <w:r w:rsidRPr="00CA1927">
        <w:rPr>
          <w:rStyle w:val="af"/>
          <w:rFonts w:hint="eastAsia"/>
        </w:rPr>
        <w:t>局限性</w:t>
      </w:r>
      <w:r>
        <w:rPr>
          <w:rFonts w:hint="eastAsia"/>
        </w:rPr>
        <w:t>。</w:t>
      </w:r>
      <w:r>
        <w:br/>
      </w:r>
      <w:r w:rsidR="000D7613">
        <w:rPr>
          <w:rFonts w:hint="eastAsia"/>
        </w:rPr>
        <w:t>操作目标的选择在很大程度上</w:t>
      </w:r>
      <w:r w:rsidR="000D7613" w:rsidRPr="00CA1927">
        <w:rPr>
          <w:rStyle w:val="af"/>
          <w:rFonts w:hint="eastAsia"/>
        </w:rPr>
        <w:t>取决于</w:t>
      </w:r>
      <w:r w:rsidR="000D7613">
        <w:rPr>
          <w:rFonts w:hint="eastAsia"/>
        </w:rPr>
        <w:t>中介目标的选择。</w:t>
      </w:r>
    </w:p>
    <w:p w:rsidR="0035186E" w:rsidRDefault="00C31056" w:rsidP="008E1A7D">
      <w:pPr>
        <w:pStyle w:val="aa"/>
        <w:numPr>
          <w:ilvl w:val="0"/>
          <w:numId w:val="368"/>
        </w:numPr>
        <w:ind w:firstLineChars="0"/>
        <w:rPr>
          <w:rFonts w:hint="eastAsia"/>
        </w:rPr>
      </w:pPr>
      <w:r w:rsidRPr="00CA1927">
        <w:rPr>
          <w:rStyle w:val="af"/>
        </w:rPr>
        <w:t>货币政策工具</w:t>
      </w:r>
      <w:r w:rsidR="004D4F29">
        <w:rPr>
          <w:rFonts w:hint="eastAsia"/>
        </w:rPr>
        <w:t>包括：</w:t>
      </w:r>
      <w:r w:rsidR="004D4F29">
        <w:t>一般性货币政策工具</w:t>
      </w:r>
      <w:r w:rsidR="004D4F29">
        <w:rPr>
          <w:rFonts w:hint="eastAsia"/>
        </w:rPr>
        <w:t>、</w:t>
      </w:r>
      <w:r w:rsidR="004D4F29">
        <w:t>选择性货币政策工具</w:t>
      </w:r>
      <w:r w:rsidR="004D4F29">
        <w:rPr>
          <w:rFonts w:hint="eastAsia"/>
        </w:rPr>
        <w:t>、</w:t>
      </w:r>
      <w:r w:rsidR="004D4F29" w:rsidRPr="004D4F29">
        <w:t>创新型货币政策工具</w:t>
      </w:r>
    </w:p>
    <w:p w:rsidR="00052191" w:rsidRDefault="00274B9F" w:rsidP="008E1A7D">
      <w:pPr>
        <w:pStyle w:val="aa"/>
        <w:numPr>
          <w:ilvl w:val="0"/>
          <w:numId w:val="368"/>
        </w:numPr>
        <w:ind w:firstLineChars="0"/>
        <w:rPr>
          <w:rFonts w:hint="eastAsia"/>
        </w:rPr>
      </w:pPr>
      <w:r w:rsidRPr="00274B9F">
        <w:rPr>
          <w:rStyle w:val="af"/>
        </w:rPr>
        <w:t>公司型基金</w:t>
      </w:r>
      <w:r w:rsidRPr="00274B9F">
        <w:t>依据基金公司章程设立</w:t>
      </w:r>
      <w:r>
        <w:rPr>
          <w:rFonts w:hint="eastAsia"/>
        </w:rPr>
        <w:t>。</w:t>
      </w:r>
    </w:p>
    <w:p w:rsidR="00107247" w:rsidRDefault="00274B9F" w:rsidP="008E1A7D">
      <w:pPr>
        <w:pStyle w:val="aa"/>
        <w:numPr>
          <w:ilvl w:val="0"/>
          <w:numId w:val="368"/>
        </w:numPr>
        <w:ind w:firstLineChars="0"/>
        <w:rPr>
          <w:rFonts w:hint="eastAsia"/>
        </w:rPr>
      </w:pPr>
      <w:r>
        <w:rPr>
          <w:rFonts w:hint="eastAsia"/>
        </w:rPr>
        <w:t>一般开放式基金利润分配后</w:t>
      </w:r>
      <w:r w:rsidRPr="004D768A">
        <w:rPr>
          <w:rStyle w:val="af"/>
          <w:rFonts w:hint="eastAsia"/>
        </w:rPr>
        <w:t>基金份额净值不得低于面值</w:t>
      </w:r>
      <w:r>
        <w:rPr>
          <w:rFonts w:hint="eastAsia"/>
        </w:rPr>
        <w:t>。</w:t>
      </w:r>
    </w:p>
    <w:p w:rsidR="00274B9F" w:rsidRDefault="007E586B" w:rsidP="008E1A7D">
      <w:pPr>
        <w:pStyle w:val="aa"/>
        <w:numPr>
          <w:ilvl w:val="0"/>
          <w:numId w:val="368"/>
        </w:numPr>
        <w:ind w:firstLineChars="0"/>
        <w:rPr>
          <w:rFonts w:hint="eastAsia"/>
        </w:rPr>
      </w:pPr>
      <w:r>
        <w:rPr>
          <w:rFonts w:hint="eastAsia"/>
        </w:rPr>
        <w:t>证券公司的</w:t>
      </w:r>
      <w:r w:rsidRPr="00CB4E6C">
        <w:rPr>
          <w:rStyle w:val="af"/>
          <w:rFonts w:hint="eastAsia"/>
        </w:rPr>
        <w:t>融资融券</w:t>
      </w:r>
      <w:r>
        <w:rPr>
          <w:rFonts w:hint="eastAsia"/>
        </w:rPr>
        <w:t>业务，应当以自己名义在</w:t>
      </w:r>
      <w:r w:rsidRPr="00CB4E6C">
        <w:rPr>
          <w:rStyle w:val="af"/>
          <w:rFonts w:hint="eastAsia"/>
        </w:rPr>
        <w:t>证券登记结算机构</w:t>
      </w:r>
      <w:r>
        <w:rPr>
          <w:rFonts w:hint="eastAsia"/>
        </w:rPr>
        <w:t>分别开立：融券专用证券账户、客户信用交易担保证券账户、信用交易证券交收账户、</w:t>
      </w:r>
      <w:r w:rsidRPr="004D768A">
        <w:rPr>
          <w:rStyle w:val="af"/>
          <w:rFonts w:hint="eastAsia"/>
        </w:rPr>
        <w:t>信用交易资金交收账户</w:t>
      </w:r>
      <w:r>
        <w:rPr>
          <w:rFonts w:hint="eastAsia"/>
        </w:rPr>
        <w:t>。</w:t>
      </w:r>
    </w:p>
    <w:p w:rsidR="00274B9F" w:rsidRDefault="00461F2E" w:rsidP="008E1A7D">
      <w:pPr>
        <w:pStyle w:val="aa"/>
        <w:numPr>
          <w:ilvl w:val="0"/>
          <w:numId w:val="368"/>
        </w:numPr>
        <w:ind w:firstLineChars="0"/>
        <w:rPr>
          <w:rFonts w:hint="eastAsia"/>
        </w:rPr>
      </w:pPr>
      <w:r w:rsidRPr="00461F2E">
        <w:rPr>
          <w:rFonts w:hint="eastAsia"/>
        </w:rPr>
        <w:lastRenderedPageBreak/>
        <w:t>证券市场监管</w:t>
      </w:r>
      <w:r>
        <w:rPr>
          <w:rFonts w:hint="eastAsia"/>
        </w:rPr>
        <w:t>的经济手段：运用利率政策、</w:t>
      </w:r>
      <w:r w:rsidRPr="00461F2E">
        <w:rPr>
          <w:rStyle w:val="af"/>
          <w:rFonts w:hint="eastAsia"/>
        </w:rPr>
        <w:t>公开市场业务</w:t>
      </w:r>
      <w:r>
        <w:rPr>
          <w:rFonts w:hint="eastAsia"/>
        </w:rPr>
        <w:t>、信贷政策、税收政策。</w:t>
      </w:r>
    </w:p>
    <w:p w:rsidR="00C72E3E" w:rsidRDefault="00461F2E" w:rsidP="00C72E3E">
      <w:pPr>
        <w:pStyle w:val="aa"/>
        <w:numPr>
          <w:ilvl w:val="0"/>
          <w:numId w:val="368"/>
        </w:numPr>
        <w:ind w:firstLineChars="0"/>
        <w:rPr>
          <w:rFonts w:hint="eastAsia"/>
        </w:rPr>
      </w:pPr>
      <w:r>
        <w:rPr>
          <w:rFonts w:hint="eastAsia"/>
        </w:rPr>
        <w:t>中国证券业协会正式成立于</w:t>
      </w:r>
      <w:r w:rsidRPr="00AB40D7">
        <w:rPr>
          <w:rStyle w:val="af"/>
          <w:rFonts w:hint="eastAsia"/>
        </w:rPr>
        <w:t>199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，具有独立法人地位，由经营证券业务的</w:t>
      </w:r>
      <w:r w:rsidRPr="00241255">
        <w:rPr>
          <w:rStyle w:val="af"/>
          <w:rFonts w:hint="eastAsia"/>
        </w:rPr>
        <w:t>金融机构</w:t>
      </w:r>
      <w:r>
        <w:rPr>
          <w:rFonts w:hint="eastAsia"/>
        </w:rPr>
        <w:t>自愿组成。</w:t>
      </w:r>
    </w:p>
    <w:p w:rsidR="00461F2E" w:rsidRDefault="00C72E3E" w:rsidP="00C72E3E">
      <w:pPr>
        <w:pStyle w:val="aa"/>
        <w:numPr>
          <w:ilvl w:val="0"/>
          <w:numId w:val="368"/>
        </w:numPr>
        <w:ind w:firstLineChars="0"/>
        <w:rPr>
          <w:rFonts w:hint="eastAsia"/>
        </w:rPr>
      </w:pPr>
      <w:r>
        <w:rPr>
          <w:rFonts w:hint="eastAsia"/>
        </w:rPr>
        <w:t>监事会至少</w:t>
      </w:r>
      <w:r w:rsidRPr="00241255">
        <w:rPr>
          <w:rStyle w:val="af"/>
          <w:rFonts w:hint="eastAsia"/>
        </w:rPr>
        <w:t>每六个月</w:t>
      </w:r>
      <w:r>
        <w:rPr>
          <w:rFonts w:hint="eastAsia"/>
        </w:rPr>
        <w:t>招开一次会议。</w:t>
      </w:r>
      <w:r>
        <w:br/>
      </w:r>
      <w:r w:rsidRPr="00BD3DBF">
        <w:rPr>
          <w:rStyle w:val="af"/>
          <w:rFonts w:hint="eastAsia"/>
        </w:rPr>
        <w:t>监事长、1/3以上监事</w:t>
      </w:r>
      <w:r>
        <w:rPr>
          <w:rFonts w:hint="eastAsia"/>
        </w:rPr>
        <w:t>可以提议召开临时监事会会议。</w:t>
      </w:r>
      <w:r>
        <w:br/>
      </w:r>
      <w:r>
        <w:rPr>
          <w:rFonts w:hint="eastAsia"/>
        </w:rPr>
        <w:t>监事会决议应当经</w:t>
      </w:r>
      <w:r w:rsidRPr="00885921">
        <w:rPr>
          <w:rStyle w:val="af"/>
          <w:rFonts w:hint="eastAsia"/>
        </w:rPr>
        <w:t>半数以上</w:t>
      </w:r>
      <w:r>
        <w:rPr>
          <w:rFonts w:hint="eastAsia"/>
        </w:rPr>
        <w:t>监事通过。监事会决议应当在会议结束后</w:t>
      </w:r>
      <w:r w:rsidRPr="00241255">
        <w:rPr>
          <w:rStyle w:val="af"/>
          <w:rFonts w:hint="eastAsia"/>
        </w:rPr>
        <w:t>2个工作日</w:t>
      </w:r>
      <w:r>
        <w:rPr>
          <w:rFonts w:hint="eastAsia"/>
        </w:rPr>
        <w:t>内向中国证监会报告。</w:t>
      </w:r>
    </w:p>
    <w:p w:rsidR="00B417DD" w:rsidRDefault="00B417DD" w:rsidP="00B417DD">
      <w:pPr>
        <w:pStyle w:val="aa"/>
        <w:numPr>
          <w:ilvl w:val="0"/>
          <w:numId w:val="368"/>
        </w:numPr>
        <w:ind w:firstLineChars="0"/>
        <w:rPr>
          <w:rFonts w:hint="eastAsia"/>
        </w:rPr>
      </w:pPr>
      <w:r>
        <w:rPr>
          <w:rFonts w:hint="eastAsia"/>
        </w:rPr>
        <w:t>股票应当载明：</w:t>
      </w:r>
      <w:r>
        <w:t>公司名称</w:t>
      </w:r>
      <w:r>
        <w:rPr>
          <w:rFonts w:hint="eastAsia"/>
        </w:rPr>
        <w:t>；公司成立的日期；股票种类；票面金额及代表的股份数；股票的编号。</w:t>
      </w:r>
      <w:r w:rsidR="004C2B85">
        <w:rPr>
          <w:rFonts w:hint="eastAsia"/>
        </w:rPr>
        <w:t>（</w:t>
      </w:r>
      <w:r w:rsidR="004C2B85" w:rsidRPr="004C2B85">
        <w:rPr>
          <w:rStyle w:val="af"/>
          <w:rFonts w:hint="eastAsia"/>
        </w:rPr>
        <w:t>不包括公司地址</w:t>
      </w:r>
      <w:r w:rsidR="004C2B85">
        <w:rPr>
          <w:rFonts w:hint="eastAsia"/>
        </w:rPr>
        <w:t>）</w:t>
      </w:r>
    </w:p>
    <w:p w:rsidR="00B763ED" w:rsidRDefault="00B763ED" w:rsidP="00B417DD">
      <w:pPr>
        <w:pStyle w:val="aa"/>
        <w:numPr>
          <w:ilvl w:val="0"/>
          <w:numId w:val="368"/>
        </w:numPr>
        <w:ind w:firstLineChars="0"/>
        <w:rPr>
          <w:rFonts w:hint="eastAsia"/>
        </w:rPr>
      </w:pPr>
      <w:r w:rsidRPr="00B763ED">
        <w:rPr>
          <w:rStyle w:val="af"/>
          <w:rFonts w:hint="eastAsia"/>
        </w:rPr>
        <w:t>创业板上市</w:t>
      </w:r>
      <w:r w:rsidRPr="00B763ED">
        <w:rPr>
          <w:rFonts w:hint="eastAsia"/>
        </w:rPr>
        <w:t>的规定</w:t>
      </w:r>
      <w:r w:rsidR="00D32D1D">
        <w:rPr>
          <w:rFonts w:hint="eastAsia"/>
        </w:rPr>
        <w:t>（</w:t>
      </w:r>
      <w:r w:rsidR="004342EE">
        <w:rPr>
          <w:rFonts w:hint="eastAsia"/>
        </w:rPr>
        <w:t>之中2个</w:t>
      </w:r>
      <w:r w:rsidR="00D32D1D">
        <w:rPr>
          <w:rFonts w:hint="eastAsia"/>
        </w:rPr>
        <w:t>）</w:t>
      </w:r>
      <w:r>
        <w:rPr>
          <w:rFonts w:hint="eastAsia"/>
        </w:rPr>
        <w:t>：</w:t>
      </w:r>
      <w:r w:rsidRPr="00285587">
        <w:rPr>
          <w:rStyle w:val="af"/>
          <w:rFonts w:hint="eastAsia"/>
        </w:rPr>
        <w:t>最近2年</w:t>
      </w:r>
      <w:r>
        <w:rPr>
          <w:rFonts w:hint="eastAsia"/>
        </w:rPr>
        <w:t>按照上市公司章程的规定实施现金分红；</w:t>
      </w:r>
      <w:r w:rsidRPr="00285587">
        <w:rPr>
          <w:rStyle w:val="af"/>
          <w:rFonts w:hint="eastAsia"/>
        </w:rPr>
        <w:t>最近3年</w:t>
      </w:r>
      <w:r>
        <w:rPr>
          <w:rFonts w:hint="eastAsia"/>
        </w:rPr>
        <w:t>及1期财务报表未被注册会计师出具否定意见或者无法表示意见的审计报告。</w:t>
      </w:r>
    </w:p>
    <w:p w:rsidR="000639CB" w:rsidRDefault="003B6642" w:rsidP="000639CB">
      <w:pPr>
        <w:pStyle w:val="aa"/>
        <w:numPr>
          <w:ilvl w:val="0"/>
          <w:numId w:val="368"/>
        </w:numPr>
        <w:ind w:firstLineChars="0"/>
        <w:rPr>
          <w:rFonts w:hint="eastAsia"/>
        </w:rPr>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优先向通过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B417DD" w:rsidRPr="000639CB" w:rsidRDefault="00295A9D" w:rsidP="000639CB">
      <w:pPr>
        <w:pStyle w:val="aa"/>
        <w:numPr>
          <w:ilvl w:val="0"/>
          <w:numId w:val="368"/>
        </w:numPr>
        <w:ind w:firstLineChars="0"/>
        <w:rPr>
          <w:rFonts w:hint="eastAsia"/>
        </w:rPr>
      </w:pPr>
      <w:r w:rsidRPr="00295A9D">
        <w:rPr>
          <w:rFonts w:hint="eastAsia"/>
        </w:rPr>
        <w:t>证券交易所的竞价原则</w:t>
      </w:r>
      <w:r>
        <w:rPr>
          <w:rFonts w:hint="eastAsia"/>
        </w:rPr>
        <w:t>：</w:t>
      </w:r>
      <w:r w:rsidR="000639CB" w:rsidRPr="00015B6F">
        <w:rPr>
          <w:rStyle w:val="af"/>
          <w:rFonts w:hint="eastAsia"/>
        </w:rPr>
        <w:t>价格优先</w:t>
      </w:r>
      <w:r w:rsidR="000639CB">
        <w:rPr>
          <w:rStyle w:val="af"/>
          <w:rFonts w:hint="eastAsia"/>
        </w:rPr>
        <w:t>；同等价格下</w:t>
      </w:r>
      <w:r w:rsidR="000639CB" w:rsidRPr="00015B6F">
        <w:rPr>
          <w:rStyle w:val="af"/>
          <w:rFonts w:hint="eastAsia"/>
        </w:rPr>
        <w:t>时间优先</w:t>
      </w:r>
      <w:r>
        <w:rPr>
          <w:rFonts w:hint="eastAsia"/>
        </w:rPr>
        <w:t>。</w:t>
      </w:r>
    </w:p>
    <w:p w:rsidR="003416FA" w:rsidRDefault="00430071" w:rsidP="00B417DD">
      <w:pPr>
        <w:pStyle w:val="aa"/>
        <w:numPr>
          <w:ilvl w:val="0"/>
          <w:numId w:val="368"/>
        </w:numPr>
        <w:ind w:firstLineChars="0"/>
        <w:rPr>
          <w:rFonts w:hint="eastAsia"/>
        </w:rPr>
      </w:pPr>
      <w:r>
        <w:rPr>
          <w:rFonts w:hint="eastAsia"/>
        </w:rPr>
        <w:t>沪深300指数所选择的公司原则（其一）：</w:t>
      </w:r>
      <w:r w:rsidRPr="00430071">
        <w:rPr>
          <w:rStyle w:val="af"/>
          <w:rFonts w:hint="eastAsia"/>
        </w:rPr>
        <w:t>股票价格无明显波动</w:t>
      </w:r>
      <w:r>
        <w:rPr>
          <w:rFonts w:hint="eastAsia"/>
        </w:rPr>
        <w:t>。</w:t>
      </w:r>
    </w:p>
    <w:p w:rsidR="00B417DD" w:rsidRDefault="00B417DD" w:rsidP="0043041A">
      <w:pPr>
        <w:rPr>
          <w:rFonts w:hint="eastAsia"/>
        </w:rPr>
      </w:pPr>
    </w:p>
    <w:p w:rsidR="0043041A" w:rsidRPr="00EA39A6" w:rsidRDefault="0043041A" w:rsidP="0043041A"/>
    <w:sectPr w:rsidR="0043041A" w:rsidRPr="00EA39A6" w:rsidSect="0087340B">
      <w:headerReference w:type="default" r:id="rId10"/>
      <w:footerReference w:type="defaul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763" w:rsidRDefault="00203763" w:rsidP="002D398F">
      <w:r>
        <w:separator/>
      </w:r>
    </w:p>
  </w:endnote>
  <w:endnote w:type="continuationSeparator" w:id="0">
    <w:p w:rsidR="00203763" w:rsidRDefault="00203763"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6"/>
    </w:pPr>
    <w:r>
      <w:t>第</w:t>
    </w:r>
    <w:r w:rsidR="00283597">
      <w:fldChar w:fldCharType="begin"/>
    </w:r>
    <w:r>
      <w:instrText xml:space="preserve"> PAGE  \* Arabic  \* MERGEFORMAT </w:instrText>
    </w:r>
    <w:r w:rsidR="00283597">
      <w:fldChar w:fldCharType="separate"/>
    </w:r>
    <w:r w:rsidR="00944857">
      <w:rPr>
        <w:noProof/>
      </w:rPr>
      <w:t>4</w:t>
    </w:r>
    <w:r w:rsidR="00283597">
      <w:fldChar w:fldCharType="end"/>
    </w:r>
    <w:r>
      <w:t>页</w:t>
    </w:r>
    <w:r>
      <w:ptab w:relativeTo="margin" w:alignment="center" w:leader="none"/>
    </w:r>
    <w:r>
      <w:t>共</w:t>
    </w:r>
    <w:fldSimple w:instr=" NUMPAGES  \* Arabic  \* MERGEFORMAT ">
      <w:r w:rsidR="00944857">
        <w:rPr>
          <w:noProof/>
        </w:rPr>
        <w:t>4</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2D7492" w:rsidRDefault="002D7492">
            <w:pPr>
              <w:pStyle w:val="a6"/>
              <w:jc w:val="center"/>
            </w:pPr>
            <w:r>
              <w:rPr>
                <w:lang w:val="zh-CN"/>
              </w:rPr>
              <w:t xml:space="preserve"> </w:t>
            </w:r>
          </w:p>
        </w:sdtContent>
      </w:sdt>
    </w:sdtContent>
  </w:sdt>
  <w:p w:rsidR="002D7492" w:rsidRDefault="002D749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763" w:rsidRDefault="00203763" w:rsidP="002D398F">
      <w:r>
        <w:separator/>
      </w:r>
    </w:p>
  </w:footnote>
  <w:footnote w:type="continuationSeparator" w:id="0">
    <w:p w:rsidR="00203763" w:rsidRDefault="00203763"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5"/>
    </w:pPr>
    <w:r>
      <w:rPr>
        <w:rFonts w:hint="eastAsia"/>
      </w:rPr>
      <w:t>金融市场基础知识</w:t>
    </w:r>
    <w:r>
      <w:ptab w:relativeTo="margin" w:alignment="center" w:leader="none"/>
    </w:r>
    <w:fldSimple w:instr=" STYLEREF  &quot;标题 1,标题 1 章节&quot;  \* MERGEFORMAT ">
      <w:r w:rsidR="00944857">
        <w:rPr>
          <w:noProof/>
        </w:rPr>
        <w:t>金融市场基础知识重要考点</w:t>
      </w:r>
    </w:fldSimple>
    <w:r>
      <w:ptab w:relativeTo="margin" w:alignment="right" w:leader="none"/>
    </w:r>
    <w:fldSimple w:instr=" STYLEREF  &quot;标题 2,标题 2 小节&quot;  \* MERGEFORMAT ">
      <w:r w:rsidR="00944857" w:rsidRPr="00944857">
        <w:rPr>
          <w:b/>
          <w:bCs/>
          <w:noProof/>
        </w:rPr>
        <w:t>重要考点速记0715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1D6F5145"/>
    <w:multiLevelType w:val="hybridMultilevel"/>
    <w:tmpl w:val="0BE49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7E1178B"/>
    <w:multiLevelType w:val="hybridMultilevel"/>
    <w:tmpl w:val="0FA8FD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9">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6063742"/>
    <w:multiLevelType w:val="hybridMultilevel"/>
    <w:tmpl w:val="4E0ED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9">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8">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6">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43171CA8"/>
    <w:multiLevelType w:val="hybridMultilevel"/>
    <w:tmpl w:val="035EA9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4">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4E1553D2"/>
    <w:multiLevelType w:val="hybridMultilevel"/>
    <w:tmpl w:val="0FA8FD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561642FD"/>
    <w:multiLevelType w:val="hybridMultilevel"/>
    <w:tmpl w:val="1D6C09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6">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6B184855"/>
    <w:multiLevelType w:val="hybridMultilevel"/>
    <w:tmpl w:val="71183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6">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5">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6"/>
  </w:num>
  <w:num w:numId="2">
    <w:abstractNumId w:val="31"/>
  </w:num>
  <w:num w:numId="3">
    <w:abstractNumId w:val="277"/>
  </w:num>
  <w:num w:numId="4">
    <w:abstractNumId w:val="42"/>
  </w:num>
  <w:num w:numId="5">
    <w:abstractNumId w:val="131"/>
  </w:num>
  <w:num w:numId="6">
    <w:abstractNumId w:val="178"/>
  </w:num>
  <w:num w:numId="7">
    <w:abstractNumId w:val="46"/>
  </w:num>
  <w:num w:numId="8">
    <w:abstractNumId w:val="177"/>
  </w:num>
  <w:num w:numId="9">
    <w:abstractNumId w:val="100"/>
  </w:num>
  <w:num w:numId="10">
    <w:abstractNumId w:val="259"/>
  </w:num>
  <w:num w:numId="11">
    <w:abstractNumId w:val="21"/>
  </w:num>
  <w:num w:numId="12">
    <w:abstractNumId w:val="175"/>
  </w:num>
  <w:num w:numId="13">
    <w:abstractNumId w:val="4"/>
  </w:num>
  <w:num w:numId="14">
    <w:abstractNumId w:val="80"/>
  </w:num>
  <w:num w:numId="15">
    <w:abstractNumId w:val="249"/>
  </w:num>
  <w:num w:numId="16">
    <w:abstractNumId w:val="18"/>
  </w:num>
  <w:num w:numId="17">
    <w:abstractNumId w:val="142"/>
  </w:num>
  <w:num w:numId="18">
    <w:abstractNumId w:val="349"/>
  </w:num>
  <w:num w:numId="19">
    <w:abstractNumId w:val="126"/>
  </w:num>
  <w:num w:numId="20">
    <w:abstractNumId w:val="368"/>
  </w:num>
  <w:num w:numId="21">
    <w:abstractNumId w:val="301"/>
  </w:num>
  <w:num w:numId="22">
    <w:abstractNumId w:val="250"/>
  </w:num>
  <w:num w:numId="23">
    <w:abstractNumId w:val="38"/>
  </w:num>
  <w:num w:numId="24">
    <w:abstractNumId w:val="280"/>
  </w:num>
  <w:num w:numId="25">
    <w:abstractNumId w:val="59"/>
  </w:num>
  <w:num w:numId="26">
    <w:abstractNumId w:val="94"/>
  </w:num>
  <w:num w:numId="27">
    <w:abstractNumId w:val="159"/>
  </w:num>
  <w:num w:numId="28">
    <w:abstractNumId w:val="199"/>
  </w:num>
  <w:num w:numId="29">
    <w:abstractNumId w:val="28"/>
  </w:num>
  <w:num w:numId="30">
    <w:abstractNumId w:val="189"/>
  </w:num>
  <w:num w:numId="31">
    <w:abstractNumId w:val="40"/>
  </w:num>
  <w:num w:numId="32">
    <w:abstractNumId w:val="292"/>
  </w:num>
  <w:num w:numId="33">
    <w:abstractNumId w:val="10"/>
  </w:num>
  <w:num w:numId="34">
    <w:abstractNumId w:val="163"/>
  </w:num>
  <w:num w:numId="35">
    <w:abstractNumId w:val="6"/>
  </w:num>
  <w:num w:numId="36">
    <w:abstractNumId w:val="363"/>
  </w:num>
  <w:num w:numId="37">
    <w:abstractNumId w:val="323"/>
  </w:num>
  <w:num w:numId="38">
    <w:abstractNumId w:val="208"/>
  </w:num>
  <w:num w:numId="39">
    <w:abstractNumId w:val="166"/>
  </w:num>
  <w:num w:numId="40">
    <w:abstractNumId w:val="170"/>
  </w:num>
  <w:num w:numId="41">
    <w:abstractNumId w:val="357"/>
  </w:num>
  <w:num w:numId="42">
    <w:abstractNumId w:val="252"/>
  </w:num>
  <w:num w:numId="43">
    <w:abstractNumId w:val="118"/>
  </w:num>
  <w:num w:numId="44">
    <w:abstractNumId w:val="369"/>
  </w:num>
  <w:num w:numId="45">
    <w:abstractNumId w:val="69"/>
  </w:num>
  <w:num w:numId="46">
    <w:abstractNumId w:val="360"/>
  </w:num>
  <w:num w:numId="47">
    <w:abstractNumId w:val="76"/>
  </w:num>
  <w:num w:numId="48">
    <w:abstractNumId w:val="108"/>
  </w:num>
  <w:num w:numId="49">
    <w:abstractNumId w:val="74"/>
  </w:num>
  <w:num w:numId="50">
    <w:abstractNumId w:val="248"/>
  </w:num>
  <w:num w:numId="51">
    <w:abstractNumId w:val="275"/>
  </w:num>
  <w:num w:numId="52">
    <w:abstractNumId w:val="236"/>
  </w:num>
  <w:num w:numId="53">
    <w:abstractNumId w:val="227"/>
  </w:num>
  <w:num w:numId="54">
    <w:abstractNumId w:val="273"/>
  </w:num>
  <w:num w:numId="55">
    <w:abstractNumId w:val="305"/>
  </w:num>
  <w:num w:numId="56">
    <w:abstractNumId w:val="7"/>
  </w:num>
  <w:num w:numId="57">
    <w:abstractNumId w:val="27"/>
  </w:num>
  <w:num w:numId="58">
    <w:abstractNumId w:val="92"/>
  </w:num>
  <w:num w:numId="59">
    <w:abstractNumId w:val="135"/>
  </w:num>
  <w:num w:numId="60">
    <w:abstractNumId w:val="262"/>
  </w:num>
  <w:num w:numId="61">
    <w:abstractNumId w:val="164"/>
  </w:num>
  <w:num w:numId="62">
    <w:abstractNumId w:val="83"/>
  </w:num>
  <w:num w:numId="63">
    <w:abstractNumId w:val="109"/>
  </w:num>
  <w:num w:numId="64">
    <w:abstractNumId w:val="121"/>
  </w:num>
  <w:num w:numId="65">
    <w:abstractNumId w:val="14"/>
  </w:num>
  <w:num w:numId="66">
    <w:abstractNumId w:val="190"/>
  </w:num>
  <w:num w:numId="67">
    <w:abstractNumId w:val="336"/>
  </w:num>
  <w:num w:numId="68">
    <w:abstractNumId w:val="317"/>
  </w:num>
  <w:num w:numId="69">
    <w:abstractNumId w:val="260"/>
  </w:num>
  <w:num w:numId="70">
    <w:abstractNumId w:val="231"/>
  </w:num>
  <w:num w:numId="71">
    <w:abstractNumId w:val="172"/>
  </w:num>
  <w:num w:numId="72">
    <w:abstractNumId w:val="330"/>
  </w:num>
  <w:num w:numId="73">
    <w:abstractNumId w:val="153"/>
  </w:num>
  <w:num w:numId="74">
    <w:abstractNumId w:val="235"/>
  </w:num>
  <w:num w:numId="75">
    <w:abstractNumId w:val="316"/>
  </w:num>
  <w:num w:numId="76">
    <w:abstractNumId w:val="17"/>
  </w:num>
  <w:num w:numId="77">
    <w:abstractNumId w:val="253"/>
  </w:num>
  <w:num w:numId="78">
    <w:abstractNumId w:val="110"/>
  </w:num>
  <w:num w:numId="79">
    <w:abstractNumId w:val="176"/>
  </w:num>
  <w:num w:numId="80">
    <w:abstractNumId w:val="85"/>
  </w:num>
  <w:num w:numId="81">
    <w:abstractNumId w:val="129"/>
  </w:num>
  <w:num w:numId="82">
    <w:abstractNumId w:val="130"/>
  </w:num>
  <w:num w:numId="83">
    <w:abstractNumId w:val="123"/>
  </w:num>
  <w:num w:numId="84">
    <w:abstractNumId w:val="185"/>
  </w:num>
  <w:num w:numId="85">
    <w:abstractNumId w:val="359"/>
  </w:num>
  <w:num w:numId="86">
    <w:abstractNumId w:val="258"/>
  </w:num>
  <w:num w:numId="87">
    <w:abstractNumId w:val="105"/>
  </w:num>
  <w:num w:numId="88">
    <w:abstractNumId w:val="193"/>
  </w:num>
  <w:num w:numId="89">
    <w:abstractNumId w:val="261"/>
  </w:num>
  <w:num w:numId="90">
    <w:abstractNumId w:val="239"/>
  </w:num>
  <w:num w:numId="91">
    <w:abstractNumId w:val="11"/>
  </w:num>
  <w:num w:numId="92">
    <w:abstractNumId w:val="41"/>
  </w:num>
  <w:num w:numId="93">
    <w:abstractNumId w:val="103"/>
  </w:num>
  <w:num w:numId="94">
    <w:abstractNumId w:val="138"/>
  </w:num>
  <w:num w:numId="95">
    <w:abstractNumId w:val="188"/>
  </w:num>
  <w:num w:numId="96">
    <w:abstractNumId w:val="62"/>
  </w:num>
  <w:num w:numId="97">
    <w:abstractNumId w:val="276"/>
  </w:num>
  <w:num w:numId="98">
    <w:abstractNumId w:val="119"/>
  </w:num>
  <w:num w:numId="99">
    <w:abstractNumId w:val="26"/>
  </w:num>
  <w:num w:numId="100">
    <w:abstractNumId w:val="371"/>
  </w:num>
  <w:num w:numId="101">
    <w:abstractNumId w:val="222"/>
  </w:num>
  <w:num w:numId="102">
    <w:abstractNumId w:val="354"/>
  </w:num>
  <w:num w:numId="103">
    <w:abstractNumId w:val="116"/>
  </w:num>
  <w:num w:numId="104">
    <w:abstractNumId w:val="183"/>
  </w:num>
  <w:num w:numId="105">
    <w:abstractNumId w:val="213"/>
  </w:num>
  <w:num w:numId="106">
    <w:abstractNumId w:val="209"/>
  </w:num>
  <w:num w:numId="107">
    <w:abstractNumId w:val="200"/>
  </w:num>
  <w:num w:numId="108">
    <w:abstractNumId w:val="345"/>
  </w:num>
  <w:num w:numId="109">
    <w:abstractNumId w:val="67"/>
  </w:num>
  <w:num w:numId="110">
    <w:abstractNumId w:val="97"/>
  </w:num>
  <w:num w:numId="111">
    <w:abstractNumId w:val="184"/>
  </w:num>
  <w:num w:numId="112">
    <w:abstractNumId w:val="225"/>
  </w:num>
  <w:num w:numId="113">
    <w:abstractNumId w:val="150"/>
  </w:num>
  <w:num w:numId="114">
    <w:abstractNumId w:val="291"/>
  </w:num>
  <w:num w:numId="115">
    <w:abstractNumId w:val="206"/>
  </w:num>
  <w:num w:numId="116">
    <w:abstractNumId w:val="12"/>
  </w:num>
  <w:num w:numId="117">
    <w:abstractNumId w:val="256"/>
  </w:num>
  <w:num w:numId="118">
    <w:abstractNumId w:val="157"/>
  </w:num>
  <w:num w:numId="119">
    <w:abstractNumId w:val="195"/>
  </w:num>
  <w:num w:numId="120">
    <w:abstractNumId w:val="148"/>
  </w:num>
  <w:num w:numId="121">
    <w:abstractNumId w:val="285"/>
  </w:num>
  <w:num w:numId="122">
    <w:abstractNumId w:val="5"/>
  </w:num>
  <w:num w:numId="123">
    <w:abstractNumId w:val="90"/>
  </w:num>
  <w:num w:numId="124">
    <w:abstractNumId w:val="263"/>
  </w:num>
  <w:num w:numId="125">
    <w:abstractNumId w:val="55"/>
  </w:num>
  <w:num w:numId="126">
    <w:abstractNumId w:val="102"/>
  </w:num>
  <w:num w:numId="127">
    <w:abstractNumId w:val="367"/>
  </w:num>
  <w:num w:numId="128">
    <w:abstractNumId w:val="128"/>
  </w:num>
  <w:num w:numId="129">
    <w:abstractNumId w:val="214"/>
  </w:num>
  <w:num w:numId="130">
    <w:abstractNumId w:val="89"/>
  </w:num>
  <w:num w:numId="131">
    <w:abstractNumId w:val="48"/>
  </w:num>
  <w:num w:numId="132">
    <w:abstractNumId w:val="266"/>
  </w:num>
  <w:num w:numId="133">
    <w:abstractNumId w:val="20"/>
  </w:num>
  <w:num w:numId="134">
    <w:abstractNumId w:val="247"/>
  </w:num>
  <w:num w:numId="135">
    <w:abstractNumId w:val="228"/>
  </w:num>
  <w:num w:numId="136">
    <w:abstractNumId w:val="297"/>
  </w:num>
  <w:num w:numId="137">
    <w:abstractNumId w:val="251"/>
  </w:num>
  <w:num w:numId="138">
    <w:abstractNumId w:val="356"/>
  </w:num>
  <w:num w:numId="139">
    <w:abstractNumId w:val="347"/>
  </w:num>
  <w:num w:numId="140">
    <w:abstractNumId w:val="311"/>
  </w:num>
  <w:num w:numId="141">
    <w:abstractNumId w:val="243"/>
  </w:num>
  <w:num w:numId="142">
    <w:abstractNumId w:val="366"/>
  </w:num>
  <w:num w:numId="143">
    <w:abstractNumId w:val="168"/>
  </w:num>
  <w:num w:numId="144">
    <w:abstractNumId w:val="134"/>
  </w:num>
  <w:num w:numId="145">
    <w:abstractNumId w:val="132"/>
  </w:num>
  <w:num w:numId="146">
    <w:abstractNumId w:val="334"/>
  </w:num>
  <w:num w:numId="147">
    <w:abstractNumId w:val="114"/>
  </w:num>
  <w:num w:numId="148">
    <w:abstractNumId w:val="186"/>
  </w:num>
  <w:num w:numId="149">
    <w:abstractNumId w:val="56"/>
  </w:num>
  <w:num w:numId="150">
    <w:abstractNumId w:val="145"/>
  </w:num>
  <w:num w:numId="151">
    <w:abstractNumId w:val="370"/>
  </w:num>
  <w:num w:numId="152">
    <w:abstractNumId w:val="57"/>
  </w:num>
  <w:num w:numId="153">
    <w:abstractNumId w:val="160"/>
  </w:num>
  <w:num w:numId="154">
    <w:abstractNumId w:val="43"/>
  </w:num>
  <w:num w:numId="155">
    <w:abstractNumId w:val="143"/>
  </w:num>
  <w:num w:numId="156">
    <w:abstractNumId w:val="233"/>
  </w:num>
  <w:num w:numId="157">
    <w:abstractNumId w:val="60"/>
  </w:num>
  <w:num w:numId="158">
    <w:abstractNumId w:val="314"/>
  </w:num>
  <w:num w:numId="159">
    <w:abstractNumId w:val="240"/>
  </w:num>
  <w:num w:numId="160">
    <w:abstractNumId w:val="327"/>
  </w:num>
  <w:num w:numId="161">
    <w:abstractNumId w:val="32"/>
  </w:num>
  <w:num w:numId="162">
    <w:abstractNumId w:val="54"/>
  </w:num>
  <w:num w:numId="163">
    <w:abstractNumId w:val="245"/>
  </w:num>
  <w:num w:numId="164">
    <w:abstractNumId w:val="187"/>
  </w:num>
  <w:num w:numId="165">
    <w:abstractNumId w:val="220"/>
  </w:num>
  <w:num w:numId="166">
    <w:abstractNumId w:val="154"/>
  </w:num>
  <w:num w:numId="167">
    <w:abstractNumId w:val="107"/>
  </w:num>
  <w:num w:numId="168">
    <w:abstractNumId w:val="210"/>
  </w:num>
  <w:num w:numId="169">
    <w:abstractNumId w:val="149"/>
  </w:num>
  <w:num w:numId="170">
    <w:abstractNumId w:val="326"/>
  </w:num>
  <w:num w:numId="171">
    <w:abstractNumId w:val="321"/>
  </w:num>
  <w:num w:numId="172">
    <w:abstractNumId w:val="283"/>
  </w:num>
  <w:num w:numId="173">
    <w:abstractNumId w:val="353"/>
  </w:num>
  <w:num w:numId="174">
    <w:abstractNumId w:val="282"/>
  </w:num>
  <w:num w:numId="175">
    <w:abstractNumId w:val="242"/>
  </w:num>
  <w:num w:numId="176">
    <w:abstractNumId w:val="223"/>
  </w:num>
  <w:num w:numId="177">
    <w:abstractNumId w:val="310"/>
  </w:num>
  <w:num w:numId="178">
    <w:abstractNumId w:val="151"/>
  </w:num>
  <w:num w:numId="179">
    <w:abstractNumId w:val="98"/>
  </w:num>
  <w:num w:numId="180">
    <w:abstractNumId w:val="342"/>
  </w:num>
  <w:num w:numId="181">
    <w:abstractNumId w:val="302"/>
  </w:num>
  <w:num w:numId="182">
    <w:abstractNumId w:val="352"/>
  </w:num>
  <w:num w:numId="183">
    <w:abstractNumId w:val="122"/>
  </w:num>
  <w:num w:numId="184">
    <w:abstractNumId w:val="308"/>
  </w:num>
  <w:num w:numId="185">
    <w:abstractNumId w:val="1"/>
  </w:num>
  <w:num w:numId="186">
    <w:abstractNumId w:val="65"/>
  </w:num>
  <w:num w:numId="187">
    <w:abstractNumId w:val="117"/>
  </w:num>
  <w:num w:numId="188">
    <w:abstractNumId w:val="257"/>
  </w:num>
  <w:num w:numId="189">
    <w:abstractNumId w:val="15"/>
  </w:num>
  <w:num w:numId="190">
    <w:abstractNumId w:val="211"/>
  </w:num>
  <w:num w:numId="191">
    <w:abstractNumId w:val="64"/>
  </w:num>
  <w:num w:numId="192">
    <w:abstractNumId w:val="79"/>
  </w:num>
  <w:num w:numId="193">
    <w:abstractNumId w:val="93"/>
  </w:num>
  <w:num w:numId="194">
    <w:abstractNumId w:val="340"/>
  </w:num>
  <w:num w:numId="195">
    <w:abstractNumId w:val="212"/>
  </w:num>
  <w:num w:numId="196">
    <w:abstractNumId w:val="162"/>
  </w:num>
  <w:num w:numId="197">
    <w:abstractNumId w:val="75"/>
  </w:num>
  <w:num w:numId="198">
    <w:abstractNumId w:val="30"/>
  </w:num>
  <w:num w:numId="199">
    <w:abstractNumId w:val="99"/>
  </w:num>
  <w:num w:numId="200">
    <w:abstractNumId w:val="95"/>
  </w:num>
  <w:num w:numId="201">
    <w:abstractNumId w:val="346"/>
  </w:num>
  <w:num w:numId="202">
    <w:abstractNumId w:val="300"/>
  </w:num>
  <w:num w:numId="203">
    <w:abstractNumId w:val="141"/>
  </w:num>
  <w:num w:numId="204">
    <w:abstractNumId w:val="344"/>
  </w:num>
  <w:num w:numId="205">
    <w:abstractNumId w:val="218"/>
  </w:num>
  <w:num w:numId="206">
    <w:abstractNumId w:val="279"/>
  </w:num>
  <w:num w:numId="207">
    <w:abstractNumId w:val="82"/>
  </w:num>
  <w:num w:numId="208">
    <w:abstractNumId w:val="61"/>
  </w:num>
  <w:num w:numId="209">
    <w:abstractNumId w:val="173"/>
  </w:num>
  <w:num w:numId="210">
    <w:abstractNumId w:val="362"/>
  </w:num>
  <w:num w:numId="211">
    <w:abstractNumId w:val="341"/>
  </w:num>
  <w:num w:numId="212">
    <w:abstractNumId w:val="0"/>
  </w:num>
  <w:num w:numId="213">
    <w:abstractNumId w:val="181"/>
  </w:num>
  <w:num w:numId="214">
    <w:abstractNumId w:val="139"/>
  </w:num>
  <w:num w:numId="215">
    <w:abstractNumId w:val="133"/>
  </w:num>
  <w:num w:numId="216">
    <w:abstractNumId w:val="33"/>
  </w:num>
  <w:num w:numId="217">
    <w:abstractNumId w:val="73"/>
  </w:num>
  <w:num w:numId="218">
    <w:abstractNumId w:val="16"/>
  </w:num>
  <w:num w:numId="219">
    <w:abstractNumId w:val="241"/>
  </w:num>
  <w:num w:numId="220">
    <w:abstractNumId w:val="51"/>
  </w:num>
  <w:num w:numId="221">
    <w:abstractNumId w:val="137"/>
  </w:num>
  <w:num w:numId="222">
    <w:abstractNumId w:val="58"/>
  </w:num>
  <w:num w:numId="223">
    <w:abstractNumId w:val="204"/>
  </w:num>
  <w:num w:numId="224">
    <w:abstractNumId w:val="120"/>
  </w:num>
  <w:num w:numId="225">
    <w:abstractNumId w:val="219"/>
  </w:num>
  <w:num w:numId="226">
    <w:abstractNumId w:val="232"/>
  </w:num>
  <w:num w:numId="227">
    <w:abstractNumId w:val="270"/>
  </w:num>
  <w:num w:numId="228">
    <w:abstractNumId w:val="127"/>
  </w:num>
  <w:num w:numId="229">
    <w:abstractNumId w:val="238"/>
  </w:num>
  <w:num w:numId="230">
    <w:abstractNumId w:val="351"/>
  </w:num>
  <w:num w:numId="231">
    <w:abstractNumId w:val="269"/>
  </w:num>
  <w:num w:numId="232">
    <w:abstractNumId w:val="365"/>
  </w:num>
  <w:num w:numId="233">
    <w:abstractNumId w:val="156"/>
  </w:num>
  <w:num w:numId="234">
    <w:abstractNumId w:val="216"/>
  </w:num>
  <w:num w:numId="235">
    <w:abstractNumId w:val="37"/>
  </w:num>
  <w:num w:numId="236">
    <w:abstractNumId w:val="309"/>
  </w:num>
  <w:num w:numId="237">
    <w:abstractNumId w:val="44"/>
  </w:num>
  <w:num w:numId="238">
    <w:abstractNumId w:val="289"/>
  </w:num>
  <w:num w:numId="239">
    <w:abstractNumId w:val="265"/>
  </w:num>
  <w:num w:numId="240">
    <w:abstractNumId w:val="24"/>
  </w:num>
  <w:num w:numId="241">
    <w:abstractNumId w:val="290"/>
  </w:num>
  <w:num w:numId="242">
    <w:abstractNumId w:val="215"/>
  </w:num>
  <w:num w:numId="243">
    <w:abstractNumId w:val="192"/>
  </w:num>
  <w:num w:numId="244">
    <w:abstractNumId w:val="318"/>
  </w:num>
  <w:num w:numId="245">
    <w:abstractNumId w:val="295"/>
  </w:num>
  <w:num w:numId="246">
    <w:abstractNumId w:val="268"/>
  </w:num>
  <w:num w:numId="247">
    <w:abstractNumId w:val="45"/>
  </w:num>
  <w:num w:numId="248">
    <w:abstractNumId w:val="171"/>
  </w:num>
  <w:num w:numId="249">
    <w:abstractNumId w:val="106"/>
  </w:num>
  <w:num w:numId="250">
    <w:abstractNumId w:val="315"/>
  </w:num>
  <w:num w:numId="251">
    <w:abstractNumId w:val="361"/>
  </w:num>
  <w:num w:numId="252">
    <w:abstractNumId w:val="364"/>
  </w:num>
  <w:num w:numId="253">
    <w:abstractNumId w:val="19"/>
  </w:num>
  <w:num w:numId="254">
    <w:abstractNumId w:val="244"/>
  </w:num>
  <w:num w:numId="255">
    <w:abstractNumId w:val="267"/>
  </w:num>
  <w:num w:numId="256">
    <w:abstractNumId w:val="77"/>
  </w:num>
  <w:num w:numId="257">
    <w:abstractNumId w:val="113"/>
  </w:num>
  <w:num w:numId="258">
    <w:abstractNumId w:val="8"/>
  </w:num>
  <w:num w:numId="259">
    <w:abstractNumId w:val="191"/>
  </w:num>
  <w:num w:numId="260">
    <w:abstractNumId w:val="205"/>
  </w:num>
  <w:num w:numId="261">
    <w:abstractNumId w:val="348"/>
  </w:num>
  <w:num w:numId="262">
    <w:abstractNumId w:val="201"/>
  </w:num>
  <w:num w:numId="263">
    <w:abstractNumId w:val="296"/>
  </w:num>
  <w:num w:numId="264">
    <w:abstractNumId w:val="50"/>
  </w:num>
  <w:num w:numId="265">
    <w:abstractNumId w:val="324"/>
  </w:num>
  <w:num w:numId="266">
    <w:abstractNumId w:val="47"/>
  </w:num>
  <w:num w:numId="267">
    <w:abstractNumId w:val="198"/>
  </w:num>
  <w:num w:numId="268">
    <w:abstractNumId w:val="319"/>
  </w:num>
  <w:num w:numId="269">
    <w:abstractNumId w:val="2"/>
  </w:num>
  <w:num w:numId="270">
    <w:abstractNumId w:val="140"/>
  </w:num>
  <w:num w:numId="271">
    <w:abstractNumId w:val="182"/>
  </w:num>
  <w:num w:numId="272">
    <w:abstractNumId w:val="68"/>
  </w:num>
  <w:num w:numId="273">
    <w:abstractNumId w:val="3"/>
  </w:num>
  <w:num w:numId="274">
    <w:abstractNumId w:val="217"/>
  </w:num>
  <w:num w:numId="275">
    <w:abstractNumId w:val="136"/>
  </w:num>
  <w:num w:numId="276">
    <w:abstractNumId w:val="124"/>
  </w:num>
  <w:num w:numId="277">
    <w:abstractNumId w:val="272"/>
  </w:num>
  <w:num w:numId="278">
    <w:abstractNumId w:val="298"/>
  </w:num>
  <w:num w:numId="279">
    <w:abstractNumId w:val="207"/>
  </w:num>
  <w:num w:numId="280">
    <w:abstractNumId w:val="226"/>
  </w:num>
  <w:num w:numId="281">
    <w:abstractNumId w:val="294"/>
  </w:num>
  <w:num w:numId="282">
    <w:abstractNumId w:val="161"/>
  </w:num>
  <w:num w:numId="283">
    <w:abstractNumId w:val="337"/>
  </w:num>
  <w:num w:numId="284">
    <w:abstractNumId w:val="125"/>
  </w:num>
  <w:num w:numId="285">
    <w:abstractNumId w:val="229"/>
  </w:num>
  <w:num w:numId="286">
    <w:abstractNumId w:val="144"/>
  </w:num>
  <w:num w:numId="287">
    <w:abstractNumId w:val="299"/>
  </w:num>
  <w:num w:numId="288">
    <w:abstractNumId w:val="339"/>
  </w:num>
  <w:num w:numId="289">
    <w:abstractNumId w:val="78"/>
  </w:num>
  <w:num w:numId="290">
    <w:abstractNumId w:val="63"/>
  </w:num>
  <w:num w:numId="291">
    <w:abstractNumId w:val="84"/>
  </w:num>
  <w:num w:numId="292">
    <w:abstractNumId w:val="254"/>
  </w:num>
  <w:num w:numId="293">
    <w:abstractNumId w:val="312"/>
  </w:num>
  <w:num w:numId="294">
    <w:abstractNumId w:val="155"/>
  </w:num>
  <w:num w:numId="295">
    <w:abstractNumId w:val="331"/>
  </w:num>
  <w:num w:numId="296">
    <w:abstractNumId w:val="271"/>
  </w:num>
  <w:num w:numId="297">
    <w:abstractNumId w:val="88"/>
  </w:num>
  <w:num w:numId="298">
    <w:abstractNumId w:val="39"/>
  </w:num>
  <w:num w:numId="299">
    <w:abstractNumId w:val="203"/>
  </w:num>
  <w:num w:numId="300">
    <w:abstractNumId w:val="284"/>
  </w:num>
  <w:num w:numId="301">
    <w:abstractNumId w:val="72"/>
  </w:num>
  <w:num w:numId="302">
    <w:abstractNumId w:val="332"/>
  </w:num>
  <w:num w:numId="303">
    <w:abstractNumId w:val="25"/>
  </w:num>
  <w:num w:numId="304">
    <w:abstractNumId w:val="313"/>
  </w:num>
  <w:num w:numId="305">
    <w:abstractNumId w:val="196"/>
  </w:num>
  <w:num w:numId="306">
    <w:abstractNumId w:val="111"/>
  </w:num>
  <w:num w:numId="307">
    <w:abstractNumId w:val="278"/>
  </w:num>
  <w:num w:numId="308">
    <w:abstractNumId w:val="52"/>
  </w:num>
  <w:num w:numId="309">
    <w:abstractNumId w:val="86"/>
  </w:num>
  <w:num w:numId="310">
    <w:abstractNumId w:val="221"/>
  </w:num>
  <w:num w:numId="311">
    <w:abstractNumId w:val="329"/>
  </w:num>
  <w:num w:numId="312">
    <w:abstractNumId w:val="152"/>
  </w:num>
  <w:num w:numId="313">
    <w:abstractNumId w:val="328"/>
  </w:num>
  <w:num w:numId="314">
    <w:abstractNumId w:val="194"/>
  </w:num>
  <w:num w:numId="315">
    <w:abstractNumId w:val="158"/>
  </w:num>
  <w:num w:numId="316">
    <w:abstractNumId w:val="70"/>
  </w:num>
  <w:num w:numId="317">
    <w:abstractNumId w:val="104"/>
  </w:num>
  <w:num w:numId="318">
    <w:abstractNumId w:val="169"/>
  </w:num>
  <w:num w:numId="319">
    <w:abstractNumId w:val="288"/>
  </w:num>
  <w:num w:numId="320">
    <w:abstractNumId w:val="246"/>
  </w:num>
  <w:num w:numId="321">
    <w:abstractNumId w:val="293"/>
  </w:num>
  <w:num w:numId="322">
    <w:abstractNumId w:val="115"/>
  </w:num>
  <w:num w:numId="323">
    <w:abstractNumId w:val="264"/>
  </w:num>
  <w:num w:numId="324">
    <w:abstractNumId w:val="287"/>
  </w:num>
  <w:num w:numId="325">
    <w:abstractNumId w:val="358"/>
  </w:num>
  <w:num w:numId="326">
    <w:abstractNumId w:val="303"/>
  </w:num>
  <w:num w:numId="327">
    <w:abstractNumId w:val="167"/>
  </w:num>
  <w:num w:numId="328">
    <w:abstractNumId w:val="179"/>
  </w:num>
  <w:num w:numId="329">
    <w:abstractNumId w:val="333"/>
  </w:num>
  <w:num w:numId="330">
    <w:abstractNumId w:val="36"/>
  </w:num>
  <w:num w:numId="331">
    <w:abstractNumId w:val="23"/>
  </w:num>
  <w:num w:numId="332">
    <w:abstractNumId w:val="35"/>
  </w:num>
  <w:num w:numId="333">
    <w:abstractNumId w:val="22"/>
  </w:num>
  <w:num w:numId="334">
    <w:abstractNumId w:val="224"/>
  </w:num>
  <w:num w:numId="335">
    <w:abstractNumId w:val="237"/>
  </w:num>
  <w:num w:numId="336">
    <w:abstractNumId w:val="202"/>
  </w:num>
  <w:num w:numId="337">
    <w:abstractNumId w:val="101"/>
  </w:num>
  <w:num w:numId="338">
    <w:abstractNumId w:val="274"/>
  </w:num>
  <w:num w:numId="339">
    <w:abstractNumId w:val="281"/>
  </w:num>
  <w:num w:numId="340">
    <w:abstractNumId w:val="53"/>
  </w:num>
  <w:num w:numId="341">
    <w:abstractNumId w:val="355"/>
  </w:num>
  <w:num w:numId="342">
    <w:abstractNumId w:val="34"/>
  </w:num>
  <w:num w:numId="343">
    <w:abstractNumId w:val="180"/>
  </w:num>
  <w:num w:numId="344">
    <w:abstractNumId w:val="320"/>
  </w:num>
  <w:num w:numId="345">
    <w:abstractNumId w:val="29"/>
  </w:num>
  <w:num w:numId="346">
    <w:abstractNumId w:val="146"/>
  </w:num>
  <w:num w:numId="347">
    <w:abstractNumId w:val="174"/>
  </w:num>
  <w:num w:numId="348">
    <w:abstractNumId w:val="112"/>
  </w:num>
  <w:num w:numId="349">
    <w:abstractNumId w:val="87"/>
  </w:num>
  <w:num w:numId="350">
    <w:abstractNumId w:val="71"/>
  </w:num>
  <w:num w:numId="351">
    <w:abstractNumId w:val="343"/>
  </w:num>
  <w:num w:numId="352">
    <w:abstractNumId w:val="49"/>
  </w:num>
  <w:num w:numId="353">
    <w:abstractNumId w:val="13"/>
  </w:num>
  <w:num w:numId="354">
    <w:abstractNumId w:val="338"/>
  </w:num>
  <w:num w:numId="355">
    <w:abstractNumId w:val="350"/>
  </w:num>
  <w:num w:numId="356">
    <w:abstractNumId w:val="325"/>
  </w:num>
  <w:num w:numId="357">
    <w:abstractNumId w:val="66"/>
  </w:num>
  <w:num w:numId="358">
    <w:abstractNumId w:val="307"/>
  </w:num>
  <w:num w:numId="359">
    <w:abstractNumId w:val="304"/>
  </w:num>
  <w:num w:numId="360">
    <w:abstractNumId w:val="322"/>
  </w:num>
  <w:num w:numId="361">
    <w:abstractNumId w:val="306"/>
  </w:num>
  <w:num w:numId="362">
    <w:abstractNumId w:val="9"/>
  </w:num>
  <w:num w:numId="363">
    <w:abstractNumId w:val="91"/>
  </w:num>
  <w:num w:numId="364">
    <w:abstractNumId w:val="234"/>
  </w:num>
  <w:num w:numId="365">
    <w:abstractNumId w:val="165"/>
  </w:num>
  <w:num w:numId="366">
    <w:abstractNumId w:val="335"/>
  </w:num>
  <w:num w:numId="367">
    <w:abstractNumId w:val="286"/>
  </w:num>
  <w:num w:numId="368">
    <w:abstractNumId w:val="255"/>
  </w:num>
  <w:num w:numId="369">
    <w:abstractNumId w:val="230"/>
  </w:num>
  <w:num w:numId="370">
    <w:abstractNumId w:val="81"/>
  </w:num>
  <w:num w:numId="371">
    <w:abstractNumId w:val="197"/>
  </w:num>
  <w:num w:numId="372">
    <w:abstractNumId w:val="147"/>
  </w:num>
  <w:numIdMacAtCleanup w:val="3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090D"/>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6F03"/>
    <w:rsid w:val="000207AE"/>
    <w:rsid w:val="00022FD0"/>
    <w:rsid w:val="000247BA"/>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51212"/>
    <w:rsid w:val="00051D66"/>
    <w:rsid w:val="00052191"/>
    <w:rsid w:val="0005309E"/>
    <w:rsid w:val="00053750"/>
    <w:rsid w:val="00053950"/>
    <w:rsid w:val="000549D3"/>
    <w:rsid w:val="00056427"/>
    <w:rsid w:val="00056BEF"/>
    <w:rsid w:val="0006022D"/>
    <w:rsid w:val="00060C7D"/>
    <w:rsid w:val="000639CB"/>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3AB"/>
    <w:rsid w:val="00081840"/>
    <w:rsid w:val="00081A07"/>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1A7D"/>
    <w:rsid w:val="000C2412"/>
    <w:rsid w:val="000C28B3"/>
    <w:rsid w:val="000C4DDC"/>
    <w:rsid w:val="000C529E"/>
    <w:rsid w:val="000C7846"/>
    <w:rsid w:val="000C7ACC"/>
    <w:rsid w:val="000D09D7"/>
    <w:rsid w:val="000D1C84"/>
    <w:rsid w:val="000D1CB2"/>
    <w:rsid w:val="000D42F8"/>
    <w:rsid w:val="000D5F3D"/>
    <w:rsid w:val="000D7613"/>
    <w:rsid w:val="000E421B"/>
    <w:rsid w:val="000E4BAF"/>
    <w:rsid w:val="000E4EA5"/>
    <w:rsid w:val="000E53AA"/>
    <w:rsid w:val="000E71D9"/>
    <w:rsid w:val="000F2996"/>
    <w:rsid w:val="000F3E0F"/>
    <w:rsid w:val="000F451E"/>
    <w:rsid w:val="000F4926"/>
    <w:rsid w:val="000F4A08"/>
    <w:rsid w:val="000F4BB2"/>
    <w:rsid w:val="000F51C6"/>
    <w:rsid w:val="000F5203"/>
    <w:rsid w:val="000F5834"/>
    <w:rsid w:val="000F65A1"/>
    <w:rsid w:val="000F77F0"/>
    <w:rsid w:val="000F7CA8"/>
    <w:rsid w:val="00100248"/>
    <w:rsid w:val="00101EBF"/>
    <w:rsid w:val="00103DEC"/>
    <w:rsid w:val="00104072"/>
    <w:rsid w:val="001041AD"/>
    <w:rsid w:val="00104BE1"/>
    <w:rsid w:val="0010601C"/>
    <w:rsid w:val="0010675E"/>
    <w:rsid w:val="00107247"/>
    <w:rsid w:val="001076F7"/>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27C"/>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1234"/>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5D64"/>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35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376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B9F"/>
    <w:rsid w:val="00274D8D"/>
    <w:rsid w:val="00275B4B"/>
    <w:rsid w:val="00276DBA"/>
    <w:rsid w:val="00277B4B"/>
    <w:rsid w:val="00277FEB"/>
    <w:rsid w:val="00281546"/>
    <w:rsid w:val="002821CD"/>
    <w:rsid w:val="0028323A"/>
    <w:rsid w:val="00283597"/>
    <w:rsid w:val="00283653"/>
    <w:rsid w:val="00283C19"/>
    <w:rsid w:val="002851D0"/>
    <w:rsid w:val="00285AAE"/>
    <w:rsid w:val="00285D8C"/>
    <w:rsid w:val="00290345"/>
    <w:rsid w:val="002903F6"/>
    <w:rsid w:val="00290B9F"/>
    <w:rsid w:val="00295A9D"/>
    <w:rsid w:val="0029629B"/>
    <w:rsid w:val="002969FB"/>
    <w:rsid w:val="00297475"/>
    <w:rsid w:val="00297512"/>
    <w:rsid w:val="002A0886"/>
    <w:rsid w:val="002A238C"/>
    <w:rsid w:val="002A4896"/>
    <w:rsid w:val="002B0132"/>
    <w:rsid w:val="002B0E0F"/>
    <w:rsid w:val="002B103E"/>
    <w:rsid w:val="002B12E2"/>
    <w:rsid w:val="002B19BA"/>
    <w:rsid w:val="002B2B80"/>
    <w:rsid w:val="002B775C"/>
    <w:rsid w:val="002B7D6C"/>
    <w:rsid w:val="002C0D94"/>
    <w:rsid w:val="002C0F9B"/>
    <w:rsid w:val="002C266A"/>
    <w:rsid w:val="002C406E"/>
    <w:rsid w:val="002C475B"/>
    <w:rsid w:val="002C4E46"/>
    <w:rsid w:val="002C5B10"/>
    <w:rsid w:val="002C5B9B"/>
    <w:rsid w:val="002C69FC"/>
    <w:rsid w:val="002C6BAC"/>
    <w:rsid w:val="002C7367"/>
    <w:rsid w:val="002C7855"/>
    <w:rsid w:val="002D0AAB"/>
    <w:rsid w:val="002D136D"/>
    <w:rsid w:val="002D1FC6"/>
    <w:rsid w:val="002D260F"/>
    <w:rsid w:val="002D398F"/>
    <w:rsid w:val="002D476D"/>
    <w:rsid w:val="002D4DD6"/>
    <w:rsid w:val="002D5E82"/>
    <w:rsid w:val="002D6556"/>
    <w:rsid w:val="002D7492"/>
    <w:rsid w:val="002E0EBF"/>
    <w:rsid w:val="002E21B2"/>
    <w:rsid w:val="002E32A5"/>
    <w:rsid w:val="002E42E7"/>
    <w:rsid w:val="002E4A8F"/>
    <w:rsid w:val="002E5DE3"/>
    <w:rsid w:val="002E68A4"/>
    <w:rsid w:val="002E6A56"/>
    <w:rsid w:val="002E70DA"/>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6FA"/>
    <w:rsid w:val="003419B5"/>
    <w:rsid w:val="00341CE6"/>
    <w:rsid w:val="003431E7"/>
    <w:rsid w:val="00343D0C"/>
    <w:rsid w:val="00346D4B"/>
    <w:rsid w:val="0034711A"/>
    <w:rsid w:val="00351029"/>
    <w:rsid w:val="0035186E"/>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878B2"/>
    <w:rsid w:val="00394037"/>
    <w:rsid w:val="00395BB3"/>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B6642"/>
    <w:rsid w:val="003C072C"/>
    <w:rsid w:val="003C0E56"/>
    <w:rsid w:val="003C3E17"/>
    <w:rsid w:val="003C6F4B"/>
    <w:rsid w:val="003C73C6"/>
    <w:rsid w:val="003C798F"/>
    <w:rsid w:val="003C7992"/>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071"/>
    <w:rsid w:val="0043017E"/>
    <w:rsid w:val="0043041A"/>
    <w:rsid w:val="0043067C"/>
    <w:rsid w:val="00430795"/>
    <w:rsid w:val="00430981"/>
    <w:rsid w:val="00430D0B"/>
    <w:rsid w:val="00431D35"/>
    <w:rsid w:val="0043224A"/>
    <w:rsid w:val="004322CA"/>
    <w:rsid w:val="0043272D"/>
    <w:rsid w:val="00432C87"/>
    <w:rsid w:val="00433F1C"/>
    <w:rsid w:val="004342EE"/>
    <w:rsid w:val="004343CF"/>
    <w:rsid w:val="00435068"/>
    <w:rsid w:val="0044162E"/>
    <w:rsid w:val="00441675"/>
    <w:rsid w:val="00442849"/>
    <w:rsid w:val="00443E17"/>
    <w:rsid w:val="004441CB"/>
    <w:rsid w:val="004448B1"/>
    <w:rsid w:val="00444FB8"/>
    <w:rsid w:val="00444FC2"/>
    <w:rsid w:val="004459A5"/>
    <w:rsid w:val="0044733B"/>
    <w:rsid w:val="004506F1"/>
    <w:rsid w:val="00452379"/>
    <w:rsid w:val="00452438"/>
    <w:rsid w:val="004534A8"/>
    <w:rsid w:val="00453918"/>
    <w:rsid w:val="00453E2B"/>
    <w:rsid w:val="004556B2"/>
    <w:rsid w:val="00457BA8"/>
    <w:rsid w:val="00457FF8"/>
    <w:rsid w:val="00460C18"/>
    <w:rsid w:val="00461643"/>
    <w:rsid w:val="00461F2E"/>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CF2"/>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D8B"/>
    <w:rsid w:val="004C0E7A"/>
    <w:rsid w:val="004C2B85"/>
    <w:rsid w:val="004C362E"/>
    <w:rsid w:val="004C54B5"/>
    <w:rsid w:val="004C5804"/>
    <w:rsid w:val="004C5C3B"/>
    <w:rsid w:val="004C5C4C"/>
    <w:rsid w:val="004D2C2A"/>
    <w:rsid w:val="004D3889"/>
    <w:rsid w:val="004D3B9D"/>
    <w:rsid w:val="004D3BB7"/>
    <w:rsid w:val="004D3BF3"/>
    <w:rsid w:val="004D4882"/>
    <w:rsid w:val="004D4F29"/>
    <w:rsid w:val="004D60B3"/>
    <w:rsid w:val="004D774B"/>
    <w:rsid w:val="004E049C"/>
    <w:rsid w:val="004E1A72"/>
    <w:rsid w:val="004E2659"/>
    <w:rsid w:val="004E368D"/>
    <w:rsid w:val="004E36DC"/>
    <w:rsid w:val="004E3988"/>
    <w:rsid w:val="004E4B3F"/>
    <w:rsid w:val="004E56A2"/>
    <w:rsid w:val="004E5E1A"/>
    <w:rsid w:val="004E6840"/>
    <w:rsid w:val="004E6E85"/>
    <w:rsid w:val="004E7FEC"/>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5C74"/>
    <w:rsid w:val="00527528"/>
    <w:rsid w:val="005276DF"/>
    <w:rsid w:val="00527C25"/>
    <w:rsid w:val="005308F6"/>
    <w:rsid w:val="00530A61"/>
    <w:rsid w:val="00535E21"/>
    <w:rsid w:val="00540E7C"/>
    <w:rsid w:val="0054121F"/>
    <w:rsid w:val="005418F5"/>
    <w:rsid w:val="00542829"/>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DEA"/>
    <w:rsid w:val="005A0E19"/>
    <w:rsid w:val="005A105A"/>
    <w:rsid w:val="005A116A"/>
    <w:rsid w:val="005A2D6A"/>
    <w:rsid w:val="005A2E10"/>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3E71"/>
    <w:rsid w:val="005E5A5C"/>
    <w:rsid w:val="005F302B"/>
    <w:rsid w:val="005F347E"/>
    <w:rsid w:val="005F4027"/>
    <w:rsid w:val="005F432B"/>
    <w:rsid w:val="005F7C5A"/>
    <w:rsid w:val="00601071"/>
    <w:rsid w:val="0060136E"/>
    <w:rsid w:val="00601C0B"/>
    <w:rsid w:val="00604491"/>
    <w:rsid w:val="00605CCE"/>
    <w:rsid w:val="00606EF7"/>
    <w:rsid w:val="00614569"/>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743"/>
    <w:rsid w:val="00644F4B"/>
    <w:rsid w:val="0064747F"/>
    <w:rsid w:val="00647EE1"/>
    <w:rsid w:val="00650A78"/>
    <w:rsid w:val="00651803"/>
    <w:rsid w:val="00653A87"/>
    <w:rsid w:val="00653E42"/>
    <w:rsid w:val="0065521A"/>
    <w:rsid w:val="00656696"/>
    <w:rsid w:val="006607EC"/>
    <w:rsid w:val="00660F3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5BF"/>
    <w:rsid w:val="006B1AD9"/>
    <w:rsid w:val="006B2587"/>
    <w:rsid w:val="006B3ADF"/>
    <w:rsid w:val="006B4AD4"/>
    <w:rsid w:val="006B5340"/>
    <w:rsid w:val="006B5658"/>
    <w:rsid w:val="006C05D7"/>
    <w:rsid w:val="006C0ABC"/>
    <w:rsid w:val="006C153C"/>
    <w:rsid w:val="006C2301"/>
    <w:rsid w:val="006C2850"/>
    <w:rsid w:val="006C314B"/>
    <w:rsid w:val="006C360B"/>
    <w:rsid w:val="006C4A37"/>
    <w:rsid w:val="006C5EA1"/>
    <w:rsid w:val="006C62D7"/>
    <w:rsid w:val="006C79DE"/>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2E23"/>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16B4"/>
    <w:rsid w:val="007D2349"/>
    <w:rsid w:val="007D561A"/>
    <w:rsid w:val="007D7C59"/>
    <w:rsid w:val="007E174D"/>
    <w:rsid w:val="007E38F9"/>
    <w:rsid w:val="007E4273"/>
    <w:rsid w:val="007E4CB5"/>
    <w:rsid w:val="007E53AD"/>
    <w:rsid w:val="007E586B"/>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47CE"/>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C51"/>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E05DF"/>
    <w:rsid w:val="008E089B"/>
    <w:rsid w:val="008E1A7D"/>
    <w:rsid w:val="008E2862"/>
    <w:rsid w:val="008E5809"/>
    <w:rsid w:val="008E67DF"/>
    <w:rsid w:val="008E7EFD"/>
    <w:rsid w:val="008F143B"/>
    <w:rsid w:val="008F2E43"/>
    <w:rsid w:val="008F3009"/>
    <w:rsid w:val="008F353A"/>
    <w:rsid w:val="008F4BBC"/>
    <w:rsid w:val="008F6EE7"/>
    <w:rsid w:val="008F7245"/>
    <w:rsid w:val="009011E6"/>
    <w:rsid w:val="009026D8"/>
    <w:rsid w:val="009031EC"/>
    <w:rsid w:val="00903219"/>
    <w:rsid w:val="00903F9B"/>
    <w:rsid w:val="009046F3"/>
    <w:rsid w:val="00905013"/>
    <w:rsid w:val="0090745D"/>
    <w:rsid w:val="009110A9"/>
    <w:rsid w:val="009110AF"/>
    <w:rsid w:val="009139A5"/>
    <w:rsid w:val="009155A9"/>
    <w:rsid w:val="009160BB"/>
    <w:rsid w:val="00916940"/>
    <w:rsid w:val="0091793A"/>
    <w:rsid w:val="0092004D"/>
    <w:rsid w:val="00920224"/>
    <w:rsid w:val="00920A38"/>
    <w:rsid w:val="00921F64"/>
    <w:rsid w:val="00922256"/>
    <w:rsid w:val="00922A71"/>
    <w:rsid w:val="00922AB3"/>
    <w:rsid w:val="00924057"/>
    <w:rsid w:val="00925D5C"/>
    <w:rsid w:val="009277D8"/>
    <w:rsid w:val="00927A5C"/>
    <w:rsid w:val="00931E1F"/>
    <w:rsid w:val="0093375B"/>
    <w:rsid w:val="009339A5"/>
    <w:rsid w:val="00933CE0"/>
    <w:rsid w:val="009345A6"/>
    <w:rsid w:val="00934BC9"/>
    <w:rsid w:val="00935581"/>
    <w:rsid w:val="00935A3B"/>
    <w:rsid w:val="00935EC2"/>
    <w:rsid w:val="00935F16"/>
    <w:rsid w:val="00936636"/>
    <w:rsid w:val="00942F5B"/>
    <w:rsid w:val="0094358A"/>
    <w:rsid w:val="00944857"/>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6CF"/>
    <w:rsid w:val="00975F4C"/>
    <w:rsid w:val="009802F3"/>
    <w:rsid w:val="009814B0"/>
    <w:rsid w:val="00982B8A"/>
    <w:rsid w:val="00983355"/>
    <w:rsid w:val="0098407E"/>
    <w:rsid w:val="00984100"/>
    <w:rsid w:val="009849DE"/>
    <w:rsid w:val="00984E9D"/>
    <w:rsid w:val="00985A59"/>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3F87"/>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421"/>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15"/>
    <w:rsid w:val="00A34C26"/>
    <w:rsid w:val="00A36784"/>
    <w:rsid w:val="00A37269"/>
    <w:rsid w:val="00A373AC"/>
    <w:rsid w:val="00A40C05"/>
    <w:rsid w:val="00A413FC"/>
    <w:rsid w:val="00A42E96"/>
    <w:rsid w:val="00A42FD9"/>
    <w:rsid w:val="00A4311C"/>
    <w:rsid w:val="00A434D8"/>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07F"/>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48E5"/>
    <w:rsid w:val="00AC503E"/>
    <w:rsid w:val="00AC70EE"/>
    <w:rsid w:val="00AD0657"/>
    <w:rsid w:val="00AD1913"/>
    <w:rsid w:val="00AD252B"/>
    <w:rsid w:val="00AD37DC"/>
    <w:rsid w:val="00AD41B7"/>
    <w:rsid w:val="00AD501F"/>
    <w:rsid w:val="00AD54B9"/>
    <w:rsid w:val="00AD70DA"/>
    <w:rsid w:val="00AD75A8"/>
    <w:rsid w:val="00AE0103"/>
    <w:rsid w:val="00AE1D16"/>
    <w:rsid w:val="00AE2E61"/>
    <w:rsid w:val="00AE33AE"/>
    <w:rsid w:val="00AE53C3"/>
    <w:rsid w:val="00AE5401"/>
    <w:rsid w:val="00AE5D1B"/>
    <w:rsid w:val="00AF186C"/>
    <w:rsid w:val="00AF2AD3"/>
    <w:rsid w:val="00AF3209"/>
    <w:rsid w:val="00AF3A91"/>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0A18"/>
    <w:rsid w:val="00B31C6F"/>
    <w:rsid w:val="00B33D54"/>
    <w:rsid w:val="00B3409E"/>
    <w:rsid w:val="00B352AF"/>
    <w:rsid w:val="00B35362"/>
    <w:rsid w:val="00B35C06"/>
    <w:rsid w:val="00B3628C"/>
    <w:rsid w:val="00B36DBB"/>
    <w:rsid w:val="00B36E37"/>
    <w:rsid w:val="00B36E5C"/>
    <w:rsid w:val="00B377B5"/>
    <w:rsid w:val="00B3799A"/>
    <w:rsid w:val="00B417DD"/>
    <w:rsid w:val="00B41D80"/>
    <w:rsid w:val="00B43006"/>
    <w:rsid w:val="00B433C0"/>
    <w:rsid w:val="00B43975"/>
    <w:rsid w:val="00B43F59"/>
    <w:rsid w:val="00B458A3"/>
    <w:rsid w:val="00B46F5F"/>
    <w:rsid w:val="00B50750"/>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763ED"/>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1EA"/>
    <w:rsid w:val="00BF7DE6"/>
    <w:rsid w:val="00C035DD"/>
    <w:rsid w:val="00C03F7D"/>
    <w:rsid w:val="00C04015"/>
    <w:rsid w:val="00C0450E"/>
    <w:rsid w:val="00C05082"/>
    <w:rsid w:val="00C07BA0"/>
    <w:rsid w:val="00C10346"/>
    <w:rsid w:val="00C10B32"/>
    <w:rsid w:val="00C12FE5"/>
    <w:rsid w:val="00C13AE6"/>
    <w:rsid w:val="00C15EF4"/>
    <w:rsid w:val="00C16694"/>
    <w:rsid w:val="00C16F45"/>
    <w:rsid w:val="00C21527"/>
    <w:rsid w:val="00C21E26"/>
    <w:rsid w:val="00C23C9B"/>
    <w:rsid w:val="00C2459D"/>
    <w:rsid w:val="00C259F9"/>
    <w:rsid w:val="00C278F6"/>
    <w:rsid w:val="00C2796F"/>
    <w:rsid w:val="00C3097E"/>
    <w:rsid w:val="00C30F7C"/>
    <w:rsid w:val="00C31056"/>
    <w:rsid w:val="00C32BC7"/>
    <w:rsid w:val="00C3306B"/>
    <w:rsid w:val="00C34CD0"/>
    <w:rsid w:val="00C34DF6"/>
    <w:rsid w:val="00C35313"/>
    <w:rsid w:val="00C42405"/>
    <w:rsid w:val="00C42988"/>
    <w:rsid w:val="00C45BCC"/>
    <w:rsid w:val="00C46B33"/>
    <w:rsid w:val="00C5029D"/>
    <w:rsid w:val="00C50914"/>
    <w:rsid w:val="00C52511"/>
    <w:rsid w:val="00C54C90"/>
    <w:rsid w:val="00C557FA"/>
    <w:rsid w:val="00C55A0A"/>
    <w:rsid w:val="00C561B0"/>
    <w:rsid w:val="00C56540"/>
    <w:rsid w:val="00C63C20"/>
    <w:rsid w:val="00C651F8"/>
    <w:rsid w:val="00C67A0C"/>
    <w:rsid w:val="00C7048E"/>
    <w:rsid w:val="00C7161C"/>
    <w:rsid w:val="00C72643"/>
    <w:rsid w:val="00C72E3E"/>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8B6"/>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4E6C"/>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6D2"/>
    <w:rsid w:val="00D04720"/>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2D1D"/>
    <w:rsid w:val="00D34684"/>
    <w:rsid w:val="00D34A79"/>
    <w:rsid w:val="00D35C8F"/>
    <w:rsid w:val="00D36E64"/>
    <w:rsid w:val="00D377F0"/>
    <w:rsid w:val="00D44239"/>
    <w:rsid w:val="00D447CC"/>
    <w:rsid w:val="00D44A60"/>
    <w:rsid w:val="00D45C01"/>
    <w:rsid w:val="00D477FB"/>
    <w:rsid w:val="00D5062E"/>
    <w:rsid w:val="00D5086B"/>
    <w:rsid w:val="00D513B8"/>
    <w:rsid w:val="00D5190F"/>
    <w:rsid w:val="00D51E7A"/>
    <w:rsid w:val="00D52552"/>
    <w:rsid w:val="00D52A05"/>
    <w:rsid w:val="00D543DA"/>
    <w:rsid w:val="00D54A2E"/>
    <w:rsid w:val="00D54D05"/>
    <w:rsid w:val="00D55B36"/>
    <w:rsid w:val="00D561E5"/>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301"/>
    <w:rsid w:val="00D77AE0"/>
    <w:rsid w:val="00D77F56"/>
    <w:rsid w:val="00D803B2"/>
    <w:rsid w:val="00D80608"/>
    <w:rsid w:val="00D828E8"/>
    <w:rsid w:val="00D836C2"/>
    <w:rsid w:val="00D8397D"/>
    <w:rsid w:val="00D84105"/>
    <w:rsid w:val="00D84F9A"/>
    <w:rsid w:val="00D9097B"/>
    <w:rsid w:val="00D91C2A"/>
    <w:rsid w:val="00D9304B"/>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32A3"/>
    <w:rsid w:val="00DB4B5A"/>
    <w:rsid w:val="00DB6050"/>
    <w:rsid w:val="00DB6629"/>
    <w:rsid w:val="00DB6EDC"/>
    <w:rsid w:val="00DC035D"/>
    <w:rsid w:val="00DC0DAB"/>
    <w:rsid w:val="00DC30F3"/>
    <w:rsid w:val="00DC43D7"/>
    <w:rsid w:val="00DC4FF2"/>
    <w:rsid w:val="00DC53F6"/>
    <w:rsid w:val="00DC6959"/>
    <w:rsid w:val="00DD011E"/>
    <w:rsid w:val="00DD0302"/>
    <w:rsid w:val="00DD03D7"/>
    <w:rsid w:val="00DD26A5"/>
    <w:rsid w:val="00DD32DF"/>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24D"/>
    <w:rsid w:val="00E33AB1"/>
    <w:rsid w:val="00E3685B"/>
    <w:rsid w:val="00E37043"/>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77DED"/>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4E4"/>
    <w:rsid w:val="00EA0AE1"/>
    <w:rsid w:val="00EA0BE7"/>
    <w:rsid w:val="00EA1171"/>
    <w:rsid w:val="00EA2B7C"/>
    <w:rsid w:val="00EA2C5B"/>
    <w:rsid w:val="00EA3479"/>
    <w:rsid w:val="00EA39A6"/>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295"/>
    <w:rsid w:val="00EF43D0"/>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3E26"/>
    <w:rsid w:val="00F346D7"/>
    <w:rsid w:val="00F34D03"/>
    <w:rsid w:val="00F35E4D"/>
    <w:rsid w:val="00F37D03"/>
    <w:rsid w:val="00F40B0D"/>
    <w:rsid w:val="00F42707"/>
    <w:rsid w:val="00F43EFC"/>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89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 w:val="00FF7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8D389-F586-423C-B685-6178436F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5678</TotalTime>
  <Pages>4</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2515</cp:revision>
  <cp:lastPrinted>2020-07-15T10:10:00Z</cp:lastPrinted>
  <dcterms:created xsi:type="dcterms:W3CDTF">2020-06-27T08:27:00Z</dcterms:created>
  <dcterms:modified xsi:type="dcterms:W3CDTF">2020-07-15T11:02:00Z</dcterms:modified>
</cp:coreProperties>
</file>