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B22A6A">
        <w:fldChar w:fldCharType="begin"/>
      </w:r>
      <w:r>
        <w:instrText xml:space="preserve"> </w:instrText>
      </w:r>
      <w:r>
        <w:rPr>
          <w:rFonts w:hint="eastAsia"/>
        </w:rPr>
        <w:instrText>DATE  \@ "yyyy'年'M'月'd'日'"  \* MERGEFORMAT</w:instrText>
      </w:r>
      <w:r>
        <w:instrText xml:space="preserve"> </w:instrText>
      </w:r>
      <w:r w:rsidR="00B22A6A">
        <w:fldChar w:fldCharType="separate"/>
      </w:r>
      <w:r w:rsidR="00DA58A4">
        <w:rPr>
          <w:noProof/>
        </w:rPr>
        <w:t>2020年7月16日</w:t>
      </w:r>
      <w:r w:rsidR="00B22A6A">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3D1D04">
      <w:pPr>
        <w:pStyle w:val="aa"/>
        <w:numPr>
          <w:ilvl w:val="0"/>
          <w:numId w:val="368"/>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A34C15">
      <w:pPr>
        <w:pStyle w:val="aa"/>
        <w:numPr>
          <w:ilvl w:val="0"/>
          <w:numId w:val="368"/>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D9304B" w:rsidP="00A34C15">
      <w:pPr>
        <w:pStyle w:val="aa"/>
        <w:numPr>
          <w:ilvl w:val="0"/>
          <w:numId w:val="368"/>
        </w:numPr>
        <w:ind w:firstLineChars="0"/>
      </w:pPr>
      <w:r>
        <w:rPr>
          <w:rFonts w:hint="eastAsia"/>
        </w:rPr>
        <w:t>中期票据的特点：</w:t>
      </w:r>
    </w:p>
    <w:p w:rsidR="00A34C15" w:rsidRDefault="00D9304B" w:rsidP="00A34C15">
      <w:pPr>
        <w:pStyle w:val="aa"/>
        <w:numPr>
          <w:ilvl w:val="1"/>
          <w:numId w:val="368"/>
        </w:numPr>
        <w:ind w:firstLineChars="0"/>
      </w:pPr>
      <w:r>
        <w:rPr>
          <w:rFonts w:hint="eastAsia"/>
        </w:rPr>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A34C15" w:rsidRDefault="00D9304B" w:rsidP="00A34C15">
      <w:pPr>
        <w:pStyle w:val="aa"/>
        <w:numPr>
          <w:ilvl w:val="1"/>
          <w:numId w:val="368"/>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A34C15" w:rsidRDefault="00486CF2" w:rsidP="00A34C15">
      <w:pPr>
        <w:pStyle w:val="aa"/>
        <w:numPr>
          <w:ilvl w:val="0"/>
          <w:numId w:val="368"/>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A34C15">
      <w:pPr>
        <w:pStyle w:val="aa"/>
        <w:numPr>
          <w:ilvl w:val="0"/>
          <w:numId w:val="368"/>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C928B6">
      <w:pPr>
        <w:pStyle w:val="aa"/>
        <w:numPr>
          <w:ilvl w:val="0"/>
          <w:numId w:val="368"/>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C928B6">
      <w:pPr>
        <w:pStyle w:val="aa"/>
        <w:numPr>
          <w:ilvl w:val="0"/>
          <w:numId w:val="368"/>
        </w:numPr>
        <w:ind w:firstLineChars="0"/>
      </w:pPr>
      <w:r w:rsidRPr="000C1A7D">
        <w:rPr>
          <w:rFonts w:hint="eastAsia"/>
        </w:rPr>
        <w:t>申请证券、期货投资咨询从业资格的机构应具备的条件</w:t>
      </w:r>
      <w:r>
        <w:rPr>
          <w:rFonts w:hint="eastAsia"/>
        </w:rPr>
        <w:t>：</w:t>
      </w:r>
    </w:p>
    <w:p w:rsidR="000C1A7D" w:rsidRDefault="000C1A7D" w:rsidP="000C1A7D">
      <w:pPr>
        <w:pStyle w:val="aa"/>
        <w:numPr>
          <w:ilvl w:val="1"/>
          <w:numId w:val="368"/>
        </w:numPr>
        <w:ind w:firstLineChars="0"/>
      </w:pPr>
      <w:r>
        <w:rPr>
          <w:rFonts w:hint="eastAsia"/>
        </w:rPr>
        <w:t>有人</w:t>
      </w:r>
    </w:p>
    <w:p w:rsidR="000C1A7D" w:rsidRDefault="000C1A7D" w:rsidP="000C1A7D">
      <w:pPr>
        <w:pStyle w:val="aa"/>
        <w:numPr>
          <w:ilvl w:val="2"/>
          <w:numId w:val="368"/>
        </w:numPr>
        <w:ind w:firstLineChars="0"/>
      </w:pPr>
      <w:r w:rsidRPr="00C557FA">
        <w:rPr>
          <w:rStyle w:val="af"/>
          <w:rFonts w:hint="eastAsia"/>
        </w:rPr>
        <w:t>分别从事</w:t>
      </w:r>
      <w:r>
        <w:rPr>
          <w:rFonts w:hint="eastAsia"/>
        </w:rPr>
        <w:t>证券或者期货投资咨询业务的机构，有</w:t>
      </w:r>
      <w:r w:rsidRPr="00C557FA">
        <w:rPr>
          <w:rStyle w:val="af"/>
          <w:rFonts w:hint="eastAsia"/>
        </w:rPr>
        <w:t>5名以上</w:t>
      </w:r>
      <w:r>
        <w:rPr>
          <w:rFonts w:hint="eastAsia"/>
        </w:rPr>
        <w:t>取得证券、期货投资咨询从业资格的专职人员；</w:t>
      </w:r>
    </w:p>
    <w:p w:rsidR="000C1A7D" w:rsidRDefault="000C1A7D" w:rsidP="000C1A7D">
      <w:pPr>
        <w:pStyle w:val="aa"/>
        <w:numPr>
          <w:ilvl w:val="2"/>
          <w:numId w:val="368"/>
        </w:numPr>
        <w:ind w:firstLineChars="0"/>
      </w:pPr>
      <w:r w:rsidRPr="00C557FA">
        <w:rPr>
          <w:rStyle w:val="af"/>
          <w:rFonts w:hint="eastAsia"/>
        </w:rPr>
        <w:t>同时从事</w:t>
      </w:r>
      <w:r>
        <w:rPr>
          <w:rFonts w:hint="eastAsia"/>
        </w:rPr>
        <w:t>证券和期货投资咨询业务的机构，有</w:t>
      </w:r>
      <w:r w:rsidRPr="00C557FA">
        <w:rPr>
          <w:rStyle w:val="af"/>
          <w:rFonts w:hint="eastAsia"/>
        </w:rPr>
        <w:t>1</w:t>
      </w:r>
      <w:r w:rsidRPr="00C557FA">
        <w:rPr>
          <w:rStyle w:val="af"/>
        </w:rPr>
        <w:t>0</w:t>
      </w:r>
      <w:r w:rsidRPr="00C557FA">
        <w:rPr>
          <w:rStyle w:val="af"/>
          <w:rFonts w:hint="eastAsia"/>
        </w:rPr>
        <w:t>名以上</w:t>
      </w:r>
      <w:r>
        <w:rPr>
          <w:rFonts w:hint="eastAsia"/>
        </w:rPr>
        <w:t>取得证券、期货投资咨询从业资格的专职人员；</w:t>
      </w:r>
    </w:p>
    <w:p w:rsidR="000C1A7D" w:rsidRDefault="000C1A7D" w:rsidP="000C1A7D">
      <w:pPr>
        <w:pStyle w:val="aa"/>
        <w:numPr>
          <w:ilvl w:val="2"/>
          <w:numId w:val="368"/>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0C1A7D" w:rsidRDefault="000C1A7D" w:rsidP="000C1A7D">
      <w:pPr>
        <w:pStyle w:val="aa"/>
        <w:numPr>
          <w:ilvl w:val="1"/>
          <w:numId w:val="368"/>
        </w:numPr>
        <w:ind w:firstLineChars="0"/>
      </w:pPr>
      <w:r>
        <w:rPr>
          <w:rFonts w:hint="eastAsia"/>
        </w:rPr>
        <w:t>有钱</w:t>
      </w:r>
    </w:p>
    <w:p w:rsidR="000C1A7D" w:rsidRDefault="000C1A7D" w:rsidP="000C1A7D">
      <w:pPr>
        <w:pStyle w:val="aa"/>
        <w:numPr>
          <w:ilvl w:val="2"/>
          <w:numId w:val="368"/>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C928B6">
      <w:pPr>
        <w:pStyle w:val="aa"/>
        <w:numPr>
          <w:ilvl w:val="0"/>
          <w:numId w:val="368"/>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C928B6">
      <w:pPr>
        <w:pStyle w:val="aa"/>
        <w:numPr>
          <w:ilvl w:val="0"/>
          <w:numId w:val="368"/>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6B15BF" w:rsidRDefault="000D42F8" w:rsidP="00C928B6">
      <w:pPr>
        <w:pStyle w:val="aa"/>
        <w:numPr>
          <w:ilvl w:val="0"/>
          <w:numId w:val="368"/>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0C1A7D" w:rsidRDefault="007D16B4" w:rsidP="00C928B6">
      <w:pPr>
        <w:pStyle w:val="aa"/>
        <w:numPr>
          <w:ilvl w:val="0"/>
          <w:numId w:val="368"/>
        </w:numPr>
        <w:ind w:firstLineChars="0"/>
      </w:pPr>
      <w:r>
        <w:t>股票的</w:t>
      </w:r>
      <w:r w:rsidRPr="007D16B4">
        <w:rPr>
          <w:rStyle w:val="af"/>
        </w:rPr>
        <w:t>技术分析法</w:t>
      </w:r>
      <w:r>
        <w:rPr>
          <w:rFonts w:hint="eastAsia"/>
        </w:rPr>
        <w:t>认为</w:t>
      </w:r>
      <w:r w:rsidRPr="00181CB4">
        <w:rPr>
          <w:rStyle w:val="af"/>
          <w:rFonts w:hint="eastAsia"/>
        </w:rPr>
        <w:t>股票价格波动是对市场供求均衡状态偏离的调整</w:t>
      </w:r>
      <w:r>
        <w:rPr>
          <w:rFonts w:hint="eastAsia"/>
        </w:rPr>
        <w:t>。</w:t>
      </w:r>
    </w:p>
    <w:p w:rsidR="007D16B4" w:rsidRDefault="005A2E10" w:rsidP="00C928B6">
      <w:pPr>
        <w:pStyle w:val="aa"/>
        <w:numPr>
          <w:ilvl w:val="0"/>
          <w:numId w:val="368"/>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C928B6">
      <w:pPr>
        <w:pStyle w:val="aa"/>
        <w:numPr>
          <w:ilvl w:val="0"/>
          <w:numId w:val="368"/>
        </w:numPr>
        <w:ind w:firstLineChars="0"/>
      </w:pPr>
      <w:r>
        <w:t>金融市场按分类</w:t>
      </w:r>
      <w:r>
        <w:rPr>
          <w:rFonts w:hint="eastAsia"/>
        </w:rPr>
        <w:t>：</w:t>
      </w:r>
      <w:r w:rsidRPr="00FF740F">
        <w:rPr>
          <w:rStyle w:val="af"/>
        </w:rPr>
        <w:t>资本市场（</w:t>
      </w:r>
      <w:r w:rsidRPr="00FF740F">
        <w:rPr>
          <w:rStyle w:val="af"/>
          <w:rFonts w:hint="eastAsia"/>
        </w:rPr>
        <w:t>一年以上</w:t>
      </w:r>
      <w:r w:rsidRPr="00FF740F">
        <w:rPr>
          <w:rStyle w:val="af"/>
        </w:rPr>
        <w:t>）</w:t>
      </w:r>
      <w:r>
        <w:rPr>
          <w:rFonts w:hint="eastAsia"/>
        </w:rPr>
        <w:t>，货币市场（一年以下）。</w:t>
      </w:r>
      <w:r>
        <w:br/>
        <w:t>资本市场包括</w:t>
      </w:r>
      <w:r>
        <w:rPr>
          <w:rFonts w:hint="eastAsia"/>
        </w:rPr>
        <w:t>：</w:t>
      </w:r>
      <w:r w:rsidRPr="00FF740F">
        <w:rPr>
          <w:rStyle w:val="af"/>
        </w:rPr>
        <w:t>股票市场、中长期国债市场、中长期银行贷款市场</w:t>
      </w:r>
      <w:r>
        <w:rPr>
          <w:rFonts w:hint="eastAsia"/>
        </w:rPr>
        <w:t>。</w:t>
      </w:r>
    </w:p>
    <w:p w:rsidR="004E7FEC" w:rsidRDefault="00922A71" w:rsidP="00C928B6">
      <w:pPr>
        <w:pStyle w:val="aa"/>
        <w:numPr>
          <w:ilvl w:val="0"/>
          <w:numId w:val="368"/>
        </w:numPr>
        <w:ind w:firstLineChars="0"/>
      </w:pPr>
      <w:r>
        <w:rPr>
          <w:rFonts w:hint="eastAsia"/>
        </w:rPr>
        <w:t>询价交易的报价包括</w:t>
      </w:r>
      <w:r w:rsidRPr="003B4B5A">
        <w:rPr>
          <w:rStyle w:val="af"/>
          <w:rFonts w:hint="eastAsia"/>
        </w:rPr>
        <w:t>公开报价、对话报价</w:t>
      </w:r>
      <w:r>
        <w:rPr>
          <w:rFonts w:hint="eastAsia"/>
        </w:rPr>
        <w:t>。</w:t>
      </w:r>
    </w:p>
    <w:p w:rsidR="004E7FEC" w:rsidRDefault="00D046D2" w:rsidP="002C6BAC">
      <w:pPr>
        <w:pStyle w:val="aa"/>
        <w:numPr>
          <w:ilvl w:val="0"/>
          <w:numId w:val="368"/>
        </w:numPr>
        <w:ind w:firstLineChars="0"/>
      </w:pPr>
      <w:r>
        <w:rPr>
          <w:rFonts w:hint="eastAsia"/>
        </w:rPr>
        <w:t>资产证券化的参与者：</w:t>
      </w:r>
      <w:r w:rsidRPr="00D046D2">
        <w:rPr>
          <w:rStyle w:val="af"/>
          <w:rFonts w:hint="eastAsia"/>
        </w:rPr>
        <w:t>发起人、受托人、特殊目的机构、信用增级机构、信用评级机构、承销商、服务机构</w:t>
      </w:r>
      <w:r>
        <w:rPr>
          <w:rFonts w:hint="eastAsia"/>
        </w:rPr>
        <w:t>。（没有投资人）</w:t>
      </w:r>
    </w:p>
    <w:p w:rsidR="002C6BAC" w:rsidRDefault="002C6BAC" w:rsidP="002C6BAC">
      <w:pPr>
        <w:pStyle w:val="aa"/>
        <w:numPr>
          <w:ilvl w:val="0"/>
          <w:numId w:val="368"/>
        </w:numPr>
        <w:ind w:firstLineChars="0"/>
      </w:pPr>
      <w:r>
        <w:rPr>
          <w:rFonts w:hint="eastAsia"/>
        </w:rPr>
        <w:t>中央银行的主要职能：</w:t>
      </w:r>
      <w:r w:rsidRPr="002C6BAC">
        <w:rPr>
          <w:rStyle w:val="af"/>
          <w:rFonts w:hint="eastAsia"/>
        </w:rPr>
        <w:t>发行的银行、银行的银行、政府的银行</w:t>
      </w:r>
      <w:r>
        <w:rPr>
          <w:rFonts w:hint="eastAsia"/>
        </w:rPr>
        <w:t>。（没有监管的银行）</w:t>
      </w:r>
    </w:p>
    <w:p w:rsidR="001076F7" w:rsidRDefault="001076F7" w:rsidP="002C6BAC">
      <w:pPr>
        <w:pStyle w:val="aa"/>
        <w:numPr>
          <w:ilvl w:val="0"/>
          <w:numId w:val="368"/>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2C6BAC">
      <w:pPr>
        <w:pStyle w:val="aa"/>
        <w:numPr>
          <w:ilvl w:val="0"/>
          <w:numId w:val="368"/>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E3324D">
      <w:pPr>
        <w:pStyle w:val="aa"/>
        <w:numPr>
          <w:ilvl w:val="0"/>
          <w:numId w:val="368"/>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E3324D">
      <w:pPr>
        <w:pStyle w:val="aa"/>
        <w:numPr>
          <w:ilvl w:val="0"/>
          <w:numId w:val="368"/>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9F4421">
      <w:pPr>
        <w:pStyle w:val="aa"/>
        <w:numPr>
          <w:ilvl w:val="0"/>
          <w:numId w:val="368"/>
        </w:numPr>
        <w:ind w:firstLineChars="0"/>
        <w:rPr>
          <w:rFonts w:hint="eastAsia"/>
        </w:rPr>
      </w:pPr>
      <w:r>
        <w:rPr>
          <w:rFonts w:hint="eastAsia"/>
        </w:rPr>
        <w:t>根据投资者的心理因素，可以证券市场投资者分为：</w:t>
      </w:r>
      <w:r w:rsidRPr="009F4421">
        <w:rPr>
          <w:rStyle w:val="af"/>
          <w:rFonts w:hint="eastAsia"/>
        </w:rPr>
        <w:t>稳健型、冒险型、中庸型</w:t>
      </w:r>
      <w:r>
        <w:rPr>
          <w:rFonts w:hint="eastAsia"/>
        </w:rPr>
        <w:t>。</w:t>
      </w:r>
    </w:p>
    <w:p w:rsidR="00B07B80" w:rsidRDefault="00B07B80" w:rsidP="009F4421">
      <w:pPr>
        <w:pStyle w:val="aa"/>
        <w:numPr>
          <w:ilvl w:val="0"/>
          <w:numId w:val="368"/>
        </w:numPr>
        <w:ind w:firstLineChars="0"/>
        <w:rPr>
          <w:rFonts w:hint="eastAsia"/>
        </w:rPr>
      </w:pPr>
      <w:r>
        <w:rPr>
          <w:rFonts w:hint="eastAsia"/>
        </w:rPr>
        <w:t>股票应当载明：</w:t>
      </w:r>
      <w:r>
        <w:t>公司名称</w:t>
      </w:r>
      <w:r>
        <w:rPr>
          <w:rFonts w:hint="eastAsia"/>
        </w:rPr>
        <w:t>；公司成立的日期；股票种类；票面金额及代表的股份数；股票的编号。（</w:t>
      </w:r>
      <w:r w:rsidRPr="004C2B85">
        <w:rPr>
          <w:rStyle w:val="af"/>
          <w:rFonts w:hint="eastAsia"/>
        </w:rPr>
        <w:t>不包括公司地址</w:t>
      </w:r>
      <w:r>
        <w:rPr>
          <w:rFonts w:hint="eastAsia"/>
        </w:rPr>
        <w:t>）</w:t>
      </w:r>
    </w:p>
    <w:p w:rsidR="00EA39A6" w:rsidRDefault="00B07B80" w:rsidP="00B07B80">
      <w:pPr>
        <w:pStyle w:val="aa"/>
        <w:widowControl/>
        <w:numPr>
          <w:ilvl w:val="0"/>
          <w:numId w:val="368"/>
        </w:numPr>
        <w:ind w:firstLineChars="0"/>
        <w:jc w:val="left"/>
      </w:pPr>
      <w:r>
        <w:rPr>
          <w:rFonts w:hint="eastAsia"/>
        </w:rPr>
        <w:t>沪深300指数所选择的公司原则（其一）：</w:t>
      </w:r>
      <w:r w:rsidRPr="00430071">
        <w:rPr>
          <w:rStyle w:val="af"/>
          <w:rFonts w:hint="eastAsia"/>
        </w:rPr>
        <w:t>股票价格无明显波动</w:t>
      </w:r>
      <w:r>
        <w:rPr>
          <w:rFonts w:hint="eastAsia"/>
        </w:rPr>
        <w:t>。</w:t>
      </w:r>
      <w:r w:rsidR="00EA39A6">
        <w:br w:type="page"/>
      </w:r>
    </w:p>
    <w:p w:rsidR="00EA39A6" w:rsidRDefault="00EA39A6" w:rsidP="008E1A7D">
      <w:pPr>
        <w:pStyle w:val="2"/>
      </w:pPr>
      <w:r>
        <w:lastRenderedPageBreak/>
        <w:t>重要考点速记</w:t>
      </w:r>
      <w:r>
        <w:rPr>
          <w:rFonts w:hint="eastAsia"/>
        </w:rPr>
        <w:t>0715</w:t>
      </w:r>
    </w:p>
    <w:p w:rsidR="00EA39A6" w:rsidRDefault="00B33D54" w:rsidP="008E1A7D">
      <w:pPr>
        <w:pStyle w:val="aa"/>
        <w:numPr>
          <w:ilvl w:val="0"/>
          <w:numId w:val="368"/>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B33D54" w:rsidRDefault="00542829" w:rsidP="008E1A7D">
      <w:pPr>
        <w:pStyle w:val="aa"/>
        <w:numPr>
          <w:ilvl w:val="0"/>
          <w:numId w:val="368"/>
        </w:numPr>
        <w:ind w:firstLineChars="0"/>
      </w:pPr>
      <w:r w:rsidRPr="009B3F87">
        <w:rPr>
          <w:rStyle w:val="af"/>
        </w:rPr>
        <w:t>企业集团财务公司</w:t>
      </w:r>
      <w:r>
        <w:rPr>
          <w:rFonts w:hint="eastAsia"/>
        </w:rPr>
        <w:t>发行金融债券后，资本充足率</w:t>
      </w:r>
      <w:r w:rsidRPr="00480871">
        <w:rPr>
          <w:rStyle w:val="af"/>
          <w:rFonts w:hint="eastAsia"/>
        </w:rPr>
        <w:t>不低于</w:t>
      </w:r>
      <w:r w:rsidRPr="00480871">
        <w:rPr>
          <w:rStyle w:val="af"/>
        </w:rPr>
        <w:t>10％</w:t>
      </w:r>
      <w:r>
        <w:rPr>
          <w:rFonts w:hint="eastAsia"/>
        </w:rPr>
        <w:t>；</w:t>
      </w:r>
    </w:p>
    <w:p w:rsidR="009B3F87" w:rsidRDefault="00653A87" w:rsidP="008E1A7D">
      <w:pPr>
        <w:pStyle w:val="aa"/>
        <w:numPr>
          <w:ilvl w:val="0"/>
          <w:numId w:val="368"/>
        </w:numPr>
        <w:ind w:firstLineChars="0"/>
      </w:pPr>
      <w:r w:rsidRPr="00060C7D">
        <w:rPr>
          <w:rStyle w:val="af"/>
          <w:rFonts w:hint="eastAsia"/>
        </w:rPr>
        <w:t>交易所市场</w:t>
      </w:r>
      <w:r>
        <w:rPr>
          <w:rFonts w:hint="eastAsia"/>
        </w:rPr>
        <w:t>的债券清算和结算主要采取中央对手方的</w:t>
      </w:r>
      <w:r w:rsidRPr="00117493">
        <w:rPr>
          <w:rStyle w:val="af"/>
          <w:rFonts w:hint="eastAsia"/>
        </w:rPr>
        <w:t>净额结算</w:t>
      </w:r>
      <w:r>
        <w:rPr>
          <w:rFonts w:hint="eastAsia"/>
        </w:rPr>
        <w:t>机制；</w:t>
      </w:r>
    </w:p>
    <w:p w:rsidR="00B33D54" w:rsidRDefault="00AD54B9" w:rsidP="008E1A7D">
      <w:pPr>
        <w:pStyle w:val="aa"/>
        <w:numPr>
          <w:ilvl w:val="0"/>
          <w:numId w:val="368"/>
        </w:numPr>
        <w:ind w:firstLineChars="0"/>
      </w:pPr>
      <w:r>
        <w:rPr>
          <w:rFonts w:hint="eastAsia"/>
        </w:rPr>
        <w:t>对于开放型基金而言，基金的申购采用</w:t>
      </w:r>
      <w:r w:rsidRPr="005F7369">
        <w:rPr>
          <w:rStyle w:val="af"/>
          <w:rFonts w:hint="eastAsia"/>
        </w:rPr>
        <w:t>“金额申购、份额赎回”</w:t>
      </w:r>
      <w:r>
        <w:rPr>
          <w:rFonts w:hint="eastAsia"/>
        </w:rPr>
        <w:t>原则。</w:t>
      </w:r>
    </w:p>
    <w:p w:rsidR="00AD54B9" w:rsidRDefault="00F43EFC" w:rsidP="008E1A7D">
      <w:pPr>
        <w:pStyle w:val="aa"/>
        <w:numPr>
          <w:ilvl w:val="0"/>
          <w:numId w:val="368"/>
        </w:numPr>
        <w:ind w:firstLineChars="0"/>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8E1A7D">
      <w:pPr>
        <w:pStyle w:val="aa"/>
        <w:numPr>
          <w:ilvl w:val="0"/>
          <w:numId w:val="368"/>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A105A" w:rsidRDefault="005A105A" w:rsidP="008E1A7D">
      <w:pPr>
        <w:pStyle w:val="aa"/>
        <w:numPr>
          <w:ilvl w:val="0"/>
          <w:numId w:val="368"/>
        </w:numPr>
        <w:ind w:firstLineChars="0"/>
      </w:pPr>
      <w:r>
        <w:rPr>
          <w:rFonts w:hint="eastAsia"/>
        </w:rPr>
        <w:t>私募基金在向投资者推介私募基金之前，募集机构应当采取</w:t>
      </w:r>
      <w:r w:rsidRPr="00604335">
        <w:rPr>
          <w:rStyle w:val="af"/>
          <w:rFonts w:hint="eastAsia"/>
        </w:rPr>
        <w:t>问卷调查</w:t>
      </w:r>
      <w:r>
        <w:rPr>
          <w:rFonts w:hint="eastAsia"/>
        </w:rPr>
        <w:t>等方式旅行特定对象确定程序，评估结果有效期最长不得超过</w:t>
      </w:r>
      <w:r w:rsidRPr="00604335">
        <w:rPr>
          <w:rStyle w:val="af"/>
          <w:rFonts w:hint="eastAsia"/>
        </w:rPr>
        <w:t>3年</w:t>
      </w:r>
      <w:r>
        <w:rPr>
          <w:rFonts w:hint="eastAsia"/>
        </w:rPr>
        <w:t>。</w:t>
      </w:r>
    </w:p>
    <w:p w:rsidR="00525C74" w:rsidRDefault="00525C74" w:rsidP="008E1A7D">
      <w:pPr>
        <w:pStyle w:val="aa"/>
        <w:numPr>
          <w:ilvl w:val="0"/>
          <w:numId w:val="368"/>
        </w:numPr>
        <w:ind w:firstLineChars="0"/>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8E1A7D">
      <w:pPr>
        <w:pStyle w:val="aa"/>
        <w:numPr>
          <w:ilvl w:val="0"/>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8E1A7D">
      <w:pPr>
        <w:pStyle w:val="aa"/>
        <w:numPr>
          <w:ilvl w:val="0"/>
          <w:numId w:val="368"/>
        </w:numPr>
        <w:ind w:firstLineChars="0"/>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A7407F" w:rsidRDefault="00081A07" w:rsidP="008E1A7D">
      <w:pPr>
        <w:pStyle w:val="aa"/>
        <w:numPr>
          <w:ilvl w:val="0"/>
          <w:numId w:val="368"/>
        </w:numPr>
        <w:ind w:firstLineChars="0"/>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r>
        <w:br/>
        <w:t>金融期权</w:t>
      </w:r>
      <w:r>
        <w:rPr>
          <w:rFonts w:hint="eastAsia"/>
        </w:rPr>
        <w:t>：</w:t>
      </w:r>
      <w:r w:rsidR="00C16F45">
        <w:rPr>
          <w:rFonts w:hint="eastAsia"/>
        </w:rPr>
        <w:t>持有者能在规定的期限内按交易双方商定的价格</w:t>
      </w:r>
      <w:r w:rsidR="00C16F45" w:rsidRPr="006F4EE8">
        <w:rPr>
          <w:rStyle w:val="a4"/>
          <w:rFonts w:hint="eastAsia"/>
        </w:rPr>
        <w:t>购买或出售</w:t>
      </w:r>
      <w:r w:rsidR="00C16F45">
        <w:rPr>
          <w:rFonts w:hint="eastAsia"/>
        </w:rPr>
        <w:t>一定数量的基础工具的</w:t>
      </w:r>
      <w:r w:rsidR="00C16F45" w:rsidRPr="00632E33">
        <w:rPr>
          <w:rStyle w:val="af"/>
          <w:rFonts w:hint="eastAsia"/>
        </w:rPr>
        <w:t>权利</w:t>
      </w:r>
      <w:r w:rsidR="00C16F45">
        <w:rPr>
          <w:rFonts w:hint="eastAsia"/>
        </w:rPr>
        <w:t>。</w:t>
      </w:r>
    </w:p>
    <w:p w:rsidR="0093375B" w:rsidRDefault="0093375B" w:rsidP="008E1A7D">
      <w:pPr>
        <w:pStyle w:val="aa"/>
        <w:numPr>
          <w:ilvl w:val="0"/>
          <w:numId w:val="368"/>
        </w:numPr>
        <w:ind w:firstLineChars="0"/>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8E1A7D">
      <w:pPr>
        <w:pStyle w:val="aa"/>
        <w:numPr>
          <w:ilvl w:val="0"/>
          <w:numId w:val="368"/>
        </w:numPr>
        <w:ind w:firstLineChars="0"/>
      </w:pPr>
      <w:r>
        <w:rPr>
          <w:rFonts w:hint="eastAsia"/>
        </w:rPr>
        <w:t>股票是一种有价证券，但</w:t>
      </w:r>
      <w:r w:rsidRPr="00115F52">
        <w:rPr>
          <w:rStyle w:val="af"/>
          <w:rFonts w:hint="eastAsia"/>
        </w:rPr>
        <w:t>股票本身没有价值</w:t>
      </w:r>
      <w:r>
        <w:rPr>
          <w:rFonts w:hint="eastAsia"/>
        </w:rPr>
        <w:t>。</w:t>
      </w:r>
      <w:r w:rsidR="00161234">
        <w:br/>
      </w:r>
      <w:r w:rsidR="00D5190F">
        <w:rPr>
          <w:rFonts w:hint="eastAsia"/>
        </w:rPr>
        <w:t>股票是对股份有限公司</w:t>
      </w:r>
      <w:r w:rsidR="00D5190F" w:rsidRPr="009A63F3">
        <w:rPr>
          <w:rStyle w:val="af"/>
          <w:rFonts w:hint="eastAsia"/>
        </w:rPr>
        <w:t>净资产</w:t>
      </w:r>
      <w:r w:rsidR="00D5190F">
        <w:rPr>
          <w:rFonts w:hint="eastAsia"/>
        </w:rPr>
        <w:t>的</w:t>
      </w:r>
      <w:r w:rsidR="00D5190F" w:rsidRPr="0048439A">
        <w:rPr>
          <w:rStyle w:val="af"/>
          <w:rFonts w:hint="eastAsia"/>
        </w:rPr>
        <w:t>所有权</w:t>
      </w:r>
      <w:r w:rsidR="00D5190F">
        <w:rPr>
          <w:rFonts w:hint="eastAsia"/>
        </w:rPr>
        <w:t>。</w:t>
      </w:r>
    </w:p>
    <w:p w:rsidR="00A7407F" w:rsidRDefault="000813AB" w:rsidP="008E1A7D">
      <w:pPr>
        <w:pStyle w:val="aa"/>
        <w:numPr>
          <w:ilvl w:val="0"/>
          <w:numId w:val="368"/>
        </w:numPr>
        <w:ind w:firstLineChars="0"/>
      </w:pPr>
      <w:r>
        <w:rPr>
          <w:rFonts w:hint="eastAsia"/>
        </w:rPr>
        <w:t>优先股股东的</w:t>
      </w:r>
      <w:r>
        <w:rPr>
          <w:rStyle w:val="af"/>
        </w:rPr>
        <w:t>表决权受限</w:t>
      </w:r>
      <w:r>
        <w:rPr>
          <w:rStyle w:val="af"/>
          <w:rFonts w:hint="eastAsia"/>
        </w:rPr>
        <w:t>，</w:t>
      </w:r>
      <w:r w:rsidRPr="00115F52">
        <w:rPr>
          <w:rStyle w:val="af"/>
        </w:rPr>
        <w:t>但不是没有</w:t>
      </w:r>
      <w:r>
        <w:rPr>
          <w:rFonts w:hint="eastAsia"/>
        </w:rPr>
        <w:t>。</w:t>
      </w:r>
    </w:p>
    <w:p w:rsidR="002D0AAB" w:rsidRDefault="000F51C6" w:rsidP="008E1A7D">
      <w:pPr>
        <w:pStyle w:val="aa"/>
        <w:numPr>
          <w:ilvl w:val="0"/>
          <w:numId w:val="368"/>
        </w:numPr>
        <w:ind w:firstLineChars="0"/>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5A0DEA" w:rsidP="008E1A7D">
      <w:pPr>
        <w:pStyle w:val="aa"/>
        <w:numPr>
          <w:ilvl w:val="0"/>
          <w:numId w:val="368"/>
        </w:numPr>
        <w:ind w:firstLineChars="0"/>
      </w:pPr>
      <w:r>
        <w:rPr>
          <w:rFonts w:hint="eastAsia"/>
        </w:rPr>
        <w:t>风险规避主要通过</w:t>
      </w:r>
      <w:r w:rsidRPr="000477EA">
        <w:rPr>
          <w:rStyle w:val="af"/>
          <w:rFonts w:hint="eastAsia"/>
        </w:rPr>
        <w:t>经济资本配置</w:t>
      </w:r>
      <w:r>
        <w:rPr>
          <w:rFonts w:hint="eastAsia"/>
        </w:rPr>
        <w:t>来实现。</w:t>
      </w:r>
    </w:p>
    <w:p w:rsidR="002D0AAB" w:rsidRDefault="00891C51" w:rsidP="008E1A7D">
      <w:pPr>
        <w:pStyle w:val="aa"/>
        <w:numPr>
          <w:ilvl w:val="0"/>
          <w:numId w:val="368"/>
        </w:numPr>
        <w:ind w:firstLineChars="0"/>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8E1A7D">
      <w:pPr>
        <w:pStyle w:val="aa"/>
        <w:numPr>
          <w:ilvl w:val="0"/>
          <w:numId w:val="368"/>
        </w:numPr>
        <w:ind w:firstLineChars="0"/>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8E1A7D">
      <w:pPr>
        <w:pStyle w:val="aa"/>
        <w:numPr>
          <w:ilvl w:val="0"/>
          <w:numId w:val="368"/>
        </w:numPr>
        <w:ind w:firstLineChars="0"/>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8E1A7D">
      <w:pPr>
        <w:pStyle w:val="aa"/>
        <w:numPr>
          <w:ilvl w:val="0"/>
          <w:numId w:val="368"/>
        </w:numPr>
        <w:ind w:firstLineChars="0"/>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8E1A7D">
      <w:pPr>
        <w:pStyle w:val="aa"/>
        <w:numPr>
          <w:ilvl w:val="0"/>
          <w:numId w:val="368"/>
        </w:numPr>
        <w:ind w:firstLineChars="0"/>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8E1A7D">
      <w:pPr>
        <w:pStyle w:val="aa"/>
        <w:numPr>
          <w:ilvl w:val="0"/>
          <w:numId w:val="368"/>
        </w:numPr>
        <w:ind w:firstLineChars="0"/>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r>
        <w:br/>
      </w:r>
      <w:r w:rsidR="000D7613">
        <w:rPr>
          <w:rFonts w:hint="eastAsia"/>
        </w:rPr>
        <w:t>操作目标的选择在很大程度上</w:t>
      </w:r>
      <w:r w:rsidR="000D7613" w:rsidRPr="00CA1927">
        <w:rPr>
          <w:rStyle w:val="af"/>
          <w:rFonts w:hint="eastAsia"/>
        </w:rPr>
        <w:t>取决于</w:t>
      </w:r>
      <w:r w:rsidR="000D7613">
        <w:rPr>
          <w:rFonts w:hint="eastAsia"/>
        </w:rPr>
        <w:t>中介目标的选择。</w:t>
      </w:r>
    </w:p>
    <w:p w:rsidR="0035186E" w:rsidRDefault="00C31056" w:rsidP="008E1A7D">
      <w:pPr>
        <w:pStyle w:val="aa"/>
        <w:numPr>
          <w:ilvl w:val="0"/>
          <w:numId w:val="368"/>
        </w:numPr>
        <w:ind w:firstLineChars="0"/>
      </w:pPr>
      <w:r w:rsidRPr="00CA1927">
        <w:rPr>
          <w:rStyle w:val="af"/>
        </w:rPr>
        <w:t>货币政策工具</w:t>
      </w:r>
      <w:r w:rsidR="004D4F29">
        <w:rPr>
          <w:rFonts w:hint="eastAsia"/>
        </w:rPr>
        <w:t>包括：</w:t>
      </w:r>
      <w:r w:rsidR="004D4F29">
        <w:t>一般性货币政策工具</w:t>
      </w:r>
      <w:r w:rsidR="004D4F29">
        <w:rPr>
          <w:rFonts w:hint="eastAsia"/>
        </w:rPr>
        <w:t>、</w:t>
      </w:r>
      <w:r w:rsidR="004D4F29">
        <w:t>选择性货币政策工具</w:t>
      </w:r>
      <w:r w:rsidR="004D4F29">
        <w:rPr>
          <w:rFonts w:hint="eastAsia"/>
        </w:rPr>
        <w:t>、</w:t>
      </w:r>
      <w:r w:rsidR="004D4F29" w:rsidRPr="004D4F29">
        <w:t>创新型货币政策工具</w:t>
      </w:r>
    </w:p>
    <w:p w:rsidR="00052191" w:rsidRDefault="00274B9F" w:rsidP="008E1A7D">
      <w:pPr>
        <w:pStyle w:val="aa"/>
        <w:numPr>
          <w:ilvl w:val="0"/>
          <w:numId w:val="368"/>
        </w:numPr>
        <w:ind w:firstLineChars="0"/>
      </w:pPr>
      <w:r w:rsidRPr="00274B9F">
        <w:rPr>
          <w:rStyle w:val="af"/>
        </w:rPr>
        <w:t>公司型基金</w:t>
      </w:r>
      <w:r w:rsidRPr="00274B9F">
        <w:t>依据基金公司章程设立</w:t>
      </w:r>
      <w:r>
        <w:rPr>
          <w:rFonts w:hint="eastAsia"/>
        </w:rPr>
        <w:t>。</w:t>
      </w:r>
    </w:p>
    <w:p w:rsidR="00107247" w:rsidRDefault="00274B9F" w:rsidP="008E1A7D">
      <w:pPr>
        <w:pStyle w:val="aa"/>
        <w:numPr>
          <w:ilvl w:val="0"/>
          <w:numId w:val="368"/>
        </w:numPr>
        <w:ind w:firstLineChars="0"/>
      </w:pPr>
      <w:r>
        <w:rPr>
          <w:rFonts w:hint="eastAsia"/>
        </w:rPr>
        <w:t>一般开放式基金利润分配后</w:t>
      </w:r>
      <w:r w:rsidRPr="004D768A">
        <w:rPr>
          <w:rStyle w:val="af"/>
          <w:rFonts w:hint="eastAsia"/>
        </w:rPr>
        <w:t>基金份额净值不得低于面值</w:t>
      </w:r>
      <w:r>
        <w:rPr>
          <w:rFonts w:hint="eastAsia"/>
        </w:rPr>
        <w:t>。</w:t>
      </w:r>
    </w:p>
    <w:p w:rsidR="00274B9F" w:rsidRDefault="007E586B" w:rsidP="008E1A7D">
      <w:pPr>
        <w:pStyle w:val="aa"/>
        <w:numPr>
          <w:ilvl w:val="0"/>
          <w:numId w:val="368"/>
        </w:numPr>
        <w:ind w:firstLineChars="0"/>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p>
    <w:p w:rsidR="00274B9F" w:rsidRDefault="00461F2E" w:rsidP="008E1A7D">
      <w:pPr>
        <w:pStyle w:val="aa"/>
        <w:numPr>
          <w:ilvl w:val="0"/>
          <w:numId w:val="368"/>
        </w:numPr>
        <w:ind w:firstLineChars="0"/>
      </w:pPr>
      <w:r w:rsidRPr="00461F2E">
        <w:rPr>
          <w:rFonts w:hint="eastAsia"/>
        </w:rPr>
        <w:lastRenderedPageBreak/>
        <w:t>证券市场监管</w:t>
      </w:r>
      <w:r>
        <w:rPr>
          <w:rFonts w:hint="eastAsia"/>
        </w:rPr>
        <w:t>的经济手段：运用利率政策、</w:t>
      </w:r>
      <w:r w:rsidRPr="00461F2E">
        <w:rPr>
          <w:rStyle w:val="af"/>
          <w:rFonts w:hint="eastAsia"/>
        </w:rPr>
        <w:t>公开市场业务</w:t>
      </w:r>
      <w:r>
        <w:rPr>
          <w:rFonts w:hint="eastAsia"/>
        </w:rPr>
        <w:t>、信贷政策、税收政策。</w:t>
      </w:r>
    </w:p>
    <w:p w:rsidR="00C72E3E" w:rsidRDefault="00461F2E" w:rsidP="00C72E3E">
      <w:pPr>
        <w:pStyle w:val="aa"/>
        <w:numPr>
          <w:ilvl w:val="0"/>
          <w:numId w:val="368"/>
        </w:numPr>
        <w:ind w:firstLineChars="0"/>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B417DD" w:rsidRDefault="00C72E3E" w:rsidP="0043041A">
      <w:pPr>
        <w:pStyle w:val="aa"/>
        <w:numPr>
          <w:ilvl w:val="0"/>
          <w:numId w:val="368"/>
        </w:numPr>
        <w:ind w:firstLineChars="0"/>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104425" w:rsidRDefault="00104425">
      <w:pPr>
        <w:widowControl/>
        <w:jc w:val="left"/>
      </w:pPr>
      <w:r>
        <w:br w:type="page"/>
      </w:r>
    </w:p>
    <w:p w:rsidR="0043041A" w:rsidRDefault="00104425" w:rsidP="003472B8">
      <w:pPr>
        <w:pStyle w:val="2"/>
        <w:rPr>
          <w:rFonts w:hint="eastAsia"/>
        </w:rPr>
      </w:pPr>
      <w:r>
        <w:lastRenderedPageBreak/>
        <w:t>重要考点速记</w:t>
      </w:r>
      <w:r>
        <w:rPr>
          <w:rFonts w:hint="eastAsia"/>
        </w:rPr>
        <w:t>0716</w:t>
      </w:r>
    </w:p>
    <w:p w:rsidR="00104425" w:rsidRDefault="008509DB" w:rsidP="007D431E">
      <w:pPr>
        <w:pStyle w:val="aa"/>
        <w:numPr>
          <w:ilvl w:val="0"/>
          <w:numId w:val="368"/>
        </w:numPr>
        <w:ind w:firstLineChars="0"/>
        <w:rPr>
          <w:rFonts w:hint="eastAsia"/>
        </w:rPr>
      </w:pPr>
      <w:r>
        <w:rPr>
          <w:rFonts w:hint="eastAsia"/>
        </w:rPr>
        <w:t>已发行金融资产的</w:t>
      </w:r>
      <w:r w:rsidRPr="00BA2085">
        <w:rPr>
          <w:rStyle w:val="af"/>
          <w:rFonts w:hint="eastAsia"/>
        </w:rPr>
        <w:t>流通市场</w:t>
      </w:r>
      <w:r>
        <w:rPr>
          <w:rFonts w:hint="eastAsia"/>
        </w:rPr>
        <w:t>是</w:t>
      </w:r>
      <w:r w:rsidRPr="008509DB">
        <w:rPr>
          <w:rStyle w:val="af"/>
          <w:rFonts w:hint="eastAsia"/>
        </w:rPr>
        <w:t>二级市场</w:t>
      </w:r>
      <w:r>
        <w:rPr>
          <w:rFonts w:hint="eastAsia"/>
        </w:rPr>
        <w:t>。</w:t>
      </w:r>
    </w:p>
    <w:p w:rsidR="008509DB" w:rsidRDefault="0013730F" w:rsidP="007D431E">
      <w:pPr>
        <w:pStyle w:val="aa"/>
        <w:numPr>
          <w:ilvl w:val="0"/>
          <w:numId w:val="368"/>
        </w:numPr>
        <w:ind w:firstLineChars="0"/>
        <w:rPr>
          <w:rFonts w:hint="eastAsia"/>
        </w:rPr>
      </w:pPr>
      <w:r>
        <w:rPr>
          <w:rFonts w:hint="eastAsia"/>
        </w:rPr>
        <w:t>债券本身有一定的面值，代表了财产价值，但这只是一种虚拟资本，</w:t>
      </w:r>
      <w:r w:rsidRPr="009E0F59">
        <w:rPr>
          <w:rStyle w:val="af"/>
          <w:rFonts w:hint="eastAsia"/>
        </w:rPr>
        <w:t>不代表真实资本</w:t>
      </w:r>
      <w:r>
        <w:rPr>
          <w:rFonts w:hint="eastAsia"/>
        </w:rPr>
        <w:t>。</w:t>
      </w:r>
    </w:p>
    <w:p w:rsidR="00FE679A" w:rsidRDefault="00B026D5" w:rsidP="007D431E">
      <w:pPr>
        <w:pStyle w:val="aa"/>
        <w:numPr>
          <w:ilvl w:val="0"/>
          <w:numId w:val="368"/>
        </w:numPr>
        <w:ind w:firstLineChars="0"/>
        <w:rPr>
          <w:rFonts w:hint="eastAsia"/>
        </w:rPr>
      </w:pPr>
      <w:r>
        <w:rPr>
          <w:rFonts w:hint="eastAsia"/>
        </w:rPr>
        <w:t>财务公司发行的金融债券应当</w:t>
      </w:r>
      <w:r w:rsidRPr="001E7864">
        <w:rPr>
          <w:rFonts w:hint="eastAsia"/>
        </w:rPr>
        <w:t>由</w:t>
      </w:r>
      <w:r w:rsidRPr="001E7864">
        <w:rPr>
          <w:rStyle w:val="af"/>
        </w:rPr>
        <w:t>财务公司的母公司或其他有担保能力的成员单位提供相应担保</w:t>
      </w:r>
      <w:r>
        <w:rPr>
          <w:rFonts w:hint="eastAsia"/>
        </w:rPr>
        <w:t>，经原中国银监会批准免于担保的除外。</w:t>
      </w:r>
      <w:r w:rsidRPr="009E0F59">
        <w:rPr>
          <w:rStyle w:val="af"/>
          <w:rFonts w:hint="eastAsia"/>
        </w:rPr>
        <w:t>可以进行公开发行和非公开发行</w:t>
      </w:r>
      <w:r>
        <w:rPr>
          <w:rFonts w:hint="eastAsia"/>
        </w:rPr>
        <w:t>。</w:t>
      </w:r>
    </w:p>
    <w:p w:rsidR="00B026D5" w:rsidRDefault="00892534" w:rsidP="007D431E">
      <w:pPr>
        <w:pStyle w:val="aa"/>
        <w:numPr>
          <w:ilvl w:val="0"/>
          <w:numId w:val="368"/>
        </w:numPr>
        <w:ind w:firstLineChars="0"/>
        <w:rPr>
          <w:rFonts w:hint="eastAsia"/>
        </w:rPr>
      </w:pPr>
      <w:r w:rsidRPr="00892534">
        <w:rPr>
          <w:rStyle w:val="af"/>
          <w:rFonts w:hint="eastAsia"/>
        </w:rPr>
        <w:t>保险公司次级债务</w:t>
      </w:r>
      <w:r>
        <w:rPr>
          <w:rFonts w:hint="eastAsia"/>
        </w:rPr>
        <w:t>的偿还只能在确保偿还次级债务本息后偿付能力充足率不低于</w:t>
      </w:r>
      <w:r w:rsidRPr="00892534">
        <w:rPr>
          <w:rStyle w:val="af"/>
          <w:rFonts w:hint="eastAsia"/>
        </w:rPr>
        <w:t>100%</w:t>
      </w:r>
      <w:r>
        <w:rPr>
          <w:rFonts w:hint="eastAsia"/>
        </w:rPr>
        <w:t>的前提下才能偿本付息。</w:t>
      </w:r>
    </w:p>
    <w:p w:rsidR="008509DB" w:rsidRDefault="00474952" w:rsidP="007D431E">
      <w:pPr>
        <w:pStyle w:val="aa"/>
        <w:numPr>
          <w:ilvl w:val="0"/>
          <w:numId w:val="368"/>
        </w:numPr>
        <w:ind w:firstLineChars="0"/>
        <w:rPr>
          <w:rFonts w:hint="eastAsia"/>
        </w:rPr>
      </w:pPr>
      <w:r w:rsidRPr="00474952">
        <w:rPr>
          <w:rStyle w:val="af"/>
          <w:rFonts w:hint="eastAsia"/>
        </w:rPr>
        <w:t>国际经济环境因素</w:t>
      </w:r>
      <w:r>
        <w:rPr>
          <w:rFonts w:hint="eastAsia"/>
        </w:rPr>
        <w:t>作为影响我国金融市场运行的因素，包括：</w:t>
      </w:r>
      <w:r w:rsidRPr="00474952">
        <w:rPr>
          <w:rStyle w:val="af"/>
          <w:rFonts w:hint="eastAsia"/>
        </w:rPr>
        <w:t>经济全球化、放松管制和加强管制两种经济哲学的交替、世界货币制度的影响</w:t>
      </w:r>
      <w:r>
        <w:rPr>
          <w:rFonts w:hint="eastAsia"/>
        </w:rPr>
        <w:t>。不包括：汇率和国际资本流动。</w:t>
      </w:r>
    </w:p>
    <w:p w:rsidR="009F0D00" w:rsidRDefault="00F542ED" w:rsidP="007D431E">
      <w:pPr>
        <w:pStyle w:val="aa"/>
        <w:numPr>
          <w:ilvl w:val="0"/>
          <w:numId w:val="368"/>
        </w:numPr>
        <w:ind w:firstLineChars="0"/>
        <w:rPr>
          <w:rFonts w:hint="eastAsia"/>
        </w:rPr>
      </w:pPr>
      <w:r>
        <w:rPr>
          <w:rFonts w:hint="eastAsia"/>
        </w:rPr>
        <w:t>在我国，基金管理人只能由依法设立的</w:t>
      </w:r>
      <w:r w:rsidRPr="002A0727">
        <w:rPr>
          <w:rStyle w:val="af"/>
          <w:rFonts w:hint="eastAsia"/>
        </w:rPr>
        <w:t>基金管理公司</w:t>
      </w:r>
      <w:r>
        <w:rPr>
          <w:rFonts w:hint="eastAsia"/>
        </w:rPr>
        <w:t>承担。</w:t>
      </w:r>
    </w:p>
    <w:p w:rsidR="00F542ED" w:rsidRDefault="00555A92" w:rsidP="007D431E">
      <w:pPr>
        <w:pStyle w:val="aa"/>
        <w:numPr>
          <w:ilvl w:val="0"/>
          <w:numId w:val="368"/>
        </w:numPr>
        <w:ind w:firstLineChars="0"/>
        <w:rPr>
          <w:rFonts w:hint="eastAsia"/>
        </w:rPr>
      </w:pPr>
      <w:r w:rsidRPr="00555A92">
        <w:rPr>
          <w:rStyle w:val="af"/>
          <w:rFonts w:hint="eastAsia"/>
        </w:rPr>
        <w:t>基金运作</w:t>
      </w:r>
      <w:r>
        <w:rPr>
          <w:rFonts w:hint="eastAsia"/>
        </w:rPr>
        <w:t>费用的类别：</w:t>
      </w:r>
      <w:r w:rsidRPr="00555A92">
        <w:rPr>
          <w:rFonts w:hint="eastAsia"/>
        </w:rPr>
        <w:t>基金</w:t>
      </w:r>
      <w:r w:rsidRPr="00555A92">
        <w:rPr>
          <w:rStyle w:val="af"/>
          <w:rFonts w:hint="eastAsia"/>
        </w:rPr>
        <w:t>销售过程</w:t>
      </w:r>
      <w:r>
        <w:rPr>
          <w:rFonts w:hint="eastAsia"/>
        </w:rPr>
        <w:t>中的费用，</w:t>
      </w:r>
      <w:r w:rsidRPr="00555A92">
        <w:rPr>
          <w:rFonts w:hint="eastAsia"/>
        </w:rPr>
        <w:t>基金</w:t>
      </w:r>
      <w:r w:rsidRPr="00555A92">
        <w:rPr>
          <w:rStyle w:val="af"/>
          <w:rFonts w:hint="eastAsia"/>
        </w:rPr>
        <w:t>管理过程</w:t>
      </w:r>
      <w:r>
        <w:rPr>
          <w:rFonts w:hint="eastAsia"/>
        </w:rPr>
        <w:t>中的费用。</w:t>
      </w:r>
    </w:p>
    <w:p w:rsidR="009F0D00" w:rsidRDefault="00555A92" w:rsidP="007D431E">
      <w:pPr>
        <w:pStyle w:val="aa"/>
        <w:numPr>
          <w:ilvl w:val="0"/>
          <w:numId w:val="368"/>
        </w:numPr>
        <w:ind w:firstLineChars="0"/>
        <w:rPr>
          <w:rFonts w:hint="eastAsia"/>
        </w:rPr>
      </w:pPr>
      <w:r w:rsidRPr="00555A92">
        <w:rPr>
          <w:rStyle w:val="af"/>
          <w:rFonts w:hint="eastAsia"/>
        </w:rPr>
        <w:t>詹森指数</w:t>
      </w:r>
      <w:r>
        <w:rPr>
          <w:rFonts w:hint="eastAsia"/>
        </w:rPr>
        <w:t>是</w:t>
      </w:r>
      <w:r w:rsidRPr="009B0D06">
        <w:rPr>
          <w:rStyle w:val="af"/>
          <w:rFonts w:hint="eastAsia"/>
        </w:rPr>
        <w:t>以资本定价模型为基础的评价基金业绩的绝对指标</w:t>
      </w:r>
      <w:r>
        <w:rPr>
          <w:rFonts w:hint="eastAsia"/>
        </w:rPr>
        <w:t>。</w:t>
      </w:r>
    </w:p>
    <w:p w:rsidR="009F0D00" w:rsidRDefault="00BF2EEA" w:rsidP="007D431E">
      <w:pPr>
        <w:pStyle w:val="aa"/>
        <w:numPr>
          <w:ilvl w:val="0"/>
          <w:numId w:val="368"/>
        </w:numPr>
        <w:ind w:firstLineChars="0"/>
        <w:rPr>
          <w:rFonts w:hint="eastAsia"/>
        </w:rPr>
      </w:pPr>
      <w:r>
        <w:rPr>
          <w:rFonts w:hint="eastAsia"/>
        </w:rPr>
        <w:t>证券公司设立私募基金子公司规定（其一）：经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5717BB" w:rsidRDefault="005717BB" w:rsidP="007D431E">
      <w:pPr>
        <w:pStyle w:val="aa"/>
        <w:numPr>
          <w:ilvl w:val="0"/>
          <w:numId w:val="368"/>
        </w:numPr>
        <w:ind w:firstLineChars="0"/>
        <w:rPr>
          <w:rFonts w:hint="eastAsia"/>
        </w:rPr>
      </w:pPr>
      <w:r>
        <w:rPr>
          <w:rFonts w:hint="eastAsia"/>
        </w:rPr>
        <w:t>证券、期货</w:t>
      </w:r>
      <w:r w:rsidRPr="005717BB">
        <w:rPr>
          <w:rStyle w:val="af"/>
          <w:rFonts w:hint="eastAsia"/>
        </w:rPr>
        <w:t>投资咨询人员</w:t>
      </w:r>
      <w:r>
        <w:rPr>
          <w:rFonts w:hint="eastAsia"/>
        </w:rPr>
        <w:t>申请从业资格的条件（其三）：</w:t>
      </w:r>
      <w:r w:rsidRPr="00F6786E">
        <w:rPr>
          <w:rFonts w:hint="eastAsia"/>
        </w:rPr>
        <w:t>通过中国证监会统一组织的从业人员资格考试</w:t>
      </w:r>
      <w:r w:rsidRPr="005717BB">
        <w:rPr>
          <w:rStyle w:val="af"/>
          <w:rFonts w:hint="eastAsia"/>
        </w:rPr>
        <w:t>、加入一家有从业资格业务的投资咨询公司、从业业务两年</w:t>
      </w:r>
      <w:r>
        <w:rPr>
          <w:rFonts w:hint="eastAsia"/>
        </w:rPr>
        <w:t>。</w:t>
      </w:r>
    </w:p>
    <w:p w:rsidR="000302DF" w:rsidRDefault="000D2010" w:rsidP="007D431E">
      <w:pPr>
        <w:pStyle w:val="aa"/>
        <w:numPr>
          <w:ilvl w:val="0"/>
          <w:numId w:val="368"/>
        </w:numPr>
        <w:ind w:firstLineChars="0"/>
        <w:rPr>
          <w:rFonts w:hint="eastAsia"/>
        </w:rPr>
      </w:pPr>
      <w:r>
        <w:rPr>
          <w:rFonts w:hint="eastAsia"/>
        </w:rPr>
        <w:t>证券公司开展转融通业务后，应当每年按照</w:t>
      </w:r>
      <w:r w:rsidRPr="00153A46">
        <w:rPr>
          <w:rStyle w:val="af"/>
          <w:rFonts w:hint="eastAsia"/>
        </w:rPr>
        <w:t>税后利润的10%提取风险准备金</w:t>
      </w:r>
      <w:r>
        <w:rPr>
          <w:rFonts w:hint="eastAsia"/>
        </w:rPr>
        <w:t>。</w:t>
      </w:r>
    </w:p>
    <w:p w:rsidR="000302DF" w:rsidRDefault="00C36B55" w:rsidP="007D431E">
      <w:pPr>
        <w:pStyle w:val="aa"/>
        <w:numPr>
          <w:ilvl w:val="0"/>
          <w:numId w:val="368"/>
        </w:numPr>
        <w:ind w:firstLineChars="0"/>
        <w:rPr>
          <w:rFonts w:hint="eastAsia"/>
        </w:rPr>
      </w:pPr>
      <w:r>
        <w:rPr>
          <w:rFonts w:hint="eastAsia"/>
        </w:rPr>
        <w:t>首次公开发行股票注意事项（其三）：应</w:t>
      </w:r>
      <w:r w:rsidRPr="00707539">
        <w:rPr>
          <w:rStyle w:val="af"/>
          <w:rFonts w:hint="eastAsia"/>
        </w:rPr>
        <w:t>同时进行</w:t>
      </w:r>
      <w:r>
        <w:rPr>
          <w:rFonts w:hint="eastAsia"/>
        </w:rPr>
        <w:t>网上发行和网下发行；网下和网上投资者在申购时</w:t>
      </w:r>
      <w:r w:rsidRPr="00707539">
        <w:rPr>
          <w:rStyle w:val="af"/>
          <w:rFonts w:hint="eastAsia"/>
        </w:rPr>
        <w:t>无需缴付申购资金</w:t>
      </w:r>
      <w:r>
        <w:rPr>
          <w:rFonts w:hint="eastAsia"/>
        </w:rPr>
        <w:t>；投资者应自行选择参与网下发行或网上发行，但</w:t>
      </w:r>
      <w:r w:rsidRPr="00707539">
        <w:rPr>
          <w:rStyle w:val="af"/>
          <w:rFonts w:hint="eastAsia"/>
        </w:rPr>
        <w:t>不得同时参与</w:t>
      </w:r>
      <w:r>
        <w:rPr>
          <w:rFonts w:hint="eastAsia"/>
        </w:rPr>
        <w:t>。</w:t>
      </w:r>
    </w:p>
    <w:p w:rsidR="007522B6" w:rsidRDefault="007522B6" w:rsidP="007D431E">
      <w:pPr>
        <w:pStyle w:val="aa"/>
        <w:numPr>
          <w:ilvl w:val="0"/>
          <w:numId w:val="368"/>
        </w:numPr>
        <w:ind w:firstLineChars="0"/>
        <w:rPr>
          <w:rFonts w:hint="eastAsia"/>
        </w:rPr>
      </w:pPr>
      <w:r>
        <w:t>形成</w:t>
      </w:r>
      <w:r>
        <w:rPr>
          <w:rFonts w:hint="eastAsia"/>
        </w:rPr>
        <w:t>“</w:t>
      </w:r>
      <w:r w:rsidRPr="00DA5922">
        <w:rPr>
          <w:rStyle w:val="af"/>
          <w:rFonts w:hint="eastAsia"/>
        </w:rPr>
        <w:t>传统龙头企业+新兴成长行业领军企业</w:t>
      </w:r>
      <w:r>
        <w:rPr>
          <w:rFonts w:hint="eastAsia"/>
        </w:rPr>
        <w:t>”组合的是</w:t>
      </w:r>
      <w:r w:rsidRPr="007522B6">
        <w:rPr>
          <w:rStyle w:val="af"/>
          <w:rFonts w:hint="eastAsia"/>
        </w:rPr>
        <w:t>深证1</w:t>
      </w:r>
      <w:r w:rsidRPr="007522B6">
        <w:rPr>
          <w:rStyle w:val="af"/>
        </w:rPr>
        <w:t>00</w:t>
      </w:r>
      <w:r w:rsidRPr="007522B6">
        <w:rPr>
          <w:rStyle w:val="af"/>
          <w:rFonts w:hint="eastAsia"/>
        </w:rPr>
        <w:t>指数</w:t>
      </w:r>
      <w:r>
        <w:rPr>
          <w:rFonts w:hint="eastAsia"/>
        </w:rPr>
        <w:t>。</w:t>
      </w:r>
    </w:p>
    <w:p w:rsidR="009F0D00" w:rsidRDefault="007522B6" w:rsidP="007D431E">
      <w:pPr>
        <w:pStyle w:val="aa"/>
        <w:numPr>
          <w:ilvl w:val="0"/>
          <w:numId w:val="368"/>
        </w:numPr>
        <w:ind w:firstLineChars="0"/>
        <w:rPr>
          <w:rFonts w:hint="eastAsia"/>
        </w:rPr>
      </w:pPr>
      <w:r w:rsidRPr="00C81E8E">
        <w:rPr>
          <w:rStyle w:val="af"/>
          <w:rFonts w:hint="eastAsia"/>
        </w:rPr>
        <w:t>失业率、库存量、银行未收回贷款规模</w:t>
      </w:r>
      <w:r>
        <w:rPr>
          <w:rFonts w:hint="eastAsia"/>
        </w:rPr>
        <w:t>属于宏观经济分析中的</w:t>
      </w:r>
      <w:r w:rsidRPr="00C81E8E">
        <w:rPr>
          <w:rStyle w:val="af"/>
          <w:rFonts w:hint="eastAsia"/>
        </w:rPr>
        <w:t>滞后性指标</w:t>
      </w:r>
      <w:r>
        <w:rPr>
          <w:rFonts w:hint="eastAsia"/>
        </w:rPr>
        <w:t>。</w:t>
      </w:r>
    </w:p>
    <w:p w:rsidR="00A961EF" w:rsidRDefault="00D669A8" w:rsidP="007D431E">
      <w:pPr>
        <w:pStyle w:val="aa"/>
        <w:numPr>
          <w:ilvl w:val="0"/>
          <w:numId w:val="368"/>
        </w:numPr>
        <w:ind w:firstLineChars="0"/>
        <w:rPr>
          <w:rFonts w:hint="eastAsia"/>
        </w:rPr>
      </w:pPr>
      <w:r>
        <w:rPr>
          <w:rFonts w:hint="eastAsia"/>
        </w:rPr>
        <w:t>伦敦债券市场包括：</w:t>
      </w:r>
      <w:r w:rsidRPr="00D669A8">
        <w:rPr>
          <w:rStyle w:val="af"/>
          <w:rFonts w:hint="eastAsia"/>
        </w:rPr>
        <w:t>金边（</w:t>
      </w:r>
      <w:r w:rsidR="00AB7768">
        <w:rPr>
          <w:rStyle w:val="af"/>
          <w:rFonts w:hint="eastAsia"/>
        </w:rPr>
        <w:t>英国中央政府</w:t>
      </w:r>
      <w:r w:rsidRPr="00D669A8">
        <w:rPr>
          <w:rStyle w:val="af"/>
          <w:rFonts w:hint="eastAsia"/>
        </w:rPr>
        <w:t>）</w:t>
      </w:r>
      <w:r w:rsidR="00AB7768" w:rsidRPr="00D669A8">
        <w:rPr>
          <w:rStyle w:val="af"/>
          <w:rFonts w:hint="eastAsia"/>
        </w:rPr>
        <w:t>债券</w:t>
      </w:r>
      <w:r w:rsidRPr="00D669A8">
        <w:rPr>
          <w:rStyle w:val="af"/>
          <w:rFonts w:hint="eastAsia"/>
        </w:rPr>
        <w:t>市场；国际债券市场；公司债券市场</w:t>
      </w:r>
      <w:r>
        <w:rPr>
          <w:rFonts w:hint="eastAsia"/>
        </w:rPr>
        <w:t>。</w:t>
      </w:r>
    </w:p>
    <w:p w:rsidR="00A961EF" w:rsidRDefault="00AB3DA6" w:rsidP="007D431E">
      <w:pPr>
        <w:pStyle w:val="aa"/>
        <w:numPr>
          <w:ilvl w:val="0"/>
          <w:numId w:val="368"/>
        </w:numPr>
        <w:ind w:firstLineChars="0"/>
        <w:rPr>
          <w:rFonts w:hint="eastAsia"/>
        </w:rPr>
      </w:pPr>
      <w:r>
        <w:rPr>
          <w:rFonts w:hint="eastAsia"/>
        </w:rPr>
        <w:t>零息债券也称为零息票债券，指</w:t>
      </w:r>
      <w:r w:rsidRPr="00747DFC">
        <w:rPr>
          <w:rStyle w:val="af"/>
          <w:rFonts w:hint="eastAsia"/>
        </w:rPr>
        <w:t>债券合约未规定利息支付的债券</w:t>
      </w:r>
      <w:r>
        <w:rPr>
          <w:rFonts w:hint="eastAsia"/>
        </w:rPr>
        <w:t>。</w:t>
      </w:r>
    </w:p>
    <w:p w:rsidR="00FC0492" w:rsidRDefault="00227343" w:rsidP="007D431E">
      <w:pPr>
        <w:pStyle w:val="aa"/>
        <w:numPr>
          <w:ilvl w:val="0"/>
          <w:numId w:val="368"/>
        </w:numPr>
        <w:ind w:firstLineChars="0"/>
        <w:rPr>
          <w:rFonts w:hint="eastAsia"/>
        </w:rPr>
      </w:pPr>
      <w:r>
        <w:rPr>
          <w:rFonts w:hint="eastAsia"/>
        </w:rPr>
        <w:t>地方债</w:t>
      </w:r>
      <w:r w:rsidRPr="00915623">
        <w:rPr>
          <w:rStyle w:val="af"/>
          <w:rFonts w:hint="eastAsia"/>
        </w:rPr>
        <w:t>不由</w:t>
      </w:r>
      <w:r>
        <w:rPr>
          <w:rFonts w:hint="eastAsia"/>
        </w:rPr>
        <w:t>国债承销团成员</w:t>
      </w:r>
      <w:r w:rsidR="00DC3F35">
        <w:rPr>
          <w:rFonts w:hint="eastAsia"/>
        </w:rPr>
        <w:t>分销</w:t>
      </w:r>
      <w:r>
        <w:rPr>
          <w:rFonts w:hint="eastAsia"/>
        </w:rPr>
        <w:t>。</w:t>
      </w:r>
    </w:p>
    <w:p w:rsidR="00BE1376" w:rsidRDefault="00B752FF" w:rsidP="007D431E">
      <w:pPr>
        <w:pStyle w:val="aa"/>
        <w:numPr>
          <w:ilvl w:val="0"/>
          <w:numId w:val="368"/>
        </w:numPr>
        <w:ind w:firstLineChars="0"/>
        <w:rPr>
          <w:rFonts w:hint="eastAsia"/>
        </w:rPr>
      </w:pPr>
      <w:r>
        <w:rPr>
          <w:rFonts w:hint="eastAsia"/>
        </w:rPr>
        <w:t>公司债券：公开发行</w:t>
      </w:r>
      <w:r w:rsidR="00EC6D67">
        <w:rPr>
          <w:rFonts w:hint="eastAsia"/>
        </w:rPr>
        <w:t>的，</w:t>
      </w:r>
      <w:r>
        <w:rPr>
          <w:rFonts w:hint="eastAsia"/>
        </w:rPr>
        <w:t>应当用于</w:t>
      </w:r>
      <w:r w:rsidRPr="00EC6D67">
        <w:rPr>
          <w:rStyle w:val="af"/>
        </w:rPr>
        <w:t>核准</w:t>
      </w:r>
      <w:r>
        <w:rPr>
          <w:rFonts w:hint="eastAsia"/>
        </w:rPr>
        <w:t>的用途；</w:t>
      </w:r>
      <w:r w:rsidRPr="00EC6D67">
        <w:rPr>
          <w:rStyle w:val="af"/>
          <w:rFonts w:hint="eastAsia"/>
        </w:rPr>
        <w:t>非公开</w:t>
      </w:r>
      <w:r w:rsidR="00EC6D67" w:rsidRPr="00EC6D67">
        <w:rPr>
          <w:rStyle w:val="af"/>
          <w:rFonts w:hint="eastAsia"/>
        </w:rPr>
        <w:t>发行</w:t>
      </w:r>
      <w:r>
        <w:rPr>
          <w:rFonts w:hint="eastAsia"/>
        </w:rPr>
        <w:t>的</w:t>
      </w:r>
      <w:r w:rsidR="00EC6D67">
        <w:rPr>
          <w:rFonts w:hint="eastAsia"/>
        </w:rPr>
        <w:t>，</w:t>
      </w:r>
      <w:r>
        <w:rPr>
          <w:rFonts w:hint="eastAsia"/>
        </w:rPr>
        <w:t>应当用于</w:t>
      </w:r>
      <w:r w:rsidRPr="00EC6D67">
        <w:rPr>
          <w:rStyle w:val="af"/>
        </w:rPr>
        <w:t>约定</w:t>
      </w:r>
      <w:r>
        <w:rPr>
          <w:rFonts w:hint="eastAsia"/>
        </w:rPr>
        <w:t>的用途。</w:t>
      </w:r>
    </w:p>
    <w:p w:rsidR="00227343" w:rsidRDefault="009E654C" w:rsidP="007D431E">
      <w:pPr>
        <w:pStyle w:val="aa"/>
        <w:numPr>
          <w:ilvl w:val="0"/>
          <w:numId w:val="368"/>
        </w:numPr>
        <w:ind w:firstLineChars="0"/>
        <w:rPr>
          <w:rFonts w:hint="eastAsia"/>
        </w:rPr>
      </w:pPr>
      <w:r>
        <w:rPr>
          <w:rFonts w:hint="eastAsia"/>
        </w:rPr>
        <w:t>证券交易所的</w:t>
      </w:r>
      <w:r w:rsidRPr="009E654C">
        <w:rPr>
          <w:rStyle w:val="af"/>
          <w:rFonts w:hint="eastAsia"/>
        </w:rPr>
        <w:t>债券交易</w:t>
      </w:r>
      <w:r>
        <w:rPr>
          <w:rFonts w:hint="eastAsia"/>
        </w:rPr>
        <w:t>价格按照竞价的方式进行，包括</w:t>
      </w:r>
      <w:r w:rsidR="00570C00">
        <w:rPr>
          <w:rFonts w:hint="eastAsia"/>
        </w:rPr>
        <w:t>：</w:t>
      </w:r>
      <w:r>
        <w:rPr>
          <w:rFonts w:hint="eastAsia"/>
        </w:rPr>
        <w:t>口头报唱；板牌竞价；计算机终端申报竞价。</w:t>
      </w:r>
      <w:r w:rsidRPr="009E654C">
        <w:rPr>
          <w:rStyle w:val="af"/>
          <w:rFonts w:hint="eastAsia"/>
        </w:rPr>
        <w:t>不包括书面报价</w:t>
      </w:r>
      <w:r>
        <w:rPr>
          <w:rFonts w:hint="eastAsia"/>
        </w:rPr>
        <w:t>。</w:t>
      </w:r>
    </w:p>
    <w:p w:rsidR="00D9024D" w:rsidRDefault="00D9024D" w:rsidP="007D431E">
      <w:pPr>
        <w:pStyle w:val="aa"/>
        <w:numPr>
          <w:ilvl w:val="0"/>
          <w:numId w:val="368"/>
        </w:numPr>
        <w:ind w:firstLineChars="0"/>
        <w:rPr>
          <w:rFonts w:hint="eastAsia"/>
        </w:rPr>
      </w:pPr>
      <w:r>
        <w:rPr>
          <w:rFonts w:hint="eastAsia"/>
        </w:rPr>
        <w:t>资产证券化可以为发行人解决两个不匹配：</w:t>
      </w:r>
      <w:r w:rsidRPr="00D9024D">
        <w:rPr>
          <w:rStyle w:val="af"/>
          <w:rFonts w:hint="eastAsia"/>
        </w:rPr>
        <w:t>流动性和期限的不匹配；利率的不匹配</w:t>
      </w:r>
      <w:r>
        <w:rPr>
          <w:rFonts w:hint="eastAsia"/>
        </w:rPr>
        <w:t>。</w:t>
      </w:r>
    </w:p>
    <w:p w:rsidR="00FF5282" w:rsidRDefault="00FF5282" w:rsidP="007D431E">
      <w:pPr>
        <w:pStyle w:val="aa"/>
        <w:numPr>
          <w:ilvl w:val="0"/>
          <w:numId w:val="368"/>
        </w:numPr>
        <w:ind w:firstLineChars="0"/>
        <w:rPr>
          <w:rFonts w:hint="eastAsia"/>
        </w:rPr>
      </w:pPr>
      <w:r w:rsidRPr="00FF5282">
        <w:rPr>
          <w:rFonts w:hint="eastAsia"/>
        </w:rPr>
        <w:t>中国</w:t>
      </w:r>
      <w:r w:rsidR="009617E8">
        <w:rPr>
          <w:rFonts w:hint="eastAsia"/>
        </w:rPr>
        <w:t>证监会</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A961EF" w:rsidRDefault="00FB1346" w:rsidP="007D431E">
      <w:pPr>
        <w:pStyle w:val="aa"/>
        <w:numPr>
          <w:ilvl w:val="0"/>
          <w:numId w:val="368"/>
        </w:numPr>
        <w:ind w:firstLineChars="0"/>
        <w:rPr>
          <w:rFonts w:hint="eastAsia"/>
        </w:rPr>
      </w:pPr>
      <w:r>
        <w:rPr>
          <w:rFonts w:hint="eastAsia"/>
        </w:rPr>
        <w:t>基金的主要当事人有：</w:t>
      </w:r>
      <w:r w:rsidRPr="00FB1346">
        <w:rPr>
          <w:rStyle w:val="af"/>
          <w:rFonts w:hint="eastAsia"/>
        </w:rPr>
        <w:t>基金份额持有人（投资者）、管理人、托管人</w:t>
      </w:r>
      <w:r>
        <w:rPr>
          <w:rFonts w:hint="eastAsia"/>
        </w:rPr>
        <w:t>。（没有服务机构）</w:t>
      </w:r>
    </w:p>
    <w:p w:rsidR="0049502E" w:rsidRDefault="00B01541" w:rsidP="007D431E">
      <w:pPr>
        <w:pStyle w:val="aa"/>
        <w:numPr>
          <w:ilvl w:val="0"/>
          <w:numId w:val="368"/>
        </w:numPr>
        <w:ind w:firstLineChars="0"/>
        <w:rPr>
          <w:rFonts w:hint="eastAsia"/>
        </w:rPr>
      </w:pPr>
      <w:r>
        <w:rPr>
          <w:rFonts w:hint="eastAsia"/>
        </w:rPr>
        <w:t>开放式基金认购的步骤为：开户、认购、确认。（没有缴款）</w:t>
      </w:r>
    </w:p>
    <w:p w:rsidR="00FB1346" w:rsidRDefault="00E330A2" w:rsidP="007D431E">
      <w:pPr>
        <w:pStyle w:val="aa"/>
        <w:numPr>
          <w:ilvl w:val="0"/>
          <w:numId w:val="368"/>
        </w:numPr>
        <w:ind w:firstLineChars="0"/>
        <w:rPr>
          <w:rFonts w:hint="eastAsia"/>
        </w:rPr>
      </w:pPr>
      <w:r w:rsidRPr="00FD6870">
        <w:rPr>
          <w:rStyle w:val="af"/>
          <w:rFonts w:hint="eastAsia"/>
        </w:rPr>
        <w:t>财政部；中国证监会</w:t>
      </w:r>
      <w:proofErr w:type="gramStart"/>
      <w:r>
        <w:rPr>
          <w:rFonts w:hint="eastAsia"/>
        </w:rPr>
        <w:t>对</w:t>
      </w:r>
      <w:r w:rsidR="00BF45B1">
        <w:rPr>
          <w:rFonts w:hint="eastAsia"/>
        </w:rPr>
        <w:t>注会</w:t>
      </w:r>
      <w:proofErr w:type="gramEnd"/>
      <w:r w:rsidRPr="00E330A2">
        <w:rPr>
          <w:rFonts w:hint="eastAsia"/>
        </w:rPr>
        <w:t>、会计师事务所</w:t>
      </w:r>
      <w:r>
        <w:rPr>
          <w:rFonts w:hint="eastAsia"/>
        </w:rPr>
        <w:t>执行证券、期货相关业务实行</w:t>
      </w:r>
      <w:r w:rsidRPr="00FD6870">
        <w:rPr>
          <w:rStyle w:val="af"/>
        </w:rPr>
        <w:t>许可证管理</w:t>
      </w:r>
      <w:r>
        <w:rPr>
          <w:rFonts w:hint="eastAsia"/>
        </w:rPr>
        <w:t>。</w:t>
      </w:r>
    </w:p>
    <w:p w:rsidR="00D77348" w:rsidRDefault="00D77348" w:rsidP="007D431E">
      <w:pPr>
        <w:pStyle w:val="aa"/>
        <w:numPr>
          <w:ilvl w:val="0"/>
          <w:numId w:val="368"/>
        </w:numPr>
        <w:ind w:firstLineChars="0"/>
        <w:rPr>
          <w:rFonts w:hint="eastAsia"/>
        </w:rPr>
      </w:pPr>
      <w:r>
        <w:rPr>
          <w:rFonts w:hint="eastAsia"/>
        </w:rPr>
        <w:t>我国证券登记结算制度（其一）为</w:t>
      </w:r>
      <w:r w:rsidRPr="00D77348">
        <w:rPr>
          <w:rStyle w:val="af"/>
          <w:rFonts w:hint="eastAsia"/>
        </w:rPr>
        <w:t>净额结算制度</w:t>
      </w:r>
      <w:r>
        <w:rPr>
          <w:rFonts w:hint="eastAsia"/>
        </w:rPr>
        <w:t>，而不是全额结算制度。</w:t>
      </w:r>
    </w:p>
    <w:p w:rsidR="00C65B19" w:rsidRDefault="00C65B19" w:rsidP="007D431E">
      <w:pPr>
        <w:pStyle w:val="aa"/>
        <w:numPr>
          <w:ilvl w:val="0"/>
          <w:numId w:val="368"/>
        </w:numPr>
        <w:ind w:firstLineChars="0"/>
        <w:rPr>
          <w:rFonts w:hint="eastAsia"/>
        </w:rPr>
      </w:pPr>
      <w:r>
        <w:rPr>
          <w:rFonts w:hint="eastAsia"/>
        </w:rPr>
        <w:t>根据交易</w:t>
      </w:r>
      <w:r w:rsidRPr="00C65B19">
        <w:rPr>
          <w:rStyle w:val="af"/>
          <w:rFonts w:hint="eastAsia"/>
        </w:rPr>
        <w:t>合约的签订与实际交割</w:t>
      </w:r>
      <w:r>
        <w:rPr>
          <w:rFonts w:hint="eastAsia"/>
        </w:rPr>
        <w:t>之间的关系，将市场交易的组织形态划分为：</w:t>
      </w:r>
      <w:r w:rsidRPr="00C65B19">
        <w:rPr>
          <w:rStyle w:val="af"/>
          <w:rFonts w:hint="eastAsia"/>
        </w:rPr>
        <w:t>现货交易、远期交易、期货交易</w:t>
      </w:r>
      <w:r>
        <w:rPr>
          <w:rFonts w:hint="eastAsia"/>
        </w:rPr>
        <w:t>。</w:t>
      </w:r>
    </w:p>
    <w:p w:rsidR="00C65B19" w:rsidRDefault="00A07263" w:rsidP="007D431E">
      <w:pPr>
        <w:pStyle w:val="aa"/>
        <w:numPr>
          <w:ilvl w:val="0"/>
          <w:numId w:val="368"/>
        </w:numPr>
        <w:ind w:firstLineChars="0"/>
        <w:rPr>
          <w:rFonts w:hint="eastAsia"/>
        </w:rPr>
      </w:pPr>
      <w:r>
        <w:rPr>
          <w:rFonts w:hint="eastAsia"/>
        </w:rPr>
        <w:t>中</w:t>
      </w:r>
      <w:proofErr w:type="gramStart"/>
      <w:r>
        <w:rPr>
          <w:rFonts w:hint="eastAsia"/>
        </w:rPr>
        <w:t>证规模</w:t>
      </w:r>
      <w:proofErr w:type="gramEnd"/>
      <w:r>
        <w:rPr>
          <w:rFonts w:hint="eastAsia"/>
        </w:rPr>
        <w:t>指数包括：</w:t>
      </w:r>
      <w:r w:rsidRPr="00A07263">
        <w:rPr>
          <w:rStyle w:val="af"/>
          <w:rFonts w:hint="eastAsia"/>
        </w:rPr>
        <w:t>中证100,200,500,700,800，中</w:t>
      </w:r>
      <w:proofErr w:type="gramStart"/>
      <w:r w:rsidRPr="00A07263">
        <w:rPr>
          <w:rStyle w:val="af"/>
          <w:rFonts w:hint="eastAsia"/>
        </w:rPr>
        <w:t>证流通</w:t>
      </w:r>
      <w:proofErr w:type="gramEnd"/>
      <w:r w:rsidRPr="00A07263">
        <w:rPr>
          <w:rStyle w:val="af"/>
          <w:rFonts w:hint="eastAsia"/>
        </w:rPr>
        <w:t>指数</w:t>
      </w:r>
      <w:r>
        <w:rPr>
          <w:rFonts w:hint="eastAsia"/>
        </w:rPr>
        <w:t>。</w:t>
      </w:r>
    </w:p>
    <w:p w:rsidR="00FB1346" w:rsidRDefault="00E866AC" w:rsidP="007D431E">
      <w:pPr>
        <w:pStyle w:val="aa"/>
        <w:numPr>
          <w:ilvl w:val="0"/>
          <w:numId w:val="368"/>
        </w:numPr>
        <w:ind w:firstLineChars="0"/>
        <w:rPr>
          <w:rFonts w:hint="eastAsia"/>
        </w:rPr>
      </w:pPr>
      <w:r>
        <w:rPr>
          <w:rFonts w:hint="eastAsia"/>
        </w:rPr>
        <w:t>红利贴现模型要求了解各期的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A21408" w:rsidRDefault="00A21408" w:rsidP="00A21408">
      <w:pPr>
        <w:pStyle w:val="aa"/>
        <w:numPr>
          <w:ilvl w:val="0"/>
          <w:numId w:val="368"/>
        </w:numPr>
        <w:ind w:firstLineChars="0"/>
      </w:pPr>
      <w:r w:rsidRPr="00B763ED">
        <w:rPr>
          <w:rStyle w:val="af"/>
          <w:rFonts w:hint="eastAsia"/>
        </w:rPr>
        <w:t>创业板上市</w:t>
      </w:r>
      <w:r w:rsidRPr="00B763ED">
        <w:rPr>
          <w:rFonts w:hint="eastAsia"/>
        </w:rPr>
        <w:t>的规定</w:t>
      </w:r>
      <w:r>
        <w:rPr>
          <w:rFonts w:hint="eastAsia"/>
        </w:rPr>
        <w:t>（之中2个）：</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A21408" w:rsidRDefault="00A21408" w:rsidP="00A21408">
      <w:pPr>
        <w:pStyle w:val="aa"/>
        <w:numPr>
          <w:ilvl w:val="0"/>
          <w:numId w:val="368"/>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8509DB" w:rsidRDefault="00A21408" w:rsidP="007D431E">
      <w:pPr>
        <w:pStyle w:val="aa"/>
        <w:numPr>
          <w:ilvl w:val="0"/>
          <w:numId w:val="368"/>
        </w:numPr>
        <w:ind w:firstLineChars="0"/>
        <w:rPr>
          <w:rFonts w:hint="eastAsia"/>
        </w:rPr>
      </w:pPr>
      <w:r w:rsidRPr="00295A9D">
        <w:rPr>
          <w:rFonts w:hint="eastAsia"/>
        </w:rPr>
        <w:t>证券交易所的竞价原则</w:t>
      </w:r>
      <w:r>
        <w:rPr>
          <w:rFonts w:hint="eastAsia"/>
        </w:rPr>
        <w:t>：</w:t>
      </w:r>
      <w:r w:rsidRPr="00015B6F">
        <w:rPr>
          <w:rStyle w:val="af"/>
          <w:rFonts w:hint="eastAsia"/>
        </w:rPr>
        <w:t>价格优先</w:t>
      </w:r>
      <w:r>
        <w:rPr>
          <w:rStyle w:val="af"/>
          <w:rFonts w:hint="eastAsia"/>
        </w:rPr>
        <w:t>；同等价格下</w:t>
      </w:r>
      <w:r w:rsidRPr="00015B6F">
        <w:rPr>
          <w:rStyle w:val="af"/>
          <w:rFonts w:hint="eastAsia"/>
        </w:rPr>
        <w:t>时间优先</w:t>
      </w:r>
      <w:r>
        <w:rPr>
          <w:rFonts w:hint="eastAsia"/>
        </w:rPr>
        <w:t>。</w:t>
      </w:r>
    </w:p>
    <w:p w:rsidR="00104425" w:rsidRDefault="00104425" w:rsidP="0043041A">
      <w:pPr>
        <w:rPr>
          <w:rFonts w:hint="eastAsia"/>
        </w:rPr>
      </w:pPr>
    </w:p>
    <w:p w:rsidR="00104425" w:rsidRDefault="00104425" w:rsidP="0043041A">
      <w:pPr>
        <w:rPr>
          <w:rFonts w:hint="eastAsia"/>
        </w:rPr>
      </w:pPr>
    </w:p>
    <w:p w:rsidR="00104425" w:rsidRPr="00EA39A6" w:rsidRDefault="00104425" w:rsidP="0043041A"/>
    <w:sectPr w:rsidR="00104425"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46E" w:rsidRDefault="00CF046E" w:rsidP="002D398F">
      <w:r>
        <w:separator/>
      </w:r>
    </w:p>
  </w:endnote>
  <w:endnote w:type="continuationSeparator" w:id="0">
    <w:p w:rsidR="00CF046E" w:rsidRDefault="00CF046E"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6"/>
    </w:pPr>
    <w:r>
      <w:t>第</w:t>
    </w:r>
    <w:r w:rsidR="00B22A6A">
      <w:fldChar w:fldCharType="begin"/>
    </w:r>
    <w:r>
      <w:instrText xml:space="preserve"> PAGE  \* Arabic  \* MERGEFORMAT </w:instrText>
    </w:r>
    <w:r w:rsidR="00B22A6A">
      <w:fldChar w:fldCharType="separate"/>
    </w:r>
    <w:r w:rsidR="00DA58A4">
      <w:rPr>
        <w:noProof/>
      </w:rPr>
      <w:t>5</w:t>
    </w:r>
    <w:r w:rsidR="00B22A6A">
      <w:fldChar w:fldCharType="end"/>
    </w:r>
    <w:r>
      <w:t>页</w:t>
    </w:r>
    <w:r>
      <w:ptab w:relativeTo="margin" w:alignment="center" w:leader="none"/>
    </w:r>
    <w:r>
      <w:t>共</w:t>
    </w:r>
    <w:fldSimple w:instr=" NUMPAGES  \* Arabic  \* MERGEFORMAT ">
      <w:r w:rsidR="00DA58A4">
        <w:rPr>
          <w:noProof/>
        </w:rPr>
        <w:t>6</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2D7492" w:rsidRDefault="002D7492">
            <w:pPr>
              <w:pStyle w:val="a6"/>
              <w:jc w:val="center"/>
            </w:pPr>
            <w:r>
              <w:rPr>
                <w:lang w:val="zh-CN"/>
              </w:rPr>
              <w:t xml:space="preserve"> </w:t>
            </w:r>
          </w:p>
        </w:sdtContent>
      </w:sdt>
    </w:sdtContent>
  </w:sdt>
  <w:p w:rsidR="002D7492" w:rsidRDefault="002D749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46E" w:rsidRDefault="00CF046E" w:rsidP="002D398F">
      <w:r>
        <w:separator/>
      </w:r>
    </w:p>
  </w:footnote>
  <w:footnote w:type="continuationSeparator" w:id="0">
    <w:p w:rsidR="00CF046E" w:rsidRDefault="00CF046E"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5"/>
    </w:pPr>
    <w:r>
      <w:rPr>
        <w:rFonts w:hint="eastAsia"/>
      </w:rPr>
      <w:t>金融市场基础知识</w:t>
    </w:r>
    <w:r>
      <w:ptab w:relativeTo="margin" w:alignment="center" w:leader="none"/>
    </w:r>
    <w:fldSimple w:instr=" STYLEREF  &quot;标题 1,标题 1 章节&quot;  \* MERGEFORMAT ">
      <w:r w:rsidR="00DA58A4">
        <w:rPr>
          <w:noProof/>
        </w:rPr>
        <w:t>金融市场基础知识重要考点</w:t>
      </w:r>
    </w:fldSimple>
    <w:r>
      <w:ptab w:relativeTo="margin" w:alignment="right" w:leader="none"/>
    </w:r>
    <w:fldSimple w:instr=" STYLEREF  &quot;标题 2,标题 2 小节&quot;  \* MERGEFORMAT ">
      <w:r w:rsidR="00DA58A4" w:rsidRPr="00DA58A4">
        <w:rPr>
          <w:b/>
          <w:bCs/>
          <w:noProof/>
        </w:rPr>
        <w:t>重要考点速记0716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D6F5145"/>
    <w:multiLevelType w:val="hybridMultilevel"/>
    <w:tmpl w:val="0BE49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7E1178B"/>
    <w:multiLevelType w:val="hybridMultilevel"/>
    <w:tmpl w:val="0FA8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9">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9">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8">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6">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E1553D2"/>
    <w:multiLevelType w:val="hybridMultilevel"/>
    <w:tmpl w:val="0FA8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61642FD"/>
    <w:multiLevelType w:val="hybridMultilevel"/>
    <w:tmpl w:val="426EDA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604F0417"/>
    <w:multiLevelType w:val="hybridMultilevel"/>
    <w:tmpl w:val="39166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7">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7">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6">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6"/>
  </w:num>
  <w:num w:numId="2">
    <w:abstractNumId w:val="31"/>
  </w:num>
  <w:num w:numId="3">
    <w:abstractNumId w:val="277"/>
  </w:num>
  <w:num w:numId="4">
    <w:abstractNumId w:val="42"/>
  </w:num>
  <w:num w:numId="5">
    <w:abstractNumId w:val="131"/>
  </w:num>
  <w:num w:numId="6">
    <w:abstractNumId w:val="178"/>
  </w:num>
  <w:num w:numId="7">
    <w:abstractNumId w:val="46"/>
  </w:num>
  <w:num w:numId="8">
    <w:abstractNumId w:val="177"/>
  </w:num>
  <w:num w:numId="9">
    <w:abstractNumId w:val="100"/>
  </w:num>
  <w:num w:numId="10">
    <w:abstractNumId w:val="259"/>
  </w:num>
  <w:num w:numId="11">
    <w:abstractNumId w:val="21"/>
  </w:num>
  <w:num w:numId="12">
    <w:abstractNumId w:val="175"/>
  </w:num>
  <w:num w:numId="13">
    <w:abstractNumId w:val="4"/>
  </w:num>
  <w:num w:numId="14">
    <w:abstractNumId w:val="80"/>
  </w:num>
  <w:num w:numId="15">
    <w:abstractNumId w:val="249"/>
  </w:num>
  <w:num w:numId="16">
    <w:abstractNumId w:val="18"/>
  </w:num>
  <w:num w:numId="17">
    <w:abstractNumId w:val="142"/>
  </w:num>
  <w:num w:numId="18">
    <w:abstractNumId w:val="350"/>
  </w:num>
  <w:num w:numId="19">
    <w:abstractNumId w:val="126"/>
  </w:num>
  <w:num w:numId="20">
    <w:abstractNumId w:val="369"/>
  </w:num>
  <w:num w:numId="21">
    <w:abstractNumId w:val="302"/>
  </w:num>
  <w:num w:numId="22">
    <w:abstractNumId w:val="250"/>
  </w:num>
  <w:num w:numId="23">
    <w:abstractNumId w:val="38"/>
  </w:num>
  <w:num w:numId="24">
    <w:abstractNumId w:val="280"/>
  </w:num>
  <w:num w:numId="25">
    <w:abstractNumId w:val="59"/>
  </w:num>
  <w:num w:numId="26">
    <w:abstractNumId w:val="94"/>
  </w:num>
  <w:num w:numId="27">
    <w:abstractNumId w:val="159"/>
  </w:num>
  <w:num w:numId="28">
    <w:abstractNumId w:val="199"/>
  </w:num>
  <w:num w:numId="29">
    <w:abstractNumId w:val="28"/>
  </w:num>
  <w:num w:numId="30">
    <w:abstractNumId w:val="189"/>
  </w:num>
  <w:num w:numId="31">
    <w:abstractNumId w:val="40"/>
  </w:num>
  <w:num w:numId="32">
    <w:abstractNumId w:val="293"/>
  </w:num>
  <w:num w:numId="33">
    <w:abstractNumId w:val="10"/>
  </w:num>
  <w:num w:numId="34">
    <w:abstractNumId w:val="163"/>
  </w:num>
  <w:num w:numId="35">
    <w:abstractNumId w:val="6"/>
  </w:num>
  <w:num w:numId="36">
    <w:abstractNumId w:val="364"/>
  </w:num>
  <w:num w:numId="37">
    <w:abstractNumId w:val="324"/>
  </w:num>
  <w:num w:numId="38">
    <w:abstractNumId w:val="208"/>
  </w:num>
  <w:num w:numId="39">
    <w:abstractNumId w:val="166"/>
  </w:num>
  <w:num w:numId="40">
    <w:abstractNumId w:val="170"/>
  </w:num>
  <w:num w:numId="41">
    <w:abstractNumId w:val="358"/>
  </w:num>
  <w:num w:numId="42">
    <w:abstractNumId w:val="252"/>
  </w:num>
  <w:num w:numId="43">
    <w:abstractNumId w:val="118"/>
  </w:num>
  <w:num w:numId="44">
    <w:abstractNumId w:val="370"/>
  </w:num>
  <w:num w:numId="45">
    <w:abstractNumId w:val="69"/>
  </w:num>
  <w:num w:numId="46">
    <w:abstractNumId w:val="361"/>
  </w:num>
  <w:num w:numId="47">
    <w:abstractNumId w:val="76"/>
  </w:num>
  <w:num w:numId="48">
    <w:abstractNumId w:val="108"/>
  </w:num>
  <w:num w:numId="49">
    <w:abstractNumId w:val="74"/>
  </w:num>
  <w:num w:numId="50">
    <w:abstractNumId w:val="248"/>
  </w:num>
  <w:num w:numId="51">
    <w:abstractNumId w:val="275"/>
  </w:num>
  <w:num w:numId="52">
    <w:abstractNumId w:val="236"/>
  </w:num>
  <w:num w:numId="53">
    <w:abstractNumId w:val="227"/>
  </w:num>
  <w:num w:numId="54">
    <w:abstractNumId w:val="273"/>
  </w:num>
  <w:num w:numId="55">
    <w:abstractNumId w:val="306"/>
  </w:num>
  <w:num w:numId="56">
    <w:abstractNumId w:val="7"/>
  </w:num>
  <w:num w:numId="57">
    <w:abstractNumId w:val="27"/>
  </w:num>
  <w:num w:numId="58">
    <w:abstractNumId w:val="92"/>
  </w:num>
  <w:num w:numId="59">
    <w:abstractNumId w:val="135"/>
  </w:num>
  <w:num w:numId="60">
    <w:abstractNumId w:val="262"/>
  </w:num>
  <w:num w:numId="61">
    <w:abstractNumId w:val="164"/>
  </w:num>
  <w:num w:numId="62">
    <w:abstractNumId w:val="83"/>
  </w:num>
  <w:num w:numId="63">
    <w:abstractNumId w:val="109"/>
  </w:num>
  <w:num w:numId="64">
    <w:abstractNumId w:val="121"/>
  </w:num>
  <w:num w:numId="65">
    <w:abstractNumId w:val="14"/>
  </w:num>
  <w:num w:numId="66">
    <w:abstractNumId w:val="190"/>
  </w:num>
  <w:num w:numId="67">
    <w:abstractNumId w:val="337"/>
  </w:num>
  <w:num w:numId="68">
    <w:abstractNumId w:val="318"/>
  </w:num>
  <w:num w:numId="69">
    <w:abstractNumId w:val="260"/>
  </w:num>
  <w:num w:numId="70">
    <w:abstractNumId w:val="231"/>
  </w:num>
  <w:num w:numId="71">
    <w:abstractNumId w:val="172"/>
  </w:num>
  <w:num w:numId="72">
    <w:abstractNumId w:val="331"/>
  </w:num>
  <w:num w:numId="73">
    <w:abstractNumId w:val="153"/>
  </w:num>
  <w:num w:numId="74">
    <w:abstractNumId w:val="235"/>
  </w:num>
  <w:num w:numId="75">
    <w:abstractNumId w:val="317"/>
  </w:num>
  <w:num w:numId="76">
    <w:abstractNumId w:val="17"/>
  </w:num>
  <w:num w:numId="77">
    <w:abstractNumId w:val="253"/>
  </w:num>
  <w:num w:numId="78">
    <w:abstractNumId w:val="110"/>
  </w:num>
  <w:num w:numId="79">
    <w:abstractNumId w:val="176"/>
  </w:num>
  <w:num w:numId="80">
    <w:abstractNumId w:val="85"/>
  </w:num>
  <w:num w:numId="81">
    <w:abstractNumId w:val="129"/>
  </w:num>
  <w:num w:numId="82">
    <w:abstractNumId w:val="130"/>
  </w:num>
  <w:num w:numId="83">
    <w:abstractNumId w:val="123"/>
  </w:num>
  <w:num w:numId="84">
    <w:abstractNumId w:val="185"/>
  </w:num>
  <w:num w:numId="85">
    <w:abstractNumId w:val="360"/>
  </w:num>
  <w:num w:numId="86">
    <w:abstractNumId w:val="258"/>
  </w:num>
  <w:num w:numId="87">
    <w:abstractNumId w:val="105"/>
  </w:num>
  <w:num w:numId="88">
    <w:abstractNumId w:val="193"/>
  </w:num>
  <w:num w:numId="89">
    <w:abstractNumId w:val="261"/>
  </w:num>
  <w:num w:numId="90">
    <w:abstractNumId w:val="239"/>
  </w:num>
  <w:num w:numId="91">
    <w:abstractNumId w:val="11"/>
  </w:num>
  <w:num w:numId="92">
    <w:abstractNumId w:val="41"/>
  </w:num>
  <w:num w:numId="93">
    <w:abstractNumId w:val="103"/>
  </w:num>
  <w:num w:numId="94">
    <w:abstractNumId w:val="138"/>
  </w:num>
  <w:num w:numId="95">
    <w:abstractNumId w:val="188"/>
  </w:num>
  <w:num w:numId="96">
    <w:abstractNumId w:val="62"/>
  </w:num>
  <w:num w:numId="97">
    <w:abstractNumId w:val="276"/>
  </w:num>
  <w:num w:numId="98">
    <w:abstractNumId w:val="119"/>
  </w:num>
  <w:num w:numId="99">
    <w:abstractNumId w:val="26"/>
  </w:num>
  <w:num w:numId="100">
    <w:abstractNumId w:val="372"/>
  </w:num>
  <w:num w:numId="101">
    <w:abstractNumId w:val="222"/>
  </w:num>
  <w:num w:numId="102">
    <w:abstractNumId w:val="355"/>
  </w:num>
  <w:num w:numId="103">
    <w:abstractNumId w:val="116"/>
  </w:num>
  <w:num w:numId="104">
    <w:abstractNumId w:val="183"/>
  </w:num>
  <w:num w:numId="105">
    <w:abstractNumId w:val="213"/>
  </w:num>
  <w:num w:numId="106">
    <w:abstractNumId w:val="209"/>
  </w:num>
  <w:num w:numId="107">
    <w:abstractNumId w:val="200"/>
  </w:num>
  <w:num w:numId="108">
    <w:abstractNumId w:val="346"/>
  </w:num>
  <w:num w:numId="109">
    <w:abstractNumId w:val="67"/>
  </w:num>
  <w:num w:numId="110">
    <w:abstractNumId w:val="97"/>
  </w:num>
  <w:num w:numId="111">
    <w:abstractNumId w:val="184"/>
  </w:num>
  <w:num w:numId="112">
    <w:abstractNumId w:val="225"/>
  </w:num>
  <w:num w:numId="113">
    <w:abstractNumId w:val="150"/>
  </w:num>
  <w:num w:numId="114">
    <w:abstractNumId w:val="292"/>
  </w:num>
  <w:num w:numId="115">
    <w:abstractNumId w:val="206"/>
  </w:num>
  <w:num w:numId="116">
    <w:abstractNumId w:val="12"/>
  </w:num>
  <w:num w:numId="117">
    <w:abstractNumId w:val="256"/>
  </w:num>
  <w:num w:numId="118">
    <w:abstractNumId w:val="157"/>
  </w:num>
  <w:num w:numId="119">
    <w:abstractNumId w:val="195"/>
  </w:num>
  <w:num w:numId="120">
    <w:abstractNumId w:val="148"/>
  </w:num>
  <w:num w:numId="121">
    <w:abstractNumId w:val="286"/>
  </w:num>
  <w:num w:numId="122">
    <w:abstractNumId w:val="5"/>
  </w:num>
  <w:num w:numId="123">
    <w:abstractNumId w:val="90"/>
  </w:num>
  <w:num w:numId="124">
    <w:abstractNumId w:val="263"/>
  </w:num>
  <w:num w:numId="125">
    <w:abstractNumId w:val="55"/>
  </w:num>
  <w:num w:numId="126">
    <w:abstractNumId w:val="102"/>
  </w:num>
  <w:num w:numId="127">
    <w:abstractNumId w:val="368"/>
  </w:num>
  <w:num w:numId="128">
    <w:abstractNumId w:val="128"/>
  </w:num>
  <w:num w:numId="129">
    <w:abstractNumId w:val="214"/>
  </w:num>
  <w:num w:numId="130">
    <w:abstractNumId w:val="89"/>
  </w:num>
  <w:num w:numId="131">
    <w:abstractNumId w:val="48"/>
  </w:num>
  <w:num w:numId="132">
    <w:abstractNumId w:val="266"/>
  </w:num>
  <w:num w:numId="133">
    <w:abstractNumId w:val="20"/>
  </w:num>
  <w:num w:numId="134">
    <w:abstractNumId w:val="247"/>
  </w:num>
  <w:num w:numId="135">
    <w:abstractNumId w:val="228"/>
  </w:num>
  <w:num w:numId="136">
    <w:abstractNumId w:val="298"/>
  </w:num>
  <w:num w:numId="137">
    <w:abstractNumId w:val="251"/>
  </w:num>
  <w:num w:numId="138">
    <w:abstractNumId w:val="357"/>
  </w:num>
  <w:num w:numId="139">
    <w:abstractNumId w:val="348"/>
  </w:num>
  <w:num w:numId="140">
    <w:abstractNumId w:val="312"/>
  </w:num>
  <w:num w:numId="141">
    <w:abstractNumId w:val="243"/>
  </w:num>
  <w:num w:numId="142">
    <w:abstractNumId w:val="367"/>
  </w:num>
  <w:num w:numId="143">
    <w:abstractNumId w:val="168"/>
  </w:num>
  <w:num w:numId="144">
    <w:abstractNumId w:val="134"/>
  </w:num>
  <w:num w:numId="145">
    <w:abstractNumId w:val="132"/>
  </w:num>
  <w:num w:numId="146">
    <w:abstractNumId w:val="335"/>
  </w:num>
  <w:num w:numId="147">
    <w:abstractNumId w:val="114"/>
  </w:num>
  <w:num w:numId="148">
    <w:abstractNumId w:val="186"/>
  </w:num>
  <w:num w:numId="149">
    <w:abstractNumId w:val="56"/>
  </w:num>
  <w:num w:numId="150">
    <w:abstractNumId w:val="145"/>
  </w:num>
  <w:num w:numId="151">
    <w:abstractNumId w:val="371"/>
  </w:num>
  <w:num w:numId="152">
    <w:abstractNumId w:val="57"/>
  </w:num>
  <w:num w:numId="153">
    <w:abstractNumId w:val="160"/>
  </w:num>
  <w:num w:numId="154">
    <w:abstractNumId w:val="43"/>
  </w:num>
  <w:num w:numId="155">
    <w:abstractNumId w:val="143"/>
  </w:num>
  <w:num w:numId="156">
    <w:abstractNumId w:val="233"/>
  </w:num>
  <w:num w:numId="157">
    <w:abstractNumId w:val="60"/>
  </w:num>
  <w:num w:numId="158">
    <w:abstractNumId w:val="315"/>
  </w:num>
  <w:num w:numId="159">
    <w:abstractNumId w:val="240"/>
  </w:num>
  <w:num w:numId="160">
    <w:abstractNumId w:val="328"/>
  </w:num>
  <w:num w:numId="161">
    <w:abstractNumId w:val="32"/>
  </w:num>
  <w:num w:numId="162">
    <w:abstractNumId w:val="54"/>
  </w:num>
  <w:num w:numId="163">
    <w:abstractNumId w:val="245"/>
  </w:num>
  <w:num w:numId="164">
    <w:abstractNumId w:val="187"/>
  </w:num>
  <w:num w:numId="165">
    <w:abstractNumId w:val="220"/>
  </w:num>
  <w:num w:numId="166">
    <w:abstractNumId w:val="154"/>
  </w:num>
  <w:num w:numId="167">
    <w:abstractNumId w:val="107"/>
  </w:num>
  <w:num w:numId="168">
    <w:abstractNumId w:val="210"/>
  </w:num>
  <w:num w:numId="169">
    <w:abstractNumId w:val="149"/>
  </w:num>
  <w:num w:numId="170">
    <w:abstractNumId w:val="327"/>
  </w:num>
  <w:num w:numId="171">
    <w:abstractNumId w:val="322"/>
  </w:num>
  <w:num w:numId="172">
    <w:abstractNumId w:val="284"/>
  </w:num>
  <w:num w:numId="173">
    <w:abstractNumId w:val="354"/>
  </w:num>
  <w:num w:numId="174">
    <w:abstractNumId w:val="283"/>
  </w:num>
  <w:num w:numId="175">
    <w:abstractNumId w:val="242"/>
  </w:num>
  <w:num w:numId="176">
    <w:abstractNumId w:val="223"/>
  </w:num>
  <w:num w:numId="177">
    <w:abstractNumId w:val="311"/>
  </w:num>
  <w:num w:numId="178">
    <w:abstractNumId w:val="151"/>
  </w:num>
  <w:num w:numId="179">
    <w:abstractNumId w:val="98"/>
  </w:num>
  <w:num w:numId="180">
    <w:abstractNumId w:val="343"/>
  </w:num>
  <w:num w:numId="181">
    <w:abstractNumId w:val="303"/>
  </w:num>
  <w:num w:numId="182">
    <w:abstractNumId w:val="353"/>
  </w:num>
  <w:num w:numId="183">
    <w:abstractNumId w:val="122"/>
  </w:num>
  <w:num w:numId="184">
    <w:abstractNumId w:val="309"/>
  </w:num>
  <w:num w:numId="185">
    <w:abstractNumId w:val="1"/>
  </w:num>
  <w:num w:numId="186">
    <w:abstractNumId w:val="65"/>
  </w:num>
  <w:num w:numId="187">
    <w:abstractNumId w:val="117"/>
  </w:num>
  <w:num w:numId="188">
    <w:abstractNumId w:val="257"/>
  </w:num>
  <w:num w:numId="189">
    <w:abstractNumId w:val="15"/>
  </w:num>
  <w:num w:numId="190">
    <w:abstractNumId w:val="211"/>
  </w:num>
  <w:num w:numId="191">
    <w:abstractNumId w:val="64"/>
  </w:num>
  <w:num w:numId="192">
    <w:abstractNumId w:val="79"/>
  </w:num>
  <w:num w:numId="193">
    <w:abstractNumId w:val="93"/>
  </w:num>
  <w:num w:numId="194">
    <w:abstractNumId w:val="341"/>
  </w:num>
  <w:num w:numId="195">
    <w:abstractNumId w:val="212"/>
  </w:num>
  <w:num w:numId="196">
    <w:abstractNumId w:val="162"/>
  </w:num>
  <w:num w:numId="197">
    <w:abstractNumId w:val="75"/>
  </w:num>
  <w:num w:numId="198">
    <w:abstractNumId w:val="30"/>
  </w:num>
  <w:num w:numId="199">
    <w:abstractNumId w:val="99"/>
  </w:num>
  <w:num w:numId="200">
    <w:abstractNumId w:val="95"/>
  </w:num>
  <w:num w:numId="201">
    <w:abstractNumId w:val="347"/>
  </w:num>
  <w:num w:numId="202">
    <w:abstractNumId w:val="301"/>
  </w:num>
  <w:num w:numId="203">
    <w:abstractNumId w:val="141"/>
  </w:num>
  <w:num w:numId="204">
    <w:abstractNumId w:val="345"/>
  </w:num>
  <w:num w:numId="205">
    <w:abstractNumId w:val="218"/>
  </w:num>
  <w:num w:numId="206">
    <w:abstractNumId w:val="279"/>
  </w:num>
  <w:num w:numId="207">
    <w:abstractNumId w:val="82"/>
  </w:num>
  <w:num w:numId="208">
    <w:abstractNumId w:val="61"/>
  </w:num>
  <w:num w:numId="209">
    <w:abstractNumId w:val="173"/>
  </w:num>
  <w:num w:numId="210">
    <w:abstractNumId w:val="363"/>
  </w:num>
  <w:num w:numId="211">
    <w:abstractNumId w:val="342"/>
  </w:num>
  <w:num w:numId="212">
    <w:abstractNumId w:val="0"/>
  </w:num>
  <w:num w:numId="213">
    <w:abstractNumId w:val="181"/>
  </w:num>
  <w:num w:numId="214">
    <w:abstractNumId w:val="139"/>
  </w:num>
  <w:num w:numId="215">
    <w:abstractNumId w:val="133"/>
  </w:num>
  <w:num w:numId="216">
    <w:abstractNumId w:val="33"/>
  </w:num>
  <w:num w:numId="217">
    <w:abstractNumId w:val="73"/>
  </w:num>
  <w:num w:numId="218">
    <w:abstractNumId w:val="16"/>
  </w:num>
  <w:num w:numId="219">
    <w:abstractNumId w:val="241"/>
  </w:num>
  <w:num w:numId="220">
    <w:abstractNumId w:val="51"/>
  </w:num>
  <w:num w:numId="221">
    <w:abstractNumId w:val="137"/>
  </w:num>
  <w:num w:numId="222">
    <w:abstractNumId w:val="58"/>
  </w:num>
  <w:num w:numId="223">
    <w:abstractNumId w:val="204"/>
  </w:num>
  <w:num w:numId="224">
    <w:abstractNumId w:val="120"/>
  </w:num>
  <w:num w:numId="225">
    <w:abstractNumId w:val="219"/>
  </w:num>
  <w:num w:numId="226">
    <w:abstractNumId w:val="232"/>
  </w:num>
  <w:num w:numId="227">
    <w:abstractNumId w:val="270"/>
  </w:num>
  <w:num w:numId="228">
    <w:abstractNumId w:val="127"/>
  </w:num>
  <w:num w:numId="229">
    <w:abstractNumId w:val="238"/>
  </w:num>
  <w:num w:numId="230">
    <w:abstractNumId w:val="352"/>
  </w:num>
  <w:num w:numId="231">
    <w:abstractNumId w:val="269"/>
  </w:num>
  <w:num w:numId="232">
    <w:abstractNumId w:val="366"/>
  </w:num>
  <w:num w:numId="233">
    <w:abstractNumId w:val="156"/>
  </w:num>
  <w:num w:numId="234">
    <w:abstractNumId w:val="216"/>
  </w:num>
  <w:num w:numId="235">
    <w:abstractNumId w:val="37"/>
  </w:num>
  <w:num w:numId="236">
    <w:abstractNumId w:val="310"/>
  </w:num>
  <w:num w:numId="237">
    <w:abstractNumId w:val="44"/>
  </w:num>
  <w:num w:numId="238">
    <w:abstractNumId w:val="290"/>
  </w:num>
  <w:num w:numId="239">
    <w:abstractNumId w:val="265"/>
  </w:num>
  <w:num w:numId="240">
    <w:abstractNumId w:val="24"/>
  </w:num>
  <w:num w:numId="241">
    <w:abstractNumId w:val="291"/>
  </w:num>
  <w:num w:numId="242">
    <w:abstractNumId w:val="215"/>
  </w:num>
  <w:num w:numId="243">
    <w:abstractNumId w:val="192"/>
  </w:num>
  <w:num w:numId="244">
    <w:abstractNumId w:val="319"/>
  </w:num>
  <w:num w:numId="245">
    <w:abstractNumId w:val="296"/>
  </w:num>
  <w:num w:numId="246">
    <w:abstractNumId w:val="268"/>
  </w:num>
  <w:num w:numId="247">
    <w:abstractNumId w:val="45"/>
  </w:num>
  <w:num w:numId="248">
    <w:abstractNumId w:val="171"/>
  </w:num>
  <w:num w:numId="249">
    <w:abstractNumId w:val="106"/>
  </w:num>
  <w:num w:numId="250">
    <w:abstractNumId w:val="316"/>
  </w:num>
  <w:num w:numId="251">
    <w:abstractNumId w:val="362"/>
  </w:num>
  <w:num w:numId="252">
    <w:abstractNumId w:val="365"/>
  </w:num>
  <w:num w:numId="253">
    <w:abstractNumId w:val="19"/>
  </w:num>
  <w:num w:numId="254">
    <w:abstractNumId w:val="244"/>
  </w:num>
  <w:num w:numId="255">
    <w:abstractNumId w:val="267"/>
  </w:num>
  <w:num w:numId="256">
    <w:abstractNumId w:val="77"/>
  </w:num>
  <w:num w:numId="257">
    <w:abstractNumId w:val="113"/>
  </w:num>
  <w:num w:numId="258">
    <w:abstractNumId w:val="8"/>
  </w:num>
  <w:num w:numId="259">
    <w:abstractNumId w:val="191"/>
  </w:num>
  <w:num w:numId="260">
    <w:abstractNumId w:val="205"/>
  </w:num>
  <w:num w:numId="261">
    <w:abstractNumId w:val="349"/>
  </w:num>
  <w:num w:numId="262">
    <w:abstractNumId w:val="201"/>
  </w:num>
  <w:num w:numId="263">
    <w:abstractNumId w:val="297"/>
  </w:num>
  <w:num w:numId="264">
    <w:abstractNumId w:val="50"/>
  </w:num>
  <w:num w:numId="265">
    <w:abstractNumId w:val="325"/>
  </w:num>
  <w:num w:numId="266">
    <w:abstractNumId w:val="47"/>
  </w:num>
  <w:num w:numId="267">
    <w:abstractNumId w:val="198"/>
  </w:num>
  <w:num w:numId="268">
    <w:abstractNumId w:val="320"/>
  </w:num>
  <w:num w:numId="269">
    <w:abstractNumId w:val="2"/>
  </w:num>
  <w:num w:numId="270">
    <w:abstractNumId w:val="140"/>
  </w:num>
  <w:num w:numId="271">
    <w:abstractNumId w:val="182"/>
  </w:num>
  <w:num w:numId="272">
    <w:abstractNumId w:val="68"/>
  </w:num>
  <w:num w:numId="273">
    <w:abstractNumId w:val="3"/>
  </w:num>
  <w:num w:numId="274">
    <w:abstractNumId w:val="217"/>
  </w:num>
  <w:num w:numId="275">
    <w:abstractNumId w:val="136"/>
  </w:num>
  <w:num w:numId="276">
    <w:abstractNumId w:val="124"/>
  </w:num>
  <w:num w:numId="277">
    <w:abstractNumId w:val="272"/>
  </w:num>
  <w:num w:numId="278">
    <w:abstractNumId w:val="299"/>
  </w:num>
  <w:num w:numId="279">
    <w:abstractNumId w:val="207"/>
  </w:num>
  <w:num w:numId="280">
    <w:abstractNumId w:val="226"/>
  </w:num>
  <w:num w:numId="281">
    <w:abstractNumId w:val="295"/>
  </w:num>
  <w:num w:numId="282">
    <w:abstractNumId w:val="161"/>
  </w:num>
  <w:num w:numId="283">
    <w:abstractNumId w:val="338"/>
  </w:num>
  <w:num w:numId="284">
    <w:abstractNumId w:val="125"/>
  </w:num>
  <w:num w:numId="285">
    <w:abstractNumId w:val="229"/>
  </w:num>
  <w:num w:numId="286">
    <w:abstractNumId w:val="144"/>
  </w:num>
  <w:num w:numId="287">
    <w:abstractNumId w:val="300"/>
  </w:num>
  <w:num w:numId="288">
    <w:abstractNumId w:val="340"/>
  </w:num>
  <w:num w:numId="289">
    <w:abstractNumId w:val="78"/>
  </w:num>
  <w:num w:numId="290">
    <w:abstractNumId w:val="63"/>
  </w:num>
  <w:num w:numId="291">
    <w:abstractNumId w:val="84"/>
  </w:num>
  <w:num w:numId="292">
    <w:abstractNumId w:val="254"/>
  </w:num>
  <w:num w:numId="293">
    <w:abstractNumId w:val="313"/>
  </w:num>
  <w:num w:numId="294">
    <w:abstractNumId w:val="155"/>
  </w:num>
  <w:num w:numId="295">
    <w:abstractNumId w:val="332"/>
  </w:num>
  <w:num w:numId="296">
    <w:abstractNumId w:val="271"/>
  </w:num>
  <w:num w:numId="297">
    <w:abstractNumId w:val="88"/>
  </w:num>
  <w:num w:numId="298">
    <w:abstractNumId w:val="39"/>
  </w:num>
  <w:num w:numId="299">
    <w:abstractNumId w:val="203"/>
  </w:num>
  <w:num w:numId="300">
    <w:abstractNumId w:val="285"/>
  </w:num>
  <w:num w:numId="301">
    <w:abstractNumId w:val="72"/>
  </w:num>
  <w:num w:numId="302">
    <w:abstractNumId w:val="333"/>
  </w:num>
  <w:num w:numId="303">
    <w:abstractNumId w:val="25"/>
  </w:num>
  <w:num w:numId="304">
    <w:abstractNumId w:val="314"/>
  </w:num>
  <w:num w:numId="305">
    <w:abstractNumId w:val="196"/>
  </w:num>
  <w:num w:numId="306">
    <w:abstractNumId w:val="111"/>
  </w:num>
  <w:num w:numId="307">
    <w:abstractNumId w:val="278"/>
  </w:num>
  <w:num w:numId="308">
    <w:abstractNumId w:val="52"/>
  </w:num>
  <w:num w:numId="309">
    <w:abstractNumId w:val="86"/>
  </w:num>
  <w:num w:numId="310">
    <w:abstractNumId w:val="221"/>
  </w:num>
  <w:num w:numId="311">
    <w:abstractNumId w:val="330"/>
  </w:num>
  <w:num w:numId="312">
    <w:abstractNumId w:val="152"/>
  </w:num>
  <w:num w:numId="313">
    <w:abstractNumId w:val="329"/>
  </w:num>
  <w:num w:numId="314">
    <w:abstractNumId w:val="194"/>
  </w:num>
  <w:num w:numId="315">
    <w:abstractNumId w:val="158"/>
  </w:num>
  <w:num w:numId="316">
    <w:abstractNumId w:val="70"/>
  </w:num>
  <w:num w:numId="317">
    <w:abstractNumId w:val="104"/>
  </w:num>
  <w:num w:numId="318">
    <w:abstractNumId w:val="169"/>
  </w:num>
  <w:num w:numId="319">
    <w:abstractNumId w:val="289"/>
  </w:num>
  <w:num w:numId="320">
    <w:abstractNumId w:val="246"/>
  </w:num>
  <w:num w:numId="321">
    <w:abstractNumId w:val="294"/>
  </w:num>
  <w:num w:numId="322">
    <w:abstractNumId w:val="115"/>
  </w:num>
  <w:num w:numId="323">
    <w:abstractNumId w:val="264"/>
  </w:num>
  <w:num w:numId="324">
    <w:abstractNumId w:val="288"/>
  </w:num>
  <w:num w:numId="325">
    <w:abstractNumId w:val="359"/>
  </w:num>
  <w:num w:numId="326">
    <w:abstractNumId w:val="304"/>
  </w:num>
  <w:num w:numId="327">
    <w:abstractNumId w:val="167"/>
  </w:num>
  <w:num w:numId="328">
    <w:abstractNumId w:val="179"/>
  </w:num>
  <w:num w:numId="329">
    <w:abstractNumId w:val="334"/>
  </w:num>
  <w:num w:numId="330">
    <w:abstractNumId w:val="36"/>
  </w:num>
  <w:num w:numId="331">
    <w:abstractNumId w:val="23"/>
  </w:num>
  <w:num w:numId="332">
    <w:abstractNumId w:val="35"/>
  </w:num>
  <w:num w:numId="333">
    <w:abstractNumId w:val="22"/>
  </w:num>
  <w:num w:numId="334">
    <w:abstractNumId w:val="224"/>
  </w:num>
  <w:num w:numId="335">
    <w:abstractNumId w:val="237"/>
  </w:num>
  <w:num w:numId="336">
    <w:abstractNumId w:val="202"/>
  </w:num>
  <w:num w:numId="337">
    <w:abstractNumId w:val="101"/>
  </w:num>
  <w:num w:numId="338">
    <w:abstractNumId w:val="274"/>
  </w:num>
  <w:num w:numId="339">
    <w:abstractNumId w:val="281"/>
  </w:num>
  <w:num w:numId="340">
    <w:abstractNumId w:val="53"/>
  </w:num>
  <w:num w:numId="341">
    <w:abstractNumId w:val="356"/>
  </w:num>
  <w:num w:numId="342">
    <w:abstractNumId w:val="34"/>
  </w:num>
  <w:num w:numId="343">
    <w:abstractNumId w:val="180"/>
  </w:num>
  <w:num w:numId="344">
    <w:abstractNumId w:val="321"/>
  </w:num>
  <w:num w:numId="345">
    <w:abstractNumId w:val="29"/>
  </w:num>
  <w:num w:numId="346">
    <w:abstractNumId w:val="146"/>
  </w:num>
  <w:num w:numId="347">
    <w:abstractNumId w:val="174"/>
  </w:num>
  <w:num w:numId="348">
    <w:abstractNumId w:val="112"/>
  </w:num>
  <w:num w:numId="349">
    <w:abstractNumId w:val="87"/>
  </w:num>
  <w:num w:numId="350">
    <w:abstractNumId w:val="71"/>
  </w:num>
  <w:num w:numId="351">
    <w:abstractNumId w:val="344"/>
  </w:num>
  <w:num w:numId="352">
    <w:abstractNumId w:val="49"/>
  </w:num>
  <w:num w:numId="353">
    <w:abstractNumId w:val="13"/>
  </w:num>
  <w:num w:numId="354">
    <w:abstractNumId w:val="339"/>
  </w:num>
  <w:num w:numId="355">
    <w:abstractNumId w:val="351"/>
  </w:num>
  <w:num w:numId="356">
    <w:abstractNumId w:val="326"/>
  </w:num>
  <w:num w:numId="357">
    <w:abstractNumId w:val="66"/>
  </w:num>
  <w:num w:numId="358">
    <w:abstractNumId w:val="308"/>
  </w:num>
  <w:num w:numId="359">
    <w:abstractNumId w:val="305"/>
  </w:num>
  <w:num w:numId="360">
    <w:abstractNumId w:val="323"/>
  </w:num>
  <w:num w:numId="361">
    <w:abstractNumId w:val="307"/>
  </w:num>
  <w:num w:numId="362">
    <w:abstractNumId w:val="9"/>
  </w:num>
  <w:num w:numId="363">
    <w:abstractNumId w:val="91"/>
  </w:num>
  <w:num w:numId="364">
    <w:abstractNumId w:val="234"/>
  </w:num>
  <w:num w:numId="365">
    <w:abstractNumId w:val="165"/>
  </w:num>
  <w:num w:numId="366">
    <w:abstractNumId w:val="336"/>
  </w:num>
  <w:num w:numId="367">
    <w:abstractNumId w:val="287"/>
  </w:num>
  <w:num w:numId="368">
    <w:abstractNumId w:val="255"/>
  </w:num>
  <w:num w:numId="369">
    <w:abstractNumId w:val="230"/>
  </w:num>
  <w:num w:numId="370">
    <w:abstractNumId w:val="81"/>
  </w:num>
  <w:num w:numId="371">
    <w:abstractNumId w:val="197"/>
  </w:num>
  <w:num w:numId="372">
    <w:abstractNumId w:val="147"/>
  </w:num>
  <w:num w:numId="373">
    <w:abstractNumId w:val="282"/>
  </w:num>
  <w:numIdMacAtCleanup w:val="3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02DF"/>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39CB"/>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2010"/>
    <w:rsid w:val="000D42F8"/>
    <w:rsid w:val="000D5F3D"/>
    <w:rsid w:val="000D7613"/>
    <w:rsid w:val="000E421B"/>
    <w:rsid w:val="000E4BAF"/>
    <w:rsid w:val="000E4EA5"/>
    <w:rsid w:val="000E53AA"/>
    <w:rsid w:val="000E71D9"/>
    <w:rsid w:val="000F2996"/>
    <w:rsid w:val="000F3E0F"/>
    <w:rsid w:val="000F451E"/>
    <w:rsid w:val="000F4926"/>
    <w:rsid w:val="000F4A08"/>
    <w:rsid w:val="000F4BB2"/>
    <w:rsid w:val="000F51C6"/>
    <w:rsid w:val="000F5203"/>
    <w:rsid w:val="000F5834"/>
    <w:rsid w:val="000F65A1"/>
    <w:rsid w:val="000F77F0"/>
    <w:rsid w:val="000F7CA8"/>
    <w:rsid w:val="00100248"/>
    <w:rsid w:val="00101EBF"/>
    <w:rsid w:val="00103DEC"/>
    <w:rsid w:val="00104072"/>
    <w:rsid w:val="001041AD"/>
    <w:rsid w:val="00104425"/>
    <w:rsid w:val="00104BE1"/>
    <w:rsid w:val="0010601C"/>
    <w:rsid w:val="0010675E"/>
    <w:rsid w:val="00107247"/>
    <w:rsid w:val="001076F7"/>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30F"/>
    <w:rsid w:val="00137BC2"/>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1234"/>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D64"/>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E7864"/>
    <w:rsid w:val="001F34C2"/>
    <w:rsid w:val="001F4D77"/>
    <w:rsid w:val="001F5B29"/>
    <w:rsid w:val="001F66E6"/>
    <w:rsid w:val="001F7F6D"/>
    <w:rsid w:val="00200274"/>
    <w:rsid w:val="0020106D"/>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343"/>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B9F"/>
    <w:rsid w:val="00274D8D"/>
    <w:rsid w:val="00275B4B"/>
    <w:rsid w:val="00276DBA"/>
    <w:rsid w:val="002778C6"/>
    <w:rsid w:val="00277B4B"/>
    <w:rsid w:val="00277FEB"/>
    <w:rsid w:val="00281546"/>
    <w:rsid w:val="002821CD"/>
    <w:rsid w:val="0028323A"/>
    <w:rsid w:val="00283597"/>
    <w:rsid w:val="00283653"/>
    <w:rsid w:val="00283C19"/>
    <w:rsid w:val="002851D0"/>
    <w:rsid w:val="00285AAE"/>
    <w:rsid w:val="00285D8C"/>
    <w:rsid w:val="00290345"/>
    <w:rsid w:val="002903F6"/>
    <w:rsid w:val="00290B9F"/>
    <w:rsid w:val="00295A9D"/>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66A"/>
    <w:rsid w:val="002C406E"/>
    <w:rsid w:val="002C475B"/>
    <w:rsid w:val="002C4E46"/>
    <w:rsid w:val="002C5B10"/>
    <w:rsid w:val="002C5B9B"/>
    <w:rsid w:val="002C69FC"/>
    <w:rsid w:val="002C6BAC"/>
    <w:rsid w:val="002C7367"/>
    <w:rsid w:val="002C7855"/>
    <w:rsid w:val="002D0AAB"/>
    <w:rsid w:val="002D136D"/>
    <w:rsid w:val="002D1FC6"/>
    <w:rsid w:val="002D260F"/>
    <w:rsid w:val="002D398F"/>
    <w:rsid w:val="002D476D"/>
    <w:rsid w:val="002D4DD6"/>
    <w:rsid w:val="002D5E82"/>
    <w:rsid w:val="002D6556"/>
    <w:rsid w:val="002D7492"/>
    <w:rsid w:val="002E0EBF"/>
    <w:rsid w:val="002E21B2"/>
    <w:rsid w:val="002E32A5"/>
    <w:rsid w:val="002E42E7"/>
    <w:rsid w:val="002E4A8F"/>
    <w:rsid w:val="002E5DE3"/>
    <w:rsid w:val="002E68A4"/>
    <w:rsid w:val="002E6A56"/>
    <w:rsid w:val="002E70DA"/>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0E35"/>
    <w:rsid w:val="00332DAF"/>
    <w:rsid w:val="003341FF"/>
    <w:rsid w:val="0033442C"/>
    <w:rsid w:val="00336B04"/>
    <w:rsid w:val="00337944"/>
    <w:rsid w:val="0034127E"/>
    <w:rsid w:val="003416FA"/>
    <w:rsid w:val="003419B5"/>
    <w:rsid w:val="00341CE6"/>
    <w:rsid w:val="003431E7"/>
    <w:rsid w:val="00343D0C"/>
    <w:rsid w:val="00346D4B"/>
    <w:rsid w:val="0034711A"/>
    <w:rsid w:val="003472B8"/>
    <w:rsid w:val="00351029"/>
    <w:rsid w:val="0035186E"/>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878B2"/>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B6642"/>
    <w:rsid w:val="003C072C"/>
    <w:rsid w:val="003C0E56"/>
    <w:rsid w:val="003C3E17"/>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4162E"/>
    <w:rsid w:val="00441675"/>
    <w:rsid w:val="00442849"/>
    <w:rsid w:val="00443E17"/>
    <w:rsid w:val="004441CB"/>
    <w:rsid w:val="004448B1"/>
    <w:rsid w:val="00444FB8"/>
    <w:rsid w:val="00444FC2"/>
    <w:rsid w:val="004459A5"/>
    <w:rsid w:val="0044733B"/>
    <w:rsid w:val="004506F1"/>
    <w:rsid w:val="00452379"/>
    <w:rsid w:val="00452438"/>
    <w:rsid w:val="004534A8"/>
    <w:rsid w:val="00453918"/>
    <w:rsid w:val="00453E2B"/>
    <w:rsid w:val="004556B2"/>
    <w:rsid w:val="00457BA8"/>
    <w:rsid w:val="00457FF8"/>
    <w:rsid w:val="00460C18"/>
    <w:rsid w:val="00461643"/>
    <w:rsid w:val="00461F2E"/>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2B85"/>
    <w:rsid w:val="004C362E"/>
    <w:rsid w:val="004C54B5"/>
    <w:rsid w:val="004C5804"/>
    <w:rsid w:val="004C5C3B"/>
    <w:rsid w:val="004C5C4C"/>
    <w:rsid w:val="004D2C2A"/>
    <w:rsid w:val="004D3889"/>
    <w:rsid w:val="004D3B9D"/>
    <w:rsid w:val="004D3BB7"/>
    <w:rsid w:val="004D3BF3"/>
    <w:rsid w:val="004D4882"/>
    <w:rsid w:val="004D4F29"/>
    <w:rsid w:val="004D60B3"/>
    <w:rsid w:val="004D774B"/>
    <w:rsid w:val="004E049C"/>
    <w:rsid w:val="004E1A72"/>
    <w:rsid w:val="004E2659"/>
    <w:rsid w:val="004E368D"/>
    <w:rsid w:val="004E36DC"/>
    <w:rsid w:val="004E3988"/>
    <w:rsid w:val="004E4B3F"/>
    <w:rsid w:val="004E56A2"/>
    <w:rsid w:val="004E5E1A"/>
    <w:rsid w:val="004E6840"/>
    <w:rsid w:val="004E6E85"/>
    <w:rsid w:val="004E7FEC"/>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308F6"/>
    <w:rsid w:val="00530A61"/>
    <w:rsid w:val="00535E21"/>
    <w:rsid w:val="00540E7C"/>
    <w:rsid w:val="0054121F"/>
    <w:rsid w:val="005418F5"/>
    <w:rsid w:val="00542829"/>
    <w:rsid w:val="005460F3"/>
    <w:rsid w:val="0055024B"/>
    <w:rsid w:val="00550FEB"/>
    <w:rsid w:val="005524E8"/>
    <w:rsid w:val="0055277C"/>
    <w:rsid w:val="0055483C"/>
    <w:rsid w:val="00555A92"/>
    <w:rsid w:val="00555C77"/>
    <w:rsid w:val="00556440"/>
    <w:rsid w:val="005575B2"/>
    <w:rsid w:val="00560681"/>
    <w:rsid w:val="0056096C"/>
    <w:rsid w:val="005632A5"/>
    <w:rsid w:val="00563E41"/>
    <w:rsid w:val="00564D5A"/>
    <w:rsid w:val="00567366"/>
    <w:rsid w:val="005705F7"/>
    <w:rsid w:val="00570C00"/>
    <w:rsid w:val="00570C37"/>
    <w:rsid w:val="00571591"/>
    <w:rsid w:val="005717BB"/>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DEA"/>
    <w:rsid w:val="005A0E19"/>
    <w:rsid w:val="005A105A"/>
    <w:rsid w:val="005A116A"/>
    <w:rsid w:val="005A2D6A"/>
    <w:rsid w:val="005A2E10"/>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A87"/>
    <w:rsid w:val="00653E42"/>
    <w:rsid w:val="0065521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C05D7"/>
    <w:rsid w:val="006C0ABC"/>
    <w:rsid w:val="006C153C"/>
    <w:rsid w:val="006C2301"/>
    <w:rsid w:val="006C2850"/>
    <w:rsid w:val="006C314B"/>
    <w:rsid w:val="006C360B"/>
    <w:rsid w:val="006C4A37"/>
    <w:rsid w:val="006C5EA1"/>
    <w:rsid w:val="006C62D7"/>
    <w:rsid w:val="006C79DE"/>
    <w:rsid w:val="006D426F"/>
    <w:rsid w:val="006D46E2"/>
    <w:rsid w:val="006D48D4"/>
    <w:rsid w:val="006D4C7A"/>
    <w:rsid w:val="006D67D3"/>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6117"/>
    <w:rsid w:val="007369A5"/>
    <w:rsid w:val="00740F66"/>
    <w:rsid w:val="00741100"/>
    <w:rsid w:val="007420B8"/>
    <w:rsid w:val="0074471B"/>
    <w:rsid w:val="00745FA5"/>
    <w:rsid w:val="00747013"/>
    <w:rsid w:val="007522B6"/>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33F9"/>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16B4"/>
    <w:rsid w:val="007D2349"/>
    <w:rsid w:val="007D431E"/>
    <w:rsid w:val="007D561A"/>
    <w:rsid w:val="007D7C59"/>
    <w:rsid w:val="007E174D"/>
    <w:rsid w:val="007E38F9"/>
    <w:rsid w:val="007E4273"/>
    <w:rsid w:val="007E4CB5"/>
    <w:rsid w:val="007E53AD"/>
    <w:rsid w:val="007E586B"/>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47CE"/>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09DB"/>
    <w:rsid w:val="00852110"/>
    <w:rsid w:val="00852268"/>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C51"/>
    <w:rsid w:val="00891FA1"/>
    <w:rsid w:val="00892534"/>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1A7D"/>
    <w:rsid w:val="008E2862"/>
    <w:rsid w:val="008E5809"/>
    <w:rsid w:val="008E67DF"/>
    <w:rsid w:val="008E7EFD"/>
    <w:rsid w:val="008F143B"/>
    <w:rsid w:val="008F2E43"/>
    <w:rsid w:val="008F3009"/>
    <w:rsid w:val="008F353A"/>
    <w:rsid w:val="008F4BBC"/>
    <w:rsid w:val="008F6EE7"/>
    <w:rsid w:val="008F7245"/>
    <w:rsid w:val="009011E6"/>
    <w:rsid w:val="009026D8"/>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58A"/>
    <w:rsid w:val="00944857"/>
    <w:rsid w:val="0094655C"/>
    <w:rsid w:val="009470DC"/>
    <w:rsid w:val="00947FEE"/>
    <w:rsid w:val="00951E13"/>
    <w:rsid w:val="0095454E"/>
    <w:rsid w:val="00955D69"/>
    <w:rsid w:val="00956EBB"/>
    <w:rsid w:val="00957566"/>
    <w:rsid w:val="0096025D"/>
    <w:rsid w:val="00960B5A"/>
    <w:rsid w:val="00960BB3"/>
    <w:rsid w:val="009617E8"/>
    <w:rsid w:val="00962715"/>
    <w:rsid w:val="00962796"/>
    <w:rsid w:val="00963034"/>
    <w:rsid w:val="00963572"/>
    <w:rsid w:val="00964005"/>
    <w:rsid w:val="00964E1E"/>
    <w:rsid w:val="00971728"/>
    <w:rsid w:val="0097227C"/>
    <w:rsid w:val="009736DF"/>
    <w:rsid w:val="009737C8"/>
    <w:rsid w:val="0097386A"/>
    <w:rsid w:val="00974365"/>
    <w:rsid w:val="0097481A"/>
    <w:rsid w:val="009756CF"/>
    <w:rsid w:val="00975F4C"/>
    <w:rsid w:val="009802F3"/>
    <w:rsid w:val="009814B0"/>
    <w:rsid w:val="00982B8A"/>
    <w:rsid w:val="00983355"/>
    <w:rsid w:val="0098407E"/>
    <w:rsid w:val="00984100"/>
    <w:rsid w:val="009849DE"/>
    <w:rsid w:val="00984E9D"/>
    <w:rsid w:val="00985A59"/>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31EC1"/>
    <w:rsid w:val="00A32E33"/>
    <w:rsid w:val="00A335B4"/>
    <w:rsid w:val="00A3478F"/>
    <w:rsid w:val="00A34AAA"/>
    <w:rsid w:val="00A34C15"/>
    <w:rsid w:val="00A34C26"/>
    <w:rsid w:val="00A36784"/>
    <w:rsid w:val="00A37269"/>
    <w:rsid w:val="00A373AC"/>
    <w:rsid w:val="00A40C05"/>
    <w:rsid w:val="00A413FC"/>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61EF"/>
    <w:rsid w:val="00A97CBE"/>
    <w:rsid w:val="00AA09AF"/>
    <w:rsid w:val="00AA1039"/>
    <w:rsid w:val="00AA1224"/>
    <w:rsid w:val="00AA2DF6"/>
    <w:rsid w:val="00AA41C7"/>
    <w:rsid w:val="00AA5244"/>
    <w:rsid w:val="00AA6F54"/>
    <w:rsid w:val="00AA710D"/>
    <w:rsid w:val="00AB0D05"/>
    <w:rsid w:val="00AB2DC1"/>
    <w:rsid w:val="00AB3DA6"/>
    <w:rsid w:val="00AB4405"/>
    <w:rsid w:val="00AB5DF0"/>
    <w:rsid w:val="00AB5F56"/>
    <w:rsid w:val="00AB7410"/>
    <w:rsid w:val="00AB7768"/>
    <w:rsid w:val="00AC176B"/>
    <w:rsid w:val="00AC289A"/>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1541"/>
    <w:rsid w:val="00B020A6"/>
    <w:rsid w:val="00B026D5"/>
    <w:rsid w:val="00B02869"/>
    <w:rsid w:val="00B03746"/>
    <w:rsid w:val="00B0446C"/>
    <w:rsid w:val="00B04B1A"/>
    <w:rsid w:val="00B04B36"/>
    <w:rsid w:val="00B04D9F"/>
    <w:rsid w:val="00B07B80"/>
    <w:rsid w:val="00B07C02"/>
    <w:rsid w:val="00B10B0E"/>
    <w:rsid w:val="00B11344"/>
    <w:rsid w:val="00B11AC7"/>
    <w:rsid w:val="00B12B8F"/>
    <w:rsid w:val="00B1619F"/>
    <w:rsid w:val="00B1776E"/>
    <w:rsid w:val="00B217F3"/>
    <w:rsid w:val="00B22A6A"/>
    <w:rsid w:val="00B22AAD"/>
    <w:rsid w:val="00B22E12"/>
    <w:rsid w:val="00B22FCB"/>
    <w:rsid w:val="00B249F9"/>
    <w:rsid w:val="00B303E1"/>
    <w:rsid w:val="00B3091B"/>
    <w:rsid w:val="00B3098A"/>
    <w:rsid w:val="00B30A18"/>
    <w:rsid w:val="00B31C6F"/>
    <w:rsid w:val="00B33D54"/>
    <w:rsid w:val="00B3409E"/>
    <w:rsid w:val="00B352AF"/>
    <w:rsid w:val="00B35362"/>
    <w:rsid w:val="00B35C06"/>
    <w:rsid w:val="00B3628C"/>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2FF"/>
    <w:rsid w:val="00B762F6"/>
    <w:rsid w:val="00B763ED"/>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085"/>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1376"/>
    <w:rsid w:val="00BE2F09"/>
    <w:rsid w:val="00BE307B"/>
    <w:rsid w:val="00BE4015"/>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5082"/>
    <w:rsid w:val="00C07BA0"/>
    <w:rsid w:val="00C10346"/>
    <w:rsid w:val="00C10B32"/>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2405"/>
    <w:rsid w:val="00C42988"/>
    <w:rsid w:val="00C45BCC"/>
    <w:rsid w:val="00C46B33"/>
    <w:rsid w:val="00C5029D"/>
    <w:rsid w:val="00C50914"/>
    <w:rsid w:val="00C52511"/>
    <w:rsid w:val="00C54C90"/>
    <w:rsid w:val="00C557FA"/>
    <w:rsid w:val="00C55A0A"/>
    <w:rsid w:val="00C561B0"/>
    <w:rsid w:val="00C56540"/>
    <w:rsid w:val="00C63C20"/>
    <w:rsid w:val="00C651F8"/>
    <w:rsid w:val="00C65B19"/>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8B6"/>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4E6C"/>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046E"/>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2D1D"/>
    <w:rsid w:val="00D34684"/>
    <w:rsid w:val="00D34A79"/>
    <w:rsid w:val="00D35C8F"/>
    <w:rsid w:val="00D36E64"/>
    <w:rsid w:val="00D377F0"/>
    <w:rsid w:val="00D44239"/>
    <w:rsid w:val="00D447CC"/>
    <w:rsid w:val="00D44A60"/>
    <w:rsid w:val="00D45C01"/>
    <w:rsid w:val="00D477FB"/>
    <w:rsid w:val="00D5062E"/>
    <w:rsid w:val="00D5086B"/>
    <w:rsid w:val="00D513B8"/>
    <w:rsid w:val="00D5190F"/>
    <w:rsid w:val="00D51E7A"/>
    <w:rsid w:val="00D52552"/>
    <w:rsid w:val="00D52A05"/>
    <w:rsid w:val="00D543DA"/>
    <w:rsid w:val="00D54A2E"/>
    <w:rsid w:val="00D54D05"/>
    <w:rsid w:val="00D55B36"/>
    <w:rsid w:val="00D561E5"/>
    <w:rsid w:val="00D56EBE"/>
    <w:rsid w:val="00D57065"/>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4105"/>
    <w:rsid w:val="00D84F9A"/>
    <w:rsid w:val="00D9024D"/>
    <w:rsid w:val="00D9097B"/>
    <w:rsid w:val="00D91C2A"/>
    <w:rsid w:val="00D9304B"/>
    <w:rsid w:val="00D95959"/>
    <w:rsid w:val="00D95D30"/>
    <w:rsid w:val="00DA0484"/>
    <w:rsid w:val="00DA2C31"/>
    <w:rsid w:val="00DA2D29"/>
    <w:rsid w:val="00DA359F"/>
    <w:rsid w:val="00DA36C8"/>
    <w:rsid w:val="00DA3C84"/>
    <w:rsid w:val="00DA5051"/>
    <w:rsid w:val="00DA58A4"/>
    <w:rsid w:val="00DA5A52"/>
    <w:rsid w:val="00DA6C22"/>
    <w:rsid w:val="00DB0366"/>
    <w:rsid w:val="00DB0B35"/>
    <w:rsid w:val="00DB3189"/>
    <w:rsid w:val="00DB32A3"/>
    <w:rsid w:val="00DB4B5A"/>
    <w:rsid w:val="00DB6050"/>
    <w:rsid w:val="00DB6629"/>
    <w:rsid w:val="00DB6EDC"/>
    <w:rsid w:val="00DC035D"/>
    <w:rsid w:val="00DC0DAB"/>
    <w:rsid w:val="00DC30F3"/>
    <w:rsid w:val="00DC3F35"/>
    <w:rsid w:val="00DC43D7"/>
    <w:rsid w:val="00DC4FF2"/>
    <w:rsid w:val="00DC53F6"/>
    <w:rsid w:val="00DC6959"/>
    <w:rsid w:val="00DD011E"/>
    <w:rsid w:val="00DD0302"/>
    <w:rsid w:val="00DD03D7"/>
    <w:rsid w:val="00DD26A5"/>
    <w:rsid w:val="00DD32DF"/>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0A2"/>
    <w:rsid w:val="00E3324D"/>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AF3"/>
    <w:rsid w:val="00E8245C"/>
    <w:rsid w:val="00E8298F"/>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2B7C"/>
    <w:rsid w:val="00EA2C5B"/>
    <w:rsid w:val="00EA3479"/>
    <w:rsid w:val="00EA39A6"/>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C6D67"/>
    <w:rsid w:val="00ED120A"/>
    <w:rsid w:val="00ED1B17"/>
    <w:rsid w:val="00ED2AD1"/>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3E26"/>
    <w:rsid w:val="00F346D7"/>
    <w:rsid w:val="00F34D03"/>
    <w:rsid w:val="00F35E4D"/>
    <w:rsid w:val="00F37D03"/>
    <w:rsid w:val="00F40B0D"/>
    <w:rsid w:val="00F42707"/>
    <w:rsid w:val="00F43EFC"/>
    <w:rsid w:val="00F44ED1"/>
    <w:rsid w:val="00F50782"/>
    <w:rsid w:val="00F51521"/>
    <w:rsid w:val="00F526EB"/>
    <w:rsid w:val="00F52F3C"/>
    <w:rsid w:val="00F537AB"/>
    <w:rsid w:val="00F542ED"/>
    <w:rsid w:val="00F555EC"/>
    <w:rsid w:val="00F560A0"/>
    <w:rsid w:val="00F565AA"/>
    <w:rsid w:val="00F56EDE"/>
    <w:rsid w:val="00F57331"/>
    <w:rsid w:val="00F60B15"/>
    <w:rsid w:val="00F62F7C"/>
    <w:rsid w:val="00F6312B"/>
    <w:rsid w:val="00F6419F"/>
    <w:rsid w:val="00F6501F"/>
    <w:rsid w:val="00F6786E"/>
    <w:rsid w:val="00F707B9"/>
    <w:rsid w:val="00F71C48"/>
    <w:rsid w:val="00F721C4"/>
    <w:rsid w:val="00F72456"/>
    <w:rsid w:val="00F73137"/>
    <w:rsid w:val="00F735AA"/>
    <w:rsid w:val="00F77897"/>
    <w:rsid w:val="00F80DB0"/>
    <w:rsid w:val="00F81A14"/>
    <w:rsid w:val="00F81C3B"/>
    <w:rsid w:val="00F8289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346"/>
    <w:rsid w:val="00FB1551"/>
    <w:rsid w:val="00FB1742"/>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79A"/>
    <w:rsid w:val="00FE6C29"/>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6D11-1C75-45F3-9F9D-A91447C3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5776</TotalTime>
  <Pages>6</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2573</cp:revision>
  <cp:lastPrinted>2020-07-16T07:27:00Z</cp:lastPrinted>
  <dcterms:created xsi:type="dcterms:W3CDTF">2020-06-27T08:27:00Z</dcterms:created>
  <dcterms:modified xsi:type="dcterms:W3CDTF">2020-07-16T07:29:00Z</dcterms:modified>
</cp:coreProperties>
</file>