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r w:rsidR="000C7846">
        <w:fldChar w:fldCharType="begin"/>
      </w:r>
      <w:r w:rsidR="000C7846">
        <w:instrText xml:space="preserve"> HYPERLINK "mailto:zongzhe_chen@sina.com" </w:instrText>
      </w:r>
      <w:r w:rsidR="000C7846">
        <w:fldChar w:fldCharType="separate"/>
      </w:r>
      <w:r w:rsidRPr="005D4B3A">
        <w:rPr>
          <w:rStyle w:val="ac"/>
        </w:rPr>
        <w:t>zongzhe_chen@sina.com</w:t>
      </w:r>
      <w:r w:rsidR="000C7846">
        <w:rPr>
          <w:rStyle w:val="ac"/>
        </w:rPr>
        <w:fldChar w:fldCharType="end"/>
      </w:r>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r w:rsidR="000C7846">
        <w:fldChar w:fldCharType="begin"/>
      </w:r>
      <w:r w:rsidR="000C7846">
        <w:instrText xml:space="preserve"> HYPERLINK "https://www.bilibili.com/video/BV1Ab411V7iU?p=53" </w:instrText>
      </w:r>
      <w:r w:rsidR="000C7846">
        <w:fldChar w:fldCharType="separate"/>
      </w:r>
      <w:r w:rsidR="006E7174" w:rsidRPr="00C7029D">
        <w:rPr>
          <w:rStyle w:val="ac"/>
        </w:rPr>
        <w:t>https://www.bilibili.com/video/BV1Ab411V7iU?p=53</w:t>
      </w:r>
      <w:r w:rsidR="000C7846">
        <w:rPr>
          <w:rStyle w:val="ac"/>
        </w:rPr>
        <w:fldChar w:fldCharType="end"/>
      </w:r>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w:t>
      </w:r>
      <w:proofErr w:type="gramStart"/>
      <w:r>
        <w:rPr>
          <w:rFonts w:hint="eastAsia"/>
        </w:rPr>
        <w:t>科创板</w:t>
      </w:r>
      <w:bookmarkEnd w:id="36"/>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w:t>
      </w:r>
      <w:proofErr w:type="gramStart"/>
      <w:r>
        <w:rPr>
          <w:rFonts w:hint="eastAsia"/>
        </w:rPr>
        <w:t>淘宝平台</w:t>
      </w:r>
      <w:proofErr w:type="gramEnd"/>
      <w:r>
        <w:rPr>
          <w:rFonts w:hint="eastAsia"/>
        </w:rPr>
        <w:t>。</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w:t>
      </w:r>
      <w:proofErr w:type="gramStart"/>
      <w:r w:rsidRPr="00140198">
        <w:rPr>
          <w:rStyle w:val="a5"/>
        </w:rPr>
        <w:t>人</w:t>
      </w:r>
      <w:r>
        <w:rPr>
          <w:rFonts w:hint="eastAsia"/>
        </w:rPr>
        <w:t>制</w:t>
      </w:r>
      <w:proofErr w:type="gramEnd"/>
      <w:r>
        <w:rPr>
          <w:rFonts w:hint="eastAsia"/>
        </w:rPr>
        <w:t>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w:t>
      </w:r>
      <w:proofErr w:type="gramStart"/>
      <w:r w:rsidRPr="00080A0F">
        <w:rPr>
          <w:rStyle w:val="a5"/>
        </w:rPr>
        <w:t>规</w:t>
      </w:r>
      <w:proofErr w:type="gramEnd"/>
      <w:r w:rsidRPr="00080A0F">
        <w:rPr>
          <w:rStyle w:val="a5"/>
        </w:rPr>
        <w:t>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proofErr w:type="gramStart"/>
      <w:r w:rsidRPr="00DA5051">
        <w:rPr>
          <w:rStyle w:val="a5"/>
        </w:rPr>
        <w:t>证</w:t>
      </w:r>
      <w:r w:rsidRPr="00DA5051">
        <w:rPr>
          <w:rStyle w:val="a5"/>
          <w:rFonts w:hint="eastAsia"/>
        </w:rPr>
        <w:t>权</w:t>
      </w:r>
      <w:r>
        <w:rPr>
          <w:rFonts w:hint="eastAsia"/>
        </w:rPr>
        <w:t>证券</w:t>
      </w:r>
      <w:proofErr w:type="gramEnd"/>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w:t>
      </w:r>
      <w:proofErr w:type="gramStart"/>
      <w:r w:rsidRPr="00074037">
        <w:rPr>
          <w:rStyle w:val="a5"/>
          <w:rFonts w:hint="eastAsia"/>
        </w:rPr>
        <w:t>售</w:t>
      </w:r>
      <w:r w:rsidRPr="00074037">
        <w:rPr>
          <w:rFonts w:hint="eastAsia"/>
        </w:rPr>
        <w:t>条</w:t>
      </w:r>
      <w:r>
        <w:rPr>
          <w:rFonts w:hint="eastAsia"/>
        </w:rPr>
        <w:t>件</w:t>
      </w:r>
      <w:proofErr w:type="gramEnd"/>
      <w:r>
        <w:rPr>
          <w:rFonts w:hint="eastAsia"/>
        </w:rPr>
        <w:t>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w:t>
      </w:r>
      <w:proofErr w:type="gramStart"/>
      <w:r w:rsidRPr="00074037">
        <w:rPr>
          <w:rStyle w:val="a5"/>
        </w:rPr>
        <w:t>售</w:t>
      </w:r>
      <w:r>
        <w:rPr>
          <w:rFonts w:hint="eastAsia"/>
        </w:rPr>
        <w:t>条件</w:t>
      </w:r>
      <w:proofErr w:type="gramEnd"/>
      <w:r>
        <w:rPr>
          <w:rFonts w:hint="eastAsia"/>
        </w:rPr>
        <w:t>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proofErr w:type="gramStart"/>
      <w:r>
        <w:rPr>
          <w:rFonts w:hint="eastAsia"/>
        </w:rPr>
        <w:t>营收入</w:t>
      </w:r>
      <w:proofErr w:type="gramEnd"/>
      <w:r>
        <w:rPr>
          <w:rFonts w:hint="eastAsia"/>
        </w:rPr>
        <w:t>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w:t>
      </w:r>
      <w:proofErr w:type="gramStart"/>
      <w:r>
        <w:rPr>
          <w:rFonts w:hint="eastAsia"/>
        </w:rPr>
        <w:t>一期末</w:t>
      </w:r>
      <w:r w:rsidRPr="006A6ABA">
        <w:rPr>
          <w:rStyle w:val="a5"/>
        </w:rPr>
        <w:t>不</w:t>
      </w:r>
      <w:proofErr w:type="gramEnd"/>
      <w:r w:rsidRPr="006A6ABA">
        <w:rPr>
          <w:rStyle w:val="a5"/>
        </w:rPr>
        <w:t>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w:t>
      </w:r>
      <w:proofErr w:type="gramStart"/>
      <w:r w:rsidRPr="001A486B">
        <w:rPr>
          <w:rStyle w:val="a5"/>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w:t>
      </w:r>
      <w:proofErr w:type="gramStart"/>
      <w:r>
        <w:rPr>
          <w:rFonts w:hint="eastAsia"/>
        </w:rPr>
        <w:t>首日</w:t>
      </w:r>
      <w:r w:rsidRPr="000852F2">
        <w:rPr>
          <w:rStyle w:val="a5"/>
        </w:rPr>
        <w:t>前</w:t>
      </w:r>
      <w:proofErr w:type="gramEnd"/>
      <w:r w:rsidRPr="000852F2">
        <w:rPr>
          <w:rStyle w:val="a5"/>
        </w:rPr>
        <w:t>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w:t>
      </w:r>
      <w:proofErr w:type="gramStart"/>
      <w:r>
        <w:rPr>
          <w:rFonts w:hint="eastAsia"/>
        </w:rPr>
        <w:t>首日</w:t>
      </w:r>
      <w:r w:rsidRPr="000852F2">
        <w:rPr>
          <w:rStyle w:val="a5"/>
        </w:rPr>
        <w:t>前</w:t>
      </w:r>
      <w:proofErr w:type="gramEnd"/>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w:t>
      </w:r>
      <w:proofErr w:type="gramStart"/>
      <w:r>
        <w:rPr>
          <w:rFonts w:hint="eastAsia"/>
        </w:rPr>
        <w:t>首日</w:t>
      </w:r>
      <w:r w:rsidRPr="000852F2">
        <w:rPr>
          <w:rStyle w:val="a5"/>
          <w:rFonts w:hint="eastAsia"/>
        </w:rPr>
        <w:t>前</w:t>
      </w:r>
      <w:proofErr w:type="gramEnd"/>
      <w:r w:rsidRPr="000852F2">
        <w:rPr>
          <w:rStyle w:val="a5"/>
          <w:rFonts w:hint="eastAsia"/>
        </w:rPr>
        <w:t>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w:t>
      </w:r>
      <w:proofErr w:type="gramStart"/>
      <w:r>
        <w:rPr>
          <w:rFonts w:hint="eastAsia"/>
        </w:rPr>
        <w:t>低价格麦度申报</w:t>
      </w:r>
      <w:proofErr w:type="gramEnd"/>
      <w:r>
        <w:rPr>
          <w:rFonts w:hint="eastAsia"/>
        </w:rPr>
        <w:t>；</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5"/>
        </w:rPr>
        <w:t>通过</w:t>
      </w:r>
      <w:proofErr w:type="gramEnd"/>
      <w:r w:rsidRPr="00A8482D">
        <w:rPr>
          <w:rStyle w:val="a5"/>
        </w:rPr>
        <w:t>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proofErr w:type="gramStart"/>
      <w:r w:rsidRPr="0076578D">
        <w:rPr>
          <w:rStyle w:val="ab"/>
        </w:rPr>
        <w:t>非交易</w:t>
      </w:r>
      <w:proofErr w:type="gramEnd"/>
      <w:r w:rsidRPr="0076578D">
        <w:rPr>
          <w:rStyle w:val="ab"/>
        </w:rPr>
        <w:t>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w:t>
      </w:r>
      <w:proofErr w:type="gramStart"/>
      <w:r>
        <w:rPr>
          <w:rFonts w:hint="eastAsia"/>
        </w:rPr>
        <w:t>证规模</w:t>
      </w:r>
      <w:proofErr w:type="gramEnd"/>
      <w:r>
        <w:rPr>
          <w:rFonts w:hint="eastAsia"/>
        </w:rPr>
        <w:t>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w:t>
      </w:r>
      <w:proofErr w:type="gramStart"/>
      <w:r>
        <w:rPr>
          <w:rFonts w:hint="eastAsia"/>
        </w:rPr>
        <w:t>证流通</w:t>
      </w:r>
      <w:proofErr w:type="gramEnd"/>
      <w:r>
        <w:rPr>
          <w:rFonts w:hint="eastAsia"/>
        </w:rPr>
        <w:t>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46F4FCA6" w:rsidR="00865C05" w:rsidRDefault="00A702FC" w:rsidP="00A702FC">
      <w:pPr>
        <w:pStyle w:val="3"/>
      </w:pPr>
      <w:r>
        <w:rPr>
          <w:rFonts w:hint="eastAsia"/>
        </w:rPr>
        <w:t>考点1</w:t>
      </w:r>
      <w:r>
        <w:t>6</w:t>
      </w:r>
      <w:r>
        <w:rPr>
          <w:rFonts w:hint="eastAsia"/>
        </w:rPr>
        <w:t>：股票投资主要分析方法</w:t>
      </w:r>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rPr>
          <w:rFonts w:hint="eastAsia"/>
        </w:rPr>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pPr>
        <w:rPr>
          <w:rFonts w:hint="eastAsia"/>
        </w:rPr>
      </w:pPr>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rPr>
          <w:rFonts w:hint="eastAsia"/>
        </w:rPr>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rPr>
          <w:rFonts w:hint="eastAsia"/>
        </w:rPr>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pPr>
        <w:rPr>
          <w:rFonts w:hint="eastAsia"/>
        </w:rPr>
      </w:pPr>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proofErr w:type="gramStart"/>
      <w:r w:rsidRPr="00326B76">
        <w:rPr>
          <w:rStyle w:val="a5"/>
        </w:rPr>
        <w:t>沿趋势</w:t>
      </w:r>
      <w:proofErr w:type="gramEnd"/>
      <w:r w:rsidRPr="00326B76">
        <w:rPr>
          <w:rStyle w:val="a5"/>
        </w:rPr>
        <w:t>移动</w:t>
      </w:r>
      <w:r>
        <w:rPr>
          <w:rFonts w:hint="eastAsia"/>
        </w:rPr>
        <w:t>；</w:t>
      </w:r>
    </w:p>
    <w:p w14:paraId="3A509059" w14:textId="5537054F" w:rsidR="00F60B15" w:rsidRDefault="00F60B15" w:rsidP="00F60B15">
      <w:pPr>
        <w:pStyle w:val="ae"/>
        <w:numPr>
          <w:ilvl w:val="0"/>
          <w:numId w:val="217"/>
        </w:numPr>
        <w:ind w:firstLineChars="0"/>
        <w:rPr>
          <w:rFonts w:hint="eastAsia"/>
        </w:rPr>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rPr>
          <w:rFonts w:hint="eastAsia"/>
        </w:rPr>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pPr>
        <w:rPr>
          <w:rFonts w:hint="eastAsia"/>
        </w:rPr>
      </w:pPr>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r>
        <w:rPr>
          <w:rFonts w:hint="eastAsia"/>
        </w:rPr>
        <w:lastRenderedPageBreak/>
        <w:t>考点1</w:t>
      </w:r>
      <w:r>
        <w:t>7</w:t>
      </w:r>
      <w:r>
        <w:rPr>
          <w:rFonts w:hint="eastAsia"/>
        </w:rPr>
        <w:t>：股票估值方法概述</w:t>
      </w:r>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pPr>
        <w:rPr>
          <w:rFonts w:hint="eastAsia"/>
        </w:rPr>
      </w:pPr>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pPr>
        <w:rPr>
          <w:rFonts w:hint="eastAsia"/>
        </w:rPr>
      </w:pPr>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w:t>
      </w:r>
      <w:r>
        <w:rPr>
          <w:rFonts w:hint="eastAsia"/>
        </w:rPr>
        <w:t>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pPr>
        <w:rPr>
          <w:rFonts w:hint="eastAsia"/>
        </w:rPr>
      </w:pPr>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rPr>
          <w:rFonts w:hint="eastAsia"/>
        </w:rPr>
      </w:pPr>
      <w:r>
        <w:rPr>
          <w:rFonts w:hint="eastAsia"/>
        </w:rPr>
        <w:t>市场因素</w:t>
      </w:r>
    </w:p>
    <w:p w14:paraId="6D2E8DDA" w14:textId="77777777" w:rsidR="001108BA" w:rsidRDefault="001108BA" w:rsidP="0073257D"/>
    <w:p w14:paraId="15A08385" w14:textId="2E0D528E" w:rsidR="001108BA" w:rsidRDefault="00103DEC" w:rsidP="00103DEC">
      <w:pPr>
        <w:pStyle w:val="3"/>
      </w:pPr>
      <w:r>
        <w:rPr>
          <w:rFonts w:hint="eastAsia"/>
        </w:rPr>
        <w:t>考点1</w:t>
      </w:r>
      <w:r>
        <w:t>8</w:t>
      </w:r>
      <w:r>
        <w:rPr>
          <w:rFonts w:hint="eastAsia"/>
        </w:rPr>
        <w:t>：股票的绝对估值方法</w:t>
      </w:r>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pPr>
        <w:rPr>
          <w:rFonts w:hint="eastAsia"/>
        </w:rPr>
      </w:pPr>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pPr>
        <w:rPr>
          <w:rFonts w:hint="eastAsia"/>
        </w:rPr>
      </w:pPr>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proofErr w:type="spellStart"/>
      <w:r>
        <w:rPr>
          <w:rFonts w:hint="eastAsia"/>
        </w:rPr>
        <w:t>CFt</w:t>
      </w:r>
      <w:proofErr w:type="spellEnd"/>
      <w:r>
        <w:rPr>
          <w:rFonts w:hint="eastAsia"/>
        </w:rPr>
        <w:t>：第t期的现金流</w:t>
      </w:r>
    </w:p>
    <w:p w14:paraId="3C93FCD8" w14:textId="4ACC3E2B" w:rsidR="004D3BF3" w:rsidRDefault="004D3BF3" w:rsidP="0073257D">
      <w:pPr>
        <w:rPr>
          <w:rFonts w:hint="eastAsia"/>
        </w:rPr>
      </w:pPr>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w:pPr>
        <w:rPr>
          <w:rFonts w:hint="eastAsia"/>
        </w:rPr>
      </w:pPr>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pPr>
        <w:rPr>
          <w:rFonts w:hint="eastAsia"/>
        </w:rPr>
      </w:pPr>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E81840">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E81840">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E81840">
      <w:pPr>
        <w:pStyle w:val="ae"/>
        <w:numPr>
          <w:ilvl w:val="0"/>
          <w:numId w:val="220"/>
        </w:numPr>
        <w:ind w:firstLineChars="0"/>
        <w:rPr>
          <w:rFonts w:hint="eastAsia"/>
        </w:rPr>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pPr>
        <w:rPr>
          <w:rFonts w:hint="eastAsia"/>
        </w:rPr>
      </w:pPr>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pPr>
        <w:rPr>
          <w:rFonts w:hint="eastAsia"/>
        </w:rPr>
      </w:pPr>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r>
        <w:rPr>
          <w:rFonts w:hint="eastAsia"/>
        </w:rPr>
        <w:t>考点1</w:t>
      </w:r>
      <w:r>
        <w:t>9</w:t>
      </w:r>
      <w:r>
        <w:rPr>
          <w:rFonts w:hint="eastAsia"/>
        </w:rPr>
        <w:t>：股票的相对估值方法</w:t>
      </w:r>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pPr>
        <w:rPr>
          <w:rFonts w:hint="eastAsia"/>
        </w:rPr>
      </w:pPr>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pPr>
        <w:rPr>
          <w:rFonts w:hint="eastAsia"/>
        </w:rPr>
      </w:pPr>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E81840">
      <w:pPr>
        <w:pStyle w:val="ae"/>
        <w:numPr>
          <w:ilvl w:val="0"/>
          <w:numId w:val="221"/>
        </w:numPr>
        <w:ind w:firstLineChars="0"/>
      </w:pPr>
      <w:r>
        <w:rPr>
          <w:rFonts w:hint="eastAsia"/>
        </w:rPr>
        <w:t>市盈率倍数法</w:t>
      </w:r>
    </w:p>
    <w:p w14:paraId="5CA5F3DC" w14:textId="0936646B" w:rsidR="00161065" w:rsidRDefault="00161065" w:rsidP="00E81840">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E81840">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E81840">
      <w:pPr>
        <w:pStyle w:val="ae"/>
        <w:numPr>
          <w:ilvl w:val="0"/>
          <w:numId w:val="221"/>
        </w:numPr>
        <w:ind w:firstLineChars="0"/>
      </w:pPr>
      <w:r>
        <w:rPr>
          <w:rFonts w:hint="eastAsia"/>
        </w:rPr>
        <w:t>企业价值/息税前利润倍数法</w:t>
      </w:r>
    </w:p>
    <w:p w14:paraId="2C0A044E" w14:textId="1EE5DF00" w:rsidR="005D2DC2" w:rsidRDefault="005D2DC2" w:rsidP="00E81840">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E81840">
      <w:pPr>
        <w:pStyle w:val="ae"/>
        <w:numPr>
          <w:ilvl w:val="0"/>
          <w:numId w:val="221"/>
        </w:numPr>
        <w:ind w:firstLineChars="0"/>
      </w:pPr>
      <w:r>
        <w:rPr>
          <w:rFonts w:hint="eastAsia"/>
        </w:rPr>
        <w:t>企业价值/息税折旧摊销前利润倍数法</w:t>
      </w:r>
    </w:p>
    <w:p w14:paraId="755AE6D3" w14:textId="5E084EA3" w:rsidR="007F4C26" w:rsidRDefault="007F4C26" w:rsidP="00E81840">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E81840">
      <w:pPr>
        <w:pStyle w:val="ae"/>
        <w:numPr>
          <w:ilvl w:val="0"/>
          <w:numId w:val="221"/>
        </w:numPr>
        <w:ind w:firstLineChars="0"/>
      </w:pPr>
      <w:proofErr w:type="gramStart"/>
      <w:r>
        <w:rPr>
          <w:rFonts w:hint="eastAsia"/>
        </w:rPr>
        <w:t>市净率倍数</w:t>
      </w:r>
      <w:proofErr w:type="gramEnd"/>
      <w:r>
        <w:rPr>
          <w:rFonts w:hint="eastAsia"/>
        </w:rPr>
        <w:t>法</w:t>
      </w:r>
    </w:p>
    <w:p w14:paraId="3BB0FBED" w14:textId="3B084E31" w:rsidR="001D027A" w:rsidRDefault="001D027A" w:rsidP="00E81840">
      <w:pPr>
        <w:pStyle w:val="ae"/>
        <w:numPr>
          <w:ilvl w:val="1"/>
          <w:numId w:val="221"/>
        </w:numPr>
        <w:ind w:firstLineChars="0"/>
      </w:pPr>
      <w:r>
        <w:rPr>
          <w:rFonts w:hint="eastAsia"/>
        </w:rPr>
        <w:t>适用范围：资产流动性较高的金融机构</w:t>
      </w:r>
    </w:p>
    <w:p w14:paraId="1AE9F4B1" w14:textId="548D8643" w:rsidR="00460C18" w:rsidRDefault="00460C18" w:rsidP="00E81840">
      <w:pPr>
        <w:pStyle w:val="ae"/>
        <w:numPr>
          <w:ilvl w:val="0"/>
          <w:numId w:val="221"/>
        </w:numPr>
        <w:ind w:firstLineChars="0"/>
      </w:pPr>
      <w:r>
        <w:rPr>
          <w:rFonts w:hint="eastAsia"/>
        </w:rPr>
        <w:t>市销率倍数法</w:t>
      </w:r>
    </w:p>
    <w:p w14:paraId="74243C42" w14:textId="49366C53" w:rsidR="005777AF" w:rsidRDefault="00B46F5F" w:rsidP="00E81840">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rPr>
          <w:rFonts w:hint="eastAsia"/>
        </w:rPr>
      </w:pPr>
      <w:r>
        <w:rPr>
          <w:rFonts w:hint="eastAsia"/>
        </w:rPr>
        <w:lastRenderedPageBreak/>
        <w:t>第五章 债券</w:t>
      </w:r>
    </w:p>
    <w:p w14:paraId="4C7D362F" w14:textId="699C4AA0" w:rsidR="007E7601" w:rsidRDefault="005777AF" w:rsidP="005777AF">
      <w:pPr>
        <w:pStyle w:val="2"/>
      </w:pPr>
      <w:r>
        <w:rPr>
          <w:rFonts w:hint="eastAsia"/>
        </w:rPr>
        <w:t>第一节 债券概述</w:t>
      </w:r>
    </w:p>
    <w:p w14:paraId="2BE7BC8F" w14:textId="53A24D13" w:rsidR="00C23C9B" w:rsidRDefault="00C23C9B" w:rsidP="00C7048E">
      <w:pPr>
        <w:pStyle w:val="3"/>
        <w:rPr>
          <w:rFonts w:hint="eastAsia"/>
        </w:rPr>
      </w:pPr>
      <w:r>
        <w:rPr>
          <w:rFonts w:hint="eastAsia"/>
        </w:rPr>
        <w:t>考点1：债券概述</w:t>
      </w:r>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pPr>
        <w:rPr>
          <w:rFonts w:hint="eastAsia"/>
        </w:rPr>
      </w:pPr>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E81840">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E81840">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E81840">
      <w:pPr>
        <w:pStyle w:val="ae"/>
        <w:numPr>
          <w:ilvl w:val="0"/>
          <w:numId w:val="222"/>
        </w:numPr>
        <w:ind w:firstLineChars="0"/>
        <w:rPr>
          <w:rFonts w:hint="eastAsia"/>
        </w:rPr>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E81840">
      <w:pPr>
        <w:pStyle w:val="ae"/>
        <w:numPr>
          <w:ilvl w:val="0"/>
          <w:numId w:val="223"/>
        </w:numPr>
        <w:ind w:firstLineChars="0"/>
      </w:pPr>
      <w:r>
        <w:rPr>
          <w:rFonts w:hint="eastAsia"/>
        </w:rPr>
        <w:t>票面价值</w:t>
      </w:r>
    </w:p>
    <w:p w14:paraId="0CB38F95" w14:textId="672FEC93" w:rsidR="004B0A65" w:rsidRDefault="004B0A65" w:rsidP="00E81840">
      <w:pPr>
        <w:pStyle w:val="ae"/>
        <w:numPr>
          <w:ilvl w:val="0"/>
          <w:numId w:val="223"/>
        </w:numPr>
        <w:ind w:firstLineChars="0"/>
      </w:pPr>
      <w:r>
        <w:rPr>
          <w:rFonts w:hint="eastAsia"/>
        </w:rPr>
        <w:t>到期期限</w:t>
      </w:r>
    </w:p>
    <w:p w14:paraId="3493B73E" w14:textId="65FC9201" w:rsidR="004B0A65" w:rsidRDefault="004B0A65" w:rsidP="00E81840">
      <w:pPr>
        <w:pStyle w:val="ae"/>
        <w:numPr>
          <w:ilvl w:val="0"/>
          <w:numId w:val="223"/>
        </w:numPr>
        <w:ind w:firstLineChars="0"/>
      </w:pPr>
      <w:r>
        <w:rPr>
          <w:rFonts w:hint="eastAsia"/>
        </w:rPr>
        <w:t>票面利率</w:t>
      </w:r>
    </w:p>
    <w:p w14:paraId="257A1AD7" w14:textId="4BB8A3CE" w:rsidR="004B0A65" w:rsidRDefault="004B0A65" w:rsidP="00E81840">
      <w:pPr>
        <w:pStyle w:val="ae"/>
        <w:numPr>
          <w:ilvl w:val="0"/>
          <w:numId w:val="223"/>
        </w:numPr>
        <w:ind w:firstLineChars="0"/>
        <w:rPr>
          <w:rFonts w:hint="eastAsia"/>
        </w:rPr>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E81840">
      <w:pPr>
        <w:pStyle w:val="ae"/>
        <w:numPr>
          <w:ilvl w:val="0"/>
          <w:numId w:val="224"/>
        </w:numPr>
        <w:ind w:firstLineChars="0"/>
      </w:pPr>
      <w:r>
        <w:rPr>
          <w:rFonts w:hint="eastAsia"/>
        </w:rPr>
        <w:t>偿还性</w:t>
      </w:r>
    </w:p>
    <w:p w14:paraId="5FE87B45" w14:textId="137823E8" w:rsidR="00AB5DF0" w:rsidRDefault="00AB5DF0" w:rsidP="00E81840">
      <w:pPr>
        <w:pStyle w:val="ae"/>
        <w:numPr>
          <w:ilvl w:val="0"/>
          <w:numId w:val="224"/>
        </w:numPr>
        <w:ind w:firstLineChars="0"/>
      </w:pPr>
      <w:r>
        <w:rPr>
          <w:rFonts w:hint="eastAsia"/>
        </w:rPr>
        <w:t>流动性</w:t>
      </w:r>
    </w:p>
    <w:p w14:paraId="0306264B" w14:textId="3E4B37D8" w:rsidR="00AB5DF0" w:rsidRDefault="00AB5DF0" w:rsidP="00E81840">
      <w:pPr>
        <w:pStyle w:val="ae"/>
        <w:numPr>
          <w:ilvl w:val="0"/>
          <w:numId w:val="224"/>
        </w:numPr>
        <w:ind w:firstLineChars="0"/>
      </w:pPr>
      <w:r>
        <w:rPr>
          <w:rFonts w:hint="eastAsia"/>
        </w:rPr>
        <w:t>安全性</w:t>
      </w:r>
    </w:p>
    <w:p w14:paraId="66AA219F" w14:textId="5973B032" w:rsidR="00D56EBE" w:rsidRDefault="00D56EBE" w:rsidP="00E81840">
      <w:pPr>
        <w:pStyle w:val="ae"/>
        <w:numPr>
          <w:ilvl w:val="1"/>
          <w:numId w:val="224"/>
        </w:numPr>
        <w:ind w:firstLineChars="0"/>
      </w:pPr>
      <w:r>
        <w:rPr>
          <w:rFonts w:hint="eastAsia"/>
        </w:rPr>
        <w:t>债券不能回首投资的风险有：</w:t>
      </w:r>
    </w:p>
    <w:p w14:paraId="463B4C93" w14:textId="078D0E13" w:rsidR="00D56EBE" w:rsidRDefault="00D56EBE" w:rsidP="00E81840">
      <w:pPr>
        <w:pStyle w:val="ae"/>
        <w:numPr>
          <w:ilvl w:val="2"/>
          <w:numId w:val="224"/>
        </w:numPr>
        <w:ind w:firstLineChars="0"/>
      </w:pPr>
      <w:r>
        <w:rPr>
          <w:rFonts w:hint="eastAsia"/>
        </w:rPr>
        <w:t>债务人不履行义务</w:t>
      </w:r>
    </w:p>
    <w:p w14:paraId="4961B449" w14:textId="64C0A74C" w:rsidR="00D56EBE" w:rsidRDefault="00D56EBE" w:rsidP="00E81840">
      <w:pPr>
        <w:pStyle w:val="ae"/>
        <w:numPr>
          <w:ilvl w:val="2"/>
          <w:numId w:val="224"/>
        </w:numPr>
        <w:ind w:firstLineChars="0"/>
      </w:pPr>
      <w:r>
        <w:rPr>
          <w:rFonts w:hint="eastAsia"/>
        </w:rPr>
        <w:t>流通市场风险</w:t>
      </w:r>
    </w:p>
    <w:p w14:paraId="78AC6D4F" w14:textId="44F8561F" w:rsidR="00AB5DF0" w:rsidRDefault="00AB5DF0" w:rsidP="00E81840">
      <w:pPr>
        <w:pStyle w:val="ae"/>
        <w:numPr>
          <w:ilvl w:val="0"/>
          <w:numId w:val="224"/>
        </w:numPr>
        <w:ind w:firstLineChars="0"/>
      </w:pPr>
      <w:r>
        <w:rPr>
          <w:rFonts w:hint="eastAsia"/>
        </w:rPr>
        <w:t>收益性</w:t>
      </w:r>
    </w:p>
    <w:p w14:paraId="060CB9A8" w14:textId="4DF99EA8" w:rsidR="001C79D3" w:rsidRDefault="001C79D3" w:rsidP="00E81840">
      <w:pPr>
        <w:pStyle w:val="ae"/>
        <w:numPr>
          <w:ilvl w:val="1"/>
          <w:numId w:val="224"/>
        </w:numPr>
        <w:ind w:firstLineChars="0"/>
      </w:pPr>
      <w:r>
        <w:rPr>
          <w:rFonts w:hint="eastAsia"/>
        </w:rPr>
        <w:t>债券收益可以表现为：</w:t>
      </w:r>
    </w:p>
    <w:p w14:paraId="7C486766" w14:textId="3560AE14" w:rsidR="001C79D3" w:rsidRDefault="001C79D3" w:rsidP="00E81840">
      <w:pPr>
        <w:pStyle w:val="ae"/>
        <w:numPr>
          <w:ilvl w:val="2"/>
          <w:numId w:val="224"/>
        </w:numPr>
        <w:ind w:firstLineChars="0"/>
      </w:pPr>
      <w:r>
        <w:rPr>
          <w:rFonts w:hint="eastAsia"/>
        </w:rPr>
        <w:t>利息收入</w:t>
      </w:r>
    </w:p>
    <w:p w14:paraId="59030763" w14:textId="7394FF67" w:rsidR="001C79D3" w:rsidRDefault="001C79D3" w:rsidP="00E81840">
      <w:pPr>
        <w:pStyle w:val="ae"/>
        <w:numPr>
          <w:ilvl w:val="2"/>
          <w:numId w:val="224"/>
        </w:numPr>
        <w:ind w:firstLineChars="0"/>
      </w:pPr>
      <w:r>
        <w:rPr>
          <w:rFonts w:hint="eastAsia"/>
        </w:rPr>
        <w:t>资本损益</w:t>
      </w:r>
    </w:p>
    <w:p w14:paraId="36170EE0" w14:textId="5F0C1ED4" w:rsidR="001C79D3" w:rsidRDefault="001C79D3" w:rsidP="00E81840">
      <w:pPr>
        <w:pStyle w:val="ae"/>
        <w:numPr>
          <w:ilvl w:val="2"/>
          <w:numId w:val="224"/>
        </w:numPr>
        <w:ind w:firstLineChars="0"/>
        <w:rPr>
          <w:rFonts w:hint="eastAsia"/>
        </w:rPr>
      </w:pPr>
      <w:r>
        <w:rPr>
          <w:rFonts w:hint="eastAsia"/>
        </w:rPr>
        <w:t>再投资收益</w:t>
      </w:r>
    </w:p>
    <w:p w14:paraId="2EEBD4E5" w14:textId="0C13924D" w:rsidR="00C23C9B" w:rsidRDefault="00C23C9B" w:rsidP="00C23C9B"/>
    <w:p w14:paraId="65E04413" w14:textId="026C3E5C" w:rsidR="00C23C9B" w:rsidRDefault="005C0104" w:rsidP="005C0104">
      <w:pPr>
        <w:pStyle w:val="3"/>
      </w:pPr>
      <w:r>
        <w:rPr>
          <w:rFonts w:hint="eastAsia"/>
        </w:rPr>
        <w:t>考点2：债券的分类</w:t>
      </w:r>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E81840">
      <w:pPr>
        <w:pStyle w:val="ae"/>
        <w:numPr>
          <w:ilvl w:val="0"/>
          <w:numId w:val="225"/>
        </w:numPr>
        <w:ind w:firstLineChars="0"/>
      </w:pPr>
      <w:r>
        <w:rPr>
          <w:rFonts w:hint="eastAsia"/>
        </w:rPr>
        <w:t>政府债券</w:t>
      </w:r>
    </w:p>
    <w:p w14:paraId="4B4889C8" w14:textId="3FACBA0F" w:rsidR="00E1609D" w:rsidRDefault="00E1609D" w:rsidP="00E81840">
      <w:pPr>
        <w:pStyle w:val="ae"/>
        <w:numPr>
          <w:ilvl w:val="0"/>
          <w:numId w:val="225"/>
        </w:numPr>
        <w:ind w:firstLineChars="0"/>
      </w:pPr>
      <w:r>
        <w:rPr>
          <w:rFonts w:hint="eastAsia"/>
        </w:rPr>
        <w:t>金融债券</w:t>
      </w:r>
    </w:p>
    <w:p w14:paraId="606AAE82" w14:textId="12665A2D" w:rsidR="00E1609D" w:rsidRDefault="00E1609D" w:rsidP="00E81840">
      <w:pPr>
        <w:pStyle w:val="ae"/>
        <w:numPr>
          <w:ilvl w:val="0"/>
          <w:numId w:val="225"/>
        </w:numPr>
        <w:ind w:firstLineChars="0"/>
        <w:rPr>
          <w:rFonts w:hint="eastAsia"/>
        </w:rPr>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E81840">
      <w:pPr>
        <w:pStyle w:val="ae"/>
        <w:numPr>
          <w:ilvl w:val="0"/>
          <w:numId w:val="226"/>
        </w:numPr>
        <w:ind w:firstLineChars="0"/>
      </w:pPr>
      <w:r>
        <w:rPr>
          <w:rFonts w:hint="eastAsia"/>
        </w:rPr>
        <w:t>零息债券</w:t>
      </w:r>
    </w:p>
    <w:p w14:paraId="695ED5FF" w14:textId="74941EC3" w:rsidR="00831885" w:rsidRDefault="00831885" w:rsidP="00E81840">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E81840">
      <w:pPr>
        <w:pStyle w:val="ae"/>
        <w:numPr>
          <w:ilvl w:val="1"/>
          <w:numId w:val="226"/>
        </w:numPr>
        <w:ind w:firstLineChars="0"/>
      </w:pPr>
      <w:r>
        <w:rPr>
          <w:rFonts w:hint="eastAsia"/>
        </w:rPr>
        <w:t>一般是低于票面价格出售，按照票面价格回收。</w:t>
      </w:r>
    </w:p>
    <w:p w14:paraId="6920EA71" w14:textId="423B3863" w:rsidR="00E47C37" w:rsidRDefault="00E625C7" w:rsidP="00E81840">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E81840">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E81840">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E81840">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E81840">
      <w:pPr>
        <w:pStyle w:val="ae"/>
        <w:numPr>
          <w:ilvl w:val="0"/>
          <w:numId w:val="226"/>
        </w:numPr>
        <w:ind w:firstLineChars="0"/>
      </w:pPr>
      <w:r>
        <w:rPr>
          <w:rFonts w:hint="eastAsia"/>
        </w:rPr>
        <w:t>息票累积债券</w:t>
      </w:r>
    </w:p>
    <w:p w14:paraId="3DAAD8A8" w14:textId="00ECD0BF" w:rsidR="00E625C7" w:rsidRDefault="00E625C7" w:rsidP="00E81840">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E81840">
      <w:pPr>
        <w:pStyle w:val="ae"/>
        <w:numPr>
          <w:ilvl w:val="1"/>
          <w:numId w:val="226"/>
        </w:numPr>
        <w:ind w:firstLineChars="0"/>
        <w:rPr>
          <w:rFonts w:hint="eastAsia"/>
        </w:rPr>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E81840">
      <w:pPr>
        <w:pStyle w:val="ae"/>
        <w:numPr>
          <w:ilvl w:val="0"/>
          <w:numId w:val="227"/>
        </w:numPr>
        <w:ind w:firstLineChars="0"/>
      </w:pPr>
      <w:r>
        <w:rPr>
          <w:rFonts w:hint="eastAsia"/>
        </w:rPr>
        <w:t>实物债券</w:t>
      </w:r>
    </w:p>
    <w:p w14:paraId="0F69718C" w14:textId="480EF65D" w:rsidR="00D477FB" w:rsidRDefault="00D477FB" w:rsidP="00E81840">
      <w:pPr>
        <w:pStyle w:val="ae"/>
        <w:numPr>
          <w:ilvl w:val="1"/>
          <w:numId w:val="227"/>
        </w:numPr>
        <w:ind w:firstLineChars="0"/>
      </w:pPr>
      <w:r>
        <w:rPr>
          <w:rFonts w:hint="eastAsia"/>
        </w:rPr>
        <w:t>是一种</w:t>
      </w:r>
      <w:r w:rsidRPr="001B4283">
        <w:rPr>
          <w:rStyle w:val="a5"/>
        </w:rPr>
        <w:t>具有标准格式实物</w:t>
      </w:r>
      <w:proofErr w:type="gramStart"/>
      <w:r w:rsidRPr="001B4283">
        <w:rPr>
          <w:rStyle w:val="a5"/>
          <w:rFonts w:hint="eastAsia"/>
        </w:rPr>
        <w:t>券</w:t>
      </w:r>
      <w:proofErr w:type="gramEnd"/>
      <w:r w:rsidRPr="001B4283">
        <w:rPr>
          <w:rStyle w:val="a5"/>
          <w:rFonts w:hint="eastAsia"/>
        </w:rPr>
        <w:t>面</w:t>
      </w:r>
      <w:r>
        <w:rPr>
          <w:rFonts w:hint="eastAsia"/>
        </w:rPr>
        <w:t>的债券；</w:t>
      </w:r>
    </w:p>
    <w:p w14:paraId="010E1BB7" w14:textId="1F2115AB" w:rsidR="00D477FB" w:rsidRDefault="00D477FB" w:rsidP="00E81840">
      <w:pPr>
        <w:pStyle w:val="ae"/>
        <w:numPr>
          <w:ilvl w:val="1"/>
          <w:numId w:val="227"/>
        </w:numPr>
        <w:ind w:firstLineChars="0"/>
      </w:pPr>
      <w:r w:rsidRPr="001B4283">
        <w:rPr>
          <w:rStyle w:val="a5"/>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E81840">
      <w:pPr>
        <w:pStyle w:val="ae"/>
        <w:numPr>
          <w:ilvl w:val="0"/>
          <w:numId w:val="227"/>
        </w:numPr>
        <w:ind w:firstLineChars="0"/>
      </w:pPr>
      <w:r>
        <w:rPr>
          <w:rFonts w:hint="eastAsia"/>
        </w:rPr>
        <w:t>凭证式债券</w:t>
      </w:r>
    </w:p>
    <w:p w14:paraId="1963D711" w14:textId="20DB94DA" w:rsidR="00306A44" w:rsidRDefault="00306A44" w:rsidP="00E81840">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E81840">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E81840">
      <w:pPr>
        <w:pStyle w:val="ae"/>
        <w:numPr>
          <w:ilvl w:val="0"/>
          <w:numId w:val="227"/>
        </w:numPr>
        <w:ind w:firstLineChars="0"/>
      </w:pPr>
      <w:r>
        <w:rPr>
          <w:rFonts w:hint="eastAsia"/>
        </w:rPr>
        <w:t>记账式债券</w:t>
      </w:r>
    </w:p>
    <w:p w14:paraId="18A74F61" w14:textId="6DBB3840" w:rsidR="00A02BD9" w:rsidRDefault="00A02BD9" w:rsidP="00E81840">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E81840">
      <w:pPr>
        <w:pStyle w:val="ae"/>
        <w:numPr>
          <w:ilvl w:val="1"/>
          <w:numId w:val="227"/>
        </w:numPr>
        <w:ind w:firstLineChars="0"/>
        <w:rPr>
          <w:rFonts w:hint="eastAsia"/>
        </w:rPr>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E81840">
      <w:pPr>
        <w:pStyle w:val="ae"/>
        <w:numPr>
          <w:ilvl w:val="0"/>
          <w:numId w:val="228"/>
        </w:numPr>
        <w:ind w:firstLineChars="0"/>
      </w:pPr>
      <w:r>
        <w:rPr>
          <w:rFonts w:hint="eastAsia"/>
        </w:rPr>
        <w:t>固定利率债券</w:t>
      </w:r>
    </w:p>
    <w:p w14:paraId="54D48421" w14:textId="14B3BF14" w:rsidR="00C733A0" w:rsidRDefault="00C733A0" w:rsidP="00E81840">
      <w:pPr>
        <w:pStyle w:val="ae"/>
        <w:numPr>
          <w:ilvl w:val="0"/>
          <w:numId w:val="228"/>
        </w:numPr>
        <w:ind w:firstLineChars="0"/>
      </w:pPr>
      <w:r>
        <w:rPr>
          <w:rFonts w:hint="eastAsia"/>
        </w:rPr>
        <w:t>浮动利率债券</w:t>
      </w:r>
    </w:p>
    <w:p w14:paraId="4EB62D91" w14:textId="0E0BBB6B" w:rsidR="00C733A0" w:rsidRDefault="00C733A0" w:rsidP="00E81840">
      <w:pPr>
        <w:pStyle w:val="ae"/>
        <w:numPr>
          <w:ilvl w:val="0"/>
          <w:numId w:val="228"/>
        </w:numPr>
        <w:ind w:firstLineChars="0"/>
        <w:rPr>
          <w:rFonts w:hint="eastAsia"/>
        </w:rPr>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E81840">
      <w:pPr>
        <w:pStyle w:val="ae"/>
        <w:numPr>
          <w:ilvl w:val="0"/>
          <w:numId w:val="229"/>
        </w:numPr>
        <w:ind w:firstLineChars="0"/>
      </w:pPr>
      <w:r>
        <w:rPr>
          <w:rFonts w:hint="eastAsia"/>
        </w:rPr>
        <w:t>短期债券（1年以下）</w:t>
      </w:r>
    </w:p>
    <w:p w14:paraId="494F1C70" w14:textId="47504742" w:rsidR="00C07BA0" w:rsidRDefault="00C07BA0" w:rsidP="00E81840">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E81840">
      <w:pPr>
        <w:pStyle w:val="ae"/>
        <w:numPr>
          <w:ilvl w:val="0"/>
          <w:numId w:val="229"/>
        </w:numPr>
        <w:ind w:firstLineChars="0"/>
        <w:rPr>
          <w:rFonts w:hint="eastAsia"/>
        </w:rPr>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E81840">
      <w:pPr>
        <w:pStyle w:val="ae"/>
        <w:numPr>
          <w:ilvl w:val="0"/>
          <w:numId w:val="230"/>
        </w:numPr>
        <w:ind w:firstLineChars="0"/>
      </w:pPr>
      <w:r>
        <w:rPr>
          <w:rFonts w:hint="eastAsia"/>
        </w:rPr>
        <w:t>公募债券</w:t>
      </w:r>
    </w:p>
    <w:p w14:paraId="56E457FC" w14:textId="49A43AEF" w:rsidR="0097481A" w:rsidRDefault="0097481A" w:rsidP="00E81840">
      <w:pPr>
        <w:pStyle w:val="ae"/>
        <w:numPr>
          <w:ilvl w:val="0"/>
          <w:numId w:val="230"/>
        </w:numPr>
        <w:ind w:firstLineChars="0"/>
        <w:rPr>
          <w:rFonts w:hint="eastAsia"/>
        </w:rPr>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E81840">
      <w:pPr>
        <w:pStyle w:val="ae"/>
        <w:numPr>
          <w:ilvl w:val="0"/>
          <w:numId w:val="231"/>
        </w:numPr>
        <w:ind w:firstLineChars="0"/>
      </w:pPr>
      <w:r>
        <w:rPr>
          <w:rFonts w:hint="eastAsia"/>
        </w:rPr>
        <w:t>利率债</w:t>
      </w:r>
    </w:p>
    <w:p w14:paraId="02E972E0" w14:textId="2D69095C" w:rsidR="009F5128" w:rsidRDefault="009F5128" w:rsidP="00E81840">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E81840">
      <w:pPr>
        <w:pStyle w:val="ae"/>
        <w:numPr>
          <w:ilvl w:val="0"/>
          <w:numId w:val="231"/>
        </w:numPr>
        <w:ind w:firstLineChars="0"/>
      </w:pPr>
      <w:r>
        <w:rPr>
          <w:rFonts w:hint="eastAsia"/>
        </w:rPr>
        <w:lastRenderedPageBreak/>
        <w:t>信用债</w:t>
      </w:r>
    </w:p>
    <w:p w14:paraId="49EF8C9D" w14:textId="05D8C097" w:rsidR="009F5128" w:rsidRDefault="009F5128" w:rsidP="00E81840">
      <w:pPr>
        <w:pStyle w:val="ae"/>
        <w:numPr>
          <w:ilvl w:val="1"/>
          <w:numId w:val="231"/>
        </w:numPr>
        <w:ind w:firstLineChars="0"/>
        <w:rPr>
          <w:rFonts w:hint="eastAsia"/>
        </w:rPr>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2E2729EB" w:rsidR="00C23C9B" w:rsidRDefault="00C23C9B" w:rsidP="00C23C9B"/>
    <w:p w14:paraId="2F7FEA26" w14:textId="4B90CC0E" w:rsidR="00C23C9B" w:rsidRDefault="00C23C9B" w:rsidP="00C23C9B"/>
    <w:p w14:paraId="0CF11B24" w14:textId="0549616A" w:rsidR="00C23C9B" w:rsidRDefault="00C23C9B" w:rsidP="00C23C9B"/>
    <w:p w14:paraId="6B2AC292" w14:textId="497B7446" w:rsidR="00C23C9B" w:rsidRDefault="00C23C9B" w:rsidP="00C23C9B"/>
    <w:p w14:paraId="202876E3" w14:textId="2F7E25B6" w:rsidR="00C23C9B" w:rsidRDefault="00C23C9B" w:rsidP="00C23C9B"/>
    <w:p w14:paraId="157988A4" w14:textId="268B76E6" w:rsidR="00C23C9B" w:rsidRDefault="00C23C9B" w:rsidP="00C23C9B"/>
    <w:p w14:paraId="4F5D237B" w14:textId="46C7E024" w:rsidR="00C23C9B" w:rsidRDefault="00C23C9B" w:rsidP="00C23C9B"/>
    <w:p w14:paraId="7CEEB205" w14:textId="6E661DF6" w:rsidR="00C23C9B" w:rsidRDefault="00C23C9B" w:rsidP="00C23C9B"/>
    <w:p w14:paraId="5E985AA8" w14:textId="62416DBA" w:rsidR="00C23C9B" w:rsidRDefault="00C23C9B" w:rsidP="00C23C9B"/>
    <w:p w14:paraId="031B7568" w14:textId="77777777" w:rsidR="00C23C9B" w:rsidRPr="00C23C9B" w:rsidRDefault="00C23C9B" w:rsidP="00C23C9B">
      <w:pPr>
        <w:rPr>
          <w:rFonts w:hint="eastAsia"/>
        </w:rPr>
      </w:pPr>
    </w:p>
    <w:p w14:paraId="12B409C6" w14:textId="49345005" w:rsidR="005777AF" w:rsidRDefault="005777AF" w:rsidP="005777AF">
      <w:pPr>
        <w:pStyle w:val="2"/>
      </w:pPr>
      <w:r>
        <w:rPr>
          <w:rFonts w:hint="eastAsia"/>
        </w:rPr>
        <w:t>第二节 债券的发行</w:t>
      </w:r>
    </w:p>
    <w:p w14:paraId="76EEB843" w14:textId="0D35CE6D" w:rsidR="005777AF" w:rsidRDefault="005777AF" w:rsidP="005777AF">
      <w:pPr>
        <w:pStyle w:val="2"/>
      </w:pPr>
      <w:r>
        <w:rPr>
          <w:rFonts w:hint="eastAsia"/>
        </w:rPr>
        <w:t>第三节 债券交易</w:t>
      </w:r>
    </w:p>
    <w:p w14:paraId="643CDCAC" w14:textId="696F0DAB" w:rsidR="005777AF" w:rsidRDefault="005777AF" w:rsidP="005777AF">
      <w:pPr>
        <w:pStyle w:val="2"/>
        <w:rPr>
          <w:rFonts w:hint="eastAsia"/>
        </w:rPr>
      </w:pPr>
      <w:r>
        <w:rPr>
          <w:rFonts w:hint="eastAsia"/>
        </w:rPr>
        <w:t>第四节 债券估值</w:t>
      </w:r>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rPr>
          <w:rFonts w:hint="eastAsia"/>
        </w:rPr>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bookmarkStart w:id="82" w:name="_Toc44704018"/>
      <w:r>
        <w:br w:type="page"/>
      </w:r>
    </w:p>
    <w:p w14:paraId="1EB8AF2F" w14:textId="128FDD23" w:rsidR="003735A9" w:rsidRDefault="003735A9" w:rsidP="003735A9">
      <w:pPr>
        <w:pStyle w:val="1"/>
      </w:pPr>
      <w:r>
        <w:rPr>
          <w:rFonts w:hint="eastAsia"/>
        </w:rPr>
        <w:lastRenderedPageBreak/>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0C7846" w:rsidP="003D1D04">
      <w:pPr>
        <w:rPr>
          <w:rStyle w:val="ab"/>
        </w:rPr>
      </w:pPr>
      <w:hyperlink r:id="rId11"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285C9" w14:textId="77777777" w:rsidR="00E81840" w:rsidRDefault="00E81840" w:rsidP="002D398F">
      <w:r>
        <w:separator/>
      </w:r>
    </w:p>
  </w:endnote>
  <w:endnote w:type="continuationSeparator" w:id="0">
    <w:p w14:paraId="7230B785" w14:textId="77777777" w:rsidR="00E81840" w:rsidRDefault="00E8184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DE7843" w14:textId="77777777" w:rsidR="00E81840" w:rsidRDefault="00E81840" w:rsidP="002D398F">
      <w:r>
        <w:separator/>
      </w:r>
    </w:p>
  </w:footnote>
  <w:footnote w:type="continuationSeparator" w:id="0">
    <w:p w14:paraId="11CF0CEF" w14:textId="77777777" w:rsidR="00E81840" w:rsidRDefault="00E8184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754D8243" w:rsidR="000C7846" w:rsidRDefault="000C7846">
    <w:pPr>
      <w:pStyle w:val="a6"/>
    </w:pPr>
    <w:r>
      <w:rPr>
        <w:rFonts w:hint="eastAsia"/>
      </w:rPr>
      <w:t>金融市场基础知识</w:t>
    </w:r>
    <w:r>
      <w:ptab w:relativeTo="margin" w:alignment="center" w:leader="none"/>
    </w:r>
    <w:fldSimple w:instr=" STYLEREF  &quot;标题 1,标题 1 章节&quot;  \* MERGEFORMAT ">
      <w:r w:rsidR="009F5128">
        <w:rPr>
          <w:noProof/>
        </w:rPr>
        <w:t>第五章 债券</w:t>
      </w:r>
    </w:fldSimple>
    <w:r>
      <w:ptab w:relativeTo="margin" w:alignment="right" w:leader="none"/>
    </w:r>
    <w:fldSimple w:instr=" STYLEREF  &quot;标题 2,标题 2 小节&quot;  \* MERGEFORMAT ">
      <w:r w:rsidR="009F5128">
        <w:rPr>
          <w:noProof/>
        </w:rPr>
        <w:t>第二节 债券的发行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2"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29"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5"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9"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9"/>
  </w:num>
  <w:num w:numId="2">
    <w:abstractNumId w:val="20"/>
  </w:num>
  <w:num w:numId="3">
    <w:abstractNumId w:val="181"/>
  </w:num>
  <w:num w:numId="4">
    <w:abstractNumId w:val="26"/>
  </w:num>
  <w:num w:numId="5">
    <w:abstractNumId w:val="85"/>
  </w:num>
  <w:num w:numId="6">
    <w:abstractNumId w:val="117"/>
  </w:num>
  <w:num w:numId="7">
    <w:abstractNumId w:val="28"/>
  </w:num>
  <w:num w:numId="8">
    <w:abstractNumId w:val="116"/>
  </w:num>
  <w:num w:numId="9">
    <w:abstractNumId w:val="63"/>
  </w:num>
  <w:num w:numId="10">
    <w:abstractNumId w:val="170"/>
  </w:num>
  <w:num w:numId="11">
    <w:abstractNumId w:val="15"/>
  </w:num>
  <w:num w:numId="12">
    <w:abstractNumId w:val="114"/>
  </w:num>
  <w:num w:numId="13">
    <w:abstractNumId w:val="2"/>
  </w:num>
  <w:num w:numId="14">
    <w:abstractNumId w:val="49"/>
  </w:num>
  <w:num w:numId="15">
    <w:abstractNumId w:val="162"/>
  </w:num>
  <w:num w:numId="16">
    <w:abstractNumId w:val="13"/>
  </w:num>
  <w:num w:numId="17">
    <w:abstractNumId w:val="94"/>
  </w:num>
  <w:num w:numId="18">
    <w:abstractNumId w:val="214"/>
  </w:num>
  <w:num w:numId="19">
    <w:abstractNumId w:val="80"/>
  </w:num>
  <w:num w:numId="20">
    <w:abstractNumId w:val="227"/>
  </w:num>
  <w:num w:numId="21">
    <w:abstractNumId w:val="191"/>
  </w:num>
  <w:num w:numId="22">
    <w:abstractNumId w:val="163"/>
  </w:num>
  <w:num w:numId="23">
    <w:abstractNumId w:val="23"/>
  </w:num>
  <w:num w:numId="24">
    <w:abstractNumId w:val="183"/>
  </w:num>
  <w:num w:numId="25">
    <w:abstractNumId w:val="36"/>
  </w:num>
  <w:num w:numId="26">
    <w:abstractNumId w:val="57"/>
  </w:num>
  <w:num w:numId="27">
    <w:abstractNumId w:val="104"/>
  </w:num>
  <w:num w:numId="28">
    <w:abstractNumId w:val="129"/>
  </w:num>
  <w:num w:numId="29">
    <w:abstractNumId w:val="18"/>
  </w:num>
  <w:num w:numId="30">
    <w:abstractNumId w:val="125"/>
  </w:num>
  <w:num w:numId="31">
    <w:abstractNumId w:val="24"/>
  </w:num>
  <w:num w:numId="32">
    <w:abstractNumId w:val="188"/>
  </w:num>
  <w:num w:numId="33">
    <w:abstractNumId w:val="6"/>
  </w:num>
  <w:num w:numId="34">
    <w:abstractNumId w:val="107"/>
  </w:num>
  <w:num w:numId="35">
    <w:abstractNumId w:val="4"/>
  </w:num>
  <w:num w:numId="36">
    <w:abstractNumId w:val="224"/>
  </w:num>
  <w:num w:numId="37">
    <w:abstractNumId w:val="201"/>
  </w:num>
  <w:num w:numId="38">
    <w:abstractNumId w:val="133"/>
  </w:num>
  <w:num w:numId="39">
    <w:abstractNumId w:val="109"/>
  </w:num>
  <w:num w:numId="40">
    <w:abstractNumId w:val="111"/>
  </w:num>
  <w:num w:numId="41">
    <w:abstractNumId w:val="220"/>
  </w:num>
  <w:num w:numId="42">
    <w:abstractNumId w:val="165"/>
  </w:num>
  <w:num w:numId="43">
    <w:abstractNumId w:val="74"/>
  </w:num>
  <w:num w:numId="44">
    <w:abstractNumId w:val="228"/>
  </w:num>
  <w:num w:numId="45">
    <w:abstractNumId w:val="43"/>
  </w:num>
  <w:num w:numId="46">
    <w:abstractNumId w:val="222"/>
  </w:num>
  <w:num w:numId="47">
    <w:abstractNumId w:val="47"/>
  </w:num>
  <w:num w:numId="48">
    <w:abstractNumId w:val="68"/>
  </w:num>
  <w:num w:numId="49">
    <w:abstractNumId w:val="45"/>
  </w:num>
  <w:num w:numId="50">
    <w:abstractNumId w:val="161"/>
  </w:num>
  <w:num w:numId="51">
    <w:abstractNumId w:val="179"/>
  </w:num>
  <w:num w:numId="52">
    <w:abstractNumId w:val="152"/>
  </w:num>
  <w:num w:numId="53">
    <w:abstractNumId w:val="146"/>
  </w:num>
  <w:num w:numId="54">
    <w:abstractNumId w:val="178"/>
  </w:num>
  <w:num w:numId="55">
    <w:abstractNumId w:val="193"/>
  </w:num>
  <w:num w:numId="56">
    <w:abstractNumId w:val="5"/>
  </w:num>
  <w:num w:numId="57">
    <w:abstractNumId w:val="17"/>
  </w:num>
  <w:num w:numId="58">
    <w:abstractNumId w:val="55"/>
  </w:num>
  <w:num w:numId="59">
    <w:abstractNumId w:val="89"/>
  </w:num>
  <w:num w:numId="60">
    <w:abstractNumId w:val="173"/>
  </w:num>
  <w:num w:numId="61">
    <w:abstractNumId w:val="108"/>
  </w:num>
  <w:num w:numId="62">
    <w:abstractNumId w:val="51"/>
  </w:num>
  <w:num w:numId="63">
    <w:abstractNumId w:val="69"/>
  </w:num>
  <w:num w:numId="64">
    <w:abstractNumId w:val="77"/>
  </w:num>
  <w:num w:numId="65">
    <w:abstractNumId w:val="9"/>
  </w:num>
  <w:num w:numId="66">
    <w:abstractNumId w:val="126"/>
  </w:num>
  <w:num w:numId="67">
    <w:abstractNumId w:val="206"/>
  </w:num>
  <w:num w:numId="68">
    <w:abstractNumId w:val="199"/>
  </w:num>
  <w:num w:numId="69">
    <w:abstractNumId w:val="171"/>
  </w:num>
  <w:num w:numId="70">
    <w:abstractNumId w:val="148"/>
  </w:num>
  <w:num w:numId="71">
    <w:abstractNumId w:val="112"/>
  </w:num>
  <w:num w:numId="72">
    <w:abstractNumId w:val="204"/>
  </w:num>
  <w:num w:numId="73">
    <w:abstractNumId w:val="101"/>
  </w:num>
  <w:num w:numId="74">
    <w:abstractNumId w:val="151"/>
  </w:num>
  <w:num w:numId="75">
    <w:abstractNumId w:val="198"/>
  </w:num>
  <w:num w:numId="76">
    <w:abstractNumId w:val="12"/>
  </w:num>
  <w:num w:numId="77">
    <w:abstractNumId w:val="166"/>
  </w:num>
  <w:num w:numId="78">
    <w:abstractNumId w:val="70"/>
  </w:num>
  <w:num w:numId="79">
    <w:abstractNumId w:val="115"/>
  </w:num>
  <w:num w:numId="80">
    <w:abstractNumId w:val="52"/>
  </w:num>
  <w:num w:numId="81">
    <w:abstractNumId w:val="83"/>
  </w:num>
  <w:num w:numId="82">
    <w:abstractNumId w:val="84"/>
  </w:num>
  <w:num w:numId="83">
    <w:abstractNumId w:val="79"/>
  </w:num>
  <w:num w:numId="84">
    <w:abstractNumId w:val="121"/>
  </w:num>
  <w:num w:numId="85">
    <w:abstractNumId w:val="221"/>
  </w:num>
  <w:num w:numId="86">
    <w:abstractNumId w:val="169"/>
  </w:num>
  <w:num w:numId="87">
    <w:abstractNumId w:val="66"/>
  </w:num>
  <w:num w:numId="88">
    <w:abstractNumId w:val="127"/>
  </w:num>
  <w:num w:numId="89">
    <w:abstractNumId w:val="172"/>
  </w:num>
  <w:num w:numId="90">
    <w:abstractNumId w:val="154"/>
  </w:num>
  <w:num w:numId="91">
    <w:abstractNumId w:val="7"/>
  </w:num>
  <w:num w:numId="92">
    <w:abstractNumId w:val="25"/>
  </w:num>
  <w:num w:numId="93">
    <w:abstractNumId w:val="65"/>
  </w:num>
  <w:num w:numId="94">
    <w:abstractNumId w:val="91"/>
  </w:num>
  <w:num w:numId="95">
    <w:abstractNumId w:val="124"/>
  </w:num>
  <w:num w:numId="96">
    <w:abstractNumId w:val="39"/>
  </w:num>
  <w:num w:numId="97">
    <w:abstractNumId w:val="180"/>
  </w:num>
  <w:num w:numId="98">
    <w:abstractNumId w:val="75"/>
  </w:num>
  <w:num w:numId="99">
    <w:abstractNumId w:val="16"/>
  </w:num>
  <w:num w:numId="100">
    <w:abstractNumId w:val="230"/>
  </w:num>
  <w:num w:numId="101">
    <w:abstractNumId w:val="143"/>
  </w:num>
  <w:num w:numId="102">
    <w:abstractNumId w:val="218"/>
  </w:num>
  <w:num w:numId="103">
    <w:abstractNumId w:val="72"/>
  </w:num>
  <w:num w:numId="104">
    <w:abstractNumId w:val="119"/>
  </w:num>
  <w:num w:numId="105">
    <w:abstractNumId w:val="138"/>
  </w:num>
  <w:num w:numId="106">
    <w:abstractNumId w:val="134"/>
  </w:num>
  <w:num w:numId="107">
    <w:abstractNumId w:val="130"/>
  </w:num>
  <w:num w:numId="108">
    <w:abstractNumId w:val="211"/>
  </w:num>
  <w:num w:numId="109">
    <w:abstractNumId w:val="42"/>
  </w:num>
  <w:num w:numId="110">
    <w:abstractNumId w:val="60"/>
  </w:num>
  <w:num w:numId="111">
    <w:abstractNumId w:val="120"/>
  </w:num>
  <w:num w:numId="112">
    <w:abstractNumId w:val="145"/>
  </w:num>
  <w:num w:numId="113">
    <w:abstractNumId w:val="99"/>
  </w:num>
  <w:num w:numId="114">
    <w:abstractNumId w:val="187"/>
  </w:num>
  <w:num w:numId="115">
    <w:abstractNumId w:val="132"/>
  </w:num>
  <w:num w:numId="116">
    <w:abstractNumId w:val="8"/>
  </w:num>
  <w:num w:numId="117">
    <w:abstractNumId w:val="167"/>
  </w:num>
  <w:num w:numId="118">
    <w:abstractNumId w:val="103"/>
  </w:num>
  <w:num w:numId="119">
    <w:abstractNumId w:val="128"/>
  </w:num>
  <w:num w:numId="120">
    <w:abstractNumId w:val="97"/>
  </w:num>
  <w:num w:numId="121">
    <w:abstractNumId w:val="186"/>
  </w:num>
  <w:num w:numId="122">
    <w:abstractNumId w:val="3"/>
  </w:num>
  <w:num w:numId="123">
    <w:abstractNumId w:val="54"/>
  </w:num>
  <w:num w:numId="124">
    <w:abstractNumId w:val="174"/>
  </w:num>
  <w:num w:numId="125">
    <w:abstractNumId w:val="32"/>
  </w:num>
  <w:num w:numId="126">
    <w:abstractNumId w:val="64"/>
  </w:num>
  <w:num w:numId="127">
    <w:abstractNumId w:val="226"/>
  </w:num>
  <w:num w:numId="128">
    <w:abstractNumId w:val="82"/>
  </w:num>
  <w:num w:numId="129">
    <w:abstractNumId w:val="139"/>
  </w:num>
  <w:num w:numId="130">
    <w:abstractNumId w:val="53"/>
  </w:num>
  <w:num w:numId="131">
    <w:abstractNumId w:val="29"/>
  </w:num>
  <w:num w:numId="132">
    <w:abstractNumId w:val="175"/>
  </w:num>
  <w:num w:numId="133">
    <w:abstractNumId w:val="14"/>
  </w:num>
  <w:num w:numId="134">
    <w:abstractNumId w:val="160"/>
  </w:num>
  <w:num w:numId="135">
    <w:abstractNumId w:val="147"/>
  </w:num>
  <w:num w:numId="136">
    <w:abstractNumId w:val="189"/>
  </w:num>
  <w:num w:numId="137">
    <w:abstractNumId w:val="164"/>
  </w:num>
  <w:num w:numId="138">
    <w:abstractNumId w:val="219"/>
  </w:num>
  <w:num w:numId="139">
    <w:abstractNumId w:val="213"/>
  </w:num>
  <w:num w:numId="140">
    <w:abstractNumId w:val="196"/>
  </w:num>
  <w:num w:numId="141">
    <w:abstractNumId w:val="158"/>
  </w:num>
  <w:num w:numId="142">
    <w:abstractNumId w:val="225"/>
  </w:num>
  <w:num w:numId="143">
    <w:abstractNumId w:val="110"/>
  </w:num>
  <w:num w:numId="144">
    <w:abstractNumId w:val="88"/>
  </w:num>
  <w:num w:numId="145">
    <w:abstractNumId w:val="86"/>
  </w:num>
  <w:num w:numId="146">
    <w:abstractNumId w:val="205"/>
  </w:num>
  <w:num w:numId="147">
    <w:abstractNumId w:val="71"/>
  </w:num>
  <w:num w:numId="148">
    <w:abstractNumId w:val="122"/>
  </w:num>
  <w:num w:numId="149">
    <w:abstractNumId w:val="33"/>
  </w:num>
  <w:num w:numId="150">
    <w:abstractNumId w:val="96"/>
  </w:num>
  <w:num w:numId="151">
    <w:abstractNumId w:val="229"/>
  </w:num>
  <w:num w:numId="152">
    <w:abstractNumId w:val="34"/>
  </w:num>
  <w:num w:numId="153">
    <w:abstractNumId w:val="105"/>
  </w:num>
  <w:num w:numId="154">
    <w:abstractNumId w:val="27"/>
  </w:num>
  <w:num w:numId="155">
    <w:abstractNumId w:val="95"/>
  </w:num>
  <w:num w:numId="156">
    <w:abstractNumId w:val="150"/>
  </w:num>
  <w:num w:numId="157">
    <w:abstractNumId w:val="37"/>
  </w:num>
  <w:num w:numId="158">
    <w:abstractNumId w:val="197"/>
  </w:num>
  <w:num w:numId="159">
    <w:abstractNumId w:val="155"/>
  </w:num>
  <w:num w:numId="160">
    <w:abstractNumId w:val="203"/>
  </w:num>
  <w:num w:numId="161">
    <w:abstractNumId w:val="21"/>
  </w:num>
  <w:num w:numId="162">
    <w:abstractNumId w:val="31"/>
  </w:num>
  <w:num w:numId="163">
    <w:abstractNumId w:val="159"/>
  </w:num>
  <w:num w:numId="164">
    <w:abstractNumId w:val="123"/>
  </w:num>
  <w:num w:numId="165">
    <w:abstractNumId w:val="142"/>
  </w:num>
  <w:num w:numId="166">
    <w:abstractNumId w:val="102"/>
  </w:num>
  <w:num w:numId="167">
    <w:abstractNumId w:val="67"/>
  </w:num>
  <w:num w:numId="168">
    <w:abstractNumId w:val="135"/>
  </w:num>
  <w:num w:numId="169">
    <w:abstractNumId w:val="98"/>
  </w:num>
  <w:num w:numId="170">
    <w:abstractNumId w:val="202"/>
  </w:num>
  <w:num w:numId="171">
    <w:abstractNumId w:val="200"/>
  </w:num>
  <w:num w:numId="172">
    <w:abstractNumId w:val="185"/>
  </w:num>
  <w:num w:numId="173">
    <w:abstractNumId w:val="217"/>
  </w:num>
  <w:num w:numId="174">
    <w:abstractNumId w:val="184"/>
  </w:num>
  <w:num w:numId="175">
    <w:abstractNumId w:val="157"/>
  </w:num>
  <w:num w:numId="176">
    <w:abstractNumId w:val="144"/>
  </w:num>
  <w:num w:numId="177">
    <w:abstractNumId w:val="195"/>
  </w:num>
  <w:num w:numId="178">
    <w:abstractNumId w:val="100"/>
  </w:num>
  <w:num w:numId="179">
    <w:abstractNumId w:val="61"/>
  </w:num>
  <w:num w:numId="180">
    <w:abstractNumId w:val="209"/>
  </w:num>
  <w:num w:numId="181">
    <w:abstractNumId w:val="192"/>
  </w:num>
  <w:num w:numId="182">
    <w:abstractNumId w:val="216"/>
  </w:num>
  <w:num w:numId="183">
    <w:abstractNumId w:val="78"/>
  </w:num>
  <w:num w:numId="184">
    <w:abstractNumId w:val="194"/>
  </w:num>
  <w:num w:numId="185">
    <w:abstractNumId w:val="1"/>
  </w:num>
  <w:num w:numId="186">
    <w:abstractNumId w:val="41"/>
  </w:num>
  <w:num w:numId="187">
    <w:abstractNumId w:val="73"/>
  </w:num>
  <w:num w:numId="188">
    <w:abstractNumId w:val="168"/>
  </w:num>
  <w:num w:numId="189">
    <w:abstractNumId w:val="10"/>
  </w:num>
  <w:num w:numId="190">
    <w:abstractNumId w:val="136"/>
  </w:num>
  <w:num w:numId="191">
    <w:abstractNumId w:val="40"/>
  </w:num>
  <w:num w:numId="192">
    <w:abstractNumId w:val="48"/>
  </w:num>
  <w:num w:numId="193">
    <w:abstractNumId w:val="56"/>
  </w:num>
  <w:num w:numId="194">
    <w:abstractNumId w:val="207"/>
  </w:num>
  <w:num w:numId="195">
    <w:abstractNumId w:val="137"/>
  </w:num>
  <w:num w:numId="196">
    <w:abstractNumId w:val="106"/>
  </w:num>
  <w:num w:numId="197">
    <w:abstractNumId w:val="46"/>
  </w:num>
  <w:num w:numId="198">
    <w:abstractNumId w:val="19"/>
  </w:num>
  <w:num w:numId="199">
    <w:abstractNumId w:val="62"/>
  </w:num>
  <w:num w:numId="200">
    <w:abstractNumId w:val="58"/>
  </w:num>
  <w:num w:numId="201">
    <w:abstractNumId w:val="212"/>
  </w:num>
  <w:num w:numId="202">
    <w:abstractNumId w:val="190"/>
  </w:num>
  <w:num w:numId="203">
    <w:abstractNumId w:val="93"/>
  </w:num>
  <w:num w:numId="204">
    <w:abstractNumId w:val="210"/>
  </w:num>
  <w:num w:numId="205">
    <w:abstractNumId w:val="140"/>
  </w:num>
  <w:num w:numId="206">
    <w:abstractNumId w:val="182"/>
  </w:num>
  <w:num w:numId="207">
    <w:abstractNumId w:val="50"/>
  </w:num>
  <w:num w:numId="208">
    <w:abstractNumId w:val="38"/>
  </w:num>
  <w:num w:numId="209">
    <w:abstractNumId w:val="113"/>
  </w:num>
  <w:num w:numId="210">
    <w:abstractNumId w:val="223"/>
  </w:num>
  <w:num w:numId="211">
    <w:abstractNumId w:val="208"/>
  </w:num>
  <w:num w:numId="212">
    <w:abstractNumId w:val="0"/>
  </w:num>
  <w:num w:numId="213">
    <w:abstractNumId w:val="118"/>
  </w:num>
  <w:num w:numId="214">
    <w:abstractNumId w:val="92"/>
  </w:num>
  <w:num w:numId="215">
    <w:abstractNumId w:val="87"/>
  </w:num>
  <w:num w:numId="216">
    <w:abstractNumId w:val="22"/>
  </w:num>
  <w:num w:numId="217">
    <w:abstractNumId w:val="44"/>
  </w:num>
  <w:num w:numId="218">
    <w:abstractNumId w:val="11"/>
  </w:num>
  <w:num w:numId="219">
    <w:abstractNumId w:val="156"/>
  </w:num>
  <w:num w:numId="220">
    <w:abstractNumId w:val="30"/>
  </w:num>
  <w:num w:numId="221">
    <w:abstractNumId w:val="90"/>
  </w:num>
  <w:num w:numId="222">
    <w:abstractNumId w:val="35"/>
  </w:num>
  <w:num w:numId="223">
    <w:abstractNumId w:val="131"/>
  </w:num>
  <w:num w:numId="224">
    <w:abstractNumId w:val="76"/>
  </w:num>
  <w:num w:numId="225">
    <w:abstractNumId w:val="141"/>
  </w:num>
  <w:num w:numId="226">
    <w:abstractNumId w:val="149"/>
  </w:num>
  <w:num w:numId="227">
    <w:abstractNumId w:val="177"/>
  </w:num>
  <w:num w:numId="228">
    <w:abstractNumId w:val="81"/>
  </w:num>
  <w:num w:numId="229">
    <w:abstractNumId w:val="153"/>
  </w:num>
  <w:num w:numId="230">
    <w:abstractNumId w:val="215"/>
  </w:num>
  <w:num w:numId="231">
    <w:abstractNumId w:val="176"/>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0892"/>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D1CB2"/>
    <w:rsid w:val="000E53AA"/>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1065"/>
    <w:rsid w:val="001673A7"/>
    <w:rsid w:val="0017008D"/>
    <w:rsid w:val="00170797"/>
    <w:rsid w:val="00180B93"/>
    <w:rsid w:val="00181063"/>
    <w:rsid w:val="001815C4"/>
    <w:rsid w:val="00182871"/>
    <w:rsid w:val="0018552E"/>
    <w:rsid w:val="00195040"/>
    <w:rsid w:val="00195554"/>
    <w:rsid w:val="001A1628"/>
    <w:rsid w:val="001A1D91"/>
    <w:rsid w:val="001A2DEC"/>
    <w:rsid w:val="001A2ED3"/>
    <w:rsid w:val="001A430D"/>
    <w:rsid w:val="001A486B"/>
    <w:rsid w:val="001A5065"/>
    <w:rsid w:val="001A7B85"/>
    <w:rsid w:val="001B09A6"/>
    <w:rsid w:val="001B1903"/>
    <w:rsid w:val="001B4283"/>
    <w:rsid w:val="001C25DB"/>
    <w:rsid w:val="001C46D1"/>
    <w:rsid w:val="001C4729"/>
    <w:rsid w:val="001C4B7F"/>
    <w:rsid w:val="001C79D3"/>
    <w:rsid w:val="001D027A"/>
    <w:rsid w:val="001D1321"/>
    <w:rsid w:val="001D232A"/>
    <w:rsid w:val="001D27C9"/>
    <w:rsid w:val="001D6AE2"/>
    <w:rsid w:val="001E0F02"/>
    <w:rsid w:val="001F34C2"/>
    <w:rsid w:val="001F66E6"/>
    <w:rsid w:val="00202786"/>
    <w:rsid w:val="00204F11"/>
    <w:rsid w:val="00205531"/>
    <w:rsid w:val="002103E4"/>
    <w:rsid w:val="0021120F"/>
    <w:rsid w:val="0021202F"/>
    <w:rsid w:val="00213E00"/>
    <w:rsid w:val="002145E7"/>
    <w:rsid w:val="00221A76"/>
    <w:rsid w:val="002235D2"/>
    <w:rsid w:val="00224F8F"/>
    <w:rsid w:val="00225AD6"/>
    <w:rsid w:val="00227DAF"/>
    <w:rsid w:val="00231B69"/>
    <w:rsid w:val="0023786D"/>
    <w:rsid w:val="002439D3"/>
    <w:rsid w:val="00247E87"/>
    <w:rsid w:val="00255BD9"/>
    <w:rsid w:val="0026015C"/>
    <w:rsid w:val="00261A8F"/>
    <w:rsid w:val="00263236"/>
    <w:rsid w:val="002661FF"/>
    <w:rsid w:val="00274D8D"/>
    <w:rsid w:val="00277B4B"/>
    <w:rsid w:val="00277FEB"/>
    <w:rsid w:val="0028323A"/>
    <w:rsid w:val="00283C19"/>
    <w:rsid w:val="00285AAE"/>
    <w:rsid w:val="00290345"/>
    <w:rsid w:val="002903F6"/>
    <w:rsid w:val="00297475"/>
    <w:rsid w:val="002A238C"/>
    <w:rsid w:val="002B0E0F"/>
    <w:rsid w:val="002B2B80"/>
    <w:rsid w:val="002B7D6C"/>
    <w:rsid w:val="002C0D94"/>
    <w:rsid w:val="002C475B"/>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6A44"/>
    <w:rsid w:val="00307AA9"/>
    <w:rsid w:val="003135A0"/>
    <w:rsid w:val="00313CD3"/>
    <w:rsid w:val="00315FAC"/>
    <w:rsid w:val="00316EA3"/>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981"/>
    <w:rsid w:val="00430D0B"/>
    <w:rsid w:val="0043272D"/>
    <w:rsid w:val="0044162E"/>
    <w:rsid w:val="00442849"/>
    <w:rsid w:val="004448B1"/>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F2122"/>
    <w:rsid w:val="004F3409"/>
    <w:rsid w:val="004F3F84"/>
    <w:rsid w:val="004F6CEE"/>
    <w:rsid w:val="00503CAC"/>
    <w:rsid w:val="005046AC"/>
    <w:rsid w:val="0050629B"/>
    <w:rsid w:val="00510090"/>
    <w:rsid w:val="005132F1"/>
    <w:rsid w:val="00514425"/>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777AF"/>
    <w:rsid w:val="00586818"/>
    <w:rsid w:val="005946CA"/>
    <w:rsid w:val="00595D0C"/>
    <w:rsid w:val="005A0E19"/>
    <w:rsid w:val="005A116A"/>
    <w:rsid w:val="005A5EBB"/>
    <w:rsid w:val="005B0C05"/>
    <w:rsid w:val="005B1AF6"/>
    <w:rsid w:val="005B332E"/>
    <w:rsid w:val="005B552D"/>
    <w:rsid w:val="005C0104"/>
    <w:rsid w:val="005C25AF"/>
    <w:rsid w:val="005C3880"/>
    <w:rsid w:val="005C58D4"/>
    <w:rsid w:val="005D15EF"/>
    <w:rsid w:val="005D2DC2"/>
    <w:rsid w:val="005D4C29"/>
    <w:rsid w:val="005E3BE8"/>
    <w:rsid w:val="005E5A5C"/>
    <w:rsid w:val="005F347E"/>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4C26"/>
    <w:rsid w:val="007F58F7"/>
    <w:rsid w:val="007F5970"/>
    <w:rsid w:val="007F661A"/>
    <w:rsid w:val="00801F8F"/>
    <w:rsid w:val="008028CE"/>
    <w:rsid w:val="0080661D"/>
    <w:rsid w:val="00807AFB"/>
    <w:rsid w:val="00811CF5"/>
    <w:rsid w:val="00812D43"/>
    <w:rsid w:val="008161FC"/>
    <w:rsid w:val="00817F52"/>
    <w:rsid w:val="00820CAF"/>
    <w:rsid w:val="0082131C"/>
    <w:rsid w:val="00825682"/>
    <w:rsid w:val="008311EE"/>
    <w:rsid w:val="00831885"/>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7481A"/>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5F30"/>
    <w:rsid w:val="009D6AA2"/>
    <w:rsid w:val="009D7A05"/>
    <w:rsid w:val="009E036D"/>
    <w:rsid w:val="009E36C9"/>
    <w:rsid w:val="009F0974"/>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4405"/>
    <w:rsid w:val="00BC5D51"/>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4DF6"/>
    <w:rsid w:val="00C35313"/>
    <w:rsid w:val="00C42405"/>
    <w:rsid w:val="00C45BCC"/>
    <w:rsid w:val="00C46B33"/>
    <w:rsid w:val="00C52511"/>
    <w:rsid w:val="00C54C90"/>
    <w:rsid w:val="00C63C20"/>
    <w:rsid w:val="00C67A0C"/>
    <w:rsid w:val="00C7048E"/>
    <w:rsid w:val="00C7161C"/>
    <w:rsid w:val="00C72643"/>
    <w:rsid w:val="00C733A0"/>
    <w:rsid w:val="00C73CF9"/>
    <w:rsid w:val="00C74257"/>
    <w:rsid w:val="00C77B3B"/>
    <w:rsid w:val="00C81DB1"/>
    <w:rsid w:val="00C8435B"/>
    <w:rsid w:val="00C9081F"/>
    <w:rsid w:val="00C918CB"/>
    <w:rsid w:val="00C93A08"/>
    <w:rsid w:val="00C93D59"/>
    <w:rsid w:val="00C94A0F"/>
    <w:rsid w:val="00C95675"/>
    <w:rsid w:val="00C96662"/>
    <w:rsid w:val="00C96B6C"/>
    <w:rsid w:val="00C972F0"/>
    <w:rsid w:val="00C97597"/>
    <w:rsid w:val="00CA1D1F"/>
    <w:rsid w:val="00CA2937"/>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447CC"/>
    <w:rsid w:val="00D477FB"/>
    <w:rsid w:val="00D5062E"/>
    <w:rsid w:val="00D513B8"/>
    <w:rsid w:val="00D51E7A"/>
    <w:rsid w:val="00D52552"/>
    <w:rsid w:val="00D54D05"/>
    <w:rsid w:val="00D56EBE"/>
    <w:rsid w:val="00D57065"/>
    <w:rsid w:val="00D62836"/>
    <w:rsid w:val="00D62C9A"/>
    <w:rsid w:val="00D64FDA"/>
    <w:rsid w:val="00D72609"/>
    <w:rsid w:val="00D73A89"/>
    <w:rsid w:val="00D73E79"/>
    <w:rsid w:val="00D7538F"/>
    <w:rsid w:val="00D77AE0"/>
    <w:rsid w:val="00D80608"/>
    <w:rsid w:val="00D828E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4C0A"/>
    <w:rsid w:val="00E77C46"/>
    <w:rsid w:val="00E80E63"/>
    <w:rsid w:val="00E81840"/>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5422"/>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70</Pages>
  <Words>6707</Words>
  <Characters>38230</Characters>
  <Application>Microsoft Office Word</Application>
  <DocSecurity>0</DocSecurity>
  <Lines>318</Lines>
  <Paragraphs>89</Paragraphs>
  <ScaleCrop>false</ScaleCrop>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1232</cp:revision>
  <dcterms:created xsi:type="dcterms:W3CDTF">2020-06-27T08:27:00Z</dcterms:created>
  <dcterms:modified xsi:type="dcterms:W3CDTF">2020-07-04T12:50:00Z</dcterms:modified>
</cp:coreProperties>
</file>