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246115"/>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163FA73"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Pr>
          <w:noProof/>
        </w:rPr>
        <w:t>2020年6月28日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246116" w:displacedByCustomXml="next"/>
    <w:sdt>
      <w:sdtPr>
        <w:rPr>
          <w:lang w:val="zh-CN"/>
        </w:rPr>
        <w:id w:val="-1254043974"/>
        <w:docPartObj>
          <w:docPartGallery w:val="Table of Contents"/>
          <w:docPartUnique/>
        </w:docPartObj>
      </w:sdtPr>
      <w:sdtEndPr>
        <w:rPr>
          <w:kern w:val="2"/>
          <w:sz w:val="21"/>
          <w:szCs w:val="22"/>
        </w:rPr>
      </w:sdtEndPr>
      <w:sdtContent>
        <w:p w14:paraId="70DCBC4C" w14:textId="5A4E2522" w:rsidR="003431E7" w:rsidRDefault="003431E7" w:rsidP="003431E7">
          <w:pPr>
            <w:pStyle w:val="1"/>
          </w:pPr>
          <w:r>
            <w:rPr>
              <w:lang w:val="zh-CN"/>
            </w:rPr>
            <w:t>目录</w:t>
          </w:r>
          <w:bookmarkEnd w:id="2"/>
        </w:p>
        <w:p w14:paraId="0B8918F2" w14:textId="79EC32E6" w:rsidR="00A13B49" w:rsidRDefault="003431E7">
          <w:pPr>
            <w:pStyle w:val="TOC1"/>
            <w:tabs>
              <w:tab w:val="right" w:leader="dot" w:pos="8296"/>
            </w:tabs>
            <w:rPr>
              <w:noProof/>
            </w:rPr>
          </w:pPr>
          <w:r>
            <w:fldChar w:fldCharType="begin"/>
          </w:r>
          <w:r>
            <w:instrText xml:space="preserve"> TOC \o "1-3" \h \z \u </w:instrText>
          </w:r>
          <w:r>
            <w:fldChar w:fldCharType="separate"/>
          </w:r>
          <w:hyperlink w:anchor="_Toc44246115" w:history="1">
            <w:r w:rsidR="00A13B49" w:rsidRPr="00AD05A7">
              <w:rPr>
                <w:rStyle w:val="ac"/>
                <w:noProof/>
              </w:rPr>
              <w:t>金融市场基础知识学习笔记</w:t>
            </w:r>
            <w:r w:rsidR="00A13B49">
              <w:rPr>
                <w:noProof/>
                <w:webHidden/>
              </w:rPr>
              <w:tab/>
            </w:r>
            <w:r w:rsidR="00A13B49">
              <w:rPr>
                <w:noProof/>
                <w:webHidden/>
              </w:rPr>
              <w:fldChar w:fldCharType="begin"/>
            </w:r>
            <w:r w:rsidR="00A13B49">
              <w:rPr>
                <w:noProof/>
                <w:webHidden/>
              </w:rPr>
              <w:instrText xml:space="preserve"> PAGEREF _Toc44246115 \h </w:instrText>
            </w:r>
            <w:r w:rsidR="00A13B49">
              <w:rPr>
                <w:noProof/>
                <w:webHidden/>
              </w:rPr>
            </w:r>
            <w:r w:rsidR="00A13B49">
              <w:rPr>
                <w:noProof/>
                <w:webHidden/>
              </w:rPr>
              <w:fldChar w:fldCharType="separate"/>
            </w:r>
            <w:r w:rsidR="00A13B49">
              <w:rPr>
                <w:noProof/>
                <w:webHidden/>
              </w:rPr>
              <w:t>1</w:t>
            </w:r>
            <w:r w:rsidR="00A13B49">
              <w:rPr>
                <w:noProof/>
                <w:webHidden/>
              </w:rPr>
              <w:fldChar w:fldCharType="end"/>
            </w:r>
          </w:hyperlink>
        </w:p>
        <w:p w14:paraId="258EA08E" w14:textId="652EC002" w:rsidR="00A13B49" w:rsidRDefault="00A13B49">
          <w:pPr>
            <w:pStyle w:val="TOC1"/>
            <w:tabs>
              <w:tab w:val="right" w:leader="dot" w:pos="8296"/>
            </w:tabs>
            <w:rPr>
              <w:noProof/>
            </w:rPr>
          </w:pPr>
          <w:hyperlink w:anchor="_Toc44246116" w:history="1">
            <w:r w:rsidRPr="00AD05A7">
              <w:rPr>
                <w:rStyle w:val="ac"/>
                <w:noProof/>
                <w:lang w:val="zh-CN"/>
              </w:rPr>
              <w:t>目录</w:t>
            </w:r>
            <w:r>
              <w:rPr>
                <w:noProof/>
                <w:webHidden/>
              </w:rPr>
              <w:tab/>
            </w:r>
            <w:r>
              <w:rPr>
                <w:noProof/>
                <w:webHidden/>
              </w:rPr>
              <w:fldChar w:fldCharType="begin"/>
            </w:r>
            <w:r>
              <w:rPr>
                <w:noProof/>
                <w:webHidden/>
              </w:rPr>
              <w:instrText xml:space="preserve"> PAGEREF _Toc44246116 \h </w:instrText>
            </w:r>
            <w:r>
              <w:rPr>
                <w:noProof/>
                <w:webHidden/>
              </w:rPr>
            </w:r>
            <w:r>
              <w:rPr>
                <w:noProof/>
                <w:webHidden/>
              </w:rPr>
              <w:fldChar w:fldCharType="separate"/>
            </w:r>
            <w:r>
              <w:rPr>
                <w:noProof/>
                <w:webHidden/>
              </w:rPr>
              <w:t>2</w:t>
            </w:r>
            <w:r>
              <w:rPr>
                <w:noProof/>
                <w:webHidden/>
              </w:rPr>
              <w:fldChar w:fldCharType="end"/>
            </w:r>
          </w:hyperlink>
        </w:p>
        <w:p w14:paraId="6BB23A9B" w14:textId="6295EF47" w:rsidR="00A13B49" w:rsidRDefault="00A13B49">
          <w:pPr>
            <w:pStyle w:val="TOC1"/>
            <w:tabs>
              <w:tab w:val="right" w:leader="dot" w:pos="8296"/>
            </w:tabs>
            <w:rPr>
              <w:noProof/>
            </w:rPr>
          </w:pPr>
          <w:hyperlink w:anchor="_Toc44246117" w:history="1">
            <w:r w:rsidRPr="00AD05A7">
              <w:rPr>
                <w:rStyle w:val="ac"/>
                <w:noProof/>
              </w:rPr>
              <w:t>概述</w:t>
            </w:r>
            <w:r>
              <w:rPr>
                <w:noProof/>
                <w:webHidden/>
              </w:rPr>
              <w:tab/>
            </w:r>
            <w:r>
              <w:rPr>
                <w:noProof/>
                <w:webHidden/>
              </w:rPr>
              <w:fldChar w:fldCharType="begin"/>
            </w:r>
            <w:r>
              <w:rPr>
                <w:noProof/>
                <w:webHidden/>
              </w:rPr>
              <w:instrText xml:space="preserve"> PAGEREF _Toc44246117 \h </w:instrText>
            </w:r>
            <w:r>
              <w:rPr>
                <w:noProof/>
                <w:webHidden/>
              </w:rPr>
            </w:r>
            <w:r>
              <w:rPr>
                <w:noProof/>
                <w:webHidden/>
              </w:rPr>
              <w:fldChar w:fldCharType="separate"/>
            </w:r>
            <w:r>
              <w:rPr>
                <w:noProof/>
                <w:webHidden/>
              </w:rPr>
              <w:t>3</w:t>
            </w:r>
            <w:r>
              <w:rPr>
                <w:noProof/>
                <w:webHidden/>
              </w:rPr>
              <w:fldChar w:fldCharType="end"/>
            </w:r>
          </w:hyperlink>
        </w:p>
        <w:p w14:paraId="2F7F300A" w14:textId="1AFCEB81" w:rsidR="00A13B49" w:rsidRDefault="00A13B49">
          <w:pPr>
            <w:pStyle w:val="TOC2"/>
            <w:tabs>
              <w:tab w:val="right" w:leader="dot" w:pos="8296"/>
            </w:tabs>
            <w:rPr>
              <w:noProof/>
            </w:rPr>
          </w:pPr>
          <w:hyperlink w:anchor="_Toc44246118" w:history="1">
            <w:r w:rsidRPr="00AD05A7">
              <w:rPr>
                <w:rStyle w:val="ac"/>
                <w:noProof/>
              </w:rPr>
              <w:t>目的与受众</w:t>
            </w:r>
            <w:r>
              <w:rPr>
                <w:noProof/>
                <w:webHidden/>
              </w:rPr>
              <w:tab/>
            </w:r>
            <w:r>
              <w:rPr>
                <w:noProof/>
                <w:webHidden/>
              </w:rPr>
              <w:fldChar w:fldCharType="begin"/>
            </w:r>
            <w:r>
              <w:rPr>
                <w:noProof/>
                <w:webHidden/>
              </w:rPr>
              <w:instrText xml:space="preserve"> PAGEREF _Toc44246118 \h </w:instrText>
            </w:r>
            <w:r>
              <w:rPr>
                <w:noProof/>
                <w:webHidden/>
              </w:rPr>
            </w:r>
            <w:r>
              <w:rPr>
                <w:noProof/>
                <w:webHidden/>
              </w:rPr>
              <w:fldChar w:fldCharType="separate"/>
            </w:r>
            <w:r>
              <w:rPr>
                <w:noProof/>
                <w:webHidden/>
              </w:rPr>
              <w:t>3</w:t>
            </w:r>
            <w:r>
              <w:rPr>
                <w:noProof/>
                <w:webHidden/>
              </w:rPr>
              <w:fldChar w:fldCharType="end"/>
            </w:r>
          </w:hyperlink>
        </w:p>
        <w:p w14:paraId="3D62C07B" w14:textId="7FD5C32D" w:rsidR="00A13B49" w:rsidRDefault="00A13B49">
          <w:pPr>
            <w:pStyle w:val="TOC2"/>
            <w:tabs>
              <w:tab w:val="right" w:leader="dot" w:pos="8296"/>
            </w:tabs>
            <w:rPr>
              <w:noProof/>
            </w:rPr>
          </w:pPr>
          <w:hyperlink w:anchor="_Toc44246119" w:history="1">
            <w:r w:rsidRPr="00AD05A7">
              <w:rPr>
                <w:rStyle w:val="ac"/>
                <w:noProof/>
              </w:rPr>
              <w:t>施工进度</w:t>
            </w:r>
            <w:r>
              <w:rPr>
                <w:noProof/>
                <w:webHidden/>
              </w:rPr>
              <w:tab/>
            </w:r>
            <w:r>
              <w:rPr>
                <w:noProof/>
                <w:webHidden/>
              </w:rPr>
              <w:fldChar w:fldCharType="begin"/>
            </w:r>
            <w:r>
              <w:rPr>
                <w:noProof/>
                <w:webHidden/>
              </w:rPr>
              <w:instrText xml:space="preserve"> PAGEREF _Toc44246119 \h </w:instrText>
            </w:r>
            <w:r>
              <w:rPr>
                <w:noProof/>
                <w:webHidden/>
              </w:rPr>
            </w:r>
            <w:r>
              <w:rPr>
                <w:noProof/>
                <w:webHidden/>
              </w:rPr>
              <w:fldChar w:fldCharType="separate"/>
            </w:r>
            <w:r>
              <w:rPr>
                <w:noProof/>
                <w:webHidden/>
              </w:rPr>
              <w:t>3</w:t>
            </w:r>
            <w:r>
              <w:rPr>
                <w:noProof/>
                <w:webHidden/>
              </w:rPr>
              <w:fldChar w:fldCharType="end"/>
            </w:r>
          </w:hyperlink>
        </w:p>
        <w:p w14:paraId="107F0827" w14:textId="36AA54CA" w:rsidR="00A13B49" w:rsidRDefault="00A13B49">
          <w:pPr>
            <w:pStyle w:val="TOC2"/>
            <w:tabs>
              <w:tab w:val="right" w:leader="dot" w:pos="8296"/>
            </w:tabs>
            <w:rPr>
              <w:noProof/>
            </w:rPr>
          </w:pPr>
          <w:hyperlink w:anchor="_Toc44246120" w:history="1">
            <w:r w:rsidRPr="00AD05A7">
              <w:rPr>
                <w:rStyle w:val="ac"/>
                <w:noProof/>
              </w:rPr>
              <w:t>图例、规范，和指南</w:t>
            </w:r>
            <w:r>
              <w:rPr>
                <w:noProof/>
                <w:webHidden/>
              </w:rPr>
              <w:tab/>
            </w:r>
            <w:r>
              <w:rPr>
                <w:noProof/>
                <w:webHidden/>
              </w:rPr>
              <w:fldChar w:fldCharType="begin"/>
            </w:r>
            <w:r>
              <w:rPr>
                <w:noProof/>
                <w:webHidden/>
              </w:rPr>
              <w:instrText xml:space="preserve"> PAGEREF _Toc44246120 \h </w:instrText>
            </w:r>
            <w:r>
              <w:rPr>
                <w:noProof/>
                <w:webHidden/>
              </w:rPr>
            </w:r>
            <w:r>
              <w:rPr>
                <w:noProof/>
                <w:webHidden/>
              </w:rPr>
              <w:fldChar w:fldCharType="separate"/>
            </w:r>
            <w:r>
              <w:rPr>
                <w:noProof/>
                <w:webHidden/>
              </w:rPr>
              <w:t>3</w:t>
            </w:r>
            <w:r>
              <w:rPr>
                <w:noProof/>
                <w:webHidden/>
              </w:rPr>
              <w:fldChar w:fldCharType="end"/>
            </w:r>
          </w:hyperlink>
        </w:p>
        <w:p w14:paraId="74686EFF" w14:textId="44D86F47" w:rsidR="00A13B49" w:rsidRDefault="00A13B49">
          <w:pPr>
            <w:pStyle w:val="TOC2"/>
            <w:tabs>
              <w:tab w:val="right" w:leader="dot" w:pos="8296"/>
            </w:tabs>
            <w:rPr>
              <w:noProof/>
            </w:rPr>
          </w:pPr>
          <w:hyperlink w:anchor="_Toc44246121" w:history="1">
            <w:r w:rsidRPr="00AD05A7">
              <w:rPr>
                <w:rStyle w:val="ac"/>
                <w:noProof/>
              </w:rPr>
              <w:t>注意事项</w:t>
            </w:r>
            <w:r>
              <w:rPr>
                <w:noProof/>
                <w:webHidden/>
              </w:rPr>
              <w:tab/>
            </w:r>
            <w:r>
              <w:rPr>
                <w:noProof/>
                <w:webHidden/>
              </w:rPr>
              <w:fldChar w:fldCharType="begin"/>
            </w:r>
            <w:r>
              <w:rPr>
                <w:noProof/>
                <w:webHidden/>
              </w:rPr>
              <w:instrText xml:space="preserve"> PAGEREF _Toc44246121 \h </w:instrText>
            </w:r>
            <w:r>
              <w:rPr>
                <w:noProof/>
                <w:webHidden/>
              </w:rPr>
            </w:r>
            <w:r>
              <w:rPr>
                <w:noProof/>
                <w:webHidden/>
              </w:rPr>
              <w:fldChar w:fldCharType="separate"/>
            </w:r>
            <w:r>
              <w:rPr>
                <w:noProof/>
                <w:webHidden/>
              </w:rPr>
              <w:t>3</w:t>
            </w:r>
            <w:r>
              <w:rPr>
                <w:noProof/>
                <w:webHidden/>
              </w:rPr>
              <w:fldChar w:fldCharType="end"/>
            </w:r>
          </w:hyperlink>
        </w:p>
        <w:p w14:paraId="65771AA1" w14:textId="1EC293A4" w:rsidR="00A13B49" w:rsidRDefault="00A13B49">
          <w:pPr>
            <w:pStyle w:val="TOC1"/>
            <w:tabs>
              <w:tab w:val="right" w:leader="dot" w:pos="8296"/>
            </w:tabs>
            <w:rPr>
              <w:noProof/>
            </w:rPr>
          </w:pPr>
          <w:hyperlink w:anchor="_Toc44246122" w:history="1">
            <w:r w:rsidRPr="00AD05A7">
              <w:rPr>
                <w:rStyle w:val="ac"/>
                <w:noProof/>
              </w:rPr>
              <w:t>第二章 中国的金融体系与多层次资本市场</w:t>
            </w:r>
            <w:r>
              <w:rPr>
                <w:noProof/>
                <w:webHidden/>
              </w:rPr>
              <w:tab/>
            </w:r>
            <w:r>
              <w:rPr>
                <w:noProof/>
                <w:webHidden/>
              </w:rPr>
              <w:fldChar w:fldCharType="begin"/>
            </w:r>
            <w:r>
              <w:rPr>
                <w:noProof/>
                <w:webHidden/>
              </w:rPr>
              <w:instrText xml:space="preserve"> PAGEREF _Toc44246122 \h </w:instrText>
            </w:r>
            <w:r>
              <w:rPr>
                <w:noProof/>
                <w:webHidden/>
              </w:rPr>
            </w:r>
            <w:r>
              <w:rPr>
                <w:noProof/>
                <w:webHidden/>
              </w:rPr>
              <w:fldChar w:fldCharType="separate"/>
            </w:r>
            <w:r>
              <w:rPr>
                <w:noProof/>
                <w:webHidden/>
              </w:rPr>
              <w:t>5</w:t>
            </w:r>
            <w:r>
              <w:rPr>
                <w:noProof/>
                <w:webHidden/>
              </w:rPr>
              <w:fldChar w:fldCharType="end"/>
            </w:r>
          </w:hyperlink>
        </w:p>
        <w:p w14:paraId="25458535" w14:textId="1BF0FB70" w:rsidR="00A13B49" w:rsidRDefault="00A13B49">
          <w:pPr>
            <w:pStyle w:val="TOC2"/>
            <w:tabs>
              <w:tab w:val="right" w:leader="dot" w:pos="8296"/>
            </w:tabs>
            <w:rPr>
              <w:noProof/>
            </w:rPr>
          </w:pPr>
          <w:hyperlink w:anchor="_Toc44246123" w:history="1">
            <w:r w:rsidRPr="00AD05A7">
              <w:rPr>
                <w:rStyle w:val="ac"/>
                <w:noProof/>
              </w:rPr>
              <w:t>第一节 中国的金融体系</w:t>
            </w:r>
            <w:r>
              <w:rPr>
                <w:noProof/>
                <w:webHidden/>
              </w:rPr>
              <w:tab/>
            </w:r>
            <w:r>
              <w:rPr>
                <w:noProof/>
                <w:webHidden/>
              </w:rPr>
              <w:fldChar w:fldCharType="begin"/>
            </w:r>
            <w:r>
              <w:rPr>
                <w:noProof/>
                <w:webHidden/>
              </w:rPr>
              <w:instrText xml:space="preserve"> PAGEREF _Toc44246123 \h </w:instrText>
            </w:r>
            <w:r>
              <w:rPr>
                <w:noProof/>
                <w:webHidden/>
              </w:rPr>
            </w:r>
            <w:r>
              <w:rPr>
                <w:noProof/>
                <w:webHidden/>
              </w:rPr>
              <w:fldChar w:fldCharType="separate"/>
            </w:r>
            <w:r>
              <w:rPr>
                <w:noProof/>
                <w:webHidden/>
              </w:rPr>
              <w:t>5</w:t>
            </w:r>
            <w:r>
              <w:rPr>
                <w:noProof/>
                <w:webHidden/>
              </w:rPr>
              <w:fldChar w:fldCharType="end"/>
            </w:r>
          </w:hyperlink>
        </w:p>
        <w:p w14:paraId="7713F940" w14:textId="6756791C" w:rsidR="00A13B49" w:rsidRDefault="00A13B49">
          <w:pPr>
            <w:pStyle w:val="TOC2"/>
            <w:tabs>
              <w:tab w:val="right" w:leader="dot" w:pos="8296"/>
            </w:tabs>
            <w:rPr>
              <w:noProof/>
            </w:rPr>
          </w:pPr>
          <w:hyperlink w:anchor="_Toc44246124" w:history="1">
            <w:r w:rsidRPr="00AD05A7">
              <w:rPr>
                <w:rStyle w:val="ac"/>
                <w:noProof/>
              </w:rPr>
              <w:t>第二节 中国多层次的资本市场</w:t>
            </w:r>
            <w:r>
              <w:rPr>
                <w:noProof/>
                <w:webHidden/>
              </w:rPr>
              <w:tab/>
            </w:r>
            <w:r>
              <w:rPr>
                <w:noProof/>
                <w:webHidden/>
              </w:rPr>
              <w:fldChar w:fldCharType="begin"/>
            </w:r>
            <w:r>
              <w:rPr>
                <w:noProof/>
                <w:webHidden/>
              </w:rPr>
              <w:instrText xml:space="preserve"> PAGEREF _Toc44246124 \h </w:instrText>
            </w:r>
            <w:r>
              <w:rPr>
                <w:noProof/>
                <w:webHidden/>
              </w:rPr>
            </w:r>
            <w:r>
              <w:rPr>
                <w:noProof/>
                <w:webHidden/>
              </w:rPr>
              <w:fldChar w:fldCharType="separate"/>
            </w:r>
            <w:r>
              <w:rPr>
                <w:noProof/>
                <w:webHidden/>
              </w:rPr>
              <w:t>5</w:t>
            </w:r>
            <w:r>
              <w:rPr>
                <w:noProof/>
                <w:webHidden/>
              </w:rPr>
              <w:fldChar w:fldCharType="end"/>
            </w:r>
          </w:hyperlink>
        </w:p>
        <w:p w14:paraId="544DF287" w14:textId="1E0CB1C7" w:rsidR="00A13B49" w:rsidRDefault="00A13B49">
          <w:pPr>
            <w:pStyle w:val="TOC3"/>
            <w:tabs>
              <w:tab w:val="right" w:leader="dot" w:pos="8296"/>
            </w:tabs>
            <w:rPr>
              <w:noProof/>
            </w:rPr>
          </w:pPr>
          <w:hyperlink w:anchor="_Toc44246125" w:history="1">
            <w:r w:rsidRPr="00AD05A7">
              <w:rPr>
                <w:rStyle w:val="ac"/>
                <w:noProof/>
              </w:rPr>
              <w:t>考点10：场内市场</w:t>
            </w:r>
            <w:r>
              <w:rPr>
                <w:noProof/>
                <w:webHidden/>
              </w:rPr>
              <w:tab/>
            </w:r>
            <w:r>
              <w:rPr>
                <w:noProof/>
                <w:webHidden/>
              </w:rPr>
              <w:fldChar w:fldCharType="begin"/>
            </w:r>
            <w:r>
              <w:rPr>
                <w:noProof/>
                <w:webHidden/>
              </w:rPr>
              <w:instrText xml:space="preserve"> PAGEREF _Toc44246125 \h </w:instrText>
            </w:r>
            <w:r>
              <w:rPr>
                <w:noProof/>
                <w:webHidden/>
              </w:rPr>
            </w:r>
            <w:r>
              <w:rPr>
                <w:noProof/>
                <w:webHidden/>
              </w:rPr>
              <w:fldChar w:fldCharType="separate"/>
            </w:r>
            <w:r>
              <w:rPr>
                <w:noProof/>
                <w:webHidden/>
              </w:rPr>
              <w:t>5</w:t>
            </w:r>
            <w:r>
              <w:rPr>
                <w:noProof/>
                <w:webHidden/>
              </w:rPr>
              <w:fldChar w:fldCharType="end"/>
            </w:r>
          </w:hyperlink>
        </w:p>
        <w:p w14:paraId="4D5DFCA2" w14:textId="06E027A3" w:rsidR="00A13B49" w:rsidRDefault="00A13B49">
          <w:pPr>
            <w:pStyle w:val="TOC3"/>
            <w:tabs>
              <w:tab w:val="right" w:leader="dot" w:pos="8296"/>
            </w:tabs>
            <w:rPr>
              <w:noProof/>
            </w:rPr>
          </w:pPr>
          <w:hyperlink w:anchor="_Toc44246126" w:history="1">
            <w:r w:rsidRPr="00AD05A7">
              <w:rPr>
                <w:rStyle w:val="ac"/>
                <w:noProof/>
              </w:rPr>
              <w:t>考点11：场外市场</w:t>
            </w:r>
            <w:r>
              <w:rPr>
                <w:noProof/>
                <w:webHidden/>
              </w:rPr>
              <w:tab/>
            </w:r>
            <w:r>
              <w:rPr>
                <w:noProof/>
                <w:webHidden/>
              </w:rPr>
              <w:fldChar w:fldCharType="begin"/>
            </w:r>
            <w:r>
              <w:rPr>
                <w:noProof/>
                <w:webHidden/>
              </w:rPr>
              <w:instrText xml:space="preserve"> PAGEREF _Toc44246126 \h </w:instrText>
            </w:r>
            <w:r>
              <w:rPr>
                <w:noProof/>
                <w:webHidden/>
              </w:rPr>
            </w:r>
            <w:r>
              <w:rPr>
                <w:noProof/>
                <w:webHidden/>
              </w:rPr>
              <w:fldChar w:fldCharType="separate"/>
            </w:r>
            <w:r>
              <w:rPr>
                <w:noProof/>
                <w:webHidden/>
              </w:rPr>
              <w:t>6</w:t>
            </w:r>
            <w:r>
              <w:rPr>
                <w:noProof/>
                <w:webHidden/>
              </w:rPr>
              <w:fldChar w:fldCharType="end"/>
            </w:r>
          </w:hyperlink>
        </w:p>
        <w:p w14:paraId="29B1B9A8" w14:textId="7A03D0DE" w:rsidR="00A13B49" w:rsidRDefault="00A13B49">
          <w:pPr>
            <w:pStyle w:val="TOC3"/>
            <w:tabs>
              <w:tab w:val="right" w:leader="dot" w:pos="8296"/>
            </w:tabs>
            <w:rPr>
              <w:noProof/>
            </w:rPr>
          </w:pPr>
          <w:hyperlink w:anchor="_Toc44246127" w:history="1">
            <w:r w:rsidRPr="00AD05A7">
              <w:rPr>
                <w:rStyle w:val="ac"/>
                <w:noProof/>
              </w:rPr>
              <w:t>考点12：科创板</w:t>
            </w:r>
            <w:r>
              <w:rPr>
                <w:noProof/>
                <w:webHidden/>
              </w:rPr>
              <w:tab/>
            </w:r>
            <w:r>
              <w:rPr>
                <w:noProof/>
                <w:webHidden/>
              </w:rPr>
              <w:fldChar w:fldCharType="begin"/>
            </w:r>
            <w:r>
              <w:rPr>
                <w:noProof/>
                <w:webHidden/>
              </w:rPr>
              <w:instrText xml:space="preserve"> PAGEREF _Toc44246127 \h </w:instrText>
            </w:r>
            <w:r>
              <w:rPr>
                <w:noProof/>
                <w:webHidden/>
              </w:rPr>
            </w:r>
            <w:r>
              <w:rPr>
                <w:noProof/>
                <w:webHidden/>
              </w:rPr>
              <w:fldChar w:fldCharType="separate"/>
            </w:r>
            <w:r>
              <w:rPr>
                <w:noProof/>
                <w:webHidden/>
              </w:rPr>
              <w:t>6</w:t>
            </w:r>
            <w:r>
              <w:rPr>
                <w:noProof/>
                <w:webHidden/>
              </w:rPr>
              <w:fldChar w:fldCharType="end"/>
            </w:r>
          </w:hyperlink>
        </w:p>
        <w:p w14:paraId="222C1D9A" w14:textId="38A01B14" w:rsidR="00A13B49" w:rsidRDefault="00A13B49">
          <w:pPr>
            <w:pStyle w:val="TOC1"/>
            <w:tabs>
              <w:tab w:val="right" w:leader="dot" w:pos="8296"/>
            </w:tabs>
            <w:rPr>
              <w:noProof/>
            </w:rPr>
          </w:pPr>
          <w:hyperlink w:anchor="_Toc44246128" w:history="1">
            <w:r w:rsidRPr="00AD05A7">
              <w:rPr>
                <w:rStyle w:val="ac"/>
                <w:noProof/>
              </w:rPr>
              <w:t>附件和链接</w:t>
            </w:r>
            <w:r>
              <w:rPr>
                <w:noProof/>
                <w:webHidden/>
              </w:rPr>
              <w:tab/>
            </w:r>
            <w:r>
              <w:rPr>
                <w:noProof/>
                <w:webHidden/>
              </w:rPr>
              <w:fldChar w:fldCharType="begin"/>
            </w:r>
            <w:r>
              <w:rPr>
                <w:noProof/>
                <w:webHidden/>
              </w:rPr>
              <w:instrText xml:space="preserve"> PAGEREF _Toc44246128 \h </w:instrText>
            </w:r>
            <w:r>
              <w:rPr>
                <w:noProof/>
                <w:webHidden/>
              </w:rPr>
            </w:r>
            <w:r>
              <w:rPr>
                <w:noProof/>
                <w:webHidden/>
              </w:rPr>
              <w:fldChar w:fldCharType="separate"/>
            </w:r>
            <w:r>
              <w:rPr>
                <w:noProof/>
                <w:webHidden/>
              </w:rPr>
              <w:t>9</w:t>
            </w:r>
            <w:r>
              <w:rPr>
                <w:noProof/>
                <w:webHidden/>
              </w:rPr>
              <w:fldChar w:fldCharType="end"/>
            </w:r>
          </w:hyperlink>
        </w:p>
        <w:p w14:paraId="11785FEF" w14:textId="1979F43E" w:rsidR="00A13B49" w:rsidRDefault="00A13B49">
          <w:pPr>
            <w:pStyle w:val="TOC2"/>
            <w:tabs>
              <w:tab w:val="right" w:leader="dot" w:pos="8296"/>
            </w:tabs>
            <w:rPr>
              <w:noProof/>
            </w:rPr>
          </w:pPr>
          <w:hyperlink w:anchor="_Toc44246129" w:history="1">
            <w:r w:rsidRPr="00AD05A7">
              <w:rPr>
                <w:rStyle w:val="ac"/>
                <w:noProof/>
              </w:rPr>
              <w:t>学习视频链接</w:t>
            </w:r>
            <w:r>
              <w:rPr>
                <w:noProof/>
                <w:webHidden/>
              </w:rPr>
              <w:tab/>
            </w:r>
            <w:r>
              <w:rPr>
                <w:noProof/>
                <w:webHidden/>
              </w:rPr>
              <w:fldChar w:fldCharType="begin"/>
            </w:r>
            <w:r>
              <w:rPr>
                <w:noProof/>
                <w:webHidden/>
              </w:rPr>
              <w:instrText xml:space="preserve"> PAGEREF _Toc44246129 \h </w:instrText>
            </w:r>
            <w:r>
              <w:rPr>
                <w:noProof/>
                <w:webHidden/>
              </w:rPr>
            </w:r>
            <w:r>
              <w:rPr>
                <w:noProof/>
                <w:webHidden/>
              </w:rPr>
              <w:fldChar w:fldCharType="separate"/>
            </w:r>
            <w:r>
              <w:rPr>
                <w:noProof/>
                <w:webHidden/>
              </w:rPr>
              <w:t>9</w:t>
            </w:r>
            <w:r>
              <w:rPr>
                <w:noProof/>
                <w:webHidden/>
              </w:rPr>
              <w:fldChar w:fldCharType="end"/>
            </w:r>
          </w:hyperlink>
        </w:p>
        <w:p w14:paraId="5F30B189" w14:textId="52051623" w:rsidR="003431E7" w:rsidRDefault="003431E7">
          <w:r>
            <w:rPr>
              <w:b/>
              <w:bCs/>
              <w:lang w:val="zh-CN"/>
            </w:rPr>
            <w:fldChar w:fldCharType="end"/>
          </w:r>
        </w:p>
      </w:sdtContent>
    </w:sdt>
    <w:p w14:paraId="4A0F6CF1" w14:textId="77777777" w:rsidR="003431E7" w:rsidRDefault="003431E7">
      <w:pPr>
        <w:widowControl/>
        <w:jc w:val="left"/>
        <w:rPr>
          <w:rFonts w:hint="eastAsia"/>
        </w:rPr>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246117"/>
      <w:r>
        <w:rPr>
          <w:rFonts w:hint="eastAsia"/>
        </w:rPr>
        <w:lastRenderedPageBreak/>
        <w:t>概述</w:t>
      </w:r>
      <w:bookmarkEnd w:id="3"/>
    </w:p>
    <w:p w14:paraId="38FD0090" w14:textId="3AEB52A5" w:rsidR="007E174D" w:rsidRDefault="0023786D" w:rsidP="0023786D">
      <w:pPr>
        <w:pStyle w:val="2"/>
        <w:rPr>
          <w:rFonts w:hint="eastAsia"/>
        </w:rPr>
      </w:pPr>
      <w:bookmarkStart w:id="4" w:name="_Toc44246118"/>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246119"/>
      <w:r>
        <w:rPr>
          <w:rFonts w:hint="eastAsia"/>
        </w:rPr>
        <w:t>施工进度</w:t>
      </w:r>
      <w:bookmarkEnd w:id="5"/>
    </w:p>
    <w:p w14:paraId="183C4D68" w14:textId="4973216C" w:rsidR="006376AA" w:rsidRDefault="006376AA">
      <w:pPr>
        <w:widowControl/>
        <w:jc w:val="left"/>
      </w:pPr>
      <w:r>
        <w:rPr>
          <w:rFonts w:hint="eastAsia"/>
        </w:rPr>
        <w:t>章节：第三章</w:t>
      </w:r>
    </w:p>
    <w:p w14:paraId="01E65DEB" w14:textId="1A108BA4" w:rsidR="006376AA" w:rsidRDefault="006376AA">
      <w:pPr>
        <w:widowControl/>
        <w:jc w:val="left"/>
      </w:pPr>
      <w:r>
        <w:rPr>
          <w:rFonts w:hint="eastAsia"/>
        </w:rPr>
        <w:t>小节：第一小节</w:t>
      </w:r>
    </w:p>
    <w:p w14:paraId="07C9E048" w14:textId="7B0A9DA7" w:rsidR="006376AA" w:rsidRPr="006376AA" w:rsidRDefault="006376AA">
      <w:pPr>
        <w:widowControl/>
        <w:jc w:val="left"/>
        <w:rPr>
          <w:rFonts w:hint="eastAsia"/>
        </w:rPr>
      </w:pPr>
      <w:r>
        <w:rPr>
          <w:rFonts w:hint="eastAsia"/>
        </w:rPr>
        <w:t>考点：考点1</w:t>
      </w:r>
    </w:p>
    <w:p w14:paraId="335D1F26" w14:textId="2061B176" w:rsidR="00E2153B" w:rsidRDefault="00E2153B" w:rsidP="00E2153B">
      <w:pPr>
        <w:pStyle w:val="2"/>
      </w:pPr>
      <w:bookmarkStart w:id="6" w:name="_Toc44246120"/>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rPr>
          <w:rFonts w:hint="eastAsia"/>
        </w:rPr>
      </w:pPr>
      <w:r>
        <w:rPr>
          <w:rFonts w:hint="eastAsia"/>
        </w:rPr>
        <w:t>考点之中的重点以“</w:t>
      </w:r>
      <w:r w:rsidRPr="000E53AA">
        <w:rPr>
          <w:rStyle w:val="a5"/>
          <w:rFonts w:hint="eastAsia"/>
        </w:rPr>
        <w:t>明显强调</w:t>
      </w:r>
      <w:r>
        <w:rPr>
          <w:rFonts w:hint="eastAsia"/>
        </w:rPr>
        <w:t>”的</w:t>
      </w:r>
      <w:r>
        <w:rPr>
          <w:rFonts w:hint="eastAsia"/>
        </w:rPr>
        <w:t>形式标出，并不计入标题的范畴。</w:t>
      </w:r>
    </w:p>
    <w:p w14:paraId="5AA8F77B" w14:textId="72106C05" w:rsidR="00C8435B" w:rsidRDefault="00C8435B" w:rsidP="00E2153B">
      <w:pPr>
        <w:widowControl/>
        <w:jc w:val="left"/>
        <w:rPr>
          <w:rFonts w:hint="eastAsia"/>
        </w:rPr>
      </w:pPr>
      <w:r>
        <w:rPr>
          <w:rFonts w:hint="eastAsia"/>
        </w:rPr>
        <w:t>考点的记忆方法和注意事项以“</w:t>
      </w:r>
      <w:r w:rsidRPr="00C8435B">
        <w:rPr>
          <w:rStyle w:val="af1"/>
          <w:rFonts w:hint="eastAsia"/>
        </w:rPr>
        <w:t>备注</w:t>
      </w:r>
      <w:r>
        <w:rPr>
          <w:rFonts w:hint="eastAsia"/>
        </w:rPr>
        <w:t>”</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246121"/>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lastRenderedPageBreak/>
        <w:t>由</w:t>
      </w:r>
      <w:r w:rsidRPr="00195554">
        <w:rPr>
          <w:rStyle w:val="a5"/>
        </w:rPr>
        <w:t>拼音输入法</w:t>
      </w:r>
      <w:r>
        <w:t>造成的同音异字：市场-&gt;失常，制度-&gt;制毒</w:t>
      </w:r>
    </w:p>
    <w:p w14:paraId="3F092194" w14:textId="17838B6A" w:rsidR="00E2153B" w:rsidRDefault="006E583D" w:rsidP="00F018A6">
      <w:pPr>
        <w:pStyle w:val="ae"/>
        <w:widowControl/>
        <w:numPr>
          <w:ilvl w:val="0"/>
          <w:numId w:val="10"/>
        </w:numPr>
        <w:ind w:firstLineChars="0"/>
        <w:jc w:val="left"/>
      </w:pPr>
      <w:r>
        <w:t>由于</w:t>
      </w:r>
      <w:r w:rsidRPr="00195554">
        <w:rPr>
          <w:rStyle w:val="a5"/>
        </w:rPr>
        <w:t>手残</w:t>
      </w:r>
      <w:r>
        <w:t>造成的键盘输入错位：制度-&gt;致富</w:t>
      </w:r>
    </w:p>
    <w:p w14:paraId="4AE8B942" w14:textId="77777777" w:rsidR="00E2153B" w:rsidRDefault="00E2153B">
      <w:pPr>
        <w:widowControl/>
        <w:jc w:val="left"/>
      </w:pPr>
    </w:p>
    <w:p w14:paraId="7468AB69" w14:textId="77777777" w:rsidR="007E174D" w:rsidRDefault="007E174D">
      <w:pPr>
        <w:widowControl/>
        <w:jc w:val="left"/>
        <w:rPr>
          <w:rFonts w:hint="eastAsia"/>
        </w:rPr>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77777777" w:rsidR="00B3799A" w:rsidRDefault="00B3799A">
      <w:pPr>
        <w:widowControl/>
        <w:jc w:val="left"/>
      </w:pPr>
      <w:bookmarkStart w:id="8" w:name="_Toc44246122"/>
    </w:p>
    <w:p w14:paraId="1062573F" w14:textId="7B78E821" w:rsidR="00B3799A" w:rsidRDefault="00601071" w:rsidP="00601071">
      <w:pPr>
        <w:pStyle w:val="1"/>
      </w:pPr>
      <w:r>
        <w:rPr>
          <w:rFonts w:hint="eastAsia"/>
        </w:rPr>
        <w:t>第一章 金融市场概述</w:t>
      </w:r>
    </w:p>
    <w:p w14:paraId="582AA409" w14:textId="191FBF68" w:rsidR="00601071" w:rsidRDefault="00601071" w:rsidP="009B4468">
      <w:pPr>
        <w:pStyle w:val="2"/>
      </w:pPr>
      <w:r>
        <w:t>第一节 金融市场概述</w:t>
      </w:r>
    </w:p>
    <w:p w14:paraId="1B26912D" w14:textId="03C6253C" w:rsidR="00601071" w:rsidRDefault="00601071" w:rsidP="00A1324C">
      <w:pPr>
        <w:pStyle w:val="3"/>
      </w:pPr>
      <w:r>
        <w:t>考点</w:t>
      </w:r>
      <w:r w:rsidR="00651803">
        <w:rPr>
          <w:rFonts w:hint="eastAsia"/>
        </w:rPr>
        <w:t>1</w:t>
      </w:r>
      <w:r>
        <w:t>：金融市场的概念与功能</w:t>
      </w:r>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CD540F">
      <w:pPr>
        <w:pStyle w:val="ae"/>
        <w:numPr>
          <w:ilvl w:val="0"/>
          <w:numId w:val="11"/>
        </w:numPr>
        <w:ind w:firstLineChars="0"/>
        <w:rPr>
          <w:rFonts w:hint="eastAsia"/>
        </w:rPr>
      </w:pPr>
      <w:r w:rsidRPr="00277B4B">
        <w:t>资金融通（</w:t>
      </w:r>
      <w:r w:rsidRPr="00277B4B">
        <w:rPr>
          <w:rStyle w:val="a5"/>
        </w:rPr>
        <w:t>首要功能</w:t>
      </w:r>
      <w:r w:rsidRPr="00277B4B">
        <w:t>）</w:t>
      </w:r>
    </w:p>
    <w:p w14:paraId="7671FEDE" w14:textId="59B85EC7" w:rsidR="00601071" w:rsidRPr="00277B4B" w:rsidRDefault="00601071" w:rsidP="00CD540F">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CD540F">
      <w:pPr>
        <w:pStyle w:val="ae"/>
        <w:numPr>
          <w:ilvl w:val="0"/>
          <w:numId w:val="11"/>
        </w:numPr>
        <w:ind w:firstLineChars="0"/>
      </w:pPr>
      <w:r w:rsidRPr="00277B4B">
        <w:t>价格发现</w:t>
      </w:r>
    </w:p>
    <w:p w14:paraId="09B8196A" w14:textId="33F07F45" w:rsidR="00601071" w:rsidRPr="00277B4B" w:rsidRDefault="00601071" w:rsidP="00CD540F">
      <w:pPr>
        <w:pStyle w:val="ae"/>
        <w:numPr>
          <w:ilvl w:val="0"/>
          <w:numId w:val="11"/>
        </w:numPr>
        <w:ind w:firstLineChars="0"/>
        <w:rPr>
          <w:rFonts w:hint="eastAsia"/>
        </w:rPr>
      </w:pPr>
      <w:r w:rsidRPr="00277B4B">
        <w:t>提供流动性（</w:t>
      </w:r>
      <w:r w:rsidRPr="0032013A">
        <w:rPr>
          <w:rStyle w:val="a5"/>
        </w:rPr>
        <w:t>变现</w:t>
      </w:r>
      <w:r w:rsidRPr="00277B4B">
        <w:t>）</w:t>
      </w:r>
    </w:p>
    <w:p w14:paraId="68BB744C" w14:textId="293E8C4C" w:rsidR="00601071" w:rsidRDefault="00601071" w:rsidP="00CD540F">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rPr>
          <w:rFonts w:hint="eastAsia"/>
        </w:rPr>
      </w:pPr>
      <w:r>
        <w:rPr>
          <w:rFonts w:hint="eastAsia"/>
        </w:rPr>
        <w:t>而</w:t>
      </w:r>
      <w:r>
        <w:t>“出售金融资产” 也属于变现，所以是“流动性”。</w:t>
      </w:r>
    </w:p>
    <w:p w14:paraId="7A698736" w14:textId="57A88F04" w:rsidR="00601071" w:rsidRPr="00277B4B" w:rsidRDefault="00601071" w:rsidP="00CD540F">
      <w:pPr>
        <w:pStyle w:val="ae"/>
        <w:numPr>
          <w:ilvl w:val="0"/>
          <w:numId w:val="11"/>
        </w:numPr>
        <w:ind w:firstLineChars="0"/>
      </w:pPr>
      <w:r w:rsidRPr="00277B4B">
        <w:t>风险管理</w:t>
      </w:r>
    </w:p>
    <w:p w14:paraId="426AA0C8" w14:textId="749BBAE1" w:rsidR="00601071" w:rsidRPr="00277B4B" w:rsidRDefault="00601071" w:rsidP="00CD540F">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CD540F">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r>
        <w:t>考点</w:t>
      </w:r>
      <w:r w:rsidR="00924057">
        <w:rPr>
          <w:rFonts w:hint="eastAsia"/>
        </w:rPr>
        <w:t>2</w:t>
      </w:r>
      <w:r>
        <w:t>：直接融资和间接融资</w:t>
      </w:r>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CD540F">
      <w:pPr>
        <w:pStyle w:val="ae"/>
        <w:numPr>
          <w:ilvl w:val="0"/>
          <w:numId w:val="12"/>
        </w:numPr>
        <w:ind w:firstLineChars="0"/>
      </w:pPr>
      <w:r>
        <w:t>直接性</w:t>
      </w:r>
    </w:p>
    <w:p w14:paraId="7EB8CD7A" w14:textId="1571026B" w:rsidR="00601071" w:rsidRDefault="00601071" w:rsidP="00CD540F">
      <w:pPr>
        <w:pStyle w:val="ae"/>
        <w:numPr>
          <w:ilvl w:val="0"/>
          <w:numId w:val="12"/>
        </w:numPr>
        <w:ind w:firstLineChars="0"/>
      </w:pPr>
      <w:r>
        <w:t>分散性</w:t>
      </w:r>
    </w:p>
    <w:p w14:paraId="12AFAD98" w14:textId="048C5B6E" w:rsidR="00601071" w:rsidRDefault="00601071" w:rsidP="00CD540F">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CD540F">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CD540F">
      <w:pPr>
        <w:pStyle w:val="ae"/>
        <w:numPr>
          <w:ilvl w:val="1"/>
          <w:numId w:val="12"/>
        </w:numPr>
        <w:ind w:firstLineChars="0"/>
      </w:pPr>
      <w:r>
        <w:t>即不一定有到期日，或不一定要还本付息。比如买卖股票</w:t>
      </w:r>
    </w:p>
    <w:p w14:paraId="17A3D851" w14:textId="329EA525" w:rsidR="00601071" w:rsidRDefault="00601071" w:rsidP="00CD540F">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CD540F">
      <w:pPr>
        <w:pStyle w:val="ae"/>
        <w:numPr>
          <w:ilvl w:val="0"/>
          <w:numId w:val="13"/>
        </w:numPr>
        <w:ind w:firstLineChars="0"/>
      </w:pPr>
      <w:r>
        <w:t>股票市场融资</w:t>
      </w:r>
    </w:p>
    <w:p w14:paraId="4A13D272" w14:textId="32B33658" w:rsidR="00601071" w:rsidRDefault="00601071" w:rsidP="00CD540F">
      <w:pPr>
        <w:pStyle w:val="ae"/>
        <w:numPr>
          <w:ilvl w:val="0"/>
          <w:numId w:val="13"/>
        </w:numPr>
        <w:ind w:firstLineChars="0"/>
      </w:pPr>
      <w:r>
        <w:t>债券市场融资</w:t>
      </w:r>
    </w:p>
    <w:p w14:paraId="757D2DB6" w14:textId="00EA630D" w:rsidR="00601071" w:rsidRDefault="00601071" w:rsidP="00CD540F">
      <w:pPr>
        <w:pStyle w:val="ae"/>
        <w:numPr>
          <w:ilvl w:val="0"/>
          <w:numId w:val="13"/>
        </w:numPr>
        <w:ind w:firstLineChars="0"/>
      </w:pPr>
      <w:r>
        <w:t>风险投资融资</w:t>
      </w:r>
    </w:p>
    <w:p w14:paraId="5E4F9833" w14:textId="0CE8B3ED" w:rsidR="00601071" w:rsidRDefault="00601071" w:rsidP="00CD540F">
      <w:pPr>
        <w:pStyle w:val="ae"/>
        <w:numPr>
          <w:ilvl w:val="0"/>
          <w:numId w:val="13"/>
        </w:numPr>
        <w:ind w:firstLineChars="0"/>
      </w:pPr>
      <w:r>
        <w:t>商业信用融资</w:t>
      </w:r>
    </w:p>
    <w:p w14:paraId="2E8ECAC0" w14:textId="41F21763" w:rsidR="00601071" w:rsidRDefault="00601071" w:rsidP="00CD540F">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CD540F">
      <w:pPr>
        <w:pStyle w:val="ae"/>
        <w:numPr>
          <w:ilvl w:val="0"/>
          <w:numId w:val="15"/>
        </w:numPr>
        <w:ind w:firstLineChars="0"/>
      </w:pPr>
      <w:r>
        <w:t>资金获得的</w:t>
      </w:r>
      <w:r w:rsidRPr="009C4511">
        <w:rPr>
          <w:rStyle w:val="a5"/>
        </w:rPr>
        <w:t>间接性</w:t>
      </w:r>
    </w:p>
    <w:p w14:paraId="50C94941" w14:textId="19432AA4" w:rsidR="00601071" w:rsidRDefault="00601071" w:rsidP="00CD540F">
      <w:pPr>
        <w:pStyle w:val="ae"/>
        <w:numPr>
          <w:ilvl w:val="0"/>
          <w:numId w:val="15"/>
        </w:numPr>
        <w:ind w:firstLineChars="0"/>
      </w:pPr>
      <w:r>
        <w:t>融资的</w:t>
      </w:r>
      <w:r w:rsidRPr="009C4511">
        <w:rPr>
          <w:rStyle w:val="a5"/>
        </w:rPr>
        <w:t>相对集中性</w:t>
      </w:r>
    </w:p>
    <w:p w14:paraId="550C25F8" w14:textId="41E20C59" w:rsidR="00601071" w:rsidRDefault="00601071" w:rsidP="00CD540F">
      <w:pPr>
        <w:pStyle w:val="ae"/>
        <w:numPr>
          <w:ilvl w:val="0"/>
          <w:numId w:val="15"/>
        </w:numPr>
        <w:ind w:firstLineChars="0"/>
      </w:pPr>
      <w:r>
        <w:t>融资信誉的</w:t>
      </w:r>
      <w:r w:rsidRPr="009C4511">
        <w:rPr>
          <w:rStyle w:val="a5"/>
        </w:rPr>
        <w:t>差异性较小</w:t>
      </w:r>
    </w:p>
    <w:p w14:paraId="4E196F63" w14:textId="02A56A50" w:rsidR="00601071" w:rsidRDefault="00601071" w:rsidP="00CD540F">
      <w:pPr>
        <w:pStyle w:val="ae"/>
        <w:numPr>
          <w:ilvl w:val="0"/>
          <w:numId w:val="15"/>
        </w:numPr>
        <w:ind w:firstLineChars="0"/>
      </w:pPr>
      <w:r>
        <w:t>全部具有</w:t>
      </w:r>
      <w:r w:rsidRPr="009C4511">
        <w:rPr>
          <w:rStyle w:val="a5"/>
        </w:rPr>
        <w:t>可逆性</w:t>
      </w:r>
    </w:p>
    <w:p w14:paraId="60F50D43" w14:textId="4A12B9E2" w:rsidR="00601071" w:rsidRDefault="00601071" w:rsidP="00CD540F">
      <w:pPr>
        <w:pStyle w:val="ae"/>
        <w:numPr>
          <w:ilvl w:val="1"/>
          <w:numId w:val="14"/>
        </w:numPr>
        <w:ind w:firstLineChars="0"/>
        <w:rPr>
          <w:rFonts w:hint="eastAsia"/>
        </w:rPr>
      </w:pPr>
      <w:r>
        <w:t>银行一定会还本付息</w:t>
      </w:r>
    </w:p>
    <w:p w14:paraId="340AADAA" w14:textId="65B749AD" w:rsidR="00601071" w:rsidRDefault="00601071" w:rsidP="00CD540F">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CD540F">
      <w:pPr>
        <w:pStyle w:val="ae"/>
        <w:numPr>
          <w:ilvl w:val="0"/>
          <w:numId w:val="16"/>
        </w:numPr>
        <w:ind w:firstLineChars="0"/>
      </w:pPr>
      <w:r>
        <w:t>银行信用融资</w:t>
      </w:r>
    </w:p>
    <w:p w14:paraId="2135386F" w14:textId="7D1277B2" w:rsidR="00601071" w:rsidRDefault="00601071" w:rsidP="00CD540F">
      <w:pPr>
        <w:pStyle w:val="ae"/>
        <w:numPr>
          <w:ilvl w:val="0"/>
          <w:numId w:val="16"/>
        </w:numPr>
        <w:ind w:firstLineChars="0"/>
      </w:pPr>
      <w:r>
        <w:t>消费信用融资</w:t>
      </w:r>
    </w:p>
    <w:p w14:paraId="11C2C003" w14:textId="04883D4F" w:rsidR="00601071" w:rsidRDefault="00601071" w:rsidP="00CD540F">
      <w:pPr>
        <w:pStyle w:val="ae"/>
        <w:numPr>
          <w:ilvl w:val="0"/>
          <w:numId w:val="16"/>
        </w:numPr>
        <w:ind w:firstLineChars="0"/>
      </w:pPr>
      <w:r>
        <w:t>租赁融资</w:t>
      </w:r>
    </w:p>
    <w:p w14:paraId="5BC8DF43" w14:textId="5F5A6CFE" w:rsidR="00601071" w:rsidRDefault="00601071" w:rsidP="00A1324C">
      <w:pPr>
        <w:pStyle w:val="3"/>
      </w:pPr>
      <w:r>
        <w:t>考点</w:t>
      </w:r>
      <w:r w:rsidR="0063084C">
        <w:rPr>
          <w:rFonts w:hint="eastAsia"/>
        </w:rPr>
        <w:t>3</w:t>
      </w:r>
      <w:r>
        <w:t>：金融市场的重要性</w:t>
      </w:r>
    </w:p>
    <w:p w14:paraId="4429E9E0" w14:textId="7A2BB675" w:rsidR="00601071" w:rsidRDefault="00601071" w:rsidP="00CD540F">
      <w:pPr>
        <w:pStyle w:val="ae"/>
        <w:numPr>
          <w:ilvl w:val="0"/>
          <w:numId w:val="18"/>
        </w:numPr>
        <w:ind w:firstLineChars="0"/>
      </w:pPr>
      <w:r>
        <w:t>促进储蓄——投资转化</w:t>
      </w:r>
    </w:p>
    <w:p w14:paraId="113FF6CD" w14:textId="582A2A1C" w:rsidR="00601071" w:rsidRPr="00DA36C8" w:rsidRDefault="00CE2BD4" w:rsidP="00CD540F">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CD540F">
      <w:pPr>
        <w:pStyle w:val="ae"/>
        <w:numPr>
          <w:ilvl w:val="0"/>
          <w:numId w:val="17"/>
        </w:numPr>
        <w:ind w:firstLineChars="0"/>
        <w:rPr>
          <w:rFonts w:hint="eastAsia"/>
        </w:rPr>
      </w:pPr>
      <w:r>
        <w:t>优化资源配置</w:t>
      </w:r>
    </w:p>
    <w:p w14:paraId="62EBA769" w14:textId="45868F44" w:rsidR="00601071" w:rsidRPr="00DA36C8" w:rsidRDefault="00601071" w:rsidP="00CD540F">
      <w:pPr>
        <w:pStyle w:val="ae"/>
        <w:numPr>
          <w:ilvl w:val="1"/>
          <w:numId w:val="17"/>
        </w:numPr>
        <w:ind w:firstLineChars="0"/>
        <w:rPr>
          <w:rFonts w:hint="eastAsia"/>
        </w:rPr>
      </w:pPr>
      <w:r>
        <w:t>金融市场通过竞争性的价格决定，将货币资金配置到生产效率最高的经济主体或部门，使这些部门能够获得更多的生产要素，从而提高了全社会的产出，使资源的利</w:t>
      </w:r>
      <w:r>
        <w:lastRenderedPageBreak/>
        <w:t>用率得到提高。</w:t>
      </w:r>
    </w:p>
    <w:p w14:paraId="723A4740" w14:textId="7B4A4FA9" w:rsidR="00601071" w:rsidRDefault="00601071" w:rsidP="00CD540F">
      <w:pPr>
        <w:pStyle w:val="ae"/>
        <w:numPr>
          <w:ilvl w:val="0"/>
          <w:numId w:val="17"/>
        </w:numPr>
        <w:ind w:firstLineChars="0"/>
        <w:rPr>
          <w:rFonts w:hint="eastAsia"/>
        </w:rPr>
      </w:pPr>
      <w:r>
        <w:t>反映竞技状态</w:t>
      </w:r>
    </w:p>
    <w:p w14:paraId="7863367E" w14:textId="2BBD74E9" w:rsidR="00601071" w:rsidRDefault="00601071" w:rsidP="00CD540F">
      <w:pPr>
        <w:pStyle w:val="ae"/>
        <w:numPr>
          <w:ilvl w:val="1"/>
          <w:numId w:val="17"/>
        </w:numPr>
        <w:ind w:firstLineChars="0"/>
        <w:rPr>
          <w:rFonts w:hint="eastAsia"/>
        </w:rPr>
      </w:pPr>
      <w:r>
        <w:t>金融市场是经济运行的“晴雨表”，为测度经济运行的景气状态提供了非常方便而且直观的途径或手段。</w:t>
      </w:r>
    </w:p>
    <w:p w14:paraId="3F5DD217" w14:textId="23765C1A" w:rsidR="00601071" w:rsidRDefault="00601071" w:rsidP="00CD540F">
      <w:pPr>
        <w:pStyle w:val="ae"/>
        <w:numPr>
          <w:ilvl w:val="0"/>
          <w:numId w:val="17"/>
        </w:numPr>
        <w:ind w:firstLineChars="0"/>
      </w:pPr>
      <w:r>
        <w:t>宏观调控</w:t>
      </w:r>
    </w:p>
    <w:p w14:paraId="0D5181BE" w14:textId="2AD73C64" w:rsidR="00601071" w:rsidRDefault="00601071" w:rsidP="00CD540F">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r>
        <w:t>考点</w:t>
      </w:r>
      <w:r w:rsidR="002E5DE3">
        <w:rPr>
          <w:rFonts w:hint="eastAsia"/>
        </w:rPr>
        <w:t>4</w:t>
      </w:r>
      <w:r>
        <w:t>：金融市场的分类</w:t>
      </w:r>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CD540F">
      <w:pPr>
        <w:pStyle w:val="ae"/>
        <w:numPr>
          <w:ilvl w:val="0"/>
          <w:numId w:val="20"/>
        </w:numPr>
        <w:ind w:firstLineChars="0"/>
      </w:pPr>
      <w:r>
        <w:t>资本市场（一年以上）</w:t>
      </w:r>
    </w:p>
    <w:p w14:paraId="1FD63F99" w14:textId="4E88F8EA" w:rsidR="00601071" w:rsidRDefault="00601071" w:rsidP="00CD540F">
      <w:pPr>
        <w:pStyle w:val="ae"/>
        <w:numPr>
          <w:ilvl w:val="1"/>
          <w:numId w:val="19"/>
        </w:numPr>
        <w:ind w:firstLineChars="0"/>
      </w:pPr>
      <w:r>
        <w:t>股票市场</w:t>
      </w:r>
    </w:p>
    <w:p w14:paraId="795282A2" w14:textId="5D132B34" w:rsidR="00601071" w:rsidRDefault="00601071" w:rsidP="00CD540F">
      <w:pPr>
        <w:pStyle w:val="ae"/>
        <w:numPr>
          <w:ilvl w:val="1"/>
          <w:numId w:val="19"/>
        </w:numPr>
        <w:ind w:firstLineChars="0"/>
      </w:pPr>
      <w:r>
        <w:t>中长期国债市场</w:t>
      </w:r>
    </w:p>
    <w:p w14:paraId="261473CE" w14:textId="515AE0E5" w:rsidR="00601071" w:rsidRDefault="00601071" w:rsidP="00CD540F">
      <w:pPr>
        <w:pStyle w:val="ae"/>
        <w:numPr>
          <w:ilvl w:val="1"/>
          <w:numId w:val="19"/>
        </w:numPr>
        <w:ind w:firstLineChars="0"/>
        <w:rPr>
          <w:rFonts w:hint="eastAsia"/>
        </w:rPr>
      </w:pPr>
      <w:r>
        <w:t>中长期银行贷款市场</w:t>
      </w:r>
    </w:p>
    <w:p w14:paraId="418D75B2" w14:textId="20EB3B10" w:rsidR="00601071" w:rsidRDefault="00601071" w:rsidP="00CD540F">
      <w:pPr>
        <w:pStyle w:val="ae"/>
        <w:numPr>
          <w:ilvl w:val="0"/>
          <w:numId w:val="19"/>
        </w:numPr>
        <w:ind w:firstLineChars="0"/>
      </w:pPr>
      <w:r>
        <w:t>货币市场（一年以内）</w:t>
      </w:r>
    </w:p>
    <w:p w14:paraId="6AE8FDE9" w14:textId="769638DE" w:rsidR="00601071" w:rsidRDefault="00601071" w:rsidP="00CD540F">
      <w:pPr>
        <w:pStyle w:val="ae"/>
        <w:numPr>
          <w:ilvl w:val="1"/>
          <w:numId w:val="19"/>
        </w:numPr>
        <w:ind w:firstLineChars="0"/>
      </w:pPr>
      <w:r>
        <w:t>银行间同业拆借市场</w:t>
      </w:r>
    </w:p>
    <w:p w14:paraId="0761C218" w14:textId="3735B9CE" w:rsidR="00601071" w:rsidRDefault="00601071" w:rsidP="00CD540F">
      <w:pPr>
        <w:pStyle w:val="ae"/>
        <w:numPr>
          <w:ilvl w:val="1"/>
          <w:numId w:val="19"/>
        </w:numPr>
        <w:ind w:firstLineChars="0"/>
      </w:pPr>
      <w:r>
        <w:t>商业票据市场</w:t>
      </w:r>
    </w:p>
    <w:p w14:paraId="4C5FBC4E" w14:textId="29282ABE" w:rsidR="00601071" w:rsidRDefault="00601071" w:rsidP="00CD540F">
      <w:pPr>
        <w:pStyle w:val="ae"/>
        <w:numPr>
          <w:ilvl w:val="1"/>
          <w:numId w:val="19"/>
        </w:numPr>
        <w:ind w:firstLineChars="0"/>
      </w:pPr>
      <w:r>
        <w:t>短期国库券市场</w:t>
      </w:r>
    </w:p>
    <w:p w14:paraId="0FC7CEE9" w14:textId="73EBFB48" w:rsidR="00601071" w:rsidRDefault="00601071" w:rsidP="00CD540F">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CD540F">
      <w:pPr>
        <w:pStyle w:val="ae"/>
        <w:numPr>
          <w:ilvl w:val="0"/>
          <w:numId w:val="22"/>
        </w:numPr>
        <w:ind w:firstLineChars="0"/>
      </w:pPr>
      <w:r>
        <w:t>债券市场</w:t>
      </w:r>
    </w:p>
    <w:p w14:paraId="12DFB3BC" w14:textId="42833336" w:rsidR="00601071" w:rsidRDefault="00601071" w:rsidP="00CD540F">
      <w:pPr>
        <w:pStyle w:val="ae"/>
        <w:numPr>
          <w:ilvl w:val="1"/>
          <w:numId w:val="21"/>
        </w:numPr>
        <w:ind w:firstLineChars="0"/>
        <w:rPr>
          <w:rFonts w:hint="eastAsia"/>
        </w:rPr>
      </w:pPr>
      <w:r>
        <w:t>债券</w:t>
      </w:r>
    </w:p>
    <w:p w14:paraId="1326C63B" w14:textId="082A1190" w:rsidR="00601071" w:rsidRDefault="00601071" w:rsidP="00CD540F">
      <w:pPr>
        <w:pStyle w:val="ae"/>
        <w:numPr>
          <w:ilvl w:val="0"/>
          <w:numId w:val="21"/>
        </w:numPr>
        <w:ind w:firstLineChars="0"/>
        <w:rPr>
          <w:rFonts w:hint="eastAsia"/>
        </w:rPr>
      </w:pPr>
      <w:r>
        <w:t>权益市场</w:t>
      </w:r>
    </w:p>
    <w:p w14:paraId="518F76BC" w14:textId="796AA01C" w:rsidR="00601071" w:rsidRDefault="00601071" w:rsidP="00CD540F">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CD540F">
      <w:pPr>
        <w:pStyle w:val="ae"/>
        <w:numPr>
          <w:ilvl w:val="0"/>
          <w:numId w:val="23"/>
        </w:numPr>
        <w:ind w:firstLineChars="0"/>
      </w:pPr>
      <w:r>
        <w:t>一级市场（发行市场）</w:t>
      </w:r>
    </w:p>
    <w:p w14:paraId="5FC26C6C" w14:textId="4371204D" w:rsidR="00601071" w:rsidRDefault="00601071" w:rsidP="00CD540F">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CD540F">
      <w:pPr>
        <w:pStyle w:val="ae"/>
        <w:numPr>
          <w:ilvl w:val="0"/>
          <w:numId w:val="24"/>
        </w:numPr>
        <w:ind w:firstLineChars="0"/>
      </w:pPr>
      <w:r>
        <w:t>交易所市场</w:t>
      </w:r>
    </w:p>
    <w:p w14:paraId="68C7F839" w14:textId="7994A2A5" w:rsidR="00601071" w:rsidRDefault="00601071" w:rsidP="00CD540F">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CD540F">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CD540F">
      <w:pPr>
        <w:pStyle w:val="ae"/>
        <w:numPr>
          <w:ilvl w:val="0"/>
          <w:numId w:val="26"/>
        </w:numPr>
        <w:ind w:firstLineChars="0"/>
      </w:pPr>
      <w:r>
        <w:t>衍生品市场</w:t>
      </w:r>
    </w:p>
    <w:p w14:paraId="584C1DC8" w14:textId="51D9FDC2" w:rsidR="00601071" w:rsidRDefault="00601071" w:rsidP="00CD540F">
      <w:pPr>
        <w:pStyle w:val="ae"/>
        <w:numPr>
          <w:ilvl w:val="1"/>
          <w:numId w:val="25"/>
        </w:numPr>
        <w:ind w:firstLineChars="0"/>
      </w:pPr>
      <w:r>
        <w:t>远期</w:t>
      </w:r>
    </w:p>
    <w:p w14:paraId="7B1F6F0C" w14:textId="65797DBB" w:rsidR="00601071" w:rsidRDefault="00601071" w:rsidP="00CD540F">
      <w:pPr>
        <w:pStyle w:val="ae"/>
        <w:numPr>
          <w:ilvl w:val="1"/>
          <w:numId w:val="25"/>
        </w:numPr>
        <w:ind w:firstLineChars="0"/>
      </w:pPr>
      <w:r>
        <w:t>期货</w:t>
      </w:r>
    </w:p>
    <w:p w14:paraId="7FF4270D" w14:textId="3EDB5CFA" w:rsidR="00601071" w:rsidRDefault="00601071" w:rsidP="00CD540F">
      <w:pPr>
        <w:pStyle w:val="ae"/>
        <w:numPr>
          <w:ilvl w:val="1"/>
          <w:numId w:val="25"/>
        </w:numPr>
        <w:ind w:firstLineChars="0"/>
      </w:pPr>
      <w:r>
        <w:t>期权</w:t>
      </w:r>
    </w:p>
    <w:p w14:paraId="548B1C20" w14:textId="1C72D4EF" w:rsidR="00601071" w:rsidRDefault="00601071" w:rsidP="00CD540F">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CD540F">
      <w:pPr>
        <w:pStyle w:val="ae"/>
        <w:numPr>
          <w:ilvl w:val="0"/>
          <w:numId w:val="27"/>
        </w:numPr>
        <w:ind w:firstLineChars="0"/>
      </w:pPr>
      <w:r>
        <w:lastRenderedPageBreak/>
        <w:t>证券市场</w:t>
      </w:r>
    </w:p>
    <w:p w14:paraId="6F4FF746" w14:textId="7DE2FCE8" w:rsidR="00601071" w:rsidRDefault="00601071" w:rsidP="00CD540F">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CD540F">
      <w:pPr>
        <w:pStyle w:val="ae"/>
        <w:numPr>
          <w:ilvl w:val="0"/>
          <w:numId w:val="28"/>
        </w:numPr>
        <w:ind w:firstLineChars="0"/>
      </w:pPr>
      <w:r>
        <w:t>国内金融市场</w:t>
      </w:r>
    </w:p>
    <w:p w14:paraId="169A9FF5" w14:textId="74E7265D" w:rsidR="00601071" w:rsidRDefault="00601071" w:rsidP="00CD540F">
      <w:pPr>
        <w:pStyle w:val="ae"/>
        <w:numPr>
          <w:ilvl w:val="0"/>
          <w:numId w:val="28"/>
        </w:numPr>
        <w:ind w:firstLineChars="0"/>
      </w:pPr>
      <w:r>
        <w:t>国际金融市场</w:t>
      </w:r>
    </w:p>
    <w:p w14:paraId="5A9E2D96" w14:textId="77777777" w:rsidR="00601071" w:rsidRDefault="00601071" w:rsidP="00601071">
      <w:pPr>
        <w:rPr>
          <w:rFonts w:hint="eastAsia"/>
        </w:rPr>
      </w:pPr>
    </w:p>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CD540F">
      <w:pPr>
        <w:pStyle w:val="ae"/>
        <w:numPr>
          <w:ilvl w:val="0"/>
          <w:numId w:val="29"/>
        </w:numPr>
        <w:ind w:firstLineChars="0"/>
      </w:pPr>
      <w:r>
        <w:t>上海证券交易所</w:t>
      </w:r>
    </w:p>
    <w:p w14:paraId="31797BB2" w14:textId="1BDF7616" w:rsidR="00601071" w:rsidRDefault="00601071" w:rsidP="00CD540F">
      <w:pPr>
        <w:pStyle w:val="ae"/>
        <w:numPr>
          <w:ilvl w:val="0"/>
          <w:numId w:val="29"/>
        </w:numPr>
        <w:ind w:firstLineChars="0"/>
      </w:pPr>
      <w:r>
        <w:t>深圳证券交易所</w:t>
      </w:r>
    </w:p>
    <w:p w14:paraId="1C8B37D4" w14:textId="3CE8D6A5" w:rsidR="00601071" w:rsidRDefault="00601071" w:rsidP="00CD540F">
      <w:pPr>
        <w:pStyle w:val="ae"/>
        <w:numPr>
          <w:ilvl w:val="0"/>
          <w:numId w:val="29"/>
        </w:numPr>
        <w:ind w:firstLineChars="0"/>
      </w:pPr>
      <w:r>
        <w:t>郑州商品交易所</w:t>
      </w:r>
    </w:p>
    <w:p w14:paraId="23E98387" w14:textId="6A89C399" w:rsidR="00601071" w:rsidRDefault="00601071" w:rsidP="00CD540F">
      <w:pPr>
        <w:pStyle w:val="ae"/>
        <w:numPr>
          <w:ilvl w:val="0"/>
          <w:numId w:val="29"/>
        </w:numPr>
        <w:ind w:firstLineChars="0"/>
      </w:pPr>
      <w:r>
        <w:t>上海期货交易所</w:t>
      </w:r>
    </w:p>
    <w:p w14:paraId="50679EC5" w14:textId="340D2E1E" w:rsidR="00601071" w:rsidRDefault="00601071" w:rsidP="00CD540F">
      <w:pPr>
        <w:pStyle w:val="ae"/>
        <w:numPr>
          <w:ilvl w:val="0"/>
          <w:numId w:val="29"/>
        </w:numPr>
        <w:ind w:firstLineChars="0"/>
      </w:pPr>
      <w:r>
        <w:t>大连商品交易所</w:t>
      </w:r>
    </w:p>
    <w:p w14:paraId="31D1EE40" w14:textId="4CC939D3" w:rsidR="00601071" w:rsidRDefault="00601071" w:rsidP="00CD540F">
      <w:pPr>
        <w:pStyle w:val="ae"/>
        <w:numPr>
          <w:ilvl w:val="0"/>
          <w:numId w:val="29"/>
        </w:numPr>
        <w:ind w:firstLineChars="0"/>
        <w:rPr>
          <w:rFonts w:hint="eastAsia"/>
        </w:rPr>
      </w:pPr>
      <w:r>
        <w:t>中国金融期货交易所</w:t>
      </w:r>
    </w:p>
    <w:p w14:paraId="32630F32" w14:textId="77777777" w:rsidR="00B3799A" w:rsidRDefault="00B3799A">
      <w:pPr>
        <w:widowControl/>
        <w:jc w:val="left"/>
      </w:pPr>
    </w:p>
    <w:p w14:paraId="6069DC51" w14:textId="507EFAA9" w:rsidR="00B3799A" w:rsidRDefault="00B3799A">
      <w:pPr>
        <w:widowControl/>
        <w:jc w:val="left"/>
        <w:rPr>
          <w:b/>
          <w:bCs/>
          <w:kern w:val="44"/>
          <w:sz w:val="44"/>
          <w:szCs w:val="44"/>
        </w:rPr>
      </w:pPr>
      <w:r>
        <w:br w:type="page"/>
      </w:r>
    </w:p>
    <w:p w14:paraId="6A3E984E" w14:textId="20546315" w:rsidR="00987FB3" w:rsidRDefault="00EE036F" w:rsidP="00E21673">
      <w:pPr>
        <w:pStyle w:val="1"/>
      </w:pPr>
      <w:r>
        <w:rPr>
          <w:rFonts w:hint="eastAsia"/>
        </w:rPr>
        <w:lastRenderedPageBreak/>
        <w:t xml:space="preserve">第二章 </w:t>
      </w:r>
      <w:r w:rsidRPr="00EE036F">
        <w:rPr>
          <w:rFonts w:hint="eastAsia"/>
        </w:rPr>
        <w:t>中国的金融体系与多层次资本市场</w:t>
      </w:r>
      <w:bookmarkEnd w:id="0"/>
      <w:bookmarkEnd w:id="8"/>
    </w:p>
    <w:p w14:paraId="3F6AF550" w14:textId="48E23479" w:rsidR="00EE036F" w:rsidRDefault="00EE036F" w:rsidP="00E21673">
      <w:pPr>
        <w:pStyle w:val="2"/>
      </w:pPr>
      <w:bookmarkStart w:id="9" w:name="_Toc44246123"/>
      <w:r w:rsidRPr="00EE036F">
        <w:rPr>
          <w:rFonts w:hint="eastAsia"/>
        </w:rPr>
        <w:t>第一节</w:t>
      </w:r>
      <w:r w:rsidRPr="00EE036F">
        <w:t xml:space="preserve"> 中国的金融体系</w:t>
      </w:r>
      <w:bookmarkEnd w:id="9"/>
    </w:p>
    <w:p w14:paraId="2903E797" w14:textId="007F2323" w:rsidR="00377CB4" w:rsidRPr="00377CB4" w:rsidRDefault="00377CB4" w:rsidP="00CC19F0">
      <w:pPr>
        <w:pStyle w:val="2"/>
      </w:pPr>
      <w:bookmarkStart w:id="10" w:name="_Toc44246124"/>
      <w:r>
        <w:rPr>
          <w:rFonts w:hint="eastAsia"/>
        </w:rPr>
        <w:t>第二节 中国多层次的资本市场</w:t>
      </w:r>
      <w:bookmarkEnd w:id="10"/>
    </w:p>
    <w:p w14:paraId="2AE8A81D" w14:textId="70E42EA3" w:rsidR="00EE036F" w:rsidRDefault="00EE036F" w:rsidP="00A1324C">
      <w:pPr>
        <w:pStyle w:val="3"/>
        <w:rPr>
          <w:vertAlign w:val="superscript"/>
        </w:rPr>
      </w:pPr>
      <w:bookmarkStart w:id="11" w:name="_Toc44246125"/>
      <w:r>
        <w:rPr>
          <w:rFonts w:hint="eastAsia"/>
        </w:rPr>
        <w:t>考点1</w:t>
      </w:r>
      <w:r>
        <w:t>0</w:t>
      </w:r>
      <w:r>
        <w:rPr>
          <w:rFonts w:hint="eastAsia"/>
        </w:rPr>
        <w:t>：场内市场</w:t>
      </w:r>
      <w:bookmarkEnd w:id="11"/>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12" w:name="_Toc44246126"/>
      <w:r>
        <w:rPr>
          <w:rStyle w:val="ab"/>
          <w:rFonts w:hint="eastAsia"/>
        </w:rPr>
        <w:lastRenderedPageBreak/>
        <w:t>考点1</w:t>
      </w:r>
      <w:r>
        <w:rPr>
          <w:rStyle w:val="ab"/>
        </w:rPr>
        <w:t>1</w:t>
      </w:r>
      <w:r>
        <w:rPr>
          <w:rStyle w:val="ab"/>
          <w:rFonts w:hint="eastAsia"/>
        </w:rPr>
        <w:t>：场外市场</w:t>
      </w:r>
      <w:bookmarkEnd w:id="12"/>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13" w:name="_Toc44246127"/>
      <w:r>
        <w:rPr>
          <w:rFonts w:hint="eastAsia"/>
        </w:rPr>
        <w:t>考点1</w:t>
      </w:r>
      <w:r>
        <w:t>2</w:t>
      </w:r>
      <w:r>
        <w:rPr>
          <w:rFonts w:hint="eastAsia"/>
        </w:rPr>
        <w:t>：科创板</w:t>
      </w:r>
      <w:bookmarkEnd w:id="13"/>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r>
        <w:rPr>
          <w:rFonts w:hint="eastAsia"/>
        </w:rPr>
        <w:lastRenderedPageBreak/>
        <w:t>第三章 证券市场主体</w:t>
      </w:r>
    </w:p>
    <w:p w14:paraId="48C0F3F0" w14:textId="033C539E" w:rsidR="00B3628C" w:rsidRDefault="00B3628C" w:rsidP="00BE307B">
      <w:pPr>
        <w:pStyle w:val="2"/>
      </w:pPr>
      <w:r>
        <w:rPr>
          <w:rFonts w:hint="eastAsia"/>
        </w:rPr>
        <w:t>第一节 证券发行人</w:t>
      </w:r>
    </w:p>
    <w:p w14:paraId="3C608B79" w14:textId="08423F01" w:rsidR="00BE307B" w:rsidRDefault="00EF4295" w:rsidP="00A1324C">
      <w:pPr>
        <w:pStyle w:val="3"/>
      </w:pPr>
      <w:r>
        <w:rPr>
          <w:rFonts w:hint="eastAsia"/>
        </w:rPr>
        <w:t>考点1：</w:t>
      </w:r>
      <w:r w:rsidR="003C798F">
        <w:rPr>
          <w:rFonts w:hint="eastAsia"/>
        </w:rPr>
        <w:t>证券发行人</w:t>
      </w:r>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Fonts w:hint="eastAsia"/>
        </w:rPr>
      </w:pPr>
      <w:r w:rsidRPr="002E32A5">
        <w:rPr>
          <w:rStyle w:val="ab"/>
        </w:rPr>
        <w:t>证券发行人种类</w:t>
      </w:r>
    </w:p>
    <w:p w14:paraId="546057D9" w14:textId="4D1761A5" w:rsidR="002E32A5" w:rsidRDefault="002E32A5" w:rsidP="00CD540F">
      <w:pPr>
        <w:pStyle w:val="ae"/>
        <w:numPr>
          <w:ilvl w:val="0"/>
          <w:numId w:val="30"/>
        </w:numPr>
        <w:ind w:firstLineChars="0"/>
      </w:pPr>
      <w:r>
        <w:rPr>
          <w:rFonts w:hint="eastAsia"/>
        </w:rPr>
        <w:t>政府</w:t>
      </w:r>
    </w:p>
    <w:p w14:paraId="1509DA26" w14:textId="230FE261" w:rsidR="002E32A5" w:rsidRDefault="002E32A5" w:rsidP="00CD540F">
      <w:pPr>
        <w:pStyle w:val="ae"/>
        <w:numPr>
          <w:ilvl w:val="0"/>
          <w:numId w:val="30"/>
        </w:numPr>
        <w:ind w:firstLineChars="0"/>
      </w:pPr>
      <w:r>
        <w:rPr>
          <w:rFonts w:hint="eastAsia"/>
        </w:rPr>
        <w:t>企业（公司）</w:t>
      </w:r>
    </w:p>
    <w:p w14:paraId="336C5F68" w14:textId="4E4E5E50" w:rsidR="002E32A5" w:rsidRDefault="002E32A5" w:rsidP="00CD540F">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CD540F">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CD540F">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CD540F">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CD540F">
      <w:pPr>
        <w:pStyle w:val="ae"/>
        <w:numPr>
          <w:ilvl w:val="0"/>
          <w:numId w:val="31"/>
        </w:numPr>
        <w:ind w:firstLineChars="0"/>
        <w:rPr>
          <w:rFonts w:hint="eastAsia"/>
        </w:rPr>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CD540F">
      <w:pPr>
        <w:pStyle w:val="ae"/>
        <w:numPr>
          <w:ilvl w:val="0"/>
          <w:numId w:val="32"/>
        </w:numPr>
        <w:ind w:firstLineChars="0"/>
        <w:rPr>
          <w:rStyle w:val="a5"/>
        </w:rPr>
      </w:pPr>
      <w:r w:rsidRPr="00B762F6">
        <w:rPr>
          <w:rStyle w:val="a5"/>
        </w:rPr>
        <w:t>中央银行股票</w:t>
      </w:r>
    </w:p>
    <w:p w14:paraId="6207244C" w14:textId="6D10EA27" w:rsidR="00812D43" w:rsidRDefault="00812D43" w:rsidP="00CD540F">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CD540F">
      <w:pPr>
        <w:pStyle w:val="ae"/>
        <w:numPr>
          <w:ilvl w:val="0"/>
          <w:numId w:val="33"/>
        </w:numPr>
        <w:ind w:firstLineChars="0"/>
      </w:pPr>
      <w:r>
        <w:rPr>
          <w:rFonts w:hint="eastAsia"/>
        </w:rPr>
        <w:t>股票融资</w:t>
      </w:r>
    </w:p>
    <w:p w14:paraId="22E3FA71" w14:textId="4736DB2D" w:rsidR="004F2122" w:rsidRPr="00933CE0" w:rsidRDefault="004F2122" w:rsidP="00CD540F">
      <w:pPr>
        <w:pStyle w:val="ae"/>
        <w:numPr>
          <w:ilvl w:val="1"/>
          <w:numId w:val="33"/>
        </w:numPr>
        <w:ind w:firstLineChars="0"/>
        <w:rPr>
          <w:rStyle w:val="a5"/>
        </w:rPr>
      </w:pPr>
      <w:r w:rsidRPr="00933CE0">
        <w:rPr>
          <w:rStyle w:val="a5"/>
        </w:rPr>
        <w:t>自有资本</w:t>
      </w:r>
    </w:p>
    <w:p w14:paraId="1E8320F8" w14:textId="147DA63B" w:rsidR="004F2122" w:rsidRDefault="004F2122" w:rsidP="00CD540F">
      <w:pPr>
        <w:pStyle w:val="ae"/>
        <w:numPr>
          <w:ilvl w:val="1"/>
          <w:numId w:val="33"/>
        </w:numPr>
        <w:ind w:firstLineChars="0"/>
      </w:pPr>
      <w:r>
        <w:rPr>
          <w:rFonts w:hint="eastAsia"/>
        </w:rPr>
        <w:t>筹措长期资本</w:t>
      </w:r>
    </w:p>
    <w:p w14:paraId="335EF3A9" w14:textId="2FBF4163" w:rsidR="004F2122" w:rsidRDefault="004F2122" w:rsidP="00CD540F">
      <w:pPr>
        <w:pStyle w:val="ae"/>
        <w:numPr>
          <w:ilvl w:val="0"/>
          <w:numId w:val="33"/>
        </w:numPr>
        <w:ind w:firstLineChars="0"/>
      </w:pPr>
      <w:r>
        <w:rPr>
          <w:rFonts w:hint="eastAsia"/>
        </w:rPr>
        <w:t>债券融资</w:t>
      </w:r>
    </w:p>
    <w:p w14:paraId="573C2FA8" w14:textId="146A8F6D" w:rsidR="004F2122" w:rsidRPr="00933CE0" w:rsidRDefault="004F2122" w:rsidP="00CD540F">
      <w:pPr>
        <w:pStyle w:val="ae"/>
        <w:numPr>
          <w:ilvl w:val="1"/>
          <w:numId w:val="33"/>
        </w:numPr>
        <w:ind w:firstLineChars="0"/>
        <w:rPr>
          <w:rStyle w:val="a5"/>
        </w:rPr>
      </w:pPr>
      <w:r w:rsidRPr="00933CE0">
        <w:rPr>
          <w:rStyle w:val="a5"/>
        </w:rPr>
        <w:t>借入资本</w:t>
      </w:r>
    </w:p>
    <w:p w14:paraId="570CFF98" w14:textId="2883D5F9" w:rsidR="004F2122" w:rsidRDefault="004F2122" w:rsidP="00CD540F">
      <w:pPr>
        <w:pStyle w:val="ae"/>
        <w:numPr>
          <w:ilvl w:val="1"/>
          <w:numId w:val="33"/>
        </w:numPr>
        <w:ind w:firstLineChars="0"/>
      </w:pPr>
      <w:r>
        <w:rPr>
          <w:rFonts w:hint="eastAsia"/>
        </w:rPr>
        <w:t>筹措长期资本的主要途径</w:t>
      </w:r>
    </w:p>
    <w:p w14:paraId="64B47797" w14:textId="128775C5" w:rsidR="004F2122" w:rsidRDefault="004F2122" w:rsidP="00CD540F">
      <w:pPr>
        <w:pStyle w:val="ae"/>
        <w:numPr>
          <w:ilvl w:val="1"/>
          <w:numId w:val="33"/>
        </w:numPr>
        <w:ind w:firstLineChars="0"/>
        <w:rPr>
          <w:rFonts w:hint="eastAsia"/>
        </w:rPr>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CD540F">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CD540F">
      <w:pPr>
        <w:pStyle w:val="ae"/>
        <w:numPr>
          <w:ilvl w:val="0"/>
          <w:numId w:val="34"/>
        </w:numPr>
        <w:ind w:firstLineChars="0"/>
      </w:pPr>
      <w:r>
        <w:rPr>
          <w:rFonts w:hint="eastAsia"/>
        </w:rPr>
        <w:t>再融资</w:t>
      </w:r>
    </w:p>
    <w:p w14:paraId="07C41EAB" w14:textId="0D0D5890" w:rsidR="00E548FA" w:rsidRDefault="00E548FA" w:rsidP="00CD540F">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CD540F">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CD540F">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CD540F">
      <w:pPr>
        <w:pStyle w:val="ae"/>
        <w:numPr>
          <w:ilvl w:val="1"/>
          <w:numId w:val="34"/>
        </w:numPr>
        <w:ind w:firstLineChars="0"/>
        <w:rPr>
          <w:rFonts w:hint="eastAsia"/>
        </w:rPr>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CD540F">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CD540F">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CD540F">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CD540F">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CD540F">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CD540F">
      <w:pPr>
        <w:pStyle w:val="ae"/>
        <w:numPr>
          <w:ilvl w:val="0"/>
          <w:numId w:val="35"/>
        </w:numPr>
        <w:ind w:firstLineChars="0"/>
        <w:rPr>
          <w:rFonts w:hint="eastAsia"/>
        </w:rPr>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r>
        <w:rPr>
          <w:rFonts w:hint="eastAsia"/>
        </w:rPr>
        <w:t>第二节 证券投资者</w:t>
      </w:r>
    </w:p>
    <w:p w14:paraId="308F1C27" w14:textId="5B3C4F11" w:rsidR="00A74213" w:rsidRDefault="00F92C9D" w:rsidP="00CF3DF1">
      <w:pPr>
        <w:pStyle w:val="3"/>
      </w:pPr>
      <w:r>
        <w:rPr>
          <w:rFonts w:hint="eastAsia"/>
        </w:rPr>
        <w:t>考点2：政府、金融机构投资者</w:t>
      </w:r>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pPr>
        <w:rPr>
          <w:rFonts w:hint="eastAsia"/>
        </w:rPr>
      </w:pPr>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CD540F">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CD540F">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CD540F">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CD540F">
      <w:pPr>
        <w:pStyle w:val="ae"/>
        <w:numPr>
          <w:ilvl w:val="0"/>
          <w:numId w:val="36"/>
        </w:numPr>
        <w:ind w:firstLineChars="0"/>
        <w:rPr>
          <w:rFonts w:hint="eastAsia"/>
        </w:rPr>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CD540F">
      <w:pPr>
        <w:pStyle w:val="ae"/>
        <w:numPr>
          <w:ilvl w:val="0"/>
          <w:numId w:val="37"/>
        </w:numPr>
        <w:ind w:firstLineChars="0"/>
      </w:pPr>
      <w:r>
        <w:rPr>
          <w:rFonts w:hint="eastAsia"/>
        </w:rPr>
        <w:t>一般机构投资者</w:t>
      </w:r>
    </w:p>
    <w:p w14:paraId="5A329349" w14:textId="1339DDF7" w:rsidR="00990DD0" w:rsidRDefault="00990DD0" w:rsidP="00CD540F">
      <w:pPr>
        <w:pStyle w:val="ae"/>
        <w:numPr>
          <w:ilvl w:val="0"/>
          <w:numId w:val="37"/>
        </w:numPr>
        <w:ind w:firstLineChars="0"/>
        <w:rPr>
          <w:rFonts w:hint="eastAsia"/>
        </w:rPr>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CD540F">
      <w:pPr>
        <w:pStyle w:val="ae"/>
        <w:numPr>
          <w:ilvl w:val="0"/>
          <w:numId w:val="38"/>
        </w:numPr>
        <w:ind w:firstLineChars="0"/>
      </w:pPr>
      <w:r>
        <w:rPr>
          <w:rFonts w:hint="eastAsia"/>
        </w:rPr>
        <w:t>金融机构投资者</w:t>
      </w:r>
    </w:p>
    <w:p w14:paraId="3438D652" w14:textId="244AFC71" w:rsidR="00EC6CFB" w:rsidRDefault="00EC6CFB" w:rsidP="00CD540F">
      <w:pPr>
        <w:pStyle w:val="ae"/>
        <w:numPr>
          <w:ilvl w:val="0"/>
          <w:numId w:val="38"/>
        </w:numPr>
        <w:ind w:firstLineChars="0"/>
        <w:rPr>
          <w:rFonts w:hint="eastAsia"/>
        </w:rPr>
      </w:pPr>
      <w:r>
        <w:rPr>
          <w:rFonts w:hint="eastAsia"/>
        </w:rPr>
        <w:t>非金融机构投资者</w:t>
      </w:r>
    </w:p>
    <w:p w14:paraId="62484488" w14:textId="77777777" w:rsidR="00EC6CFB" w:rsidRDefault="00EC6CFB" w:rsidP="00A74213">
      <w:pPr>
        <w:rPr>
          <w:rFonts w:hint="eastAsia"/>
        </w:rPr>
      </w:pPr>
    </w:p>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CD540F">
      <w:pPr>
        <w:pStyle w:val="ae"/>
        <w:numPr>
          <w:ilvl w:val="0"/>
          <w:numId w:val="39"/>
        </w:numPr>
        <w:ind w:firstLineChars="0"/>
      </w:pPr>
      <w:r>
        <w:rPr>
          <w:rFonts w:hint="eastAsia"/>
        </w:rPr>
        <w:t>境内机构投资者</w:t>
      </w:r>
    </w:p>
    <w:p w14:paraId="5173676D" w14:textId="76408821" w:rsidR="000F4A08" w:rsidRDefault="000F4A08" w:rsidP="00CD540F">
      <w:pPr>
        <w:pStyle w:val="ae"/>
        <w:numPr>
          <w:ilvl w:val="0"/>
          <w:numId w:val="39"/>
        </w:numPr>
        <w:ind w:firstLineChars="0"/>
        <w:rPr>
          <w:rFonts w:hint="eastAsia"/>
        </w:rPr>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CD540F">
      <w:pPr>
        <w:pStyle w:val="ae"/>
        <w:numPr>
          <w:ilvl w:val="0"/>
          <w:numId w:val="40"/>
        </w:numPr>
        <w:ind w:firstLineChars="0"/>
      </w:pPr>
      <w:r>
        <w:rPr>
          <w:rFonts w:hint="eastAsia"/>
        </w:rPr>
        <w:t>调剂资金余缺</w:t>
      </w:r>
    </w:p>
    <w:p w14:paraId="6FE6B921" w14:textId="01BFA0BF" w:rsidR="008358CA" w:rsidRDefault="008358CA" w:rsidP="00CD540F">
      <w:pPr>
        <w:pStyle w:val="ae"/>
        <w:numPr>
          <w:ilvl w:val="0"/>
          <w:numId w:val="40"/>
        </w:numPr>
        <w:ind w:firstLineChars="0"/>
      </w:pPr>
      <w:r>
        <w:rPr>
          <w:rFonts w:hint="eastAsia"/>
        </w:rPr>
        <w:t>实施宏观调控</w:t>
      </w:r>
    </w:p>
    <w:p w14:paraId="2F867C28" w14:textId="3E1589C2" w:rsidR="008358CA" w:rsidRDefault="008358CA" w:rsidP="00CD540F">
      <w:pPr>
        <w:pStyle w:val="ae"/>
        <w:numPr>
          <w:ilvl w:val="0"/>
          <w:numId w:val="40"/>
        </w:numPr>
        <w:ind w:firstLineChars="0"/>
        <w:rPr>
          <w:rFonts w:hint="eastAsia"/>
        </w:rPr>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CD540F">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CD540F">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CD540F">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CD540F">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CD540F">
      <w:pPr>
        <w:pStyle w:val="ae"/>
        <w:numPr>
          <w:ilvl w:val="0"/>
          <w:numId w:val="41"/>
        </w:numPr>
        <w:ind w:firstLineChars="0"/>
      </w:pPr>
      <w:r>
        <w:rPr>
          <w:rFonts w:hint="eastAsia"/>
        </w:rPr>
        <w:t>保险经营机构</w:t>
      </w:r>
    </w:p>
    <w:p w14:paraId="504B0AFF" w14:textId="214A9747" w:rsidR="00A74213" w:rsidRDefault="00EA452E" w:rsidP="00CD540F">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r>
        <w:rPr>
          <w:rFonts w:hint="eastAsia"/>
        </w:rPr>
        <w:t>考点3：合格境外机构投资者</w:t>
      </w:r>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pPr>
        <w:rPr>
          <w:rFonts w:hint="eastAsia"/>
        </w:rPr>
      </w:pPr>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pPr>
        <w:rPr>
          <w:rFonts w:hint="eastAsia"/>
        </w:rPr>
      </w:pPr>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CD540F">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CD540F">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CD540F">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CD540F">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CD540F">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CD540F">
      <w:pPr>
        <w:pStyle w:val="ae"/>
        <w:numPr>
          <w:ilvl w:val="1"/>
          <w:numId w:val="42"/>
        </w:numPr>
        <w:ind w:firstLineChars="0"/>
        <w:rPr>
          <w:rFonts w:hint="eastAsia"/>
        </w:rPr>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CD540F">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CD540F">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CD540F">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CD540F">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CD540F">
      <w:pPr>
        <w:pStyle w:val="ae"/>
        <w:numPr>
          <w:ilvl w:val="0"/>
          <w:numId w:val="42"/>
        </w:numPr>
        <w:ind w:firstLineChars="0"/>
        <w:rPr>
          <w:rFonts w:hint="eastAsia"/>
        </w:rPr>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pPr>
        <w:rPr>
          <w:rFonts w:hint="eastAsia"/>
        </w:rPr>
      </w:pPr>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CD540F">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CD540F">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CD540F">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CD540F">
      <w:pPr>
        <w:pStyle w:val="ae"/>
        <w:numPr>
          <w:ilvl w:val="0"/>
          <w:numId w:val="43"/>
        </w:numPr>
        <w:ind w:firstLineChars="0"/>
        <w:rPr>
          <w:rFonts w:hint="eastAsia"/>
        </w:rPr>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7A0DAFB2" w:rsidR="0009711E" w:rsidRDefault="0009711E" w:rsidP="0009711E"/>
    <w:p w14:paraId="7A1A45EF" w14:textId="0C8B8CA4" w:rsidR="0009711E" w:rsidRDefault="0009711E" w:rsidP="0009711E"/>
    <w:p w14:paraId="609F3A6E" w14:textId="02637E40" w:rsidR="0009711E" w:rsidRDefault="0009711E" w:rsidP="0009711E"/>
    <w:p w14:paraId="3DEF1260" w14:textId="77777777" w:rsidR="0009711E" w:rsidRPr="00A74213" w:rsidRDefault="0009711E" w:rsidP="0009711E">
      <w:pPr>
        <w:rPr>
          <w:rFonts w:hint="eastAsia"/>
        </w:rPr>
      </w:pPr>
    </w:p>
    <w:p w14:paraId="7DAA7760" w14:textId="383DC32D" w:rsidR="00B3628C" w:rsidRDefault="00B3628C" w:rsidP="00BE307B">
      <w:pPr>
        <w:pStyle w:val="2"/>
      </w:pPr>
      <w:r>
        <w:rPr>
          <w:rFonts w:hint="eastAsia"/>
        </w:rPr>
        <w:t>第三节 证券中介机构</w:t>
      </w:r>
    </w:p>
    <w:p w14:paraId="34757183" w14:textId="2F9EC749" w:rsidR="00B3628C" w:rsidRDefault="00B3628C" w:rsidP="00BE307B">
      <w:pPr>
        <w:pStyle w:val="2"/>
      </w:pPr>
      <w:r>
        <w:rPr>
          <w:rFonts w:hint="eastAsia"/>
        </w:rPr>
        <w:t>第四节 自律性组织</w:t>
      </w:r>
    </w:p>
    <w:p w14:paraId="795019A0" w14:textId="497CF250" w:rsidR="00B3628C" w:rsidRDefault="00B3628C" w:rsidP="00BE307B">
      <w:pPr>
        <w:pStyle w:val="2"/>
        <w:rPr>
          <w:rFonts w:hint="eastAsia"/>
        </w:rPr>
      </w:pPr>
      <w:r>
        <w:rPr>
          <w:rFonts w:hint="eastAsia"/>
        </w:rPr>
        <w:t>第五节 证券市场监管机构</w:t>
      </w:r>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14" w:name="_Toc44246128"/>
      <w:r>
        <w:rPr>
          <w:rFonts w:hint="eastAsia"/>
        </w:rPr>
        <w:lastRenderedPageBreak/>
        <w:t>附件和链接</w:t>
      </w:r>
      <w:bookmarkEnd w:id="14"/>
    </w:p>
    <w:p w14:paraId="14C4F8D0" w14:textId="54EE07CB" w:rsidR="003735A9" w:rsidRDefault="003735A9" w:rsidP="00F14402">
      <w:pPr>
        <w:pStyle w:val="2"/>
      </w:pPr>
      <w:bookmarkStart w:id="15" w:name="_Toc44246129"/>
      <w:r>
        <w:rPr>
          <w:rFonts w:hint="eastAsia"/>
        </w:rPr>
        <w:t>学习视频链接</w:t>
      </w:r>
      <w:bookmarkEnd w:id="15"/>
    </w:p>
    <w:p w14:paraId="4AADE5DD" w14:textId="0C583770" w:rsidR="00F14402" w:rsidRPr="00F14402" w:rsidRDefault="00F14402" w:rsidP="003D1D04">
      <w:pPr>
        <w:rPr>
          <w:rStyle w:val="ab"/>
        </w:rPr>
      </w:pPr>
      <w:r w:rsidRPr="00F14402">
        <w:rPr>
          <w:rStyle w:val="ab"/>
        </w:rPr>
        <w:t>第二章</w:t>
      </w:r>
    </w:p>
    <w:p w14:paraId="63C3230A" w14:textId="469D903B" w:rsidR="003735A9" w:rsidRDefault="003735A9" w:rsidP="003D1D04">
      <w:r>
        <w:rPr>
          <w:rFonts w:hint="eastAsia"/>
        </w:rPr>
        <w:t>考点</w:t>
      </w:r>
      <w:r w:rsidR="00FC4C96">
        <w:rPr>
          <w:rFonts w:hint="eastAsia"/>
        </w:rPr>
        <w:t>1</w:t>
      </w:r>
      <w:r w:rsidR="00FC4C96">
        <w:t>0</w:t>
      </w:r>
      <w:r>
        <w:rPr>
          <w:rFonts w:hint="eastAsia"/>
        </w:rPr>
        <w:t>：</w:t>
      </w:r>
      <w:hyperlink r:id="rId12" w:history="1">
        <w:r w:rsidRPr="003735A9">
          <w:rPr>
            <w:rStyle w:val="ac"/>
          </w:rPr>
          <w:t>https://www.bilibili.com/video/BV1Ab411V7iU?p=18</w:t>
        </w:r>
      </w:hyperlink>
    </w:p>
    <w:p w14:paraId="25B2F5A9" w14:textId="267AC34F" w:rsidR="00FC4C96" w:rsidRDefault="00FC4C96" w:rsidP="003D1D04">
      <w:r>
        <w:rPr>
          <w:rFonts w:hint="eastAsia"/>
        </w:rPr>
        <w:t>考点1</w:t>
      </w:r>
      <w:r>
        <w:t>1</w:t>
      </w:r>
      <w:r>
        <w:rPr>
          <w:rFonts w:hint="eastAsia"/>
        </w:rPr>
        <w:t>：</w:t>
      </w:r>
      <w:hyperlink r:id="rId13" w:history="1">
        <w:r>
          <w:rPr>
            <w:rStyle w:val="ac"/>
          </w:rPr>
          <w:t>https://www.bilibili.com/video/BV1Ab411V7iU?p=19</w:t>
        </w:r>
      </w:hyperlink>
    </w:p>
    <w:p w14:paraId="2FD25EA2" w14:textId="539E23D0" w:rsidR="00686840" w:rsidRDefault="00686840" w:rsidP="00686840">
      <w:pPr>
        <w:rPr>
          <w:rStyle w:val="ac"/>
        </w:rPr>
      </w:pPr>
      <w:r>
        <w:rPr>
          <w:rFonts w:hint="eastAsia"/>
        </w:rPr>
        <w:t>考点1</w:t>
      </w:r>
      <w:r>
        <w:t>2</w:t>
      </w:r>
      <w:r>
        <w:rPr>
          <w:rFonts w:hint="eastAsia"/>
        </w:rPr>
        <w:t>：</w:t>
      </w:r>
      <w:hyperlink r:id="rId14" w:history="1">
        <w:r>
          <w:rPr>
            <w:rStyle w:val="ac"/>
          </w:rPr>
          <w:t>https://www.bilibili.com/video/BV1Ab411V7iU?p=20</w:t>
        </w:r>
      </w:hyperlink>
    </w:p>
    <w:p w14:paraId="74D0CB76" w14:textId="6B28816E" w:rsidR="009F48A9" w:rsidRPr="009F48A9" w:rsidRDefault="009F48A9" w:rsidP="00686840"/>
    <w:p w14:paraId="0BFA54E5" w14:textId="4EC0EA40" w:rsidR="009F48A9" w:rsidRDefault="009F48A9" w:rsidP="00686840">
      <w:r w:rsidRPr="009F48A9">
        <w:t>第三章</w:t>
      </w:r>
    </w:p>
    <w:p w14:paraId="59E78A77" w14:textId="1244BD42" w:rsidR="009F48A9" w:rsidRDefault="009F48A9" w:rsidP="00686840">
      <w:r>
        <w:rPr>
          <w:rFonts w:hint="eastAsia"/>
        </w:rPr>
        <w:t>考点1：</w:t>
      </w:r>
      <w:hyperlink r:id="rId15" w:history="1">
        <w:r w:rsidR="00F57331" w:rsidRPr="00F57331">
          <w:rPr>
            <w:rStyle w:val="ac"/>
          </w:rPr>
          <w:t>https://www.bilibili.com/video/BV1Ab411V7iU?t=3&amp;p=21</w:t>
        </w:r>
      </w:hyperlink>
    </w:p>
    <w:p w14:paraId="5BDFAFAB" w14:textId="3A207086" w:rsidR="009F48A9" w:rsidRDefault="004E3988" w:rsidP="00686840">
      <w:r>
        <w:rPr>
          <w:rFonts w:hint="eastAsia"/>
        </w:rPr>
        <w:t>考点2：</w:t>
      </w:r>
      <w:hyperlink r:id="rId16" w:history="1">
        <w:r w:rsidRPr="004E3988">
          <w:rPr>
            <w:rStyle w:val="ac"/>
          </w:rPr>
          <w:t>https://www.bilibili.com/video/BV1Ab411V7iU?p=22</w:t>
        </w:r>
      </w:hyperlink>
    </w:p>
    <w:p w14:paraId="0989AA49" w14:textId="2E07F67A" w:rsidR="004E3988" w:rsidRDefault="004E3988"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Pr>
        <w:rPr>
          <w:rFonts w:hint="eastAsia"/>
        </w:rPr>
      </w:pPr>
    </w:p>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Pr>
        <w:rPr>
          <w:rFonts w:hint="eastAsia"/>
        </w:rPr>
      </w:pPr>
    </w:p>
    <w:p w14:paraId="3833D7EE" w14:textId="77777777" w:rsidR="009F48A9" w:rsidRDefault="009F48A9" w:rsidP="00686840">
      <w:pPr>
        <w:rPr>
          <w:rFonts w:hint="eastAsia"/>
        </w:rPr>
      </w:pPr>
    </w:p>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7"/>
      <w:footerReference w:type="default" r:id="rId18"/>
      <w:footerReference w:type="first" r:id="rId1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DED56" w14:textId="77777777" w:rsidR="00CD540F" w:rsidRDefault="00CD540F" w:rsidP="002D398F">
      <w:r>
        <w:separator/>
      </w:r>
    </w:p>
  </w:endnote>
  <w:endnote w:type="continuationSeparator" w:id="0">
    <w:p w14:paraId="501317B3" w14:textId="77777777" w:rsidR="00CD540F" w:rsidRDefault="00CD540F"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B04B1A" w:rsidRDefault="00B04B1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4C5C3B" w:rsidRDefault="004C5C3B">
            <w:pPr>
              <w:pStyle w:val="a8"/>
              <w:jc w:val="center"/>
            </w:pPr>
            <w:r>
              <w:rPr>
                <w:lang w:val="zh-CN"/>
              </w:rPr>
              <w:t xml:space="preserve"> </w:t>
            </w:r>
          </w:p>
        </w:sdtContent>
      </w:sdt>
    </w:sdtContent>
  </w:sdt>
  <w:p w14:paraId="1EA8135C" w14:textId="77777777" w:rsidR="004C5C3B" w:rsidRDefault="004C5C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8E9DB" w14:textId="77777777" w:rsidR="00CD540F" w:rsidRDefault="00CD540F" w:rsidP="002D398F">
      <w:r>
        <w:separator/>
      </w:r>
    </w:p>
  </w:footnote>
  <w:footnote w:type="continuationSeparator" w:id="0">
    <w:p w14:paraId="558D0981" w14:textId="77777777" w:rsidR="00CD540F" w:rsidRDefault="00CD540F"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076F58FA" w:rsidR="002D398F" w:rsidRDefault="00D101E9">
    <w:pPr>
      <w:pStyle w:val="a6"/>
    </w:pPr>
    <w:r>
      <w:rPr>
        <w:rFonts w:hint="eastAsia"/>
      </w:rPr>
      <w:t>金融市场基础知识</w:t>
    </w:r>
    <w:r>
      <w:ptab w:relativeTo="margin" w:alignment="center" w:leader="none"/>
    </w:r>
    <w:r w:rsidR="00CD540F">
      <w:fldChar w:fldCharType="begin"/>
    </w:r>
    <w:r w:rsidR="00CD540F">
      <w:instrText xml:space="preserve"> STYLEREF  "</w:instrText>
    </w:r>
    <w:r w:rsidR="00CD540F">
      <w:instrText>标题</w:instrText>
    </w:r>
    <w:r w:rsidR="00CD540F">
      <w:instrText xml:space="preserve"> 1,</w:instrText>
    </w:r>
    <w:r w:rsidR="00CD540F">
      <w:instrText>标题</w:instrText>
    </w:r>
    <w:r w:rsidR="00CD540F">
      <w:instrText xml:space="preserve"> 1 </w:instrText>
    </w:r>
    <w:r w:rsidR="00CD540F">
      <w:instrText>章节</w:instrText>
    </w:r>
    <w:r w:rsidR="00CD540F">
      <w:instrText xml:space="preserve">"  \* MERGEFORMAT </w:instrText>
    </w:r>
    <w:r w:rsidR="00CD540F">
      <w:fldChar w:fldCharType="separate"/>
    </w:r>
    <w:r w:rsidR="00B3409E">
      <w:rPr>
        <w:noProof/>
      </w:rPr>
      <w:t>附件和链接</w:t>
    </w:r>
    <w:r w:rsidR="00CD540F">
      <w:rPr>
        <w:noProof/>
      </w:rPr>
      <w:fldChar w:fldCharType="end"/>
    </w:r>
    <w:r>
      <w:ptab w:relativeTo="margin" w:alignment="right" w:leader="none"/>
    </w:r>
    <w:r w:rsidR="00CD540F">
      <w:fldChar w:fldCharType="begin"/>
    </w:r>
    <w:r w:rsidR="00CD540F">
      <w:instrText xml:space="preserve"> STYLEREF  "</w:instrText>
    </w:r>
    <w:r w:rsidR="00CD540F">
      <w:instrText>标题</w:instrText>
    </w:r>
    <w:r w:rsidR="00CD540F">
      <w:instrText xml:space="preserve"> 2,</w:instrText>
    </w:r>
    <w:r w:rsidR="00CD540F">
      <w:instrText>标题</w:instrText>
    </w:r>
    <w:r w:rsidR="00CD540F">
      <w:instrText xml:space="preserve"> 2 </w:instrText>
    </w:r>
    <w:r w:rsidR="00CD540F">
      <w:instrText>小节</w:instrText>
    </w:r>
    <w:r w:rsidR="00CD540F">
      <w:instrText xml:space="preserve">"  \* MERGEFORMAT </w:instrText>
    </w:r>
    <w:r w:rsidR="00CD540F">
      <w:fldChar w:fldCharType="separate"/>
    </w:r>
    <w:r w:rsidR="00B3409E">
      <w:rPr>
        <w:noProof/>
      </w:rPr>
      <w:t>学习视频链接</w:t>
    </w:r>
    <w:r w:rsidR="00CD540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6"/>
  </w:num>
  <w:num w:numId="3">
    <w:abstractNumId w:val="34"/>
  </w:num>
  <w:num w:numId="4">
    <w:abstractNumId w:val="9"/>
  </w:num>
  <w:num w:numId="5">
    <w:abstractNumId w:val="18"/>
  </w:num>
  <w:num w:numId="6">
    <w:abstractNumId w:val="26"/>
  </w:num>
  <w:num w:numId="7">
    <w:abstractNumId w:val="10"/>
  </w:num>
  <w:num w:numId="8">
    <w:abstractNumId w:val="25"/>
  </w:num>
  <w:num w:numId="9">
    <w:abstractNumId w:val="15"/>
  </w:num>
  <w:num w:numId="10">
    <w:abstractNumId w:val="33"/>
  </w:num>
  <w:num w:numId="11">
    <w:abstractNumId w:val="4"/>
  </w:num>
  <w:num w:numId="12">
    <w:abstractNumId w:val="24"/>
  </w:num>
  <w:num w:numId="13">
    <w:abstractNumId w:val="0"/>
  </w:num>
  <w:num w:numId="14">
    <w:abstractNumId w:val="12"/>
  </w:num>
  <w:num w:numId="15">
    <w:abstractNumId w:val="30"/>
  </w:num>
  <w:num w:numId="16">
    <w:abstractNumId w:val="3"/>
  </w:num>
  <w:num w:numId="17">
    <w:abstractNumId w:val="19"/>
  </w:num>
  <w:num w:numId="18">
    <w:abstractNumId w:val="39"/>
  </w:num>
  <w:num w:numId="19">
    <w:abstractNumId w:val="17"/>
  </w:num>
  <w:num w:numId="20">
    <w:abstractNumId w:val="42"/>
  </w:num>
  <w:num w:numId="21">
    <w:abstractNumId w:val="37"/>
  </w:num>
  <w:num w:numId="22">
    <w:abstractNumId w:val="31"/>
  </w:num>
  <w:num w:numId="23">
    <w:abstractNumId w:val="7"/>
  </w:num>
  <w:num w:numId="24">
    <w:abstractNumId w:val="35"/>
  </w:num>
  <w:num w:numId="25">
    <w:abstractNumId w:val="11"/>
  </w:num>
  <w:num w:numId="26">
    <w:abstractNumId w:val="13"/>
  </w:num>
  <w:num w:numId="27">
    <w:abstractNumId w:val="20"/>
  </w:num>
  <w:num w:numId="28">
    <w:abstractNumId w:val="28"/>
  </w:num>
  <w:num w:numId="29">
    <w:abstractNumId w:val="5"/>
  </w:num>
  <w:num w:numId="30">
    <w:abstractNumId w:val="27"/>
  </w:num>
  <w:num w:numId="31">
    <w:abstractNumId w:val="8"/>
  </w:num>
  <w:num w:numId="32">
    <w:abstractNumId w:val="36"/>
  </w:num>
  <w:num w:numId="33">
    <w:abstractNumId w:val="2"/>
  </w:num>
  <w:num w:numId="34">
    <w:abstractNumId w:val="21"/>
  </w:num>
  <w:num w:numId="35">
    <w:abstractNumId w:val="1"/>
  </w:num>
  <w:num w:numId="36">
    <w:abstractNumId w:val="41"/>
  </w:num>
  <w:num w:numId="37">
    <w:abstractNumId w:val="38"/>
  </w:num>
  <w:num w:numId="38">
    <w:abstractNumId w:val="29"/>
  </w:num>
  <w:num w:numId="39">
    <w:abstractNumId w:val="22"/>
  </w:num>
  <w:num w:numId="40">
    <w:abstractNumId w:val="23"/>
  </w:num>
  <w:num w:numId="41">
    <w:abstractNumId w:val="40"/>
  </w:num>
  <w:num w:numId="42">
    <w:abstractNumId w:val="32"/>
  </w:num>
  <w:num w:numId="43">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114C4"/>
    <w:rsid w:val="00025359"/>
    <w:rsid w:val="0002704C"/>
    <w:rsid w:val="00041B12"/>
    <w:rsid w:val="000549D3"/>
    <w:rsid w:val="00063EEA"/>
    <w:rsid w:val="00072F03"/>
    <w:rsid w:val="000764AF"/>
    <w:rsid w:val="000917ED"/>
    <w:rsid w:val="0009711E"/>
    <w:rsid w:val="000E53AA"/>
    <w:rsid w:val="000F4A08"/>
    <w:rsid w:val="000F5834"/>
    <w:rsid w:val="00100248"/>
    <w:rsid w:val="00134C6C"/>
    <w:rsid w:val="00140CAD"/>
    <w:rsid w:val="00153D2D"/>
    <w:rsid w:val="00157377"/>
    <w:rsid w:val="00195554"/>
    <w:rsid w:val="001A2DEC"/>
    <w:rsid w:val="001B1903"/>
    <w:rsid w:val="001C25DB"/>
    <w:rsid w:val="001F34C2"/>
    <w:rsid w:val="002145E7"/>
    <w:rsid w:val="0023786D"/>
    <w:rsid w:val="002439D3"/>
    <w:rsid w:val="002661FF"/>
    <w:rsid w:val="00277B4B"/>
    <w:rsid w:val="002A238C"/>
    <w:rsid w:val="002B7D6C"/>
    <w:rsid w:val="002D398F"/>
    <w:rsid w:val="002D4DD6"/>
    <w:rsid w:val="002E32A5"/>
    <w:rsid w:val="002E5DE3"/>
    <w:rsid w:val="002E6A56"/>
    <w:rsid w:val="00302D6F"/>
    <w:rsid w:val="00316EA3"/>
    <w:rsid w:val="0032013A"/>
    <w:rsid w:val="003431E7"/>
    <w:rsid w:val="00351029"/>
    <w:rsid w:val="003735A9"/>
    <w:rsid w:val="00377CB4"/>
    <w:rsid w:val="003B64A0"/>
    <w:rsid w:val="003C3E17"/>
    <w:rsid w:val="003C798F"/>
    <w:rsid w:val="003D1D04"/>
    <w:rsid w:val="003D205B"/>
    <w:rsid w:val="003F58B5"/>
    <w:rsid w:val="004000E5"/>
    <w:rsid w:val="00444FC2"/>
    <w:rsid w:val="00474271"/>
    <w:rsid w:val="00482191"/>
    <w:rsid w:val="004A398D"/>
    <w:rsid w:val="004B013C"/>
    <w:rsid w:val="004B5540"/>
    <w:rsid w:val="004C5C3B"/>
    <w:rsid w:val="004E3988"/>
    <w:rsid w:val="004F2122"/>
    <w:rsid w:val="005046AC"/>
    <w:rsid w:val="005228B1"/>
    <w:rsid w:val="005308F6"/>
    <w:rsid w:val="00571591"/>
    <w:rsid w:val="005946CA"/>
    <w:rsid w:val="005B0C05"/>
    <w:rsid w:val="005C58D4"/>
    <w:rsid w:val="00601071"/>
    <w:rsid w:val="00616E2C"/>
    <w:rsid w:val="0063084C"/>
    <w:rsid w:val="006376AA"/>
    <w:rsid w:val="006422F3"/>
    <w:rsid w:val="006425E4"/>
    <w:rsid w:val="00651803"/>
    <w:rsid w:val="00656696"/>
    <w:rsid w:val="006607EC"/>
    <w:rsid w:val="00686840"/>
    <w:rsid w:val="0069242E"/>
    <w:rsid w:val="00694864"/>
    <w:rsid w:val="00696889"/>
    <w:rsid w:val="006E583D"/>
    <w:rsid w:val="006F12C6"/>
    <w:rsid w:val="006F70FB"/>
    <w:rsid w:val="00700103"/>
    <w:rsid w:val="00720423"/>
    <w:rsid w:val="00723E83"/>
    <w:rsid w:val="00733A13"/>
    <w:rsid w:val="00733C95"/>
    <w:rsid w:val="007369A5"/>
    <w:rsid w:val="007766B6"/>
    <w:rsid w:val="00785FDE"/>
    <w:rsid w:val="00792846"/>
    <w:rsid w:val="007B1BAC"/>
    <w:rsid w:val="007B3E18"/>
    <w:rsid w:val="007E174D"/>
    <w:rsid w:val="007E7601"/>
    <w:rsid w:val="007F5970"/>
    <w:rsid w:val="00801F8F"/>
    <w:rsid w:val="008028CE"/>
    <w:rsid w:val="00812D43"/>
    <w:rsid w:val="0082131C"/>
    <w:rsid w:val="00825682"/>
    <w:rsid w:val="008358CA"/>
    <w:rsid w:val="00852682"/>
    <w:rsid w:val="00860A5D"/>
    <w:rsid w:val="00875C05"/>
    <w:rsid w:val="00881C4F"/>
    <w:rsid w:val="008C1BB2"/>
    <w:rsid w:val="008C2FC4"/>
    <w:rsid w:val="008D21B7"/>
    <w:rsid w:val="008F7245"/>
    <w:rsid w:val="009155A9"/>
    <w:rsid w:val="00922256"/>
    <w:rsid w:val="00924057"/>
    <w:rsid w:val="00925D5C"/>
    <w:rsid w:val="00933CE0"/>
    <w:rsid w:val="00935F16"/>
    <w:rsid w:val="00955D69"/>
    <w:rsid w:val="00974365"/>
    <w:rsid w:val="00984100"/>
    <w:rsid w:val="00987FB3"/>
    <w:rsid w:val="00990DD0"/>
    <w:rsid w:val="009A10E6"/>
    <w:rsid w:val="009A11ED"/>
    <w:rsid w:val="009B4468"/>
    <w:rsid w:val="009C10F3"/>
    <w:rsid w:val="009C4511"/>
    <w:rsid w:val="009C634D"/>
    <w:rsid w:val="009F0974"/>
    <w:rsid w:val="009F48A9"/>
    <w:rsid w:val="009F5D94"/>
    <w:rsid w:val="00A0233B"/>
    <w:rsid w:val="00A03736"/>
    <w:rsid w:val="00A064CA"/>
    <w:rsid w:val="00A1324C"/>
    <w:rsid w:val="00A13B49"/>
    <w:rsid w:val="00A15A94"/>
    <w:rsid w:val="00A242EC"/>
    <w:rsid w:val="00A4517A"/>
    <w:rsid w:val="00A47AC2"/>
    <w:rsid w:val="00A55551"/>
    <w:rsid w:val="00A74213"/>
    <w:rsid w:val="00AC176B"/>
    <w:rsid w:val="00B02869"/>
    <w:rsid w:val="00B04B1A"/>
    <w:rsid w:val="00B12B8F"/>
    <w:rsid w:val="00B22FCB"/>
    <w:rsid w:val="00B249F9"/>
    <w:rsid w:val="00B303E1"/>
    <w:rsid w:val="00B31C6F"/>
    <w:rsid w:val="00B3409E"/>
    <w:rsid w:val="00B3628C"/>
    <w:rsid w:val="00B36DBB"/>
    <w:rsid w:val="00B377B5"/>
    <w:rsid w:val="00B3799A"/>
    <w:rsid w:val="00B50A20"/>
    <w:rsid w:val="00B53C98"/>
    <w:rsid w:val="00B626E9"/>
    <w:rsid w:val="00B762F6"/>
    <w:rsid w:val="00B92B24"/>
    <w:rsid w:val="00BA0763"/>
    <w:rsid w:val="00BC3C32"/>
    <w:rsid w:val="00BD1CC3"/>
    <w:rsid w:val="00BE307B"/>
    <w:rsid w:val="00BF34D7"/>
    <w:rsid w:val="00BF42A9"/>
    <w:rsid w:val="00C52511"/>
    <w:rsid w:val="00C54C90"/>
    <w:rsid w:val="00C72643"/>
    <w:rsid w:val="00C77B3B"/>
    <w:rsid w:val="00C8435B"/>
    <w:rsid w:val="00CA1D1F"/>
    <w:rsid w:val="00CB66FF"/>
    <w:rsid w:val="00CC19F0"/>
    <w:rsid w:val="00CD540F"/>
    <w:rsid w:val="00CE2BD4"/>
    <w:rsid w:val="00CF1F72"/>
    <w:rsid w:val="00CF310F"/>
    <w:rsid w:val="00CF3DF1"/>
    <w:rsid w:val="00D06601"/>
    <w:rsid w:val="00D101E9"/>
    <w:rsid w:val="00D23362"/>
    <w:rsid w:val="00D2355E"/>
    <w:rsid w:val="00D2419A"/>
    <w:rsid w:val="00D32755"/>
    <w:rsid w:val="00D377F0"/>
    <w:rsid w:val="00D52552"/>
    <w:rsid w:val="00D73E79"/>
    <w:rsid w:val="00D80608"/>
    <w:rsid w:val="00D91C2A"/>
    <w:rsid w:val="00DA2D29"/>
    <w:rsid w:val="00DA36C8"/>
    <w:rsid w:val="00DE21A9"/>
    <w:rsid w:val="00DE2E24"/>
    <w:rsid w:val="00E133BA"/>
    <w:rsid w:val="00E2153B"/>
    <w:rsid w:val="00E21673"/>
    <w:rsid w:val="00E40740"/>
    <w:rsid w:val="00E5030C"/>
    <w:rsid w:val="00E548FA"/>
    <w:rsid w:val="00EA2C5B"/>
    <w:rsid w:val="00EA452E"/>
    <w:rsid w:val="00EB092A"/>
    <w:rsid w:val="00EB150B"/>
    <w:rsid w:val="00EC6CFB"/>
    <w:rsid w:val="00EE036F"/>
    <w:rsid w:val="00EF2415"/>
    <w:rsid w:val="00EF37EC"/>
    <w:rsid w:val="00EF4295"/>
    <w:rsid w:val="00F018A6"/>
    <w:rsid w:val="00F1103D"/>
    <w:rsid w:val="00F118FB"/>
    <w:rsid w:val="00F14402"/>
    <w:rsid w:val="00F57331"/>
    <w:rsid w:val="00F92C9D"/>
    <w:rsid w:val="00F95EAD"/>
    <w:rsid w:val="00F978D0"/>
    <w:rsid w:val="00FA1A02"/>
    <w:rsid w:val="00FC4A2E"/>
    <w:rsid w:val="00FC4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19"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ilibili.com/video/BV1Ab411V7iU?p=1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ilibili.com/video/BV1Ab411V7iU?p=2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bilibili.com/video/BV1Ab411V7iU?t=3&amp;p=21" TargetMode="External"/><Relationship Id="rId10" Type="http://schemas.openxmlformats.org/officeDocument/2006/relationships/hyperlink" Target="mailto:zongzhe_chen@sina.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yperlink" Target="https://www.bilibili.com/video/BV1Ab411V7iU?p=20"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5D336-CDD4-4728-B5F8-2369286D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17</Pages>
  <Words>1178</Words>
  <Characters>6715</Characters>
  <Application>Microsoft Office Word</Application>
  <DocSecurity>0</DocSecurity>
  <Lines>55</Lines>
  <Paragraphs>15</Paragraphs>
  <ScaleCrop>false</ScaleCrop>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232</cp:revision>
  <dcterms:created xsi:type="dcterms:W3CDTF">2020-06-27T08:27:00Z</dcterms:created>
  <dcterms:modified xsi:type="dcterms:W3CDTF">2020-06-28T07:59:00Z</dcterms:modified>
</cp:coreProperties>
</file>