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Bernardo Araya y Bryan Retamales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20.419.541-2 y </w:t>
            </w:r>
            <w:r w:rsidDel="00000000" w:rsidR="00000000" w:rsidRPr="00000000">
              <w:rPr>
                <w:b w:val="1"/>
                <w:bCs w:val="1"/>
                <w:rtl w:val="0"/>
              </w:rPr>
              <w:t xml:space="preserve">21.239.797-0</w:t>
            </w:r>
            <w:r w:rsidDel="00000000" w:rsidR="00000000" w:rsidRPr="00000000">
              <w:rPr>
                <w:b w:val="1"/>
                <w:bCs w:val="1"/>
                <w:rtl w:val="0"/>
              </w:rPr>
              <w:t xml:space="preserve"> </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Plaza Oeste</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i w:val="1"/>
                <w:iCs w:val="1"/>
              </w:rPr>
            </w:pPr>
            <w:r w:rsidDel="00000000" w:rsidR="00000000" w:rsidRPr="00000000">
              <w:rPr>
                <w:rFonts w:ascii="Calibri" w:cs="Calibri" w:eastAsia="Calibri" w:hAnsi="Calibri"/>
                <w:i w:val="1"/>
                <w:iCs w:val="1"/>
                <w:color w:val="000000"/>
                <w:sz w:val="20"/>
                <w:szCs w:val="20"/>
                <w:rtl w:val="0"/>
              </w:rPr>
              <w:t xml:space="preserve">Vox Ready</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jc w:val="both"/>
              <w:rPr>
                <w:b w:val="1"/>
                <w:bCs w:val="1"/>
              </w:rPr>
            </w:pPr>
            <w:r w:rsidDel="00000000" w:rsidR="00000000" w:rsidRPr="00000000">
              <w:rPr>
                <w:rFonts w:ascii="Calibri" w:cs="Calibri" w:eastAsia="Calibri" w:hAnsi="Calibri"/>
                <w:color w:val="000000"/>
                <w:sz w:val="20"/>
                <w:szCs w:val="20"/>
                <w:rtl w:val="0"/>
              </w:rPr>
              <w:t xml:space="preserve">Desarrollo de Software y Sistemas de Información; Gestión de Proyectos Tecnológicos (ajustar la denominación exacta según las áreas de desempeño definidas en el Plan de Estudio de la carrera).</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jc w:val="both"/>
              <w:rPr>
                <w:b w:val="1"/>
                <w:bCs w:val="1"/>
              </w:rPr>
            </w:pPr>
            <w:r w:rsidDel="00000000" w:rsidR="00000000" w:rsidRPr="00000000">
              <w:rPr>
                <w:rFonts w:ascii="Calibri" w:cs="Calibri" w:eastAsia="Calibri" w:hAnsi="Calibri"/>
                <w:color w:val="000000"/>
                <w:sz w:val="20"/>
                <w:szCs w:val="20"/>
                <w:rtl w:val="0"/>
              </w:rPr>
              <w:t xml:space="preserve">•  Diseñar y desarrollar soluciones de software aplicando buenas prácticas de arquitectura y programación.</w:t>
            </w:r>
            <w:r w:rsidDel="00000000" w:rsidR="00000000" w:rsidRPr="00000000">
              <w:rPr>
                <w:rtl w:val="0"/>
              </w:rPr>
            </w:r>
          </w:p>
          <w:p w:rsidR="00000000" w:rsidDel="00000000" w:rsidP="00000000" w:rsidRDefault="00000000" w:rsidRPr="00000000" w14:paraId="0000001F">
            <w:pPr>
              <w:jc w:val="both"/>
              <w:rPr/>
            </w:pPr>
            <w:r w:rsidDel="00000000" w:rsidR="00000000" w:rsidRPr="00000000">
              <w:rPr>
                <w:rFonts w:ascii="Calibri" w:cs="Calibri" w:eastAsia="Calibri" w:hAnsi="Calibri"/>
                <w:color w:val="000000"/>
                <w:sz w:val="20"/>
                <w:szCs w:val="20"/>
                <w:rtl w:val="0"/>
              </w:rPr>
              <w:t xml:space="preserve">•  Integrar servicios de nube e inteligencia artificial (Microsoft Azure, LLMs, servicios cognitivos de voz y visión) en el desarrollo de aplicaciones.</w:t>
            </w:r>
            <w:r w:rsidDel="00000000" w:rsidR="00000000" w:rsidRPr="00000000">
              <w:rPr>
                <w:rtl w:val="0"/>
              </w:rPr>
            </w:r>
          </w:p>
          <w:p w:rsidR="00000000" w:rsidDel="00000000" w:rsidP="00000000" w:rsidRDefault="00000000" w:rsidRPr="00000000" w14:paraId="00000020">
            <w:pPr>
              <w:jc w:val="both"/>
              <w:rPr/>
            </w:pPr>
            <w:r w:rsidDel="00000000" w:rsidR="00000000" w:rsidRPr="00000000">
              <w:rPr>
                <w:rFonts w:ascii="Calibri" w:cs="Calibri" w:eastAsia="Calibri" w:hAnsi="Calibri"/>
                <w:color w:val="000000"/>
                <w:sz w:val="20"/>
                <w:szCs w:val="20"/>
                <w:rtl w:val="0"/>
              </w:rPr>
              <w:t xml:space="preserve">•  Aplicar metodologías ágiles (Scrum) para la planificación, ejecución y control de proyectos de software.</w:t>
            </w:r>
            <w:r w:rsidDel="00000000" w:rsidR="00000000" w:rsidRPr="00000000">
              <w:rPr>
                <w:rtl w:val="0"/>
              </w:rPr>
            </w:r>
          </w:p>
          <w:p w:rsidR="00000000" w:rsidDel="00000000" w:rsidP="00000000" w:rsidRDefault="00000000" w:rsidRPr="00000000" w14:paraId="00000021">
            <w:pPr>
              <w:jc w:val="both"/>
              <w:rPr/>
            </w:pPr>
            <w:r w:rsidDel="00000000" w:rsidR="00000000" w:rsidRPr="00000000">
              <w:rPr>
                <w:rFonts w:ascii="Calibri" w:cs="Calibri" w:eastAsia="Calibri" w:hAnsi="Calibri"/>
                <w:color w:val="000000"/>
                <w:sz w:val="20"/>
                <w:szCs w:val="20"/>
                <w:rtl w:val="0"/>
              </w:rPr>
              <w:t xml:space="preserve">•  Evaluar y asegurar la calidad de una solución de software mediante pruebas funcionales y validación con usuarios.</w:t>
            </w:r>
            <w:r w:rsidDel="00000000" w:rsidR="00000000" w:rsidRPr="00000000">
              <w:rPr>
                <w:rtl w:val="0"/>
              </w:rPr>
            </w:r>
          </w:p>
          <w:p w:rsidR="00000000" w:rsidDel="00000000" w:rsidP="00000000" w:rsidRDefault="00000000" w:rsidRPr="00000000" w14:paraId="00000022">
            <w:pPr>
              <w:jc w:val="both"/>
              <w:rPr/>
            </w:pPr>
            <w:r w:rsidDel="00000000" w:rsidR="00000000" w:rsidRPr="00000000">
              <w:rPr>
                <w:rFonts w:ascii="Calibri" w:cs="Calibri" w:eastAsia="Calibri" w:hAnsi="Calibri"/>
                <w:color w:val="000000"/>
                <w:sz w:val="20"/>
                <w:szCs w:val="20"/>
                <w:rtl w:val="0"/>
              </w:rPr>
              <w:t xml:space="preserve">•  Considerar aspectos de seguridad, privacidad y normativa de protección de datos (datos biométricos, UK GDPR) en el diseño de sistemas de información.</w:t>
            </w:r>
            <w:r w:rsidDel="00000000" w:rsidR="00000000" w:rsidRPr="00000000">
              <w:rPr>
                <w:rtl w:val="0"/>
              </w:rPr>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000000"/>
                <w:sz w:val="20"/>
                <w:szCs w:val="20"/>
                <w:rtl w:val="0"/>
              </w:rPr>
              <w:t xml:space="preserve">Las organizaciones que enfrentan una crisis (retiro de productos, incidentes de seguridad, fallas de servicio, etc.) suelen fallar no por la crisis en sí, sino por una comunicación pública deficiente de sus voceros: mensajes inconsistentes, falta de calma o un lenguaje corporal que contradice lo que se dice. La formación tradicional para vocería (coaching presencial, simulacros esporádicos) es costosa, depende de la disponibilidad de expertos y no permite practicar con la frecuencia necesaria para consolidar la habilidad. Vox Ready busca resolver este problema mediante una plataforma de autoaprendizaje que permite a cualquier vocero designado practicar entrevistas de crisis simuladas por IA, cuantas veces necesite, recibiendo retroalimentación experta inmediata sobre su desempeño. El proyecto se sitúa en el contexto de organizaciones medianas y grandes (clientes B2B de Alloxentric–Visum) que designan voceros internos —directivos, jefes de planta, portavoces técnicos— quienes deben responder ante medios o públicos internos en momentos de alta exposición reputacional. El tema es relevante para el campo laboral de la Ingeniería en Informática porque exige diseñar un sistema SaaS multi-cliente, con procesamiento en tiempo real y análisis multimodal (voz, imagen, texto) mediante inteligencia artificial, aplicando además normativa de protección de datos biométricos, lo que representa un desafío técnico integral y actual.</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B">
            <w:pPr>
              <w:jc w:val="both"/>
              <w:rPr>
                <w:rFonts w:ascii="Calibri" w:cs="Calibri" w:eastAsia="Calibri" w:hAnsi="Calibri"/>
                <w:i w:val="1"/>
                <w:iCs w:val="1"/>
                <w:color w:val="548dd4"/>
                <w:sz w:val="20"/>
                <w:szCs w:val="20"/>
                <w:highlight w:val="cyan"/>
              </w:rPr>
            </w:pPr>
            <w:r w:rsidDel="00000000" w:rsidR="00000000" w:rsidRPr="00000000">
              <w:rPr>
                <w:rFonts w:ascii="Calibri" w:cs="Calibri" w:eastAsia="Calibri" w:hAnsi="Calibri"/>
                <w:color w:val="000000"/>
                <w:sz w:val="20"/>
                <w:szCs w:val="20"/>
                <w:rtl w:val="0"/>
              </w:rPr>
              <w:t xml:space="preserve">El objetivo del proyecto es desarrollar el Producto Mínimo Viable (MVP) de Vox Ready, una plataforma web SaaS que entrena a voceros de crisis mediante entrevistas simuladas por un entrevistador de IA y una evaluación multimodal automatizada de su desempeño en cuatro áreas: expresión, tono de voz, coherencia y empatía. El proyecto abordará la problemática implementando, sobre el stack de Microsoft Azure, el flujo completo de una sesión de práctica: selección de escenario, consentimiento biométrico, comprobación técnica de cámara y micrófono, entrevista en tiempo real con transcripción en streaming y preguntas generadas por un LLM, subida segura de la grabación mediante una URL SAS de un solo uso, y un pipeline de análisis asíncrono (contenido, voz y video) que converge en un informe tipo coach con puntaje global y por área. En un horizonte de tres meses, el proyecto se enfocará en demostrar que este análisis entrega una retroalimentación creíble y accionable, dejando para una fase posterior el entrenamiento de modelos propios con datos etiquetados.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000000"/>
                <w:sz w:val="20"/>
                <w:szCs w:val="20"/>
                <w:rtl w:val="0"/>
              </w:rPr>
              <w:t xml:space="preserve">Vox Ready se relaciona directamente con el perfil de egreso de Ingeniería en Informática porque exige levantar requerimientos, diseñar una arquitectura de software distribuida (API REST, colas de mensajería, servicios cognitivos en la nube) e implementarla siguiendo buenas prácticas de ingeniería. Las competencias seleccionadas —diseño y desarrollo de soluciones de software, integración de servicios cloud/IA, aplicación de metodologías ágiles, aseguramiento de calidad y consideración de seguridad y privacidad de datos— son todas necesarias para resolver la problemática planteada: sin una arquitectura bien diseñada no es posible sostener un modelo multi-cliente con aislamiento de datos; sin metodologías ágiles no es posible entregar un MVP funcional en tres meses; y sin un enfoque de seguridad y privacidad desde el diseño no es posible tratar datos biométricos de forma responsable.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000000"/>
                <w:sz w:val="20"/>
                <w:szCs w:val="20"/>
                <w:rtl w:val="0"/>
              </w:rPr>
              <w:t xml:space="preserve">Mis intereses profesionales están orientados al desarrollo de software en la nube y a la aplicación práctica de inteligencia artificial en productos reales, más allá de su uso como herramienta de programación. Vox Ready me permite involucrarme en un proyecto que combina ambos intereses: una arquitectura cloud completa en Azure y un pipeline de IA multimodal (procesamiento de lenguaje, voz e imagen) orientado a resolver un problema de negocio concreto. Desarrollar este Proyecto APT contribuirá a mi formación profesional porque me permitirá enfrentar decisiones de arquitectura propias de un producto SaaS real (multi-tenancy, procesamiento asíncrono, seguridad de datos sensibles) y fortalecer mi experiencia con servicios de IA en la nube, dos áreas en las que busco especializarme al egresar.</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000000"/>
                <w:sz w:val="20"/>
                <w:szCs w:val="20"/>
                <w:rtl w:val="0"/>
              </w:rPr>
              <w:t xml:space="preserve">Es posible desarrollar este Proyecto APT dentro del semestre porque su alcance se ha acotado de forma realista a un MVP, siguiendo la lógica de fases propuesta por el equipo de producto: (1) Duración del semestre: el desarrollo se organiza en sprints semanales a lo largo de las tres fases de la asignatura, con un MVP funcional hacia el cierre del proyecto. (2) Horas asignadas a la asignatura: se estima un promedio de 10 horas semanales dedicadas al proyecto, suficientes para cubrir las tareas de cada sprint. (3) Materiales requeridos: una cuenta de Microsoft Azure (API Management, Azure AD B2C, App Service/Functions, Service Bus, Blob Storage, Azure SQL/Cosmos DB, Azure AI Speech, Video Indexer y Azure OpenAI), un computador con cámara y micrófono para pruebas, y acceso a un modelo de lenguaje para el entrevistador simulado. (4) Factores externos que facilitan su desarrollo: existe un documento de producto ya validado con el equipo de negocio (Alloxentric–Visum), lo que reduce el tiempo de levantamiento de requerimientos, y los servicios de IA necesarios (voz, visión, texto) ya existen como servicios gestionados en Azure, evitando entrenar modelos desde cero. (5) Factores externos que podrían dificultar su desarrollo: la latencia de los servicios de IA en tiempo real durante la entrevista y la complejidad de cumplir con la normativa de datos biométricos; ambos se mitigan diseñando turnos de conversación cortos y tolerantes a la latencia, y definiendo desde el día uno el flujo de consentimiento, retención y borrado de datos.</w:t>
            </w:r>
            <w:r w:rsidDel="00000000" w:rsidR="00000000" w:rsidRPr="00000000">
              <w:rPr>
                <w:rtl w:val="0"/>
              </w:rPr>
            </w:r>
          </w:p>
        </w:tc>
      </w:tr>
    </w:tbl>
    <w:p w:rsidR="00000000" w:rsidDel="00000000" w:rsidP="00000000" w:rsidRDefault="00000000" w:rsidRPr="00000000" w14:paraId="00000032">
      <w:pPr>
        <w:rPr>
          <w:b w:val="1"/>
          <w:bCs w:val="1"/>
          <w:color w:val="4472c4"/>
          <w:sz w:val="32"/>
          <w:szCs w:val="32"/>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4">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8">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000000"/>
                <w:sz w:val="20"/>
                <w:szCs w:val="20"/>
                <w:rtl w:val="0"/>
              </w:rPr>
              <w:t xml:space="preserve">Desarrollar el Producto Mínimo Viable (MVP) de Vox Ready, una plataforma web SaaS que permita a voceros designados practicar entrevistas de crisis simuladas por inteligencia artificial y recibir una evaluación multimodal de su desempeño en expresión, tono de voz, coherencia y empatía.</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A">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000000"/>
                <w:sz w:val="20"/>
                <w:szCs w:val="20"/>
                <w:rtl w:val="0"/>
              </w:rPr>
              <w:t xml:space="preserve">•  Implementar el flujo de selección de escenario, consentimiento biométrico y comprobación técnica de cámara y micrófono previo a la sesión de práctica.</w:t>
            </w:r>
            <w:r w:rsidDel="00000000" w:rsidR="00000000" w:rsidRPr="00000000">
              <w:rPr>
                <w:rtl w:val="0"/>
              </w:rPr>
            </w:r>
          </w:p>
          <w:p w:rsidR="00000000" w:rsidDel="00000000" w:rsidP="00000000" w:rsidRDefault="00000000" w:rsidRPr="00000000" w14:paraId="0000003B">
            <w:pPr>
              <w:jc w:val="both"/>
              <w:rPr/>
            </w:pPr>
            <w:r w:rsidDel="00000000" w:rsidR="00000000" w:rsidRPr="00000000">
              <w:rPr>
                <w:rFonts w:ascii="Calibri" w:cs="Calibri" w:eastAsia="Calibri" w:hAnsi="Calibri"/>
                <w:color w:val="000000"/>
                <w:sz w:val="20"/>
                <w:szCs w:val="20"/>
                <w:rtl w:val="0"/>
              </w:rPr>
              <w:t xml:space="preserve">•  Desarrollar la simulación de entrevista en tiempo real, integrando transcripción en streaming y generación de preguntas mediante un LLM.</w:t>
            </w:r>
            <w:r w:rsidDel="00000000" w:rsidR="00000000" w:rsidRPr="00000000">
              <w:rPr>
                <w:rtl w:val="0"/>
              </w:rPr>
            </w:r>
          </w:p>
          <w:p w:rsidR="00000000" w:rsidDel="00000000" w:rsidP="00000000" w:rsidRDefault="00000000" w:rsidRPr="00000000" w14:paraId="0000003C">
            <w:pPr>
              <w:jc w:val="both"/>
              <w:rPr/>
            </w:pPr>
            <w:r w:rsidDel="00000000" w:rsidR="00000000" w:rsidRPr="00000000">
              <w:rPr>
                <w:rFonts w:ascii="Calibri" w:cs="Calibri" w:eastAsia="Calibri" w:hAnsi="Calibri"/>
                <w:color w:val="000000"/>
                <w:sz w:val="20"/>
                <w:szCs w:val="20"/>
                <w:rtl w:val="0"/>
              </w:rPr>
              <w:t xml:space="preserve">•  Implementar la subida segura de las grabaciones a almacenamiento en la nube mediante URLs de acceso temporal (SAS).</w:t>
            </w:r>
            <w:r w:rsidDel="00000000" w:rsidR="00000000" w:rsidRPr="00000000">
              <w:rPr>
                <w:rtl w:val="0"/>
              </w:rPr>
            </w:r>
          </w:p>
          <w:p w:rsidR="00000000" w:rsidDel="00000000" w:rsidP="00000000" w:rsidRDefault="00000000" w:rsidRPr="00000000" w14:paraId="0000003D">
            <w:pPr>
              <w:jc w:val="both"/>
              <w:rPr/>
            </w:pPr>
            <w:r w:rsidDel="00000000" w:rsidR="00000000" w:rsidRPr="00000000">
              <w:rPr>
                <w:rFonts w:ascii="Calibri" w:cs="Calibri" w:eastAsia="Calibri" w:hAnsi="Calibri"/>
                <w:color w:val="000000"/>
                <w:sz w:val="20"/>
                <w:szCs w:val="20"/>
                <w:rtl w:val="0"/>
              </w:rPr>
              <w:t xml:space="preserve">•  Construir el pipeline de análisis asíncrono de contenido, aplicando un modelo de lenguaje como juez guiado por el patrón maestro de vocería.</w:t>
            </w:r>
            <w:r w:rsidDel="00000000" w:rsidR="00000000" w:rsidRPr="00000000">
              <w:rPr>
                <w:rtl w:val="0"/>
              </w:rPr>
            </w:r>
          </w:p>
          <w:p w:rsidR="00000000" w:rsidDel="00000000" w:rsidP="00000000" w:rsidRDefault="00000000" w:rsidRPr="00000000" w14:paraId="0000003E">
            <w:pPr>
              <w:jc w:val="both"/>
              <w:rPr/>
            </w:pPr>
            <w:r w:rsidDel="00000000" w:rsidR="00000000" w:rsidRPr="00000000">
              <w:rPr>
                <w:rFonts w:ascii="Calibri" w:cs="Calibri" w:eastAsia="Calibri" w:hAnsi="Calibri"/>
                <w:color w:val="000000"/>
                <w:sz w:val="20"/>
                <w:szCs w:val="20"/>
                <w:rtl w:val="0"/>
              </w:rPr>
              <w:t xml:space="preserve">•  Construir el pipeline de análisis de voz/prosodia (ritmo, pausas, muletillas) sobre la grabación de la sesión.</w:t>
            </w:r>
            <w:r w:rsidDel="00000000" w:rsidR="00000000" w:rsidRPr="00000000">
              <w:rPr>
                <w:rtl w:val="0"/>
              </w:rPr>
            </w:r>
          </w:p>
          <w:p w:rsidR="00000000" w:rsidDel="00000000" w:rsidP="00000000" w:rsidRDefault="00000000" w:rsidRPr="00000000" w14:paraId="0000003F">
            <w:pPr>
              <w:jc w:val="both"/>
              <w:rPr/>
            </w:pPr>
            <w:r w:rsidDel="00000000" w:rsidR="00000000" w:rsidRPr="00000000">
              <w:rPr>
                <w:rFonts w:ascii="Calibri" w:cs="Calibri" w:eastAsia="Calibri" w:hAnsi="Calibri"/>
                <w:color w:val="000000"/>
                <w:sz w:val="20"/>
                <w:szCs w:val="20"/>
                <w:rtl w:val="0"/>
              </w:rPr>
              <w:t xml:space="preserve">•  Integrar el análisis de imagen/no verbal (landmarks faciales y de postura) al pipeline multimodal.</w:t>
            </w:r>
            <w:r w:rsidDel="00000000" w:rsidR="00000000" w:rsidRPr="00000000">
              <w:rPr>
                <w:rtl w:val="0"/>
              </w:rPr>
            </w:r>
          </w:p>
          <w:p w:rsidR="00000000" w:rsidDel="00000000" w:rsidP="00000000" w:rsidRDefault="00000000" w:rsidRPr="00000000" w14:paraId="00000040">
            <w:pPr>
              <w:jc w:val="both"/>
              <w:rPr/>
            </w:pPr>
            <w:r w:rsidDel="00000000" w:rsidR="00000000" w:rsidRPr="00000000">
              <w:rPr>
                <w:rFonts w:ascii="Calibri" w:cs="Calibri" w:eastAsia="Calibri" w:hAnsi="Calibri"/>
                <w:color w:val="000000"/>
                <w:sz w:val="20"/>
                <w:szCs w:val="20"/>
                <w:rtl w:val="0"/>
              </w:rPr>
              <w:t xml:space="preserve">•  Implementar la capa de fusión que combine las señales de los tres flujos en un informe tipo coach con puntaje global y por área.</w:t>
            </w:r>
            <w:r w:rsidDel="00000000" w:rsidR="00000000" w:rsidRPr="00000000">
              <w:rPr>
                <w:rtl w:val="0"/>
              </w:rPr>
            </w:r>
          </w:p>
          <w:p w:rsidR="00000000" w:rsidDel="00000000" w:rsidP="00000000" w:rsidRDefault="00000000" w:rsidRPr="00000000" w14:paraId="00000041">
            <w:pPr>
              <w:jc w:val="both"/>
              <w:rPr/>
            </w:pPr>
            <w:r w:rsidDel="00000000" w:rsidR="00000000" w:rsidRPr="00000000">
              <w:rPr>
                <w:rFonts w:ascii="Calibri" w:cs="Calibri" w:eastAsia="Calibri" w:hAnsi="Calibri"/>
                <w:color w:val="000000"/>
                <w:sz w:val="20"/>
                <w:szCs w:val="20"/>
                <w:rtl w:val="0"/>
              </w:rPr>
              <w:t xml:space="preserve">•  Diseñar el modelo de datos multi-cliente, incluyendo la separación de roles (vocero, administrador de cliente, configurador maestro) y la política de retención/borrado de datos.</w:t>
            </w:r>
            <w:r w:rsidDel="00000000" w:rsidR="00000000" w:rsidRPr="00000000">
              <w:rPr>
                <w:rtl w:val="0"/>
              </w:rPr>
            </w:r>
          </w:p>
          <w:p w:rsidR="00000000" w:rsidDel="00000000" w:rsidP="00000000" w:rsidRDefault="00000000" w:rsidRPr="00000000" w14:paraId="00000042">
            <w:pPr>
              <w:jc w:val="both"/>
              <w:rPr/>
            </w:pPr>
            <w:r w:rsidDel="00000000" w:rsidR="00000000" w:rsidRPr="00000000">
              <w:rPr>
                <w:rFonts w:ascii="Calibri" w:cs="Calibri" w:eastAsia="Calibri" w:hAnsi="Calibri"/>
                <w:color w:val="000000"/>
                <w:sz w:val="20"/>
                <w:szCs w:val="20"/>
                <w:rtl w:val="0"/>
              </w:rPr>
              <w:t xml:space="preserve">•  Validar el análisis multimodal con usuarios de prueba, verificando que la retroalimentación entregada sea creíble y accionable.</w:t>
            </w:r>
            <w:r w:rsidDel="00000000" w:rsidR="00000000" w:rsidRPr="00000000">
              <w:rPr>
                <w:rtl w:val="0"/>
              </w:rPr>
            </w:r>
          </w:p>
        </w:tc>
      </w:tr>
    </w:tbl>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5">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000000"/>
                <w:sz w:val="20"/>
                <w:szCs w:val="20"/>
                <w:rtl w:val="0"/>
              </w:rPr>
              <w:t xml:space="preserve">El desarrollo del proyecto se abordará utilizando Scrum adaptado a un proyecto individual, organizando el trabajo en sprints semanales a lo largo de las tres fases de la asignatura de Portafolio de Título. Al inicio de cada sprint se definirá un objetivo concreto del backlog, priorizado según las fases del MVP (captura y consentimiento; análisis de voz y contenido; análisis de imagen y fusión), se desarrollará la funcionalidad correspondiente sobre el stack de Microsoft Azure (API Management, Azure AD B2C, App Service/Functions, Service Bus, Blob Storage, Azure SQL/Cosmos DB, Azure AI Speech, Video Indexer y Azure OpenAI), y se cerrará con una revisión de lo construido y una breve retrospectiva para ajustar el sprint siguiente. Las tareas de análisis y diseño (definición de requerimientos, modelo de datos, arquitectura), desarrollo (API REST, pipelines de análisis, interfaz web) y control de calidad/documentación (pruebas funcionales, redacción de evidencias) se distribuyen de forma secuencial dentro de cada sprint, dado que el proyecto es desarrollado por un(a) solo(a) estudiante. En caso de incorporarse más integrantes al equipo de trabajo, se debe complementar esta sección con sus roles y responsabilidades específicas (por ejemplo, backend, frontend, base de datos y QA/documentación), tal como se detalla en el Plan de Trabajo.</w:t>
            </w:r>
            <w:r w:rsidDel="00000000" w:rsidR="00000000" w:rsidRPr="00000000">
              <w:rPr>
                <w:rtl w:val="0"/>
              </w:rPr>
            </w:r>
          </w:p>
        </w:tc>
      </w:tr>
    </w:tbl>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C">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D">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Avance</w:t>
            </w: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Documento de arquitectura y modelo de datos</w:t>
            </w:r>
            <w:r w:rsidDel="00000000" w:rsidR="00000000" w:rsidRPr="00000000">
              <w:rPr>
                <w:rtl w:val="0"/>
              </w:rPr>
            </w:r>
          </w:p>
        </w:tc>
        <w:tc>
          <w:tcPr/>
          <w:p w:rsidR="00000000" w:rsidDel="00000000" w:rsidP="00000000" w:rsidRDefault="00000000" w:rsidRPr="00000000" w14:paraId="00000056">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color w:val="000000"/>
                <w:sz w:val="18"/>
                <w:szCs w:val="18"/>
                <w:rtl w:val="0"/>
              </w:rPr>
              <w:t xml:space="preserve">Diagrama de arquitectura del sistema sobre Azure y modelo de datos multi-cliente (cliente, tema, usuario, sesión, evaluación, etiqueta experta).</w:t>
            </w: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Permite verificar que el diseño soporta el aislamiento por cliente y el pipeline multimodal antes de iniciar la implementación completa.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Avance</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Prototipo funcional del flujo de captura</w:t>
            </w: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Demostración del flujo de selección de escenario, consentimiento, comprobación técnica y entrevista en tiempo real con transcripción en streaming.</w:t>
            </w: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Evidencia que la base de la experiencia de usuario (Fase 1 del MVP) está construida y operativa.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Final</w:t>
            </w: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MVP funcional de Vox Ready</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Plataforma web con los tres pipelines de análisis (contenido, voz, imagen), capa de fusión e informe tipo coach con puntaje global y por área.</w:t>
            </w: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Es el entregable central que demuestra el cumplimiento del objetivo general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Final</w:t>
            </w: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Informe final del Proyecto APT</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Documento que describe el desarrollo del proyecto, los resultados obtenidos, las pruebas realizadas y los aprendizajes.</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Documenta y respalda formalmente el trabajo realizado durante el semestre para su evaluación.</w:t>
            </w:r>
            <w:r w:rsidDel="00000000" w:rsidR="00000000" w:rsidRPr="00000000">
              <w:rPr>
                <w:rtl w:val="0"/>
              </w:rPr>
            </w:r>
          </w:p>
        </w:tc>
      </w:tr>
    </w:tbl>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5">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8">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6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4">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78">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79">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7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7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7C">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7D">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7E">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7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Diseño de soluciones de software</w:t>
            </w:r>
            <w:r w:rsidDel="00000000" w:rsidR="00000000" w:rsidRPr="00000000">
              <w:rPr>
                <w:rtl w:val="0"/>
              </w:rPr>
            </w:r>
          </w:p>
        </w:tc>
        <w:tc>
          <w:tcPr/>
          <w:p w:rsidR="00000000" w:rsidDel="00000000" w:rsidP="00000000" w:rsidRDefault="00000000" w:rsidRPr="00000000" w14:paraId="0000008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Levantamiento y definición de requerimientos</w:t>
            </w:r>
            <w:r w:rsidDel="00000000" w:rsidR="00000000" w:rsidRPr="00000000">
              <w:rPr>
                <w:rtl w:val="0"/>
              </w:rPr>
            </w:r>
          </w:p>
        </w:tc>
        <w:tc>
          <w:tcPr/>
          <w:p w:rsidR="00000000" w:rsidDel="00000000" w:rsidP="00000000" w:rsidRDefault="00000000" w:rsidRPr="00000000" w14:paraId="0000008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Analizar el documento de producto y definir el alcance funcional del MVP (roles, escenarios, flujo de sesión).</w:t>
            </w:r>
            <w:r w:rsidDel="00000000" w:rsidR="00000000" w:rsidRPr="00000000">
              <w:rPr>
                <w:rtl w:val="0"/>
              </w:rPr>
            </w:r>
          </w:p>
        </w:tc>
        <w:tc>
          <w:tcPr/>
          <w:p w:rsidR="00000000" w:rsidDel="00000000" w:rsidP="00000000" w:rsidRDefault="00000000" w:rsidRPr="00000000" w14:paraId="0000008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Documento de producto VoxReady, plantilla de requerimientos.</w:t>
            </w:r>
            <w:r w:rsidDel="00000000" w:rsidR="00000000" w:rsidRPr="00000000">
              <w:rPr>
                <w:rtl w:val="0"/>
              </w:rPr>
            </w:r>
          </w:p>
        </w:tc>
        <w:tc>
          <w:tcPr>
            <w:tcBorders>
              <w:right w:color="ffffff" w:space="0" w:sz="4" w:val="single"/>
            </w:tcBorders>
          </w:tcPr>
          <w:p w:rsidR="00000000" w:rsidDel="00000000" w:rsidP="00000000" w:rsidRDefault="00000000" w:rsidRPr="00000000" w14:paraId="00000083">
            <w:pPr>
              <w:jc w:val="center"/>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4">
            <w:pPr>
              <w:jc w:val="center"/>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Requiere validación con el docente guía sobre el alcance acotado.</w:t>
            </w:r>
            <w:r w:rsidDel="00000000" w:rsidR="00000000" w:rsidRPr="00000000">
              <w:rPr>
                <w:rtl w:val="0"/>
              </w:rPr>
            </w:r>
          </w:p>
        </w:tc>
      </w:tr>
      <w:tr>
        <w:trPr>
          <w:cantSplit w:val="0"/>
          <w:tblHeader w:val="0"/>
        </w:trPr>
        <w:tc>
          <w:tcPr/>
          <w:p w:rsidR="00000000" w:rsidDel="00000000" w:rsidP="00000000" w:rsidRDefault="00000000" w:rsidRPr="00000000" w14:paraId="0000008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Diseño de arquitectura de sistemas</w:t>
            </w:r>
            <w:r w:rsidDel="00000000" w:rsidR="00000000" w:rsidRPr="00000000">
              <w:rPr>
                <w:rtl w:val="0"/>
              </w:rPr>
            </w:r>
          </w:p>
        </w:tc>
        <w:tc>
          <w:tcPr/>
          <w:p w:rsidR="00000000" w:rsidDel="00000000" w:rsidP="00000000" w:rsidRDefault="00000000" w:rsidRPr="00000000" w14:paraId="0000008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Diseño de arquitectura y modelo de datos</w:t>
            </w:r>
            <w:r w:rsidDel="00000000" w:rsidR="00000000" w:rsidRPr="00000000">
              <w:rPr>
                <w:rtl w:val="0"/>
              </w:rPr>
            </w:r>
          </w:p>
        </w:tc>
        <w:tc>
          <w:tcPr/>
          <w:p w:rsidR="00000000" w:rsidDel="00000000" w:rsidP="00000000" w:rsidRDefault="00000000" w:rsidRPr="00000000" w14:paraId="0000008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Definir la arquitectura sobre Azure (API Management, App Service/Functions, Service Bus, Blob Storage) y el modelo de datos multi-cliente.</w:t>
            </w:r>
            <w:r w:rsidDel="00000000" w:rsidR="00000000" w:rsidRPr="00000000">
              <w:rPr>
                <w:rtl w:val="0"/>
              </w:rPr>
            </w:r>
          </w:p>
        </w:tc>
        <w:tc>
          <w:tcPr/>
          <w:p w:rsidR="00000000" w:rsidDel="00000000" w:rsidP="00000000" w:rsidRDefault="00000000" w:rsidRPr="00000000" w14:paraId="0000008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Cuenta Azure, herramienta de diagramación.</w:t>
            </w:r>
            <w:r w:rsidDel="00000000" w:rsidR="00000000" w:rsidRPr="00000000">
              <w:rPr>
                <w:rtl w:val="0"/>
              </w:rPr>
            </w:r>
          </w:p>
        </w:tc>
        <w:tc>
          <w:tcPr>
            <w:tcBorders>
              <w:right w:color="ffffff" w:space="0" w:sz="4" w:val="single"/>
            </w:tcBorders>
          </w:tcPr>
          <w:p w:rsidR="00000000" w:rsidDel="00000000" w:rsidP="00000000" w:rsidRDefault="00000000" w:rsidRPr="00000000" w14:paraId="0000008A">
            <w:pPr>
              <w:jc w:val="center"/>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B">
            <w:pPr>
              <w:jc w:val="center"/>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Riesgo: curva de aprendizaje de los servicios de Azure.</w:t>
            </w:r>
            <w:r w:rsidDel="00000000" w:rsidR="00000000" w:rsidRPr="00000000">
              <w:rPr>
                <w:rtl w:val="0"/>
              </w:rPr>
            </w:r>
          </w:p>
        </w:tc>
      </w:tr>
      <w:tr>
        <w:trPr>
          <w:cantSplit w:val="0"/>
          <w:tblHeader w:val="0"/>
        </w:trPr>
        <w:tc>
          <w:tcPr/>
          <w:p w:rsidR="00000000" w:rsidDel="00000000" w:rsidP="00000000" w:rsidRDefault="00000000" w:rsidRPr="00000000" w14:paraId="0000008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Desarrollo de software</w:t>
            </w:r>
            <w:r w:rsidDel="00000000" w:rsidR="00000000" w:rsidRPr="00000000">
              <w:rPr>
                <w:rtl w:val="0"/>
              </w:rPr>
            </w:r>
          </w:p>
        </w:tc>
        <w:tc>
          <w:tcPr/>
          <w:p w:rsidR="00000000" w:rsidDel="00000000" w:rsidP="00000000" w:rsidRDefault="00000000" w:rsidRPr="00000000" w14:paraId="0000008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Autenticación y gestión de roles</w:t>
            </w:r>
            <w:r w:rsidDel="00000000" w:rsidR="00000000" w:rsidRPr="00000000">
              <w:rPr>
                <w:rtl w:val="0"/>
              </w:rPr>
            </w:r>
          </w:p>
        </w:tc>
        <w:tc>
          <w:tcPr/>
          <w:p w:rsidR="00000000" w:rsidDel="00000000" w:rsidP="00000000" w:rsidRDefault="00000000" w:rsidRPr="00000000" w14:paraId="0000008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Implementar autenticación con Azure AD B2C y control de acceso por rol (vocero, administrador, configurador maestro).</w:t>
            </w:r>
            <w:r w:rsidDel="00000000" w:rsidR="00000000" w:rsidRPr="00000000">
              <w:rPr>
                <w:rtl w:val="0"/>
              </w:rPr>
            </w:r>
          </w:p>
        </w:tc>
        <w:tc>
          <w:tcPr/>
          <w:p w:rsidR="00000000" w:rsidDel="00000000" w:rsidP="00000000" w:rsidRDefault="00000000" w:rsidRPr="00000000" w14:paraId="0000009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Azure AD B2C, API REST.</w:t>
            </w:r>
            <w:r w:rsidDel="00000000" w:rsidR="00000000" w:rsidRPr="00000000">
              <w:rPr>
                <w:rtl w:val="0"/>
              </w:rPr>
            </w:r>
          </w:p>
        </w:tc>
        <w:tc>
          <w:tcPr>
            <w:tcBorders>
              <w:right w:color="ffffff" w:space="0" w:sz="4" w:val="single"/>
            </w:tcBorders>
          </w:tcPr>
          <w:p w:rsidR="00000000" w:rsidDel="00000000" w:rsidP="00000000" w:rsidRDefault="00000000" w:rsidRPr="00000000" w14:paraId="00000091">
            <w:pPr>
              <w:jc w:val="center"/>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2">
            <w:pPr>
              <w:jc w:val="center"/>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Sin observaciones.</w:t>
            </w:r>
            <w:r w:rsidDel="00000000" w:rsidR="00000000" w:rsidRPr="00000000">
              <w:rPr>
                <w:rtl w:val="0"/>
              </w:rPr>
            </w:r>
          </w:p>
        </w:tc>
      </w:tr>
      <w:tr>
        <w:trPr>
          <w:cantSplit w:val="0"/>
          <w:tblHeader w:val="0"/>
        </w:trPr>
        <w:tc>
          <w:tcPr/>
          <w:p w:rsidR="00000000" w:rsidDel="00000000" w:rsidP="00000000" w:rsidRDefault="00000000" w:rsidRPr="00000000" w14:paraId="0000009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Desarrollo de software</w:t>
            </w:r>
            <w:r w:rsidDel="00000000" w:rsidR="00000000" w:rsidRPr="00000000">
              <w:rPr>
                <w:rtl w:val="0"/>
              </w:rPr>
            </w:r>
          </w:p>
        </w:tc>
        <w:tc>
          <w:tcPr/>
          <w:p w:rsidR="00000000" w:rsidDel="00000000" w:rsidP="00000000" w:rsidRDefault="00000000" w:rsidRPr="00000000" w14:paraId="0000009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Flujo de consentimiento y comprobación técnica</w:t>
            </w:r>
            <w:r w:rsidDel="00000000" w:rsidR="00000000" w:rsidRPr="00000000">
              <w:rPr>
                <w:rtl w:val="0"/>
              </w:rPr>
            </w:r>
          </w:p>
        </w:tc>
        <w:tc>
          <w:tcPr/>
          <w:p w:rsidR="00000000" w:rsidDel="00000000" w:rsidP="00000000" w:rsidRDefault="00000000" w:rsidRPr="00000000" w14:paraId="0000009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Construir las pantallas y endpoints para el consentimiento biométrico y la verificación de cámara y micrófono.</w:t>
            </w:r>
            <w:r w:rsidDel="00000000" w:rsidR="00000000" w:rsidRPr="00000000">
              <w:rPr>
                <w:rtl w:val="0"/>
              </w:rPr>
            </w:r>
          </w:p>
        </w:tc>
        <w:tc>
          <w:tcPr/>
          <w:p w:rsidR="00000000" w:rsidDel="00000000" w:rsidP="00000000" w:rsidRDefault="00000000" w:rsidRPr="00000000" w14:paraId="0000009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API REST, Azure Blob Storage.</w:t>
            </w:r>
            <w:r w:rsidDel="00000000" w:rsidR="00000000" w:rsidRPr="00000000">
              <w:rPr>
                <w:rtl w:val="0"/>
              </w:rPr>
            </w:r>
          </w:p>
        </w:tc>
        <w:tc>
          <w:tcPr>
            <w:tcBorders>
              <w:right w:color="ffffff" w:space="0" w:sz="4" w:val="single"/>
            </w:tcBorders>
          </w:tcPr>
          <w:p w:rsidR="00000000" w:rsidDel="00000000" w:rsidP="00000000" w:rsidRDefault="00000000" w:rsidRPr="00000000" w14:paraId="00000098">
            <w:pPr>
              <w:jc w:val="center"/>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9">
            <w:pPr>
              <w:jc w:val="center"/>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Debe cumplir requisitos normativos para datos biométricos (UK GDPR).</w:t>
            </w:r>
            <w:r w:rsidDel="00000000" w:rsidR="00000000" w:rsidRPr="00000000">
              <w:rPr>
                <w:rtl w:val="0"/>
              </w:rPr>
            </w:r>
          </w:p>
        </w:tc>
      </w:tr>
      <w:tr>
        <w:trPr>
          <w:cantSplit w:val="0"/>
          <w:tblHeader w:val="0"/>
        </w:trPr>
        <w:tc>
          <w:tcPr/>
          <w:p w:rsidR="00000000" w:rsidDel="00000000" w:rsidP="00000000" w:rsidRDefault="00000000" w:rsidRPr="00000000" w14:paraId="0000009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Integración de servicios de IA</w:t>
            </w:r>
            <w:r w:rsidDel="00000000" w:rsidR="00000000" w:rsidRPr="00000000">
              <w:rPr>
                <w:rtl w:val="0"/>
              </w:rPr>
            </w:r>
          </w:p>
        </w:tc>
        <w:tc>
          <w:tcPr/>
          <w:p w:rsidR="00000000" w:rsidDel="00000000" w:rsidP="00000000" w:rsidRDefault="00000000" w:rsidRPr="00000000" w14:paraId="0000009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Entrevistador LLM y transcripción en streaming</w:t>
            </w:r>
            <w:r w:rsidDel="00000000" w:rsidR="00000000" w:rsidRPr="00000000">
              <w:rPr>
                <w:rtl w:val="0"/>
              </w:rPr>
            </w:r>
          </w:p>
        </w:tc>
        <w:tc>
          <w:tcPr/>
          <w:p w:rsidR="00000000" w:rsidDel="00000000" w:rsidP="00000000" w:rsidRDefault="00000000" w:rsidRPr="00000000" w14:paraId="0000009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Integrar Azure AI Speech (STT en streaming) y Azure OpenAI para la generación de preguntas y repreguntas en tiempo real.</w:t>
            </w:r>
            <w:r w:rsidDel="00000000" w:rsidR="00000000" w:rsidRPr="00000000">
              <w:rPr>
                <w:rtl w:val="0"/>
              </w:rPr>
            </w:r>
          </w:p>
        </w:tc>
        <w:tc>
          <w:tcPr/>
          <w:p w:rsidR="00000000" w:rsidDel="00000000" w:rsidP="00000000" w:rsidRDefault="00000000" w:rsidRPr="00000000" w14:paraId="0000009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Azure AI Speech, Azure OpenAI.</w:t>
            </w:r>
            <w:r w:rsidDel="00000000" w:rsidR="00000000" w:rsidRPr="00000000">
              <w:rPr>
                <w:rtl w:val="0"/>
              </w:rPr>
            </w:r>
          </w:p>
        </w:tc>
        <w:tc>
          <w:tcPr>
            <w:tcBorders>
              <w:right w:color="ffffff" w:space="0" w:sz="4" w:val="single"/>
            </w:tcBorders>
          </w:tcPr>
          <w:p w:rsidR="00000000" w:rsidDel="00000000" w:rsidP="00000000" w:rsidRDefault="00000000" w:rsidRPr="00000000" w14:paraId="0000009F">
            <w:pPr>
              <w:jc w:val="center"/>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0">
            <w:pPr>
              <w:jc w:val="center"/>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Riesgo de latencia; se diseñan turnos cortos para mitigarlo.</w:t>
            </w:r>
            <w:r w:rsidDel="00000000" w:rsidR="00000000" w:rsidRPr="00000000">
              <w:rPr>
                <w:rtl w:val="0"/>
              </w:rPr>
            </w:r>
          </w:p>
        </w:tc>
      </w:tr>
      <w:tr>
        <w:trPr>
          <w:cantSplit w:val="0"/>
          <w:tblHeader w:val="0"/>
        </w:trPr>
        <w:tc>
          <w:tcPr/>
          <w:p w:rsidR="00000000" w:rsidDel="00000000" w:rsidP="00000000" w:rsidRDefault="00000000" w:rsidRPr="00000000" w14:paraId="000000A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Desarrollo de software</w:t>
            </w:r>
            <w:r w:rsidDel="00000000" w:rsidR="00000000" w:rsidRPr="00000000">
              <w:rPr>
                <w:rtl w:val="0"/>
              </w:rPr>
            </w:r>
          </w:p>
        </w:tc>
        <w:tc>
          <w:tcPr/>
          <w:p w:rsidR="00000000" w:rsidDel="00000000" w:rsidP="00000000" w:rsidRDefault="00000000" w:rsidRPr="00000000" w14:paraId="000000A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Subida y almacenamiento de grabaciones</w:t>
            </w:r>
            <w:r w:rsidDel="00000000" w:rsidR="00000000" w:rsidRPr="00000000">
              <w:rPr>
                <w:rtl w:val="0"/>
              </w:rPr>
            </w:r>
          </w:p>
        </w:tc>
        <w:tc>
          <w:tcPr/>
          <w:p w:rsidR="00000000" w:rsidDel="00000000" w:rsidP="00000000" w:rsidRDefault="00000000" w:rsidRPr="00000000" w14:paraId="000000A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Implementar la subida de grabaciones mediante URL SAS de un solo uso y el encolado del análisis asíncrono en Service Bus.</w:t>
            </w:r>
            <w:r w:rsidDel="00000000" w:rsidR="00000000" w:rsidRPr="00000000">
              <w:rPr>
                <w:rtl w:val="0"/>
              </w:rPr>
            </w:r>
          </w:p>
        </w:tc>
        <w:tc>
          <w:tcPr/>
          <w:p w:rsidR="00000000" w:rsidDel="00000000" w:rsidP="00000000" w:rsidRDefault="00000000" w:rsidRPr="00000000" w14:paraId="000000A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Azure Blob Storage, Azure Service Bus.</w:t>
            </w:r>
            <w:r w:rsidDel="00000000" w:rsidR="00000000" w:rsidRPr="00000000">
              <w:rPr>
                <w:rtl w:val="0"/>
              </w:rPr>
            </w:r>
          </w:p>
        </w:tc>
        <w:tc>
          <w:tcPr>
            <w:tcBorders>
              <w:right w:color="ffffff" w:space="0" w:sz="4" w:val="single"/>
            </w:tcBorders>
          </w:tcPr>
          <w:p w:rsidR="00000000" w:rsidDel="00000000" w:rsidP="00000000" w:rsidRDefault="00000000" w:rsidRPr="00000000" w14:paraId="000000A6">
            <w:pPr>
              <w:jc w:val="center"/>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7">
            <w:pPr>
              <w:jc w:val="center"/>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Sin observaciones.</w:t>
            </w:r>
            <w:r w:rsidDel="00000000" w:rsidR="00000000" w:rsidRPr="00000000">
              <w:rPr>
                <w:rtl w:val="0"/>
              </w:rPr>
            </w:r>
          </w:p>
        </w:tc>
      </w:tr>
      <w:tr>
        <w:trPr>
          <w:cantSplit w:val="0"/>
          <w:tblHeader w:val="0"/>
        </w:trPr>
        <w:tc>
          <w:tcPr/>
          <w:p w:rsidR="00000000" w:rsidDel="00000000" w:rsidP="00000000" w:rsidRDefault="00000000" w:rsidRPr="00000000" w14:paraId="000000A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Integración de servicios de IA</w:t>
            </w:r>
            <w:r w:rsidDel="00000000" w:rsidR="00000000" w:rsidRPr="00000000">
              <w:rPr>
                <w:rtl w:val="0"/>
              </w:rPr>
            </w:r>
          </w:p>
        </w:tc>
        <w:tc>
          <w:tcPr/>
          <w:p w:rsidR="00000000" w:rsidDel="00000000" w:rsidP="00000000" w:rsidRDefault="00000000" w:rsidRPr="00000000" w14:paraId="000000A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Pipeline de análisis de contenido</w:t>
            </w:r>
            <w:r w:rsidDel="00000000" w:rsidR="00000000" w:rsidRPr="00000000">
              <w:rPr>
                <w:rtl w:val="0"/>
              </w:rPr>
            </w:r>
          </w:p>
        </w:tc>
        <w:tc>
          <w:tcPr/>
          <w:p w:rsidR="00000000" w:rsidDel="00000000" w:rsidP="00000000" w:rsidRDefault="00000000" w:rsidRPr="00000000" w14:paraId="000000A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Implementar el análisis de contenido con LLM-como-juez guiado por el patrón maestro (mensajes clave, líneas rojas).</w:t>
            </w:r>
            <w:r w:rsidDel="00000000" w:rsidR="00000000" w:rsidRPr="00000000">
              <w:rPr>
                <w:rtl w:val="0"/>
              </w:rPr>
            </w:r>
          </w:p>
        </w:tc>
        <w:tc>
          <w:tcPr/>
          <w:p w:rsidR="00000000" w:rsidDel="00000000" w:rsidP="00000000" w:rsidRDefault="00000000" w:rsidRPr="00000000" w14:paraId="000000A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Azure OpenAI, rúbrica v0 del patrón maestro.</w:t>
            </w:r>
            <w:r w:rsidDel="00000000" w:rsidR="00000000" w:rsidRPr="00000000">
              <w:rPr>
                <w:rtl w:val="0"/>
              </w:rPr>
            </w:r>
          </w:p>
        </w:tc>
        <w:tc>
          <w:tcPr>
            <w:tcBorders>
              <w:right w:color="ffffff" w:space="0" w:sz="4" w:val="single"/>
            </w:tcBorders>
          </w:tcPr>
          <w:p w:rsidR="00000000" w:rsidDel="00000000" w:rsidP="00000000" w:rsidRDefault="00000000" w:rsidRPr="00000000" w14:paraId="000000AD">
            <w:pPr>
              <w:jc w:val="center"/>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E">
            <w:pPr>
              <w:jc w:val="center"/>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Depende de contar con una rúbrica v0 definida por el docente/equipo de producto.</w:t>
            </w:r>
            <w:r w:rsidDel="00000000" w:rsidR="00000000" w:rsidRPr="00000000">
              <w:rPr>
                <w:rtl w:val="0"/>
              </w:rPr>
            </w:r>
          </w:p>
        </w:tc>
      </w:tr>
      <w:tr>
        <w:trPr>
          <w:cantSplit w:val="0"/>
          <w:tblHeader w:val="0"/>
        </w:trPr>
        <w:tc>
          <w:tcPr/>
          <w:p w:rsidR="00000000" w:rsidDel="00000000" w:rsidP="00000000" w:rsidRDefault="00000000" w:rsidRPr="00000000" w14:paraId="000000B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Integración de servicios de IA</w:t>
            </w:r>
            <w:r w:rsidDel="00000000" w:rsidR="00000000" w:rsidRPr="00000000">
              <w:rPr>
                <w:rtl w:val="0"/>
              </w:rPr>
            </w:r>
          </w:p>
        </w:tc>
        <w:tc>
          <w:tcPr/>
          <w:p w:rsidR="00000000" w:rsidDel="00000000" w:rsidP="00000000" w:rsidRDefault="00000000" w:rsidRPr="00000000" w14:paraId="000000B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Pipeline de análisis de voz y de imagen</w:t>
            </w:r>
            <w:r w:rsidDel="00000000" w:rsidR="00000000" w:rsidRPr="00000000">
              <w:rPr>
                <w:rtl w:val="0"/>
              </w:rPr>
            </w:r>
          </w:p>
        </w:tc>
        <w:tc>
          <w:tcPr/>
          <w:p w:rsidR="00000000" w:rsidDel="00000000" w:rsidP="00000000" w:rsidRDefault="00000000" w:rsidRPr="00000000" w14:paraId="000000B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Implementar el análisis acústico (ritmo, pausas, muletillas) y el análisis de video (landmarks faciales y de postura).</w:t>
            </w:r>
            <w:r w:rsidDel="00000000" w:rsidR="00000000" w:rsidRPr="00000000">
              <w:rPr>
                <w:rtl w:val="0"/>
              </w:rPr>
            </w:r>
          </w:p>
        </w:tc>
        <w:tc>
          <w:tcPr/>
          <w:p w:rsidR="00000000" w:rsidDel="00000000" w:rsidP="00000000" w:rsidRDefault="00000000" w:rsidRPr="00000000" w14:paraId="000000B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Azure AI Speech, Azure Video Indexer.</w:t>
            </w:r>
            <w:r w:rsidDel="00000000" w:rsidR="00000000" w:rsidRPr="00000000">
              <w:rPr>
                <w:rtl w:val="0"/>
              </w:rPr>
            </w:r>
          </w:p>
        </w:tc>
        <w:tc>
          <w:tcPr>
            <w:tcBorders>
              <w:right w:color="ffffff" w:space="0" w:sz="4" w:val="single"/>
            </w:tcBorders>
          </w:tcPr>
          <w:p w:rsidR="00000000" w:rsidDel="00000000" w:rsidP="00000000" w:rsidRDefault="00000000" w:rsidRPr="00000000" w14:paraId="000000B4">
            <w:pPr>
              <w:jc w:val="center"/>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3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5">
            <w:pPr>
              <w:jc w:val="center"/>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B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Bloque de mayor duración por la cantidad de señales a integrar.</w:t>
            </w:r>
            <w:r w:rsidDel="00000000" w:rsidR="00000000" w:rsidRPr="00000000">
              <w:rPr>
                <w:rtl w:val="0"/>
              </w:rPr>
            </w:r>
          </w:p>
        </w:tc>
      </w:tr>
      <w:tr>
        <w:trPr>
          <w:cantSplit w:val="0"/>
          <w:tblHeader w:val="0"/>
        </w:trPr>
        <w:tc>
          <w:tcPr/>
          <w:p w:rsidR="00000000" w:rsidDel="00000000" w:rsidP="00000000" w:rsidRDefault="00000000" w:rsidRPr="00000000" w14:paraId="000000B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Desarrollo de software / diseño de soluciones</w:t>
            </w:r>
            <w:r w:rsidDel="00000000" w:rsidR="00000000" w:rsidRPr="00000000">
              <w:rPr>
                <w:rtl w:val="0"/>
              </w:rPr>
            </w:r>
          </w:p>
        </w:tc>
        <w:tc>
          <w:tcPr/>
          <w:p w:rsidR="00000000" w:rsidDel="00000000" w:rsidP="00000000" w:rsidRDefault="00000000" w:rsidRPr="00000000" w14:paraId="000000B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Capa de fusión e informe tipo coach</w:t>
            </w:r>
            <w:r w:rsidDel="00000000" w:rsidR="00000000" w:rsidRPr="00000000">
              <w:rPr>
                <w:rtl w:val="0"/>
              </w:rPr>
            </w:r>
          </w:p>
        </w:tc>
        <w:tc>
          <w:tcPr/>
          <w:p w:rsidR="00000000" w:rsidDel="00000000" w:rsidP="00000000" w:rsidRDefault="00000000" w:rsidRPr="00000000" w14:paraId="000000B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Integrar las tres señales en las cuatro áreas de la rúbrica y generar el informe con puntaje global, por área y panel de progreso.</w:t>
            </w:r>
            <w:r w:rsidDel="00000000" w:rsidR="00000000" w:rsidRPr="00000000">
              <w:rPr>
                <w:rtl w:val="0"/>
              </w:rPr>
            </w:r>
          </w:p>
        </w:tc>
        <w:tc>
          <w:tcPr/>
          <w:p w:rsidR="00000000" w:rsidDel="00000000" w:rsidP="00000000" w:rsidRDefault="00000000" w:rsidRPr="00000000" w14:paraId="000000B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API REST, motor de reglas/scoring.</w:t>
            </w:r>
            <w:r w:rsidDel="00000000" w:rsidR="00000000" w:rsidRPr="00000000">
              <w:rPr>
                <w:rtl w:val="0"/>
              </w:rPr>
            </w:r>
          </w:p>
        </w:tc>
        <w:tc>
          <w:tcPr>
            <w:tcBorders>
              <w:right w:color="ffffff" w:space="0" w:sz="4" w:val="single"/>
            </w:tcBorders>
          </w:tcPr>
          <w:p w:rsidR="00000000" w:rsidDel="00000000" w:rsidP="00000000" w:rsidRDefault="00000000" w:rsidRPr="00000000" w14:paraId="000000BB">
            <w:pPr>
              <w:jc w:val="center"/>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C">
            <w:pPr>
              <w:jc w:val="center"/>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B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Entregable central del MVP.</w:t>
            </w:r>
            <w:r w:rsidDel="00000000" w:rsidR="00000000" w:rsidRPr="00000000">
              <w:rPr>
                <w:rtl w:val="0"/>
              </w:rPr>
            </w:r>
          </w:p>
        </w:tc>
      </w:tr>
      <w:tr>
        <w:trPr>
          <w:cantSplit w:val="0"/>
          <w:tblHeader w:val="0"/>
        </w:trPr>
        <w:tc>
          <w:tcPr/>
          <w:p w:rsidR="00000000" w:rsidDel="00000000" w:rsidP="00000000" w:rsidRDefault="00000000" w:rsidRPr="00000000" w14:paraId="000000B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Aseguramiento de calidad</w:t>
            </w:r>
            <w:r w:rsidDel="00000000" w:rsidR="00000000" w:rsidRPr="00000000">
              <w:rPr>
                <w:rtl w:val="0"/>
              </w:rPr>
            </w:r>
          </w:p>
        </w:tc>
        <w:tc>
          <w:tcPr/>
          <w:p w:rsidR="00000000" w:rsidDel="00000000" w:rsidP="00000000" w:rsidRDefault="00000000" w:rsidRPr="00000000" w14:paraId="000000B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Pruebas, documentación y cierre</w:t>
            </w:r>
            <w:r w:rsidDel="00000000" w:rsidR="00000000" w:rsidRPr="00000000">
              <w:rPr>
                <w:rtl w:val="0"/>
              </w:rPr>
            </w:r>
          </w:p>
        </w:tc>
        <w:tc>
          <w:tcPr/>
          <w:p w:rsidR="00000000" w:rsidDel="00000000" w:rsidP="00000000" w:rsidRDefault="00000000" w:rsidRPr="00000000" w14:paraId="000000C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Ejecutar pruebas funcionales de extremo a extremo, documentar el sistema y preparar los entregables finales del Portafolio de Título.</w:t>
            </w:r>
            <w:r w:rsidDel="00000000" w:rsidR="00000000" w:rsidRPr="00000000">
              <w:rPr>
                <w:rtl w:val="0"/>
              </w:rPr>
            </w:r>
          </w:p>
        </w:tc>
        <w:tc>
          <w:tcPr/>
          <w:p w:rsidR="00000000" w:rsidDel="00000000" w:rsidP="00000000" w:rsidRDefault="00000000" w:rsidRPr="00000000" w14:paraId="000000C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Casos de prueba, plantilla de informe final.</w:t>
            </w:r>
            <w:r w:rsidDel="00000000" w:rsidR="00000000" w:rsidRPr="00000000">
              <w:rPr>
                <w:rtl w:val="0"/>
              </w:rPr>
            </w:r>
          </w:p>
        </w:tc>
        <w:tc>
          <w:tcPr>
            <w:tcBorders>
              <w:right w:color="ffffff" w:space="0" w:sz="4" w:val="single"/>
            </w:tcBorders>
          </w:tcPr>
          <w:p w:rsidR="00000000" w:rsidDel="00000000" w:rsidP="00000000" w:rsidRDefault="00000000" w:rsidRPr="00000000" w14:paraId="000000C2">
            <w:pPr>
              <w:jc w:val="center"/>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3">
            <w:pPr>
              <w:jc w:val="center"/>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C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color w:val="000000"/>
                <w:sz w:val="17"/>
                <w:szCs w:val="17"/>
                <w:rtl w:val="0"/>
              </w:rPr>
              <w:t xml:space="preserve">Incluye ajustes finales según retroalimentación del docente.</w:t>
            </w:r>
            <w:r w:rsidDel="00000000" w:rsidR="00000000" w:rsidRPr="00000000">
              <w:rPr>
                <w:rtl w:val="0"/>
              </w:rPr>
            </w:r>
          </w:p>
        </w:tc>
      </w:tr>
    </w:tbl>
    <w:p w:rsidR="00000000" w:rsidDel="00000000" w:rsidP="00000000" w:rsidRDefault="00000000" w:rsidRPr="00000000" w14:paraId="000000C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0">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1">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3">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D9">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FC">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943.90625" w:hRule="atLeast"/>
          <w:tblHeader w:val="0"/>
        </w:trPr>
        <w:tc>
          <w:tcPr/>
          <w:p w:rsidR="00000000" w:rsidDel="00000000" w:rsidP="00000000" w:rsidRDefault="00000000" w:rsidRPr="00000000" w14:paraId="000000FD">
            <w:pPr>
              <w:spacing w:line="360" w:lineRule="auto"/>
              <w:jc w:val="both"/>
              <w:rPr>
                <w:b w:val="1"/>
                <w:bCs w:val="1"/>
                <w:i w:val="1"/>
                <w:iCs w:val="1"/>
                <w:color w:val="6fa8dc"/>
                <w:sz w:val="16"/>
                <w:szCs w:val="16"/>
              </w:rPr>
            </w:pPr>
            <w:r w:rsidDel="00000000" w:rsidR="00000000" w:rsidRPr="00000000">
              <w:rPr>
                <w:b w:val="1"/>
                <w:bCs w:val="1"/>
                <w:i w:val="1"/>
                <w:iCs w:val="1"/>
                <w:color w:val="6fa8dc"/>
                <w:sz w:val="16"/>
                <w:szCs w:val="16"/>
                <w:rtl w:val="0"/>
              </w:rPr>
              <w:t xml:space="preserve">Fase 1: </w:t>
            </w:r>
          </w:p>
          <w:p w:rsidR="00000000" w:rsidDel="00000000" w:rsidP="00000000" w:rsidRDefault="00000000" w:rsidRPr="00000000" w14:paraId="000000FE">
            <w:pPr>
              <w:spacing w:line="360" w:lineRule="auto"/>
              <w:jc w:val="both"/>
              <w:rPr>
                <w:b w:val="1"/>
                <w:bCs w:val="1"/>
                <w:i w:val="1"/>
                <w:iCs w:val="1"/>
                <w:color w:val="6fa8dc"/>
                <w:sz w:val="16"/>
                <w:szCs w:val="16"/>
              </w:rPr>
            </w:pPr>
            <w:r w:rsidDel="00000000" w:rsidR="00000000" w:rsidRPr="00000000">
              <w:rPr>
                <w:b w:val="1"/>
                <w:bCs w:val="1"/>
                <w:i w:val="1"/>
                <w:iCs w:val="1"/>
                <w:color w:val="6fa8dc"/>
                <w:sz w:val="16"/>
                <w:szCs w:val="16"/>
                <w:rtl w:val="0"/>
              </w:rPr>
              <w:t xml:space="preserve">Captura y consentimiento</w:t>
            </w:r>
          </w:p>
        </w:tc>
        <w:tc>
          <w:tcPr>
            <w:shd w:fill="d9ead3" w:val="clear"/>
          </w:tcPr>
          <w:p w:rsidR="00000000" w:rsidDel="00000000" w:rsidP="00000000" w:rsidRDefault="00000000" w:rsidRPr="00000000" w14:paraId="000000FF">
            <w:pPr>
              <w:spacing w:line="360" w:lineRule="auto"/>
              <w:jc w:val="both"/>
              <w:rPr>
                <w:b w:val="1"/>
                <w:bCs w:val="1"/>
                <w:sz w:val="16"/>
                <w:szCs w:val="16"/>
                <w:shd w:fill="93c47d" w:val="clear"/>
              </w:rPr>
            </w:pPr>
            <w:r w:rsidDel="00000000" w:rsidR="00000000" w:rsidRPr="00000000">
              <w:rPr>
                <w:rtl w:val="0"/>
              </w:rPr>
            </w:r>
          </w:p>
        </w:tc>
        <w:tc>
          <w:tcPr>
            <w:shd w:fill="d9ead3" w:val="clear"/>
          </w:tcPr>
          <w:p w:rsidR="00000000" w:rsidDel="00000000" w:rsidP="00000000" w:rsidRDefault="00000000" w:rsidRPr="00000000" w14:paraId="00000100">
            <w:pPr>
              <w:spacing w:line="360" w:lineRule="auto"/>
              <w:jc w:val="both"/>
              <w:rPr>
                <w:b w:val="1"/>
                <w:bCs w:val="1"/>
                <w:sz w:val="16"/>
                <w:szCs w:val="16"/>
                <w:shd w:fill="93c47d" w:val="clear"/>
              </w:rPr>
            </w:pPr>
            <w:r w:rsidDel="00000000" w:rsidR="00000000" w:rsidRPr="00000000">
              <w:rPr>
                <w:rtl w:val="0"/>
              </w:rPr>
            </w:r>
          </w:p>
        </w:tc>
        <w:tc>
          <w:tcPr>
            <w:shd w:fill="d9ead3" w:val="clear"/>
          </w:tcPr>
          <w:p w:rsidR="00000000" w:rsidDel="00000000" w:rsidP="00000000" w:rsidRDefault="00000000" w:rsidRPr="00000000" w14:paraId="00000101">
            <w:pPr>
              <w:spacing w:line="360" w:lineRule="auto"/>
              <w:jc w:val="both"/>
              <w:rPr>
                <w:b w:val="1"/>
                <w:bCs w:val="1"/>
                <w:sz w:val="16"/>
                <w:szCs w:val="16"/>
                <w:shd w:fill="93c47d" w:val="clear"/>
              </w:rPr>
            </w:pPr>
            <w:r w:rsidDel="00000000" w:rsidR="00000000" w:rsidRPr="00000000">
              <w:rPr>
                <w:rtl w:val="0"/>
              </w:rPr>
            </w:r>
          </w:p>
        </w:tc>
        <w:tc>
          <w:tcPr>
            <w:shd w:fill="d9ead3" w:val="clear"/>
          </w:tcPr>
          <w:p w:rsidR="00000000" w:rsidDel="00000000" w:rsidP="00000000" w:rsidRDefault="00000000" w:rsidRPr="00000000" w14:paraId="00000102">
            <w:pPr>
              <w:spacing w:line="360" w:lineRule="auto"/>
              <w:jc w:val="both"/>
              <w:rPr>
                <w:b w:val="1"/>
                <w:bCs w:val="1"/>
                <w:sz w:val="16"/>
                <w:szCs w:val="16"/>
                <w:shd w:fill="93c47d" w:val="clear"/>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shd w:fill="93c47d" w:val="clear"/>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12">
            <w:pPr>
              <w:spacing w:line="360" w:lineRule="auto"/>
              <w:jc w:val="both"/>
              <w:rPr>
                <w:b w:val="1"/>
                <w:bCs w:val="1"/>
                <w:i w:val="1"/>
                <w:iCs w:val="1"/>
                <w:color w:val="6fa8dc"/>
                <w:sz w:val="16"/>
                <w:szCs w:val="16"/>
              </w:rPr>
            </w:pPr>
            <w:r w:rsidDel="00000000" w:rsidR="00000000" w:rsidRPr="00000000">
              <w:rPr>
                <w:b w:val="1"/>
                <w:bCs w:val="1"/>
                <w:i w:val="1"/>
                <w:iCs w:val="1"/>
                <w:color w:val="6fa8dc"/>
                <w:sz w:val="16"/>
                <w:szCs w:val="16"/>
                <w:rtl w:val="0"/>
              </w:rPr>
              <w:t xml:space="preserve">Fase1: Entrevistador LLM y STT</w:t>
            </w:r>
          </w:p>
        </w:tc>
        <w:tc>
          <w:tcPr>
            <w:shd w:fill="d9ead3" w:val="clear"/>
          </w:tcPr>
          <w:p w:rsidR="00000000" w:rsidDel="00000000" w:rsidP="00000000" w:rsidRDefault="00000000" w:rsidRPr="00000000" w14:paraId="00000113">
            <w:pPr>
              <w:spacing w:line="360" w:lineRule="auto"/>
              <w:jc w:val="both"/>
              <w:rPr>
                <w:b w:val="1"/>
                <w:bCs w:val="1"/>
                <w:sz w:val="16"/>
                <w:szCs w:val="16"/>
                <w:shd w:fill="93c47d" w:val="clear"/>
              </w:rPr>
            </w:pPr>
            <w:r w:rsidDel="00000000" w:rsidR="00000000" w:rsidRPr="00000000">
              <w:rPr>
                <w:rtl w:val="0"/>
              </w:rPr>
            </w:r>
          </w:p>
        </w:tc>
        <w:tc>
          <w:tcPr>
            <w:shd w:fill="d9ead3" w:val="clear"/>
          </w:tcPr>
          <w:p w:rsidR="00000000" w:rsidDel="00000000" w:rsidP="00000000" w:rsidRDefault="00000000" w:rsidRPr="00000000" w14:paraId="00000114">
            <w:pPr>
              <w:spacing w:line="360" w:lineRule="auto"/>
              <w:jc w:val="both"/>
              <w:rPr>
                <w:b w:val="1"/>
                <w:bCs w:val="1"/>
                <w:sz w:val="16"/>
                <w:szCs w:val="16"/>
                <w:shd w:fill="93c47d" w:val="clear"/>
              </w:rPr>
            </w:pPr>
            <w:r w:rsidDel="00000000" w:rsidR="00000000" w:rsidRPr="00000000">
              <w:rPr>
                <w:rtl w:val="0"/>
              </w:rPr>
            </w:r>
          </w:p>
        </w:tc>
        <w:tc>
          <w:tcPr>
            <w:shd w:fill="d9ead3" w:val="clear"/>
          </w:tcPr>
          <w:p w:rsidR="00000000" w:rsidDel="00000000" w:rsidP="00000000" w:rsidRDefault="00000000" w:rsidRPr="00000000" w14:paraId="00000115">
            <w:pPr>
              <w:spacing w:line="360" w:lineRule="auto"/>
              <w:jc w:val="both"/>
              <w:rPr>
                <w:b w:val="1"/>
                <w:bCs w:val="1"/>
                <w:sz w:val="16"/>
                <w:szCs w:val="16"/>
                <w:shd w:fill="93c47d" w:val="clear"/>
              </w:rPr>
            </w:pPr>
            <w:r w:rsidDel="00000000" w:rsidR="00000000" w:rsidRPr="00000000">
              <w:rPr>
                <w:rtl w:val="0"/>
              </w:rPr>
            </w:r>
          </w:p>
        </w:tc>
        <w:tc>
          <w:tcPr>
            <w:shd w:fill="d9ead3" w:val="clear"/>
          </w:tcPr>
          <w:p w:rsidR="00000000" w:rsidDel="00000000" w:rsidP="00000000" w:rsidRDefault="00000000" w:rsidRPr="00000000" w14:paraId="00000116">
            <w:pPr>
              <w:spacing w:line="360" w:lineRule="auto"/>
              <w:jc w:val="both"/>
              <w:rPr>
                <w:b w:val="1"/>
                <w:bCs w:val="1"/>
                <w:sz w:val="16"/>
                <w:szCs w:val="16"/>
                <w:shd w:fill="93c47d" w:val="clear"/>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shd w:fill="93c47d" w:val="clear"/>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r>
      <w:tr>
        <w:trPr>
          <w:cantSplit w:val="0"/>
          <w:trHeight w:val="812.96875" w:hRule="atLeast"/>
          <w:tblHeader w:val="0"/>
        </w:trPr>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p w:rsidR="00000000" w:rsidDel="00000000" w:rsidP="00000000" w:rsidRDefault="00000000" w:rsidRPr="00000000" w14:paraId="00000127">
            <w:pPr>
              <w:spacing w:line="360" w:lineRule="auto"/>
              <w:jc w:val="both"/>
              <w:rPr>
                <w:b w:val="1"/>
                <w:bCs w:val="1"/>
                <w:i w:val="1"/>
                <w:iCs w:val="1"/>
                <w:color w:val="6fa8dc"/>
                <w:sz w:val="16"/>
                <w:szCs w:val="16"/>
              </w:rPr>
            </w:pPr>
            <w:r w:rsidDel="00000000" w:rsidR="00000000" w:rsidRPr="00000000">
              <w:rPr>
                <w:b w:val="1"/>
                <w:bCs w:val="1"/>
                <w:i w:val="1"/>
                <w:iCs w:val="1"/>
                <w:color w:val="6fa8dc"/>
                <w:sz w:val="16"/>
                <w:szCs w:val="16"/>
                <w:rtl w:val="0"/>
              </w:rPr>
              <w:t xml:space="preserve">Fase 2:</w:t>
              <w:br w:type="textWrapping"/>
              <w:t xml:space="preserve">Análisis de voz y contenido</w:t>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r>
      <w:tr>
        <w:trPr>
          <w:cantSplit w:val="0"/>
          <w:trHeight w:val="812.968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3B">
            <w:pPr>
              <w:spacing w:after="0" w:line="360" w:lineRule="auto"/>
              <w:jc w:val="both"/>
              <w:rPr>
                <w:b w:val="1"/>
                <w:bCs w:val="1"/>
                <w:i w:val="1"/>
                <w:iCs w:val="1"/>
                <w:color w:val="6fa8dc"/>
                <w:sz w:val="16"/>
                <w:szCs w:val="16"/>
              </w:rPr>
            </w:pPr>
            <w:r w:rsidDel="00000000" w:rsidR="00000000" w:rsidRPr="00000000">
              <w:rPr>
                <w:b w:val="1"/>
                <w:bCs w:val="1"/>
                <w:i w:val="1"/>
                <w:iCs w:val="1"/>
                <w:color w:val="6fa8dc"/>
                <w:sz w:val="16"/>
                <w:szCs w:val="16"/>
                <w:rtl w:val="0"/>
              </w:rPr>
              <w:t xml:space="preserve">Fase 2:</w:t>
              <w:br w:type="textWrapping"/>
              <w:t xml:space="preserve">Multi-tenancy y retención</w:t>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r>
      <w:tr>
        <w:trPr>
          <w:cantSplit w:val="0"/>
          <w:trHeight w:val="812.96875" w:hRule="atLeast"/>
          <w:tblHeader w:val="0"/>
        </w:trPr>
        <w:tc>
          <w:tcPr/>
          <w:p w:rsidR="00000000" w:rsidDel="00000000" w:rsidP="00000000" w:rsidRDefault="00000000" w:rsidRPr="00000000" w14:paraId="0000014F">
            <w:pPr>
              <w:spacing w:line="360" w:lineRule="auto"/>
              <w:jc w:val="both"/>
              <w:rPr>
                <w:b w:val="1"/>
                <w:bCs w:val="1"/>
                <w:i w:val="1"/>
                <w:iCs w:val="1"/>
                <w:color w:val="6fa8dc"/>
                <w:sz w:val="16"/>
                <w:szCs w:val="16"/>
              </w:rPr>
            </w:pPr>
            <w:r w:rsidDel="00000000" w:rsidR="00000000" w:rsidRPr="00000000">
              <w:rPr>
                <w:b w:val="1"/>
                <w:bCs w:val="1"/>
                <w:i w:val="1"/>
                <w:iCs w:val="1"/>
                <w:color w:val="6fa8dc"/>
                <w:sz w:val="16"/>
                <w:szCs w:val="16"/>
                <w:rtl w:val="0"/>
              </w:rPr>
              <w:t xml:space="preserve">Fase 3:</w:t>
              <w:br w:type="textWrapping"/>
              <w:t xml:space="preserve">Análisis de imagen y fusión</w:t>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gridSpan w:val="2"/>
            <w:shd w:fill="f9cb9c" w:val="clear"/>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shd w:fill="f9cb9c" w:val="clear"/>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shd w:fill="f9cb9c" w:val="clear"/>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r>
      <w:tr>
        <w:trPr>
          <w:cantSplit w:val="0"/>
          <w:trHeight w:val="812.96875" w:hRule="atLeast"/>
          <w:tblHeader w:val="0"/>
        </w:trPr>
        <w:tc>
          <w:tcPr/>
          <w:p w:rsidR="00000000" w:rsidDel="00000000" w:rsidP="00000000" w:rsidRDefault="00000000" w:rsidRPr="00000000" w14:paraId="00000163">
            <w:pPr>
              <w:spacing w:line="360" w:lineRule="auto"/>
              <w:jc w:val="both"/>
              <w:rPr>
                <w:b w:val="1"/>
                <w:bCs w:val="1"/>
                <w:i w:val="1"/>
                <w:iCs w:val="1"/>
                <w:color w:val="6fa8dc"/>
                <w:sz w:val="16"/>
                <w:szCs w:val="16"/>
              </w:rPr>
            </w:pPr>
            <w:r w:rsidDel="00000000" w:rsidR="00000000" w:rsidRPr="00000000">
              <w:rPr>
                <w:b w:val="1"/>
                <w:bCs w:val="1"/>
                <w:i w:val="1"/>
                <w:iCs w:val="1"/>
                <w:color w:val="6fa8dc"/>
                <w:sz w:val="16"/>
                <w:szCs w:val="16"/>
                <w:rtl w:val="0"/>
              </w:rPr>
              <w:t xml:space="preserve">Fase 3</w:t>
            </w:r>
            <w:r w:rsidDel="00000000" w:rsidR="00000000" w:rsidRPr="00000000">
              <w:rPr>
                <w:b w:val="1"/>
                <w:bCs w:val="1"/>
                <w:i w:val="1"/>
                <w:iCs w:val="1"/>
                <w:color w:val="6fa8dc"/>
                <w:sz w:val="16"/>
                <w:szCs w:val="16"/>
                <w:vertAlign w:val="superscript"/>
                <w:rtl w:val="0"/>
              </w:rPr>
              <w:t xml:space="preserve">:</w:t>
              <w:br w:type="textWrapping"/>
            </w:r>
            <w:r w:rsidDel="00000000" w:rsidR="00000000" w:rsidRPr="00000000">
              <w:rPr>
                <w:b w:val="1"/>
                <w:bCs w:val="1"/>
                <w:i w:val="1"/>
                <w:iCs w:val="1"/>
                <w:color w:val="6fa8dc"/>
                <w:sz w:val="16"/>
                <w:szCs w:val="16"/>
                <w:rtl w:val="0"/>
              </w:rPr>
              <w:t xml:space="preserve">Informe coach y cierre del MVP</w:t>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gridSpan w:val="2"/>
            <w:shd w:fill="f9cb9c" w:val="clear"/>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shd w:fill="f9cb9c" w:val="clear"/>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shd w:fill="f9cb9c" w:val="clear"/>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r>
      <w:tr>
        <w:trPr>
          <w:cantSplit w:val="0"/>
          <w:trHeight w:val="812.96875" w:hRule="atLeast"/>
          <w:tblHeader w:val="0"/>
        </w:trPr>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8B">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8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Fd0Ir9kKO4oCjXvIJz94IApR4g==">CgMxLjA4AHIhMUp0QkNYbFl3Vmw5dnk4dmppWDIyTUVOX2pQNnd1S1dD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