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185A7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53A120DF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6776F69B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59DF9237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70F9361F">
      <w:pPr>
        <w:spacing w:before="156" w:beforeLines="50" w:after="156" w:afterLines="50" w:line="360" w:lineRule="auto"/>
        <w:ind w:firstLine="1040" w:firstLineChars="200"/>
        <w:jc w:val="center"/>
        <w:rPr>
          <w:rFonts w:ascii="微软雅黑" w:hAnsi="微软雅黑" w:eastAsia="微软雅黑" w:cs="Arial"/>
          <w:sz w:val="52"/>
        </w:rPr>
      </w:pPr>
      <w:r>
        <w:rPr>
          <w:rFonts w:ascii="宋体" w:hAnsi="宋体" w:eastAsia="宋体"/>
          <w:b/>
          <w:sz w:val="48"/>
        </w:rPr>
        <w:t>《数据智能体服务系统》</w:t>
      </w:r>
    </w:p>
    <w:p w14:paraId="239E43EA">
      <w:pPr>
        <w:spacing w:before="156" w:beforeLines="50" w:after="156" w:afterLines="50" w:line="360" w:lineRule="auto"/>
        <w:ind w:firstLine="1120" w:firstLineChars="200"/>
        <w:jc w:val="center"/>
        <w:rPr>
          <w:rFonts w:ascii="微软雅黑" w:hAnsi="微软雅黑" w:eastAsia="微软雅黑" w:cs="Arial"/>
          <w:sz w:val="20"/>
        </w:rPr>
      </w:pPr>
      <w:r>
        <w:rPr>
          <w:rFonts w:ascii="宋体" w:hAnsi="宋体" w:eastAsia="宋体"/>
          <w:b/>
          <w:sz w:val="44"/>
        </w:rPr>
        <w:t>用 户 需 求 说 明 书</w:t>
      </w:r>
    </w:p>
    <w:p w14:paraId="09A03D34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6358BB85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5E1ED008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5F1FA044">
      <w:pPr>
        <w:spacing w:before="156" w:beforeLines="50" w:after="156" w:afterLines="50" w:line="360" w:lineRule="auto"/>
        <w:ind w:firstLine="420" w:firstLineChars="200"/>
        <w:jc w:val="center"/>
        <w:rPr>
          <w:rFonts w:ascii="微软雅黑" w:hAnsi="微软雅黑" w:eastAsia="微软雅黑" w:cs="Arial"/>
        </w:rPr>
      </w:pPr>
      <w:r>
        <w:rPr>
          <w:rFonts w:ascii="宋体" w:hAnsi="宋体" w:eastAsia="宋体"/>
          <w:sz w:val="24"/>
        </w:rPr>
        <w:t>v1.0</w:t>
      </w:r>
    </w:p>
    <w:p w14:paraId="5B5436FB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48CE12B3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p w14:paraId="24B03CDD">
      <w:pPr>
        <w:spacing w:before="156" w:beforeLines="50" w:after="156" w:afterLines="50" w:line="360" w:lineRule="auto"/>
        <w:ind w:firstLine="440" w:firstLineChars="200"/>
        <w:jc w:val="center"/>
        <w:rPr>
          <w:rFonts w:ascii="微软雅黑" w:hAnsi="微软雅黑" w:eastAsia="微软雅黑" w:cs="Arial"/>
          <w:sz w:val="22"/>
        </w:rPr>
      </w:pPr>
      <w:r>
        <w:rPr>
          <w:rFonts w:ascii="宋体" w:hAnsi="宋体" w:eastAsia="宋体"/>
          <w:b/>
          <w:sz w:val="28"/>
        </w:rPr>
        <w:t>数据智能体项目组</w:t>
      </w:r>
    </w:p>
    <w:p w14:paraId="181BA9FA">
      <w:pPr>
        <w:spacing w:before="156" w:beforeLines="50" w:after="156" w:afterLines="50" w:line="360" w:lineRule="auto"/>
        <w:ind w:firstLine="420" w:firstLineChars="200"/>
        <w:jc w:val="center"/>
        <w:rPr>
          <w:rFonts w:ascii="宋体" w:hAnsi="宋体" w:cs="Arial"/>
        </w:rPr>
      </w:pPr>
    </w:p>
    <w:tbl>
      <w:tblPr>
        <w:tblStyle w:val="28"/>
        <w:tblpPr w:leftFromText="187" w:rightFromText="187" w:vertAnchor="page" w:horzAnchor="page" w:tblpX="2559" w:tblpY="13560"/>
        <w:tblW w:w="4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4"/>
      </w:tblGrid>
      <w:tr w14:paraId="614EC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84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78549E6E">
            <w:pPr>
              <w:pStyle w:val="46"/>
              <w:spacing w:before="156" w:beforeLines="50" w:after="156" w:afterLines="50" w:line="360" w:lineRule="auto"/>
              <w:ind w:firstLine="720" w:firstLineChars="200"/>
              <w:jc w:val="center"/>
              <w:rPr>
                <w:rFonts w:ascii="宋体" w:hAnsi="宋体" w:cs="Arial"/>
                <w:sz w:val="36"/>
                <w:szCs w:val="36"/>
              </w:rPr>
            </w:pPr>
          </w:p>
        </w:tc>
      </w:tr>
    </w:tbl>
    <w:p w14:paraId="2747B976">
      <w:pPr>
        <w:rPr>
          <w:rFonts w:ascii="宋体" w:hAnsi="宋体" w:cs="Arial"/>
        </w:rPr>
      </w:pPr>
      <w:r>
        <w:rPr>
          <w:rFonts w:ascii="宋体" w:hAnsi="宋体" w:cs="Arial"/>
        </w:rPr>
        <w:br w:type="page"/>
      </w:r>
    </w:p>
    <w:p w14:paraId="05A2B10C">
      <w:pPr>
        <w:rPr>
          <w:rFonts w:ascii="宋体" w:hAnsi="宋体" w:cs="Arial"/>
        </w:rPr>
      </w:pPr>
    </w:p>
    <w:p w14:paraId="4D6ED048">
      <w:pPr>
        <w:jc w:val="center"/>
        <w:rPr>
          <w:rFonts w:ascii="宋体" w:hAnsi="宋体" w:cs="Arial"/>
          <w:b/>
          <w:color w:val="0070C0"/>
        </w:rPr>
      </w:pPr>
      <w:r>
        <w:rPr>
          <w:rFonts w:ascii="宋体" w:hAnsi="宋体" w:cs="Arial"/>
          <w:b/>
          <w:color w:val="0070C0"/>
        </w:rPr>
        <w:t>版 本 历 史</w:t>
      </w:r>
    </w:p>
    <w:tbl>
      <w:tblPr>
        <w:tblStyle w:val="28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134"/>
        <w:gridCol w:w="709"/>
        <w:gridCol w:w="1559"/>
        <w:gridCol w:w="4394"/>
      </w:tblGrid>
      <w:tr w14:paraId="52FB7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817" w:type="dxa"/>
            <w:tcBorders>
              <w:bottom w:val="double" w:color="auto" w:sz="4" w:space="0"/>
            </w:tcBorders>
            <w:shd w:val="clear" w:color="auto" w:fill="D9EAF7"/>
            <w:vAlign w:val="center"/>
          </w:tcPr>
          <w:p w14:paraId="2F393977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sz w:val="21"/>
              </w:rPr>
              <w:t>版本/状态</w:t>
            </w:r>
          </w:p>
        </w:tc>
        <w:tc>
          <w:tcPr>
            <w:tcW w:w="1134" w:type="dxa"/>
            <w:tcBorders>
              <w:bottom w:val="double" w:color="auto" w:sz="4" w:space="0"/>
            </w:tcBorders>
            <w:shd w:val="clear" w:color="auto" w:fill="D9EAF7"/>
            <w:vAlign w:val="center"/>
          </w:tcPr>
          <w:p w14:paraId="415E65DE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  <w:tc>
          <w:tcPr>
            <w:tcW w:w="709" w:type="dxa"/>
            <w:tcBorders>
              <w:bottom w:val="double" w:color="auto" w:sz="4" w:space="0"/>
            </w:tcBorders>
            <w:shd w:val="clear" w:color="auto" w:fill="D9EAF7"/>
            <w:vAlign w:val="center"/>
          </w:tcPr>
          <w:p w14:paraId="5D76D51B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sz w:val="21"/>
              </w:rPr>
              <w:t>参与者</w:t>
            </w:r>
          </w:p>
        </w:tc>
        <w:tc>
          <w:tcPr>
            <w:tcW w:w="1559" w:type="dxa"/>
            <w:tcBorders>
              <w:bottom w:val="double" w:color="auto" w:sz="4" w:space="0"/>
            </w:tcBorders>
            <w:shd w:val="clear" w:color="auto" w:fill="D9EAF7"/>
            <w:vAlign w:val="center"/>
          </w:tcPr>
          <w:p w14:paraId="32DA5662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w="4394" w:type="dxa"/>
            <w:tcBorders>
              <w:bottom w:val="double" w:color="auto" w:sz="4" w:space="0"/>
            </w:tcBorders>
            <w:shd w:val="clear" w:color="auto" w:fill="D9EAF7"/>
            <w:vAlign w:val="center"/>
          </w:tcPr>
          <w:p w14:paraId="7D30C4D1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 w14:paraId="033E0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double" w:color="auto" w:sz="4" w:space="0"/>
            </w:tcBorders>
            <w:vAlign w:val="center"/>
          </w:tcPr>
          <w:p w14:paraId="130E1780">
            <w:pPr>
              <w:jc w:val="left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V1.0 / 初稿</w:t>
            </w:r>
          </w:p>
        </w:tc>
        <w:tc>
          <w:tcPr>
            <w:tcW w:w="1134" w:type="dxa"/>
            <w:tcBorders>
              <w:top w:val="double" w:color="auto" w:sz="4" w:space="0"/>
            </w:tcBorders>
            <w:vAlign w:val="center"/>
          </w:tcPr>
          <w:p w14:paraId="1EA85195">
            <w:pPr>
              <w:jc w:val="center"/>
              <w:rPr>
                <w:rFonts w:ascii="宋体" w:hAnsi="宋体" w:cs="Arial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项目组</w:t>
            </w:r>
          </w:p>
        </w:tc>
        <w:tc>
          <w:tcPr>
            <w:tcW w:w="709" w:type="dxa"/>
            <w:tcBorders>
              <w:top w:val="double" w:color="auto" w:sz="4" w:space="0"/>
            </w:tcBorders>
            <w:vAlign w:val="center"/>
          </w:tcPr>
          <w:p w14:paraId="3A4E90EE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产品、前端、后端、测试</w:t>
            </w:r>
          </w:p>
        </w:tc>
        <w:tc>
          <w:tcPr>
            <w:tcW w:w="1559" w:type="dxa"/>
            <w:tcBorders>
              <w:top w:val="double" w:color="auto" w:sz="4" w:space="0"/>
            </w:tcBorders>
            <w:vAlign w:val="center"/>
          </w:tcPr>
          <w:p w14:paraId="731ABF18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2026-06-23</w:t>
            </w:r>
          </w:p>
        </w:tc>
        <w:tc>
          <w:tcPr>
            <w:tcW w:w="4394" w:type="dxa"/>
            <w:tcBorders>
              <w:top w:val="double" w:color="auto" w:sz="4" w:space="0"/>
            </w:tcBorders>
            <w:vAlign w:val="center"/>
          </w:tcPr>
          <w:p w14:paraId="6421E43E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完成项目需求说明书模板版</w:t>
            </w:r>
          </w:p>
        </w:tc>
      </w:tr>
      <w:tr w14:paraId="17BCE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7DACBF97">
            <w:pPr>
              <w:jc w:val="left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V1.1 / 评审稿</w:t>
            </w:r>
          </w:p>
        </w:tc>
        <w:tc>
          <w:tcPr>
            <w:tcW w:w="1134" w:type="dxa"/>
            <w:vAlign w:val="center"/>
          </w:tcPr>
          <w:p w14:paraId="673EF107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项目组</w:t>
            </w:r>
          </w:p>
        </w:tc>
        <w:tc>
          <w:tcPr>
            <w:tcW w:w="709" w:type="dxa"/>
            <w:vAlign w:val="center"/>
          </w:tcPr>
          <w:p w14:paraId="74B17CF8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指导老师、项目成员</w:t>
            </w:r>
          </w:p>
        </w:tc>
        <w:tc>
          <w:tcPr>
            <w:tcW w:w="1559" w:type="dxa"/>
            <w:vAlign w:val="center"/>
          </w:tcPr>
          <w:p w14:paraId="581437B8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待定</w:t>
            </w:r>
          </w:p>
        </w:tc>
        <w:tc>
          <w:tcPr>
            <w:tcW w:w="4394" w:type="dxa"/>
            <w:vAlign w:val="center"/>
          </w:tcPr>
          <w:p w14:paraId="1AAA70FA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根据评审意见修订</w:t>
            </w:r>
          </w:p>
        </w:tc>
      </w:tr>
      <w:tr w14:paraId="5A017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 w14:paraId="44D872B8">
            <w:pPr>
              <w:jc w:val="left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V1.2 / 定稿</w:t>
            </w:r>
          </w:p>
        </w:tc>
        <w:tc>
          <w:tcPr>
            <w:tcW w:w="1134" w:type="dxa"/>
            <w:vAlign w:val="center"/>
          </w:tcPr>
          <w:p w14:paraId="3EB5D329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项目组</w:t>
            </w:r>
          </w:p>
        </w:tc>
        <w:tc>
          <w:tcPr>
            <w:tcW w:w="709" w:type="dxa"/>
            <w:vAlign w:val="center"/>
          </w:tcPr>
          <w:p w14:paraId="6072AF53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项目成员</w:t>
            </w:r>
          </w:p>
        </w:tc>
        <w:tc>
          <w:tcPr>
            <w:tcW w:w="1559" w:type="dxa"/>
            <w:vAlign w:val="center"/>
          </w:tcPr>
          <w:p w14:paraId="2ABCDE6B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待定</w:t>
            </w:r>
          </w:p>
        </w:tc>
        <w:tc>
          <w:tcPr>
            <w:tcW w:w="4394" w:type="dxa"/>
            <w:vAlign w:val="center"/>
          </w:tcPr>
          <w:p w14:paraId="2AAD6B7D">
            <w:pPr>
              <w:jc w:val="center"/>
              <w:rPr>
                <w:rFonts w:ascii="宋体" w:hAnsi="宋体" w:cs="Arial"/>
                <w:color w:val="000000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作为开发与验收依据</w:t>
            </w:r>
          </w:p>
        </w:tc>
      </w:tr>
    </w:tbl>
    <w:p w14:paraId="08336850">
      <w:pPr>
        <w:rPr>
          <w:rFonts w:ascii="宋体" w:hAnsi="宋体" w:cs="Arial"/>
        </w:rPr>
      </w:pPr>
    </w:p>
    <w:p w14:paraId="373578C4">
      <w:pPr>
        <w:widowControl/>
        <w:jc w:val="left"/>
        <w:rPr>
          <w:rFonts w:ascii="宋体" w:hAnsi="宋体" w:cs="Arial"/>
        </w:rPr>
      </w:pPr>
      <w:r>
        <w:rPr>
          <w:rFonts w:ascii="宋体" w:hAnsi="宋体" w:cs="Arial"/>
        </w:rPr>
        <w:br w:type="page"/>
      </w:r>
    </w:p>
    <w:p w14:paraId="1966B76B">
      <w:pPr>
        <w:spacing w:before="156" w:beforeLines="50" w:after="156" w:afterLines="50" w:line="360" w:lineRule="auto"/>
        <w:ind w:firstLine="1044" w:firstLineChars="200"/>
        <w:jc w:val="center"/>
        <w:rPr>
          <w:rFonts w:ascii="宋体" w:hAnsi="宋体" w:cs="Arial"/>
          <w:b/>
          <w:sz w:val="52"/>
          <w:szCs w:val="52"/>
        </w:rPr>
      </w:pPr>
      <w:r>
        <w:rPr>
          <w:rFonts w:ascii="宋体" w:hAnsi="宋体" w:cs="Arial"/>
          <w:b/>
          <w:sz w:val="52"/>
          <w:szCs w:val="52"/>
        </w:rPr>
        <w:t>目   录</w:t>
      </w:r>
    </w:p>
    <w:p w14:paraId="149750E6">
      <w:pPr>
        <w:spacing w:before="156" w:beforeLines="50" w:after="156" w:afterLines="50" w:line="360" w:lineRule="auto"/>
        <w:ind w:firstLine="1044" w:firstLineChars="200"/>
        <w:jc w:val="center"/>
        <w:rPr>
          <w:rFonts w:ascii="宋体" w:hAnsi="宋体" w:cs="Arial"/>
          <w:b/>
          <w:sz w:val="52"/>
          <w:szCs w:val="52"/>
        </w:rPr>
      </w:pPr>
    </w:p>
    <w:p w14:paraId="0C0756E8">
      <w:pPr>
        <w:pStyle w:val="24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第一部分 引言</w:t>
        <w:tab/>
        <w:t>3</w:t>
      </w:r>
    </w:p>
    <w:p w14:paraId="109DC379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一、说明</w:t>
        <w:tab/>
        <w:t>3</w:t>
      </w:r>
    </w:p>
    <w:p w14:paraId="0F60AD7C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二、定义</w:t>
        <w:tab/>
        <w:t>4</w:t>
      </w:r>
    </w:p>
    <w:p w14:paraId="0AEC2E30">
      <w:pPr>
        <w:pStyle w:val="24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第二部分 综述</w:t>
        <w:tab/>
        <w:t>4</w:t>
      </w:r>
    </w:p>
    <w:p w14:paraId="21B4AD7F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一、项目背景</w:t>
        <w:tab/>
        <w:t>4</w:t>
      </w:r>
    </w:p>
    <w:p w14:paraId="2B70B49C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二、建设目标</w:t>
        <w:tab/>
        <w:t>4</w:t>
      </w:r>
    </w:p>
    <w:p w14:paraId="1DCD857D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三、建设原则</w:t>
        <w:tab/>
        <w:t>5</w:t>
      </w:r>
    </w:p>
    <w:p w14:paraId="7086C474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四、用户业务需求说明</w:t>
        <w:tab/>
        <w:t>6</w:t>
      </w:r>
    </w:p>
    <w:p w14:paraId="7D2B913F">
      <w:pPr>
        <w:pStyle w:val="21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1、整体业务需求示意图</w:t>
        <w:tab/>
        <w:t>6</w:t>
      </w:r>
    </w:p>
    <w:p w14:paraId="0B700883">
      <w:pPr>
        <w:pStyle w:val="21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2、需求详细说明</w:t>
        <w:tab/>
        <w:t>6</w:t>
      </w:r>
    </w:p>
    <w:p w14:paraId="64034F59">
      <w:pPr>
        <w:pStyle w:val="14"/>
        <w:tabs>
          <w:tab w:val="left" w:pos="2310"/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2.1 数据分析业务流程描述</w:t>
        <w:tab/>
        <w:t>6</w:t>
      </w:r>
    </w:p>
    <w:p w14:paraId="6E07E74A">
      <w:pPr>
        <w:pStyle w:val="23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1）、自然语言数据分析流程</w:t>
        <w:tab/>
        <w:t>6</w:t>
      </w:r>
    </w:p>
    <w:p w14:paraId="4040F98B">
      <w:pPr>
        <w:pStyle w:val="23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2）、知识库问答流程</w:t>
        <w:tab/>
        <w:t>6</w:t>
      </w:r>
    </w:p>
    <w:p w14:paraId="17B2267C">
      <w:pPr>
        <w:pStyle w:val="24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第三部分 需求分析</w:t>
        <w:tab/>
        <w:t>7</w:t>
      </w:r>
    </w:p>
    <w:p w14:paraId="287B267C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一、用例分析</w:t>
        <w:tab/>
        <w:t>7</w:t>
      </w:r>
    </w:p>
    <w:p w14:paraId="178028CF">
      <w:pPr>
        <w:pStyle w:val="21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1、智能分析用例</w:t>
        <w:tab/>
        <w:t>7</w:t>
      </w:r>
    </w:p>
    <w:p w14:paraId="2AAA44CC">
      <w:pPr>
        <w:pStyle w:val="14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1.1、智能分析用例描述</w:t>
        <w:tab/>
        <w:t>7</w:t>
      </w:r>
    </w:p>
    <w:p w14:paraId="611E1768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二、界面风格</w:t>
        <w:tab/>
        <w:t>7</w:t>
      </w:r>
    </w:p>
    <w:p w14:paraId="5A74CDB1">
      <w:pPr>
        <w:pStyle w:val="24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第四部分 验收标准</w:t>
        <w:tab/>
        <w:t>8</w:t>
      </w:r>
    </w:p>
    <w:p w14:paraId="4E03E221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一、功能范围定义</w:t>
        <w:tab/>
        <w:t>8</w:t>
      </w:r>
    </w:p>
    <w:p w14:paraId="0606FC3C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二、性能指标定义</w:t>
        <w:tab/>
        <w:t>9</w:t>
      </w:r>
    </w:p>
    <w:p w14:paraId="55074105">
      <w:pPr>
        <w:pStyle w:val="24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第五部分 环境和部署要求</w:t>
        <w:tab/>
        <w:t>11</w:t>
      </w:r>
    </w:p>
    <w:p w14:paraId="125631A3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一、网络部署图</w:t>
        <w:tab/>
        <w:t>11</w:t>
      </w:r>
    </w:p>
    <w:p w14:paraId="0FBB055F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二、应用部署图</w:t>
        <w:tab/>
        <w:t>11</w:t>
      </w:r>
    </w:p>
    <w:p w14:paraId="14C9C81C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三、其他部署</w:t>
        <w:tab/>
        <w:t>11</w:t>
      </w:r>
    </w:p>
    <w:p w14:paraId="1C0E8F4C">
      <w:pPr>
        <w:pStyle w:val="15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四、运行环境说明</w:t>
        <w:tab/>
        <w:t>12</w:t>
      </w:r>
    </w:p>
    <w:p w14:paraId="759C2821">
      <w:pPr>
        <w:pStyle w:val="21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1、服务器</w:t>
        <w:tab/>
        <w:t>12</w:t>
      </w:r>
    </w:p>
    <w:p w14:paraId="02BC6BCF">
      <w:pPr>
        <w:pStyle w:val="21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2、客户机器环境</w:t>
        <w:tab/>
        <w:t>12</w:t>
      </w:r>
    </w:p>
    <w:p w14:paraId="11809462">
      <w:pPr>
        <w:pStyle w:val="21"/>
        <w:tabs>
          <w:tab w:val="right" w:leader="dot" w:pos="8990"/>
        </w:tabs>
        <w:rPr>
          <w:rFonts w:asciiTheme="minorHAnsi" w:hAnsiTheme="minorHAnsi" w:eastAsiaTheme="minorEastAsia" w:cstheme="minorBidi"/>
          <w:szCs w:val="22"/>
        </w:rPr>
      </w:pPr>
      <w:r>
        <w:rPr>
          <w:rFonts w:ascii="宋体" w:hAnsi="宋体" w:eastAsia="宋体"/>
        </w:rPr>
        <w:t>3、模型与向量库环境</w:t>
        <w:tab/>
        <w:t>12</w:t>
      </w:r>
    </w:p>
    <w:p w14:paraId="0CC91F37">
      <w:pPr>
        <w:pStyle w:val="22"/>
        <w:jc w:val="center"/>
        <w:rPr>
          <w:rFonts w:ascii="宋体" w:hAnsi="宋体" w:eastAsia="宋体" w:cs="Arial"/>
        </w:rPr>
      </w:pPr>
      <w:r>
        <w:rPr>
          <w:rFonts w:ascii="宋体" w:hAnsi="宋体" w:eastAsia="宋体" w:cs="Arial"/>
        </w:rPr>
        <w:fldChar w:fldCharType="end"/>
      </w:r>
      <w:bookmarkStart w:id="0" w:name="_Toc317376079"/>
      <w:bookmarkStart w:id="1" w:name="_Toc428303611"/>
    </w:p>
    <w:p w14:paraId="1ABF4086">
      <w:pPr>
        <w:pStyle w:val="22"/>
        <w:jc w:val="center"/>
        <w:rPr>
          <w:rFonts w:ascii="宋体" w:hAnsi="宋体" w:eastAsia="宋体" w:cs="Arial"/>
        </w:rPr>
      </w:pPr>
    </w:p>
    <w:p w14:paraId="361B095B">
      <w:pPr>
        <w:pStyle w:val="22"/>
        <w:jc w:val="center"/>
        <w:rPr>
          <w:rFonts w:ascii="宋体" w:hAnsi="宋体" w:eastAsia="宋体" w:cs="Arial"/>
        </w:rPr>
      </w:pPr>
    </w:p>
    <w:p w14:paraId="4642B622">
      <w:pPr>
        <w:pStyle w:val="22"/>
        <w:jc w:val="center"/>
        <w:rPr>
          <w:rFonts w:ascii="宋体" w:hAnsi="宋体" w:eastAsia="宋体" w:cs="Arial"/>
          <w:color w:val="auto"/>
        </w:rPr>
      </w:pPr>
      <w:r>
        <w:rPr>
          <w:rFonts w:ascii="宋体" w:hAnsi="宋体" w:eastAsia="宋体" w:cs="Arial"/>
          <w:color w:val="auto"/>
        </w:rPr>
        <w:t xml:space="preserve">第一部分 </w:t>
      </w:r>
      <w:bookmarkEnd w:id="0"/>
      <w:r>
        <w:rPr>
          <w:rFonts w:hint="eastAsia" w:ascii="宋体" w:hAnsi="宋体" w:eastAsia="宋体" w:cs="Arial"/>
          <w:color w:val="auto"/>
        </w:rPr>
        <w:t>引言</w:t>
      </w:r>
      <w:bookmarkEnd w:id="1"/>
    </w:p>
    <w:p w14:paraId="08521A89">
      <w:pPr>
        <w:pStyle w:val="4"/>
        <w:rPr>
          <w:rFonts w:ascii="宋体" w:hAnsi="宋体" w:cs="Arial"/>
        </w:rPr>
      </w:pPr>
      <w:bookmarkStart w:id="2" w:name="_Toc317376080"/>
      <w:bookmarkStart w:id="3" w:name="_Toc428303612"/>
      <w:r>
        <w:rPr>
          <w:rFonts w:ascii="宋体" w:hAnsi="宋体" w:cs="Arial"/>
        </w:rPr>
        <w:t>一、</w:t>
      </w:r>
      <w:bookmarkEnd w:id="2"/>
      <w:r>
        <w:rPr>
          <w:rFonts w:hint="eastAsia" w:ascii="宋体" w:hAnsi="宋体" w:cs="Arial"/>
        </w:rPr>
        <w:t>说明</w:t>
      </w:r>
      <w:bookmarkEnd w:id="3"/>
    </w:p>
    <w:p w14:paraId="50D0A7A0">
      <w:pPr>
        <w:spacing w:before="156" w:beforeLines="50" w:after="156" w:afterLines="50" w:line="360" w:lineRule="auto"/>
        <w:rPr>
          <w:rFonts w:ascii="宋体" w:hAnsi="宋体" w:cs="Arial"/>
        </w:rPr>
      </w:pPr>
      <w:r>
        <w:rPr>
          <w:rFonts w:hint="eastAsia" w:ascii="宋体" w:hAnsi="宋体" w:cs="Arial"/>
        </w:rPr>
        <w:tab/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07F41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6FBB8541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本文档用于说明“数据智能体服务系统”的用户需求、业务流程、功能范围、性能要求、验收标准和部署环境要求。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文档读者包括项目负责人、开发人员、测试人员、指导老师及后续维护人员。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本文档经评审确认后，将作为系统设计、开发实现、测试验收和答辩说明的依据。</w:t>
            </w:r>
          </w:p>
        </w:tc>
      </w:tr>
    </w:tbl>
    <w:p w14:paraId="392B56C6">
      <w:pPr>
        <w:spacing w:before="156" w:beforeLines="50" w:after="156" w:afterLines="50" w:line="360" w:lineRule="auto"/>
        <w:rPr>
          <w:rFonts w:ascii="宋体" w:hAnsi="宋体" w:cs="Arial"/>
        </w:rPr>
      </w:pPr>
    </w:p>
    <w:p w14:paraId="4EACBF33">
      <w:pPr>
        <w:spacing w:line="360" w:lineRule="auto"/>
        <w:rPr>
          <w:rFonts w:ascii="宋体" w:hAnsi="宋体" w:cs="Arial"/>
        </w:rPr>
      </w:pPr>
    </w:p>
    <w:p w14:paraId="542FD620">
      <w:pPr>
        <w:pStyle w:val="4"/>
        <w:rPr>
          <w:rFonts w:ascii="宋体" w:hAnsi="宋体"/>
        </w:rPr>
      </w:pPr>
      <w:bookmarkStart w:id="4" w:name="_Toc428303613"/>
      <w:r>
        <w:rPr>
          <w:rFonts w:hint="eastAsia" w:ascii="宋体" w:hAnsi="宋体"/>
        </w:rPr>
        <w:t>二</w:t>
      </w:r>
      <w:r>
        <w:rPr>
          <w:rFonts w:ascii="宋体" w:hAnsi="宋体"/>
        </w:rPr>
        <w:t>、</w:t>
      </w:r>
      <w:r>
        <w:rPr>
          <w:rFonts w:hint="eastAsia" w:ascii="宋体" w:hAnsi="宋体"/>
        </w:rPr>
        <w:t>定义</w:t>
      </w:r>
      <w:bookmarkEnd w:id="4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26AED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4A367838">
            <w:pPr>
              <w:widowControl/>
              <w:spacing w:before="156" w:beforeLines="50" w:after="156" w:afterLines="50" w:line="360" w:lineRule="auto"/>
              <w:jc w:val="left"/>
              <w:rPr>
                <w:rFonts w:ascii="宋体" w:hAnsi="宋体" w:cs="Arial"/>
                <w:kern w:val="0"/>
                <w:sz w:val="20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数据智能体：能够根据用户自然语言问题自动完成数据理解、查询规划、分析执行和结果解释的软件服务。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RAG：检索增强生成，通过知识库检索补充模型回答依据。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Embedding：将文本转换为向量，用于语义检索。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Qdrant Local：本项目采用的本地轻量级向量数据库。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只读 SQL：仅允许 SELECT/WITH 查询，不允许修改数据的 SQL 语句。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多轮会话：系统保存上下文，支持用户基于上一轮结果继续追问。</w:t>
            </w:r>
          </w:p>
        </w:tc>
      </w:tr>
    </w:tbl>
    <w:p w14:paraId="1CF11406">
      <w:pPr>
        <w:widowControl/>
        <w:spacing w:before="156" w:beforeLines="50" w:after="156" w:afterLines="50" w:line="360" w:lineRule="auto"/>
        <w:ind w:firstLine="420"/>
        <w:jc w:val="left"/>
        <w:rPr>
          <w:rFonts w:ascii="宋体" w:hAnsi="宋体" w:cs="Arial"/>
          <w:szCs w:val="21"/>
        </w:rPr>
      </w:pPr>
    </w:p>
    <w:p w14:paraId="6799ED17">
      <w:pPr>
        <w:rPr>
          <w:rFonts w:ascii="宋体" w:hAnsi="宋体"/>
        </w:rPr>
      </w:pPr>
    </w:p>
    <w:p w14:paraId="17296D11">
      <w:pPr>
        <w:rPr>
          <w:rFonts w:ascii="宋体" w:hAnsi="宋体"/>
        </w:rPr>
      </w:pPr>
    </w:p>
    <w:p w14:paraId="2B49D342">
      <w:pPr>
        <w:rPr>
          <w:rFonts w:ascii="宋体" w:hAnsi="宋体"/>
        </w:rPr>
      </w:pPr>
    </w:p>
    <w:p w14:paraId="4A3A59A7">
      <w:pPr>
        <w:rPr>
          <w:rFonts w:ascii="宋体" w:hAnsi="宋体"/>
        </w:rPr>
      </w:pPr>
    </w:p>
    <w:p w14:paraId="3B8E2ADE">
      <w:pPr>
        <w:rPr>
          <w:rFonts w:ascii="宋体" w:hAnsi="宋体"/>
        </w:rPr>
      </w:pPr>
    </w:p>
    <w:p w14:paraId="580F6043">
      <w:pPr>
        <w:rPr>
          <w:rFonts w:ascii="宋体" w:hAnsi="宋体"/>
        </w:rPr>
      </w:pPr>
    </w:p>
    <w:p w14:paraId="60ECCD78">
      <w:pPr>
        <w:rPr>
          <w:rFonts w:ascii="宋体" w:hAnsi="宋体"/>
        </w:rPr>
      </w:pPr>
    </w:p>
    <w:p w14:paraId="77935A58">
      <w:pPr>
        <w:rPr>
          <w:rFonts w:ascii="宋体" w:hAnsi="宋体"/>
        </w:rPr>
      </w:pPr>
    </w:p>
    <w:p w14:paraId="6AFDD56E">
      <w:pPr>
        <w:rPr>
          <w:rFonts w:ascii="宋体" w:hAnsi="宋体"/>
        </w:rPr>
      </w:pPr>
    </w:p>
    <w:p w14:paraId="26F1D9B8">
      <w:pPr>
        <w:rPr>
          <w:rFonts w:ascii="宋体" w:hAnsi="宋体"/>
        </w:rPr>
      </w:pPr>
    </w:p>
    <w:p w14:paraId="273A2BF5">
      <w:pPr>
        <w:pStyle w:val="22"/>
        <w:jc w:val="center"/>
        <w:rPr>
          <w:rFonts w:ascii="宋体" w:hAnsi="宋体" w:eastAsia="宋体" w:cs="Arial"/>
        </w:rPr>
      </w:pPr>
      <w:bookmarkStart w:id="5" w:name="_Toc428303614"/>
      <w:r>
        <w:rPr>
          <w:rFonts w:ascii="宋体" w:hAnsi="宋体" w:eastAsia="宋体" w:cs="Arial"/>
        </w:rPr>
        <w:t>第</w:t>
      </w:r>
      <w:r>
        <w:rPr>
          <w:rFonts w:hint="eastAsia" w:ascii="宋体" w:hAnsi="宋体" w:eastAsia="宋体" w:cs="Arial"/>
        </w:rPr>
        <w:t>二</w:t>
      </w:r>
      <w:r>
        <w:rPr>
          <w:rFonts w:ascii="宋体" w:hAnsi="宋体" w:eastAsia="宋体" w:cs="Arial"/>
        </w:rPr>
        <w:t>部分 综述</w:t>
      </w:r>
      <w:bookmarkEnd w:id="5"/>
    </w:p>
    <w:p w14:paraId="7DB50DBF">
      <w:pPr>
        <w:pStyle w:val="4"/>
        <w:rPr>
          <w:rFonts w:ascii="宋体" w:hAnsi="宋体"/>
        </w:rPr>
      </w:pPr>
      <w:bookmarkStart w:id="6" w:name="_Toc428303615"/>
      <w:r>
        <w:rPr>
          <w:rFonts w:hint="eastAsia" w:ascii="宋体" w:hAnsi="宋体"/>
        </w:rPr>
        <w:t>一</w:t>
      </w:r>
      <w:r>
        <w:rPr>
          <w:rFonts w:ascii="宋体" w:hAnsi="宋体"/>
        </w:rPr>
        <w:t>、</w:t>
      </w:r>
      <w:r>
        <w:rPr>
          <w:rFonts w:hint="eastAsia" w:ascii="宋体" w:hAnsi="宋体"/>
        </w:rPr>
        <w:t>项目</w:t>
      </w:r>
      <w:r>
        <w:rPr>
          <w:rFonts w:ascii="宋体" w:hAnsi="宋体"/>
        </w:rPr>
        <w:t>背景</w:t>
      </w:r>
      <w:bookmarkEnd w:id="6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74E7E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25DD5DFC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企业在经营过程中会产生大量销售、订单、客户投诉、访问转化等数据。传统数据看板通常只能展示预设图表，用户如果想临时更换指标、维度或继续追问，需要人工编写 SQL 或依赖数据分析人员。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本项目面向企业经营数据分析场景，建设一个支持自然语言交互的数据智能体系统，使用户能够直接提出经营分析问题，系统自动完成数据查询、图表展示、关键发现总结和指标口径解释。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系统可提升业务人员自主分析能力，降低数据分析门槛，并为后续企业级智能数据分析平台建设提供基础。</w:t>
            </w:r>
          </w:p>
          <w:p w14:paraId="386B614B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</w:p>
          <w:p w14:paraId="0A803E6F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</w:p>
        </w:tc>
      </w:tr>
    </w:tbl>
    <w:p w14:paraId="7F9745BE">
      <w:pPr>
        <w:spacing w:before="156" w:beforeLines="50" w:after="156" w:afterLines="50" w:line="360" w:lineRule="auto"/>
        <w:ind w:firstLine="420"/>
        <w:rPr>
          <w:rFonts w:ascii="宋体" w:hAnsi="宋体" w:cs="Arial"/>
        </w:rPr>
      </w:pPr>
    </w:p>
    <w:p w14:paraId="695B856E">
      <w:pPr>
        <w:rPr>
          <w:rFonts w:ascii="宋体" w:hAnsi="宋体"/>
        </w:rPr>
      </w:pPr>
    </w:p>
    <w:p w14:paraId="771AAD17">
      <w:pPr>
        <w:pStyle w:val="4"/>
        <w:rPr>
          <w:rFonts w:ascii="宋体" w:hAnsi="宋体"/>
        </w:rPr>
      </w:pPr>
      <w:bookmarkStart w:id="7" w:name="_Toc428303616"/>
      <w:r>
        <w:rPr>
          <w:rFonts w:hint="eastAsia" w:ascii="宋体" w:hAnsi="宋体"/>
        </w:rPr>
        <w:t>二</w:t>
      </w:r>
      <w:r>
        <w:rPr>
          <w:rFonts w:ascii="宋体" w:hAnsi="宋体"/>
        </w:rPr>
        <w:t>、</w:t>
      </w:r>
      <w:r>
        <w:rPr>
          <w:rFonts w:hint="eastAsia" w:ascii="宋体" w:hAnsi="宋体"/>
        </w:rPr>
        <w:t>建设目标</w:t>
      </w:r>
      <w:bookmarkEnd w:id="7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460A6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556F4D48">
            <w:pPr>
              <w:spacing w:before="156" w:beforeLines="50" w:after="156" w:afterLines="50" w:line="360" w:lineRule="auto"/>
              <w:jc w:val="left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1、降低数据分析门槛，用户无需编写 SQL 即可完成经营分析。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2、提高分析效率，支持自然语言提问、自动生成图表和关键结论。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3、规范指标口径，通过知识库统一解释销售额、投诉率、转化率等指标。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4、支持多轮追问，能够继承时间范围、指标、地区、产品等上下文条件。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5、保证执行安全，通过只读 SQL 校验限制危险操作。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6、形成可演示、可扩展、可部署的三周项目 MVP。</w:t>
            </w:r>
          </w:p>
          <w:p w14:paraId="29F49BCC">
            <w:pPr>
              <w:spacing w:before="156" w:beforeLines="50" w:after="156" w:afterLines="50" w:line="360" w:lineRule="auto"/>
              <w:jc w:val="left"/>
              <w:rPr>
                <w:rFonts w:ascii="宋体" w:hAnsi="宋体" w:cs="Arial"/>
                <w:kern w:val="0"/>
                <w:sz w:val="20"/>
              </w:rPr>
            </w:pPr>
          </w:p>
          <w:p w14:paraId="2809B661">
            <w:pPr>
              <w:spacing w:before="156" w:beforeLines="50" w:after="156" w:afterLines="50" w:line="360" w:lineRule="auto"/>
              <w:jc w:val="left"/>
              <w:rPr>
                <w:rFonts w:ascii="宋体" w:hAnsi="宋体" w:cs="Arial"/>
                <w:kern w:val="0"/>
                <w:sz w:val="20"/>
              </w:rPr>
            </w:pPr>
          </w:p>
          <w:p w14:paraId="17A675D7">
            <w:pPr>
              <w:spacing w:before="156" w:beforeLines="50" w:after="156" w:afterLines="50" w:line="360" w:lineRule="auto"/>
              <w:jc w:val="left"/>
              <w:rPr>
                <w:rFonts w:ascii="宋体" w:hAnsi="宋体" w:cs="Arial"/>
                <w:kern w:val="0"/>
                <w:sz w:val="20"/>
              </w:rPr>
            </w:pPr>
          </w:p>
          <w:p w14:paraId="68038156">
            <w:pPr>
              <w:spacing w:before="156" w:beforeLines="50" w:after="156" w:afterLines="50" w:line="360" w:lineRule="auto"/>
              <w:jc w:val="left"/>
              <w:rPr>
                <w:rFonts w:ascii="宋体" w:hAnsi="宋体" w:cs="Arial"/>
                <w:kern w:val="0"/>
                <w:sz w:val="20"/>
              </w:rPr>
            </w:pPr>
          </w:p>
          <w:p w14:paraId="69859DFA">
            <w:pPr>
              <w:spacing w:before="156" w:beforeLines="50" w:after="156" w:afterLines="50" w:line="360" w:lineRule="auto"/>
              <w:jc w:val="left"/>
              <w:rPr>
                <w:rFonts w:ascii="宋体" w:hAnsi="宋体" w:cs="Arial"/>
                <w:kern w:val="0"/>
                <w:sz w:val="20"/>
              </w:rPr>
            </w:pPr>
          </w:p>
        </w:tc>
      </w:tr>
    </w:tbl>
    <w:p w14:paraId="17748AAE">
      <w:pPr>
        <w:rPr>
          <w:rFonts w:ascii="宋体" w:hAnsi="宋体"/>
        </w:rPr>
      </w:pPr>
    </w:p>
    <w:p w14:paraId="6CF8F08D">
      <w:pPr>
        <w:pStyle w:val="4"/>
        <w:rPr>
          <w:rFonts w:ascii="宋体" w:hAnsi="宋体"/>
        </w:rPr>
      </w:pPr>
      <w:bookmarkStart w:id="8" w:name="_Toc428303617"/>
      <w:r>
        <w:rPr>
          <w:rFonts w:hint="eastAsia" w:ascii="宋体" w:hAnsi="宋体"/>
        </w:rPr>
        <w:t>三</w:t>
      </w:r>
      <w:r>
        <w:rPr>
          <w:rFonts w:ascii="宋体" w:hAnsi="宋体"/>
        </w:rPr>
        <w:t>、</w:t>
      </w:r>
      <w:r>
        <w:rPr>
          <w:rFonts w:hint="eastAsia" w:ascii="宋体" w:hAnsi="宋体"/>
        </w:rPr>
        <w:t>建设原则</w:t>
      </w:r>
      <w:bookmarkEnd w:id="8"/>
    </w:p>
    <w:p w14:paraId="25314C08">
      <w:pPr>
        <w:spacing w:before="156" w:beforeLines="50" w:after="156" w:afterLines="50" w:line="360" w:lineRule="auto"/>
        <w:rPr>
          <w:rFonts w:ascii="宋体" w:hAnsi="宋体" w:cs="Arial"/>
          <w:b/>
        </w:rPr>
      </w:pPr>
      <w:r>
        <w:rPr>
          <w:rFonts w:ascii="宋体" w:hAnsi="宋体" w:cs="Arial"/>
          <w:b/>
        </w:rPr>
        <w:t>（一）实用有用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50330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6F3E9DA7">
            <w:pPr>
              <w:spacing w:before="156" w:beforeLines="50" w:after="156" w:afterLines="50" w:line="360" w:lineRule="auto"/>
              <w:rPr>
                <w:rFonts w:ascii="宋体" w:hAnsi="宋体" w:cs="Arial"/>
                <w:b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系统功能以真实可用为优先，围绕数据上传、智能分析、知识问答、历史会话和图表展示形成完整闭环，避免只做静态页面或演示假数据。</w:t>
            </w:r>
          </w:p>
        </w:tc>
      </w:tr>
    </w:tbl>
    <w:p w14:paraId="5167D62B">
      <w:pPr>
        <w:spacing w:before="156" w:beforeLines="50" w:after="156" w:afterLines="50" w:line="360" w:lineRule="auto"/>
        <w:rPr>
          <w:rFonts w:ascii="宋体" w:hAnsi="宋体" w:cs="Arial"/>
          <w:b/>
        </w:rPr>
      </w:pPr>
    </w:p>
    <w:p w14:paraId="17902111">
      <w:pPr>
        <w:spacing w:before="156" w:beforeLines="50" w:after="156" w:afterLines="50" w:line="360" w:lineRule="auto"/>
        <w:rPr>
          <w:rFonts w:ascii="宋体" w:hAnsi="宋体" w:cs="Arial"/>
          <w:b/>
        </w:rPr>
      </w:pPr>
      <w:r>
        <w:rPr>
          <w:rFonts w:ascii="宋体" w:hAnsi="宋体" w:cs="Arial"/>
          <w:b/>
        </w:rPr>
        <w:t>（二）灵活先进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3A966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0F513CCE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系统采用前后端分离、模块化接口设计，并预留模型、向量库和数据源替换能力，便于后续从 SQLite 扩展到企业级数据库。</w:t>
            </w:r>
          </w:p>
        </w:tc>
      </w:tr>
    </w:tbl>
    <w:p w14:paraId="368A4AC7">
      <w:pPr>
        <w:spacing w:before="156" w:beforeLines="50" w:after="156" w:afterLines="50" w:line="360" w:lineRule="auto"/>
        <w:ind w:firstLine="420"/>
        <w:rPr>
          <w:rFonts w:ascii="宋体" w:hAnsi="宋体" w:cs="Arial"/>
        </w:rPr>
      </w:pPr>
    </w:p>
    <w:p w14:paraId="72638344">
      <w:pPr>
        <w:spacing w:before="156" w:beforeLines="50" w:after="156" w:afterLines="50" w:line="360" w:lineRule="auto"/>
        <w:rPr>
          <w:rFonts w:ascii="宋体" w:hAnsi="宋体" w:cs="Arial"/>
          <w:b/>
        </w:rPr>
      </w:pPr>
      <w:r>
        <w:rPr>
          <w:rFonts w:ascii="宋体" w:hAnsi="宋体" w:cs="Arial"/>
          <w:b/>
        </w:rPr>
        <w:t>（三）界面友好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656A4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6EAFB2C6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前端界面应简洁清晰，分析结果应同时提供图表、表格、关键发现和 SQL 查看入口，便于用户理解结果来源。</w:t>
            </w:r>
          </w:p>
        </w:tc>
      </w:tr>
    </w:tbl>
    <w:p w14:paraId="38F904CF">
      <w:pPr>
        <w:spacing w:before="156" w:beforeLines="50" w:after="156" w:afterLines="50" w:line="360" w:lineRule="auto"/>
        <w:ind w:firstLine="420"/>
        <w:rPr>
          <w:rFonts w:ascii="宋体" w:hAnsi="宋体" w:cs="Arial"/>
        </w:rPr>
      </w:pPr>
    </w:p>
    <w:p w14:paraId="443A53B6">
      <w:pPr>
        <w:spacing w:before="156" w:beforeLines="50" w:after="156" w:afterLines="50" w:line="360" w:lineRule="auto"/>
        <w:rPr>
          <w:rFonts w:ascii="宋体" w:hAnsi="宋体" w:cs="Arial"/>
          <w:b/>
        </w:rPr>
      </w:pPr>
      <w:r>
        <w:rPr>
          <w:rFonts w:ascii="宋体" w:hAnsi="宋体" w:cs="Arial"/>
          <w:b/>
        </w:rPr>
        <w:t>（四）兼容扩展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7DDDD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0CAA5725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系统支持 CSV/Excel 数据接入，后续可扩展 MySQL、PostgreSQL、ClickHouse 等数据库；Qdrant Local 后续可平滑升级为 Qdrant Server。</w:t>
            </w:r>
          </w:p>
        </w:tc>
      </w:tr>
    </w:tbl>
    <w:p w14:paraId="431D7C9F">
      <w:pPr>
        <w:spacing w:before="156" w:beforeLines="50" w:after="156" w:afterLines="50" w:line="360" w:lineRule="auto"/>
        <w:ind w:firstLine="420"/>
        <w:rPr>
          <w:rFonts w:ascii="宋体" w:hAnsi="宋体" w:cs="Arial"/>
        </w:rPr>
      </w:pPr>
    </w:p>
    <w:p w14:paraId="5D42B242">
      <w:pPr>
        <w:spacing w:before="156" w:beforeLines="50" w:after="156" w:afterLines="50" w:line="360" w:lineRule="auto"/>
        <w:rPr>
          <w:rFonts w:ascii="宋体" w:hAnsi="宋体" w:cs="Arial"/>
          <w:b/>
        </w:rPr>
      </w:pPr>
      <w:r>
        <w:rPr>
          <w:rFonts w:ascii="宋体" w:hAnsi="宋体" w:cs="Arial"/>
          <w:b/>
        </w:rPr>
        <w:t>（五）安全可靠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17306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62BD674A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模型 API Key 和 Embedding API Key 只存储在后端环境变量中；SQL 执行必须经过只读校验，防止误删、越权和危险操作。</w:t>
            </w:r>
          </w:p>
        </w:tc>
      </w:tr>
    </w:tbl>
    <w:p w14:paraId="383277BD">
      <w:pPr>
        <w:spacing w:before="156" w:beforeLines="50" w:after="156" w:afterLines="50" w:line="360" w:lineRule="auto"/>
        <w:ind w:firstLine="420"/>
        <w:rPr>
          <w:rFonts w:ascii="宋体" w:hAnsi="宋体" w:cs="Arial"/>
        </w:rPr>
      </w:pPr>
    </w:p>
    <w:p w14:paraId="03285944">
      <w:pPr>
        <w:spacing w:before="156" w:beforeLines="50" w:after="156" w:afterLines="50" w:line="360" w:lineRule="auto"/>
        <w:rPr>
          <w:rFonts w:ascii="宋体" w:hAnsi="宋体" w:cs="Arial"/>
        </w:rPr>
      </w:pPr>
    </w:p>
    <w:p w14:paraId="3DF543BF">
      <w:pPr>
        <w:pStyle w:val="4"/>
        <w:rPr>
          <w:rFonts w:ascii="宋体" w:hAnsi="宋体"/>
        </w:rPr>
      </w:pPr>
      <w:bookmarkStart w:id="9" w:name="_Toc428303618"/>
      <w:r>
        <w:rPr>
          <w:rFonts w:hint="eastAsia" w:ascii="宋体" w:hAnsi="宋体"/>
        </w:rPr>
        <w:t>四</w:t>
      </w:r>
      <w:r>
        <w:rPr>
          <w:rFonts w:ascii="宋体" w:hAnsi="宋体"/>
        </w:rPr>
        <w:t>、</w:t>
      </w:r>
      <w:r>
        <w:rPr>
          <w:rFonts w:hint="eastAsia" w:ascii="宋体" w:hAnsi="宋体"/>
        </w:rPr>
        <w:t>用户业务需求说明</w:t>
      </w:r>
      <w:bookmarkEnd w:id="9"/>
    </w:p>
    <w:p w14:paraId="0534B927">
      <w:pPr>
        <w:pStyle w:val="5"/>
        <w:rPr>
          <w:rFonts w:ascii="宋体" w:hAnsi="宋体"/>
        </w:rPr>
      </w:pPr>
      <w:bookmarkStart w:id="10" w:name="_Toc317376091"/>
      <w:bookmarkStart w:id="11" w:name="_Toc428303619"/>
      <w:r>
        <w:rPr>
          <w:rFonts w:ascii="宋体" w:hAnsi="宋体"/>
        </w:rPr>
        <w:t>1</w:t>
      </w:r>
      <w:bookmarkEnd w:id="10"/>
      <w:r>
        <w:rPr>
          <w:rFonts w:hint="eastAsia" w:ascii="宋体" w:hAnsi="宋体"/>
        </w:rPr>
        <w:t>、整体业务需求示意图</w:t>
      </w:r>
      <w:bookmarkEnd w:id="11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3AF78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52AFD194">
            <w:pPr>
              <w:jc w:val="center"/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用户自然语言提问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→ 智能体识别意图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→ 解析指标、时间、维度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→ 生成只读 SQL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→ SQL 安全校验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→ 执行查询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→ 生成图表、表格和关键发现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→ 保存会话历史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知识库问答链路：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用户提出指标口径问题 → Embedding 向量化 → Qdrant Local 检索知识片段 → 生成回答 → 展示知识依据。</w:t>
            </w:r>
          </w:p>
          <w:p w14:paraId="3E07EE63">
            <w:pPr>
              <w:jc w:val="center"/>
              <w:rPr>
                <w:rFonts w:ascii="宋体" w:hAnsi="宋体"/>
                <w:kern w:val="0"/>
                <w:sz w:val="20"/>
              </w:rPr>
            </w:pPr>
          </w:p>
          <w:p w14:paraId="51511AB7">
            <w:pPr>
              <w:jc w:val="center"/>
              <w:rPr>
                <w:rFonts w:ascii="宋体" w:hAnsi="宋体"/>
                <w:kern w:val="0"/>
                <w:sz w:val="20"/>
              </w:rPr>
            </w:pPr>
          </w:p>
          <w:p w14:paraId="2F7AB4A6">
            <w:pPr>
              <w:jc w:val="center"/>
              <w:rPr>
                <w:rFonts w:ascii="宋体" w:hAnsi="宋体"/>
                <w:kern w:val="0"/>
                <w:sz w:val="20"/>
              </w:rPr>
            </w:pPr>
          </w:p>
          <w:p w14:paraId="117119CD">
            <w:pPr>
              <w:jc w:val="center"/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458D8B44">
      <w:pPr>
        <w:spacing w:before="156" w:beforeLines="50" w:after="156" w:afterLines="50" w:line="360" w:lineRule="auto"/>
        <w:rPr>
          <w:rFonts w:ascii="宋体" w:hAnsi="宋体" w:cs="Arial"/>
        </w:rPr>
      </w:pPr>
    </w:p>
    <w:p w14:paraId="62248E90">
      <w:pPr>
        <w:pStyle w:val="5"/>
        <w:rPr>
          <w:rFonts w:ascii="宋体" w:hAnsi="宋体"/>
        </w:rPr>
      </w:pPr>
      <w:bookmarkStart w:id="12" w:name="_Toc428303620"/>
      <w:r>
        <w:rPr>
          <w:rFonts w:hint="eastAsia" w:ascii="宋体" w:hAnsi="宋体"/>
        </w:rPr>
        <w:t>2、需求详细说明</w:t>
      </w:r>
      <w:bookmarkEnd w:id="12"/>
    </w:p>
    <w:p w14:paraId="2F7E0281">
      <w:pPr>
        <w:pStyle w:val="6"/>
        <w:rPr>
          <w:rFonts w:ascii="宋体" w:hAnsi="宋体"/>
        </w:rPr>
      </w:pPr>
      <w:r>
        <w:rPr>
          <w:rFonts w:ascii="宋体" w:hAnsi="宋体" w:eastAsia="宋体"/>
        </w:rPr>
        <w:t>2.1</w:t>
        <w:tab/>
        <w:t>数据分析业务流程描述</w:t>
      </w:r>
    </w:p>
    <w:p w14:paraId="1032E0B0">
      <w:pPr>
        <w:pStyle w:val="7"/>
        <w:rPr>
          <w:rFonts w:ascii="宋体" w:hAnsi="宋体"/>
        </w:rPr>
      </w:pPr>
      <w:r>
        <w:rPr>
          <w:rFonts w:ascii="宋体" w:hAnsi="宋体" w:eastAsia="宋体"/>
        </w:rPr>
        <w:t>1）、自然语言数据分析流程</w:t>
      </w:r>
    </w:p>
    <w:p w14:paraId="0AE280E7"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ab/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60CAB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2E77E3E7">
            <w:pPr>
              <w:spacing w:line="360" w:lineRule="auto"/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用户进入“智能分析”页面后，选择数据集并输入分析问题，例如“分析近10天各地区销售额趋势”。系统识别问题中的时间范围、指标和维度，生成只读 SQL 并执行查询。查询结果返回后，前端使用 ECharts 展示折线图或柱状图，同时展示关键发现和明细数据。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用户可继续追问，例如“按展品拆分”或“只看华东，并改成柱状图”。系统读取上一轮 effective_question，继承上下文并生成新的分析结果。</w:t>
            </w:r>
          </w:p>
          <w:p w14:paraId="486EE16B">
            <w:pPr>
              <w:spacing w:line="360" w:lineRule="auto"/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5AFB9CA8">
      <w:pPr>
        <w:spacing w:line="360" w:lineRule="auto"/>
        <w:rPr>
          <w:rFonts w:ascii="宋体" w:hAnsi="宋体"/>
        </w:rPr>
      </w:pPr>
    </w:p>
    <w:p w14:paraId="01B5B14D">
      <w:pPr>
        <w:pStyle w:val="7"/>
        <w:rPr>
          <w:rFonts w:ascii="宋体" w:hAnsi="宋体"/>
        </w:rPr>
      </w:pPr>
      <w:r>
        <w:rPr>
          <w:rFonts w:ascii="宋体" w:hAnsi="宋体" w:eastAsia="宋体"/>
        </w:rPr>
        <w:t>2）、知识库问答流程</w:t>
      </w:r>
    </w:p>
    <w:p w14:paraId="325F8967"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ab/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628DD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1626F144">
            <w:pPr>
              <w:spacing w:line="360" w:lineRule="auto"/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用户进入“智能分析”页面后，可提出指标口径或业务规则类问题，例如“投诉率的计算口径是什么”。系统识别为知识库问答，不生成 SQL，而是从业务知识库中检索相关片段。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知识片段通过 Embedding 转换为向量并存储在 Qdrant Local 中。检索结果会作为回答依据返回前端，用户可以看到系统引用的知识片段。</w:t>
            </w:r>
          </w:p>
          <w:p w14:paraId="6F0274B3">
            <w:pPr>
              <w:spacing w:line="360" w:lineRule="auto"/>
              <w:rPr>
                <w:rFonts w:ascii="宋体" w:hAnsi="宋体"/>
                <w:kern w:val="0"/>
                <w:sz w:val="20"/>
              </w:rPr>
            </w:pPr>
          </w:p>
          <w:p w14:paraId="4C43DD4E">
            <w:pPr>
              <w:spacing w:line="360" w:lineRule="auto"/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7594FAE5">
      <w:pPr>
        <w:spacing w:line="360" w:lineRule="auto"/>
        <w:rPr>
          <w:rFonts w:ascii="宋体" w:hAnsi="宋体"/>
        </w:rPr>
      </w:pPr>
    </w:p>
    <w:p w14:paraId="6F6A2B7C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......</w:t>
      </w:r>
      <w:bookmarkStart w:id="34" w:name="_GoBack"/>
      <w:bookmarkEnd w:id="34"/>
    </w:p>
    <w:p w14:paraId="57131D78">
      <w:pPr>
        <w:spacing w:line="360" w:lineRule="auto"/>
        <w:rPr>
          <w:rFonts w:ascii="宋体" w:hAnsi="宋体"/>
        </w:rPr>
      </w:pPr>
    </w:p>
    <w:p w14:paraId="135E7451">
      <w:pPr>
        <w:spacing w:line="360" w:lineRule="auto"/>
        <w:rPr>
          <w:rFonts w:ascii="宋体" w:hAnsi="宋体"/>
        </w:rPr>
      </w:pPr>
    </w:p>
    <w:p w14:paraId="29A0F43C">
      <w:pPr>
        <w:widowControl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1EC66D1A">
      <w:pPr>
        <w:spacing w:line="360" w:lineRule="auto"/>
        <w:rPr>
          <w:rFonts w:ascii="宋体" w:hAnsi="宋体"/>
        </w:rPr>
      </w:pPr>
    </w:p>
    <w:p w14:paraId="3D5446FA">
      <w:pPr>
        <w:pStyle w:val="22"/>
        <w:jc w:val="center"/>
        <w:rPr>
          <w:rFonts w:ascii="宋体" w:hAnsi="宋体" w:eastAsia="宋体" w:cs="Arial"/>
        </w:rPr>
      </w:pPr>
      <w:bookmarkStart w:id="16" w:name="_Toc428303624"/>
      <w:r>
        <w:rPr>
          <w:rFonts w:ascii="宋体" w:hAnsi="宋体" w:eastAsia="宋体" w:cs="Arial"/>
        </w:rPr>
        <w:t>第</w:t>
      </w:r>
      <w:r>
        <w:rPr>
          <w:rFonts w:hint="eastAsia" w:ascii="宋体" w:hAnsi="宋体" w:eastAsia="宋体" w:cs="Arial"/>
        </w:rPr>
        <w:t>三</w:t>
      </w:r>
      <w:r>
        <w:rPr>
          <w:rFonts w:ascii="宋体" w:hAnsi="宋体" w:eastAsia="宋体" w:cs="Arial"/>
        </w:rPr>
        <w:t xml:space="preserve">部分 </w:t>
      </w:r>
      <w:r>
        <w:rPr>
          <w:rFonts w:hint="eastAsia" w:ascii="宋体" w:hAnsi="宋体" w:eastAsia="宋体" w:cs="Arial"/>
        </w:rPr>
        <w:t>需求分析</w:t>
      </w:r>
      <w:bookmarkEnd w:id="16"/>
    </w:p>
    <w:p w14:paraId="6533B810">
      <w:pPr>
        <w:pStyle w:val="4"/>
        <w:rPr>
          <w:rFonts w:ascii="宋体" w:hAnsi="宋体"/>
        </w:rPr>
      </w:pPr>
      <w:bookmarkStart w:id="17" w:name="_Toc428303625"/>
      <w:r>
        <w:rPr>
          <w:rFonts w:hint="eastAsia" w:ascii="宋体" w:hAnsi="宋体"/>
        </w:rPr>
        <w:t>一、用例分析</w:t>
      </w:r>
      <w:bookmarkEnd w:id="17"/>
    </w:p>
    <w:p w14:paraId="0C293673">
      <w:pPr>
        <w:pStyle w:val="5"/>
        <w:rPr>
          <w:rFonts w:ascii="宋体" w:hAnsi="宋体"/>
        </w:rPr>
      </w:pPr>
      <w:r>
        <w:rPr>
          <w:rFonts w:ascii="宋体" w:hAnsi="宋体" w:eastAsia="宋体"/>
        </w:rPr>
        <w:t>1、智能分析用例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2AFE9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241A9E30">
            <w:pPr>
              <w:spacing w:before="156" w:beforeLines="50" w:after="156" w:afterLines="50" w:line="360" w:lineRule="auto"/>
              <w:jc w:val="center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核心用例包括：数据集上传、自然语言分析、多轮追问、知识库问答、历史会话恢复、历史会话删除、知识片段新增、知识片段删除、HTML 报告导出和系统配置查看。</w:t>
            </w:r>
          </w:p>
          <w:p w14:paraId="2C336B0F">
            <w:pPr>
              <w:spacing w:before="156" w:beforeLines="50" w:after="156" w:afterLines="50" w:line="360" w:lineRule="auto"/>
              <w:jc w:val="center"/>
              <w:rPr>
                <w:rFonts w:ascii="宋体" w:hAnsi="宋体" w:cs="Arial"/>
                <w:kern w:val="0"/>
                <w:sz w:val="20"/>
              </w:rPr>
            </w:pPr>
          </w:p>
          <w:p w14:paraId="4B9EED33">
            <w:pPr>
              <w:spacing w:before="156" w:beforeLines="50" w:after="156" w:afterLines="50" w:line="360" w:lineRule="auto"/>
              <w:jc w:val="center"/>
              <w:rPr>
                <w:rFonts w:ascii="宋体" w:hAnsi="宋体" w:cs="Arial"/>
                <w:kern w:val="0"/>
                <w:sz w:val="20"/>
              </w:rPr>
            </w:pPr>
          </w:p>
        </w:tc>
      </w:tr>
    </w:tbl>
    <w:p w14:paraId="0374E929">
      <w:pPr>
        <w:spacing w:before="156" w:beforeLines="50" w:after="156" w:afterLines="50" w:line="360" w:lineRule="auto"/>
        <w:jc w:val="center"/>
        <w:rPr>
          <w:rFonts w:ascii="宋体" w:hAnsi="宋体" w:cs="Arial"/>
        </w:rPr>
      </w:pPr>
    </w:p>
    <w:p w14:paraId="37218709">
      <w:pPr>
        <w:spacing w:before="156" w:beforeLines="50" w:after="156" w:afterLines="50" w:line="360" w:lineRule="auto"/>
        <w:rPr>
          <w:rFonts w:ascii="宋体" w:hAnsi="宋体" w:cs="Arial"/>
          <w:b/>
        </w:rPr>
      </w:pPr>
      <w:r>
        <w:rPr>
          <w:rFonts w:ascii="宋体" w:hAnsi="宋体" w:eastAsia="宋体"/>
        </w:rPr>
        <w:t>智能分析用例说明：</w:t>
      </w:r>
    </w:p>
    <w:p w14:paraId="1C464681">
      <w:pPr>
        <w:pStyle w:val="6"/>
        <w:rPr>
          <w:rFonts w:ascii="宋体" w:hAnsi="宋体"/>
        </w:rPr>
      </w:pPr>
      <w:r>
        <w:rPr>
          <w:rFonts w:ascii="宋体" w:hAnsi="宋体" w:eastAsia="宋体"/>
        </w:rPr>
        <w:t>1.1、智能分析用例描述</w:t>
      </w:r>
    </w:p>
    <w:tbl>
      <w:tblPr>
        <w:tblStyle w:val="28"/>
        <w:tblW w:w="9000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7480"/>
      </w:tblGrid>
      <w:tr w14:paraId="36896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20" w:type="dxa"/>
            <w:shd w:val="clear" w:color="000000" w:fill="FF0000"/>
            <w:noWrap/>
            <w:vAlign w:val="center"/>
          </w:tcPr>
          <w:p w14:paraId="4F0B7B5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w="7480" w:type="dxa"/>
            <w:shd w:val="clear" w:color="000000" w:fill="FF0000"/>
            <w:noWrap/>
            <w:vAlign w:val="center"/>
          </w:tcPr>
          <w:p w14:paraId="0688509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UC-001</w:t>
            </w:r>
          </w:p>
        </w:tc>
      </w:tr>
      <w:tr w14:paraId="6EC5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20" w:type="dxa"/>
            <w:shd w:val="clear" w:color="auto" w:fill="auto"/>
            <w:noWrap/>
            <w:vAlign w:val="center"/>
          </w:tcPr>
          <w:p w14:paraId="508880E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w="7480" w:type="dxa"/>
            <w:shd w:val="clear" w:color="auto" w:fill="auto"/>
            <w:noWrap/>
            <w:vAlign w:val="center"/>
          </w:tcPr>
          <w:p w14:paraId="1FC54A7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自然语言经营数据分析</w:t>
            </w:r>
          </w:p>
        </w:tc>
      </w:tr>
      <w:tr w14:paraId="5DA8B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20" w:type="dxa"/>
            <w:shd w:val="clear" w:color="000000" w:fill="66CCFF"/>
            <w:noWrap/>
            <w:vAlign w:val="center"/>
          </w:tcPr>
          <w:p w14:paraId="39B9911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父用例ID</w:t>
            </w:r>
          </w:p>
        </w:tc>
        <w:tc>
          <w:tcPr>
            <w:tcW w:w="7480" w:type="dxa"/>
            <w:shd w:val="clear" w:color="000000" w:fill="66CCFF"/>
            <w:noWrap/>
            <w:vAlign w:val="center"/>
          </w:tcPr>
          <w:p w14:paraId="1EFFFD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 w14:paraId="4F00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20" w:type="dxa"/>
            <w:shd w:val="clear" w:color="auto" w:fill="auto"/>
            <w:noWrap/>
            <w:vAlign w:val="center"/>
          </w:tcPr>
          <w:p w14:paraId="2D7E490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主要执行者</w:t>
            </w:r>
          </w:p>
        </w:tc>
        <w:tc>
          <w:tcPr>
            <w:tcW w:w="7480" w:type="dxa"/>
            <w:shd w:val="clear" w:color="auto" w:fill="auto"/>
            <w:noWrap/>
            <w:vAlign w:val="center"/>
          </w:tcPr>
          <w:p w14:paraId="60C3B4E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企业管理者、运营人员、数据分析人员</w:t>
            </w:r>
          </w:p>
        </w:tc>
      </w:tr>
      <w:tr w14:paraId="6943E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20" w:type="dxa"/>
            <w:shd w:val="clear" w:color="auto" w:fill="auto"/>
            <w:noWrap/>
            <w:vAlign w:val="center"/>
          </w:tcPr>
          <w:p w14:paraId="73B1030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w="7480" w:type="dxa"/>
            <w:shd w:val="clear" w:color="auto" w:fill="auto"/>
            <w:noWrap/>
            <w:vAlign w:val="center"/>
          </w:tcPr>
          <w:p w14:paraId="68CF06C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系统已启动；至少存在一个可用数据集；用户已进入智能分析页面。</w:t>
            </w:r>
          </w:p>
        </w:tc>
      </w:tr>
      <w:tr w14:paraId="5762B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1520" w:type="dxa"/>
            <w:shd w:val="clear" w:color="auto" w:fill="auto"/>
            <w:noWrap/>
            <w:vAlign w:val="center"/>
          </w:tcPr>
          <w:p w14:paraId="6BFFD16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事件流</w:t>
            </w:r>
          </w:p>
        </w:tc>
        <w:tc>
          <w:tcPr>
            <w:tcW w:w="7480" w:type="dxa"/>
            <w:shd w:val="clear" w:color="auto" w:fill="auto"/>
            <w:vAlign w:val="center"/>
          </w:tcPr>
          <w:p w14:paraId="5011D69A">
            <w:pPr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1、用户输入自然语言问题。</w:t>
            </w:r>
            <w:r>
              <w:br/>
            </w:r>
            <w:r>
              <w:rPr>
                <w:rFonts w:ascii="宋体" w:hAnsi="宋体" w:eastAsia="宋体"/>
                <w:b w:val="0"/>
                <w:sz w:val="19"/>
              </w:rPr>
              <w:t>2、系统识别指标、时间范围和分析维度。</w:t>
            </w:r>
            <w:r>
              <w:br/>
            </w:r>
            <w:r>
              <w:rPr>
                <w:rFonts w:ascii="宋体" w:hAnsi="宋体" w:eastAsia="宋体"/>
                <w:b w:val="0"/>
                <w:sz w:val="19"/>
              </w:rPr>
              <w:t>3、系统生成只读 SQL 并进行安全校验。</w:t>
            </w:r>
            <w:r>
              <w:br/>
            </w:r>
            <w:r>
              <w:rPr>
                <w:rFonts w:ascii="宋体" w:hAnsi="宋体" w:eastAsia="宋体"/>
                <w:b w:val="0"/>
                <w:sz w:val="19"/>
              </w:rPr>
              <w:t>4、系统执行查询并返回结果。</w:t>
            </w:r>
            <w:r>
              <w:br/>
            </w:r>
            <w:r>
              <w:rPr>
                <w:rFonts w:ascii="宋体" w:hAnsi="宋体" w:eastAsia="宋体"/>
                <w:b w:val="0"/>
                <w:sz w:val="19"/>
              </w:rPr>
              <w:t>5、前端展示图表、关键发现、数据表格和 SQL。</w:t>
            </w:r>
          </w:p>
        </w:tc>
      </w:tr>
      <w:tr w14:paraId="704AD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20" w:type="dxa"/>
            <w:shd w:val="clear" w:color="auto" w:fill="auto"/>
            <w:noWrap/>
            <w:vAlign w:val="center"/>
          </w:tcPr>
          <w:p w14:paraId="0244EE9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可选事件流</w:t>
            </w:r>
          </w:p>
        </w:tc>
        <w:tc>
          <w:tcPr>
            <w:tcW w:w="7480" w:type="dxa"/>
            <w:shd w:val="clear" w:color="auto" w:fill="auto"/>
            <w:vAlign w:val="center"/>
          </w:tcPr>
          <w:p w14:paraId="2981B6B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用户可继续追问，如“只看华东”“按产品类别拆分”“改成柱状图”；系统继承上一轮上下文并重新分析。</w:t>
            </w:r>
          </w:p>
        </w:tc>
      </w:tr>
      <w:tr w14:paraId="1EAD0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20" w:type="dxa"/>
            <w:shd w:val="clear" w:color="auto" w:fill="auto"/>
            <w:noWrap/>
            <w:vAlign w:val="center"/>
          </w:tcPr>
          <w:p w14:paraId="0177E24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w="7480" w:type="dxa"/>
            <w:shd w:val="clear" w:color="auto" w:fill="auto"/>
            <w:vAlign w:val="center"/>
          </w:tcPr>
          <w:p w14:paraId="6F2FFA9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若数据集不存在，提示用户先上传数据；若 SQL 校验失败，拒绝执行；若模型或向量服务不可用，进入本地规则或关键词检索降级流程。</w:t>
            </w:r>
          </w:p>
        </w:tc>
      </w:tr>
      <w:tr w14:paraId="7ABA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20" w:type="dxa"/>
            <w:shd w:val="clear" w:color="auto" w:fill="auto"/>
            <w:noWrap/>
            <w:vAlign w:val="center"/>
          </w:tcPr>
          <w:p w14:paraId="6E4945C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w="7480" w:type="dxa"/>
            <w:shd w:val="clear" w:color="auto" w:fill="auto"/>
            <w:vAlign w:val="center"/>
          </w:tcPr>
          <w:p w14:paraId="0C06C4D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系统保存用户问题、助手回答和分析结果，用户可在历史会话中恢复查看。</w:t>
            </w:r>
          </w:p>
        </w:tc>
      </w:tr>
    </w:tbl>
    <w:p w14:paraId="6579810C">
      <w:pPr>
        <w:rPr>
          <w:rFonts w:ascii="宋体" w:hAnsi="宋体"/>
        </w:rPr>
      </w:pPr>
    </w:p>
    <w:p w14:paraId="01589616">
      <w:pPr>
        <w:pStyle w:val="4"/>
        <w:rPr>
          <w:rFonts w:ascii="宋体" w:hAnsi="宋体"/>
        </w:rPr>
      </w:pPr>
      <w:bookmarkStart w:id="22" w:name="_Toc428303628"/>
      <w:r>
        <w:rPr>
          <w:rFonts w:hint="eastAsia" w:ascii="宋体" w:hAnsi="宋体"/>
        </w:rPr>
        <w:t>二、界面风格</w:t>
      </w:r>
      <w:bookmarkEnd w:id="22"/>
    </w:p>
    <w:p w14:paraId="3E826C9C">
      <w:pPr>
        <w:rPr>
          <w:rFonts w:ascii="宋体" w:hAnsi="宋体"/>
        </w:rPr>
      </w:pPr>
      <w:r>
        <w:rPr>
          <w:rFonts w:hint="eastAsia" w:ascii="宋体" w:hAnsi="宋体"/>
        </w:rPr>
        <w:t>WEB登录界面：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2699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2C8D735E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系统登录/入口页面采用简洁管理后台风格。左侧为功能导航，顶部展示当前页面标题和数据集选择器。系统当前 MVP 面向本地演示环境，可直接进入工作台；后续可扩展账号登录与权限控制。</w:t>
            </w:r>
          </w:p>
          <w:p w14:paraId="498FA228">
            <w:pPr>
              <w:rPr>
                <w:rFonts w:ascii="宋体" w:hAnsi="宋体"/>
                <w:kern w:val="0"/>
                <w:sz w:val="20"/>
              </w:rPr>
            </w:pPr>
          </w:p>
          <w:p w14:paraId="264CBD89">
            <w:pPr>
              <w:rPr>
                <w:rFonts w:ascii="宋体" w:hAnsi="宋体"/>
                <w:kern w:val="0"/>
                <w:sz w:val="20"/>
              </w:rPr>
            </w:pPr>
          </w:p>
          <w:p w14:paraId="691004E9">
            <w:pPr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64BE9DAA">
      <w:pPr>
        <w:rPr>
          <w:rFonts w:ascii="宋体" w:hAnsi="宋体"/>
        </w:rPr>
      </w:pPr>
    </w:p>
    <w:p w14:paraId="7FB3813C">
      <w:pPr>
        <w:rPr>
          <w:rFonts w:ascii="宋体" w:hAnsi="宋体"/>
        </w:rPr>
      </w:pPr>
    </w:p>
    <w:p w14:paraId="2471CC04">
      <w:pPr>
        <w:rPr>
          <w:rFonts w:ascii="宋体" w:hAnsi="宋体"/>
        </w:rPr>
      </w:pPr>
      <w:r>
        <w:rPr>
          <w:rFonts w:hint="eastAsia" w:ascii="宋体" w:hAnsi="宋体"/>
        </w:rPr>
        <w:t>主页面：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08544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3CAC7A9D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主页面展示数据集数量、知识片段数量、累计智能分析次数和分析会话数量。同时提供常用分析场景快捷入口和最近数据资产列表，方便用户快速进入分析。</w:t>
            </w:r>
          </w:p>
          <w:p w14:paraId="3FE8A59D">
            <w:pPr>
              <w:rPr>
                <w:rFonts w:ascii="宋体" w:hAnsi="宋体"/>
                <w:kern w:val="0"/>
                <w:sz w:val="20"/>
              </w:rPr>
            </w:pPr>
          </w:p>
          <w:p w14:paraId="5B2643F0">
            <w:pPr>
              <w:rPr>
                <w:rFonts w:ascii="宋体" w:hAnsi="宋体"/>
                <w:kern w:val="0"/>
                <w:sz w:val="20"/>
              </w:rPr>
            </w:pPr>
          </w:p>
          <w:p w14:paraId="66092819">
            <w:pPr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24118F43">
      <w:pPr>
        <w:rPr>
          <w:rFonts w:ascii="宋体" w:hAnsi="宋体"/>
        </w:rPr>
      </w:pPr>
    </w:p>
    <w:p w14:paraId="50B1CBF0">
      <w:pPr>
        <w:rPr>
          <w:rFonts w:ascii="宋体" w:hAnsi="宋体"/>
        </w:rPr>
      </w:pPr>
    </w:p>
    <w:p w14:paraId="4FE9A4C8">
      <w:pPr>
        <w:rPr>
          <w:rFonts w:ascii="宋体" w:hAnsi="宋体"/>
        </w:rPr>
      </w:pPr>
      <w:r>
        <w:rPr>
          <w:rFonts w:ascii="宋体" w:hAnsi="宋体" w:eastAsia="宋体"/>
        </w:rPr>
        <w:t>智能分析功能页面：</w:t>
      </w:r>
    </w:p>
    <w:p w14:paraId="51636A64">
      <w:pPr>
        <w:rPr>
          <w:rFonts w:ascii="宋体" w:hAnsi="宋体" w:cs="宋体"/>
          <w:kern w:val="0"/>
          <w:sz w:val="24"/>
        </w:rPr>
      </w:pP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4207F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6DF56115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智能分析页面左侧为对话面板，包括历史对话、消息列表、快捷提问和输入框；右侧为分析结果区域，包括图表、关键发现、知识依据、SQL 和明细数据表。图表支持多系列展示，例如“区域 / 产品类别”组合系列。</w:t>
            </w:r>
          </w:p>
          <w:p w14:paraId="799A4BE6">
            <w:pPr>
              <w:rPr>
                <w:rFonts w:ascii="宋体" w:hAnsi="宋体"/>
                <w:kern w:val="0"/>
                <w:sz w:val="20"/>
              </w:rPr>
            </w:pPr>
          </w:p>
          <w:p w14:paraId="2F5EBEB3">
            <w:pPr>
              <w:rPr>
                <w:rFonts w:ascii="宋体" w:hAnsi="宋体"/>
                <w:kern w:val="0"/>
                <w:sz w:val="20"/>
              </w:rPr>
            </w:pPr>
          </w:p>
          <w:p w14:paraId="60C6B483">
            <w:pPr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4793FCC6">
      <w:pPr>
        <w:rPr>
          <w:rFonts w:ascii="宋体" w:hAnsi="宋体"/>
        </w:rPr>
      </w:pPr>
    </w:p>
    <w:p w14:paraId="13550E66">
      <w:pPr>
        <w:rPr>
          <w:rFonts w:ascii="宋体" w:hAnsi="宋体"/>
        </w:rPr>
      </w:pPr>
    </w:p>
    <w:p w14:paraId="41162A0F">
      <w:pPr>
        <w:rPr>
          <w:rFonts w:ascii="宋体" w:hAnsi="宋体"/>
        </w:rPr>
      </w:pPr>
    </w:p>
    <w:p w14:paraId="0A585479">
      <w:pPr>
        <w:rPr>
          <w:rFonts w:ascii="宋体" w:hAnsi="宋体"/>
        </w:rPr>
      </w:pPr>
    </w:p>
    <w:p w14:paraId="79AD6352">
      <w:pPr>
        <w:rPr>
          <w:rFonts w:ascii="宋体" w:hAnsi="宋体"/>
        </w:rPr>
      </w:pPr>
    </w:p>
    <w:p w14:paraId="0BC837EE">
      <w:pPr>
        <w:pStyle w:val="22"/>
        <w:jc w:val="center"/>
        <w:rPr>
          <w:rFonts w:ascii="宋体" w:hAnsi="宋体" w:eastAsia="宋体" w:cs="Arial"/>
        </w:rPr>
      </w:pPr>
      <w:bookmarkStart w:id="23" w:name="_Toc428303629"/>
      <w:r>
        <w:rPr>
          <w:rFonts w:ascii="宋体" w:hAnsi="宋体" w:eastAsia="宋体" w:cs="Arial"/>
        </w:rPr>
        <w:t>第</w:t>
      </w:r>
      <w:r>
        <w:rPr>
          <w:rFonts w:hint="eastAsia" w:ascii="宋体" w:hAnsi="宋体" w:eastAsia="宋体" w:cs="Arial"/>
        </w:rPr>
        <w:t>四</w:t>
      </w:r>
      <w:r>
        <w:rPr>
          <w:rFonts w:ascii="宋体" w:hAnsi="宋体" w:eastAsia="宋体" w:cs="Arial"/>
        </w:rPr>
        <w:t xml:space="preserve">部分 </w:t>
      </w:r>
      <w:r>
        <w:rPr>
          <w:rFonts w:hint="eastAsia" w:ascii="宋体" w:hAnsi="宋体" w:eastAsia="宋体" w:cs="Arial"/>
        </w:rPr>
        <w:t>验收标准</w:t>
      </w:r>
      <w:bookmarkEnd w:id="23"/>
    </w:p>
    <w:p w14:paraId="1B1651BF">
      <w:pPr>
        <w:pStyle w:val="4"/>
        <w:rPr>
          <w:rFonts w:ascii="宋体" w:hAnsi="宋体" w:cs="Arial"/>
        </w:rPr>
      </w:pPr>
      <w:bookmarkStart w:id="24" w:name="_Toc428303630"/>
      <w:r>
        <w:rPr>
          <w:rFonts w:hint="eastAsia" w:ascii="宋体" w:hAnsi="宋体"/>
        </w:rPr>
        <w:t>一、</w:t>
      </w:r>
      <w:r>
        <w:rPr>
          <w:rFonts w:ascii="宋体" w:hAnsi="宋体" w:cs="Arial"/>
        </w:rPr>
        <w:t>功能范围定义</w:t>
      </w:r>
      <w:bookmarkEnd w:id="24"/>
    </w:p>
    <w:tbl>
      <w:tblPr>
        <w:tblStyle w:val="28"/>
        <w:tblW w:w="9060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"/>
        <w:gridCol w:w="955"/>
        <w:gridCol w:w="1413"/>
        <w:gridCol w:w="1354"/>
        <w:gridCol w:w="3205"/>
        <w:gridCol w:w="817"/>
        <w:gridCol w:w="920"/>
      </w:tblGrid>
      <w:tr w14:paraId="2ABD0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D9EAF7"/>
            <w:vAlign w:val="center"/>
          </w:tcPr>
          <w:p w14:paraId="424ACD4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21"/>
              </w:rPr>
              <w:t>#</w:t>
            </w:r>
          </w:p>
        </w:tc>
        <w:tc>
          <w:tcPr>
            <w:tcW w:w="95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EAF7"/>
            <w:vAlign w:val="center"/>
          </w:tcPr>
          <w:p w14:paraId="4AB1DBC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/>
                <w:sz w:val="21"/>
              </w:rPr>
              <w:t>产品</w:t>
            </w:r>
          </w:p>
        </w:tc>
        <w:tc>
          <w:tcPr>
            <w:tcW w:w="141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EAF7"/>
            <w:vAlign w:val="center"/>
          </w:tcPr>
          <w:p w14:paraId="244A64D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w="13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EAF7"/>
            <w:vAlign w:val="center"/>
          </w:tcPr>
          <w:p w14:paraId="550AB73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/>
                <w:sz w:val="21"/>
              </w:rPr>
              <w:t>组件</w:t>
            </w:r>
          </w:p>
        </w:tc>
        <w:tc>
          <w:tcPr>
            <w:tcW w:w="32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EAF7"/>
            <w:vAlign w:val="center"/>
          </w:tcPr>
          <w:p w14:paraId="1723742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/>
                <w:sz w:val="21"/>
              </w:rPr>
              <w:t>规格/型号</w:t>
            </w:r>
          </w:p>
        </w:tc>
        <w:tc>
          <w:tcPr>
            <w:tcW w:w="8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EAF7"/>
            <w:vAlign w:val="center"/>
          </w:tcPr>
          <w:p w14:paraId="462CA8D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w="9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EAF7"/>
            <w:vAlign w:val="center"/>
          </w:tcPr>
          <w:p w14:paraId="3A56B07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/>
                <w:sz w:val="21"/>
              </w:rPr>
              <w:t>接入</w:t>
            </w:r>
          </w:p>
        </w:tc>
      </w:tr>
      <w:tr w14:paraId="265E5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0B9943A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955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5A7834A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数据智能体服务系统</w:t>
            </w:r>
          </w:p>
        </w:tc>
        <w:tc>
          <w:tcPr>
            <w:tcW w:w="1413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5089FF9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数据源管理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91EC11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统计概览</w:t>
            </w: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BE227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数据集、知识片段、分析次数、会话数量</w:t>
            </w: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E0606C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所有用户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83EA57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Web</w:t>
            </w:r>
          </w:p>
        </w:tc>
      </w:tr>
      <w:tr w14:paraId="353F5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C3A2270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D47CFB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6F8A60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C07234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文件上传</w:t>
            </w: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8E048F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CSV、Excel 上传与入库</w:t>
            </w: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F5CB36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系统管理员、分析人员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25B57A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Web/API</w:t>
            </w:r>
          </w:p>
        </w:tc>
      </w:tr>
      <w:tr w14:paraId="4265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A403DF2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D9540D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11E5160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智能分析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C89EA2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元数据识别</w:t>
            </w: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1E7853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字段类型、样例值、空值率</w:t>
            </w: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9EEAD0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分析人员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46FDC5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Web/API</w:t>
            </w:r>
          </w:p>
        </w:tc>
      </w:tr>
      <w:tr w14:paraId="63FDC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E5ADA1C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E6E422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6EBE3A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289343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自然语言提问</w:t>
            </w: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4A504D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中文经营问题输入</w:t>
            </w: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9B669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管理者、运营人员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5F7F1A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Web/API</w:t>
            </w:r>
          </w:p>
        </w:tc>
      </w:tr>
      <w:tr w14:paraId="746D3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AFC576D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5DB2AB3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A5E524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F87B26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SQL 规划</w:t>
            </w: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3D40B3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指标、时间、维度解析并生成只读 SQL</w:t>
            </w: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8BFD35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系统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21B829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API</w:t>
            </w:r>
          </w:p>
        </w:tc>
      </w:tr>
      <w:tr w14:paraId="2A890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CD6FBD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E89319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04136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0C8CDD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图表展示</w:t>
            </w: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28D9B6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折线图、柱状图、饼图、多系列图表</w:t>
            </w: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D909B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所有用户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F9C4ED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Web</w:t>
            </w:r>
          </w:p>
        </w:tc>
      </w:tr>
      <w:tr w14:paraId="4DFB4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B5A9D1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540AAC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1CE3F40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知识库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01472D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上下文继承</w:t>
            </w: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B85E5C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继承时间、指标、地区、产品等条件</w:t>
            </w: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ACD47D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所有用户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0497AD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Web/API</w:t>
            </w:r>
          </w:p>
        </w:tc>
      </w:tr>
      <w:tr w14:paraId="51B95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C743E1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527E62C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55A03A2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EE36CB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历史会话</w:t>
            </w: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5CE890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查看、恢复、删除历史对话</w:t>
            </w: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F6D09E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所有用户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521835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Web/API</w:t>
            </w:r>
          </w:p>
        </w:tc>
      </w:tr>
      <w:tr w14:paraId="3273B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DBA22F2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8DB80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7CD0A6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015FA5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知识片段管理</w:t>
            </w: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63200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新增、查看、删除业务知识片段</w:t>
            </w: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753861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A4CE18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Web/API</w:t>
            </w:r>
          </w:p>
        </w:tc>
      </w:tr>
      <w:tr w14:paraId="30E1D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B97CC9C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991508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46CABB9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A8C197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RAG 问答</w:t>
            </w: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BBA33F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Embedding + Qdrant Local 检索</w:t>
            </w: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167572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所有用户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48657C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Web/API</w:t>
            </w:r>
          </w:p>
        </w:tc>
      </w:tr>
      <w:tr w14:paraId="4754D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28A94D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6F3E4F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55A4749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报告导出</w:t>
            </w: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11A4F1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模型配置状态</w:t>
            </w: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95873E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LLM、Embedding、向量库状态展示</w:t>
            </w: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163434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817E26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Web</w:t>
            </w:r>
          </w:p>
        </w:tc>
      </w:tr>
      <w:tr w14:paraId="35CB5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DEDD1A2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478FF31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3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786D9EE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07522A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HTML 报告</w:t>
            </w:r>
          </w:p>
        </w:tc>
        <w:tc>
          <w:tcPr>
            <w:tcW w:w="32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8BF903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导出结论、数据、SQL、知识依据</w:t>
            </w:r>
          </w:p>
        </w:tc>
        <w:tc>
          <w:tcPr>
            <w:tcW w:w="81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80CCAF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分析人员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DD2A9D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Web/API</w:t>
            </w:r>
          </w:p>
        </w:tc>
      </w:tr>
    </w:tbl>
    <w:p w14:paraId="08BBD38C">
      <w:pPr>
        <w:rPr>
          <w:rFonts w:ascii="宋体" w:hAnsi="宋体"/>
        </w:rPr>
      </w:pPr>
    </w:p>
    <w:p w14:paraId="28AF5B8E">
      <w:pPr>
        <w:pStyle w:val="4"/>
        <w:rPr>
          <w:rFonts w:ascii="宋体" w:hAnsi="宋体" w:cs="Arial"/>
        </w:rPr>
      </w:pPr>
      <w:bookmarkStart w:id="25" w:name="_Toc428303631"/>
      <w:r>
        <w:rPr>
          <w:rFonts w:hint="eastAsia" w:ascii="宋体" w:hAnsi="宋体"/>
        </w:rPr>
        <w:t>二、</w:t>
      </w:r>
      <w:r>
        <w:rPr>
          <w:rFonts w:ascii="宋体" w:hAnsi="宋体" w:cs="Arial"/>
        </w:rPr>
        <w:t>性能指标定义</w:t>
      </w:r>
      <w:bookmarkEnd w:id="25"/>
    </w:p>
    <w:tbl>
      <w:tblPr>
        <w:tblStyle w:val="28"/>
        <w:tblW w:w="9087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"/>
        <w:gridCol w:w="955"/>
        <w:gridCol w:w="1641"/>
        <w:gridCol w:w="1559"/>
        <w:gridCol w:w="3261"/>
        <w:gridCol w:w="1275"/>
      </w:tblGrid>
      <w:tr w14:paraId="12BFA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D9EAF7"/>
            <w:vAlign w:val="center"/>
          </w:tcPr>
          <w:p w14:paraId="6A582B2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/>
                <w:sz w:val="21"/>
              </w:rPr>
              <w:t>#</w:t>
            </w:r>
          </w:p>
        </w:tc>
        <w:tc>
          <w:tcPr>
            <w:tcW w:w="95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EAF7"/>
            <w:vAlign w:val="center"/>
          </w:tcPr>
          <w:p w14:paraId="537D605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/>
                <w:sz w:val="21"/>
              </w:rPr>
              <w:t>产品</w:t>
            </w:r>
          </w:p>
        </w:tc>
        <w:tc>
          <w:tcPr>
            <w:tcW w:w="16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EAF7"/>
            <w:vAlign w:val="center"/>
          </w:tcPr>
          <w:p w14:paraId="0BE5171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w="155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EAF7"/>
            <w:vAlign w:val="center"/>
          </w:tcPr>
          <w:p w14:paraId="6EB4678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/>
                <w:sz w:val="21"/>
              </w:rPr>
              <w:t>组件</w:t>
            </w:r>
          </w:p>
        </w:tc>
        <w:tc>
          <w:tcPr>
            <w:tcW w:w="326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EAF7"/>
            <w:vAlign w:val="center"/>
          </w:tcPr>
          <w:p w14:paraId="19F4CED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/>
                <w:sz w:val="21"/>
              </w:rPr>
              <w:t>规格/型号</w:t>
            </w:r>
          </w:p>
        </w:tc>
        <w:tc>
          <w:tcPr>
            <w:tcW w:w="12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EAF7"/>
            <w:vAlign w:val="center"/>
          </w:tcPr>
          <w:p w14:paraId="5FB08A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/>
                <w:sz w:val="21"/>
              </w:rPr>
              <w:t>性能级别</w:t>
            </w:r>
          </w:p>
        </w:tc>
      </w:tr>
      <w:tr w14:paraId="7BF89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D9AEA9F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955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1B27AB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数据智能体服务系统</w:t>
            </w:r>
          </w:p>
        </w:tc>
        <w:tc>
          <w:tcPr>
            <w:tcW w:w="1641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5BE49FF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数据上传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CDA8B0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常规查询响应</w:t>
            </w: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7141E0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演示数据集下 5 秒内返回图表和结论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9D1AD7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</w:tr>
      <w:tr w14:paraId="43884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B09EF86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736AA7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73584D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B3548F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文件大小</w:t>
            </w: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63D6C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默认支持 20MB 以内 CSV / Excel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D81B1A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</w:tr>
      <w:tr w14:paraId="53487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E89CEA9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7CA0C0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4D3B375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知识库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3C6C8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危险 SQL 拦截</w:t>
            </w: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FAD37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DELETE、UPDATE、DROP 等语句必须拒绝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509084E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</w:tr>
      <w:tr w14:paraId="4DD56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E1C5512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FF84D8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33C34AE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61C3F8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历史保存</w:t>
            </w: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BD005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用户消息、助手回答和 payload 持久化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1C216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</w:tr>
      <w:tr w14:paraId="3F7D8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DE68514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5F8C010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1910E65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861DEF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向量检索</w:t>
            </w: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DB4770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Embedding 配置可用时使用 Qdrant Local 检索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F46858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</w:tr>
      <w:tr w14:paraId="34385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E54C03D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45FCCC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A3F1E3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276375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降级检索</w:t>
            </w: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C35A98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Embedding 不可用时降级关键词检索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1B6286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</w:tr>
      <w:tr w14:paraId="395C9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08474AC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47CD542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0E18A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可维护性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BD5543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多系列图表</w:t>
            </w: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120C20F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支持地区 + 产品类别等组合系列显示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6586D0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</w:tr>
      <w:tr w14:paraId="0F4FF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F5C8A3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0C302DD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F5C39B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02032A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API Key</w:t>
            </w: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E43D11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仅由后端 .env 读取，前端不返回明文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3ABA11F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</w:tr>
      <w:tr w14:paraId="32C44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39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0AACEBFE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w="95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26E62F3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641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7AD1BF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7163F7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代码结构</w:t>
            </w:r>
          </w:p>
        </w:tc>
        <w:tc>
          <w:tcPr>
            <w:tcW w:w="3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B8DEB0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前后端分离，后端 routers/services/models 分层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E7D94D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</w:tr>
    </w:tbl>
    <w:p w14:paraId="0BCA2D19">
      <w:pPr>
        <w:rPr>
          <w:rFonts w:ascii="宋体" w:hAnsi="宋体"/>
        </w:rPr>
      </w:pPr>
    </w:p>
    <w:p w14:paraId="6630CF61">
      <w:pPr>
        <w:spacing w:before="156" w:beforeLines="50" w:after="156" w:afterLines="50" w:line="360" w:lineRule="auto"/>
        <w:rPr>
          <w:rFonts w:ascii="宋体" w:hAnsi="宋体" w:cs="Arial"/>
        </w:rPr>
      </w:pPr>
      <w:r>
        <w:rPr>
          <w:rFonts w:hint="eastAsia" w:ascii="宋体" w:hAnsi="宋体" w:cs="Arial"/>
          <w:b/>
          <w:color w:val="FF0000"/>
        </w:rPr>
        <w:t>说明：</w:t>
      </w:r>
      <w:r>
        <w:rPr>
          <w:rFonts w:hint="eastAsia" w:ascii="宋体" w:hAnsi="宋体" w:cs="Arial"/>
        </w:rPr>
        <w:t>级别（A:表示非常重要必须达到的技术性能要求,B:表示重要推荐达到的技术性能要求,C：表示非重要可以弱化的技术性能要求.）</w:t>
      </w:r>
    </w:p>
    <w:p w14:paraId="79909806">
      <w:pPr>
        <w:rPr>
          <w:rFonts w:ascii="宋体" w:hAnsi="宋体"/>
        </w:rPr>
      </w:pPr>
    </w:p>
    <w:p w14:paraId="3B250B93">
      <w:pPr>
        <w:rPr>
          <w:rFonts w:ascii="宋体" w:hAnsi="宋体"/>
        </w:rPr>
      </w:pPr>
    </w:p>
    <w:p w14:paraId="1739E7BD">
      <w:pPr>
        <w:rPr>
          <w:rFonts w:ascii="宋体" w:hAnsi="宋体"/>
        </w:rPr>
      </w:pPr>
    </w:p>
    <w:p w14:paraId="237BEF44">
      <w:pPr>
        <w:rPr>
          <w:rFonts w:ascii="宋体" w:hAnsi="宋体"/>
        </w:rPr>
      </w:pPr>
    </w:p>
    <w:p w14:paraId="6496C09E">
      <w:pPr>
        <w:rPr>
          <w:rFonts w:ascii="宋体" w:hAnsi="宋体"/>
        </w:rPr>
      </w:pPr>
    </w:p>
    <w:p w14:paraId="06686117">
      <w:pPr>
        <w:rPr>
          <w:rFonts w:ascii="宋体" w:hAnsi="宋体"/>
        </w:rPr>
      </w:pPr>
    </w:p>
    <w:p w14:paraId="6D617436">
      <w:pPr>
        <w:rPr>
          <w:rFonts w:ascii="宋体" w:hAnsi="宋体"/>
        </w:rPr>
      </w:pPr>
    </w:p>
    <w:p w14:paraId="4EB4390C">
      <w:pPr>
        <w:rPr>
          <w:rFonts w:ascii="宋体" w:hAnsi="宋体"/>
        </w:rPr>
      </w:pPr>
    </w:p>
    <w:p w14:paraId="72FD5DE5">
      <w:pPr>
        <w:rPr>
          <w:rFonts w:ascii="宋体" w:hAnsi="宋体"/>
        </w:rPr>
      </w:pPr>
    </w:p>
    <w:p w14:paraId="7D08008A">
      <w:pPr>
        <w:rPr>
          <w:rFonts w:ascii="宋体" w:hAnsi="宋体"/>
        </w:rPr>
      </w:pPr>
    </w:p>
    <w:p w14:paraId="3709B322">
      <w:pPr>
        <w:rPr>
          <w:rFonts w:ascii="宋体" w:hAnsi="宋体"/>
        </w:rPr>
      </w:pPr>
    </w:p>
    <w:p w14:paraId="0A29E2B7">
      <w:pPr>
        <w:rPr>
          <w:rFonts w:ascii="宋体" w:hAnsi="宋体"/>
        </w:rPr>
      </w:pPr>
    </w:p>
    <w:p w14:paraId="03EB4546">
      <w:pPr>
        <w:rPr>
          <w:rFonts w:ascii="宋体" w:hAnsi="宋体"/>
        </w:rPr>
      </w:pPr>
    </w:p>
    <w:p w14:paraId="73CD4A25">
      <w:pPr>
        <w:rPr>
          <w:rFonts w:ascii="宋体" w:hAnsi="宋体"/>
        </w:rPr>
      </w:pPr>
    </w:p>
    <w:p w14:paraId="25A264BB">
      <w:pPr>
        <w:rPr>
          <w:rFonts w:ascii="宋体" w:hAnsi="宋体"/>
        </w:rPr>
      </w:pPr>
    </w:p>
    <w:p w14:paraId="61FF1400">
      <w:pPr>
        <w:rPr>
          <w:rFonts w:ascii="宋体" w:hAnsi="宋体"/>
        </w:rPr>
      </w:pPr>
    </w:p>
    <w:p w14:paraId="11AF3B70">
      <w:pPr>
        <w:rPr>
          <w:rFonts w:ascii="宋体" w:hAnsi="宋体"/>
        </w:rPr>
      </w:pPr>
    </w:p>
    <w:p w14:paraId="0A87FFB2">
      <w:pPr>
        <w:rPr>
          <w:rFonts w:ascii="宋体" w:hAnsi="宋体"/>
        </w:rPr>
      </w:pPr>
    </w:p>
    <w:p w14:paraId="1E69187F">
      <w:pPr>
        <w:rPr>
          <w:rFonts w:ascii="宋体" w:hAnsi="宋体"/>
        </w:rPr>
      </w:pPr>
    </w:p>
    <w:p w14:paraId="40DD88E4">
      <w:pPr>
        <w:rPr>
          <w:rFonts w:ascii="宋体" w:hAnsi="宋体"/>
        </w:rPr>
      </w:pPr>
    </w:p>
    <w:p w14:paraId="0DD97AFB">
      <w:pPr>
        <w:rPr>
          <w:rFonts w:ascii="宋体" w:hAnsi="宋体"/>
        </w:rPr>
      </w:pPr>
    </w:p>
    <w:p w14:paraId="6B4FB517">
      <w:pPr>
        <w:rPr>
          <w:rFonts w:ascii="宋体" w:hAnsi="宋体"/>
        </w:rPr>
      </w:pPr>
    </w:p>
    <w:p w14:paraId="6BE31F40">
      <w:pPr>
        <w:rPr>
          <w:rFonts w:ascii="宋体" w:hAnsi="宋体"/>
        </w:rPr>
      </w:pPr>
    </w:p>
    <w:p w14:paraId="0332C9AC">
      <w:pPr>
        <w:rPr>
          <w:rFonts w:ascii="宋体" w:hAnsi="宋体"/>
        </w:rPr>
      </w:pPr>
    </w:p>
    <w:p w14:paraId="4E6F82DB">
      <w:pPr>
        <w:rPr>
          <w:rFonts w:ascii="宋体" w:hAnsi="宋体"/>
        </w:rPr>
      </w:pPr>
    </w:p>
    <w:p w14:paraId="26FBEE51">
      <w:pPr>
        <w:rPr>
          <w:rFonts w:ascii="宋体" w:hAnsi="宋体"/>
        </w:rPr>
      </w:pPr>
    </w:p>
    <w:p w14:paraId="29F27357">
      <w:pPr>
        <w:rPr>
          <w:rFonts w:ascii="宋体" w:hAnsi="宋体"/>
        </w:rPr>
      </w:pPr>
    </w:p>
    <w:p w14:paraId="553FA93F">
      <w:pPr>
        <w:rPr>
          <w:rFonts w:ascii="宋体" w:hAnsi="宋体"/>
        </w:rPr>
      </w:pPr>
    </w:p>
    <w:p w14:paraId="064CAB29">
      <w:pPr>
        <w:rPr>
          <w:rFonts w:ascii="宋体" w:hAnsi="宋体"/>
        </w:rPr>
      </w:pPr>
    </w:p>
    <w:p w14:paraId="464EEC22">
      <w:pPr>
        <w:rPr>
          <w:rFonts w:ascii="宋体" w:hAnsi="宋体"/>
        </w:rPr>
      </w:pPr>
    </w:p>
    <w:p w14:paraId="5CC59C95">
      <w:pPr>
        <w:rPr>
          <w:rFonts w:ascii="宋体" w:hAnsi="宋体"/>
        </w:rPr>
      </w:pPr>
    </w:p>
    <w:p w14:paraId="2414DDDE">
      <w:pPr>
        <w:pStyle w:val="22"/>
        <w:jc w:val="center"/>
        <w:rPr>
          <w:rFonts w:ascii="宋体" w:hAnsi="宋体" w:eastAsia="宋体" w:cs="Arial"/>
        </w:rPr>
      </w:pPr>
      <w:bookmarkStart w:id="26" w:name="_Toc428303632"/>
      <w:r>
        <w:rPr>
          <w:rFonts w:ascii="宋体" w:hAnsi="宋体" w:eastAsia="宋体" w:cs="Arial"/>
        </w:rPr>
        <w:t>第</w:t>
      </w:r>
      <w:r>
        <w:rPr>
          <w:rFonts w:hint="eastAsia" w:ascii="宋体" w:hAnsi="宋体" w:eastAsia="宋体" w:cs="Arial"/>
        </w:rPr>
        <w:t>五</w:t>
      </w:r>
      <w:r>
        <w:rPr>
          <w:rFonts w:ascii="宋体" w:hAnsi="宋体" w:eastAsia="宋体" w:cs="Arial"/>
        </w:rPr>
        <w:t xml:space="preserve">部分 </w:t>
      </w:r>
      <w:r>
        <w:rPr>
          <w:rFonts w:hint="eastAsia" w:ascii="宋体" w:hAnsi="宋体" w:eastAsia="宋体" w:cs="Arial"/>
        </w:rPr>
        <w:t>环境和部署要求</w:t>
      </w:r>
      <w:bookmarkEnd w:id="26"/>
    </w:p>
    <w:p w14:paraId="4F904A0A">
      <w:pPr>
        <w:pStyle w:val="4"/>
        <w:rPr>
          <w:rFonts w:ascii="宋体" w:hAnsi="宋体" w:cs="Arial"/>
        </w:rPr>
      </w:pPr>
      <w:bookmarkStart w:id="27" w:name="_Toc428303633"/>
      <w:r>
        <w:rPr>
          <w:rFonts w:hint="eastAsia" w:ascii="宋体" w:hAnsi="宋体"/>
        </w:rPr>
        <w:t>一、</w:t>
      </w:r>
      <w:r>
        <w:rPr>
          <w:rFonts w:ascii="宋体" w:hAnsi="宋体" w:cs="Arial"/>
        </w:rPr>
        <w:t>网络部署图</w:t>
      </w:r>
      <w:bookmarkEnd w:id="27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68117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6D754AE8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浏览器客户端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→ http://127.0.0.1:5173 前端 Vite 服务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→ /api/v1 反向代理或直连 FastAPI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→ SQLite 本地数据文件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→ Qdrant Local 向量索引目录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→ 外部 LLM / Embedding API 服务</w:t>
            </w:r>
          </w:p>
          <w:p w14:paraId="47C787FD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</w:p>
          <w:p w14:paraId="4CB8C95B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</w:p>
        </w:tc>
      </w:tr>
    </w:tbl>
    <w:p w14:paraId="0104D980">
      <w:pPr>
        <w:spacing w:before="156" w:beforeLines="50" w:after="156" w:afterLines="50" w:line="360" w:lineRule="auto"/>
        <w:rPr>
          <w:rFonts w:ascii="宋体" w:hAnsi="宋体" w:cs="Arial"/>
        </w:rPr>
      </w:pPr>
    </w:p>
    <w:p w14:paraId="3218B6C1">
      <w:pPr>
        <w:rPr>
          <w:rFonts w:ascii="宋体" w:hAnsi="宋体"/>
        </w:rPr>
      </w:pPr>
    </w:p>
    <w:p w14:paraId="7927C6E1">
      <w:pPr>
        <w:pStyle w:val="4"/>
        <w:rPr>
          <w:rFonts w:ascii="宋体" w:hAnsi="宋体" w:cs="Arial"/>
        </w:rPr>
      </w:pPr>
      <w:bookmarkStart w:id="28" w:name="_Toc428303634"/>
      <w:r>
        <w:rPr>
          <w:rFonts w:hint="eastAsia" w:ascii="宋体" w:hAnsi="宋体"/>
        </w:rPr>
        <w:t>二、</w:t>
      </w:r>
      <w:r>
        <w:rPr>
          <w:rFonts w:hint="eastAsia" w:ascii="宋体" w:hAnsi="宋体" w:cs="Arial"/>
        </w:rPr>
        <w:t>应用</w:t>
      </w:r>
      <w:r>
        <w:rPr>
          <w:rFonts w:ascii="宋体" w:hAnsi="宋体" w:cs="Arial"/>
        </w:rPr>
        <w:t>部署图</w:t>
      </w:r>
      <w:bookmarkEnd w:id="28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54F06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060596FF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前端应用：Vue 3 + TypeScript + Vite + ECharts。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后端应用：FastAPI + Pydantic + Uvicorn。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结构化存储：SQLite，保存数据集、字段、会话、消息、知识片段和审计日志。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向量存储：Qdrant Local，保存业务知识片段向量。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模型服务：通过 OpenAI 兼容接口接入 DeepSeek、SiliconFlow 等模型服务。</w:t>
            </w:r>
          </w:p>
          <w:p w14:paraId="1F7E6A10">
            <w:pPr>
              <w:rPr>
                <w:rFonts w:ascii="宋体" w:hAnsi="宋体"/>
                <w:kern w:val="0"/>
                <w:sz w:val="20"/>
              </w:rPr>
            </w:pPr>
          </w:p>
          <w:p w14:paraId="4FB7AED8">
            <w:pPr>
              <w:rPr>
                <w:rFonts w:ascii="宋体" w:hAnsi="宋体"/>
                <w:kern w:val="0"/>
                <w:sz w:val="20"/>
              </w:rPr>
            </w:pPr>
          </w:p>
          <w:p w14:paraId="54BB75CD">
            <w:pPr>
              <w:rPr>
                <w:rFonts w:ascii="宋体" w:hAnsi="宋体"/>
                <w:kern w:val="0"/>
                <w:sz w:val="20"/>
              </w:rPr>
            </w:pPr>
          </w:p>
          <w:p w14:paraId="36A31170">
            <w:pPr>
              <w:rPr>
                <w:rFonts w:ascii="宋体" w:hAnsi="宋体"/>
                <w:kern w:val="0"/>
                <w:sz w:val="20"/>
              </w:rPr>
            </w:pPr>
          </w:p>
          <w:p w14:paraId="28E0D8F8">
            <w:pPr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26EF4718">
      <w:pPr>
        <w:rPr>
          <w:rFonts w:ascii="宋体" w:hAnsi="宋体"/>
        </w:rPr>
      </w:pPr>
    </w:p>
    <w:p w14:paraId="44873AC9">
      <w:pPr>
        <w:pStyle w:val="4"/>
        <w:rPr>
          <w:rFonts w:ascii="宋体" w:hAnsi="宋体" w:cs="Arial"/>
        </w:rPr>
      </w:pPr>
      <w:r>
        <w:rPr>
          <w:rFonts w:ascii="宋体" w:hAnsi="宋体" w:eastAsia="宋体"/>
        </w:rPr>
        <w:t>三、其他部署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4BBE8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12E70D69">
            <w:pPr>
              <w:spacing w:before="156" w:beforeLines="50" w:after="156" w:afterLines="50" w:line="360" w:lineRule="auto"/>
              <w:jc w:val="center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本期采用本地轻量化部署方案，不强制部署独立数据库服务器或向量数据库服务器。后续生产环境可扩展为 Nginx + FastAPI + PostgreSQL + Qdrant Server + 对象存储的部署架构。</w:t>
            </w:r>
          </w:p>
          <w:p w14:paraId="44FA2732">
            <w:pPr>
              <w:spacing w:before="156" w:beforeLines="50" w:after="156" w:afterLines="50" w:line="360" w:lineRule="auto"/>
              <w:jc w:val="center"/>
              <w:rPr>
                <w:rFonts w:ascii="宋体" w:hAnsi="宋体" w:cs="Arial"/>
                <w:kern w:val="0"/>
                <w:sz w:val="20"/>
              </w:rPr>
            </w:pPr>
          </w:p>
        </w:tc>
      </w:tr>
    </w:tbl>
    <w:p w14:paraId="68A2F8CA">
      <w:pPr>
        <w:spacing w:before="156" w:beforeLines="50" w:after="156" w:afterLines="50" w:line="360" w:lineRule="auto"/>
        <w:jc w:val="center"/>
        <w:rPr>
          <w:rFonts w:ascii="宋体" w:hAnsi="宋体" w:cs="Arial"/>
        </w:rPr>
      </w:pPr>
    </w:p>
    <w:p w14:paraId="4F2F4ADA">
      <w:pPr>
        <w:spacing w:line="360" w:lineRule="auto"/>
        <w:rPr>
          <w:rFonts w:ascii="宋体" w:hAnsi="宋体"/>
        </w:rPr>
      </w:pPr>
      <w:r>
        <w:rPr>
          <w:rFonts w:hint="eastAsia" w:ascii="宋体" w:hAnsi="宋体" w:cs="Arial"/>
        </w:rPr>
        <w:tab/>
      </w:r>
    </w:p>
    <w:p w14:paraId="6457757E">
      <w:pPr>
        <w:pStyle w:val="4"/>
        <w:rPr>
          <w:rFonts w:ascii="宋体" w:hAnsi="宋体"/>
        </w:rPr>
      </w:pPr>
      <w:bookmarkStart w:id="30" w:name="_Toc428303636"/>
      <w:r>
        <w:rPr>
          <w:rFonts w:hint="eastAsia" w:ascii="宋体" w:hAnsi="宋体"/>
        </w:rPr>
        <w:t>四、</w:t>
      </w:r>
      <w:r>
        <w:rPr>
          <w:rFonts w:ascii="宋体" w:hAnsi="宋体"/>
        </w:rPr>
        <w:t>运行环境说明</w:t>
      </w:r>
      <w:bookmarkEnd w:id="30"/>
    </w:p>
    <w:p w14:paraId="0A435CFC">
      <w:pPr>
        <w:pStyle w:val="5"/>
        <w:rPr>
          <w:rFonts w:ascii="宋体" w:hAnsi="宋体"/>
        </w:rPr>
      </w:pPr>
      <w:bookmarkStart w:id="31" w:name="_Toc428303637"/>
      <w:r>
        <w:rPr>
          <w:rFonts w:hint="eastAsia" w:ascii="宋体" w:hAnsi="宋体"/>
        </w:rPr>
        <w:t>1、</w:t>
      </w:r>
      <w:r>
        <w:rPr>
          <w:rFonts w:ascii="宋体" w:hAnsi="宋体"/>
        </w:rPr>
        <w:t>服务器</w:t>
      </w:r>
      <w:bookmarkEnd w:id="31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6954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5552ECD6">
            <w:pPr>
              <w:spacing w:before="156" w:beforeLines="50" w:after="156" w:afterLines="50" w:line="360" w:lineRule="auto"/>
              <w:rPr>
                <w:rFonts w:ascii="宋体" w:hAnsi="宋体" w:cs="Arial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开发/演示服务器建议配置：Windows 10/11，Python 3.11+，Node.js 18+，内存 8GB 以上，磁盘剩余空间 5GB 以上。后端端口默认 8000，前端端口默认 5173。</w:t>
            </w:r>
          </w:p>
        </w:tc>
      </w:tr>
    </w:tbl>
    <w:p w14:paraId="73066A42">
      <w:pPr>
        <w:spacing w:before="156" w:beforeLines="50" w:after="156" w:afterLines="50" w:line="360" w:lineRule="auto"/>
        <w:rPr>
          <w:rFonts w:ascii="宋体" w:hAnsi="宋体" w:cs="Arial"/>
        </w:rPr>
      </w:pPr>
    </w:p>
    <w:p w14:paraId="58276547">
      <w:pPr>
        <w:rPr>
          <w:rFonts w:ascii="宋体" w:hAnsi="宋体"/>
        </w:rPr>
      </w:pPr>
    </w:p>
    <w:p w14:paraId="7A654602">
      <w:pPr>
        <w:pStyle w:val="5"/>
        <w:rPr>
          <w:rFonts w:ascii="宋体" w:hAnsi="宋体"/>
        </w:rPr>
      </w:pPr>
      <w:bookmarkStart w:id="32" w:name="_Toc428303638"/>
      <w:r>
        <w:rPr>
          <w:rFonts w:hint="eastAsia" w:ascii="宋体" w:hAnsi="宋体"/>
        </w:rPr>
        <w:t>2、</w:t>
      </w:r>
      <w:r>
        <w:rPr>
          <w:rFonts w:ascii="宋体" w:hAnsi="宋体"/>
        </w:rPr>
        <w:t>客户机器环境</w:t>
      </w:r>
      <w:bookmarkEnd w:id="32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0885D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1A3BA62D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客户机器环境：Microsoft Edge、Chrome 或其他现代浏览器；建议分辨率 1366×768 以上；可访问本机或局域网部署的前端地址。</w:t>
            </w:r>
          </w:p>
          <w:p w14:paraId="7D62D21A">
            <w:pPr>
              <w:rPr>
                <w:rFonts w:ascii="宋体" w:hAnsi="宋体"/>
                <w:kern w:val="0"/>
                <w:sz w:val="20"/>
              </w:rPr>
            </w:pPr>
          </w:p>
          <w:p w14:paraId="532333C5">
            <w:pPr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12A303F1">
      <w:pPr>
        <w:rPr>
          <w:rFonts w:ascii="宋体" w:hAnsi="宋体"/>
        </w:rPr>
      </w:pPr>
    </w:p>
    <w:p w14:paraId="12DAE8C7">
      <w:pPr>
        <w:pStyle w:val="5"/>
        <w:rPr>
          <w:rFonts w:ascii="宋体" w:hAnsi="宋体"/>
        </w:rPr>
      </w:pPr>
      <w:r>
        <w:rPr>
          <w:rFonts w:ascii="宋体" w:hAnsi="宋体" w:eastAsia="宋体"/>
        </w:rPr>
        <w:t>3、模型与向量库环境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6"/>
      </w:tblGrid>
      <w:tr w14:paraId="517D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6" w:type="dxa"/>
            <w:vAlign w:val="center"/>
          </w:tcPr>
          <w:p w14:paraId="7320E4EB">
            <w:pPr>
              <w:rPr>
                <w:rFonts w:ascii="宋体" w:hAnsi="宋体"/>
                <w:kern w:val="0"/>
                <w:sz w:val="2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后端 .env 配置 LLM_API_KEY、LLM_BASE_URL、LLM_MODEL、EMBEDDING_API_KEY、EMBEDDING_BASE_URL、EMBEDDING_MODEL、VECTOR_STORE、QDRANT_PATH 等参数。</w:t>
            </w:r>
            <w:r>
              <w:br/>
            </w:r>
            <w:r>
              <w:rPr>
                <w:rFonts w:ascii="宋体" w:hAnsi="宋体" w:eastAsia="宋体"/>
                <w:b w:val="0"/>
                <w:sz w:val="21"/>
              </w:rPr>
              <w:t>API Key 只由后端读取，前端仅展示配置状态，不展示密钥明文。Qdrant Local 默认存储路径为 backend/storage/qdrant。</w:t>
            </w:r>
          </w:p>
          <w:p w14:paraId="4FFB0847">
            <w:pPr>
              <w:rPr>
                <w:rFonts w:ascii="宋体" w:hAnsi="宋体"/>
                <w:kern w:val="0"/>
                <w:sz w:val="20"/>
              </w:rPr>
            </w:pPr>
          </w:p>
          <w:p w14:paraId="6C795DD6">
            <w:pPr>
              <w:rPr>
                <w:rFonts w:ascii="宋体" w:hAnsi="宋体"/>
                <w:kern w:val="0"/>
                <w:sz w:val="20"/>
              </w:rPr>
            </w:pPr>
          </w:p>
          <w:p w14:paraId="0711D6FA">
            <w:pPr>
              <w:rPr>
                <w:rFonts w:ascii="宋体" w:hAnsi="宋体"/>
                <w:kern w:val="0"/>
                <w:sz w:val="20"/>
              </w:rPr>
            </w:pPr>
          </w:p>
          <w:p w14:paraId="5270EE97">
            <w:pPr>
              <w:rPr>
                <w:rFonts w:ascii="宋体" w:hAnsi="宋体"/>
                <w:kern w:val="0"/>
                <w:sz w:val="20"/>
              </w:rPr>
            </w:pPr>
          </w:p>
        </w:tc>
      </w:tr>
    </w:tbl>
    <w:p w14:paraId="67C9CB5C">
      <w:pPr>
        <w:rPr>
          <w:rFonts w:ascii="宋体" w:hAnsi="宋体"/>
        </w:rPr>
      </w:pPr>
    </w:p>
    <w:sectPr>
      <w:headerReference r:id="rId3" w:type="default"/>
      <w:footerReference r:id="rId4" w:type="default"/>
      <w:pgSz w:w="11906" w:h="16838"/>
      <w:pgMar w:top="1440" w:right="1106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5AF1C">
    <w:pPr>
      <w:pStyle w:val="18"/>
    </w:pPr>
    <w:r>
      <w:pict>
        <v:line id="_x0000_s1025" o:spid="_x0000_s1025" o:spt="20" style="position:absolute;left:0pt;margin-left:0pt;margin-top:2.25pt;height:0pt;width:450pt;z-index:251659264;mso-width-relative:page;mso-height-relative:page;" coordsize="21600,21600">
          <v:path arrowok="t"/>
          <v:fill focussize="0,0"/>
          <v:stroke weight="4.5pt" linestyle="thinThick"/>
          <v:imagedata o:title=""/>
          <o:lock v:ext="edit"/>
        </v:line>
      </w:pict>
    </w:r>
  </w:p>
  <w:p w14:paraId="0B0B8A42">
    <w:pPr>
      <w:pStyle w:val="18"/>
      <w:rPr>
        <w:rFonts w:ascii="Arial" w:hAnsi="Arial" w:cs="Arial"/>
        <w:b/>
      </w:rPr>
    </w:pPr>
    <w:r>
      <w:rPr>
        <w:rStyle w:val="32"/>
        <w:rFonts w:hint="eastAsia" w:ascii="Arial" w:hAnsi="Arial" w:cs="Arial"/>
        <w:b/>
        <w:sz w:val="21"/>
        <w:szCs w:val="21"/>
      </w:rPr>
      <w:t xml:space="preserve">                                          </w:t>
    </w:r>
    <w:r>
      <w:rPr>
        <w:rFonts w:ascii="Arial" w:hAnsi="Arial" w:cs="Arial"/>
        <w:b/>
        <w:sz w:val="21"/>
        <w:szCs w:val="21"/>
      </w:rPr>
      <w:fldChar w:fldCharType="begin"/>
    </w:r>
    <w:r>
      <w:rPr>
        <w:rStyle w:val="32"/>
        <w:rFonts w:ascii="Arial" w:hAnsi="Arial" w:cs="Arial"/>
        <w:b/>
        <w:sz w:val="21"/>
        <w:szCs w:val="21"/>
      </w:rPr>
      <w:instrText xml:space="preserve"> PAGE   \* MERGEFORMAT </w:instrText>
    </w:r>
    <w:r>
      <w:rPr>
        <w:rFonts w:ascii="Arial" w:hAnsi="Arial" w:cs="Arial"/>
        <w:b/>
        <w:sz w:val="21"/>
        <w:szCs w:val="21"/>
      </w:rPr>
      <w:fldChar w:fldCharType="separate"/>
    </w:r>
    <w:r>
      <w:rPr>
        <w:rStyle w:val="32"/>
        <w:rFonts w:ascii="Arial" w:hAnsi="Arial" w:cs="Arial"/>
        <w:b/>
        <w:sz w:val="21"/>
        <w:szCs w:val="21"/>
      </w:rPr>
      <w:t>8</w:t>
    </w:r>
    <w:r>
      <w:rPr>
        <w:rFonts w:ascii="Arial" w:hAnsi="Arial" w:cs="Arial"/>
        <w:b/>
        <w:sz w:val="21"/>
        <w:szCs w:val="21"/>
      </w:rPr>
      <w:fldChar w:fldCharType="end"/>
    </w:r>
    <w:r>
      <w:rPr>
        <w:rStyle w:val="32"/>
        <w:rFonts w:hint="eastAsia" w:ascii="Arial" w:hAnsi="Arial" w:cs="Arial"/>
        <w:b/>
        <w:sz w:val="21"/>
        <w:szCs w:val="21"/>
      </w:rPr>
      <w:t xml:space="preserve">            校训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72392">
    <w:pPr>
      <w:pStyle w:val="19"/>
    </w:pPr>
    <w:r>
      <w:rPr>
        <w:rFonts w:hint="eastAsia"/>
      </w:rPr>
      <w:t>学院</w:t>
    </w:r>
  </w:p>
  <w:p w14:paraId="21EC9865">
    <w:pPr>
      <w:pStyle w:val="19"/>
    </w:pPr>
  </w:p>
  <w:p w14:paraId="0C9F1404">
    <w:pPr>
      <w:pStyle w:val="1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D6038"/>
    <w:rsid w:val="00005393"/>
    <w:rsid w:val="00005C9B"/>
    <w:rsid w:val="000123E0"/>
    <w:rsid w:val="0001361A"/>
    <w:rsid w:val="000140D5"/>
    <w:rsid w:val="00014500"/>
    <w:rsid w:val="00015E78"/>
    <w:rsid w:val="0001659C"/>
    <w:rsid w:val="00020588"/>
    <w:rsid w:val="00021698"/>
    <w:rsid w:val="000247F9"/>
    <w:rsid w:val="00024CCA"/>
    <w:rsid w:val="00034838"/>
    <w:rsid w:val="0003528D"/>
    <w:rsid w:val="00036B31"/>
    <w:rsid w:val="0004613A"/>
    <w:rsid w:val="000508C0"/>
    <w:rsid w:val="00051455"/>
    <w:rsid w:val="000565E7"/>
    <w:rsid w:val="000602C6"/>
    <w:rsid w:val="00060652"/>
    <w:rsid w:val="0006692A"/>
    <w:rsid w:val="0007324E"/>
    <w:rsid w:val="000735E5"/>
    <w:rsid w:val="0008097B"/>
    <w:rsid w:val="00081DCB"/>
    <w:rsid w:val="00090286"/>
    <w:rsid w:val="00094F63"/>
    <w:rsid w:val="000958B1"/>
    <w:rsid w:val="00097939"/>
    <w:rsid w:val="000A7425"/>
    <w:rsid w:val="000B32C3"/>
    <w:rsid w:val="000B60AE"/>
    <w:rsid w:val="000C1978"/>
    <w:rsid w:val="000E0C0F"/>
    <w:rsid w:val="000E6657"/>
    <w:rsid w:val="000F04F1"/>
    <w:rsid w:val="000F29D3"/>
    <w:rsid w:val="000F32E0"/>
    <w:rsid w:val="00104B11"/>
    <w:rsid w:val="00107481"/>
    <w:rsid w:val="001106E6"/>
    <w:rsid w:val="00110F98"/>
    <w:rsid w:val="00114769"/>
    <w:rsid w:val="0011742D"/>
    <w:rsid w:val="00117BFB"/>
    <w:rsid w:val="001268FB"/>
    <w:rsid w:val="00135B6D"/>
    <w:rsid w:val="00135E7D"/>
    <w:rsid w:val="00140B63"/>
    <w:rsid w:val="0014186E"/>
    <w:rsid w:val="0014500E"/>
    <w:rsid w:val="00146655"/>
    <w:rsid w:val="001478FE"/>
    <w:rsid w:val="001526A5"/>
    <w:rsid w:val="00161A4D"/>
    <w:rsid w:val="00165509"/>
    <w:rsid w:val="001666C8"/>
    <w:rsid w:val="00166CAE"/>
    <w:rsid w:val="0016721E"/>
    <w:rsid w:val="00167C14"/>
    <w:rsid w:val="0017418F"/>
    <w:rsid w:val="0018368D"/>
    <w:rsid w:val="0018395C"/>
    <w:rsid w:val="00185F37"/>
    <w:rsid w:val="0019059B"/>
    <w:rsid w:val="001A3CA9"/>
    <w:rsid w:val="001A555A"/>
    <w:rsid w:val="001A7D3F"/>
    <w:rsid w:val="001B38BE"/>
    <w:rsid w:val="001B6B2C"/>
    <w:rsid w:val="001B7BD7"/>
    <w:rsid w:val="001C1E85"/>
    <w:rsid w:val="001C4579"/>
    <w:rsid w:val="001D422A"/>
    <w:rsid w:val="001D5CF1"/>
    <w:rsid w:val="001E2C31"/>
    <w:rsid w:val="001F0F4D"/>
    <w:rsid w:val="001F6C9F"/>
    <w:rsid w:val="001F7F77"/>
    <w:rsid w:val="0020307E"/>
    <w:rsid w:val="00205511"/>
    <w:rsid w:val="00205CE8"/>
    <w:rsid w:val="00206338"/>
    <w:rsid w:val="00207908"/>
    <w:rsid w:val="002132EB"/>
    <w:rsid w:val="0022041C"/>
    <w:rsid w:val="002309D7"/>
    <w:rsid w:val="00233CF5"/>
    <w:rsid w:val="00240495"/>
    <w:rsid w:val="002417AB"/>
    <w:rsid w:val="00243622"/>
    <w:rsid w:val="00247B17"/>
    <w:rsid w:val="00253F00"/>
    <w:rsid w:val="00267A6D"/>
    <w:rsid w:val="002740B7"/>
    <w:rsid w:val="00274B6A"/>
    <w:rsid w:val="002843D9"/>
    <w:rsid w:val="00287FFD"/>
    <w:rsid w:val="00290393"/>
    <w:rsid w:val="0029761D"/>
    <w:rsid w:val="002A33CF"/>
    <w:rsid w:val="002B2B80"/>
    <w:rsid w:val="002C637F"/>
    <w:rsid w:val="002C66DF"/>
    <w:rsid w:val="002D3EDA"/>
    <w:rsid w:val="002E10CB"/>
    <w:rsid w:val="002E1804"/>
    <w:rsid w:val="002E207D"/>
    <w:rsid w:val="002E34B3"/>
    <w:rsid w:val="002E5BBD"/>
    <w:rsid w:val="002E5C1D"/>
    <w:rsid w:val="002F5D98"/>
    <w:rsid w:val="002F7F91"/>
    <w:rsid w:val="00300552"/>
    <w:rsid w:val="00303114"/>
    <w:rsid w:val="003052F5"/>
    <w:rsid w:val="0031296B"/>
    <w:rsid w:val="00322E44"/>
    <w:rsid w:val="003328AE"/>
    <w:rsid w:val="00333C55"/>
    <w:rsid w:val="00370613"/>
    <w:rsid w:val="003716C7"/>
    <w:rsid w:val="00375753"/>
    <w:rsid w:val="00375E79"/>
    <w:rsid w:val="00385154"/>
    <w:rsid w:val="0038529C"/>
    <w:rsid w:val="00385546"/>
    <w:rsid w:val="00391546"/>
    <w:rsid w:val="00391B28"/>
    <w:rsid w:val="00392FB7"/>
    <w:rsid w:val="0039529B"/>
    <w:rsid w:val="003A5743"/>
    <w:rsid w:val="003A7F4D"/>
    <w:rsid w:val="003B3EC0"/>
    <w:rsid w:val="003B43B2"/>
    <w:rsid w:val="003B5427"/>
    <w:rsid w:val="003B5701"/>
    <w:rsid w:val="003C2A7F"/>
    <w:rsid w:val="003C3176"/>
    <w:rsid w:val="003C3912"/>
    <w:rsid w:val="003D0FCD"/>
    <w:rsid w:val="003D7961"/>
    <w:rsid w:val="003E0177"/>
    <w:rsid w:val="003E0A65"/>
    <w:rsid w:val="003E47F3"/>
    <w:rsid w:val="003E7F79"/>
    <w:rsid w:val="003F4AAF"/>
    <w:rsid w:val="003F5222"/>
    <w:rsid w:val="003F6099"/>
    <w:rsid w:val="003F7A72"/>
    <w:rsid w:val="00401EBF"/>
    <w:rsid w:val="00407724"/>
    <w:rsid w:val="00410320"/>
    <w:rsid w:val="004117E0"/>
    <w:rsid w:val="00415909"/>
    <w:rsid w:val="00421AC7"/>
    <w:rsid w:val="00425905"/>
    <w:rsid w:val="00431BD3"/>
    <w:rsid w:val="004339F6"/>
    <w:rsid w:val="00440BCD"/>
    <w:rsid w:val="00442128"/>
    <w:rsid w:val="00445C9B"/>
    <w:rsid w:val="004524E2"/>
    <w:rsid w:val="00452929"/>
    <w:rsid w:val="00460C41"/>
    <w:rsid w:val="00463629"/>
    <w:rsid w:val="00466A29"/>
    <w:rsid w:val="00470B30"/>
    <w:rsid w:val="004747B5"/>
    <w:rsid w:val="00474A7C"/>
    <w:rsid w:val="00475892"/>
    <w:rsid w:val="004771F5"/>
    <w:rsid w:val="00482596"/>
    <w:rsid w:val="00485F7B"/>
    <w:rsid w:val="0048638D"/>
    <w:rsid w:val="00487885"/>
    <w:rsid w:val="0049678C"/>
    <w:rsid w:val="004A7BAD"/>
    <w:rsid w:val="004C336F"/>
    <w:rsid w:val="004C33E0"/>
    <w:rsid w:val="004C5F45"/>
    <w:rsid w:val="004D6038"/>
    <w:rsid w:val="004E0FFB"/>
    <w:rsid w:val="004E3989"/>
    <w:rsid w:val="004F0440"/>
    <w:rsid w:val="004F7DAD"/>
    <w:rsid w:val="00500B58"/>
    <w:rsid w:val="00503BF9"/>
    <w:rsid w:val="0050665C"/>
    <w:rsid w:val="005118B9"/>
    <w:rsid w:val="005215B7"/>
    <w:rsid w:val="005223C0"/>
    <w:rsid w:val="005228C3"/>
    <w:rsid w:val="005241DF"/>
    <w:rsid w:val="005368DD"/>
    <w:rsid w:val="00536A2D"/>
    <w:rsid w:val="00536A77"/>
    <w:rsid w:val="005444B4"/>
    <w:rsid w:val="00547E1D"/>
    <w:rsid w:val="00550006"/>
    <w:rsid w:val="0055471B"/>
    <w:rsid w:val="00570869"/>
    <w:rsid w:val="00574C92"/>
    <w:rsid w:val="00581B29"/>
    <w:rsid w:val="005951A4"/>
    <w:rsid w:val="005A3DF8"/>
    <w:rsid w:val="005A5005"/>
    <w:rsid w:val="005A6C87"/>
    <w:rsid w:val="005A7B7B"/>
    <w:rsid w:val="005B345F"/>
    <w:rsid w:val="005B3886"/>
    <w:rsid w:val="005C226D"/>
    <w:rsid w:val="005C6BE5"/>
    <w:rsid w:val="005D0649"/>
    <w:rsid w:val="005D250B"/>
    <w:rsid w:val="005D466A"/>
    <w:rsid w:val="005D5CF4"/>
    <w:rsid w:val="005E79E5"/>
    <w:rsid w:val="005F4BE4"/>
    <w:rsid w:val="00602466"/>
    <w:rsid w:val="00604FEE"/>
    <w:rsid w:val="00604FF9"/>
    <w:rsid w:val="00605BBE"/>
    <w:rsid w:val="006060D3"/>
    <w:rsid w:val="00606C32"/>
    <w:rsid w:val="0062038F"/>
    <w:rsid w:val="006220E3"/>
    <w:rsid w:val="00624430"/>
    <w:rsid w:val="00624905"/>
    <w:rsid w:val="00633FC5"/>
    <w:rsid w:val="00637A18"/>
    <w:rsid w:val="006420A1"/>
    <w:rsid w:val="00642C39"/>
    <w:rsid w:val="00643CFB"/>
    <w:rsid w:val="00644558"/>
    <w:rsid w:val="0065170C"/>
    <w:rsid w:val="0065349C"/>
    <w:rsid w:val="0066553D"/>
    <w:rsid w:val="00673492"/>
    <w:rsid w:val="00683608"/>
    <w:rsid w:val="00690750"/>
    <w:rsid w:val="006A1248"/>
    <w:rsid w:val="006A3232"/>
    <w:rsid w:val="006A566C"/>
    <w:rsid w:val="006A6CFD"/>
    <w:rsid w:val="006B0A06"/>
    <w:rsid w:val="006B1E5C"/>
    <w:rsid w:val="006B56EF"/>
    <w:rsid w:val="006C15E3"/>
    <w:rsid w:val="006C1C18"/>
    <w:rsid w:val="006D0AAC"/>
    <w:rsid w:val="006D4315"/>
    <w:rsid w:val="006D771A"/>
    <w:rsid w:val="006E1800"/>
    <w:rsid w:val="006E26FA"/>
    <w:rsid w:val="006E3B25"/>
    <w:rsid w:val="006E7106"/>
    <w:rsid w:val="006E75FB"/>
    <w:rsid w:val="006E7D5B"/>
    <w:rsid w:val="006F42D0"/>
    <w:rsid w:val="006F60CF"/>
    <w:rsid w:val="00702637"/>
    <w:rsid w:val="007040BE"/>
    <w:rsid w:val="00721E83"/>
    <w:rsid w:val="00722562"/>
    <w:rsid w:val="00727CD4"/>
    <w:rsid w:val="00730143"/>
    <w:rsid w:val="007324E7"/>
    <w:rsid w:val="00732515"/>
    <w:rsid w:val="00732607"/>
    <w:rsid w:val="00735386"/>
    <w:rsid w:val="00741B5A"/>
    <w:rsid w:val="00751A4A"/>
    <w:rsid w:val="00751E30"/>
    <w:rsid w:val="00753F23"/>
    <w:rsid w:val="00757525"/>
    <w:rsid w:val="00763287"/>
    <w:rsid w:val="00763A95"/>
    <w:rsid w:val="00771948"/>
    <w:rsid w:val="007777BD"/>
    <w:rsid w:val="0078658B"/>
    <w:rsid w:val="00786E14"/>
    <w:rsid w:val="0078730C"/>
    <w:rsid w:val="007A3471"/>
    <w:rsid w:val="007A712F"/>
    <w:rsid w:val="007B3D46"/>
    <w:rsid w:val="007B6A50"/>
    <w:rsid w:val="007C0625"/>
    <w:rsid w:val="007C0A5D"/>
    <w:rsid w:val="007D7C79"/>
    <w:rsid w:val="007E0414"/>
    <w:rsid w:val="007E1F4E"/>
    <w:rsid w:val="007E3315"/>
    <w:rsid w:val="007F0758"/>
    <w:rsid w:val="007F3887"/>
    <w:rsid w:val="007F4911"/>
    <w:rsid w:val="007F688C"/>
    <w:rsid w:val="00800740"/>
    <w:rsid w:val="00800E28"/>
    <w:rsid w:val="0080190A"/>
    <w:rsid w:val="00806F25"/>
    <w:rsid w:val="00807C03"/>
    <w:rsid w:val="008101C1"/>
    <w:rsid w:val="00810E6D"/>
    <w:rsid w:val="00816416"/>
    <w:rsid w:val="008334D9"/>
    <w:rsid w:val="00835D15"/>
    <w:rsid w:val="008442A3"/>
    <w:rsid w:val="008537B8"/>
    <w:rsid w:val="00854249"/>
    <w:rsid w:val="00854E1C"/>
    <w:rsid w:val="00855173"/>
    <w:rsid w:val="00855434"/>
    <w:rsid w:val="00870D9A"/>
    <w:rsid w:val="00872D21"/>
    <w:rsid w:val="00874CF6"/>
    <w:rsid w:val="00880E20"/>
    <w:rsid w:val="008843B4"/>
    <w:rsid w:val="0088467F"/>
    <w:rsid w:val="00885D5A"/>
    <w:rsid w:val="00894F95"/>
    <w:rsid w:val="008A4769"/>
    <w:rsid w:val="008B177A"/>
    <w:rsid w:val="008B462C"/>
    <w:rsid w:val="008C0994"/>
    <w:rsid w:val="008C0A53"/>
    <w:rsid w:val="008C71DC"/>
    <w:rsid w:val="008D5180"/>
    <w:rsid w:val="008D5A47"/>
    <w:rsid w:val="008D67A1"/>
    <w:rsid w:val="008E0391"/>
    <w:rsid w:val="008E1F66"/>
    <w:rsid w:val="008E6DCB"/>
    <w:rsid w:val="008E74AE"/>
    <w:rsid w:val="008F475A"/>
    <w:rsid w:val="009058D5"/>
    <w:rsid w:val="009073A9"/>
    <w:rsid w:val="00914E8E"/>
    <w:rsid w:val="0092235D"/>
    <w:rsid w:val="0092253B"/>
    <w:rsid w:val="0092422F"/>
    <w:rsid w:val="00924869"/>
    <w:rsid w:val="00930A1A"/>
    <w:rsid w:val="009310AA"/>
    <w:rsid w:val="00932B90"/>
    <w:rsid w:val="0093321B"/>
    <w:rsid w:val="00940E59"/>
    <w:rsid w:val="009411E7"/>
    <w:rsid w:val="00943395"/>
    <w:rsid w:val="0094364F"/>
    <w:rsid w:val="009438CE"/>
    <w:rsid w:val="009479C8"/>
    <w:rsid w:val="009524C2"/>
    <w:rsid w:val="00954125"/>
    <w:rsid w:val="0095586A"/>
    <w:rsid w:val="00961D3F"/>
    <w:rsid w:val="00966C16"/>
    <w:rsid w:val="0096766F"/>
    <w:rsid w:val="00973FA1"/>
    <w:rsid w:val="0097403E"/>
    <w:rsid w:val="0097558D"/>
    <w:rsid w:val="009766E1"/>
    <w:rsid w:val="00976801"/>
    <w:rsid w:val="00984337"/>
    <w:rsid w:val="00987974"/>
    <w:rsid w:val="00987F9C"/>
    <w:rsid w:val="00991298"/>
    <w:rsid w:val="009B08E1"/>
    <w:rsid w:val="009C4D83"/>
    <w:rsid w:val="009C50E4"/>
    <w:rsid w:val="009C6CDF"/>
    <w:rsid w:val="009D0C77"/>
    <w:rsid w:val="009D1B37"/>
    <w:rsid w:val="009E5873"/>
    <w:rsid w:val="009E664B"/>
    <w:rsid w:val="009E795F"/>
    <w:rsid w:val="009F12B7"/>
    <w:rsid w:val="009F2527"/>
    <w:rsid w:val="009F4727"/>
    <w:rsid w:val="00A02593"/>
    <w:rsid w:val="00A04B41"/>
    <w:rsid w:val="00A1362A"/>
    <w:rsid w:val="00A15E8F"/>
    <w:rsid w:val="00A16951"/>
    <w:rsid w:val="00A2059C"/>
    <w:rsid w:val="00A35854"/>
    <w:rsid w:val="00A37C70"/>
    <w:rsid w:val="00A417BF"/>
    <w:rsid w:val="00A43502"/>
    <w:rsid w:val="00A4533D"/>
    <w:rsid w:val="00A45CFF"/>
    <w:rsid w:val="00A55C49"/>
    <w:rsid w:val="00A63705"/>
    <w:rsid w:val="00A67BC2"/>
    <w:rsid w:val="00A73AA0"/>
    <w:rsid w:val="00A76E27"/>
    <w:rsid w:val="00A81C49"/>
    <w:rsid w:val="00A86930"/>
    <w:rsid w:val="00A90132"/>
    <w:rsid w:val="00A93783"/>
    <w:rsid w:val="00A94F8F"/>
    <w:rsid w:val="00A96BBD"/>
    <w:rsid w:val="00AA3821"/>
    <w:rsid w:val="00AA3F49"/>
    <w:rsid w:val="00AA46A3"/>
    <w:rsid w:val="00AA4C71"/>
    <w:rsid w:val="00AB4156"/>
    <w:rsid w:val="00AB431F"/>
    <w:rsid w:val="00AB76F5"/>
    <w:rsid w:val="00AC186E"/>
    <w:rsid w:val="00AD673D"/>
    <w:rsid w:val="00AE35AA"/>
    <w:rsid w:val="00AE3997"/>
    <w:rsid w:val="00AE6436"/>
    <w:rsid w:val="00AE70F6"/>
    <w:rsid w:val="00AF1F1E"/>
    <w:rsid w:val="00AF6B65"/>
    <w:rsid w:val="00B00E4C"/>
    <w:rsid w:val="00B058AE"/>
    <w:rsid w:val="00B12F2F"/>
    <w:rsid w:val="00B12F50"/>
    <w:rsid w:val="00B17CFD"/>
    <w:rsid w:val="00B20453"/>
    <w:rsid w:val="00B30233"/>
    <w:rsid w:val="00B332C4"/>
    <w:rsid w:val="00B37C9C"/>
    <w:rsid w:val="00B42BFB"/>
    <w:rsid w:val="00B4587B"/>
    <w:rsid w:val="00B5176F"/>
    <w:rsid w:val="00B51AE0"/>
    <w:rsid w:val="00B52C48"/>
    <w:rsid w:val="00B61C56"/>
    <w:rsid w:val="00B64FCC"/>
    <w:rsid w:val="00B67F1D"/>
    <w:rsid w:val="00B715B5"/>
    <w:rsid w:val="00B72C38"/>
    <w:rsid w:val="00B75472"/>
    <w:rsid w:val="00B84553"/>
    <w:rsid w:val="00B84A4E"/>
    <w:rsid w:val="00B85D2D"/>
    <w:rsid w:val="00B87A88"/>
    <w:rsid w:val="00B91AB3"/>
    <w:rsid w:val="00B92F5C"/>
    <w:rsid w:val="00B959A7"/>
    <w:rsid w:val="00B978AF"/>
    <w:rsid w:val="00B97F6C"/>
    <w:rsid w:val="00BA06B6"/>
    <w:rsid w:val="00BA78E1"/>
    <w:rsid w:val="00BB0F5F"/>
    <w:rsid w:val="00BB3FC8"/>
    <w:rsid w:val="00BC1E43"/>
    <w:rsid w:val="00BC7219"/>
    <w:rsid w:val="00BC753E"/>
    <w:rsid w:val="00BC7959"/>
    <w:rsid w:val="00BD5810"/>
    <w:rsid w:val="00BD7504"/>
    <w:rsid w:val="00BE32CE"/>
    <w:rsid w:val="00C024F8"/>
    <w:rsid w:val="00C074D6"/>
    <w:rsid w:val="00C0754E"/>
    <w:rsid w:val="00C10920"/>
    <w:rsid w:val="00C147F6"/>
    <w:rsid w:val="00C219EB"/>
    <w:rsid w:val="00C26A70"/>
    <w:rsid w:val="00C30224"/>
    <w:rsid w:val="00C358FE"/>
    <w:rsid w:val="00C36E88"/>
    <w:rsid w:val="00C421F6"/>
    <w:rsid w:val="00C4582F"/>
    <w:rsid w:val="00C51A8A"/>
    <w:rsid w:val="00C52CDC"/>
    <w:rsid w:val="00C56B83"/>
    <w:rsid w:val="00C57499"/>
    <w:rsid w:val="00C6748E"/>
    <w:rsid w:val="00C6755E"/>
    <w:rsid w:val="00C759A3"/>
    <w:rsid w:val="00C85D97"/>
    <w:rsid w:val="00C86059"/>
    <w:rsid w:val="00CB03C3"/>
    <w:rsid w:val="00CB2440"/>
    <w:rsid w:val="00CC04C2"/>
    <w:rsid w:val="00CC10FA"/>
    <w:rsid w:val="00CC152D"/>
    <w:rsid w:val="00CD0058"/>
    <w:rsid w:val="00CD06E8"/>
    <w:rsid w:val="00CE0182"/>
    <w:rsid w:val="00CE307D"/>
    <w:rsid w:val="00CE4940"/>
    <w:rsid w:val="00CE65E1"/>
    <w:rsid w:val="00CE68CE"/>
    <w:rsid w:val="00CF66DC"/>
    <w:rsid w:val="00D0002A"/>
    <w:rsid w:val="00D00C1B"/>
    <w:rsid w:val="00D0121D"/>
    <w:rsid w:val="00D01F13"/>
    <w:rsid w:val="00D0263B"/>
    <w:rsid w:val="00D04307"/>
    <w:rsid w:val="00D10806"/>
    <w:rsid w:val="00D12D8C"/>
    <w:rsid w:val="00D147D4"/>
    <w:rsid w:val="00D213CF"/>
    <w:rsid w:val="00D21950"/>
    <w:rsid w:val="00D24B30"/>
    <w:rsid w:val="00D34428"/>
    <w:rsid w:val="00D3762B"/>
    <w:rsid w:val="00D37FE4"/>
    <w:rsid w:val="00D41FFA"/>
    <w:rsid w:val="00D43BC3"/>
    <w:rsid w:val="00D45E83"/>
    <w:rsid w:val="00D50748"/>
    <w:rsid w:val="00D52DA7"/>
    <w:rsid w:val="00D642B5"/>
    <w:rsid w:val="00D655FC"/>
    <w:rsid w:val="00D66BCE"/>
    <w:rsid w:val="00D70FD4"/>
    <w:rsid w:val="00D72337"/>
    <w:rsid w:val="00D73A40"/>
    <w:rsid w:val="00D75098"/>
    <w:rsid w:val="00D76F7F"/>
    <w:rsid w:val="00D90753"/>
    <w:rsid w:val="00D92F32"/>
    <w:rsid w:val="00DA3AD2"/>
    <w:rsid w:val="00DA4B73"/>
    <w:rsid w:val="00DA79C0"/>
    <w:rsid w:val="00DA7CE0"/>
    <w:rsid w:val="00DB3D4C"/>
    <w:rsid w:val="00DB727A"/>
    <w:rsid w:val="00DC0AB6"/>
    <w:rsid w:val="00DC1DED"/>
    <w:rsid w:val="00DC4FA2"/>
    <w:rsid w:val="00DD2663"/>
    <w:rsid w:val="00DD4633"/>
    <w:rsid w:val="00DE207D"/>
    <w:rsid w:val="00DF13E1"/>
    <w:rsid w:val="00E06120"/>
    <w:rsid w:val="00E10165"/>
    <w:rsid w:val="00E1461B"/>
    <w:rsid w:val="00E1567D"/>
    <w:rsid w:val="00E23BD5"/>
    <w:rsid w:val="00E2789E"/>
    <w:rsid w:val="00E27CBA"/>
    <w:rsid w:val="00E30471"/>
    <w:rsid w:val="00E316F7"/>
    <w:rsid w:val="00E341C3"/>
    <w:rsid w:val="00E37F97"/>
    <w:rsid w:val="00E400D0"/>
    <w:rsid w:val="00E4230C"/>
    <w:rsid w:val="00E43781"/>
    <w:rsid w:val="00E44CA8"/>
    <w:rsid w:val="00E45EDB"/>
    <w:rsid w:val="00E5580B"/>
    <w:rsid w:val="00E55897"/>
    <w:rsid w:val="00E646A4"/>
    <w:rsid w:val="00E64B12"/>
    <w:rsid w:val="00E71479"/>
    <w:rsid w:val="00E721AE"/>
    <w:rsid w:val="00E73DE7"/>
    <w:rsid w:val="00E76916"/>
    <w:rsid w:val="00E82B82"/>
    <w:rsid w:val="00E86DE0"/>
    <w:rsid w:val="00E92E98"/>
    <w:rsid w:val="00EA1ED2"/>
    <w:rsid w:val="00EA5A14"/>
    <w:rsid w:val="00EB093F"/>
    <w:rsid w:val="00EB502E"/>
    <w:rsid w:val="00EC3170"/>
    <w:rsid w:val="00EC40F3"/>
    <w:rsid w:val="00EC7B9B"/>
    <w:rsid w:val="00ED1710"/>
    <w:rsid w:val="00ED7F6E"/>
    <w:rsid w:val="00EE2433"/>
    <w:rsid w:val="00EE3F73"/>
    <w:rsid w:val="00EE7559"/>
    <w:rsid w:val="00EF73C7"/>
    <w:rsid w:val="00F00E32"/>
    <w:rsid w:val="00F01C89"/>
    <w:rsid w:val="00F028DB"/>
    <w:rsid w:val="00F05443"/>
    <w:rsid w:val="00F05933"/>
    <w:rsid w:val="00F138B1"/>
    <w:rsid w:val="00F377C3"/>
    <w:rsid w:val="00F41202"/>
    <w:rsid w:val="00F507A2"/>
    <w:rsid w:val="00F52EB8"/>
    <w:rsid w:val="00F53DE2"/>
    <w:rsid w:val="00F542A2"/>
    <w:rsid w:val="00F63E1E"/>
    <w:rsid w:val="00F659B4"/>
    <w:rsid w:val="00F7006C"/>
    <w:rsid w:val="00F75DAB"/>
    <w:rsid w:val="00F767C1"/>
    <w:rsid w:val="00F835C7"/>
    <w:rsid w:val="00F87572"/>
    <w:rsid w:val="00F8763F"/>
    <w:rsid w:val="00F91123"/>
    <w:rsid w:val="00F92DB1"/>
    <w:rsid w:val="00F93F72"/>
    <w:rsid w:val="00F94277"/>
    <w:rsid w:val="00F9595D"/>
    <w:rsid w:val="00FA045B"/>
    <w:rsid w:val="00FA0FD7"/>
    <w:rsid w:val="00FA33DC"/>
    <w:rsid w:val="00FA5466"/>
    <w:rsid w:val="00FB02B5"/>
    <w:rsid w:val="00FB3C0B"/>
    <w:rsid w:val="00FB5D9C"/>
    <w:rsid w:val="00FC12E1"/>
    <w:rsid w:val="00FC1EFE"/>
    <w:rsid w:val="00FC4663"/>
    <w:rsid w:val="00FC4B1C"/>
    <w:rsid w:val="00FC59ED"/>
    <w:rsid w:val="00FC7840"/>
    <w:rsid w:val="00FD61EB"/>
    <w:rsid w:val="00FD6E45"/>
    <w:rsid w:val="00FE15FA"/>
    <w:rsid w:val="00FE4FBD"/>
    <w:rsid w:val="00FF3A44"/>
    <w:rsid w:val="00FF4F5F"/>
    <w:rsid w:val="26C32037"/>
    <w:rsid w:val="4D1E6F28"/>
    <w:rsid w:val="5DBF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semiHidden="0" w:name="toc 4"/>
    <w:lsdException w:uiPriority="39" w:semiHidden="0" w:name="toc 5"/>
    <w:lsdException w:qFormat="1" w:uiPriority="39" w:semiHidden="0" w:name="toc 6"/>
    <w:lsdException w:uiPriority="39" w:name="toc 7"/>
    <w:lsdException w:uiPriority="39" w:name="toc 8"/>
    <w:lsdException w:uiPriority="39" w:name="toc 9"/>
    <w:lsdException w:unhideWhenUsed="0" w:uiPriority="0" w:name="Normal Indent"/>
    <w:lsdException w:uiPriority="99" w:name="footnote text"/>
    <w:lsdException w:qFormat="1"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59" w:semiHidden="0" w:name="Table Grid"/>
    <w:lsdException w:unhideWhenUsed="0" w:uiPriority="99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7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8"/>
    <w:qFormat/>
    <w:uiPriority w:val="0"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9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6">
    <w:name w:val="heading 5"/>
    <w:basedOn w:val="1"/>
    <w:next w:val="1"/>
    <w:link w:val="40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1"/>
    <w:unhideWhenUsed/>
    <w:qFormat/>
    <w:uiPriority w:val="0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30">
    <w:name w:val="Default Paragraph Font"/>
    <w:unhideWhenUsed/>
    <w:uiPriority w:val="1"/>
  </w:style>
  <w:style w:type="table" w:default="1" w:styleId="2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able of authorities"/>
    <w:basedOn w:val="1"/>
    <w:next w:val="1"/>
    <w:semiHidden/>
    <w:unhideWhenUsed/>
    <w:uiPriority w:val="99"/>
    <w:pPr>
      <w:spacing w:line="360" w:lineRule="auto"/>
      <w:ind w:left="420" w:leftChars="200"/>
    </w:pPr>
    <w:rPr>
      <w:sz w:val="24"/>
    </w:rPr>
  </w:style>
  <w:style w:type="paragraph" w:styleId="10">
    <w:name w:val="Normal Indent"/>
    <w:basedOn w:val="1"/>
    <w:semiHidden/>
    <w:uiPriority w:val="0"/>
    <w:pPr>
      <w:spacing w:line="360" w:lineRule="auto"/>
      <w:ind w:firstLine="420"/>
    </w:pPr>
    <w:rPr>
      <w:sz w:val="24"/>
      <w:szCs w:val="20"/>
    </w:rPr>
  </w:style>
  <w:style w:type="paragraph" w:styleId="11">
    <w:name w:val="caption"/>
    <w:basedOn w:val="1"/>
    <w:next w:val="1"/>
    <w:unhideWhenUsed/>
    <w:qFormat/>
    <w:uiPriority w:val="0"/>
    <w:pPr>
      <w:spacing w:line="360" w:lineRule="auto"/>
    </w:pPr>
    <w:rPr>
      <w:rFonts w:ascii="Cambria" w:hAnsi="Cambria" w:eastAsia="黑体"/>
      <w:sz w:val="20"/>
      <w:szCs w:val="20"/>
    </w:rPr>
  </w:style>
  <w:style w:type="paragraph" w:styleId="12">
    <w:name w:val="Document Map"/>
    <w:basedOn w:val="1"/>
    <w:link w:val="53"/>
    <w:semiHidden/>
    <w:unhideWhenUsed/>
    <w:qFormat/>
    <w:uiPriority w:val="99"/>
    <w:pPr>
      <w:spacing w:line="360" w:lineRule="auto"/>
    </w:pPr>
    <w:rPr>
      <w:rFonts w:ascii="宋体"/>
      <w:sz w:val="18"/>
      <w:szCs w:val="18"/>
    </w:rPr>
  </w:style>
  <w:style w:type="paragraph" w:styleId="13">
    <w:name w:val="annotation text"/>
    <w:basedOn w:val="1"/>
    <w:link w:val="61"/>
    <w:semiHidden/>
    <w:unhideWhenUsed/>
    <w:qFormat/>
    <w:uiPriority w:val="99"/>
    <w:pPr>
      <w:jc w:val="left"/>
    </w:pPr>
  </w:style>
  <w:style w:type="paragraph" w:styleId="14">
    <w:name w:val="toc 5"/>
    <w:basedOn w:val="1"/>
    <w:next w:val="1"/>
    <w:autoRedefine/>
    <w:unhideWhenUsed/>
    <w:uiPriority w:val="39"/>
    <w:pPr>
      <w:ind w:left="1680" w:leftChars="800"/>
    </w:pPr>
  </w:style>
  <w:style w:type="paragraph" w:styleId="15">
    <w:name w:val="toc 3"/>
    <w:basedOn w:val="1"/>
    <w:next w:val="1"/>
    <w:qFormat/>
    <w:uiPriority w:val="39"/>
    <w:pPr>
      <w:ind w:left="840" w:leftChars="400"/>
    </w:pPr>
  </w:style>
  <w:style w:type="paragraph" w:styleId="16">
    <w:name w:val="Date"/>
    <w:basedOn w:val="1"/>
    <w:next w:val="1"/>
    <w:link w:val="58"/>
    <w:semiHidden/>
    <w:unhideWhenUsed/>
    <w:uiPriority w:val="99"/>
    <w:pPr>
      <w:spacing w:line="360" w:lineRule="auto"/>
      <w:ind w:left="100" w:leftChars="2500"/>
    </w:pPr>
    <w:rPr>
      <w:sz w:val="24"/>
    </w:rPr>
  </w:style>
  <w:style w:type="paragraph" w:styleId="17">
    <w:name w:val="Balloon Text"/>
    <w:basedOn w:val="1"/>
    <w:link w:val="48"/>
    <w:semiHidden/>
    <w:unhideWhenUsed/>
    <w:uiPriority w:val="99"/>
    <w:rPr>
      <w:sz w:val="16"/>
      <w:szCs w:val="16"/>
    </w:rPr>
  </w:style>
  <w:style w:type="paragraph" w:styleId="18">
    <w:name w:val="footer"/>
    <w:basedOn w:val="1"/>
    <w:link w:val="43"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9">
    <w:name w:val="header"/>
    <w:basedOn w:val="1"/>
    <w:link w:val="44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autoRedefine/>
    <w:unhideWhenUsed/>
    <w:qFormat/>
    <w:uiPriority w:val="39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styleId="21">
    <w:name w:val="toc 4"/>
    <w:basedOn w:val="1"/>
    <w:next w:val="1"/>
    <w:autoRedefine/>
    <w:unhideWhenUsed/>
    <w:uiPriority w:val="39"/>
    <w:pPr>
      <w:ind w:left="1260" w:leftChars="600"/>
    </w:pPr>
  </w:style>
  <w:style w:type="paragraph" w:styleId="22">
    <w:name w:val="Subtitle"/>
    <w:basedOn w:val="1"/>
    <w:next w:val="1"/>
    <w:link w:val="50"/>
    <w:qFormat/>
    <w:uiPriority w:val="0"/>
    <w:pPr>
      <w:spacing w:before="240" w:after="60" w:line="312" w:lineRule="auto"/>
      <w:jc w:val="left"/>
      <w:outlineLvl w:val="1"/>
    </w:pPr>
    <w:rPr>
      <w:rFonts w:ascii="Cambria" w:hAnsi="Cambria" w:eastAsia="仿宋_GB2312"/>
      <w:b/>
      <w:bCs/>
      <w:color w:val="002060"/>
      <w:kern w:val="28"/>
      <w:sz w:val="32"/>
      <w:szCs w:val="32"/>
    </w:rPr>
  </w:style>
  <w:style w:type="paragraph" w:styleId="23">
    <w:name w:val="toc 6"/>
    <w:basedOn w:val="1"/>
    <w:next w:val="1"/>
    <w:autoRedefine/>
    <w:unhideWhenUsed/>
    <w:qFormat/>
    <w:uiPriority w:val="39"/>
    <w:pPr>
      <w:ind w:left="2100" w:leftChars="1000"/>
    </w:pPr>
  </w:style>
  <w:style w:type="paragraph" w:styleId="24">
    <w:name w:val="toc 2"/>
    <w:basedOn w:val="1"/>
    <w:next w:val="1"/>
    <w:qFormat/>
    <w:uiPriority w:val="39"/>
    <w:pPr>
      <w:ind w:left="420" w:leftChars="200"/>
    </w:pPr>
  </w:style>
  <w:style w:type="paragraph" w:styleId="2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360" w:lineRule="auto"/>
      <w:jc w:val="left"/>
    </w:pPr>
    <w:rPr>
      <w:rFonts w:ascii="宋体" w:hAnsi="宋体" w:cs="宋体"/>
      <w:kern w:val="0"/>
      <w:sz w:val="24"/>
    </w:rPr>
  </w:style>
  <w:style w:type="paragraph" w:styleId="26">
    <w:name w:val="Title"/>
    <w:basedOn w:val="1"/>
    <w:next w:val="1"/>
    <w:link w:val="49"/>
    <w:qFormat/>
    <w:uiPriority w:val="0"/>
    <w:pPr>
      <w:spacing w:before="240" w:after="60" w:line="360" w:lineRule="auto"/>
      <w:jc w:val="center"/>
      <w:outlineLvl w:val="0"/>
    </w:pPr>
    <w:rPr>
      <w:rFonts w:ascii="Cambria" w:hAnsi="Cambria"/>
      <w:b/>
      <w:bCs/>
      <w:sz w:val="52"/>
      <w:szCs w:val="32"/>
    </w:rPr>
  </w:style>
  <w:style w:type="paragraph" w:styleId="27">
    <w:name w:val="annotation subject"/>
    <w:basedOn w:val="13"/>
    <w:next w:val="13"/>
    <w:link w:val="62"/>
    <w:semiHidden/>
    <w:unhideWhenUsed/>
    <w:qFormat/>
    <w:uiPriority w:val="99"/>
    <w:rPr>
      <w:b/>
      <w:bCs/>
    </w:rPr>
  </w:style>
  <w:style w:type="table" w:styleId="29">
    <w:name w:val="Table Grid"/>
    <w:basedOn w:val="28"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qFormat/>
    <w:uiPriority w:val="22"/>
    <w:rPr>
      <w:b/>
      <w:bCs/>
    </w:rPr>
  </w:style>
  <w:style w:type="character" w:styleId="32">
    <w:name w:val="page number"/>
    <w:basedOn w:val="30"/>
    <w:uiPriority w:val="0"/>
  </w:style>
  <w:style w:type="character" w:styleId="33">
    <w:name w:val="Emphasis"/>
    <w:qFormat/>
    <w:uiPriority w:val="20"/>
    <w:rPr>
      <w:i/>
      <w:iCs/>
    </w:rPr>
  </w:style>
  <w:style w:type="character" w:styleId="34">
    <w:name w:val="Hyperlink"/>
    <w:basedOn w:val="30"/>
    <w:uiPriority w:val="99"/>
    <w:rPr>
      <w:color w:val="0000FF"/>
      <w:u w:val="single"/>
    </w:rPr>
  </w:style>
  <w:style w:type="character" w:styleId="35">
    <w:name w:val="annotation reference"/>
    <w:basedOn w:val="30"/>
    <w:semiHidden/>
    <w:unhideWhenUsed/>
    <w:uiPriority w:val="99"/>
    <w:rPr>
      <w:sz w:val="21"/>
      <w:szCs w:val="21"/>
    </w:rPr>
  </w:style>
  <w:style w:type="character" w:customStyle="1" w:styleId="36">
    <w:name w:val="标题 1 字符"/>
    <w:basedOn w:val="30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7">
    <w:name w:val="标题 2 字符"/>
    <w:basedOn w:val="30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8">
    <w:name w:val="标题 3 字符"/>
    <w:basedOn w:val="30"/>
    <w:link w:val="4"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39">
    <w:name w:val="标题 4 字符"/>
    <w:basedOn w:val="30"/>
    <w:link w:val="5"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40">
    <w:name w:val="标题 5 字符"/>
    <w:basedOn w:val="30"/>
    <w:link w:val="6"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41">
    <w:name w:val="标题 6 字符"/>
    <w:basedOn w:val="30"/>
    <w:link w:val="7"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42">
    <w:name w:val="标题 7 字符"/>
    <w:basedOn w:val="30"/>
    <w:link w:val="8"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3">
    <w:name w:val="页脚 字符"/>
    <w:basedOn w:val="30"/>
    <w:link w:val="18"/>
    <w:uiPriority w:val="99"/>
    <w:rPr>
      <w:sz w:val="18"/>
      <w:szCs w:val="18"/>
    </w:rPr>
  </w:style>
  <w:style w:type="character" w:customStyle="1" w:styleId="44">
    <w:name w:val="页眉 字符"/>
    <w:basedOn w:val="30"/>
    <w:link w:val="19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5">
    <w:name w:val="Footer Char1"/>
    <w:basedOn w:val="30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46">
    <w:name w:val="No Spacing"/>
    <w:link w:val="47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47">
    <w:name w:val="无间隔 字符"/>
    <w:basedOn w:val="30"/>
    <w:link w:val="46"/>
    <w:uiPriority w:val="1"/>
    <w:rPr>
      <w:rFonts w:ascii="Calibri" w:hAnsi="Calibri" w:eastAsia="宋体" w:cs="Times New Roman"/>
      <w:kern w:val="0"/>
      <w:sz w:val="22"/>
    </w:rPr>
  </w:style>
  <w:style w:type="character" w:customStyle="1" w:styleId="48">
    <w:name w:val="批注框文本 字符"/>
    <w:basedOn w:val="30"/>
    <w:link w:val="17"/>
    <w:semiHidden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49">
    <w:name w:val="标题 字符"/>
    <w:basedOn w:val="30"/>
    <w:link w:val="26"/>
    <w:uiPriority w:val="0"/>
    <w:rPr>
      <w:rFonts w:ascii="Cambria" w:hAnsi="Cambria" w:eastAsia="宋体" w:cs="Times New Roman"/>
      <w:b/>
      <w:bCs/>
      <w:sz w:val="52"/>
      <w:szCs w:val="32"/>
    </w:rPr>
  </w:style>
  <w:style w:type="character" w:customStyle="1" w:styleId="50">
    <w:name w:val="副标题 字符"/>
    <w:basedOn w:val="30"/>
    <w:link w:val="22"/>
    <w:qFormat/>
    <w:uiPriority w:val="0"/>
    <w:rPr>
      <w:rFonts w:ascii="Cambria" w:hAnsi="Cambria" w:eastAsia="仿宋_GB2312" w:cs="Times New Roman"/>
      <w:b/>
      <w:bCs/>
      <w:color w:val="002060"/>
      <w:kern w:val="28"/>
      <w:sz w:val="32"/>
      <w:szCs w:val="32"/>
    </w:rPr>
  </w:style>
  <w:style w:type="paragraph" w:styleId="51">
    <w:name w:val="List Paragraph"/>
    <w:basedOn w:val="1"/>
    <w:qFormat/>
    <w:uiPriority w:val="34"/>
    <w:pPr>
      <w:spacing w:line="360" w:lineRule="auto"/>
      <w:ind w:firstLine="420" w:firstLineChars="200"/>
    </w:pPr>
    <w:rPr>
      <w:sz w:val="24"/>
    </w:rPr>
  </w:style>
  <w:style w:type="paragraph" w:customStyle="1" w:styleId="52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ind w:right="100" w:rightChars="10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53">
    <w:name w:val="文档结构图 字符"/>
    <w:basedOn w:val="30"/>
    <w:link w:val="12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54">
    <w:name w:val="Intense Emphasis"/>
    <w:qFormat/>
    <w:uiPriority w:val="21"/>
    <w:rPr>
      <w:b/>
      <w:bCs/>
      <w:i/>
      <w:iCs/>
      <w:color w:val="4F81BD"/>
    </w:rPr>
  </w:style>
  <w:style w:type="character" w:customStyle="1" w:styleId="55">
    <w:name w:val="Subtle Emphasis"/>
    <w:qFormat/>
    <w:uiPriority w:val="19"/>
    <w:rPr>
      <w:i/>
      <w:iCs/>
      <w:color w:val="808080"/>
    </w:rPr>
  </w:style>
  <w:style w:type="paragraph" w:styleId="56">
    <w:name w:val="Quote"/>
    <w:basedOn w:val="1"/>
    <w:next w:val="1"/>
    <w:link w:val="57"/>
    <w:qFormat/>
    <w:uiPriority w:val="29"/>
    <w:pPr>
      <w:spacing w:line="360" w:lineRule="auto"/>
    </w:pPr>
    <w:rPr>
      <w:i/>
      <w:iCs/>
      <w:color w:val="000000"/>
      <w:sz w:val="24"/>
    </w:rPr>
  </w:style>
  <w:style w:type="character" w:customStyle="1" w:styleId="57">
    <w:name w:val="引用 字符"/>
    <w:basedOn w:val="30"/>
    <w:link w:val="56"/>
    <w:qFormat/>
    <w:uiPriority w:val="29"/>
    <w:rPr>
      <w:rFonts w:ascii="Times New Roman" w:hAnsi="Times New Roman" w:eastAsia="宋体" w:cs="Times New Roman"/>
      <w:i/>
      <w:iCs/>
      <w:color w:val="000000"/>
      <w:sz w:val="24"/>
      <w:szCs w:val="24"/>
    </w:rPr>
  </w:style>
  <w:style w:type="character" w:customStyle="1" w:styleId="58">
    <w:name w:val="日期 字符"/>
    <w:basedOn w:val="30"/>
    <w:link w:val="16"/>
    <w:semiHidden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59">
    <w:name w:val="样式 左侧:  2 字符 首行缩进:  2 字符 Char"/>
    <w:basedOn w:val="30"/>
    <w:link w:val="60"/>
    <w:locked/>
    <w:uiPriority w:val="0"/>
    <w:rPr>
      <w:rFonts w:ascii="Verdana" w:hAnsi="Verdana" w:cs="宋体"/>
    </w:rPr>
  </w:style>
  <w:style w:type="paragraph" w:customStyle="1" w:styleId="60">
    <w:name w:val="样式 左侧:  2 字符 首行缩进:  2 字符"/>
    <w:basedOn w:val="1"/>
    <w:link w:val="59"/>
    <w:uiPriority w:val="0"/>
    <w:pPr>
      <w:ind w:left="200" w:leftChars="200" w:firstLine="200" w:firstLineChars="200"/>
    </w:pPr>
    <w:rPr>
      <w:rFonts w:ascii="Verdana" w:hAnsi="Verdana" w:cs="宋体" w:eastAsiaTheme="minorEastAsia"/>
      <w:szCs w:val="22"/>
    </w:rPr>
  </w:style>
  <w:style w:type="character" w:customStyle="1" w:styleId="61">
    <w:name w:val="批注文字 字符"/>
    <w:basedOn w:val="30"/>
    <w:link w:val="13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62">
    <w:name w:val="批注主题 字符"/>
    <w:basedOn w:val="61"/>
    <w:link w:val="27"/>
    <w:semiHidden/>
    <w:qFormat/>
    <w:uiPriority w:val="99"/>
    <w:rPr>
      <w:rFonts w:ascii="Times New Roman" w:hAnsi="Times New Roman" w:eastAsia="宋体" w:cs="Times New Roman"/>
      <w:b/>
      <w:bCs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7474DC-476D-49B6-AB1B-2F5C001894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Oracle Corporation</Company>
  <Pages>13</Pages>
  <Words>509</Words>
  <Characters>2907</Characters>
  <Lines>24</Lines>
  <Paragraphs>6</Paragraphs>
  <TotalTime>43</TotalTime>
  <ScaleCrop>false</ScaleCrop>
  <LinksUpToDate>false</LinksUpToDate>
  <CharactersWithSpaces>3410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2015-08-25T13:52:00Z</dcterms:created>
  <dc:creator>数据智能体项目组</dc:creator>
  <cp:lastModifiedBy>Administrator</cp:lastModifiedBy>
  <cp:lastPrinted>2012-04-25T02:49:00Z</cp:lastPrinted>
  <dcterms:modified xsi:type="dcterms:W3CDTF">2026-06-22T07:52:02Z</dcterms:modified>
  <cp:revision>20</cp:revision>
  <dc:title>数据智能体服务系统项目需求说明</dc:title>
  <dc:subject>项目需求说明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4C0CDFE57B7C40D99A6FF18FFE39CA8D_12</vt:lpwstr>
  </property>
</Properties>
</file>