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B2545"/>
          <w:sz w:val="40"/>
        </w:rPr>
        <w:t>《数据智能体服务系统》小组分工与贡献说明</w:t>
      </w:r>
    </w:p>
    <w:p>
      <w:pPr>
        <w:jc w:val="center"/>
      </w:pPr>
      <w:r>
        <w:rPr>
          <w:rFonts w:ascii="Microsoft YaHei" w:hAnsi="Microsoft YaHei" w:eastAsia="Microsoft YaHei"/>
          <w:color w:val="5E6B7A"/>
          <w:sz w:val="21"/>
        </w:rPr>
        <w:t>按贡献值降序排列｜最高贡献者兼任前端负责人｜适用于项目答辩说明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8E2EF"/>
              <w:left w:val="single" w:sz="8" w:space="0" w:color="D8E2EF"/>
              <w:bottom w:val="single" w:sz="8" w:space="0" w:color="D8E2EF"/>
              <w:right w:val="single" w:sz="8" w:space="0" w:color="D8E2EF"/>
            </w:tcBorders>
            <w:vAlign w:val="center"/>
            <w:shd w:fill="EAF4FF"/>
          </w:tcPr>
          <w:p>
            <w:r>
              <w:rPr>
                <w:rFonts w:ascii="Microsoft YaHei" w:hAnsi="Microsoft YaHei" w:eastAsia="Microsoft YaHei"/>
                <w:b/>
                <w:color w:val="2E74B5"/>
                <w:sz w:val="22"/>
              </w:rPr>
              <w:t>分工原则</w:t>
            </w:r>
            <w:r>
              <w:br/>
            </w:r>
            <w:r>
              <w:rPr>
                <w:rFonts w:ascii="Microsoft YaHei" w:hAnsi="Microsoft YaHei" w:eastAsia="Microsoft YaHei"/>
                <w:color w:val="0B2545"/>
                <w:sz w:val="21"/>
              </w:rPr>
              <w:t>本分工按照项目核心复杂度、代码实现量、联调工作量和答辩讲解压力综合划分。贡献度用于说明本次项目承担比例，不代表个人能力高低；贡献度最低成员仍承担测试、文档和演示保障等交付闭环工作。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 w:val="0"/>
        </w:rPr>
        <w:t>一、贡献值与职责总览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650"/>
        <w:gridCol w:w="1100"/>
        <w:gridCol w:w="900"/>
        <w:gridCol w:w="2450"/>
        <w:gridCol w:w="4260"/>
      </w:tblGrid>
      <w:tr>
        <w:tc>
          <w:tcPr>
            <w:tcW w:type="dxa" w:w="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8E2EF"/>
              <w:left w:val="single" w:sz="8" w:space="0" w:color="D8E2EF"/>
              <w:bottom w:val="single" w:sz="8" w:space="0" w:color="D8E2EF"/>
              <w:right w:val="single" w:sz="8" w:space="0" w:color="D8E2E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排名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8E2EF"/>
              <w:left w:val="single" w:sz="8" w:space="0" w:color="D8E2EF"/>
              <w:bottom w:val="single" w:sz="8" w:space="0" w:color="D8E2EF"/>
              <w:right w:val="single" w:sz="8" w:space="0" w:color="D8E2E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成员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8E2EF"/>
              <w:left w:val="single" w:sz="8" w:space="0" w:color="D8E2EF"/>
              <w:bottom w:val="single" w:sz="8" w:space="0" w:color="D8E2EF"/>
              <w:right w:val="single" w:sz="8" w:space="0" w:color="D8E2E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贡献值</w:t>
            </w:r>
          </w:p>
        </w:tc>
        <w:tc>
          <w:tcPr>
            <w:tcW w:type="dxa" w:w="2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8E2EF"/>
              <w:left w:val="single" w:sz="8" w:space="0" w:color="D8E2EF"/>
              <w:bottom w:val="single" w:sz="8" w:space="0" w:color="D8E2EF"/>
              <w:right w:val="single" w:sz="8" w:space="0" w:color="D8E2E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角色定位</w:t>
            </w:r>
          </w:p>
        </w:tc>
        <w:tc>
          <w:tcPr>
            <w:tcW w:type="dxa" w:w="4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8E2EF"/>
              <w:left w:val="single" w:sz="8" w:space="0" w:color="D8E2EF"/>
              <w:bottom w:val="single" w:sz="8" w:space="0" w:color="D8E2EF"/>
              <w:right w:val="single" w:sz="8" w:space="0" w:color="D8E2E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负责范围</w:t>
            </w:r>
          </w:p>
        </w:tc>
      </w:tr>
      <w:tr>
        <w:tc>
          <w:tcPr>
            <w:tcW w:type="dxa" w:w="650"/>
            <w:shd w:fill="EAF8F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8E2EF"/>
              <w:left w:val="single" w:sz="8" w:space="0" w:color="D8E2EF"/>
              <w:bottom w:val="single" w:sz="8" w:space="0" w:color="D8E2EF"/>
              <w:right w:val="single" w:sz="8" w:space="0" w:color="D8E2E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20"/>
              </w:rPr>
              <w:t>1</w:t>
            </w:r>
          </w:p>
        </w:tc>
        <w:tc>
          <w:tcPr>
            <w:tcW w:type="dxa" w:w="1100"/>
            <w:shd w:fill="EAF8F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8E2EF"/>
              <w:left w:val="single" w:sz="8" w:space="0" w:color="D8E2EF"/>
              <w:bottom w:val="single" w:sz="8" w:space="0" w:color="D8E2EF"/>
              <w:right w:val="single" w:sz="8" w:space="0" w:color="D8E2E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20"/>
              </w:rPr>
              <w:t>成员A</w:t>
            </w:r>
          </w:p>
        </w:tc>
        <w:tc>
          <w:tcPr>
            <w:tcW w:type="dxa" w:w="900"/>
            <w:shd w:fill="EAF8F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8E2EF"/>
              <w:left w:val="single" w:sz="8" w:space="0" w:color="D8E2EF"/>
              <w:bottom w:val="single" w:sz="8" w:space="0" w:color="D8E2EF"/>
              <w:right w:val="single" w:sz="8" w:space="0" w:color="D8E2E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20"/>
              </w:rPr>
              <w:t>35%</w:t>
            </w:r>
          </w:p>
        </w:tc>
        <w:tc>
          <w:tcPr>
            <w:tcW w:type="dxa" w:w="2450"/>
            <w:shd w:fill="EAF8F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8E2EF"/>
              <w:left w:val="single" w:sz="8" w:space="0" w:color="D8E2EF"/>
              <w:bottom w:val="single" w:sz="8" w:space="0" w:color="D8E2EF"/>
              <w:right w:val="single" w:sz="8" w:space="0" w:color="D8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20"/>
              </w:rPr>
              <w:t>贡献度最高｜项目负责人｜前端负责人｜智能分析核心</w:t>
            </w:r>
          </w:p>
        </w:tc>
        <w:tc>
          <w:tcPr>
            <w:tcW w:type="dxa" w:w="4260"/>
            <w:shd w:fill="EAF8F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8E2EF"/>
              <w:left w:val="single" w:sz="8" w:space="0" w:color="D8E2EF"/>
              <w:bottom w:val="single" w:sz="8" w:space="0" w:color="D8E2EF"/>
              <w:right w:val="single" w:sz="8" w:space="0" w:color="D8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20"/>
              </w:rPr>
              <w:t>总体架构、前端主界面、智能分析链路、SQL 生成与修复、多轮会话、系统配置与登录权限。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8E2EF"/>
              <w:left w:val="single" w:sz="8" w:space="0" w:color="D8E2EF"/>
              <w:bottom w:val="single" w:sz="8" w:space="0" w:color="D8E2EF"/>
              <w:right w:val="single" w:sz="8" w:space="0" w:color="D8E2E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20"/>
              </w:rPr>
              <w:t>2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8E2EF"/>
              <w:left w:val="single" w:sz="8" w:space="0" w:color="D8E2EF"/>
              <w:bottom w:val="single" w:sz="8" w:space="0" w:color="D8E2EF"/>
              <w:right w:val="single" w:sz="8" w:space="0" w:color="D8E2E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20"/>
              </w:rPr>
              <w:t>成员B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8E2EF"/>
              <w:left w:val="single" w:sz="8" w:space="0" w:color="D8E2EF"/>
              <w:bottom w:val="single" w:sz="8" w:space="0" w:color="D8E2EF"/>
              <w:right w:val="single" w:sz="8" w:space="0" w:color="D8E2E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20"/>
              </w:rPr>
              <w:t>28%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8E2EF"/>
              <w:left w:val="single" w:sz="8" w:space="0" w:color="D8E2EF"/>
              <w:bottom w:val="single" w:sz="8" w:space="0" w:color="D8E2EF"/>
              <w:right w:val="single" w:sz="8" w:space="0" w:color="D8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20"/>
              </w:rPr>
              <w:t>数据源与数据库负责人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8E2EF"/>
              <w:left w:val="single" w:sz="8" w:space="0" w:color="D8E2EF"/>
              <w:bottom w:val="single" w:sz="8" w:space="0" w:color="D8E2EF"/>
              <w:right w:val="single" w:sz="8" w:space="0" w:color="D8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20"/>
              </w:rPr>
              <w:t>CSV/Excel/MySQL 数据接入、数据集管理、字段元数据、数据预览、数据质量检查、权限标识与 Qdrant 服务部署。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8E2EF"/>
              <w:left w:val="single" w:sz="8" w:space="0" w:color="D8E2EF"/>
              <w:bottom w:val="single" w:sz="8" w:space="0" w:color="D8E2EF"/>
              <w:right w:val="single" w:sz="8" w:space="0" w:color="D8E2E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20"/>
              </w:rPr>
              <w:t>3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8E2EF"/>
              <w:left w:val="single" w:sz="8" w:space="0" w:color="D8E2EF"/>
              <w:bottom w:val="single" w:sz="8" w:space="0" w:color="D8E2EF"/>
              <w:right w:val="single" w:sz="8" w:space="0" w:color="D8E2E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20"/>
              </w:rPr>
              <w:t>成员C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8E2EF"/>
              <w:left w:val="single" w:sz="8" w:space="0" w:color="D8E2EF"/>
              <w:bottom w:val="single" w:sz="8" w:space="0" w:color="D8E2EF"/>
              <w:right w:val="single" w:sz="8" w:space="0" w:color="D8E2E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20"/>
              </w:rPr>
              <w:t>22%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8E2EF"/>
              <w:left w:val="single" w:sz="8" w:space="0" w:color="D8E2EF"/>
              <w:bottom w:val="single" w:sz="8" w:space="0" w:color="D8E2EF"/>
              <w:right w:val="single" w:sz="8" w:space="0" w:color="D8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20"/>
              </w:rPr>
              <w:t>知识库、RAG 与报告导出负责人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8E2EF"/>
              <w:left w:val="single" w:sz="8" w:space="0" w:color="D8E2EF"/>
              <w:bottom w:val="single" w:sz="8" w:space="0" w:color="D8E2EF"/>
              <w:right w:val="single" w:sz="8" w:space="0" w:color="D8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20"/>
              </w:rPr>
              <w:t>Word/PDF/MD/TXT 文档解析、知识片段管理、Embedding 同步、混合检索、知识问答、报告导出和多图表报告。</w:t>
            </w:r>
          </w:p>
        </w:tc>
      </w:tr>
      <w:tr>
        <w:tc>
          <w:tcPr>
            <w:tcW w:type="dxa" w:w="650"/>
            <w:shd w:fill="FFF7E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8E2EF"/>
              <w:left w:val="single" w:sz="8" w:space="0" w:color="D8E2EF"/>
              <w:bottom w:val="single" w:sz="8" w:space="0" w:color="D8E2EF"/>
              <w:right w:val="single" w:sz="8" w:space="0" w:color="D8E2E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20"/>
              </w:rPr>
              <w:t>4</w:t>
            </w:r>
          </w:p>
        </w:tc>
        <w:tc>
          <w:tcPr>
            <w:tcW w:type="dxa" w:w="1100"/>
            <w:shd w:fill="FFF7E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8E2EF"/>
              <w:left w:val="single" w:sz="8" w:space="0" w:color="D8E2EF"/>
              <w:bottom w:val="single" w:sz="8" w:space="0" w:color="D8E2EF"/>
              <w:right w:val="single" w:sz="8" w:space="0" w:color="D8E2E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20"/>
              </w:rPr>
              <w:t>成员D</w:t>
            </w:r>
          </w:p>
        </w:tc>
        <w:tc>
          <w:tcPr>
            <w:tcW w:type="dxa" w:w="900"/>
            <w:shd w:fill="FFF7E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8E2EF"/>
              <w:left w:val="single" w:sz="8" w:space="0" w:color="D8E2EF"/>
              <w:bottom w:val="single" w:sz="8" w:space="0" w:color="D8E2EF"/>
              <w:right w:val="single" w:sz="8" w:space="0" w:color="D8E2E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20"/>
              </w:rPr>
              <w:t>15%</w:t>
            </w:r>
          </w:p>
        </w:tc>
        <w:tc>
          <w:tcPr>
            <w:tcW w:type="dxa" w:w="2450"/>
            <w:shd w:fill="FFF7E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8E2EF"/>
              <w:left w:val="single" w:sz="8" w:space="0" w:color="D8E2EF"/>
              <w:bottom w:val="single" w:sz="8" w:space="0" w:color="D8E2EF"/>
              <w:right w:val="single" w:sz="8" w:space="0" w:color="D8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20"/>
              </w:rPr>
              <w:t>贡献度最低｜测试验收｜文档与演示支持</w:t>
            </w:r>
          </w:p>
        </w:tc>
        <w:tc>
          <w:tcPr>
            <w:tcW w:type="dxa" w:w="4260"/>
            <w:shd w:fill="FFF7E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8E2EF"/>
              <w:left w:val="single" w:sz="8" w:space="0" w:color="D8E2EF"/>
              <w:bottom w:val="single" w:sz="8" w:space="0" w:color="D8E2EF"/>
              <w:right w:val="single" w:sz="8" w:space="0" w:color="D8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20"/>
              </w:rPr>
              <w:t>功能测试、异常复现、演示数据准备、需求/概要/答辩文档整理、部署说明、操作手册和最终验收检查。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 w:val="0"/>
        </w:rPr>
        <w:t>二、每位成员负责功能与答辩说明</w:t>
      </w:r>
    </w:p>
    <w:p>
      <w:pPr>
        <w:pStyle w:val="Heading2"/>
      </w:pPr>
      <w:r>
        <w:rPr>
          <w:rFonts w:ascii="Microsoft YaHei" w:hAnsi="Microsoft YaHei" w:eastAsia="Microsoft YaHei"/>
          <w:b w:val="0"/>
        </w:rPr>
        <w:t>成员A｜35%（贡献度最高）｜项目负责人 / 前端负责人 / 智能分析核心负责人</w:t>
      </w:r>
    </w:p>
    <w:p>
      <w:r>
        <w:rPr>
          <w:rFonts w:ascii="Microsoft YaHei" w:hAnsi="Microsoft YaHei" w:eastAsia="Microsoft YaHei"/>
          <w:b/>
          <w:color w:val="2E74B5"/>
        </w:rPr>
        <w:t>负责功能：</w:t>
      </w:r>
      <w:r>
        <w:rPr>
          <w:rFonts w:ascii="Microsoft YaHei" w:hAnsi="Microsoft YaHei" w:eastAsia="Microsoft YaHei"/>
          <w:color w:val="0B2545"/>
        </w:rPr>
        <w:t>整体架构设计；前端主界面与交互；智能分析 Agent；SQL 生成与自动修复；多轮会话与历史记录；登录权限与系统配置。</w:t>
      </w:r>
    </w:p>
    <w:p>
      <w:r>
        <w:rPr>
          <w:rFonts w:ascii="Microsoft YaHei" w:hAnsi="Microsoft YaHei" w:eastAsia="Microsoft YaHei"/>
          <w:b/>
          <w:color w:val="2E74B5"/>
        </w:rPr>
        <w:t>实现说明：</w:t>
      </w:r>
      <w:r>
        <w:rPr>
          <w:rFonts w:ascii="Microsoft YaHei" w:hAnsi="Microsoft YaHei" w:eastAsia="Microsoft YaHei"/>
          <w:color w:val="0B2545"/>
        </w:rPr>
        <w:t>该成员承担系统最核心的“用户问题到分析结果”的闭环：前端接收问题和文件，后端识别意图、读取数据源、生成 SQL 或文档分析任务，再把图表、结论和报告返回给前端展示。同时负责页面布局、历史记录抽屉、图表切换、错误提示等用户可见功能。</w:t>
      </w:r>
    </w:p>
    <w:p>
      <w:r>
        <w:rPr>
          <w:rFonts w:ascii="Microsoft YaHei" w:hAnsi="Microsoft YaHei" w:eastAsia="Microsoft YaHei"/>
          <w:b/>
          <w:color w:val="2E74B5"/>
        </w:rPr>
        <w:t>答辩讲法：</w:t>
      </w:r>
      <w:r>
        <w:rPr>
          <w:rFonts w:ascii="Microsoft YaHei" w:hAnsi="Microsoft YaHei" w:eastAsia="Microsoft YaHei"/>
          <w:color w:val="0B2545"/>
        </w:rPr>
        <w:t>答辩时可以重点说明：本系统不是普通报表，而是通过 LLM + 数据库 + 知识库组成智能体流程。前端由我负责统一体验，后端智能分析由我负责串联，让用户能用自然语言完成查询、图表和报告生成。</w:t>
      </w:r>
    </w:p>
    <w:p>
      <w:pPr>
        <w:pStyle w:val="Heading2"/>
      </w:pPr>
      <w:r>
        <w:rPr>
          <w:rFonts w:ascii="Microsoft YaHei" w:hAnsi="Microsoft YaHei" w:eastAsia="Microsoft YaHei"/>
          <w:b w:val="0"/>
        </w:rPr>
        <w:t>成员B｜28%｜数据源接入与数据库负责人</w:t>
      </w:r>
    </w:p>
    <w:p>
      <w:r>
        <w:rPr>
          <w:rFonts w:ascii="Microsoft YaHei" w:hAnsi="Microsoft YaHei" w:eastAsia="Microsoft YaHei"/>
          <w:b/>
          <w:color w:val="2E74B5"/>
        </w:rPr>
        <w:t>负责功能：</w:t>
      </w:r>
      <w:r>
        <w:rPr>
          <w:rFonts w:ascii="Microsoft YaHei" w:hAnsi="Microsoft YaHei" w:eastAsia="Microsoft YaHei"/>
          <w:color w:val="0B2545"/>
        </w:rPr>
        <w:t>CSV/Excel 文件上传；MySQL 数据源连接；自动建表与字段清洗；数据预览；数据质量检查；Qdrant 向量服务部署支持。</w:t>
      </w:r>
    </w:p>
    <w:p>
      <w:r>
        <w:rPr>
          <w:rFonts w:ascii="Microsoft YaHei" w:hAnsi="Microsoft YaHei" w:eastAsia="Microsoft YaHei"/>
          <w:b/>
          <w:color w:val="2E74B5"/>
        </w:rPr>
        <w:t>实现说明：</w:t>
      </w:r>
      <w:r>
        <w:rPr>
          <w:rFonts w:ascii="Microsoft YaHei" w:hAnsi="Microsoft YaHei" w:eastAsia="Microsoft YaHei"/>
          <w:color w:val="0B2545"/>
        </w:rPr>
        <w:t>该成员负责把外部数据变成系统可分析的数据集。文件上传后会进行编码识别、字段清理、元数据提取和预览；MySQL 数据源通过连接配置导入；数据质量模块会记录空值、重复值、异常风险等信息，为后续智能分析减少脏数据影响。</w:t>
      </w:r>
    </w:p>
    <w:p>
      <w:r>
        <w:rPr>
          <w:rFonts w:ascii="Microsoft YaHei" w:hAnsi="Microsoft YaHei" w:eastAsia="Microsoft YaHei"/>
          <w:b/>
          <w:color w:val="2E74B5"/>
        </w:rPr>
        <w:t>答辩讲法：</w:t>
      </w:r>
      <w:r>
        <w:rPr>
          <w:rFonts w:ascii="Microsoft YaHei" w:hAnsi="Microsoft YaHei" w:eastAsia="Microsoft YaHei"/>
          <w:color w:val="0B2545"/>
        </w:rPr>
        <w:t>答辩时可以重点说明：系统支持企业常见数据源接入，数据进入系统后会形成统一的数据目录和字段元数据，智能体分析时不是盲查，而是基于已管理的数据源和权限进行查询。</w:t>
      </w:r>
    </w:p>
    <w:p>
      <w:pPr>
        <w:pStyle w:val="Heading2"/>
      </w:pPr>
      <w:r>
        <w:rPr>
          <w:rFonts w:ascii="Microsoft YaHei" w:hAnsi="Microsoft YaHei" w:eastAsia="Microsoft YaHei"/>
          <w:b w:val="0"/>
        </w:rPr>
        <w:t>成员C｜22%｜业务知识库、RAG 与报告导出负责人</w:t>
      </w:r>
    </w:p>
    <w:p>
      <w:r>
        <w:rPr>
          <w:rFonts w:ascii="Microsoft YaHei" w:hAnsi="Microsoft YaHei" w:eastAsia="Microsoft YaHei"/>
          <w:b/>
          <w:color w:val="2E74B5"/>
        </w:rPr>
        <w:t>负责功能：</w:t>
      </w:r>
      <w:r>
        <w:rPr>
          <w:rFonts w:ascii="Microsoft YaHei" w:hAnsi="Microsoft YaHei" w:eastAsia="Microsoft YaHei"/>
          <w:color w:val="0B2545"/>
        </w:rPr>
        <w:t>业务知识片段管理；Word/PDF/Markdown/TXT 文档解析；Embedding 同步；混合检索与知识问答；报告导出 PDF/Word/MD；多图表报告生成。</w:t>
      </w:r>
    </w:p>
    <w:p>
      <w:r>
        <w:rPr>
          <w:rFonts w:ascii="Microsoft YaHei" w:hAnsi="Microsoft YaHei" w:eastAsia="Microsoft YaHei"/>
          <w:b/>
          <w:color w:val="2E74B5"/>
        </w:rPr>
        <w:t>实现说明：</w:t>
      </w:r>
      <w:r>
        <w:rPr>
          <w:rFonts w:ascii="Microsoft YaHei" w:hAnsi="Microsoft YaHei" w:eastAsia="Microsoft YaHei"/>
          <w:color w:val="0B2545"/>
        </w:rPr>
        <w:t>该成员负责让系统理解业务规则和文档内容。上传文档后会解析文本、智能分段、同步向量索引；问答时结合语义检索、关键词召回和标题匹配找到相关知识。报告导出模块把分析结论、图表和依据整理成可提交的文档。</w:t>
      </w:r>
    </w:p>
    <w:p>
      <w:r>
        <w:rPr>
          <w:rFonts w:ascii="Microsoft YaHei" w:hAnsi="Microsoft YaHei" w:eastAsia="Microsoft YaHei"/>
          <w:b/>
          <w:color w:val="2E74B5"/>
        </w:rPr>
        <w:t>答辩讲法：</w:t>
      </w:r>
      <w:r>
        <w:rPr>
          <w:rFonts w:ascii="Microsoft YaHei" w:hAnsi="Microsoft YaHei" w:eastAsia="Microsoft YaHei"/>
          <w:color w:val="0B2545"/>
        </w:rPr>
        <w:t>答辩时可以重点说明：知识库解决了模型不了解企业专有指标的问题，例如指标口径、业务规则、异常判定标准都可以通过知识库补充，使分析结果更贴近企业实际。</w:t>
      </w:r>
    </w:p>
    <w:p>
      <w:pPr>
        <w:pStyle w:val="Heading2"/>
      </w:pPr>
      <w:r>
        <w:rPr>
          <w:rFonts w:ascii="Microsoft YaHei" w:hAnsi="Microsoft YaHei" w:eastAsia="Microsoft YaHei"/>
          <w:b w:val="0"/>
        </w:rPr>
        <w:t>成员D｜15%（贡献度最低）｜测试验收、文档整理与演示部署支持</w:t>
      </w:r>
    </w:p>
    <w:p>
      <w:r>
        <w:rPr>
          <w:rFonts w:ascii="Microsoft YaHei" w:hAnsi="Microsoft YaHei" w:eastAsia="Microsoft YaHei"/>
          <w:b/>
          <w:color w:val="2E74B5"/>
        </w:rPr>
        <w:t>负责功能：</w:t>
      </w:r>
      <w:r>
        <w:rPr>
          <w:rFonts w:ascii="Microsoft YaHei" w:hAnsi="Microsoft YaHei" w:eastAsia="Microsoft YaHei"/>
          <w:color w:val="0B2545"/>
        </w:rPr>
        <w:t>测试用例设计；异常问题复现；演示数据准备；需求文档与概要设计整理；部署说明；答辩材料辅助。</w:t>
      </w:r>
    </w:p>
    <w:p>
      <w:r>
        <w:rPr>
          <w:rFonts w:ascii="Microsoft YaHei" w:hAnsi="Microsoft YaHei" w:eastAsia="Microsoft YaHei"/>
          <w:b/>
          <w:color w:val="2E74B5"/>
        </w:rPr>
        <w:t>实现说明：</w:t>
      </w:r>
      <w:r>
        <w:rPr>
          <w:rFonts w:ascii="Microsoft YaHei" w:hAnsi="Microsoft YaHei" w:eastAsia="Microsoft YaHei"/>
          <w:color w:val="0B2545"/>
        </w:rPr>
        <w:t>该成员主要承担交付保障工作：根据需求清单验证功能是否完成，记录上传失败、API 错误、数据库连接失败、图表不更新等问题，并协助整理答辩材料和部署步骤。虽然代码贡献相对较少，但保证了项目能够稳定演示和验收。</w:t>
      </w:r>
    </w:p>
    <w:p>
      <w:r>
        <w:rPr>
          <w:rFonts w:ascii="Microsoft YaHei" w:hAnsi="Microsoft YaHei" w:eastAsia="Microsoft YaHei"/>
          <w:b/>
          <w:color w:val="2E74B5"/>
        </w:rPr>
        <w:t>答辩讲法：</w:t>
      </w:r>
      <w:r>
        <w:rPr>
          <w:rFonts w:ascii="Microsoft YaHei" w:hAnsi="Microsoft YaHei" w:eastAsia="Microsoft YaHei"/>
          <w:color w:val="0B2545"/>
        </w:rPr>
        <w:t>答辩时可以重点说明：我负责从用户视角验证系统是否可用，包括上传、查询、报告导出、权限和异常提示等流程，确保系统不仅能写出来，也能跑起来、讲清楚、交付出去。</w:t>
      </w:r>
    </w:p>
    <w:p>
      <w:pPr>
        <w:pStyle w:val="Heading1"/>
      </w:pPr>
      <w:r>
        <w:rPr>
          <w:rFonts w:ascii="Microsoft YaHei" w:hAnsi="Microsoft YaHei" w:eastAsia="Microsoft YaHei"/>
          <w:b w:val="0"/>
        </w:rPr>
        <w:t>三、模块协作关系</w:t>
      </w:r>
    </w:p>
    <w:tbl>
      <w:tblPr>
        <w:tblW w:type="dxa" w:w="9360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8E2EF"/>
              <w:left w:val="single" w:sz="8" w:space="0" w:color="D8E2EF"/>
              <w:bottom w:val="single" w:sz="8" w:space="0" w:color="D8E2EF"/>
              <w:right w:val="single" w:sz="8" w:space="0" w:color="D8E2E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协作接口</w:t>
            </w:r>
          </w:p>
        </w:tc>
        <w:tc>
          <w:tcPr>
            <w:tcW w:type="dxa" w:w="7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8E2EF"/>
              <w:left w:val="single" w:sz="8" w:space="0" w:color="D8E2EF"/>
              <w:bottom w:val="single" w:sz="8" w:space="0" w:color="D8E2EF"/>
              <w:right w:val="single" w:sz="8" w:space="0" w:color="D8E2E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说明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8E2EF"/>
              <w:left w:val="single" w:sz="8" w:space="0" w:color="D8E2EF"/>
              <w:bottom w:val="single" w:sz="8" w:space="0" w:color="D8E2EF"/>
              <w:right w:val="single" w:sz="8" w:space="0" w:color="D8E2EF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2E74B5"/>
                <w:sz w:val="21"/>
              </w:rPr>
              <w:t>数据接入 → 智能分析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8E2EF"/>
              <w:left w:val="single" w:sz="8" w:space="0" w:color="D8E2EF"/>
              <w:bottom w:val="single" w:sz="8" w:space="0" w:color="D8E2EF"/>
              <w:right w:val="single" w:sz="8" w:space="0" w:color="D8E2EF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B2545"/>
                <w:sz w:val="21"/>
              </w:rPr>
              <w:t>成员B 提供数据表、字段含义和质量结果；成员A 基于这些元数据完成意图识别、SQL 生成和图表推荐。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8E2EF"/>
              <w:left w:val="single" w:sz="8" w:space="0" w:color="D8E2EF"/>
              <w:bottom w:val="single" w:sz="8" w:space="0" w:color="D8E2EF"/>
              <w:right w:val="single" w:sz="8" w:space="0" w:color="D8E2EF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2E74B5"/>
                <w:sz w:val="21"/>
              </w:rPr>
              <w:t>知识库 → RAG 问答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8E2EF"/>
              <w:left w:val="single" w:sz="8" w:space="0" w:color="D8E2EF"/>
              <w:bottom w:val="single" w:sz="8" w:space="0" w:color="D8E2EF"/>
              <w:right w:val="single" w:sz="8" w:space="0" w:color="D8E2EF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B2545"/>
                <w:sz w:val="21"/>
              </w:rPr>
              <w:t>成员C 维护文档解析、分段、Embedding 与检索；成员A 将检索结果接入智能分析对话和报告生成。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8E2EF"/>
              <w:left w:val="single" w:sz="8" w:space="0" w:color="D8E2EF"/>
              <w:bottom w:val="single" w:sz="8" w:space="0" w:color="D8E2EF"/>
              <w:right w:val="single" w:sz="8" w:space="0" w:color="D8E2EF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2E74B5"/>
                <w:sz w:val="21"/>
              </w:rPr>
              <w:t>前端页面 → 后端接口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8E2EF"/>
              <w:left w:val="single" w:sz="8" w:space="0" w:color="D8E2EF"/>
              <w:bottom w:val="single" w:sz="8" w:space="0" w:color="D8E2EF"/>
              <w:right w:val="single" w:sz="8" w:space="0" w:color="D8E2EF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B2545"/>
                <w:sz w:val="21"/>
              </w:rPr>
              <w:t>成员A 负责页面交互和接口联调；成员B/C 按模块返回结构化数据，保证图表、表格和提示信息可渲染。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8E2EF"/>
              <w:left w:val="single" w:sz="8" w:space="0" w:color="D8E2EF"/>
              <w:bottom w:val="single" w:sz="8" w:space="0" w:color="D8E2EF"/>
              <w:right w:val="single" w:sz="8" w:space="0" w:color="D8E2EF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2E74B5"/>
                <w:sz w:val="21"/>
              </w:rPr>
              <w:t>测试验收 → 版本发布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8E2EF"/>
              <w:left w:val="single" w:sz="8" w:space="0" w:color="D8E2EF"/>
              <w:bottom w:val="single" w:sz="8" w:space="0" w:color="D8E2EF"/>
              <w:right w:val="single" w:sz="8" w:space="0" w:color="D8E2EF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B2545"/>
                <w:sz w:val="21"/>
              </w:rPr>
              <w:t>成员D 整理测试用例、演示数据和部署检查清单，发现问题后反馈给对应模块负责人修复。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 w:val="0"/>
        </w:rPr>
        <w:t>四、答辩分工建议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D8E2EF"/>
              <w:left w:val="single" w:sz="8" w:space="0" w:color="D8E2EF"/>
              <w:bottom w:val="single" w:sz="8" w:space="0" w:color="D8E2EF"/>
              <w:right w:val="single" w:sz="8" w:space="0" w:color="D8E2EF"/>
            </w:tcBorders>
            <w:vAlign w:val="center"/>
            <w:shd w:fill="F4F6F9"/>
          </w:tcPr>
          <w:p>
            <w:r>
              <w:rPr>
                <w:rFonts w:ascii="Microsoft YaHei" w:hAnsi="Microsoft YaHei" w:eastAsia="Microsoft YaHei"/>
                <w:b/>
                <w:color w:val="2E74B5"/>
                <w:sz w:val="22"/>
              </w:rPr>
              <w:t>推荐讲解顺序</w:t>
            </w:r>
            <w:r>
              <w:br/>
            </w:r>
            <w:r>
              <w:rPr>
                <w:rFonts w:ascii="Microsoft YaHei" w:hAnsi="Microsoft YaHei" w:eastAsia="Microsoft YaHei"/>
                <w:color w:val="0B2545"/>
                <w:sz w:val="21"/>
              </w:rPr>
              <w:t>成员A 先讲整体架构和前端演示；成员B 接着讲数据源接入与数据库管理；成员C 讲知识库、RAG 和报告导出；成员D 最后讲测试验收、部署运行和项目文档。这样顺序从“系统是什么”到“数据怎么进来”，再到“知识怎么增强”，最后到“如何交付验证”，逻辑最顺。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 w:val="0"/>
        </w:rPr>
        <w:t>五、可替换说明</w:t>
      </w:r>
    </w:p>
    <w:p>
      <w:r>
        <w:rPr>
          <w:rFonts w:ascii="Microsoft YaHei" w:hAnsi="Microsoft YaHei" w:eastAsia="Microsoft YaHei"/>
          <w:b w:val="0"/>
        </w:rPr>
        <w:t>本文档中的“成员A、成员B、成员C、成员D”为占位名称。正式提交或答辩前，可直接替换为四位组员真实姓名；如果实际贡献比例需要微调，可保持高低顺序不变，只调整百分比。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5E6B7A"/>
        <w:sz w:val="18"/>
      </w:rPr>
      <w:t>数据智能体服务系统 · 小组分工说明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