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In-Class Exercise - EM Algorithm</w:t>
      </w:r>
    </w:p>
    <w:p>
      <w:pPr>
        <w:jc w:val="center"/>
      </w:pPr>
      <w:r>
        <w:rPr>
          <w:rFonts w:ascii="Arial" w:hAnsi="Arial"/>
          <w:color w:val="595959"/>
          <w:sz w:val="22"/>
        </w:rPr>
        <w:t>Yield Rate Estimation Lab Report | 2026</w:t>
      </w:r>
    </w:p>
    <w:tbl>
      <w:tblPr>
        <w:tblStyle w:val="TableGrid"/>
        <w:tblW w:type="auto" w:w="0"/>
        <w:jc w:val="center"/>
        <w:tblLook w:firstColumn="1" w:firstRow="1" w:lastColumn="0" w:lastRow="0" w:noHBand="0" w:noVBand="1" w:val="04A0"/>
      </w:tblPr>
      <w:tblGrid>
        <w:gridCol w:w="5040"/>
        <w:gridCol w:w="5040"/>
      </w:tblGrid>
      <w:tr>
        <w:tc>
          <w:tcPr>
            <w:tcW w:type="dxa" w:w="5040"/>
            <w:shd w:fill="EAF2F8"/>
            <w:vAlign w:val="center"/>
            <w:shd w:fill="EAF2F8"/>
          </w:tcPr>
          <w:p>
            <w:pPr>
              <w:spacing w:after="0"/>
            </w:pPr>
            <w:r>
              <w:rPr>
                <w:rFonts w:ascii="Arial" w:hAnsi="Arial"/>
                <w:b/>
                <w:color w:val="1F4E79"/>
                <w:sz w:val="18"/>
              </w:rPr>
            </w:r>
            <w:r>
              <w:rPr>
                <w:rFonts w:ascii="Arial" w:hAnsi="Arial"/>
                <w:b/>
                <w:color w:val="1F4E79"/>
                <w:sz w:val="18"/>
              </w:rPr>
              <w:t>Coursework</w:t>
            </w:r>
          </w:p>
        </w:tc>
        <w:tc>
          <w:tcPr>
            <w:tcW w:type="dxa" w:w="5040"/>
            <w:vAlign w:val="center"/>
            <w:shd w:fill="EAF2F8"/>
          </w:tcPr>
          <w:p>
            <w:pPr>
              <w:spacing w:after="0"/>
            </w:pPr>
            <w:r>
              <w:rPr>
                <w:rFonts w:ascii="Arial" w:hAnsi="Arial"/>
                <w:b/>
                <w:color w:val="1F4E79"/>
                <w:sz w:val="18"/>
              </w:rPr>
            </w:r>
            <w:r>
              <w:rPr>
                <w:rFonts w:ascii="Arial" w:hAnsi="Arial"/>
                <w:b/>
                <w:color w:val="1F4E79"/>
                <w:sz w:val="18"/>
              </w:rPr>
              <w:t>Data Science Practice</w:t>
            </w:r>
          </w:p>
        </w:tc>
      </w:tr>
      <w:tr>
        <w:tc>
          <w:tcPr>
            <w:tcW w:type="dxa" w:w="5040"/>
            <w:shd w:fill="EAF2F8"/>
            <w:vAlign w:val="center"/>
          </w:tcPr>
          <w:p>
            <w:pPr>
              <w:spacing w:after="0"/>
            </w:pPr>
            <w:r>
              <w:rPr>
                <w:rFonts w:ascii="Arial" w:hAnsi="Arial"/>
                <w:sz w:val="18"/>
              </w:rPr>
            </w:r>
            <w:r>
              <w:rPr>
                <w:rFonts w:ascii="Arial" w:hAnsi="Arial"/>
                <w:b/>
                <w:sz w:val="18"/>
              </w:rPr>
              <w:t>Lab Objective</w:t>
            </w:r>
          </w:p>
        </w:tc>
        <w:tc>
          <w:tcPr>
            <w:tcW w:type="dxa" w:w="5040"/>
            <w:vAlign w:val="center"/>
          </w:tcPr>
          <w:p>
            <w:pPr>
              <w:spacing w:after="0"/>
            </w:pPr>
            <w:r>
              <w:rPr>
                <w:rFonts w:ascii="Arial" w:hAnsi="Arial"/>
                <w:sz w:val="18"/>
              </w:rPr>
            </w:r>
            <w:r>
              <w:rPr>
                <w:rFonts w:ascii="Arial" w:hAnsi="Arial"/>
                <w:b w:val="0"/>
                <w:sz w:val="18"/>
              </w:rPr>
              <w:t>Practice EM Algorithm for machine yield-rate estimation</w:t>
            </w:r>
          </w:p>
        </w:tc>
      </w:tr>
      <w:tr>
        <w:tc>
          <w:tcPr>
            <w:tcW w:type="dxa" w:w="5040"/>
            <w:shd w:fill="EAF2F8"/>
            <w:vAlign w:val="center"/>
          </w:tcPr>
          <w:p>
            <w:pPr>
              <w:spacing w:after="0"/>
            </w:pPr>
            <w:r>
              <w:rPr>
                <w:rFonts w:ascii="Arial" w:hAnsi="Arial"/>
                <w:sz w:val="18"/>
              </w:rPr>
            </w:r>
            <w:r>
              <w:rPr>
                <w:rFonts w:ascii="Arial" w:hAnsi="Arial"/>
                <w:b/>
                <w:sz w:val="18"/>
              </w:rPr>
              <w:t>Datasets</w:t>
            </w:r>
          </w:p>
        </w:tc>
        <w:tc>
          <w:tcPr>
            <w:tcW w:type="dxa" w:w="5040"/>
            <w:vAlign w:val="center"/>
          </w:tcPr>
          <w:p>
            <w:pPr>
              <w:spacing w:after="0"/>
            </w:pPr>
            <w:r>
              <w:rPr>
                <w:rFonts w:ascii="Arial" w:hAnsi="Arial"/>
                <w:sz w:val="18"/>
              </w:rPr>
            </w:r>
            <w:r>
              <w:rPr>
                <w:rFonts w:ascii="Arial" w:hAnsi="Arial"/>
                <w:b w:val="0"/>
                <w:sz w:val="18"/>
              </w:rPr>
              <w:t>test_case_1a.csv and real_world_data.csv</w:t>
            </w:r>
          </w:p>
        </w:tc>
      </w:tr>
      <w:tr>
        <w:tc>
          <w:tcPr>
            <w:tcW w:type="dxa" w:w="5040"/>
            <w:shd w:fill="EAF2F8"/>
            <w:vAlign w:val="center"/>
          </w:tcPr>
          <w:p>
            <w:pPr>
              <w:spacing w:after="0"/>
            </w:pPr>
            <w:r>
              <w:rPr>
                <w:rFonts w:ascii="Arial" w:hAnsi="Arial"/>
                <w:sz w:val="18"/>
              </w:rPr>
            </w:r>
            <w:r>
              <w:rPr>
                <w:rFonts w:ascii="Arial" w:hAnsi="Arial"/>
                <w:b/>
                <w:sz w:val="18"/>
              </w:rPr>
              <w:t>Deliverables</w:t>
            </w:r>
          </w:p>
        </w:tc>
        <w:tc>
          <w:tcPr>
            <w:tcW w:type="dxa" w:w="5040"/>
            <w:vAlign w:val="center"/>
          </w:tcPr>
          <w:p>
            <w:pPr>
              <w:spacing w:after="0"/>
            </w:pPr>
            <w:r>
              <w:rPr>
                <w:rFonts w:ascii="Arial" w:hAnsi="Arial"/>
                <w:sz w:val="18"/>
              </w:rPr>
            </w:r>
            <w:r>
              <w:rPr>
                <w:rFonts w:ascii="Arial" w:hAnsi="Arial"/>
                <w:b w:val="0"/>
                <w:sz w:val="18"/>
              </w:rPr>
              <w:t>Completed code, result CSV files, and this report</w:t>
            </w:r>
          </w:p>
        </w:tc>
      </w:tr>
    </w:tbl>
    <w:p/>
    <w:p>
      <w:pPr>
        <w:pStyle w:val="Heading1"/>
      </w:pPr>
      <w:r>
        <w:t>1. Lab Summary</w:t>
      </w:r>
    </w:p>
    <w:p>
      <w:r>
        <w:t>This lab estimates the yield rate of each machine step when some defect sources are latent. The completed workflow loads each dataset, one-hot encodes machine usage by lot, summarizes lot-level and machine-level statistics, initializes yield rates, then iterates the EM Algorithm until convergence or the maximum iteration count is reached.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pPr>
              <w:spacing w:after="0"/>
            </w:pPr>
            <w:r>
              <w:rPr>
                <w:rFonts w:ascii="Arial" w:hAnsi="Arial"/>
                <w:b/>
                <w:color w:val="1F4E79"/>
                <w:sz w:val="18"/>
              </w:rPr>
            </w:r>
            <w:r>
              <w:rPr>
                <w:rFonts w:ascii="Arial" w:hAnsi="Arial"/>
                <w:b/>
                <w:color w:val="1F4E79"/>
                <w:sz w:val="18"/>
              </w:rPr>
              <w:t>Dataset</w:t>
            </w:r>
          </w:p>
        </w:tc>
        <w:tc>
          <w:tcPr>
            <w:tcW w:type="dxa" w:w="2016"/>
            <w:vAlign w:val="center"/>
            <w:shd w:fill="D9EAF7"/>
          </w:tcPr>
          <w:p>
            <w:pPr>
              <w:spacing w:after="0"/>
            </w:pPr>
            <w:r>
              <w:rPr>
                <w:rFonts w:ascii="Arial" w:hAnsi="Arial"/>
                <w:b/>
                <w:color w:val="1F4E79"/>
                <w:sz w:val="18"/>
              </w:rPr>
            </w:r>
            <w:r>
              <w:rPr>
                <w:rFonts w:ascii="Arial" w:hAnsi="Arial"/>
                <w:b/>
                <w:color w:val="1F4E79"/>
                <w:sz w:val="18"/>
              </w:rPr>
              <w:t>Output File</w:t>
            </w:r>
          </w:p>
        </w:tc>
        <w:tc>
          <w:tcPr>
            <w:tcW w:type="dxa" w:w="2016"/>
            <w:vAlign w:val="center"/>
            <w:shd w:fill="D9EAF7"/>
          </w:tcPr>
          <w:p>
            <w:pPr>
              <w:spacing w:after="0"/>
            </w:pPr>
            <w:r>
              <w:rPr>
                <w:rFonts w:ascii="Arial" w:hAnsi="Arial"/>
                <w:b/>
                <w:color w:val="1F4E79"/>
                <w:sz w:val="18"/>
              </w:rPr>
            </w:r>
            <w:r>
              <w:rPr>
                <w:rFonts w:ascii="Arial" w:hAnsi="Arial"/>
                <w:b/>
                <w:color w:val="1F4E79"/>
                <w:sz w:val="18"/>
              </w:rPr>
              <w:t>Rows</w:t>
            </w:r>
          </w:p>
        </w:tc>
        <w:tc>
          <w:tcPr>
            <w:tcW w:type="dxa" w:w="2016"/>
            <w:vAlign w:val="center"/>
            <w:shd w:fill="D9EAF7"/>
          </w:tcPr>
          <w:p>
            <w:pPr>
              <w:spacing w:after="0"/>
            </w:pPr>
            <w:r>
              <w:rPr>
                <w:rFonts w:ascii="Arial" w:hAnsi="Arial"/>
                <w:b/>
                <w:color w:val="1F4E79"/>
                <w:sz w:val="18"/>
              </w:rPr>
            </w:r>
            <w:r>
              <w:rPr>
                <w:rFonts w:ascii="Arial" w:hAnsi="Arial"/>
                <w:b/>
                <w:color w:val="1F4E79"/>
                <w:sz w:val="18"/>
              </w:rPr>
              <w:t>Iterations</w:t>
            </w:r>
          </w:p>
        </w:tc>
        <w:tc>
          <w:tcPr>
            <w:tcW w:type="dxa" w:w="2016"/>
            <w:vAlign w:val="center"/>
            <w:shd w:fill="D9EAF7"/>
          </w:tcPr>
          <w:p>
            <w:pPr>
              <w:spacing w:after="0"/>
            </w:pPr>
            <w:r>
              <w:rPr>
                <w:rFonts w:ascii="Arial" w:hAnsi="Arial"/>
                <w:b/>
                <w:color w:val="1F4E79"/>
                <w:sz w:val="18"/>
              </w:rPr>
            </w:r>
            <w:r>
              <w:rPr>
                <w:rFonts w:ascii="Arial" w:hAnsi="Arial"/>
                <w:b/>
                <w:color w:val="1F4E79"/>
                <w:sz w:val="18"/>
              </w:rPr>
              <w:t>Lowest Yield Machine</w:t>
            </w:r>
          </w:p>
        </w:tc>
      </w:tr>
      <w:tr>
        <w:tc>
          <w:tcPr>
            <w:tcW w:type="dxa" w:w="2016"/>
            <w:vAlign w:val="center"/>
          </w:tcPr>
          <w:p>
            <w:pPr>
              <w:spacing w:after="0"/>
            </w:pPr>
            <w:r>
              <w:rPr>
                <w:rFonts w:ascii="Arial" w:hAnsi="Arial"/>
                <w:sz w:val="18"/>
              </w:rPr>
            </w:r>
            <w:r>
              <w:rPr>
                <w:rFonts w:ascii="Arial" w:hAnsi="Arial"/>
                <w:b w:val="0"/>
                <w:sz w:val="18"/>
              </w:rPr>
              <w:t>Simplified</w:t>
            </w:r>
          </w:p>
        </w:tc>
        <w:tc>
          <w:tcPr>
            <w:tcW w:type="dxa" w:w="2016"/>
            <w:vAlign w:val="center"/>
          </w:tcPr>
          <w:p>
            <w:pPr>
              <w:spacing w:after="0"/>
            </w:pPr>
            <w:r>
              <w:rPr>
                <w:rFonts w:ascii="Arial" w:hAnsi="Arial"/>
                <w:sz w:val="18"/>
              </w:rPr>
            </w:r>
            <w:r>
              <w:rPr>
                <w:rFonts w:ascii="Arial" w:hAnsi="Arial"/>
                <w:b w:val="0"/>
                <w:sz w:val="18"/>
              </w:rPr>
              <w:t>test_report.csv</w:t>
            </w:r>
          </w:p>
        </w:tc>
        <w:tc>
          <w:tcPr>
            <w:tcW w:type="dxa" w:w="2016"/>
            <w:vAlign w:val="center"/>
          </w:tcPr>
          <w:p>
            <w:pPr>
              <w:spacing w:after="0"/>
            </w:pPr>
            <w:r>
              <w:rPr>
                <w:rFonts w:ascii="Arial" w:hAnsi="Arial"/>
                <w:sz w:val="18"/>
              </w:rPr>
            </w:r>
            <w:r>
              <w:rPr>
                <w:rFonts w:ascii="Arial" w:hAnsi="Arial"/>
                <w:b w:val="0"/>
                <w:sz w:val="18"/>
              </w:rPr>
              <w:t>7</w:t>
            </w:r>
          </w:p>
        </w:tc>
        <w:tc>
          <w:tcPr>
            <w:tcW w:type="dxa" w:w="2016"/>
            <w:vAlign w:val="center"/>
          </w:tcPr>
          <w:p>
            <w:pPr>
              <w:spacing w:after="0"/>
            </w:pPr>
            <w:r>
              <w:rPr>
                <w:rFonts w:ascii="Arial" w:hAnsi="Arial"/>
                <w:sz w:val="18"/>
              </w:rPr>
            </w:r>
            <w:r>
              <w:rPr>
                <w:rFonts w:ascii="Arial" w:hAnsi="Arial"/>
                <w:b w:val="0"/>
                <w:sz w:val="18"/>
              </w:rPr>
              <w:t>30</w:t>
            </w:r>
          </w:p>
        </w:tc>
        <w:tc>
          <w:tcPr>
            <w:tcW w:type="dxa" w:w="2016"/>
            <w:vAlign w:val="center"/>
          </w:tcPr>
          <w:p>
            <w:pPr>
              <w:spacing w:after="0"/>
            </w:pPr>
            <w:r>
              <w:rPr>
                <w:rFonts w:ascii="Arial" w:hAnsi="Arial"/>
                <w:sz w:val="18"/>
              </w:rPr>
            </w:r>
            <w:r>
              <w:rPr>
                <w:rFonts w:ascii="Arial" w:hAnsi="Arial"/>
                <w:b w:val="0"/>
                <w:sz w:val="18"/>
              </w:rPr>
              <w:t>MS-14 (0.50574)</w:t>
            </w:r>
          </w:p>
        </w:tc>
      </w:tr>
      <w:tr>
        <w:tc>
          <w:tcPr>
            <w:tcW w:type="dxa" w:w="2016"/>
            <w:vAlign w:val="center"/>
          </w:tcPr>
          <w:p>
            <w:pPr>
              <w:spacing w:after="0"/>
            </w:pPr>
            <w:r>
              <w:rPr>
                <w:rFonts w:ascii="Arial" w:hAnsi="Arial"/>
                <w:sz w:val="18"/>
              </w:rPr>
            </w:r>
            <w:r>
              <w:rPr>
                <w:rFonts w:ascii="Arial" w:hAnsi="Arial"/>
                <w:b w:val="0"/>
                <w:sz w:val="18"/>
              </w:rPr>
              <w:t>Real-world</w:t>
            </w:r>
          </w:p>
        </w:tc>
        <w:tc>
          <w:tcPr>
            <w:tcW w:type="dxa" w:w="2016"/>
            <w:vAlign w:val="center"/>
          </w:tcPr>
          <w:p>
            <w:pPr>
              <w:spacing w:after="0"/>
            </w:pPr>
            <w:r>
              <w:rPr>
                <w:rFonts w:ascii="Arial" w:hAnsi="Arial"/>
                <w:sz w:val="18"/>
              </w:rPr>
            </w:r>
            <w:r>
              <w:rPr>
                <w:rFonts w:ascii="Arial" w:hAnsi="Arial"/>
                <w:b w:val="0"/>
                <w:sz w:val="18"/>
              </w:rPr>
              <w:t>realworld_report.csv</w:t>
            </w:r>
          </w:p>
        </w:tc>
        <w:tc>
          <w:tcPr>
            <w:tcW w:type="dxa" w:w="2016"/>
            <w:vAlign w:val="center"/>
          </w:tcPr>
          <w:p>
            <w:pPr>
              <w:spacing w:after="0"/>
            </w:pPr>
            <w:r>
              <w:rPr>
                <w:rFonts w:ascii="Arial" w:hAnsi="Arial"/>
                <w:sz w:val="18"/>
              </w:rPr>
            </w:r>
            <w:r>
              <w:rPr>
                <w:rFonts w:ascii="Arial" w:hAnsi="Arial"/>
                <w:b w:val="0"/>
                <w:sz w:val="18"/>
              </w:rPr>
              <w:t>216</w:t>
            </w:r>
          </w:p>
        </w:tc>
        <w:tc>
          <w:tcPr>
            <w:tcW w:type="dxa" w:w="2016"/>
            <w:vAlign w:val="center"/>
          </w:tcPr>
          <w:p>
            <w:pPr>
              <w:spacing w:after="0"/>
            </w:pPr>
            <w:r>
              <w:rPr>
                <w:rFonts w:ascii="Arial" w:hAnsi="Arial"/>
                <w:sz w:val="18"/>
              </w:rPr>
            </w:r>
            <w:r>
              <w:rPr>
                <w:rFonts w:ascii="Arial" w:hAnsi="Arial"/>
                <w:b w:val="0"/>
                <w:sz w:val="18"/>
              </w:rPr>
              <w:t>38</w:t>
            </w:r>
          </w:p>
        </w:tc>
        <w:tc>
          <w:tcPr>
            <w:tcW w:type="dxa" w:w="2016"/>
            <w:vAlign w:val="center"/>
          </w:tcPr>
          <w:p>
            <w:pPr>
              <w:spacing w:after="0"/>
            </w:pPr>
            <w:r>
              <w:rPr>
                <w:rFonts w:ascii="Arial" w:hAnsi="Arial"/>
                <w:sz w:val="18"/>
              </w:rPr>
            </w:r>
            <w:r>
              <w:rPr>
                <w:rFonts w:ascii="Arial" w:hAnsi="Arial"/>
                <w:b w:val="0"/>
                <w:sz w:val="18"/>
              </w:rPr>
              <w:t>LS-061 (0.04805)</w:t>
            </w:r>
          </w:p>
        </w:tc>
      </w:tr>
    </w:tbl>
    <w:p>
      <w:pPr>
        <w:pStyle w:val="Heading1"/>
      </w:pPr>
      <w:r>
        <w:t>2. Modified Code and Execution Result</w:t>
      </w:r>
    </w:p>
    <w:p>
      <w:r>
        <w:t>The missing main procedure was completed by calling the six required lab steps in order, then running both the simplified and real-world datasets.</w:t>
      </w:r>
    </w:p>
    <w:p>
      <w:pPr>
        <w:jc w:val="center"/>
      </w:pPr>
      <w:r>
        <w:drawing>
          <wp:inline xmlns:a="http://schemas.openxmlformats.org/drawingml/2006/main" xmlns:pic="http://schemas.openxmlformats.org/drawingml/2006/picture">
            <wp:extent cx="6309360" cy="4654906"/>
            <wp:docPr id="1" name="Picture 1"/>
            <wp:cNvGraphicFramePr>
              <a:graphicFrameLocks noChangeAspect="1"/>
            </wp:cNvGraphicFramePr>
            <a:graphic>
              <a:graphicData uri="http://schemas.openxmlformats.org/drawingml/2006/picture">
                <pic:pic>
                  <pic:nvPicPr>
                    <pic:cNvPr id="0" name="modified_code_main.png"/>
                    <pic:cNvPicPr/>
                  </pic:nvPicPr>
                  <pic:blipFill>
                    <a:blip r:embed="rId11"/>
                    <a:stretch>
                      <a:fillRect/>
                    </a:stretch>
                  </pic:blipFill>
                  <pic:spPr>
                    <a:xfrm>
                      <a:off x="0" y="0"/>
                      <a:ext cx="6309360" cy="4654906"/>
                    </a:xfrm>
                    <a:prstGeom prst="rect"/>
                  </pic:spPr>
                </pic:pic>
              </a:graphicData>
            </a:graphic>
          </wp:inline>
        </w:drawing>
      </w:r>
    </w:p>
    <w:p>
      <w:pPr>
        <w:jc w:val="center"/>
      </w:pPr>
      <w:r>
        <w:drawing>
          <wp:inline xmlns:a="http://schemas.openxmlformats.org/drawingml/2006/main" xmlns:pic="http://schemas.openxmlformats.org/drawingml/2006/picture">
            <wp:extent cx="5852160" cy="2216018"/>
            <wp:docPr id="2" name="Picture 2"/>
            <wp:cNvGraphicFramePr>
              <a:graphicFrameLocks noChangeAspect="1"/>
            </wp:cNvGraphicFramePr>
            <a:graphic>
              <a:graphicData uri="http://schemas.openxmlformats.org/drawingml/2006/picture">
                <pic:pic>
                  <pic:nvPicPr>
                    <pic:cNvPr id="0" name="run_output.png"/>
                    <pic:cNvPicPr/>
                  </pic:nvPicPr>
                  <pic:blipFill>
                    <a:blip r:embed="rId12"/>
                    <a:stretch>
                      <a:fillRect/>
                    </a:stretch>
                  </pic:blipFill>
                  <pic:spPr>
                    <a:xfrm>
                      <a:off x="0" y="0"/>
                      <a:ext cx="5852160" cy="2216018"/>
                    </a:xfrm>
                    <a:prstGeom prst="rect"/>
                  </pic:spPr>
                </pic:pic>
              </a:graphicData>
            </a:graphic>
          </wp:inline>
        </w:drawing>
      </w:r>
    </w:p>
    <w:p>
      <w:pPr>
        <w:pStyle w:val="Heading1"/>
      </w:pPr>
      <w:r>
        <w:t>3. Result Screenshots and Tables</w:t>
      </w:r>
    </w:p>
    <w:p>
      <w:r>
        <w:t>The reports are sorted by ascending yield rate, so the most suspicious low-yield machines appear at the top.</w:t>
      </w:r>
    </w:p>
    <w:p>
      <w:pPr>
        <w:jc w:val="center"/>
      </w:pPr>
      <w:r>
        <w:drawing>
          <wp:inline xmlns:a="http://schemas.openxmlformats.org/drawingml/2006/main" xmlns:pic="http://schemas.openxmlformats.org/drawingml/2006/picture">
            <wp:extent cx="5852160" cy="1622999"/>
            <wp:docPr id="3" name="Picture 3"/>
            <wp:cNvGraphicFramePr>
              <a:graphicFrameLocks noChangeAspect="1"/>
            </wp:cNvGraphicFramePr>
            <a:graphic>
              <a:graphicData uri="http://schemas.openxmlformats.org/drawingml/2006/picture">
                <pic:pic>
                  <pic:nvPicPr>
                    <pic:cNvPr id="0" name="test_result_table.png"/>
                    <pic:cNvPicPr/>
                  </pic:nvPicPr>
                  <pic:blipFill>
                    <a:blip r:embed="rId13"/>
                    <a:stretch>
                      <a:fillRect/>
                    </a:stretch>
                  </pic:blipFill>
                  <pic:spPr>
                    <a:xfrm>
                      <a:off x="0" y="0"/>
                      <a:ext cx="5852160" cy="1622999"/>
                    </a:xfrm>
                    <a:prstGeom prst="rect"/>
                  </pic:spPr>
                </pic:pic>
              </a:graphicData>
            </a:graphic>
          </wp:inline>
        </w:drawing>
      </w:r>
    </w:p>
    <w:p>
      <w:pPr>
        <w:pStyle w:val="Heading2"/>
      </w:pPr>
      <w:r>
        <w:t>Top Machines - Simplified Dataset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Pr>
                <w:rFonts w:ascii="Arial" w:hAnsi="Arial"/>
                <w:b/>
                <w:color w:val="1F4E79"/>
                <w:sz w:val="18"/>
              </w:rPr>
            </w:r>
            <w:r>
              <w:rPr>
                <w:rFonts w:ascii="Arial" w:hAnsi="Arial"/>
                <w:b/>
                <w:color w:val="1F4E79"/>
                <w:sz w:val="18"/>
              </w:rPr>
              <w:t>YieldRate</w:t>
            </w:r>
          </w:p>
        </w:tc>
        <w:tc>
          <w:tcPr>
            <w:tcW w:type="dxa" w:w="3360"/>
            <w:vAlign w:val="center"/>
            <w:shd w:fill="D9EAF7"/>
          </w:tcPr>
          <w:p>
            <w:pPr>
              <w:spacing w:after="0"/>
            </w:pPr>
            <w:r>
              <w:rPr>
                <w:rFonts w:ascii="Arial" w:hAnsi="Arial"/>
                <w:b/>
                <w:color w:val="1F4E79"/>
                <w:sz w:val="18"/>
              </w:rPr>
            </w:r>
            <w:r>
              <w:rPr>
                <w:rFonts w:ascii="Arial" w:hAnsi="Arial"/>
                <w:b/>
                <w:color w:val="1F4E79"/>
                <w:sz w:val="18"/>
              </w:rPr>
              <w:t>BadPiece</w:t>
            </w:r>
          </w:p>
        </w:tc>
        <w:tc>
          <w:tcPr>
            <w:tcW w:type="dxa" w:w="3360"/>
            <w:vAlign w:val="center"/>
            <w:shd w:fill="D9EAF7"/>
          </w:tcPr>
          <w:p>
            <w:pPr>
              <w:spacing w:after="0"/>
            </w:pPr>
            <w:r>
              <w:rPr>
                <w:rFonts w:ascii="Arial" w:hAnsi="Arial"/>
                <w:b/>
                <w:color w:val="1F4E79"/>
                <w:sz w:val="18"/>
              </w:rPr>
            </w:r>
            <w:r>
              <w:rPr>
                <w:rFonts w:ascii="Arial" w:hAnsi="Arial"/>
                <w:b/>
                <w:color w:val="1F4E79"/>
                <w:sz w:val="18"/>
              </w:rPr>
              <w:t>Machine</w:t>
            </w:r>
          </w:p>
        </w:tc>
      </w:tr>
      <w:tr>
        <w:tc>
          <w:tcPr>
            <w:tcW w:type="dxa" w:w="3360"/>
            <w:vAlign w:val="center"/>
          </w:tcPr>
          <w:p>
            <w:pPr>
              <w:spacing w:after="0"/>
            </w:pPr>
            <w:r>
              <w:rPr>
                <w:rFonts w:ascii="Arial" w:hAnsi="Arial"/>
                <w:sz w:val="18"/>
              </w:rPr>
            </w:r>
            <w:r>
              <w:rPr>
                <w:rFonts w:ascii="Arial" w:hAnsi="Arial"/>
                <w:b w:val="0"/>
                <w:sz w:val="18"/>
              </w:rPr>
              <w:t>0.50574</w:t>
            </w:r>
          </w:p>
        </w:tc>
        <w:tc>
          <w:tcPr>
            <w:tcW w:type="dxa" w:w="3360"/>
            <w:vAlign w:val="center"/>
          </w:tcPr>
          <w:p>
            <w:pPr>
              <w:spacing w:after="0"/>
            </w:pPr>
            <w:r>
              <w:rPr>
                <w:rFonts w:ascii="Arial" w:hAnsi="Arial"/>
                <w:sz w:val="18"/>
              </w:rPr>
            </w:r>
            <w:r>
              <w:rPr>
                <w:rFonts w:ascii="Arial" w:hAnsi="Arial"/>
                <w:b w:val="0"/>
                <w:sz w:val="18"/>
              </w:rPr>
              <w:t>9.88529</w:t>
            </w:r>
          </w:p>
        </w:tc>
        <w:tc>
          <w:tcPr>
            <w:tcW w:type="dxa" w:w="3360"/>
            <w:vAlign w:val="center"/>
          </w:tcPr>
          <w:p>
            <w:pPr>
              <w:spacing w:after="0"/>
            </w:pPr>
            <w:r>
              <w:rPr>
                <w:rFonts w:ascii="Arial" w:hAnsi="Arial"/>
                <w:sz w:val="18"/>
              </w:rPr>
            </w:r>
            <w:r>
              <w:rPr>
                <w:rFonts w:ascii="Arial" w:hAnsi="Arial"/>
                <w:b w:val="0"/>
                <w:sz w:val="18"/>
              </w:rPr>
              <w:t>MS-14</w:t>
            </w:r>
          </w:p>
        </w:tc>
      </w:tr>
      <w:tr>
        <w:tc>
          <w:tcPr>
            <w:tcW w:type="dxa" w:w="3360"/>
            <w:vAlign w:val="center"/>
          </w:tcPr>
          <w:p>
            <w:pPr>
              <w:spacing w:after="0"/>
            </w:pPr>
            <w:r>
              <w:rPr>
                <w:rFonts w:ascii="Arial" w:hAnsi="Arial"/>
                <w:sz w:val="18"/>
              </w:rPr>
            </w:r>
            <w:r>
              <w:rPr>
                <w:rFonts w:ascii="Arial" w:hAnsi="Arial"/>
                <w:b w:val="0"/>
                <w:sz w:val="18"/>
              </w:rPr>
              <w:t>0.70711</w:t>
            </w:r>
          </w:p>
        </w:tc>
        <w:tc>
          <w:tcPr>
            <w:tcW w:type="dxa" w:w="3360"/>
            <w:vAlign w:val="center"/>
          </w:tcPr>
          <w:p>
            <w:pPr>
              <w:spacing w:after="0"/>
            </w:pPr>
            <w:r>
              <w:rPr>
                <w:rFonts w:ascii="Arial" w:hAnsi="Arial"/>
                <w:sz w:val="18"/>
              </w:rPr>
            </w:r>
            <w:r>
              <w:rPr>
                <w:rFonts w:ascii="Arial" w:hAnsi="Arial"/>
                <w:b w:val="0"/>
                <w:sz w:val="18"/>
              </w:rPr>
              <w:t>0.58579</w:t>
            </w:r>
          </w:p>
        </w:tc>
        <w:tc>
          <w:tcPr>
            <w:tcW w:type="dxa" w:w="3360"/>
            <w:vAlign w:val="center"/>
          </w:tcPr>
          <w:p>
            <w:pPr>
              <w:spacing w:after="0"/>
            </w:pPr>
            <w:r>
              <w:rPr>
                <w:rFonts w:ascii="Arial" w:hAnsi="Arial"/>
                <w:sz w:val="18"/>
              </w:rPr>
            </w:r>
            <w:r>
              <w:rPr>
                <w:rFonts w:ascii="Arial" w:hAnsi="Arial"/>
                <w:b w:val="0"/>
                <w:sz w:val="18"/>
              </w:rPr>
              <w:t>LS-24</w:t>
            </w:r>
          </w:p>
        </w:tc>
      </w:tr>
      <w:tr>
        <w:tc>
          <w:tcPr>
            <w:tcW w:type="dxa" w:w="3360"/>
            <w:vAlign w:val="center"/>
          </w:tcPr>
          <w:p>
            <w:pPr>
              <w:spacing w:after="0"/>
            </w:pPr>
            <w:r>
              <w:rPr>
                <w:rFonts w:ascii="Arial" w:hAnsi="Arial"/>
                <w:sz w:val="18"/>
              </w:rPr>
            </w:r>
            <w:r>
              <w:rPr>
                <w:rFonts w:ascii="Arial" w:hAnsi="Arial"/>
                <w:b w:val="0"/>
                <w:sz w:val="18"/>
              </w:rPr>
              <w:t>0.70711</w:t>
            </w:r>
          </w:p>
        </w:tc>
        <w:tc>
          <w:tcPr>
            <w:tcW w:type="dxa" w:w="3360"/>
            <w:vAlign w:val="center"/>
          </w:tcPr>
          <w:p>
            <w:pPr>
              <w:spacing w:after="0"/>
            </w:pPr>
            <w:r>
              <w:rPr>
                <w:rFonts w:ascii="Arial" w:hAnsi="Arial"/>
                <w:sz w:val="18"/>
              </w:rPr>
            </w:r>
            <w:r>
              <w:rPr>
                <w:rFonts w:ascii="Arial" w:hAnsi="Arial"/>
                <w:b w:val="0"/>
                <w:sz w:val="18"/>
              </w:rPr>
              <w:t>0.41421</w:t>
            </w:r>
          </w:p>
        </w:tc>
        <w:tc>
          <w:tcPr>
            <w:tcW w:type="dxa" w:w="3360"/>
            <w:vAlign w:val="center"/>
          </w:tcPr>
          <w:p>
            <w:pPr>
              <w:spacing w:after="0"/>
            </w:pPr>
            <w:r>
              <w:rPr>
                <w:rFonts w:ascii="Arial" w:hAnsi="Arial"/>
                <w:sz w:val="18"/>
              </w:rPr>
            </w:r>
            <w:r>
              <w:rPr>
                <w:rFonts w:ascii="Arial" w:hAnsi="Arial"/>
                <w:b w:val="0"/>
                <w:sz w:val="18"/>
              </w:rPr>
              <w:t>LK-06</w:t>
            </w:r>
          </w:p>
        </w:tc>
      </w:tr>
      <w:tr>
        <w:tc>
          <w:tcPr>
            <w:tcW w:type="dxa" w:w="3360"/>
            <w:vAlign w:val="center"/>
          </w:tcPr>
          <w:p>
            <w:pPr>
              <w:spacing w:after="0"/>
            </w:pPr>
            <w:r>
              <w:rPr>
                <w:rFonts w:ascii="Arial" w:hAnsi="Arial"/>
                <w:sz w:val="18"/>
              </w:rPr>
            </w:r>
            <w:r>
              <w:rPr>
                <w:rFonts w:ascii="Arial" w:hAnsi="Arial"/>
                <w:b w:val="0"/>
                <w:sz w:val="18"/>
              </w:rPr>
              <w:t>0.79251</w:t>
            </w:r>
          </w:p>
        </w:tc>
        <w:tc>
          <w:tcPr>
            <w:tcW w:type="dxa" w:w="3360"/>
            <w:vAlign w:val="center"/>
          </w:tcPr>
          <w:p>
            <w:pPr>
              <w:spacing w:after="0"/>
            </w:pPr>
            <w:r>
              <w:rPr>
                <w:rFonts w:ascii="Arial" w:hAnsi="Arial"/>
                <w:sz w:val="18"/>
              </w:rPr>
            </w:r>
            <w:r>
              <w:rPr>
                <w:rFonts w:ascii="Arial" w:hAnsi="Arial"/>
                <w:b w:val="0"/>
                <w:sz w:val="18"/>
              </w:rPr>
              <w:t>0.67678</w:t>
            </w:r>
          </w:p>
        </w:tc>
        <w:tc>
          <w:tcPr>
            <w:tcW w:type="dxa" w:w="3360"/>
            <w:vAlign w:val="center"/>
          </w:tcPr>
          <w:p>
            <w:pPr>
              <w:spacing w:after="0"/>
            </w:pPr>
            <w:r>
              <w:rPr>
                <w:rFonts w:ascii="Arial" w:hAnsi="Arial"/>
                <w:sz w:val="18"/>
              </w:rPr>
            </w:r>
            <w:r>
              <w:rPr>
                <w:rFonts w:ascii="Arial" w:hAnsi="Arial"/>
                <w:b w:val="0"/>
                <w:sz w:val="18"/>
              </w:rPr>
              <w:t>LS-29</w:t>
            </w:r>
          </w:p>
        </w:tc>
      </w:tr>
      <w:tr>
        <w:tc>
          <w:tcPr>
            <w:tcW w:type="dxa" w:w="3360"/>
            <w:vAlign w:val="center"/>
          </w:tcPr>
          <w:p>
            <w:pPr>
              <w:spacing w:after="0"/>
            </w:pPr>
            <w:r>
              <w:rPr>
                <w:rFonts w:ascii="Arial" w:hAnsi="Arial"/>
                <w:sz w:val="18"/>
              </w:rPr>
            </w:r>
            <w:r>
              <w:rPr>
                <w:rFonts w:ascii="Arial" w:hAnsi="Arial"/>
                <w:b w:val="0"/>
                <w:sz w:val="18"/>
              </w:rPr>
              <w:t>0.79608</w:t>
            </w:r>
          </w:p>
        </w:tc>
        <w:tc>
          <w:tcPr>
            <w:tcW w:type="dxa" w:w="3360"/>
            <w:vAlign w:val="center"/>
          </w:tcPr>
          <w:p>
            <w:pPr>
              <w:spacing w:after="0"/>
            </w:pPr>
            <w:r>
              <w:rPr>
                <w:rFonts w:ascii="Arial" w:hAnsi="Arial"/>
                <w:sz w:val="18"/>
              </w:rPr>
            </w:r>
            <w:r>
              <w:rPr>
                <w:rFonts w:ascii="Arial" w:hAnsi="Arial"/>
                <w:b w:val="0"/>
                <w:sz w:val="18"/>
              </w:rPr>
              <w:t>0.32322</w:t>
            </w:r>
          </w:p>
        </w:tc>
        <w:tc>
          <w:tcPr>
            <w:tcW w:type="dxa" w:w="3360"/>
            <w:vAlign w:val="center"/>
          </w:tcPr>
          <w:p>
            <w:pPr>
              <w:spacing w:after="0"/>
            </w:pPr>
            <w:r>
              <w:rPr>
                <w:rFonts w:ascii="Arial" w:hAnsi="Arial"/>
                <w:sz w:val="18"/>
              </w:rPr>
            </w:r>
            <w:r>
              <w:rPr>
                <w:rFonts w:ascii="Arial" w:hAnsi="Arial"/>
                <w:b w:val="0"/>
                <w:sz w:val="18"/>
              </w:rPr>
              <w:t>MS-30</w:t>
            </w:r>
          </w:p>
        </w:tc>
      </w:tr>
      <w:tr>
        <w:tc>
          <w:tcPr>
            <w:tcW w:type="dxa" w:w="3360"/>
            <w:vAlign w:val="center"/>
          </w:tcPr>
          <w:p>
            <w:pPr>
              <w:spacing w:after="0"/>
            </w:pPr>
            <w:r>
              <w:rPr>
                <w:rFonts w:ascii="Arial" w:hAnsi="Arial"/>
                <w:sz w:val="18"/>
              </w:rPr>
            </w:r>
            <w:r>
              <w:rPr>
                <w:rFonts w:ascii="Arial" w:hAnsi="Arial"/>
                <w:b w:val="0"/>
                <w:sz w:val="18"/>
              </w:rPr>
              <w:t>0.97212</w:t>
            </w:r>
          </w:p>
        </w:tc>
        <w:tc>
          <w:tcPr>
            <w:tcW w:type="dxa" w:w="3360"/>
            <w:vAlign w:val="center"/>
          </w:tcPr>
          <w:p>
            <w:pPr>
              <w:spacing w:after="0"/>
            </w:pPr>
            <w:r>
              <w:rPr>
                <w:rFonts w:ascii="Arial" w:hAnsi="Arial"/>
                <w:sz w:val="18"/>
              </w:rPr>
            </w:r>
            <w:r>
              <w:rPr>
                <w:rFonts w:ascii="Arial" w:hAnsi="Arial"/>
                <w:b w:val="0"/>
                <w:sz w:val="18"/>
              </w:rPr>
              <w:t>0.11471</w:t>
            </w:r>
          </w:p>
        </w:tc>
        <w:tc>
          <w:tcPr>
            <w:tcW w:type="dxa" w:w="3360"/>
            <w:vAlign w:val="center"/>
          </w:tcPr>
          <w:p>
            <w:pPr>
              <w:spacing w:after="0"/>
            </w:pPr>
            <w:r>
              <w:rPr>
                <w:rFonts w:ascii="Arial" w:hAnsi="Arial"/>
                <w:sz w:val="18"/>
              </w:rPr>
            </w:r>
            <w:r>
              <w:rPr>
                <w:rFonts w:ascii="Arial" w:hAnsi="Arial"/>
                <w:b w:val="0"/>
                <w:sz w:val="18"/>
              </w:rPr>
              <w:t>SP-06</w:t>
            </w:r>
          </w:p>
        </w:tc>
      </w:tr>
      <w:tr>
        <w:tc>
          <w:tcPr>
            <w:tcW w:type="dxa" w:w="3360"/>
            <w:vAlign w:val="center"/>
          </w:tcPr>
          <w:p>
            <w:pPr>
              <w:spacing w:after="0"/>
            </w:pPr>
            <w:r>
              <w:rPr>
                <w:rFonts w:ascii="Arial" w:hAnsi="Arial"/>
                <w:sz w:val="18"/>
              </w:rPr>
            </w:r>
            <w:r>
              <w:rPr>
                <w:rFonts w:ascii="Arial" w:hAnsi="Arial"/>
                <w:b w:val="0"/>
                <w:sz w:val="18"/>
              </w:rPr>
              <w:t>1.00000</w:t>
            </w:r>
          </w:p>
        </w:tc>
        <w:tc>
          <w:tcPr>
            <w:tcW w:type="dxa" w:w="3360"/>
            <w:vAlign w:val="center"/>
          </w:tcPr>
          <w:p>
            <w:pPr>
              <w:spacing w:after="0"/>
            </w:pPr>
            <w:r>
              <w:rPr>
                <w:rFonts w:ascii="Arial" w:hAnsi="Arial"/>
                <w:sz w:val="18"/>
              </w:rPr>
            </w:r>
            <w:r>
              <w:rPr>
                <w:rFonts w:ascii="Arial" w:hAnsi="Arial"/>
                <w:b w:val="0"/>
                <w:sz w:val="18"/>
              </w:rPr>
              <w:t>0.00000</w:t>
            </w:r>
          </w:p>
        </w:tc>
        <w:tc>
          <w:tcPr>
            <w:tcW w:type="dxa" w:w="3360"/>
            <w:vAlign w:val="center"/>
          </w:tcPr>
          <w:p>
            <w:pPr>
              <w:spacing w:after="0"/>
            </w:pPr>
            <w:r>
              <w:rPr>
                <w:rFonts w:ascii="Arial" w:hAnsi="Arial"/>
                <w:sz w:val="18"/>
              </w:rPr>
            </w:r>
            <w:r>
              <w:rPr>
                <w:rFonts w:ascii="Arial" w:hAnsi="Arial"/>
                <w:b w:val="0"/>
                <w:sz w:val="18"/>
              </w:rPr>
              <w:t>LK-12</w:t>
            </w:r>
          </w:p>
        </w:tc>
      </w:tr>
    </w:tbl>
    <w:p>
      <w:pPr>
        <w:jc w:val="center"/>
      </w:pPr>
      <w:r>
        <w:drawing>
          <wp:inline xmlns:a="http://schemas.openxmlformats.org/drawingml/2006/main" xmlns:pic="http://schemas.openxmlformats.org/drawingml/2006/picture">
            <wp:extent cx="5852160" cy="2325258"/>
            <wp:docPr id="4" name="Picture 4"/>
            <wp:cNvGraphicFramePr>
              <a:graphicFrameLocks noChangeAspect="1"/>
            </wp:cNvGraphicFramePr>
            <a:graphic>
              <a:graphicData uri="http://schemas.openxmlformats.org/drawingml/2006/picture">
                <pic:pic>
                  <pic:nvPicPr>
                    <pic:cNvPr id="0" name="real_result_table.png"/>
                    <pic:cNvPicPr/>
                  </pic:nvPicPr>
                  <pic:blipFill>
                    <a:blip r:embed="rId14"/>
                    <a:stretch>
                      <a:fillRect/>
                    </a:stretch>
                  </pic:blipFill>
                  <pic:spPr>
                    <a:xfrm>
                      <a:off x="0" y="0"/>
                      <a:ext cx="5852160" cy="2325258"/>
                    </a:xfrm>
                    <a:prstGeom prst="rect"/>
                  </pic:spPr>
                </pic:pic>
              </a:graphicData>
            </a:graphic>
          </wp:inline>
        </w:drawing>
      </w:r>
    </w:p>
    <w:p>
      <w:pPr>
        <w:pStyle w:val="Heading2"/>
      </w:pPr>
      <w:r>
        <w:t>Top Machines - Real-World Dataset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Pr>
                <w:rFonts w:ascii="Arial" w:hAnsi="Arial"/>
                <w:b/>
                <w:color w:val="1F4E79"/>
                <w:sz w:val="18"/>
              </w:rPr>
            </w:r>
            <w:r>
              <w:rPr>
                <w:rFonts w:ascii="Arial" w:hAnsi="Arial"/>
                <w:b/>
                <w:color w:val="1F4E79"/>
                <w:sz w:val="18"/>
              </w:rPr>
              <w:t>YieldRate</w:t>
            </w:r>
          </w:p>
        </w:tc>
        <w:tc>
          <w:tcPr>
            <w:tcW w:type="dxa" w:w="3360"/>
            <w:vAlign w:val="center"/>
            <w:shd w:fill="D9EAF7"/>
          </w:tcPr>
          <w:p>
            <w:pPr>
              <w:spacing w:after="0"/>
            </w:pPr>
            <w:r>
              <w:rPr>
                <w:rFonts w:ascii="Arial" w:hAnsi="Arial"/>
                <w:b/>
                <w:color w:val="1F4E79"/>
                <w:sz w:val="18"/>
              </w:rPr>
            </w:r>
            <w:r>
              <w:rPr>
                <w:rFonts w:ascii="Arial" w:hAnsi="Arial"/>
                <w:b/>
                <w:color w:val="1F4E79"/>
                <w:sz w:val="18"/>
              </w:rPr>
              <w:t>BadPiece</w:t>
            </w:r>
          </w:p>
        </w:tc>
        <w:tc>
          <w:tcPr>
            <w:tcW w:type="dxa" w:w="3360"/>
            <w:vAlign w:val="center"/>
            <w:shd w:fill="D9EAF7"/>
          </w:tcPr>
          <w:p>
            <w:pPr>
              <w:spacing w:after="0"/>
            </w:pPr>
            <w:r>
              <w:rPr>
                <w:rFonts w:ascii="Arial" w:hAnsi="Arial"/>
                <w:b/>
                <w:color w:val="1F4E79"/>
                <w:sz w:val="18"/>
              </w:rPr>
            </w:r>
            <w:r>
              <w:rPr>
                <w:rFonts w:ascii="Arial" w:hAnsi="Arial"/>
                <w:b/>
                <w:color w:val="1F4E79"/>
                <w:sz w:val="18"/>
              </w:rPr>
              <w:t>Machine</w:t>
            </w:r>
          </w:p>
        </w:tc>
      </w:tr>
      <w:tr>
        <w:tc>
          <w:tcPr>
            <w:tcW w:type="dxa" w:w="3360"/>
            <w:vAlign w:val="center"/>
          </w:tcPr>
          <w:p>
            <w:pPr>
              <w:spacing w:after="0"/>
            </w:pPr>
            <w:r>
              <w:rPr>
                <w:rFonts w:ascii="Arial" w:hAnsi="Arial"/>
                <w:sz w:val="18"/>
              </w:rPr>
            </w:r>
            <w:r>
              <w:rPr>
                <w:rFonts w:ascii="Arial" w:hAnsi="Arial"/>
                <w:b w:val="0"/>
                <w:sz w:val="18"/>
              </w:rPr>
              <w:t>0.04805</w:t>
            </w:r>
          </w:p>
        </w:tc>
        <w:tc>
          <w:tcPr>
            <w:tcW w:type="dxa" w:w="3360"/>
            <w:vAlign w:val="center"/>
          </w:tcPr>
          <w:p>
            <w:pPr>
              <w:spacing w:after="0"/>
            </w:pPr>
            <w:r>
              <w:rPr>
                <w:rFonts w:ascii="Arial" w:hAnsi="Arial"/>
                <w:sz w:val="18"/>
              </w:rPr>
            </w:r>
            <w:r>
              <w:rPr>
                <w:rFonts w:ascii="Arial" w:hAnsi="Arial"/>
                <w:b w:val="0"/>
                <w:sz w:val="18"/>
              </w:rPr>
              <w:t>80.18</w:t>
            </w:r>
          </w:p>
        </w:tc>
        <w:tc>
          <w:tcPr>
            <w:tcW w:type="dxa" w:w="3360"/>
            <w:vAlign w:val="center"/>
          </w:tcPr>
          <w:p>
            <w:pPr>
              <w:spacing w:after="0"/>
            </w:pPr>
            <w:r>
              <w:rPr>
                <w:rFonts w:ascii="Arial" w:hAnsi="Arial"/>
                <w:sz w:val="18"/>
              </w:rPr>
            </w:r>
            <w:r>
              <w:rPr>
                <w:rFonts w:ascii="Arial" w:hAnsi="Arial"/>
                <w:b w:val="0"/>
                <w:sz w:val="18"/>
              </w:rPr>
              <w:t>LS-061</w:t>
            </w:r>
          </w:p>
        </w:tc>
      </w:tr>
      <w:tr>
        <w:tc>
          <w:tcPr>
            <w:tcW w:type="dxa" w:w="3360"/>
            <w:vAlign w:val="center"/>
          </w:tcPr>
          <w:p>
            <w:pPr>
              <w:spacing w:after="0"/>
            </w:pPr>
            <w:r>
              <w:rPr>
                <w:rFonts w:ascii="Arial" w:hAnsi="Arial"/>
                <w:sz w:val="18"/>
              </w:rPr>
            </w:r>
            <w:r>
              <w:rPr>
                <w:rFonts w:ascii="Arial" w:hAnsi="Arial"/>
                <w:b w:val="0"/>
                <w:sz w:val="18"/>
              </w:rPr>
              <w:t>0.78678</w:t>
            </w:r>
          </w:p>
        </w:tc>
        <w:tc>
          <w:tcPr>
            <w:tcW w:type="dxa" w:w="3360"/>
            <w:vAlign w:val="center"/>
          </w:tcPr>
          <w:p>
            <w:pPr>
              <w:spacing w:after="0"/>
            </w:pPr>
            <w:r>
              <w:rPr>
                <w:rFonts w:ascii="Arial" w:hAnsi="Arial"/>
                <w:sz w:val="18"/>
              </w:rPr>
            </w:r>
            <w:r>
              <w:rPr>
                <w:rFonts w:ascii="Arial" w:hAnsi="Arial"/>
                <w:b w:val="0"/>
                <w:sz w:val="18"/>
              </w:rPr>
              <w:t>21,591.00</w:t>
            </w:r>
          </w:p>
        </w:tc>
        <w:tc>
          <w:tcPr>
            <w:tcW w:type="dxa" w:w="3360"/>
            <w:vAlign w:val="center"/>
          </w:tcPr>
          <w:p>
            <w:pPr>
              <w:spacing w:after="0"/>
            </w:pPr>
            <w:r>
              <w:rPr>
                <w:rFonts w:ascii="Arial" w:hAnsi="Arial"/>
                <w:sz w:val="18"/>
              </w:rPr>
            </w:r>
            <w:r>
              <w:rPr>
                <w:rFonts w:ascii="Arial" w:hAnsi="Arial"/>
                <w:b w:val="0"/>
                <w:sz w:val="18"/>
              </w:rPr>
              <w:t>PL-021</w:t>
            </w:r>
          </w:p>
        </w:tc>
      </w:tr>
      <w:tr>
        <w:tc>
          <w:tcPr>
            <w:tcW w:type="dxa" w:w="3360"/>
            <w:vAlign w:val="center"/>
          </w:tcPr>
          <w:p>
            <w:pPr>
              <w:spacing w:after="0"/>
            </w:pPr>
            <w:r>
              <w:rPr>
                <w:rFonts w:ascii="Arial" w:hAnsi="Arial"/>
                <w:sz w:val="18"/>
              </w:rPr>
            </w:r>
            <w:r>
              <w:rPr>
                <w:rFonts w:ascii="Arial" w:hAnsi="Arial"/>
                <w:b w:val="0"/>
                <w:sz w:val="18"/>
              </w:rPr>
              <w:t>0.88137</w:t>
            </w:r>
          </w:p>
        </w:tc>
        <w:tc>
          <w:tcPr>
            <w:tcW w:type="dxa" w:w="3360"/>
            <w:vAlign w:val="center"/>
          </w:tcPr>
          <w:p>
            <w:pPr>
              <w:spacing w:after="0"/>
            </w:pPr>
            <w:r>
              <w:rPr>
                <w:rFonts w:ascii="Arial" w:hAnsi="Arial"/>
                <w:sz w:val="18"/>
              </w:rPr>
            </w:r>
            <w:r>
              <w:rPr>
                <w:rFonts w:ascii="Arial" w:hAnsi="Arial"/>
                <w:b w:val="0"/>
                <w:sz w:val="18"/>
              </w:rPr>
              <w:t>14,410.90</w:t>
            </w:r>
          </w:p>
        </w:tc>
        <w:tc>
          <w:tcPr>
            <w:tcW w:type="dxa" w:w="3360"/>
            <w:vAlign w:val="center"/>
          </w:tcPr>
          <w:p>
            <w:pPr>
              <w:spacing w:after="0"/>
            </w:pPr>
            <w:r>
              <w:rPr>
                <w:rFonts w:ascii="Arial" w:hAnsi="Arial"/>
                <w:sz w:val="18"/>
              </w:rPr>
            </w:r>
            <w:r>
              <w:rPr>
                <w:rFonts w:ascii="Arial" w:hAnsi="Arial"/>
                <w:b w:val="0"/>
                <w:sz w:val="18"/>
              </w:rPr>
              <w:t>LS-070</w:t>
            </w:r>
          </w:p>
        </w:tc>
      </w:tr>
      <w:tr>
        <w:tc>
          <w:tcPr>
            <w:tcW w:type="dxa" w:w="3360"/>
            <w:vAlign w:val="center"/>
          </w:tcPr>
          <w:p>
            <w:pPr>
              <w:spacing w:after="0"/>
            </w:pPr>
            <w:r>
              <w:rPr>
                <w:rFonts w:ascii="Arial" w:hAnsi="Arial"/>
                <w:sz w:val="18"/>
              </w:rPr>
            </w:r>
            <w:r>
              <w:rPr>
                <w:rFonts w:ascii="Arial" w:hAnsi="Arial"/>
                <w:b w:val="0"/>
                <w:sz w:val="18"/>
              </w:rPr>
              <w:t>0.88267</w:t>
            </w:r>
          </w:p>
        </w:tc>
        <w:tc>
          <w:tcPr>
            <w:tcW w:type="dxa" w:w="3360"/>
            <w:vAlign w:val="center"/>
          </w:tcPr>
          <w:p>
            <w:pPr>
              <w:spacing w:after="0"/>
            </w:pPr>
            <w:r>
              <w:rPr>
                <w:rFonts w:ascii="Arial" w:hAnsi="Arial"/>
                <w:sz w:val="18"/>
              </w:rPr>
            </w:r>
            <w:r>
              <w:rPr>
                <w:rFonts w:ascii="Arial" w:hAnsi="Arial"/>
                <w:b w:val="0"/>
                <w:sz w:val="18"/>
              </w:rPr>
              <w:t>6,424.85</w:t>
            </w:r>
          </w:p>
        </w:tc>
        <w:tc>
          <w:tcPr>
            <w:tcW w:type="dxa" w:w="3360"/>
            <w:vAlign w:val="center"/>
          </w:tcPr>
          <w:p>
            <w:pPr>
              <w:spacing w:after="0"/>
            </w:pPr>
            <w:r>
              <w:rPr>
                <w:rFonts w:ascii="Arial" w:hAnsi="Arial"/>
                <w:sz w:val="18"/>
              </w:rPr>
            </w:r>
            <w:r>
              <w:rPr>
                <w:rFonts w:ascii="Arial" w:hAnsi="Arial"/>
                <w:b w:val="0"/>
                <w:sz w:val="18"/>
              </w:rPr>
              <w:t>SW-026</w:t>
            </w:r>
          </w:p>
        </w:tc>
      </w:tr>
      <w:tr>
        <w:tc>
          <w:tcPr>
            <w:tcW w:type="dxa" w:w="3360"/>
            <w:vAlign w:val="center"/>
          </w:tcPr>
          <w:p>
            <w:pPr>
              <w:spacing w:after="0"/>
            </w:pPr>
            <w:r>
              <w:rPr>
                <w:rFonts w:ascii="Arial" w:hAnsi="Arial"/>
                <w:sz w:val="18"/>
              </w:rPr>
            </w:r>
            <w:r>
              <w:rPr>
                <w:rFonts w:ascii="Arial" w:hAnsi="Arial"/>
                <w:b w:val="0"/>
                <w:sz w:val="18"/>
              </w:rPr>
              <w:t>0.88960</w:t>
            </w:r>
          </w:p>
        </w:tc>
        <w:tc>
          <w:tcPr>
            <w:tcW w:type="dxa" w:w="3360"/>
            <w:vAlign w:val="center"/>
          </w:tcPr>
          <w:p>
            <w:pPr>
              <w:spacing w:after="0"/>
            </w:pPr>
            <w:r>
              <w:rPr>
                <w:rFonts w:ascii="Arial" w:hAnsi="Arial"/>
                <w:sz w:val="18"/>
              </w:rPr>
            </w:r>
            <w:r>
              <w:rPr>
                <w:rFonts w:ascii="Arial" w:hAnsi="Arial"/>
                <w:b w:val="0"/>
                <w:sz w:val="18"/>
              </w:rPr>
              <w:t>2,309.05</w:t>
            </w:r>
          </w:p>
        </w:tc>
        <w:tc>
          <w:tcPr>
            <w:tcW w:type="dxa" w:w="3360"/>
            <w:vAlign w:val="center"/>
          </w:tcPr>
          <w:p>
            <w:pPr>
              <w:spacing w:after="0"/>
            </w:pPr>
            <w:r>
              <w:rPr>
                <w:rFonts w:ascii="Arial" w:hAnsi="Arial"/>
                <w:sz w:val="18"/>
              </w:rPr>
            </w:r>
            <w:r>
              <w:rPr>
                <w:rFonts w:ascii="Arial" w:hAnsi="Arial"/>
                <w:b w:val="0"/>
                <w:sz w:val="18"/>
              </w:rPr>
              <w:t>GA-549</w:t>
            </w:r>
          </w:p>
        </w:tc>
      </w:tr>
      <w:tr>
        <w:tc>
          <w:tcPr>
            <w:tcW w:type="dxa" w:w="3360"/>
            <w:vAlign w:val="center"/>
          </w:tcPr>
          <w:p>
            <w:pPr>
              <w:spacing w:after="0"/>
            </w:pPr>
            <w:r>
              <w:rPr>
                <w:rFonts w:ascii="Arial" w:hAnsi="Arial"/>
                <w:sz w:val="18"/>
              </w:rPr>
            </w:r>
            <w:r>
              <w:rPr>
                <w:rFonts w:ascii="Arial" w:hAnsi="Arial"/>
                <w:b w:val="0"/>
                <w:sz w:val="18"/>
              </w:rPr>
              <w:t>0.89480</w:t>
            </w:r>
          </w:p>
        </w:tc>
        <w:tc>
          <w:tcPr>
            <w:tcW w:type="dxa" w:w="3360"/>
            <w:vAlign w:val="center"/>
          </w:tcPr>
          <w:p>
            <w:pPr>
              <w:spacing w:after="0"/>
            </w:pPr>
            <w:r>
              <w:rPr>
                <w:rFonts w:ascii="Arial" w:hAnsi="Arial"/>
                <w:sz w:val="18"/>
              </w:rPr>
            </w:r>
            <w:r>
              <w:rPr>
                <w:rFonts w:ascii="Arial" w:hAnsi="Arial"/>
                <w:b w:val="0"/>
                <w:sz w:val="18"/>
              </w:rPr>
              <w:t>497.06</w:t>
            </w:r>
          </w:p>
        </w:tc>
        <w:tc>
          <w:tcPr>
            <w:tcW w:type="dxa" w:w="3360"/>
            <w:vAlign w:val="center"/>
          </w:tcPr>
          <w:p>
            <w:pPr>
              <w:spacing w:after="0"/>
            </w:pPr>
            <w:r>
              <w:rPr>
                <w:rFonts w:ascii="Arial" w:hAnsi="Arial"/>
                <w:sz w:val="18"/>
              </w:rPr>
            </w:r>
            <w:r>
              <w:rPr>
                <w:rFonts w:ascii="Arial" w:hAnsi="Arial"/>
                <w:b w:val="0"/>
                <w:sz w:val="18"/>
              </w:rPr>
              <w:t>DM-002</w:t>
            </w:r>
          </w:p>
        </w:tc>
      </w:tr>
      <w:tr>
        <w:tc>
          <w:tcPr>
            <w:tcW w:type="dxa" w:w="3360"/>
            <w:vAlign w:val="center"/>
          </w:tcPr>
          <w:p>
            <w:pPr>
              <w:spacing w:after="0"/>
            </w:pPr>
            <w:r>
              <w:rPr>
                <w:rFonts w:ascii="Arial" w:hAnsi="Arial"/>
                <w:sz w:val="18"/>
              </w:rPr>
            </w:r>
            <w:r>
              <w:rPr>
                <w:rFonts w:ascii="Arial" w:hAnsi="Arial"/>
                <w:b w:val="0"/>
                <w:sz w:val="18"/>
              </w:rPr>
              <w:t>0.90466</w:t>
            </w:r>
          </w:p>
        </w:tc>
        <w:tc>
          <w:tcPr>
            <w:tcW w:type="dxa" w:w="3360"/>
            <w:vAlign w:val="center"/>
          </w:tcPr>
          <w:p>
            <w:pPr>
              <w:spacing w:after="0"/>
            </w:pPr>
            <w:r>
              <w:rPr>
                <w:rFonts w:ascii="Arial" w:hAnsi="Arial"/>
                <w:sz w:val="18"/>
              </w:rPr>
            </w:r>
            <w:r>
              <w:rPr>
                <w:rFonts w:ascii="Arial" w:hAnsi="Arial"/>
                <w:b w:val="0"/>
                <w:sz w:val="18"/>
              </w:rPr>
              <w:t>1,573,502.56</w:t>
            </w:r>
          </w:p>
        </w:tc>
        <w:tc>
          <w:tcPr>
            <w:tcW w:type="dxa" w:w="3360"/>
            <w:vAlign w:val="center"/>
          </w:tcPr>
          <w:p>
            <w:pPr>
              <w:spacing w:after="0"/>
            </w:pPr>
            <w:r>
              <w:rPr>
                <w:rFonts w:ascii="Arial" w:hAnsi="Arial"/>
                <w:sz w:val="18"/>
              </w:rPr>
            </w:r>
            <w:r>
              <w:rPr>
                <w:rFonts w:ascii="Arial" w:hAnsi="Arial"/>
                <w:b w:val="0"/>
                <w:sz w:val="18"/>
              </w:rPr>
              <w:t>CR-046</w:t>
            </w:r>
          </w:p>
        </w:tc>
      </w:tr>
      <w:tr>
        <w:tc>
          <w:tcPr>
            <w:tcW w:type="dxa" w:w="3360"/>
            <w:vAlign w:val="center"/>
          </w:tcPr>
          <w:p>
            <w:pPr>
              <w:spacing w:after="0"/>
            </w:pPr>
            <w:r>
              <w:rPr>
                <w:rFonts w:ascii="Arial" w:hAnsi="Arial"/>
                <w:sz w:val="18"/>
              </w:rPr>
            </w:r>
            <w:r>
              <w:rPr>
                <w:rFonts w:ascii="Arial" w:hAnsi="Arial"/>
                <w:b w:val="0"/>
                <w:sz w:val="18"/>
              </w:rPr>
              <w:t>0.90597</w:t>
            </w:r>
          </w:p>
        </w:tc>
        <w:tc>
          <w:tcPr>
            <w:tcW w:type="dxa" w:w="3360"/>
            <w:vAlign w:val="center"/>
          </w:tcPr>
          <w:p>
            <w:pPr>
              <w:spacing w:after="0"/>
            </w:pPr>
            <w:r>
              <w:rPr>
                <w:rFonts w:ascii="Arial" w:hAnsi="Arial"/>
                <w:sz w:val="18"/>
              </w:rPr>
            </w:r>
            <w:r>
              <w:rPr>
                <w:rFonts w:ascii="Arial" w:hAnsi="Arial"/>
                <w:b w:val="0"/>
                <w:sz w:val="18"/>
              </w:rPr>
              <w:t>59,185.55</w:t>
            </w:r>
          </w:p>
        </w:tc>
        <w:tc>
          <w:tcPr>
            <w:tcW w:type="dxa" w:w="3360"/>
            <w:vAlign w:val="center"/>
          </w:tcPr>
          <w:p>
            <w:pPr>
              <w:spacing w:after="0"/>
            </w:pPr>
            <w:r>
              <w:rPr>
                <w:rFonts w:ascii="Arial" w:hAnsi="Arial"/>
                <w:sz w:val="18"/>
              </w:rPr>
            </w:r>
            <w:r>
              <w:rPr>
                <w:rFonts w:ascii="Arial" w:hAnsi="Arial"/>
                <w:b w:val="0"/>
                <w:sz w:val="18"/>
              </w:rPr>
              <w:t>OV-123</w:t>
            </w:r>
          </w:p>
        </w:tc>
      </w:tr>
      <w:tr>
        <w:tc>
          <w:tcPr>
            <w:tcW w:type="dxa" w:w="3360"/>
            <w:vAlign w:val="center"/>
          </w:tcPr>
          <w:p>
            <w:pPr>
              <w:spacing w:after="0"/>
            </w:pPr>
            <w:r>
              <w:rPr>
                <w:rFonts w:ascii="Arial" w:hAnsi="Arial"/>
                <w:sz w:val="18"/>
              </w:rPr>
            </w:r>
            <w:r>
              <w:rPr>
                <w:rFonts w:ascii="Arial" w:hAnsi="Arial"/>
                <w:b w:val="0"/>
                <w:sz w:val="18"/>
              </w:rPr>
              <w:t>0.90749</w:t>
            </w:r>
          </w:p>
        </w:tc>
        <w:tc>
          <w:tcPr>
            <w:tcW w:type="dxa" w:w="3360"/>
            <w:vAlign w:val="center"/>
          </w:tcPr>
          <w:p>
            <w:pPr>
              <w:spacing w:after="0"/>
            </w:pPr>
            <w:r>
              <w:rPr>
                <w:rFonts w:ascii="Arial" w:hAnsi="Arial"/>
                <w:sz w:val="18"/>
              </w:rPr>
            </w:r>
            <w:r>
              <w:rPr>
                <w:rFonts w:ascii="Arial" w:hAnsi="Arial"/>
                <w:b w:val="0"/>
                <w:sz w:val="18"/>
              </w:rPr>
              <w:t>17,642.48</w:t>
            </w:r>
          </w:p>
        </w:tc>
        <w:tc>
          <w:tcPr>
            <w:tcW w:type="dxa" w:w="3360"/>
            <w:vAlign w:val="center"/>
          </w:tcPr>
          <w:p>
            <w:pPr>
              <w:spacing w:after="0"/>
            </w:pPr>
            <w:r>
              <w:rPr>
                <w:rFonts w:ascii="Arial" w:hAnsi="Arial"/>
                <w:sz w:val="18"/>
              </w:rPr>
            </w:r>
            <w:r>
              <w:rPr>
                <w:rFonts w:ascii="Arial" w:hAnsi="Arial"/>
                <w:b w:val="0"/>
                <w:sz w:val="18"/>
              </w:rPr>
              <w:t>IN-007</w:t>
            </w:r>
          </w:p>
        </w:tc>
      </w:tr>
      <w:tr>
        <w:tc>
          <w:tcPr>
            <w:tcW w:type="dxa" w:w="3360"/>
            <w:vAlign w:val="center"/>
          </w:tcPr>
          <w:p>
            <w:pPr>
              <w:spacing w:after="0"/>
            </w:pPr>
            <w:r>
              <w:rPr>
                <w:rFonts w:ascii="Arial" w:hAnsi="Arial"/>
                <w:sz w:val="18"/>
              </w:rPr>
            </w:r>
            <w:r>
              <w:rPr>
                <w:rFonts w:ascii="Arial" w:hAnsi="Arial"/>
                <w:b w:val="0"/>
                <w:sz w:val="18"/>
              </w:rPr>
              <w:t>0.90837</w:t>
            </w:r>
          </w:p>
        </w:tc>
        <w:tc>
          <w:tcPr>
            <w:tcW w:type="dxa" w:w="3360"/>
            <w:vAlign w:val="center"/>
          </w:tcPr>
          <w:p>
            <w:pPr>
              <w:spacing w:after="0"/>
            </w:pPr>
            <w:r>
              <w:rPr>
                <w:rFonts w:ascii="Arial" w:hAnsi="Arial"/>
                <w:sz w:val="18"/>
              </w:rPr>
            </w:r>
            <w:r>
              <w:rPr>
                <w:rFonts w:ascii="Arial" w:hAnsi="Arial"/>
                <w:b w:val="0"/>
                <w:sz w:val="18"/>
              </w:rPr>
              <w:t>56,015.54</w:t>
            </w:r>
          </w:p>
        </w:tc>
        <w:tc>
          <w:tcPr>
            <w:tcW w:type="dxa" w:w="3360"/>
            <w:vAlign w:val="center"/>
          </w:tcPr>
          <w:p>
            <w:pPr>
              <w:spacing w:after="0"/>
            </w:pPr>
            <w:r>
              <w:rPr>
                <w:rFonts w:ascii="Arial" w:hAnsi="Arial"/>
                <w:sz w:val="18"/>
              </w:rPr>
            </w:r>
            <w:r>
              <w:rPr>
                <w:rFonts w:ascii="Arial" w:hAnsi="Arial"/>
                <w:b w:val="0"/>
                <w:sz w:val="18"/>
              </w:rPr>
              <w:t>DK-009</w:t>
            </w:r>
          </w:p>
        </w:tc>
      </w:tr>
      <w:tr>
        <w:tc>
          <w:tcPr>
            <w:tcW w:type="dxa" w:w="3360"/>
            <w:vAlign w:val="center"/>
          </w:tcPr>
          <w:p>
            <w:pPr>
              <w:spacing w:after="0"/>
            </w:pPr>
            <w:r>
              <w:rPr>
                <w:rFonts w:ascii="Arial" w:hAnsi="Arial"/>
                <w:sz w:val="18"/>
              </w:rPr>
            </w:r>
            <w:r>
              <w:rPr>
                <w:rFonts w:ascii="Arial" w:hAnsi="Arial"/>
                <w:b w:val="0"/>
                <w:sz w:val="18"/>
              </w:rPr>
              <w:t>0.91493</w:t>
            </w:r>
          </w:p>
        </w:tc>
        <w:tc>
          <w:tcPr>
            <w:tcW w:type="dxa" w:w="3360"/>
            <w:vAlign w:val="center"/>
          </w:tcPr>
          <w:p>
            <w:pPr>
              <w:spacing w:after="0"/>
            </w:pPr>
            <w:r>
              <w:rPr>
                <w:rFonts w:ascii="Arial" w:hAnsi="Arial"/>
                <w:sz w:val="18"/>
              </w:rPr>
            </w:r>
            <w:r>
              <w:rPr>
                <w:rFonts w:ascii="Arial" w:hAnsi="Arial"/>
                <w:b w:val="0"/>
                <w:sz w:val="18"/>
              </w:rPr>
              <w:t>1,280,173.36</w:t>
            </w:r>
          </w:p>
        </w:tc>
        <w:tc>
          <w:tcPr>
            <w:tcW w:type="dxa" w:w="3360"/>
            <w:vAlign w:val="center"/>
          </w:tcPr>
          <w:p>
            <w:pPr>
              <w:spacing w:after="0"/>
            </w:pPr>
            <w:r>
              <w:rPr>
                <w:rFonts w:ascii="Arial" w:hAnsi="Arial"/>
                <w:sz w:val="18"/>
              </w:rPr>
            </w:r>
            <w:r>
              <w:rPr>
                <w:rFonts w:ascii="Arial" w:hAnsi="Arial"/>
                <w:b w:val="0"/>
                <w:sz w:val="18"/>
              </w:rPr>
              <w:t>OV-148</w:t>
            </w:r>
          </w:p>
        </w:tc>
      </w:tr>
      <w:tr>
        <w:tc>
          <w:tcPr>
            <w:tcW w:type="dxa" w:w="3360"/>
            <w:vAlign w:val="center"/>
          </w:tcPr>
          <w:p>
            <w:pPr>
              <w:spacing w:after="0"/>
            </w:pPr>
            <w:r>
              <w:rPr>
                <w:rFonts w:ascii="Arial" w:hAnsi="Arial"/>
                <w:sz w:val="18"/>
              </w:rPr>
            </w:r>
            <w:r>
              <w:rPr>
                <w:rFonts w:ascii="Arial" w:hAnsi="Arial"/>
                <w:b w:val="0"/>
                <w:sz w:val="18"/>
              </w:rPr>
              <w:t>0.91637</w:t>
            </w:r>
          </w:p>
        </w:tc>
        <w:tc>
          <w:tcPr>
            <w:tcW w:type="dxa" w:w="3360"/>
            <w:vAlign w:val="center"/>
          </w:tcPr>
          <w:p>
            <w:pPr>
              <w:spacing w:after="0"/>
            </w:pPr>
            <w:r>
              <w:rPr>
                <w:rFonts w:ascii="Arial" w:hAnsi="Arial"/>
                <w:sz w:val="18"/>
              </w:rPr>
            </w:r>
            <w:r>
              <w:rPr>
                <w:rFonts w:ascii="Arial" w:hAnsi="Arial"/>
                <w:b w:val="0"/>
                <w:sz w:val="18"/>
              </w:rPr>
              <w:t>15,053.60</w:t>
            </w:r>
          </w:p>
        </w:tc>
        <w:tc>
          <w:tcPr>
            <w:tcW w:type="dxa" w:w="3360"/>
            <w:vAlign w:val="center"/>
          </w:tcPr>
          <w:p>
            <w:pPr>
              <w:spacing w:after="0"/>
            </w:pPr>
            <w:r>
              <w:rPr>
                <w:rFonts w:ascii="Arial" w:hAnsi="Arial"/>
                <w:sz w:val="18"/>
              </w:rPr>
            </w:r>
            <w:r>
              <w:rPr>
                <w:rFonts w:ascii="Arial" w:hAnsi="Arial"/>
                <w:b w:val="0"/>
                <w:sz w:val="18"/>
              </w:rPr>
              <w:t>SW-019</w:t>
            </w:r>
          </w:p>
        </w:tc>
      </w:tr>
    </w:tbl>
    <w:p>
      <w:pPr>
        <w:pStyle w:val="Heading1"/>
      </w:pPr>
      <w:r>
        <w:t>4. Questions and Answers</w:t>
      </w:r>
    </w:p>
    <w:p>
      <w:pPr>
        <w:pStyle w:val="Heading2"/>
      </w:pPr>
      <w:r>
        <w:t>Q1. Why do we use the EM algorithm to estimate machine yield rate?</w:t>
      </w:r>
    </w:p>
    <w:p>
      <w:r>
        <w:t>The machine yield rates are not directly observable because a final defect can be caused by one of several machines used earlier in the process. EM is useful because it handles this hidden-cause problem: the E-step estimates how many observed bad pieces should be assigned to each possible machine, and the M-step updates each machine yield rate from those expected bad and good counts. Repeating the two steps gives a maximum-likelihood estimate even when the defect source is latent.</w:t>
      </w:r>
    </w:p>
    <w:p>
      <w:pPr>
        <w:pStyle w:val="Heading2"/>
      </w:pPr>
      <w:r>
        <w:t>Q2. After the manufacturer has the machine yield-rate estimation results, what can they do?</w:t>
      </w:r>
    </w:p>
    <w:p>
      <w:r>
        <w:t>The manufacturer can rank machines by estimated yield rate and expected bad pieces, identify the machines most likely to create defects, prioritize maintenance or calibration, schedule inspection for high-risk stations, and compare machines in the same process stage. The result supports targeted process improvement instead of stopping or checking every machine equally.</w:t>
      </w:r>
    </w:p>
    <w:p>
      <w:pPr>
        <w:pStyle w:val="Heading2"/>
      </w:pPr>
      <w:r>
        <w:t>Q3. What did I learn from this lab?</w:t>
      </w:r>
    </w:p>
    <w:p>
      <w:r>
        <w:t>I learned how an EM workflow converts incomplete manufacturing observations into usable machine-level estimates. I also learned how preprocessing matters: lot grouping, one-hot machine encoding, lot yield calculation, and careful handling of bad pieces all affect the final yield-rate ranking.</w:t>
      </w:r>
    </w:p>
    <w:p>
      <w:pPr>
        <w:pStyle w:val="Heading2"/>
      </w:pPr>
      <w:r>
        <w:t>Q4. Any questions and/or difficulties in following the EM Algorithm topic?</w:t>
      </w:r>
    </w:p>
    <w:p>
      <w:r>
        <w:t>The most difficult part is understanding the E-step allocation: one observed defect is distributed across several possible machines according to the current yield-rate estimates and the machines that came before it. Another practical difficulty is that the real dataset is much larger, so running the EM iterations takes noticeably longer than the simplified case.</w:t>
      </w:r>
    </w:p>
    <w:p>
      <w:pPr>
        <w:pStyle w:val="Heading1"/>
      </w:pPr>
      <w:r>
        <w:t>5. Conclusion</w:t>
      </w:r>
    </w:p>
    <w:p>
      <w:r>
        <w:t>For the simplified dataset, MS-14 has the lowest estimated yield rate. For the real-world dataset, LS-061 has the lowest estimated yield rate, followed by PL-021 and LS-070. These machines should be reviewed first because the EM results indicate they are the most likely contributors to observed defects.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6464"/>
        <w:sz w:val="18"/>
      </w:rPr>
      <w:t>EM Lab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6464"/>
        <w:sz w:val="18"/>
      </w:rPr>
      <w:t>In-Class Exercise - EM Algorithm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