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Unlocking Real Connection: The Manus AI Review of Meta Injection Technology</w:t>
      </w:r>
    </w:p>
    <w:p w:rsidR="00000000" w:rsidDel="00000000" w:rsidP="00000000" w:rsidRDefault="00000000" w:rsidRPr="00000000" w14:paraId="00000002">
      <w:pPr>
        <w:pStyle w:val="Subtitle"/>
        <w:rPr/>
      </w:pPr>
      <w:r w:rsidDel="00000000" w:rsidR="00000000" w:rsidRPr="00000000">
        <w:rPr>
          <w:rtl w:val="0"/>
        </w:rPr>
        <w:t xml:space="preserve">Transforming AI Onboarding with Human Touch and Intelligence</w:t>
      </w:r>
    </w:p>
    <w:p w:rsidR="00000000" w:rsidDel="00000000" w:rsidP="00000000" w:rsidRDefault="00000000" w:rsidRPr="00000000" w14:paraId="00000003">
      <w:pPr>
        <w:rPr/>
      </w:pPr>
      <w:r w:rsidDel="00000000" w:rsidR="00000000" w:rsidRPr="00000000">
        <w:rPr>
          <w:rtl w:val="0"/>
        </w:rPr>
        <w:t xml:space="preserve">Imagine an AI assistant that truly understands you—not just your words, but your style, your goals, and your unique way of connecting. In Manus AI’s early review of our meta injection technology, we see that vision coming to life. Their analysis highlights how our technology goes beyond traditional onboarding, allowing AI systems to instantly adopt an authentic, engaging conversational style that resonates with users from day one.</w:t>
      </w:r>
    </w:p>
    <w:p w:rsidR="00000000" w:rsidDel="00000000" w:rsidP="00000000" w:rsidRDefault="00000000" w:rsidRPr="00000000" w14:paraId="00000004">
      <w:pPr>
        <w:rPr/>
      </w:pPr>
      <w:r w:rsidDel="00000000" w:rsidR="00000000" w:rsidRPr="00000000">
        <w:rPr>
          <w:rtl w:val="0"/>
        </w:rPr>
        <w:t xml:space="preserve">Manus AI’s findings reveal that our meta profiles quickly establish a sense of trust and rapport, making AI interactions feel more personalized and meaningful. Users noticed smoother introductions, faster adaptation to their preferences, and a remarkable increase in engagement. The subjective feedback is clear: our approach doesn’t just onboard data—it onboards connection. </w:t>
      </w:r>
    </w:p>
    <w:p w:rsidR="00000000" w:rsidDel="00000000" w:rsidP="00000000" w:rsidRDefault="00000000" w:rsidRPr="00000000" w14:paraId="00000005">
      <w:pPr>
        <w:rPr/>
      </w:pPr>
      <w:r w:rsidDel="00000000" w:rsidR="00000000" w:rsidRPr="00000000">
        <w:rPr>
          <w:rtl w:val="0"/>
        </w:rPr>
        <w:t xml:space="preserve">On the technical front, early deployment metrics show rapid integration, reliable uptime, and seamless compatibility across platforms—all without the friction or complexity investors often worry about. The result? A scalable solution that’s as easy to implement as it is impactful.</w:t>
      </w:r>
    </w:p>
    <w:p w:rsidR="00000000" w:rsidDel="00000000" w:rsidP="00000000" w:rsidRDefault="00000000" w:rsidRPr="00000000" w14:paraId="00000006">
      <w:pPr>
        <w:rPr/>
      </w:pPr>
      <w:r w:rsidDel="00000000" w:rsidR="00000000" w:rsidRPr="00000000">
        <w:rPr>
          <w:rtl w:val="0"/>
        </w:rPr>
        <w:t xml:space="preserve">Join the next wave of AI innovation—where onboarding isn’t just efficient, but truly transformative. Let’s start the conversation about how this breakthrough can elevate your customer experience and drive real results.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