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Từ giáo án Bloom đến nền tảng học tương tác</w:t>
      </w:r>
    </w:p>
    <w:p>
      <w:pPr>
        <w:spacing w:after="60"/>
      </w:pPr>
      <w:r>
        <w:rPr>
          <w:b/>
          <w:bCs/>
          <w:color w:val="1E4D38"/>
          <w:sz w:val="26"/>
          <w:szCs w:val="26"/>
        </w:rPr>
        <w:t xml:space="preserve">Bản thiết kế (blueprint) cho Bạn Cùng Học (BCH)</w:t>
      </w:r>
    </w:p>
    <w:p>
      <w:pPr>
        <w:spacing w:after="240"/>
      </w:pPr>
      <w:r>
        <w:rPr>
          <w:color w:val="6A6050"/>
          <w:sz w:val="20"/>
          <w:szCs w:val="20"/>
        </w:rPr>
        <w:t xml:space="preserve">Mục tiêu: đảm bảo chất lượng đầu ra của từng bài học và toàn khóa, đồng thời duy trì sự gắn kết của người học. Minh họa qua bài Bệnh học Tâm lý — Chẩn đoán &amp; Phân loại.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D5FBA" w:sz="18"/>
              <w:bottom w:val="none"/>
              <w:right w:val="none"/>
            </w:tcBorders>
            <w:shd w:fill="EDF0F9" w:val="clear"/>
            <w:tcMar>
              <w:top w:type="dxa" w:w="120"/>
              <w:left w:type="dxa" w:w="160"/>
              <w:bottom w:type="dxa" w:w="120"/>
              <w:right w:type="dxa" w:w="160"/>
            </w:tcMar>
          </w:tcPr>
          <w:p>
            <w:pPr>
              <w:spacing w:after="40"/>
            </w:pPr>
            <w:r>
              <w:rPr>
                <w:b/>
                <w:bCs/>
                <w:color w:val="3D5FBA"/>
                <w:sz w:val="20"/>
                <w:szCs w:val="20"/>
              </w:rPr>
              <w:t xml:space="preserve">Tóm tắt 1 dòng</w:t>
            </w:r>
          </w:p>
          <w:p>
            <w:r>
              <w:rPr>
                <w:sz w:val="20"/>
                <w:szCs w:val="20"/>
              </w:rPr>
              <w:t xml:space="preserve">Mỗi bài học = 6 "nhịp" tương tác, mỗi nhịp gắn với một bậc Bloom. Bậc Bloom trở thành xương sống vừa thiết kế trải nghiệm, vừa là thước đo chất lượng tự động.</w:t>
            </w:r>
          </w:p>
        </w:tc>
      </w:tr>
    </w:tbl>
    <w:p>
      <w:pPr>
        <w:spacing w:after="140"/>
      </w:pPr>
      <w:r>
        <w:t xml:space="preserve"/>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Nguyên lý: Bloom là xương sống</w:t>
      </w:r>
    </w:p>
    <w:p>
      <w:pPr>
        <w:spacing w:after="140"/>
      </w:pPr>
      <w:r>
        <w:t xml:space="preserve">Giáo án theo thang Bloom đã chia mỗi bài học thành sáu mục tiêu đo lường được, từ tư duy bậc thấp đến bậc cao. Khi chuyển sang nền tảng, mỗi mục tiêu trở thành một “nhịp” tương tác trong màn hình bài học của BCH (view #view-lesson hiện có). Người học không chỉ đọc rồi làm một quiz cuối bài — họ phải thực sự thao tác ở từng bậc tư duy mới được tính hoàn thành.</w:t>
      </w:r>
    </w:p>
    <w:p>
      <w:pPr>
        <w:spacing w:after="140"/>
      </w:pPr>
      <w:r>
        <w:t xml:space="preserve">Cách này tận dụng đúng mô hình dữ liệu sẵn có của BCH (Course → Lesson → essences + quiz + assessment + certificate). Ta chỉ cần bổ sung một trường bloom cho mỗi mục tiêu/khối nội dung, phần còn lại giữ nguyên.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E4D38" w:sz="18"/>
              <w:bottom w:val="none"/>
              <w:right w:val="none"/>
            </w:tcBorders>
            <w:shd w:fill="EAF4EE" w:val="clear"/>
            <w:tcMar>
              <w:top w:type="dxa" w:w="120"/>
              <w:left w:type="dxa" w:w="160"/>
              <w:bottom w:type="dxa" w:w="120"/>
              <w:right w:type="dxa" w:w="160"/>
            </w:tcMar>
          </w:tcPr>
          <w:p>
            <w:pPr>
              <w:spacing w:after="40"/>
            </w:pPr>
            <w:r>
              <w:rPr>
                <w:b/>
                <w:bCs/>
                <w:color w:val="1E4D38"/>
                <w:sz w:val="20"/>
                <w:szCs w:val="20"/>
              </w:rPr>
              <w:t xml:space="preserve">Vì sao điều này phục vụ đúng mục đích của BCH</w:t>
            </w:r>
          </w:p>
          <w:p>
            <w:r>
              <w:rPr>
                <w:sz w:val="20"/>
                <w:szCs w:val="20"/>
              </w:rPr>
              <w:t xml:space="preserve">Tầm nhìn BCH là kiến thức được “hấp thụ sâu, không chỉ đọc qua”. Thang Bloom chính là cơ chế biến tầm nhìn đó thành tiêu chí kiểm chứng được: một bài chỉ “đạt” khi chạm đủ các bậc tư duy.</w:t>
            </w:r>
          </w:p>
        </w:tc>
      </w:tr>
    </w:tbl>
    <w:p>
      <w:pPr>
        <w:pStyle w:val="Heading1"/>
      </w:pPr>
      <w:r>
        <w:t xml:space="preserve">2. Ánh xạ: bậc Bloom → thành phần tương tác</w:t>
      </w:r>
    </w:p>
    <w:p>
      <w:pPr>
        <w:spacing w:after="140"/>
      </w:pPr>
      <w:r>
        <w:t xml:space="preserve">Bảng dưới là khuôn mẫu tái sử dụng cho mọi bài học. Cột “Tín hiệu chất lượng” là dữ liệu hệ thống thu thập tự động để chấm điểm chất lượng bài học.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630"/>
        <w:gridCol w:w="2630"/>
      </w:tblGrid>
      <w:tr>
        <w:tc>
          <w:tcPr>
            <w:tcW w:type="dxa" w:w="1500"/>
            <w:tcBorders>
              <w:top w:val="single" w:color="DDD8CC" w:sz="1"/>
              <w:left w:val="single" w:color="DDD8CC" w:sz="1"/>
              <w:bottom w:val="single" w:color="DDD8CC" w:sz="1"/>
              <w:right w:val="single" w:color="DDD8CC" w:sz="1"/>
            </w:tcBorders>
            <w:shd w:fill="3D5FBA" w:val="clear"/>
            <w:tcMar>
              <w:top w:type="dxa" w:w="80"/>
              <w:left w:type="dxa" w:w="120"/>
              <w:bottom w:type="dxa" w:w="80"/>
              <w:right w:type="dxa" w:w="120"/>
            </w:tcMar>
          </w:tcPr>
          <w:p>
            <w:r>
              <w:rPr>
                <w:b/>
                <w:bCs/>
                <w:color w:val="FFFFFF"/>
                <w:sz w:val="18"/>
                <w:szCs w:val="18"/>
              </w:rPr>
              <w:t xml:space="preserve">Bậc Bloom</w:t>
            </w:r>
          </w:p>
        </w:tc>
        <w:tc>
          <w:tcPr>
            <w:tcW w:type="dxa" w:w="2600"/>
            <w:tcBorders>
              <w:top w:val="single" w:color="DDD8CC" w:sz="1"/>
              <w:left w:val="single" w:color="DDD8CC" w:sz="1"/>
              <w:bottom w:val="single" w:color="DDD8CC" w:sz="1"/>
              <w:right w:val="single" w:color="DDD8CC" w:sz="1"/>
            </w:tcBorders>
            <w:shd w:fill="3D5FBA" w:val="clear"/>
            <w:tcMar>
              <w:top w:type="dxa" w:w="80"/>
              <w:left w:type="dxa" w:w="120"/>
              <w:bottom w:type="dxa" w:w="80"/>
              <w:right w:type="dxa" w:w="120"/>
            </w:tcMar>
          </w:tcPr>
          <w:p>
            <w:r>
              <w:rPr>
                <w:b/>
                <w:bCs/>
                <w:color w:val="FFFFFF"/>
                <w:sz w:val="18"/>
                <w:szCs w:val="18"/>
              </w:rPr>
              <w:t xml:space="preserve">Thành phần tương tác</w:t>
            </w:r>
          </w:p>
        </w:tc>
        <w:tc>
          <w:tcPr>
            <w:tcW w:type="dxa" w:w="2630"/>
            <w:tcBorders>
              <w:top w:val="single" w:color="DDD8CC" w:sz="1"/>
              <w:left w:val="single" w:color="DDD8CC" w:sz="1"/>
              <w:bottom w:val="single" w:color="DDD8CC" w:sz="1"/>
              <w:right w:val="single" w:color="DDD8CC" w:sz="1"/>
            </w:tcBorders>
            <w:shd w:fill="3D5FBA" w:val="clear"/>
            <w:tcMar>
              <w:top w:type="dxa" w:w="80"/>
              <w:left w:type="dxa" w:w="120"/>
              <w:bottom w:type="dxa" w:w="80"/>
              <w:right w:type="dxa" w:w="120"/>
            </w:tcMar>
          </w:tcPr>
          <w:p>
            <w:r>
              <w:rPr>
                <w:b/>
                <w:bCs/>
                <w:color w:val="FFFFFF"/>
                <w:sz w:val="18"/>
                <w:szCs w:val="18"/>
              </w:rPr>
              <w:t xml:space="preserve">Tín hiệu chất lượng (QA)</w:t>
            </w:r>
          </w:p>
        </w:tc>
        <w:tc>
          <w:tcPr>
            <w:tcW w:type="dxa" w:w="2630"/>
            <w:tcBorders>
              <w:top w:val="single" w:color="DDD8CC" w:sz="1"/>
              <w:left w:val="single" w:color="DDD8CC" w:sz="1"/>
              <w:bottom w:val="single" w:color="DDD8CC" w:sz="1"/>
              <w:right w:val="single" w:color="DDD8CC" w:sz="1"/>
            </w:tcBorders>
            <w:shd w:fill="3D5FBA" w:val="clear"/>
            <w:tcMar>
              <w:top w:type="dxa" w:w="80"/>
              <w:left w:type="dxa" w:w="120"/>
              <w:bottom w:type="dxa" w:w="80"/>
              <w:right w:type="dxa" w:w="120"/>
            </w:tcMar>
          </w:tcPr>
          <w:p>
            <w:r>
              <w:rPr>
                <w:b/>
                <w:bCs/>
                <w:color w:val="FFFFFF"/>
                <w:sz w:val="18"/>
                <w:szCs w:val="18"/>
              </w:rPr>
              <w:t xml:space="preserve">Móc gắn kết (engagement)</w:t>
            </w:r>
          </w:p>
        </w:tc>
      </w:tr>
      <w:tr>
        <w:tc>
          <w:tcPr>
            <w:tcW w:type="dxa" w:w="150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Nhớ</w:t>
            </w:r>
          </w:p>
        </w:tc>
        <w:tc>
          <w:tcPr>
            <w:tcW w:type="dxa" w:w="260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Thẻ lật (flashcard) thuật ngữ</w:t>
            </w:r>
          </w:p>
        </w:tc>
        <w:tc>
          <w:tcPr>
            <w:tcW w:type="dxa" w:w="263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Số thẻ đã xem; gate ≥80%</w:t>
            </w:r>
          </w:p>
        </w:tc>
        <w:tc>
          <w:tcPr>
            <w:tcW w:type="dxa" w:w="263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Khởi động nhẹ, thắng nhanh</w:t>
            </w:r>
          </w:p>
        </w:tc>
      </w:tr>
      <w:tr>
        <w:tc>
          <w:tcPr>
            <w:tcW w:type="dxa" w:w="150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Hiểu</w:t>
            </w:r>
          </w:p>
        </w:tc>
        <w:tc>
          <w:tcPr>
            <w:tcW w:type="dxa" w:w="260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Nội dung + bảng so sánh + khối Tinh hoa</w:t>
            </w:r>
          </w:p>
        </w:tc>
        <w:tc>
          <w:tcPr>
            <w:tcW w:type="dxa" w:w="263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Lưu Tinh hoa; trả lời “giải thích lại”</w:t>
            </w:r>
          </w:p>
        </w:tc>
        <w:tc>
          <w:tcPr>
            <w:tcW w:type="dxa" w:w="263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Lưu vào sổ tay cá nhân</w:t>
            </w:r>
          </w:p>
        </w:tc>
      </w:tr>
      <w:tr>
        <w:tc>
          <w:tcPr>
            <w:tcW w:type="dxa" w:w="150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Vận dụng</w:t>
            </w:r>
          </w:p>
        </w:tc>
        <w:tc>
          <w:tcPr>
            <w:tcW w:type="dxa" w:w="260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Ca lâm sàng + gán chẩn đoán + checklist tiêu chí</w:t>
            </w:r>
          </w:p>
        </w:tc>
        <w:tc>
          <w:tcPr>
            <w:tcW w:type="dxa" w:w="263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Đúng/sai câu hỏi; số tiêu chí khớp</w:t>
            </w:r>
          </w:p>
        </w:tc>
        <w:tc>
          <w:tcPr>
            <w:tcW w:type="dxa" w:w="263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Cảm giác “làm thật”</w:t>
            </w:r>
          </w:p>
        </w:tc>
      </w:tr>
      <w:tr>
        <w:tc>
          <w:tcPr>
            <w:tcW w:type="dxa" w:w="150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Phân tích</w:t>
            </w:r>
          </w:p>
        </w:tc>
        <w:tc>
          <w:tcPr>
            <w:tcW w:type="dxa" w:w="260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Bài tập xếp loại / bảng so sánh kéo-thả</w:t>
            </w:r>
          </w:p>
        </w:tc>
        <w:tc>
          <w:tcPr>
            <w:tcW w:type="dxa" w:w="263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Tỉ lệ xếp đúng</w:t>
            </w:r>
          </w:p>
        </w:tc>
        <w:tc>
          <w:tcPr>
            <w:tcW w:type="dxa" w:w="263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Thử-sai có phản hồi tức thì</w:t>
            </w:r>
          </w:p>
        </w:tc>
      </w:tr>
      <w:tr>
        <w:tc>
          <w:tcPr>
            <w:tcW w:type="dxa" w:w="150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Đánh giá</w:t>
            </w:r>
          </w:p>
        </w:tc>
        <w:tc>
          <w:tcPr>
            <w:tcW w:type="dxa" w:w="260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Thăm dò ý kiến + tranh luận (Rosenhan 1973)</w:t>
            </w:r>
          </w:p>
        </w:tc>
        <w:tc>
          <w:tcPr>
            <w:tcW w:type="dxa" w:w="263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Có đưa lập luận; chọn quan điểm</w:t>
            </w:r>
          </w:p>
        </w:tc>
        <w:tc>
          <w:tcPr>
            <w:tcW w:type="dxa" w:w="263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Thấy mình giữa cộng đồng</w:t>
            </w:r>
          </w:p>
        </w:tc>
      </w:tr>
      <w:tr>
        <w:tc>
          <w:tcPr>
            <w:tcW w:type="dxa" w:w="150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Sáng tạo</w:t>
            </w:r>
          </w:p>
        </w:tc>
        <w:tc>
          <w:tcPr>
            <w:tcW w:type="dxa" w:w="260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Soạn case formulation + tự chấm rubric</w:t>
            </w:r>
          </w:p>
        </w:tc>
        <w:tc>
          <w:tcPr>
            <w:tcW w:type="dxa" w:w="263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Đạt ≥3/4 tiêu chí rubric</w:t>
            </w:r>
          </w:p>
        </w:tc>
        <w:tc>
          <w:tcPr>
            <w:tcW w:type="dxa" w:w="263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Sản phẩm của riêng mình</w:t>
            </w:r>
          </w:p>
        </w:tc>
      </w:tr>
    </w:tbl>
    <w:p>
      <w:pPr>
        <w:spacing w:after="140"/>
      </w:pPr>
      <w:r>
        <w:t xml:space="preserve">Bản demo kèm theo (</w:t>
      </w:r>
      <w:r>
        <w:rPr>
          <w:b/>
          <w:bCs/>
        </w:rPr>
        <w:t xml:space="preserve">demo-psychopathology-interactive-lesson.html</w:t>
      </w:r>
      <w:r>
        <w:t xml:space="preserve">) hiện thực hóa đúng sáu nhịp này theo đúng design tokens của BCH (nền cream, font Lora/DM Sans, accent xanh dương cho Tâm lý học).</w:t>
      </w:r>
    </w:p>
    <w:p>
      <w:r>
        <w:br w:type="page"/>
      </w:r>
    </w:p>
    <w:p>
      <w:pPr>
        <w:pStyle w:val="Heading1"/>
      </w:pPr>
      <w:r>
        <w:t xml:space="preserve">3. Đảm bảo chất lượng đầu ra (Quality Assurance)</w:t>
      </w:r>
    </w:p>
    <w:p>
      <w:pPr>
        <w:pStyle w:val="Heading2"/>
      </w:pPr>
      <w:r>
        <w:t xml:space="preserve">3.1 Ở cấp độ từng bài học</w:t>
      </w:r>
    </w:p>
    <w:p>
      <w:pPr>
        <w:pStyle w:val="ListParagraph"/>
        <w:numPr>
          <w:ilvl w:val="0"/>
          <w:numId w:val="2"/>
        </w:numPr>
        <w:spacing w:after="60"/>
      </w:pPr>
      <w:r>
        <w:rPr>
          <w:b/>
          <w:bCs/>
        </w:rPr>
        <w:t xml:space="preserve">Cổng làm chủ (mastery gating). </w:t>
      </w:r>
      <w:r>
        <w:t xml:space="preserve">Người học phải đạt ngưỡng ở mỗi nhịp mới mở được nhịp sau. Bài chỉ được đánh dấu “hoàn thành” khi cả 6 bậc đạt — thay cho việc chỉ cuộn hết trang.</w:t>
      </w:r>
    </w:p>
    <w:p>
      <w:pPr>
        <w:pStyle w:val="ListParagraph"/>
        <w:numPr>
          <w:ilvl w:val="0"/>
          <w:numId w:val="2"/>
        </w:numPr>
        <w:spacing w:after="60"/>
      </w:pPr>
      <w:r>
        <w:rPr>
          <w:b/>
          <w:bCs/>
        </w:rPr>
        <w:t xml:space="preserve">Bao phủ Bloom bắt buộc. </w:t>
      </w:r>
      <w:r>
        <w:t xml:space="preserve">Một bài chưa “đạt chuẩn xuất bản” nếu thiếu mục tiêu ở ≥4 bậc và ít nhất một bậc cao (Phân tích/Đánh giá/Sáng tạo). Đây là checklist tự động cho người soạn bài.</w:t>
      </w:r>
    </w:p>
    <w:p>
      <w:pPr>
        <w:pStyle w:val="ListParagraph"/>
        <w:numPr>
          <w:ilvl w:val="0"/>
          <w:numId w:val="2"/>
        </w:numPr>
        <w:spacing w:after="60"/>
      </w:pPr>
      <w:r>
        <w:rPr>
          <w:b/>
          <w:bCs/>
        </w:rPr>
        <w:t xml:space="preserve">Phân tích câu hỏi (item analysis). </w:t>
      </w:r>
      <w:r>
        <w:t xml:space="preserve">Theo dõi tỉ lệ trả lời đúng từng câu; câu quá dễ (&gt;95%) hoặc quá khó (&lt;25%) được gắn cờ để rà soát — bảo đảm độ giá trị của bài kiểm tra.</w:t>
      </w:r>
    </w:p>
    <w:p>
      <w:pPr>
        <w:pStyle w:val="ListParagraph"/>
        <w:numPr>
          <w:ilvl w:val="0"/>
          <w:numId w:val="2"/>
        </w:numPr>
        <w:spacing w:after="60"/>
      </w:pPr>
      <w:r>
        <w:rPr>
          <w:b/>
          <w:bCs/>
        </w:rPr>
        <w:t xml:space="preserve">Tỉ lệ thu giữ Tinh hoa. </w:t>
      </w:r>
      <w:r>
        <w:t xml:space="preserve">Nếu rất ít người lưu Tinh hoa của một bài, có thể nội dung chưa đủ “đáng nhớ” → tín hiệu cải thiện.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07818" w:sz="18"/>
              <w:bottom w:val="none"/>
              <w:right w:val="none"/>
            </w:tcBorders>
            <w:shd w:fill="FDF5E4" w:val="clear"/>
            <w:tcMar>
              <w:top w:type="dxa" w:w="120"/>
              <w:left w:type="dxa" w:w="160"/>
              <w:bottom w:type="dxa" w:w="120"/>
              <w:right w:type="dxa" w:w="160"/>
            </w:tcMar>
          </w:tcPr>
          <w:p>
            <w:pPr>
              <w:spacing w:after="40"/>
            </w:pPr>
            <w:r>
              <w:rPr>
                <w:b/>
                <w:bCs/>
                <w:color w:val="C07818"/>
                <w:sz w:val="20"/>
                <w:szCs w:val="20"/>
              </w:rPr>
              <w:t xml:space="preserve">Trong demo</w:t>
            </w:r>
          </w:p>
          <w:p>
            <w:r>
              <w:rPr>
                <w:sz w:val="20"/>
                <w:szCs w:val="20"/>
              </w:rPr>
              <w:t xml:space="preserve">Thanh bên phải “Bao phủ Bloom (đảm bảo chất lượng)” cập nhật trực tiếp: từng bậc chỉ chuyển sang “● đạt” khi người học hoàn thành tương tác của bậc đó. Bài chỉ 100% khi đủ 6/6.</w:t>
            </w:r>
          </w:p>
        </w:tc>
      </w:tr>
    </w:tbl>
    <w:p>
      <w:pPr>
        <w:pStyle w:val="Heading2"/>
      </w:pPr>
      <w:r>
        <w:t xml:space="preserve">3.2 Ở cấp độ toàn khóa</w:t>
      </w:r>
    </w:p>
    <w:p>
      <w:pPr>
        <w:pStyle w:val="ListParagraph"/>
        <w:numPr>
          <w:ilvl w:val="0"/>
          <w:numId w:val="3"/>
        </w:numPr>
        <w:spacing w:after="60"/>
      </w:pPr>
      <w:r>
        <w:rPr>
          <w:b/>
          <w:bCs/>
        </w:rPr>
        <w:t xml:space="preserve">Ma trận bao phủ mục tiêu. </w:t>
      </w:r>
      <w:r>
        <w:t xml:space="preserve">Mỗi mục tiêu học tập phải được nối tới ≥1 câu trong bài kiểm tra cuối khóa — không mục tiêu nào “rơi rớt”.</w:t>
      </w:r>
    </w:p>
    <w:p>
      <w:pPr>
        <w:pStyle w:val="ListParagraph"/>
        <w:numPr>
          <w:ilvl w:val="0"/>
          <w:numId w:val="3"/>
        </w:numPr>
        <w:spacing w:after="60"/>
      </w:pPr>
      <w:r>
        <w:rPr>
          <w:b/>
          <w:bCs/>
        </w:rPr>
        <w:t xml:space="preserve">Ngưỡng đạt ≥80% (giữ nguyên cơ chế hiện có), </w:t>
      </w:r>
      <w:r>
        <w:t xml:space="preserve">nhưng có trọng số cho câu hỏi bậc cao để chứng chỉ phản ánh tư duy sâu, không chỉ ghi nhớ.</w:t>
      </w:r>
    </w:p>
    <w:p>
      <w:pPr>
        <w:pStyle w:val="ListParagraph"/>
        <w:numPr>
          <w:ilvl w:val="0"/>
          <w:numId w:val="3"/>
        </w:numPr>
        <w:spacing w:after="60"/>
      </w:pPr>
      <w:r>
        <w:rPr>
          <w:b/>
          <w:bCs/>
        </w:rPr>
        <w:t xml:space="preserve">Bảng phân bố Bloom toàn khóa. </w:t>
      </w:r>
      <w:r>
        <w:t xml:space="preserve">Dashboard cho thấy khóa học có bị lệch về bậc thấp không; mục tiêu là một “đường dốc” đều lên các bậc cao.</w:t>
      </w:r>
    </w:p>
    <w:p>
      <w:pPr>
        <w:pStyle w:val="ListParagraph"/>
        <w:numPr>
          <w:ilvl w:val="0"/>
          <w:numId w:val="3"/>
        </w:numPr>
        <w:spacing w:after="60"/>
      </w:pPr>
      <w:r>
        <w:rPr>
          <w:b/>
          <w:bCs/>
        </w:rPr>
        <w:t xml:space="preserve">Định nghĩa “Done” sẵn có. </w:t>
      </w:r>
      <w:r>
        <w:t xml:space="preserve">Tận dụng đúng checklist trong ROADMAP.md: Functional, Mobile-ready, Accessible (contrast ≥4.5:1), Tested, Documented.</w:t>
      </w:r>
    </w:p>
    <w:p>
      <w:pPr>
        <w:pStyle w:val="Heading1"/>
      </w:pPr>
      <w:r>
        <w:t xml:space="preserve">4. Duy trì sự gắn kết của người học</w:t>
      </w:r>
    </w:p>
    <w:p>
      <w:pPr>
        <w:spacing w:after="140"/>
      </w:pPr>
      <w:r>
        <w:t xml:space="preserve">Các cơ chế dưới đây phần lớn đã nằm trong roadmap BCH — bản thiết kế này chỉ gắn chúng vào khung Bloom để vừa “giữ chân” vừa “học sâu”.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8CC" w:sz="1"/>
              <w:left w:val="single" w:color="DDD8CC" w:sz="1"/>
              <w:bottom w:val="single" w:color="DDD8CC" w:sz="1"/>
              <w:right w:val="single" w:color="DDD8CC" w:sz="1"/>
            </w:tcBorders>
            <w:shd w:fill="3D5FBA" w:val="clear"/>
            <w:tcMar>
              <w:top w:type="dxa" w:w="80"/>
              <w:left w:type="dxa" w:w="120"/>
              <w:bottom w:type="dxa" w:w="80"/>
              <w:right w:type="dxa" w:w="120"/>
            </w:tcMar>
          </w:tcPr>
          <w:p>
            <w:r>
              <w:rPr>
                <w:b/>
                <w:bCs/>
                <w:color w:val="FFFFFF"/>
                <w:sz w:val="18"/>
                <w:szCs w:val="18"/>
              </w:rPr>
              <w:t xml:space="preserve">Cơ chế</w:t>
            </w:r>
          </w:p>
        </w:tc>
        <w:tc>
          <w:tcPr>
            <w:tcW w:type="dxa" w:w="6240"/>
            <w:tcBorders>
              <w:top w:val="single" w:color="DDD8CC" w:sz="1"/>
              <w:left w:val="single" w:color="DDD8CC" w:sz="1"/>
              <w:bottom w:val="single" w:color="DDD8CC" w:sz="1"/>
              <w:right w:val="single" w:color="DDD8CC" w:sz="1"/>
            </w:tcBorders>
            <w:shd w:fill="3D5FBA" w:val="clear"/>
            <w:tcMar>
              <w:top w:type="dxa" w:w="80"/>
              <w:left w:type="dxa" w:w="120"/>
              <w:bottom w:type="dxa" w:w="80"/>
              <w:right w:type="dxa" w:w="120"/>
            </w:tcMar>
          </w:tcPr>
          <w:p>
            <w:r>
              <w:rPr>
                <w:b/>
                <w:bCs/>
                <w:color w:val="FFFFFF"/>
                <w:sz w:val="18"/>
                <w:szCs w:val="18"/>
              </w:rPr>
              <w:t xml:space="preserve">Cách triển khai trong BCH</w:t>
            </w:r>
          </w:p>
        </w:tc>
      </w:tr>
      <w:tr>
        <w:tc>
          <w:tcPr>
            <w:tcW w:type="dxa" w:w="312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Key Essence + Sổ tay</w:t>
            </w:r>
          </w:p>
        </w:tc>
        <w:tc>
          <w:tcPr>
            <w:tcW w:type="dxa" w:w="624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Điểm khác biệt sẵn có — biến nội dung thành ghi chú cá nhân (đã có trong MVP).</w:t>
            </w:r>
          </w:p>
        </w:tc>
      </w:tr>
      <w:tr>
        <w:tc>
          <w:tcPr>
            <w:tcW w:type="dxa" w:w="312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Lặp lại ngắt quãng (spaced repetition)</w:t>
            </w:r>
          </w:p>
        </w:tc>
        <w:tc>
          <w:tcPr>
            <w:tcW w:type="dxa" w:w="624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Nhắc ôn Tinh hoa theo chu kỳ Leitner — đã có ở roadmap v0.3; gắn với bậc Nhớ/Hiểu.</w:t>
            </w:r>
          </w:p>
        </w:tc>
      </w:tr>
      <w:tr>
        <w:tc>
          <w:tcPr>
            <w:tcW w:type="dxa" w:w="312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XP, chuỗi ngày học, thăng cấp</w:t>
            </w:r>
          </w:p>
        </w:tc>
        <w:tc>
          <w:tcPr>
            <w:tcW w:type="dxa" w:w="624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Thưởng cho việc hoàn thành đủ bậc Bloom, không chỉ mở bài — roadmap v0.4.</w:t>
            </w:r>
          </w:p>
        </w:tc>
      </w:tr>
      <w:tr>
        <w:tc>
          <w:tcPr>
            <w:tcW w:type="dxa" w:w="312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Ca lâm sàng tương tác / bệnh nhân ảo</w:t>
            </w:r>
          </w:p>
        </w:tc>
        <w:tc>
          <w:tcPr>
            <w:tcW w:type="dxa" w:w="624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Hợp hoàn hảo với bậc Vận dụng &amp; Phân tích — đang ở backlog, nên ưu tiên.</w:t>
            </w:r>
          </w:p>
        </w:tc>
      </w:tr>
      <w:tr>
        <w:tc>
          <w:tcPr>
            <w:tcW w:type="dxa" w:w="312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Thăm dò cộng đồng &amp; tranh luận</w:t>
            </w:r>
          </w:p>
        </w:tc>
        <w:tc>
          <w:tcPr>
            <w:tcW w:type="dxa" w:w="624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Hiển thị “% bạn học chọn” tạo cảm giác đồng hành (xem nhịp Đánh giá trong demo).</w:t>
            </w:r>
          </w:p>
        </w:tc>
      </w:tr>
      <w:tr>
        <w:tc>
          <w:tcPr>
            <w:tcW w:type="dxa" w:w="312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Tiến độ + chứng chỉ + email digest</w:t>
            </w:r>
          </w:p>
        </w:tc>
        <w:tc>
          <w:tcPr>
            <w:tcW w:type="dxa" w:w="624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Vòng phản hồi rõ ràng; digest hàng tuần nhắc các bài chưa ôn (roadmap v0.3).</w:t>
            </w:r>
          </w:p>
        </w:tc>
      </w:tr>
    </w:tbl>
    <w:p>
      <w:r>
        <w:br w:type="page"/>
      </w:r>
    </w:p>
    <w:p>
      <w:pPr>
        <w:pStyle w:val="Heading1"/>
      </w:pPr>
      <w:r>
        <w:t xml:space="preserve">5. Khuyến nghị công nghệ (stack)</w:t>
      </w:r>
    </w:p>
    <w:p>
      <w:pPr>
        <w:spacing w:after="140"/>
      </w:pPr>
      <w:r>
        <w:t xml:space="preserve">MVP hiện tại là một file HTML thuần — tuyệt vời để xác thực ý tưởng, nhưng không lưu được tiến độ và khó mở rộng. Khuyến nghị chuyển dần, bám theo đúng roadmap BCH: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8CC" w:sz="1"/>
              <w:left w:val="single" w:color="DDD8CC" w:sz="1"/>
              <w:bottom w:val="single" w:color="DDD8CC" w:sz="1"/>
              <w:right w:val="single" w:color="DDD8CC" w:sz="1"/>
            </w:tcBorders>
            <w:shd w:fill="3D5FBA" w:val="clear"/>
            <w:tcMar>
              <w:top w:type="dxa" w:w="80"/>
              <w:left w:type="dxa" w:w="120"/>
              <w:bottom w:type="dxa" w:w="80"/>
              <w:right w:type="dxa" w:w="120"/>
            </w:tcMar>
          </w:tcPr>
          <w:p>
            <w:r>
              <w:rPr>
                <w:b/>
                <w:bCs/>
                <w:color w:val="FFFFFF"/>
                <w:sz w:val="18"/>
                <w:szCs w:val="18"/>
              </w:rPr>
              <w:t xml:space="preserve">Lớp</w:t>
            </w:r>
          </w:p>
        </w:tc>
        <w:tc>
          <w:tcPr>
            <w:tcW w:type="dxa" w:w="3480"/>
            <w:tcBorders>
              <w:top w:val="single" w:color="DDD8CC" w:sz="1"/>
              <w:left w:val="single" w:color="DDD8CC" w:sz="1"/>
              <w:bottom w:val="single" w:color="DDD8CC" w:sz="1"/>
              <w:right w:val="single" w:color="DDD8CC" w:sz="1"/>
            </w:tcBorders>
            <w:shd w:fill="3D5FBA" w:val="clear"/>
            <w:tcMar>
              <w:top w:type="dxa" w:w="80"/>
              <w:left w:type="dxa" w:w="120"/>
              <w:bottom w:type="dxa" w:w="80"/>
              <w:right w:type="dxa" w:w="120"/>
            </w:tcMar>
          </w:tcPr>
          <w:p>
            <w:r>
              <w:rPr>
                <w:b/>
                <w:bCs/>
                <w:color w:val="FFFFFF"/>
                <w:sz w:val="18"/>
                <w:szCs w:val="18"/>
              </w:rPr>
              <w:t xml:space="preserve">Khuyến nghị</w:t>
            </w:r>
          </w:p>
        </w:tc>
        <w:tc>
          <w:tcPr>
            <w:tcW w:type="dxa" w:w="3480"/>
            <w:tcBorders>
              <w:top w:val="single" w:color="DDD8CC" w:sz="1"/>
              <w:left w:val="single" w:color="DDD8CC" w:sz="1"/>
              <w:bottom w:val="single" w:color="DDD8CC" w:sz="1"/>
              <w:right w:val="single" w:color="DDD8CC" w:sz="1"/>
            </w:tcBorders>
            <w:shd w:fill="3D5FBA" w:val="clear"/>
            <w:tcMar>
              <w:top w:type="dxa" w:w="80"/>
              <w:left w:type="dxa" w:w="120"/>
              <w:bottom w:type="dxa" w:w="80"/>
              <w:right w:type="dxa" w:w="120"/>
            </w:tcMar>
          </w:tcPr>
          <w:p>
            <w:r>
              <w:rPr>
                <w:b/>
                <w:bCs/>
                <w:color w:val="FFFFFF"/>
                <w:sz w:val="18"/>
                <w:szCs w:val="18"/>
              </w:rPr>
              <w:t xml:space="preserve">Lý do</w:t>
            </w:r>
          </w:p>
        </w:tc>
      </w:tr>
      <w:tr>
        <w:tc>
          <w:tcPr>
            <w:tcW w:type="dxa" w:w="240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Frontend</w:t>
            </w:r>
          </w:p>
        </w:tc>
        <w:tc>
          <w:tcPr>
            <w:tcW w:type="dxa" w:w="348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SvelteKit (hoặc Next.js) + Tailwind CSS dùng lại design tokens hiện có</w:t>
            </w:r>
          </w:p>
        </w:tc>
        <w:tc>
          <w:tcPr>
            <w:tcW w:type="dxa" w:w="348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SSR tốt cho SEO bài viết; Tailwind map thẳng các biến --blue/--green/--r đã định nghĩa</w:t>
            </w:r>
          </w:p>
        </w:tc>
      </w:tr>
      <w:tr>
        <w:tc>
          <w:tcPr>
            <w:tcW w:type="dxa" w:w="240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Backend</w:t>
            </w:r>
          </w:p>
        </w:tc>
        <w:tc>
          <w:tcPr>
            <w:tcW w:type="dxa" w:w="348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Supabase (Auth + PostgreSQL + Storage)</w:t>
            </w:r>
          </w:p>
        </w:tc>
        <w:tc>
          <w:tcPr>
            <w:tcW w:type="dxa" w:w="348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Đúng đề xuất trong ARCHITECTURE.md; có sẵn auth, DB, realtime — lưu tiến độ &amp; essences</w:t>
            </w:r>
          </w:p>
        </w:tc>
      </w:tr>
      <w:tr>
        <w:tc>
          <w:tcPr>
            <w:tcW w:type="dxa" w:w="240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Nội dung (CMS)</w:t>
            </w:r>
          </w:p>
        </w:tc>
        <w:tc>
          <w:tcPr>
            <w:tcW w:type="dxa" w:w="348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Notion API → đồng bộ JSON (đã có tracker Notion trong dự án)</w:t>
            </w:r>
          </w:p>
        </w:tc>
        <w:tc>
          <w:tcPr>
            <w:tcW w:type="dxa" w:w="348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Người soạn bài làm trong Notion; thêm trường bloom cho mỗi khối nội dung</w:t>
            </w:r>
          </w:p>
        </w:tc>
      </w:tr>
      <w:tr>
        <w:tc>
          <w:tcPr>
            <w:tcW w:type="dxa" w:w="240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Lặp lại ngắt quãng &amp; analytics</w:t>
            </w:r>
          </w:p>
        </w:tc>
        <w:tc>
          <w:tcPr>
            <w:tcW w:type="dxa" w:w="348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Bảng Postgres nhẹ + cron</w:t>
            </w:r>
          </w:p>
        </w:tc>
        <w:tc>
          <w:tcPr>
            <w:tcW w:type="dxa" w:w="348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Đủ cho Leitner và thống kê item analysis; không cần dịch vụ ngoài</w:t>
            </w:r>
          </w:p>
        </w:tc>
      </w:tr>
      <w:tr>
        <w:tc>
          <w:tcPr>
            <w:tcW w:type="dxa" w:w="240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Thanh toán</w:t>
            </w:r>
          </w:p>
        </w:tc>
        <w:tc>
          <w:tcPr>
            <w:tcW w:type="dxa" w:w="348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Stripe + MoMo/ZaloPay</w:t>
            </w:r>
          </w:p>
        </w:tc>
        <w:tc>
          <w:tcPr>
            <w:tcW w:type="dxa" w:w="348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Thị trường Việt Nam cần cổng nội địa bên cạnh Stripe</w:t>
            </w:r>
          </w:p>
        </w:tc>
      </w:tr>
      <w:tr>
        <w:tc>
          <w:tcPr>
            <w:tcW w:type="dxa" w:w="240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AI Tutor (sau)</w:t>
            </w:r>
          </w:p>
        </w:tc>
        <w:tc>
          <w:tcPr>
            <w:tcW w:type="dxa" w:w="348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LLM trên nội dung khóa học</w:t>
            </w:r>
          </w:p>
        </w:tc>
        <w:tc>
          <w:tcPr>
            <w:tcW w:type="dxa" w:w="348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Roadmap v1.0 — giải thích theo ngữ cảnh bài học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E4D38" w:sz="18"/>
              <w:bottom w:val="none"/>
              <w:right w:val="none"/>
            </w:tcBorders>
            <w:shd w:fill="EAF4EE" w:val="clear"/>
            <w:tcMar>
              <w:top w:type="dxa" w:w="120"/>
              <w:left w:type="dxa" w:w="160"/>
              <w:bottom w:type="dxa" w:w="120"/>
              <w:right w:type="dxa" w:w="160"/>
            </w:tcMar>
          </w:tcPr>
          <w:p>
            <w:pPr>
              <w:spacing w:after="40"/>
            </w:pPr>
            <w:r>
              <w:rPr>
                <w:b/>
                <w:bCs/>
                <w:color w:val="1E4D38"/>
                <w:sz w:val="20"/>
                <w:szCs w:val="20"/>
              </w:rPr>
              <w:t xml:space="preserve">Khuyến nghị gọn</w:t>
            </w:r>
          </w:p>
          <w:p>
            <w:r>
              <w:rPr>
                <w:sz w:val="20"/>
                <w:szCs w:val="20"/>
              </w:rPr>
              <w:t xml:space="preserve">SvelteKit + Supabase + Tailwind là điểm cân bằng tốt nhất cho BCH: nhẹ, chi phí thấp, đúng định hướng đã ghi trong ARCHITECTURE.md, và giữ được toàn bộ design system hiện tại.</w:t>
            </w:r>
          </w:p>
        </w:tc>
      </w:tr>
    </w:tbl>
    <w:p>
      <w:pPr>
        <w:pStyle w:val="Heading1"/>
      </w:pPr>
      <w:r>
        <w:t xml:space="preserve">6. Mở rộng mô hình dữ liệu</w:t>
      </w:r>
    </w:p>
    <w:p>
      <w:pPr>
        <w:spacing w:after="140"/>
      </w:pPr>
      <w:r>
        <w:t xml:space="preserve">Chỉ cần thêm một ít trường vào Lesson hiện có để mang khung Bloom và cơ chế QA — không phá vỡ cấu trúc cũ: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8CC" w:sz="1"/>
              <w:left w:val="single" w:color="DDD8CC" w:sz="1"/>
              <w:bottom w:val="single" w:color="DDD8CC" w:sz="1"/>
              <w:right w:val="single" w:color="DDD8CC" w:sz="1"/>
            </w:tcBorders>
            <w:shd w:fill="F0ECE4" w:val="clear"/>
            <w:tcMar>
              <w:top w:type="dxa" w:w="120"/>
              <w:left w:type="dxa" w:w="160"/>
              <w:bottom w:type="dxa" w:w="120"/>
              <w:right w:type="dxa" w:w="160"/>
            </w:tcMar>
          </w:tcPr>
          <w:p>
            <w:pPr>
              <w:spacing w:after="0"/>
            </w:pPr>
            <w:r>
              <w:rPr>
                <w:rFonts w:ascii="Consolas" w:cs="Consolas" w:eastAsia="Consolas" w:hAnsi="Consolas"/>
                <w:sz w:val="18"/>
                <w:szCs w:val="18"/>
              </w:rPr>
              <w:t xml:space="preserve">Lesson += {</w:t>
            </w:r>
          </w:p>
          <w:p>
            <w:pPr>
              <w:spacing w:after="0"/>
            </w:pPr>
            <w:r>
              <w:rPr>
                <w:rFonts w:ascii="Consolas" w:cs="Consolas" w:eastAsia="Consolas" w:hAnsi="Consolas"/>
                <w:sz w:val="18"/>
                <w:szCs w:val="18"/>
              </w:rPr>
              <w:t xml:space="preserve">  objectives: [</w:t>
            </w:r>
          </w:p>
          <w:p>
            <w:pPr>
              <w:spacing w:after="0"/>
            </w:pPr>
            <w:r>
              <w:rPr>
                <w:rFonts w:ascii="Consolas" w:cs="Consolas" w:eastAsia="Consolas" w:hAnsi="Consolas"/>
                <w:sz w:val="18"/>
                <w:szCs w:val="18"/>
              </w:rPr>
              <w:t xml:space="preserve">    { bloom: 'remember',   text: '...', masteryThreshold: 0.8 },</w:t>
            </w:r>
          </w:p>
          <w:p>
            <w:pPr>
              <w:spacing w:after="0"/>
            </w:pPr>
            <w:r>
              <w:rPr>
                <w:rFonts w:ascii="Consolas" w:cs="Consolas" w:eastAsia="Consolas" w:hAnsi="Consolas"/>
                <w:sz w:val="18"/>
                <w:szCs w:val="18"/>
              </w:rPr>
              <w:t xml:space="preserve">    { bloom: 'apply',      text: '...', masteryThreshold: 0.8 },</w:t>
            </w:r>
          </w:p>
          <w:p>
            <w:pPr>
              <w:spacing w:after="0"/>
            </w:pPr>
            <w:r>
              <w:rPr>
                <w:rFonts w:ascii="Consolas" w:cs="Consolas" w:eastAsia="Consolas" w:hAnsi="Consolas"/>
                <w:sz w:val="18"/>
                <w:szCs w:val="18"/>
              </w:rPr>
              <w:t xml:space="preserve">    ... // tối thiểu 4 bậc, ≥1 bậc cao</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beats: [ { bloom, type:'flashcard|quiz|vignette|sort|poll|create', data } ],</w:t>
            </w:r>
          </w:p>
          <w:p>
            <w:pPr>
              <w:spacing w:after="0"/>
            </w:pPr>
            <w:r>
              <w:rPr>
                <w:rFonts w:ascii="Consolas" w:cs="Consolas" w:eastAsia="Consolas" w:hAnsi="Consolas"/>
                <w:sz w:val="18"/>
                <w:szCs w:val="18"/>
              </w:rPr>
              <w:t xml:space="preserve">  qaStatus: { coveredLevels: 6, hasHigherOrder: true, published: true }</w:t>
            </w:r>
          </w:p>
          <w:p>
            <w:pPr>
              <w:spacing w:after="0"/>
            </w:pPr>
            <w:r>
              <w:rPr>
                <w:rFonts w:ascii="Consolas" w:cs="Consolas" w:eastAsia="Consolas" w:hAnsi="Consolas"/>
                <w:sz w:val="18"/>
                <w:szCs w:val="18"/>
              </w:rPr>
              <w:t xml:space="preserve">}</w:t>
            </w:r>
          </w:p>
        </w:tc>
      </w:tr>
    </w:tbl>
    <w:p>
      <w:pPr>
        <w:pStyle w:val="Heading1"/>
      </w:pPr>
      <w:r>
        <w:t xml:space="preserve">7. Lộ trình chuyển đổi (bám roadmap BCH)</w:t>
      </w:r>
    </w:p>
    <w:p>
      <w:pPr>
        <w:pStyle w:val="ListParagraph"/>
        <w:numPr>
          <w:ilvl w:val="0"/>
          <w:numId w:val="4"/>
        </w:numPr>
        <w:spacing w:after="60"/>
      </w:pPr>
      <w:r>
        <w:rPr>
          <w:b/>
          <w:bCs/>
        </w:rPr>
        <w:t xml:space="preserve">Ngay (tuần này): </w:t>
      </w:r>
      <w:r>
        <w:t xml:space="preserve">dùng bản demo làm chuẩn UX cho “bài học tương tác”. Chốt khuôn 6 nhịp + thanh QA bên phải.</w:t>
      </w:r>
    </w:p>
    <w:p>
      <w:pPr>
        <w:pStyle w:val="ListParagraph"/>
        <w:numPr>
          <w:ilvl w:val="0"/>
          <w:numId w:val="4"/>
        </w:numPr>
        <w:spacing w:after="60"/>
      </w:pPr>
      <w:r>
        <w:rPr>
          <w:b/>
          <w:bCs/>
        </w:rPr>
        <w:t xml:space="preserve">v0.2 — Nền tảng: </w:t>
      </w:r>
      <w:r>
        <w:t xml:space="preserve">đưa khung 6 nhịp vào SvelteKit + Supabase; lưu tiến độ &amp; essences; thêm trường bloom vào CMS.</w:t>
      </w:r>
    </w:p>
    <w:p>
      <w:pPr>
        <w:pStyle w:val="ListParagraph"/>
        <w:numPr>
          <w:ilvl w:val="0"/>
          <w:numId w:val="4"/>
        </w:numPr>
        <w:spacing w:after="60"/>
      </w:pPr>
      <w:r>
        <w:rPr>
          <w:b/>
          <w:bCs/>
        </w:rPr>
        <w:t xml:space="preserve">v0.3 — Tăng trưởng: </w:t>
      </w:r>
      <w:r>
        <w:t xml:space="preserve">bật spaced repetition trên Tinh hoa, email digest, item analysis; gói Premium.</w:t>
      </w:r>
    </w:p>
    <w:p>
      <w:pPr>
        <w:pStyle w:val="ListParagraph"/>
        <w:numPr>
          <w:ilvl w:val="0"/>
          <w:numId w:val="4"/>
        </w:numPr>
        <w:spacing w:after="60"/>
      </w:pPr>
      <w:r>
        <w:rPr>
          <w:b/>
          <w:bCs/>
        </w:rPr>
        <w:t xml:space="preserve">v0.4 — Cộng đồng: </w:t>
      </w:r>
      <w:r>
        <w:t xml:space="preserve">thăm dò/tranh luận cộng đồng ở bậc Đánh giá, XP &amp; thăng cấp, badge theo kỹ năng.</w:t>
      </w:r>
    </w:p>
    <w:p>
      <w:pPr>
        <w:pStyle w:val="ListParagraph"/>
        <w:numPr>
          <w:ilvl w:val="0"/>
          <w:numId w:val="4"/>
        </w:numPr>
        <w:spacing w:after="60"/>
      </w:pPr>
      <w:r>
        <w:rPr>
          <w:b/>
          <w:bCs/>
        </w:rPr>
        <w:t xml:space="preserve">v1.0 — Quy mô: </w:t>
      </w:r>
      <w:r>
        <w:t xml:space="preserve">ca lâm sàng/bệnh nhân ảo cho bậc Vận dụng–Phân tích, AI Tutor, mobile &amp; offline.</w:t>
      </w:r>
    </w:p>
    <w:p>
      <w:r>
        <w:br w:type="page"/>
      </w:r>
    </w:p>
    <w:p>
      <w:pPr>
        <w:pStyle w:val="Heading1"/>
      </w:pPr>
      <w:r>
        <w:t xml:space="preserve">8. Catalog các kiểu tương tác (pros/cons · khả thi · chi phí)</w:t>
      </w:r>
    </w:p>
    <w:p>
      <w:pPr>
        <w:spacing w:after="140"/>
      </w:pPr>
      <w:r>
        <w:t xml:space="preserve">Chi phí được đánh giá cho một đội ngũ rất nhỏ (1–2 người). </w:t>
      </w:r>
      <w:r>
        <w:rPr>
          <w:b/>
          <w:bCs/>
        </w:rPr>
        <w:t xml:space="preserve">Build</w:t>
      </w:r>
      <w:r>
        <w:t xml:space="preserve"> = công sức kỹ thuật một lần để tạo engine; </w:t>
      </w:r>
      <w:r>
        <w:rPr>
          <w:b/>
          <w:bCs/>
        </w:rPr>
        <w:t xml:space="preserve">Author</w:t>
      </w:r>
      <w:r>
        <w:t xml:space="preserve"> = công sức mỗi bài học. Thấp/TB/Cao. Tier 1 nên xây trước (rẻ, tái sử dụng); Tier 3 nên hoãn.</w:t>
      </w:r>
    </w:p>
    <w:p>
      <w:pPr>
        <w:pStyle w:val="Heading2"/>
      </w:pPr>
      <w:r>
        <w:t xml:space="preserve">Tier 1 — Bộ từ vựng lõi (xây trước)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380"/>
        <w:gridCol w:w="1490"/>
        <w:gridCol w:w="1490"/>
      </w:tblGrid>
      <w:tr>
        <w:tc>
          <w:tcPr>
            <w:tcW w:type="dxa" w:w="1700"/>
            <w:tcBorders>
              <w:top w:val="single" w:color="DDD8CC" w:sz="1"/>
              <w:left w:val="single" w:color="DDD8CC" w:sz="1"/>
              <w:bottom w:val="single" w:color="DDD8CC" w:sz="1"/>
              <w:right w:val="single" w:color="DDD8CC" w:sz="1"/>
            </w:tcBorders>
            <w:shd w:fill="3D5FBA" w:val="clear"/>
            <w:tcMar>
              <w:top w:type="dxa" w:w="80"/>
              <w:left w:type="dxa" w:w="120"/>
              <w:bottom w:type="dxa" w:w="80"/>
              <w:right w:type="dxa" w:w="120"/>
            </w:tcMar>
          </w:tcPr>
          <w:p>
            <w:r>
              <w:rPr>
                <w:b/>
                <w:bCs/>
                <w:color w:val="FFFFFF"/>
                <w:sz w:val="18"/>
                <w:szCs w:val="18"/>
              </w:rPr>
              <w:t xml:space="preserve">Kiểu</w:t>
            </w:r>
          </w:p>
        </w:tc>
        <w:tc>
          <w:tcPr>
            <w:tcW w:type="dxa" w:w="1300"/>
            <w:tcBorders>
              <w:top w:val="single" w:color="DDD8CC" w:sz="1"/>
              <w:left w:val="single" w:color="DDD8CC" w:sz="1"/>
              <w:bottom w:val="single" w:color="DDD8CC" w:sz="1"/>
              <w:right w:val="single" w:color="DDD8CC" w:sz="1"/>
            </w:tcBorders>
            <w:shd w:fill="3D5FBA" w:val="clear"/>
            <w:tcMar>
              <w:top w:type="dxa" w:w="80"/>
              <w:left w:type="dxa" w:w="120"/>
              <w:bottom w:type="dxa" w:w="80"/>
              <w:right w:type="dxa" w:w="120"/>
            </w:tcMar>
          </w:tcPr>
          <w:p>
            <w:r>
              <w:rPr>
                <w:b/>
                <w:bCs/>
                <w:color w:val="FFFFFF"/>
                <w:sz w:val="18"/>
                <w:szCs w:val="18"/>
              </w:rPr>
              <w:t xml:space="preserve">Bloom</w:t>
            </w:r>
          </w:p>
        </w:tc>
        <w:tc>
          <w:tcPr>
            <w:tcW w:type="dxa" w:w="3380"/>
            <w:tcBorders>
              <w:top w:val="single" w:color="DDD8CC" w:sz="1"/>
              <w:left w:val="single" w:color="DDD8CC" w:sz="1"/>
              <w:bottom w:val="single" w:color="DDD8CC" w:sz="1"/>
              <w:right w:val="single" w:color="DDD8CC" w:sz="1"/>
            </w:tcBorders>
            <w:shd w:fill="3D5FBA" w:val="clear"/>
            <w:tcMar>
              <w:top w:type="dxa" w:w="80"/>
              <w:left w:type="dxa" w:w="120"/>
              <w:bottom w:type="dxa" w:w="80"/>
              <w:right w:type="dxa" w:w="120"/>
            </w:tcMar>
          </w:tcPr>
          <w:p>
            <w:r>
              <w:rPr>
                <w:b/>
                <w:bCs/>
                <w:color w:val="FFFFFF"/>
                <w:sz w:val="18"/>
                <w:szCs w:val="18"/>
              </w:rPr>
              <w:t xml:space="preserve">Pros / Cons</w:t>
            </w:r>
          </w:p>
        </w:tc>
        <w:tc>
          <w:tcPr>
            <w:tcW w:type="dxa" w:w="1490"/>
            <w:tcBorders>
              <w:top w:val="single" w:color="DDD8CC" w:sz="1"/>
              <w:left w:val="single" w:color="DDD8CC" w:sz="1"/>
              <w:bottom w:val="single" w:color="DDD8CC" w:sz="1"/>
              <w:right w:val="single" w:color="DDD8CC" w:sz="1"/>
            </w:tcBorders>
            <w:shd w:fill="3D5FBA" w:val="clear"/>
            <w:tcMar>
              <w:top w:type="dxa" w:w="80"/>
              <w:left w:type="dxa" w:w="120"/>
              <w:bottom w:type="dxa" w:w="80"/>
              <w:right w:type="dxa" w:w="120"/>
            </w:tcMar>
          </w:tcPr>
          <w:p>
            <w:r>
              <w:rPr>
                <w:b/>
                <w:bCs/>
                <w:color w:val="FFFFFF"/>
                <w:sz w:val="18"/>
                <w:szCs w:val="18"/>
              </w:rPr>
              <w:t xml:space="preserve">Build</w:t>
            </w:r>
          </w:p>
        </w:tc>
        <w:tc>
          <w:tcPr>
            <w:tcW w:type="dxa" w:w="1490"/>
            <w:tcBorders>
              <w:top w:val="single" w:color="DDD8CC" w:sz="1"/>
              <w:left w:val="single" w:color="DDD8CC" w:sz="1"/>
              <w:bottom w:val="single" w:color="DDD8CC" w:sz="1"/>
              <w:right w:val="single" w:color="DDD8CC" w:sz="1"/>
            </w:tcBorders>
            <w:shd w:fill="3D5FBA" w:val="clear"/>
            <w:tcMar>
              <w:top w:type="dxa" w:w="80"/>
              <w:left w:type="dxa" w:w="120"/>
              <w:bottom w:type="dxa" w:w="80"/>
              <w:right w:type="dxa" w:w="120"/>
            </w:tcMar>
          </w:tcPr>
          <w:p>
            <w:r>
              <w:rPr>
                <w:b/>
                <w:bCs/>
                <w:color w:val="FFFFFF"/>
                <w:sz w:val="18"/>
                <w:szCs w:val="18"/>
              </w:rPr>
              <w:t xml:space="preserve">Author</w:t>
            </w:r>
          </w:p>
        </w:tc>
      </w:tr>
      <w:tr>
        <w:tc>
          <w:tcPr>
            <w:tcW w:type="dxa" w:w="170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Flip Flashcard</w:t>
            </w:r>
          </w:p>
        </w:tc>
        <w:tc>
          <w:tcPr>
            <w:tcW w:type="dxa" w:w="130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Nhớ</w:t>
            </w:r>
          </w:p>
        </w:tc>
        <w:tc>
          <w:tcPr>
            <w:tcW w:type="dxa" w:w="338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 Nhanh, hợp thuật ngữ, tái sử dụng. − Chỉ nhớ thụ động.</w:t>
            </w:r>
          </w:p>
        </w:tc>
        <w:tc>
          <w:tcPr>
            <w:tcW w:type="dxa" w:w="149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Thấp</w:t>
            </w:r>
          </w:p>
        </w:tc>
        <w:tc>
          <w:tcPr>
            <w:tcW w:type="dxa" w:w="149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Thấp</w:t>
            </w:r>
          </w:p>
        </w:tc>
      </w:tr>
      <w:tr>
        <w:tc>
          <w:tcPr>
            <w:tcW w:type="dxa" w:w="170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MCQ + giải thích</w:t>
            </w:r>
          </w:p>
        </w:tc>
        <w:tc>
          <w:tcPr>
            <w:tcW w:type="dxa" w:w="130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Nhớ→Vận dụng</w:t>
            </w:r>
          </w:p>
        </w:tc>
        <w:tc>
          <w:tcPr>
            <w:tcW w:type="dxa" w:w="338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 Tự chấm, dữ liệu QA mạnh, vạn năng. − Đoán mò; khó viết distractor.</w:t>
            </w:r>
          </w:p>
        </w:tc>
        <w:tc>
          <w:tcPr>
            <w:tcW w:type="dxa" w:w="149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Thấp</w:t>
            </w:r>
          </w:p>
        </w:tc>
        <w:tc>
          <w:tcPr>
            <w:tcW w:type="dxa" w:w="149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TB</w:t>
            </w:r>
          </w:p>
        </w:tc>
      </w:tr>
      <w:tr>
        <w:tc>
          <w:tcPr>
            <w:tcW w:type="dxa" w:w="170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Categorize / Sort</w:t>
            </w:r>
          </w:p>
        </w:tc>
        <w:tc>
          <w:tcPr>
            <w:tcW w:type="dxa" w:w="130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Phân tích</w:t>
            </w:r>
          </w:p>
        </w:tc>
        <w:tc>
          <w:tcPr>
            <w:tcW w:type="dxa" w:w="338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 Test phân biệt, 1 engine nhiều bài. − Chỉ hợp bài phân nhóm.</w:t>
            </w:r>
          </w:p>
        </w:tc>
        <w:tc>
          <w:tcPr>
            <w:tcW w:type="dxa" w:w="149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TB</w:t>
            </w:r>
          </w:p>
        </w:tc>
        <w:tc>
          <w:tcPr>
            <w:tcW w:type="dxa" w:w="149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TB</w:t>
            </w:r>
          </w:p>
        </w:tc>
      </w:tr>
      <w:tr>
        <w:tc>
          <w:tcPr>
            <w:tcW w:type="dxa" w:w="170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Clinical Vignette</w:t>
            </w:r>
          </w:p>
        </w:tc>
        <w:tc>
          <w:tcPr>
            <w:tcW w:type="dxa" w:w="130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Vận dụng/Phân tích</w:t>
            </w:r>
          </w:p>
        </w:tc>
        <w:tc>
          <w:tcPr>
            <w:tcW w:type="dxa" w:w="338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 Chân thực, gắn kết cao, hợp dược &amp; tâm lý. − Viết ca tốn công.</w:t>
            </w:r>
          </w:p>
        </w:tc>
        <w:tc>
          <w:tcPr>
            <w:tcW w:type="dxa" w:w="149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Thấp</w:t>
            </w:r>
          </w:p>
        </w:tc>
        <w:tc>
          <w:tcPr>
            <w:tcW w:type="dxa" w:w="149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Cao</w:t>
            </w:r>
          </w:p>
        </w:tc>
      </w:tr>
      <w:tr>
        <w:tc>
          <w:tcPr>
            <w:tcW w:type="dxa" w:w="170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Community Poll</w:t>
            </w:r>
          </w:p>
        </w:tc>
        <w:tc>
          <w:tcPr>
            <w:tcW w:type="dxa" w:w="130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Đánh giá</w:t>
            </w:r>
          </w:p>
        </w:tc>
        <w:tc>
          <w:tcPr>
            <w:tcW w:type="dxa" w:w="338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 Bằng chứng xã hội, rẻ. − Cần backend; không phải bài kiểm tra.</w:t>
            </w:r>
          </w:p>
        </w:tc>
        <w:tc>
          <w:tcPr>
            <w:tcW w:type="dxa" w:w="149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TB</w:t>
            </w:r>
          </w:p>
        </w:tc>
        <w:tc>
          <w:tcPr>
            <w:tcW w:type="dxa" w:w="149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Thấp</w:t>
            </w:r>
          </w:p>
        </w:tc>
      </w:tr>
      <w:tr>
        <w:tc>
          <w:tcPr>
            <w:tcW w:type="dxa" w:w="170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Open Response + rubric</w:t>
            </w:r>
          </w:p>
        </w:tc>
        <w:tc>
          <w:tcPr>
            <w:tcW w:type="dxa" w:w="130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Sáng tạo</w:t>
            </w:r>
          </w:p>
        </w:tc>
        <w:tc>
          <w:tcPr>
            <w:tcW w:type="dxa" w:w="338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 Đạt bậc cao nhất, phản tư. − Khó tự chấm tới khi có AI.</w:t>
            </w:r>
          </w:p>
        </w:tc>
        <w:tc>
          <w:tcPr>
            <w:tcW w:type="dxa" w:w="149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TB</w:t>
            </w:r>
          </w:p>
        </w:tc>
        <w:tc>
          <w:tcPr>
            <w:tcW w:type="dxa" w:w="149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TB</w:t>
            </w:r>
          </w:p>
        </w:tc>
      </w:tr>
    </w:tbl>
    <w:p>
      <w:pPr>
        <w:pStyle w:val="Heading2"/>
      </w:pPr>
      <w:r>
        <w:t xml:space="preserve">Tier 2 — Mở rộng khi bộ lõi đã chạy ổn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380"/>
        <w:gridCol w:w="1490"/>
        <w:gridCol w:w="1490"/>
      </w:tblGrid>
      <w:tr>
        <w:tc>
          <w:tcPr>
            <w:tcW w:type="dxa" w:w="1700"/>
            <w:tcBorders>
              <w:top w:val="single" w:color="DDD8CC" w:sz="1"/>
              <w:left w:val="single" w:color="DDD8CC" w:sz="1"/>
              <w:bottom w:val="single" w:color="DDD8CC" w:sz="1"/>
              <w:right w:val="single" w:color="DDD8CC" w:sz="1"/>
            </w:tcBorders>
            <w:shd w:fill="3D5FBA" w:val="clear"/>
            <w:tcMar>
              <w:top w:type="dxa" w:w="80"/>
              <w:left w:type="dxa" w:w="120"/>
              <w:bottom w:type="dxa" w:w="80"/>
              <w:right w:type="dxa" w:w="120"/>
            </w:tcMar>
          </w:tcPr>
          <w:p>
            <w:r>
              <w:rPr>
                <w:b/>
                <w:bCs/>
                <w:color w:val="FFFFFF"/>
                <w:sz w:val="18"/>
                <w:szCs w:val="18"/>
              </w:rPr>
              <w:t xml:space="preserve">Kiểu</w:t>
            </w:r>
          </w:p>
        </w:tc>
        <w:tc>
          <w:tcPr>
            <w:tcW w:type="dxa" w:w="1300"/>
            <w:tcBorders>
              <w:top w:val="single" w:color="DDD8CC" w:sz="1"/>
              <w:left w:val="single" w:color="DDD8CC" w:sz="1"/>
              <w:bottom w:val="single" w:color="DDD8CC" w:sz="1"/>
              <w:right w:val="single" w:color="DDD8CC" w:sz="1"/>
            </w:tcBorders>
            <w:shd w:fill="3D5FBA" w:val="clear"/>
            <w:tcMar>
              <w:top w:type="dxa" w:w="80"/>
              <w:left w:type="dxa" w:w="120"/>
              <w:bottom w:type="dxa" w:w="80"/>
              <w:right w:type="dxa" w:w="120"/>
            </w:tcMar>
          </w:tcPr>
          <w:p>
            <w:r>
              <w:rPr>
                <w:b/>
                <w:bCs/>
                <w:color w:val="FFFFFF"/>
                <w:sz w:val="18"/>
                <w:szCs w:val="18"/>
              </w:rPr>
              <w:t xml:space="preserve">Bloom</w:t>
            </w:r>
          </w:p>
        </w:tc>
        <w:tc>
          <w:tcPr>
            <w:tcW w:type="dxa" w:w="3380"/>
            <w:tcBorders>
              <w:top w:val="single" w:color="DDD8CC" w:sz="1"/>
              <w:left w:val="single" w:color="DDD8CC" w:sz="1"/>
              <w:bottom w:val="single" w:color="DDD8CC" w:sz="1"/>
              <w:right w:val="single" w:color="DDD8CC" w:sz="1"/>
            </w:tcBorders>
            <w:shd w:fill="3D5FBA" w:val="clear"/>
            <w:tcMar>
              <w:top w:type="dxa" w:w="80"/>
              <w:left w:type="dxa" w:w="120"/>
              <w:bottom w:type="dxa" w:w="80"/>
              <w:right w:type="dxa" w:w="120"/>
            </w:tcMar>
          </w:tcPr>
          <w:p>
            <w:r>
              <w:rPr>
                <w:b/>
                <w:bCs/>
                <w:color w:val="FFFFFF"/>
                <w:sz w:val="18"/>
                <w:szCs w:val="18"/>
              </w:rPr>
              <w:t xml:space="preserve">Pros / Cons</w:t>
            </w:r>
          </w:p>
        </w:tc>
        <w:tc>
          <w:tcPr>
            <w:tcW w:type="dxa" w:w="1490"/>
            <w:tcBorders>
              <w:top w:val="single" w:color="DDD8CC" w:sz="1"/>
              <w:left w:val="single" w:color="DDD8CC" w:sz="1"/>
              <w:bottom w:val="single" w:color="DDD8CC" w:sz="1"/>
              <w:right w:val="single" w:color="DDD8CC" w:sz="1"/>
            </w:tcBorders>
            <w:shd w:fill="3D5FBA" w:val="clear"/>
            <w:tcMar>
              <w:top w:type="dxa" w:w="80"/>
              <w:left w:type="dxa" w:w="120"/>
              <w:bottom w:type="dxa" w:w="80"/>
              <w:right w:type="dxa" w:w="120"/>
            </w:tcMar>
          </w:tcPr>
          <w:p>
            <w:r>
              <w:rPr>
                <w:b/>
                <w:bCs/>
                <w:color w:val="FFFFFF"/>
                <w:sz w:val="18"/>
                <w:szCs w:val="18"/>
              </w:rPr>
              <w:t xml:space="preserve">Build</w:t>
            </w:r>
          </w:p>
        </w:tc>
        <w:tc>
          <w:tcPr>
            <w:tcW w:type="dxa" w:w="1490"/>
            <w:tcBorders>
              <w:top w:val="single" w:color="DDD8CC" w:sz="1"/>
              <w:left w:val="single" w:color="DDD8CC" w:sz="1"/>
              <w:bottom w:val="single" w:color="DDD8CC" w:sz="1"/>
              <w:right w:val="single" w:color="DDD8CC" w:sz="1"/>
            </w:tcBorders>
            <w:shd w:fill="3D5FBA" w:val="clear"/>
            <w:tcMar>
              <w:top w:type="dxa" w:w="80"/>
              <w:left w:type="dxa" w:w="120"/>
              <w:bottom w:type="dxa" w:w="80"/>
              <w:right w:type="dxa" w:w="120"/>
            </w:tcMar>
          </w:tcPr>
          <w:p>
            <w:r>
              <w:rPr>
                <w:b/>
                <w:bCs/>
                <w:color w:val="FFFFFF"/>
                <w:sz w:val="18"/>
                <w:szCs w:val="18"/>
              </w:rPr>
              <w:t xml:space="preserve">Author</w:t>
            </w:r>
          </w:p>
        </w:tc>
      </w:tr>
      <w:tr>
        <w:tc>
          <w:tcPr>
            <w:tcW w:type="dxa" w:w="170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Matching Pairs</w:t>
            </w:r>
          </w:p>
        </w:tc>
        <w:tc>
          <w:tcPr>
            <w:tcW w:type="dxa" w:w="130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Nhớ/Hiểu</w:t>
            </w:r>
          </w:p>
        </w:tc>
        <w:tc>
          <w:tcPr>
            <w:tcW w:type="dxa" w:w="338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 Hợp cặp thuốc↔nhóm. − Khó &gt;6 cặp trên mobile.</w:t>
            </w:r>
          </w:p>
        </w:tc>
        <w:tc>
          <w:tcPr>
            <w:tcW w:type="dxa" w:w="149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TB</w:t>
            </w:r>
          </w:p>
        </w:tc>
        <w:tc>
          <w:tcPr>
            <w:tcW w:type="dxa" w:w="149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Thấp</w:t>
            </w:r>
          </w:p>
        </w:tc>
      </w:tr>
      <w:tr>
        <w:tc>
          <w:tcPr>
            <w:tcW w:type="dxa" w:w="170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Cloze / điền khuyết</w:t>
            </w:r>
          </w:p>
        </w:tc>
        <w:tc>
          <w:tcPr>
            <w:tcW w:type="dxa" w:w="130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Hiểu</w:t>
            </w:r>
          </w:p>
        </w:tc>
        <w:tc>
          <w:tcPr>
            <w:tcW w:type="dxa" w:w="338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 Test nhớ chính xác trong ngữ cảnh. − So khớp chuỗi mong manh.</w:t>
            </w:r>
          </w:p>
        </w:tc>
        <w:tc>
          <w:tcPr>
            <w:tcW w:type="dxa" w:w="149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TB</w:t>
            </w:r>
          </w:p>
        </w:tc>
        <w:tc>
          <w:tcPr>
            <w:tcW w:type="dxa" w:w="149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TB</w:t>
            </w:r>
          </w:p>
        </w:tc>
      </w:tr>
      <w:tr>
        <w:tc>
          <w:tcPr>
            <w:tcW w:type="dxa" w:w="170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Ordering / Sequence</w:t>
            </w:r>
          </w:p>
        </w:tc>
        <w:tc>
          <w:tcPr>
            <w:tcW w:type="dxa" w:w="130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Hiểu/Vận dụng</w:t>
            </w:r>
          </w:p>
        </w:tc>
        <w:tc>
          <w:tcPr>
            <w:tcW w:type="dxa" w:w="338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 Hợp quy trình/đường chuyển hóa. − Kéo-thả khó trên mobile (dùng ▲▼).</w:t>
            </w:r>
          </w:p>
        </w:tc>
        <w:tc>
          <w:tcPr>
            <w:tcW w:type="dxa" w:w="149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TB</w:t>
            </w:r>
          </w:p>
        </w:tc>
        <w:tc>
          <w:tcPr>
            <w:tcW w:type="dxa" w:w="149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TB</w:t>
            </w:r>
          </w:p>
        </w:tc>
      </w:tr>
      <w:tr>
        <w:tc>
          <w:tcPr>
            <w:tcW w:type="dxa" w:w="170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Diagram / Hotspot</w:t>
            </w:r>
          </w:p>
        </w:tc>
        <w:tc>
          <w:tcPr>
            <w:tcW w:type="dxa" w:w="130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Nhớ/Hiểu</w:t>
            </w:r>
          </w:p>
        </w:tc>
        <w:tc>
          <w:tcPr>
            <w:tcW w:type="dxa" w:w="338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 Trực quan, hợp giải phẫu/não. − Cần ảnh có bản quyền + tọa độ.</w:t>
            </w:r>
          </w:p>
        </w:tc>
        <w:tc>
          <w:tcPr>
            <w:tcW w:type="dxa" w:w="149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Cao</w:t>
            </w:r>
          </w:p>
        </w:tc>
        <w:tc>
          <w:tcPr>
            <w:tcW w:type="dxa" w:w="149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Cao</w:t>
            </w:r>
          </w:p>
        </w:tc>
      </w:tr>
      <w:tr>
        <w:tc>
          <w:tcPr>
            <w:tcW w:type="dxa" w:w="170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Dimensional Slider</w:t>
            </w:r>
          </w:p>
        </w:tc>
        <w:tc>
          <w:tcPr>
            <w:tcW w:type="dxa" w:w="130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Vận dụng/Phân tích</w:t>
            </w:r>
          </w:p>
        </w:tc>
        <w:tc>
          <w:tcPr>
            <w:tcW w:type="dxa" w:w="338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 Dạy thang liên tục, rẻ, mới lạ. − Ít trường hợp dùng.</w:t>
            </w:r>
          </w:p>
        </w:tc>
        <w:tc>
          <w:tcPr>
            <w:tcW w:type="dxa" w:w="149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Thấp</w:t>
            </w:r>
          </w:p>
        </w:tc>
        <w:tc>
          <w:tcPr>
            <w:tcW w:type="dxa" w:w="149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Thấp</w:t>
            </w:r>
          </w:p>
        </w:tc>
      </w:tr>
      <w:tr>
        <w:tc>
          <w:tcPr>
            <w:tcW w:type="dxa" w:w="170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Confidence-weighted</w:t>
            </w:r>
          </w:p>
        </w:tc>
        <w:tc>
          <w:tcPr>
            <w:tcW w:type="dxa" w:w="130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Siêu nhận thức</w:t>
            </w:r>
          </w:p>
        </w:tc>
        <w:tc>
          <w:tcPr>
            <w:tcW w:type="dxa" w:w="338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 Dữ liệu hiệu chỉnh, mở rộng từ MCQ. − Thêm ma sát.</w:t>
            </w:r>
          </w:p>
        </w:tc>
        <w:tc>
          <w:tcPr>
            <w:tcW w:type="dxa" w:w="149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Thấp</w:t>
            </w:r>
          </w:p>
        </w:tc>
        <w:tc>
          <w:tcPr>
            <w:tcW w:type="dxa" w:w="149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Thấp</w:t>
            </w:r>
          </w:p>
        </w:tc>
      </w:tr>
    </w:tbl>
    <w:p>
      <w:pPr>
        <w:pStyle w:val="Heading2"/>
      </w:pPr>
      <w:r>
        <w:t xml:space="preserve">Tier 3 — Hoãn cho đội nhỏ (chi phí cao)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380"/>
        <w:gridCol w:w="1490"/>
        <w:gridCol w:w="1490"/>
      </w:tblGrid>
      <w:tr>
        <w:tc>
          <w:tcPr>
            <w:tcW w:type="dxa" w:w="1700"/>
            <w:tcBorders>
              <w:top w:val="single" w:color="DDD8CC" w:sz="1"/>
              <w:left w:val="single" w:color="DDD8CC" w:sz="1"/>
              <w:bottom w:val="single" w:color="DDD8CC" w:sz="1"/>
              <w:right w:val="single" w:color="DDD8CC" w:sz="1"/>
            </w:tcBorders>
            <w:shd w:fill="3D5FBA" w:val="clear"/>
            <w:tcMar>
              <w:top w:type="dxa" w:w="80"/>
              <w:left w:type="dxa" w:w="120"/>
              <w:bottom w:type="dxa" w:w="80"/>
              <w:right w:type="dxa" w:w="120"/>
            </w:tcMar>
          </w:tcPr>
          <w:p>
            <w:r>
              <w:rPr>
                <w:b/>
                <w:bCs/>
                <w:color w:val="FFFFFF"/>
                <w:sz w:val="18"/>
                <w:szCs w:val="18"/>
              </w:rPr>
              <w:t xml:space="preserve">Kiểu</w:t>
            </w:r>
          </w:p>
        </w:tc>
        <w:tc>
          <w:tcPr>
            <w:tcW w:type="dxa" w:w="1300"/>
            <w:tcBorders>
              <w:top w:val="single" w:color="DDD8CC" w:sz="1"/>
              <w:left w:val="single" w:color="DDD8CC" w:sz="1"/>
              <w:bottom w:val="single" w:color="DDD8CC" w:sz="1"/>
              <w:right w:val="single" w:color="DDD8CC" w:sz="1"/>
            </w:tcBorders>
            <w:shd w:fill="3D5FBA" w:val="clear"/>
            <w:tcMar>
              <w:top w:type="dxa" w:w="80"/>
              <w:left w:type="dxa" w:w="120"/>
              <w:bottom w:type="dxa" w:w="80"/>
              <w:right w:type="dxa" w:w="120"/>
            </w:tcMar>
          </w:tcPr>
          <w:p>
            <w:r>
              <w:rPr>
                <w:b/>
                <w:bCs/>
                <w:color w:val="FFFFFF"/>
                <w:sz w:val="18"/>
                <w:szCs w:val="18"/>
              </w:rPr>
              <w:t xml:space="preserve">Bloom</w:t>
            </w:r>
          </w:p>
        </w:tc>
        <w:tc>
          <w:tcPr>
            <w:tcW w:type="dxa" w:w="3380"/>
            <w:tcBorders>
              <w:top w:val="single" w:color="DDD8CC" w:sz="1"/>
              <w:left w:val="single" w:color="DDD8CC" w:sz="1"/>
              <w:bottom w:val="single" w:color="DDD8CC" w:sz="1"/>
              <w:right w:val="single" w:color="DDD8CC" w:sz="1"/>
            </w:tcBorders>
            <w:shd w:fill="3D5FBA" w:val="clear"/>
            <w:tcMar>
              <w:top w:type="dxa" w:w="80"/>
              <w:left w:type="dxa" w:w="120"/>
              <w:bottom w:type="dxa" w:w="80"/>
              <w:right w:type="dxa" w:w="120"/>
            </w:tcMar>
          </w:tcPr>
          <w:p>
            <w:r>
              <w:rPr>
                <w:b/>
                <w:bCs/>
                <w:color w:val="FFFFFF"/>
                <w:sz w:val="18"/>
                <w:szCs w:val="18"/>
              </w:rPr>
              <w:t xml:space="preserve">Pros / Cons</w:t>
            </w:r>
          </w:p>
        </w:tc>
        <w:tc>
          <w:tcPr>
            <w:tcW w:type="dxa" w:w="1490"/>
            <w:tcBorders>
              <w:top w:val="single" w:color="DDD8CC" w:sz="1"/>
              <w:left w:val="single" w:color="DDD8CC" w:sz="1"/>
              <w:bottom w:val="single" w:color="DDD8CC" w:sz="1"/>
              <w:right w:val="single" w:color="DDD8CC" w:sz="1"/>
            </w:tcBorders>
            <w:shd w:fill="3D5FBA" w:val="clear"/>
            <w:tcMar>
              <w:top w:type="dxa" w:w="80"/>
              <w:left w:type="dxa" w:w="120"/>
              <w:bottom w:type="dxa" w:w="80"/>
              <w:right w:type="dxa" w:w="120"/>
            </w:tcMar>
          </w:tcPr>
          <w:p>
            <w:r>
              <w:rPr>
                <w:b/>
                <w:bCs/>
                <w:color w:val="FFFFFF"/>
                <w:sz w:val="18"/>
                <w:szCs w:val="18"/>
              </w:rPr>
              <w:t xml:space="preserve">Build</w:t>
            </w:r>
          </w:p>
        </w:tc>
        <w:tc>
          <w:tcPr>
            <w:tcW w:type="dxa" w:w="1490"/>
            <w:tcBorders>
              <w:top w:val="single" w:color="DDD8CC" w:sz="1"/>
              <w:left w:val="single" w:color="DDD8CC" w:sz="1"/>
              <w:bottom w:val="single" w:color="DDD8CC" w:sz="1"/>
              <w:right w:val="single" w:color="DDD8CC" w:sz="1"/>
            </w:tcBorders>
            <w:shd w:fill="3D5FBA" w:val="clear"/>
            <w:tcMar>
              <w:top w:type="dxa" w:w="80"/>
              <w:left w:type="dxa" w:w="120"/>
              <w:bottom w:type="dxa" w:w="80"/>
              <w:right w:type="dxa" w:w="120"/>
            </w:tcMar>
          </w:tcPr>
          <w:p>
            <w:r>
              <w:rPr>
                <w:b/>
                <w:bCs/>
                <w:color w:val="FFFFFF"/>
                <w:sz w:val="18"/>
                <w:szCs w:val="18"/>
              </w:rPr>
              <w:t xml:space="preserve">Author</w:t>
            </w:r>
          </w:p>
        </w:tc>
      </w:tr>
      <w:tr>
        <w:tc>
          <w:tcPr>
            <w:tcW w:type="dxa" w:w="170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Branching / Virtual Patient</w:t>
            </w:r>
          </w:p>
        </w:tc>
        <w:tc>
          <w:tcPr>
            <w:tcW w:type="dxa" w:w="130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Vận dụng→Đánh giá</w:t>
            </w:r>
          </w:p>
        </w:tc>
        <w:tc>
          <w:tcPr>
            <w:tcW w:type="dxa" w:w="338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 Gắn kết sâu nhất, tính năng đặc trưng. − Engine + nhiều node = rất tốn.</w:t>
            </w:r>
          </w:p>
        </w:tc>
        <w:tc>
          <w:tcPr>
            <w:tcW w:type="dxa" w:w="149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Cao</w:t>
            </w:r>
          </w:p>
        </w:tc>
        <w:tc>
          <w:tcPr>
            <w:tcW w:type="dxa" w:w="149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Cao</w:t>
            </w:r>
          </w:p>
        </w:tc>
      </w:tr>
      <w:tr>
        <w:tc>
          <w:tcPr>
            <w:tcW w:type="dxa" w:w="170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Interactive Calculation</w:t>
            </w:r>
          </w:p>
        </w:tc>
        <w:tc>
          <w:tcPr>
            <w:tcW w:type="dxa" w:w="130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Vận dụng</w:t>
            </w:r>
          </w:p>
        </w:tc>
        <w:tc>
          <w:tcPr>
            <w:tcW w:type="dxa" w:w="338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 Thiết yếu cho Dược (liều). − Logic riêng từng chủ đề.</w:t>
            </w:r>
          </w:p>
        </w:tc>
        <w:tc>
          <w:tcPr>
            <w:tcW w:type="dxa" w:w="149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Cao</w:t>
            </w:r>
          </w:p>
        </w:tc>
        <w:tc>
          <w:tcPr>
            <w:tcW w:type="dxa" w:w="149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TB</w:t>
            </w:r>
          </w:p>
        </w:tc>
      </w:tr>
      <w:tr>
        <w:tc>
          <w:tcPr>
            <w:tcW w:type="dxa" w:w="170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Timeline / infographic động</w:t>
            </w:r>
          </w:p>
        </w:tc>
        <w:tc>
          <w:tcPr>
            <w:tcW w:type="dxa" w:w="130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Hiểu</w:t>
            </w:r>
          </w:p>
        </w:tc>
        <w:tc>
          <w:tcPr>
            <w:tcW w:type="dxa" w:w="338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 Đẹp cho quá trình động (PK). − Nặng thiết kế, ít giá trị KT.</w:t>
            </w:r>
          </w:p>
        </w:tc>
        <w:tc>
          <w:tcPr>
            <w:tcW w:type="dxa" w:w="149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TB</w:t>
            </w:r>
          </w:p>
        </w:tc>
        <w:tc>
          <w:tcPr>
            <w:tcW w:type="dxa" w:w="1490"/>
            <w:tcBorders>
              <w:top w:val="single" w:color="DDD8CC" w:sz="1"/>
              <w:left w:val="single" w:color="DDD8CC" w:sz="1"/>
              <w:bottom w:val="single" w:color="DDD8CC" w:sz="1"/>
              <w:right w:val="single" w:color="DDD8CC" w:sz="1"/>
            </w:tcBorders>
            <w:tcMar>
              <w:top w:type="dxa" w:w="80"/>
              <w:left w:type="dxa" w:w="120"/>
              <w:bottom w:type="dxa" w:w="80"/>
              <w:right w:type="dxa" w:w="120"/>
            </w:tcMar>
          </w:tcPr>
          <w:p>
            <w:r>
              <w:rPr>
                <w:b w:val="false"/>
                <w:bCs w:val="false"/>
                <w:color w:val="1A1814"/>
                <w:sz w:val="18"/>
                <w:szCs w:val="18"/>
              </w:rPr>
              <w:t xml:space="preserve">Cao</w:t>
            </w:r>
          </w:p>
        </w:tc>
      </w:tr>
      <w:tr>
        <w:tc>
          <w:tcPr>
            <w:tcW w:type="dxa" w:w="170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Spaced-Repetition</w:t>
            </w:r>
          </w:p>
        </w:tc>
        <w:tc>
          <w:tcPr>
            <w:tcW w:type="dxa" w:w="130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Nhớ (xuyên bài)</w:t>
            </w:r>
          </w:p>
        </w:tc>
        <w:tc>
          <w:tcPr>
            <w:tcW w:type="dxa" w:w="338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 Tăng nhớ lâu lớn nhất, tái dùng essence. − Cần backend + lịch.</w:t>
            </w:r>
          </w:p>
        </w:tc>
        <w:tc>
          <w:tcPr>
            <w:tcW w:type="dxa" w:w="149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Cao</w:t>
            </w:r>
          </w:p>
        </w:tc>
        <w:tc>
          <w:tcPr>
            <w:tcW w:type="dxa" w:w="1490"/>
            <w:tcBorders>
              <w:top w:val="single" w:color="DDD8CC" w:sz="1"/>
              <w:left w:val="single" w:color="DDD8CC" w:sz="1"/>
              <w:bottom w:val="single" w:color="DDD8CC" w:sz="1"/>
              <w:right w:val="single" w:color="DDD8CC" w:sz="1"/>
            </w:tcBorders>
            <w:shd w:fill="EDF0F9" w:val="clear"/>
            <w:tcMar>
              <w:top w:type="dxa" w:w="80"/>
              <w:left w:type="dxa" w:w="120"/>
              <w:bottom w:type="dxa" w:w="80"/>
              <w:right w:type="dxa" w:w="120"/>
            </w:tcMar>
          </w:tcPr>
          <w:p>
            <w:r>
              <w:rPr>
                <w:b w:val="false"/>
                <w:bCs w:val="false"/>
                <w:color w:val="1A1814"/>
                <w:sz w:val="18"/>
                <w:szCs w:val="18"/>
              </w:rPr>
              <w:t xml:space="preserve">Thấp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E4D38" w:sz="18"/>
              <w:bottom w:val="none"/>
              <w:right w:val="none"/>
            </w:tcBorders>
            <w:shd w:fill="EAF4EE" w:val="clear"/>
            <w:tcMar>
              <w:top w:type="dxa" w:w="120"/>
              <w:left w:type="dxa" w:w="160"/>
              <w:bottom w:type="dxa" w:w="120"/>
              <w:right w:type="dxa" w:w="160"/>
            </w:tcMar>
          </w:tcPr>
          <w:p>
            <w:pPr>
              <w:spacing w:after="40"/>
            </w:pPr>
            <w:r>
              <w:rPr>
                <w:b/>
                <w:bCs/>
                <w:color w:val="1E4D38"/>
                <w:sz w:val="20"/>
                <w:szCs w:val="20"/>
              </w:rPr>
              <w:t xml:space="preserve">Khuyến nghị khởi đầu cho BCH</w:t>
            </w:r>
          </w:p>
          <w:p>
            <w:r>
              <w:rPr>
                <w:sz w:val="20"/>
                <w:szCs w:val="20"/>
              </w:rPr>
              <w:t xml:space="preserve">Xây trước 5 kiểu: #1 Flashcard, #2 MCQ, #3 Sort, #4 Vignette, #6 Open response. Thêm #5 Poll khi đã có backend. Đây là toàn bộ những gì cần cho một bài học đạt chuẩn — phần còn lại để sau.</w:t>
            </w:r>
          </w:p>
        </w:tc>
      </w:tr>
    </w:tbl>
    <w:p>
      <w:pPr>
        <w:spacing w:after="140"/>
      </w:pPr>
      <w:r>
        <w:t xml:space="preserve">Cả 6 kiểu Tier 2 đã có bản demo chạy thật trong </w:t>
      </w:r>
      <w:r>
        <w:rPr>
          <w:b/>
          <w:bCs/>
        </w:rPr>
        <w:t xml:space="preserve">demo-psychopathology-interactive-lesson.html</w:t>
      </w:r>
      <w:r>
        <w:t xml:space="preserve"> (mục “Thư viện kiểu tương tác”). Bảng đầy đủ kèm rubric nằm trong </w:t>
      </w:r>
      <w:r>
        <w:rPr>
          <w:b/>
          <w:bCs/>
        </w:rPr>
        <w:t xml:space="preserve">BCH_Lesson_Design_Rubric.xlsx</w:t>
      </w:r>
      <w:r>
        <w:t xml:space="preserve">.</w:t>
      </w:r>
    </w:p>
    <w:p>
      <w:r>
        <w:br w:type="page"/>
      </w:r>
    </w:p>
    <w:p>
      <w:pPr>
        <w:pStyle w:val="Heading1"/>
      </w:pPr>
      <w:r>
        <w:t xml:space="preserve">9. Dùng bao nhiêu kiểu tương tác mỗi bài để cân bằng?</w:t>
      </w:r>
    </w:p>
    <w:p>
      <w:pPr>
        <w:spacing w:after="140"/>
      </w:pPr>
      <w:r>
        <w:t xml:space="preserve">Phân biệt then chốt: </w:t>
      </w:r>
      <w:r>
        <w:rPr>
          <w:b/>
          <w:bCs/>
        </w:rPr>
        <w:t xml:space="preserve">số lần tương tác (instances)</w:t>
      </w:r>
      <w:r>
        <w:t xml:space="preserve"> khác với </w:t>
      </w:r>
      <w:r>
        <w:rPr>
          <w:b/>
          <w:bCs/>
        </w:rPr>
        <w:t xml:space="preserve">số KIỂU khác nhau (types)</w:t>
      </w:r>
      <w:r>
        <w:t xml:space="preserve">. Mỗi kiểu mới buộc người học phải học giao diện mới — đó là tải nhận thức ngoại lai (extraneous load) lấn át việc học. Vì vậy đa dạng gây ấn tượng, nhưng quá đa dạng gây quá tải.</w:t>
      </w:r>
    </w:p>
    <w:p>
      <w:pPr>
        <w:pStyle w:val="Heading2"/>
      </w:pPr>
      <w:r>
        <w:t xml:space="preserve">Khuyến nghị cho BCH (bài ~15–25 phút)</w:t>
      </w:r>
    </w:p>
    <w:p>
      <w:pPr>
        <w:pStyle w:val="ListParagraph"/>
        <w:numPr>
          <w:ilvl w:val="0"/>
          <w:numId w:val="3"/>
        </w:numPr>
        <w:spacing w:after="60"/>
      </w:pPr>
      <w:r>
        <w:rPr>
          <w:b/>
          <w:bCs/>
        </w:rPr>
        <w:t xml:space="preserve">3–5 lần tương tác </w:t>
      </w:r>
      <w:r>
        <w:t xml:space="preserve">mỗi bài — khoảng mỗi 3–5 phút nội dung có một tương tác.</w:t>
      </w:r>
    </w:p>
    <w:p>
      <w:pPr>
        <w:pStyle w:val="ListParagraph"/>
        <w:numPr>
          <w:ilvl w:val="0"/>
          <w:numId w:val="3"/>
        </w:numPr>
        <w:spacing w:after="60"/>
      </w:pPr>
      <w:r>
        <w:rPr>
          <w:b/>
          <w:bCs/>
        </w:rPr>
        <w:t xml:space="preserve">Chỉ 2–3 KIỂU khác nhau </w:t>
      </w:r>
      <w:r>
        <w:t xml:space="preserve">mỗi bài — lặp lại cùng định dạng để người học thành thạo UI.</w:t>
      </w:r>
    </w:p>
    <w:p>
      <w:pPr>
        <w:pStyle w:val="ListParagraph"/>
        <w:numPr>
          <w:ilvl w:val="0"/>
          <w:numId w:val="3"/>
        </w:numPr>
        <w:spacing w:after="60"/>
      </w:pPr>
      <w:r>
        <w:rPr>
          <w:b/>
          <w:bCs/>
        </w:rPr>
        <w:t xml:space="preserve">Toàn nền tảng giới hạn ~6–8 kiểu </w:t>
      </w:r>
      <w:r>
        <w:t xml:space="preserve">(bộ Tier 1). Tinh thông vài kiểu thay vì dàn trải.</w:t>
      </w:r>
    </w:p>
    <w:p>
      <w:pPr>
        <w:pStyle w:val="ListParagraph"/>
        <w:numPr>
          <w:ilvl w:val="0"/>
          <w:numId w:val="3"/>
        </w:numPr>
        <w:spacing w:after="60"/>
      </w:pPr>
      <w:r>
        <w:rPr>
          <w:b/>
          <w:bCs/>
        </w:rPr>
        <w:t xml:space="preserve">Luôn có đúng MỘT tương tác bậc cao </w:t>
      </w:r>
      <w:r>
        <w:t xml:space="preserve">(Phân tích/Đánh giá/Sáng tạo) làm “capstone”.</w:t>
      </w:r>
    </w:p>
    <w:p>
      <w:pPr>
        <w:pStyle w:val="ListParagraph"/>
        <w:numPr>
          <w:ilvl w:val="0"/>
          <w:numId w:val="3"/>
        </w:numPr>
        <w:spacing w:after="60"/>
      </w:pPr>
      <w:r>
        <w:rPr>
          <w:b/>
          <w:bCs/>
        </w:rPr>
        <w:t xml:space="preserve">Không bao giờ đặt 2 kiểu chi phí-Author-Cao </w:t>
      </w:r>
      <w:r>
        <w:t xml:space="preserve">trong cùng một bài (bảo vệ quỹ thời gian của đội nhỏ).</w:t>
      </w:r>
    </w:p>
    <w:p>
      <w:pPr>
        <w:pStyle w:val="Heading2"/>
      </w:pPr>
      <w:r>
        <w:t xml:space="preserve">Ngân sách theo Bloom (đừng ép 6 tương tác nặng)</w:t>
      </w:r>
    </w:p>
    <w:p>
      <w:pPr>
        <w:spacing w:after="140"/>
      </w:pPr>
      <w:r>
        <w:t xml:space="preserve">Vẫn phủ đủ đường dốc Bloom, nhưng dồn “ngân sách tương tác” vào các bậc cao:</w:t>
      </w:r>
    </w:p>
    <w:p>
      <w:pPr>
        <w:pStyle w:val="ListParagraph"/>
        <w:numPr>
          <w:ilvl w:val="0"/>
          <w:numId w:val="3"/>
        </w:numPr>
        <w:spacing w:after="60"/>
      </w:pPr>
      <w:r>
        <w:t xml:space="preserve">Nhớ / Hiểu → rẻ hoặc thụ động (flashcard, đọc nội dung, 1 MCQ).</w:t>
      </w:r>
    </w:p>
    <w:p>
      <w:pPr>
        <w:pStyle w:val="ListParagraph"/>
        <w:numPr>
          <w:ilvl w:val="0"/>
          <w:numId w:val="3"/>
        </w:numPr>
        <w:spacing w:after="60"/>
      </w:pPr>
      <w:r>
        <w:t xml:space="preserve">Vận dụng / Phân tích → phần cốt lõi: 1–2 tương tác giàu (vignette, sort, ordering).</w:t>
      </w:r>
    </w:p>
    <w:p>
      <w:pPr>
        <w:pStyle w:val="ListParagraph"/>
        <w:numPr>
          <w:ilvl w:val="0"/>
          <w:numId w:val="3"/>
        </w:numPr>
        <w:spacing w:after="60"/>
      </w:pPr>
      <w:r>
        <w:t xml:space="preserve">Đánh giá / Sáng tạo → một capstone (poll/tranh luận hoặc open response). Đánh giá có thể lồng vào vignette.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D5FBA" w:sz="18"/>
              <w:bottom w:val="none"/>
              <w:right w:val="none"/>
            </w:tcBorders>
            <w:shd w:fill="EDF0F9" w:val="clear"/>
            <w:tcMar>
              <w:top w:type="dxa" w:w="120"/>
              <w:left w:type="dxa" w:w="160"/>
              <w:bottom w:type="dxa" w:w="120"/>
              <w:right w:type="dxa" w:w="160"/>
            </w:tcMar>
          </w:tcPr>
          <w:p>
            <w:pPr>
              <w:spacing w:after="40"/>
            </w:pPr>
            <w:r>
              <w:rPr>
                <w:b/>
                <w:bCs/>
                <w:color w:val="3D5FBA"/>
                <w:sz w:val="20"/>
                <w:szCs w:val="20"/>
              </w:rPr>
              <w:t xml:space="preserve">Ví dụ bài 5-instance, 3-type</w:t>
            </w:r>
          </w:p>
          <w:p>
            <w:r>
              <w:rPr>
                <w:sz w:val="20"/>
                <w:szCs w:val="20"/>
              </w:rPr>
              <w:t xml:space="preserve">Flashcard (Nhớ) → đọc nội dung (Hiểu) → Vignette-MCQ (Vận dụng) → Sort (Phân tích) → Open response (Sáng tạo). Đúng 5 lần tương tác, chỉ 3 kiểu khác nhau, phủ đủ Bloom — và rẻ để soạn.</w:t>
            </w:r>
          </w:p>
        </w:tc>
      </w:tr>
    </w:tbl>
    <w:p>
      <w:pPr>
        <w:pStyle w:val="Heading2"/>
      </w:pPr>
      <w:r>
        <w:t xml:space="preserve">Vì sao cân bằng này đúng (bằng chứng)</w:t>
      </w:r>
    </w:p>
    <w:p>
      <w:pPr>
        <w:pStyle w:val="ListParagraph"/>
        <w:numPr>
          <w:ilvl w:val="0"/>
          <w:numId w:val="3"/>
        </w:numPr>
        <w:spacing w:after="60"/>
      </w:pPr>
      <w:r>
        <w:rPr>
          <w:b/>
          <w:bCs/>
        </w:rPr>
        <w:t xml:space="preserve">Cognitive Load Theory: </w:t>
      </w:r>
      <w:r>
        <w:t xml:space="preserve">bộ nhớ làm việc có giới hạn; UI lạ tạo tải ngoại lai lấn chỗ học.</w:t>
      </w:r>
    </w:p>
    <w:p>
      <w:pPr>
        <w:pStyle w:val="ListParagraph"/>
        <w:numPr>
          <w:ilvl w:val="0"/>
          <w:numId w:val="3"/>
        </w:numPr>
        <w:spacing w:after="60"/>
      </w:pPr>
      <w:r>
        <w:rPr>
          <w:b/>
          <w:bCs/>
        </w:rPr>
        <w:t xml:space="preserve">Nguyên tắc đa phương tiện của Mayer (coherence, redundancy): </w:t>
      </w:r>
      <w:r>
        <w:t xml:space="preserve">thêm yếu tố ≠ học nhiều hơn quá một ngưỡng.</w:t>
      </w:r>
    </w:p>
    <w:p>
      <w:pPr>
        <w:pStyle w:val="ListParagraph"/>
        <w:numPr>
          <w:ilvl w:val="0"/>
          <w:numId w:val="3"/>
        </w:numPr>
        <w:spacing w:after="60"/>
      </w:pPr>
      <w:r>
        <w:rPr>
          <w:b/>
          <w:bCs/>
        </w:rPr>
        <w:t xml:space="preserve">Đường cong gắn kết: </w:t>
      </w:r>
      <w:r>
        <w:t xml:space="preserve">đa dạng giữ chú ý, nhưng bất định quá mức làm tăng lo âu và bỏ học.</w:t>
      </w:r>
    </w:p>
    <w:p>
      <w:pPr>
        <w:spacing w:after="140"/>
      </w:pPr>
      <w:r>
        <w:t xml:space="preserve">Công cụ thực thi: </w:t>
      </w:r>
      <w:r>
        <w:rPr>
          <w:b/>
          <w:bCs/>
        </w:rPr>
        <w:t xml:space="preserve">BCH_Lesson_Design_Rubric.xlsx</w:t>
      </w:r>
      <w:r>
        <w:t xml:space="preserve"> — gồm catalog, hướng dẫn mật độ, rubric thiết kế bài học (chấm điểm, cổng xuất bản ≥80%), rubric câu hỏi kiểm tra, và scorecard tự tính.</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D5FBA" w:sz="18"/>
              <w:bottom w:val="none"/>
              <w:right w:val="none"/>
            </w:tcBorders>
            <w:shd w:fill="EDF0F9" w:val="clear"/>
            <w:tcMar>
              <w:top w:type="dxa" w:w="120"/>
              <w:left w:type="dxa" w:w="160"/>
              <w:bottom w:type="dxa" w:w="120"/>
              <w:right w:type="dxa" w:w="160"/>
            </w:tcMar>
          </w:tcPr>
          <w:p>
            <w:pPr>
              <w:spacing w:after="40"/>
            </w:pPr>
            <w:r>
              <w:rPr>
                <w:b/>
                <w:bCs/>
                <w:color w:val="3D5FBA"/>
                <w:sz w:val="20"/>
                <w:szCs w:val="20"/>
              </w:rPr>
              <w:t xml:space="preserve">Tệp đính kèm</w:t>
            </w:r>
          </w:p>
          <w:p>
            <w:r>
              <w:rPr>
                <w:sz w:val="20"/>
                <w:szCs w:val="20"/>
              </w:rPr>
              <w:t xml:space="preserve">demo-psychopathology-interactive-lesson.html — demo tương tác + thư viện kiểu; BCH_Lesson_Design_Rubric.xlsx — catalog + rubric + scorecard; Psychopathology_Diagnosis_Lesson_Plan.xlsx — giáo án nguồn; Bloom_Lesson_Plan_Template.xlsx — khuôn giáo án.</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A6050"/>
        <w:sz w:val="16"/>
        <w:szCs w:val="16"/>
      </w:rPr>
      <w:t xml:space="preserve">Bạn Cùng Học · Bản thiết kế nền tảng học tương tác · Trang </w:t>
    </w:r>
    <w:r>
      <w:rPr>
        <w:color w:val="6A605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81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Arial" w:cs="Arial" w:eastAsia="Arial" w:hAnsi="Arial"/>
      <w:b/>
      <w:bCs/>
      <w:color w:val="2A3F72"/>
      <w:sz w:val="48"/>
      <w:szCs w:val="48"/>
    </w:rPr>
  </w:style>
  <w:style w:type="paragraph" w:styleId="Heading1">
    <w:name w:val="Heading 1"/>
    <w:basedOn w:val="Normal"/>
    <w:next w:val="Normal"/>
    <w:qFormat/>
    <w:pPr>
      <w:spacing w:after="140" w:before="280"/>
      <w:outlineLvl w:val="0"/>
    </w:pPr>
    <w:rPr>
      <w:rFonts w:ascii="Arial" w:cs="Arial" w:eastAsia="Arial" w:hAnsi="Arial"/>
      <w:b/>
      <w:bCs/>
      <w:color w:val="2A3F72"/>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E4D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2026-06-15T11:34:51.950Z</dcterms:created>
  <dcterms:modified xsi:type="dcterms:W3CDTF">2026-06-15T11:34:51.955Z</dcterms:modified>
</cp:coreProperties>
</file>

<file path=docProps/custom.xml><?xml version="1.0" encoding="utf-8"?>
<Properties xmlns="http://schemas.openxmlformats.org/officeDocument/2006/custom-properties" xmlns:vt="http://schemas.openxmlformats.org/officeDocument/2006/docPropsVTypes"/>
</file>