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52"/>
          <w:szCs w:val="52"/>
        </w:rPr>
        <w:t xml:space="preserve">BCH</w:t>
      </w:r>
    </w:p>
    <w:p>
      <w:pPr>
        <w:spacing w:after="80"/>
      </w:pPr>
      <w:r>
        <w:rPr>
          <w:rFonts w:ascii="Arial" w:cs="Arial" w:eastAsia="Arial" w:hAnsi="Arial"/>
          <w:color w:val="3A6EA5"/>
          <w:sz w:val="32"/>
          <w:szCs w:val="32"/>
        </w:rPr>
        <w:t xml:space="preserve">Product Vision &amp; Direction</w:t>
      </w:r>
    </w:p>
    <w:p>
      <w:pPr>
        <w:spacing w:after="400"/>
      </w:pPr>
      <w:r>
        <w:rPr>
          <w:rFonts w:ascii="Arial" w:cs="Arial" w:eastAsia="Arial" w:hAnsi="Arial"/>
          <w:color w:val="999999"/>
          <w:sz w:val="20"/>
          <w:szCs w:val="20"/>
        </w:rPr>
        <w:t xml:space="preserve">Brainstorm session — June 2026   |   Working document</w:t>
      </w:r>
    </w:p>
    <w:p>
      <w:pPr>
        <w:pStyle w:val="Heading1"/>
        <w:spacing w:after="160" w:before="320"/>
      </w:pPr>
      <w:r>
        <w:rPr>
          <w:rFonts w:ascii="Arial" w:cs="Arial" w:eastAsia="Arial" w:hAnsi="Arial"/>
          <w:b/>
          <w:bCs/>
          <w:sz w:val="32"/>
          <w:szCs w:val="32"/>
        </w:rPr>
        <w:t xml:space="preserve">1.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60"/>
              <w:left w:type="dxa" w:w="200"/>
              <w:bottom w:type="dxa" w:w="160"/>
              <w:right w:type="dxa" w:w="200"/>
            </w:tcMar>
          </w:tcPr>
          <w:p>
            <w:r>
              <w:rPr>
                <w:rFonts w:ascii="Arial" w:cs="Arial" w:eastAsia="Arial" w:hAnsi="Arial"/>
                <w:i/>
                <w:iCs/>
                <w:sz w:val="24"/>
                <w:szCs w:val="24"/>
              </w:rPr>
              <w:t xml:space="preserve">BCH is the go-to exam preparation companion for pharmacy and psychology students in Vietnam — giving them exactly what they need to know, organized by course, tested and proven through practice assessments.</w:t>
            </w:r>
          </w:p>
        </w:tc>
      </w:tr>
    </w:tbl>
    <w:p>
      <w:pPr>
        <w:spacing w:after="120"/>
      </w:pPr>
    </w:p>
    <w:p>
      <w:pPr>
        <w:spacing w:after="120"/>
      </w:pPr>
      <w:r>
        <w:rPr>
          <w:rFonts w:ascii="Arial" w:cs="Arial" w:eastAsia="Arial" w:hAnsi="Arial"/>
          <w:color w:val="666666"/>
          <w:sz w:val="22"/>
          <w:szCs w:val="22"/>
        </w:rPr>
        <w:t xml:space="preserve">This is a working hypothesis, not a final statement. It should be pressure-tested against real user feedback.</w:t>
      </w:r>
    </w:p>
    <w:p>
      <w:pPr>
        <w:spacing w:after="120"/>
      </w:pPr>
    </w:p>
    <w:p>
      <w:pPr>
        <w:pStyle w:val="Heading1"/>
        <w:spacing w:after="160" w:before="320"/>
      </w:pPr>
      <w:r>
        <w:rPr>
          <w:rFonts w:ascii="Arial" w:cs="Arial" w:eastAsia="Arial" w:hAnsi="Arial"/>
          <w:b/>
          <w:bCs/>
          <w:sz w:val="32"/>
          <w:szCs w:val="32"/>
        </w:rPr>
        <w:t xml:space="preserve">2. What BCH is</w:t>
      </w:r>
    </w:p>
    <w:p>
      <w:pPr>
        <w:spacing w:after="160"/>
      </w:pPr>
      <w:r>
        <w:rPr>
          <w:rFonts w:ascii="Arial" w:cs="Arial" w:eastAsia="Arial" w:hAnsi="Arial"/>
          <w:sz w:val="24"/>
          <w:szCs w:val="24"/>
        </w:rPr>
        <w:t xml:space="preserve">BCH is a study companion platform for pharmacy and psychology students at Vietnamese universities. It is not a full course platform (like Coursera or Udemy) — it focuses on distilled key information and practice assessments aligned to actual university curricula.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Target users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Pharmacy and psychology students at Vietnamese universities</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Core job to be done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Walk into an exam feeling prepared without wasting time on the wrong material</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MVP scope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Pharmacy and psychology — first 3 years of launch</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Future direction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Career readiness and professional assessment preparation</w:t>
            </w:r>
          </w:p>
        </w:tc>
      </w:tr>
    </w:tbl>
    <w:p>
      <w:pPr>
        <w:spacing w:after="120"/>
      </w:pPr>
    </w:p>
    <w:p>
      <w:pPr>
        <w:spacing w:after="120"/>
      </w:pPr>
    </w:p>
    <w:p>
      <w:pPr>
        <w:pStyle w:val="Heading1"/>
        <w:spacing w:after="160" w:before="320"/>
      </w:pPr>
      <w:r>
        <w:rPr>
          <w:rFonts w:ascii="Arial" w:cs="Arial" w:eastAsia="Arial" w:hAnsi="Arial"/>
          <w:b/>
          <w:bCs/>
          <w:sz w:val="32"/>
          <w:szCs w:val="32"/>
        </w:rPr>
        <w:t xml:space="preserve">3. The problem we’re solving</w:t>
      </w:r>
    </w:p>
    <w:p>
      <w:pPr>
        <w:spacing w:after="160"/>
      </w:pPr>
      <w:r>
        <w:rPr>
          <w:rFonts w:ascii="Arial" w:cs="Arial" w:eastAsia="Arial" w:hAnsi="Arial"/>
          <w:sz w:val="24"/>
          <w:szCs w:val="24"/>
        </w:rPr>
        <w:t xml:space="preserve">Students face three connected problems during their university years:</w:t>
      </w:r>
    </w:p>
    <w:p>
      <w:pPr>
        <w:spacing w:after="120"/>
      </w:pPr>
    </w:p>
    <w:p>
      <w:pPr>
        <w:pStyle w:val="ListParagraph"/>
        <w:numPr>
          <w:ilvl w:val="0"/>
          <w:numId w:val="2"/>
        </w:numPr>
        <w:spacing w:after="100"/>
      </w:pPr>
      <w:r>
        <w:rPr>
          <w:rFonts w:ascii="Arial" w:cs="Arial" w:eastAsia="Arial" w:hAnsi="Arial"/>
          <w:sz w:val="24"/>
          <w:szCs w:val="24"/>
        </w:rPr>
        <w:t xml:space="preserve">Hard to capture the right information during class time</w:t>
      </w:r>
    </w:p>
    <w:p>
      <w:pPr>
        <w:pStyle w:val="ListParagraph"/>
        <w:numPr>
          <w:ilvl w:val="0"/>
          <w:numId w:val="2"/>
        </w:numPr>
        <w:spacing w:after="100"/>
      </w:pPr>
      <w:r>
        <w:rPr>
          <w:rFonts w:ascii="Arial" w:cs="Arial" w:eastAsia="Arial" w:hAnsi="Arial"/>
          <w:sz w:val="24"/>
          <w:szCs w:val="24"/>
        </w:rPr>
        <w:t xml:space="preserve">Hard to study effectively for exams (knowing what actually matters)</w:t>
      </w:r>
    </w:p>
    <w:p>
      <w:pPr>
        <w:pStyle w:val="ListParagraph"/>
        <w:numPr>
          <w:ilvl w:val="0"/>
          <w:numId w:val="2"/>
        </w:numPr>
        <w:spacing w:after="200"/>
      </w:pPr>
      <w:r>
        <w:rPr>
          <w:rFonts w:ascii="Arial" w:cs="Arial" w:eastAsia="Arial" w:hAnsi="Arial"/>
          <w:sz w:val="24"/>
          <w:szCs w:val="24"/>
        </w:rPr>
        <w:t xml:space="preserve">Hard to apply knowledge in real-world or professional contexts (future phase)</w:t>
      </w:r>
    </w:p>
    <w:p>
      <w:pPr>
        <w:spacing w:after="120"/>
      </w:pPr>
    </w:p>
    <w:p>
      <w:pPr>
        <w:pStyle w:val="Heading2"/>
        <w:spacing w:after="120" w:before="240"/>
      </w:pPr>
      <w:r>
        <w:rPr>
          <w:rFonts w:ascii="Arial" w:cs="Arial" w:eastAsia="Arial" w:hAnsi="Arial"/>
          <w:b/>
          <w:bCs/>
          <w:sz w:val="26"/>
          <w:szCs w:val="26"/>
        </w:rPr>
        <w:t xml:space="preserve">Where BCH focuses first</w:t>
      </w:r>
    </w:p>
    <w:p>
      <w:pPr>
        <w:spacing w:after="160"/>
      </w:pPr>
      <w:r>
        <w:rPr>
          <w:rFonts w:ascii="Arial" w:cs="Arial" w:eastAsia="Arial" w:hAnsi="Arial"/>
          <w:sz w:val="24"/>
          <w:szCs w:val="24"/>
        </w:rPr>
        <w:t xml:space="preserve">Exam readiness is the sharpest, most urgent problem. Exams have deadlines. The pain is acute, frequent, and predictable — every semester, every subject. Students will change behavior when an exam is two weeks away.</w:t>
      </w:r>
    </w:p>
    <w:p>
      <w:pPr>
        <w:spacing w:after="160"/>
      </w:pPr>
      <w:r>
        <w:rPr>
          <w:rFonts w:ascii="Arial" w:cs="Arial" w:eastAsia="Arial" w:hAnsi="Arial"/>
          <w:sz w:val="24"/>
          <w:szCs w:val="24"/>
        </w:rPr>
        <w:t xml:space="preserve">Informal study groups (Zalo, Facebook) already spike in activity before exam season. That pull moment is what BCH should own.</w:t>
      </w:r>
    </w:p>
    <w:p>
      <w:pPr>
        <w:spacing w:after="120"/>
      </w:pPr>
    </w:p>
    <w:p>
      <w:pPr>
        <w:pStyle w:val="Heading1"/>
        <w:spacing w:after="160" w:before="320"/>
      </w:pPr>
      <w:r>
        <w:rPr>
          <w:rFonts w:ascii="Arial" w:cs="Arial" w:eastAsia="Arial" w:hAnsi="Arial"/>
          <w:b/>
          <w:bCs/>
          <w:sz w:val="32"/>
          <w:szCs w:val="32"/>
        </w:rPr>
        <w:t xml:space="preserve">4. Unique selling points</w:t>
      </w:r>
    </w:p>
    <w:p>
      <w:pPr>
        <w:spacing w:after="160"/>
      </w:pPr>
      <w:r>
        <w:rPr>
          <w:rFonts w:ascii="Arial" w:cs="Arial" w:eastAsia="Arial" w:hAnsi="Arial"/>
          <w:sz w:val="24"/>
          <w:szCs w:val="24"/>
        </w:rPr>
        <w:t xml:space="preserve">BCH’s differentiation is the combination of two things global platforms cannot replicate: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tcPr>
          <w:p>
            <w:r>
              <w:rPr>
                <w:rFonts w:ascii="Arial" w:cs="Arial" w:eastAsia="Arial" w:hAnsi="Arial"/>
                <w:b/>
                <w:bCs/>
                <w:color w:val="FFFFFF"/>
                <w:sz w:val="24"/>
                <w:szCs w:val="24"/>
              </w:rPr>
              <w:t xml:space="preserve">Curated keynotes</w:t>
            </w:r>
          </w:p>
        </w:tc>
        <w:tc>
          <w:tcPr>
            <w:tcW w:type="dxa" w:w="6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Distilled key information — not full lectures — organized around what actually appears on exams. Students get the “40 things you need to know” for each subject.</w:t>
            </w:r>
          </w:p>
        </w:tc>
      </w:tr>
      <w:tr>
        <w:tc>
          <w:tcPr>
            <w:tcW w:type="dxa" w:w="3000"/>
            <w:tcBorders>
              <w:top w:val="single" w:color="CCCCCC" w:sz="1"/>
              <w:left w:val="single" w:color="CCCCCC" w:sz="1"/>
              <w:bottom w:val="single" w:color="CCCCCC" w:sz="1"/>
              <w:right w:val="single" w:color="CCCCCC" w:sz="1"/>
            </w:tcBorders>
            <w:shd w:fill="3A6EA5" w:val="clear"/>
            <w:tcMar>
              <w:top w:type="dxa" w:w="120"/>
              <w:left w:type="dxa" w:w="160"/>
              <w:bottom w:type="dxa" w:w="120"/>
              <w:right w:type="dxa" w:w="160"/>
            </w:tcMar>
          </w:tcPr>
          <w:p>
            <w:r>
              <w:rPr>
                <w:rFonts w:ascii="Arial" w:cs="Arial" w:eastAsia="Arial" w:hAnsi="Arial"/>
                <w:b/>
                <w:bCs/>
                <w:color w:val="FFFFFF"/>
                <w:sz w:val="24"/>
                <w:szCs w:val="24"/>
              </w:rPr>
              <w:t xml:space="preserve">Vietnamese curriculum alignment</w:t>
            </w:r>
          </w:p>
        </w:tc>
        <w:tc>
          <w:tcPr>
            <w:tcW w:type="dxa" w:w="6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Content mapped to actual course outlines from credible Vietnamese universities. Global platforms have generic content; BCH has local precision.</w:t>
            </w:r>
          </w:p>
        </w:tc>
      </w:tr>
      <w:tr>
        <w:tc>
          <w:tcPr>
            <w:tcW w:type="dxa" w:w="3000"/>
            <w:tcBorders>
              <w:top w:val="single" w:color="CCCCCC" w:sz="1"/>
              <w:left w:val="single" w:color="CCCCCC" w:sz="1"/>
              <w:bottom w:val="single" w:color="CCCCCC" w:sz="1"/>
              <w:right w:val="single" w:color="CCCCCC" w:sz="1"/>
            </w:tcBorders>
            <w:shd w:fill="2E7D50" w:val="clear"/>
            <w:tcMar>
              <w:top w:type="dxa" w:w="120"/>
              <w:left w:type="dxa" w:w="160"/>
              <w:bottom w:type="dxa" w:w="120"/>
              <w:right w:type="dxa" w:w="160"/>
            </w:tcMar>
          </w:tcPr>
          <w:p>
            <w:r>
              <w:rPr>
                <w:rFonts w:ascii="Arial" w:cs="Arial" w:eastAsia="Arial" w:hAnsi="Arial"/>
                <w:b/>
                <w:bCs/>
                <w:color w:val="FFFFFF"/>
                <w:sz w:val="24"/>
                <w:szCs w:val="24"/>
              </w:rPr>
              <w:t xml:space="preserve">Practice assessments</w:t>
            </w:r>
          </w:p>
        </w:tc>
        <w:tc>
          <w:tcPr>
            <w:tcW w:type="dxa" w:w="6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Tests and assessments per course that let students prove to themselves they’re ready. The mechanism behind the core promise: confidence going into an exam.</w:t>
            </w:r>
          </w:p>
        </w:tc>
      </w:tr>
    </w:tbl>
    <w:p>
      <w:pPr>
        <w:spacing w:after="120"/>
      </w:pPr>
    </w:p>
    <w:p>
      <w:pPr>
        <w:spacing w:after="120"/>
      </w:pPr>
    </w:p>
    <w:p>
      <w:pPr>
        <w:pStyle w:val="Heading1"/>
        <w:spacing w:after="160" w:before="320"/>
      </w:pPr>
      <w:r>
        <w:rPr>
          <w:rFonts w:ascii="Arial" w:cs="Arial" w:eastAsia="Arial" w:hAnsi="Arial"/>
          <w:b/>
          <w:bCs/>
          <w:sz w:val="32"/>
          <w:szCs w:val="32"/>
        </w:rPr>
        <w:t xml:space="preserve">5. Competitive landscape</w:t>
      </w:r>
    </w:p>
    <w:p>
      <w:pPr>
        <w:spacing w:after="160"/>
      </w:pPr>
      <w:r>
        <w:rPr>
          <w:rFonts w:ascii="Arial" w:cs="Arial" w:eastAsia="Arial" w:hAnsi="Arial"/>
          <w:sz w:val="24"/>
          <w:szCs w:val="24"/>
        </w:rPr>
        <w:t xml:space="preserve">The indirect competitors (Coursera, Udemy) are full course platforms aimed at skill-building — a different job. BCH is not learning for professional development; it is exam preparation for enrolled students.</w:t>
      </w:r>
    </w:p>
    <w:p>
      <w:pPr>
        <w:spacing w:after="160"/>
      </w:pPr>
      <w:r>
        <w:rPr>
          <w:rFonts w:ascii="Arial" w:cs="Arial" w:eastAsia="Arial" w:hAnsi="Arial"/>
          <w:sz w:val="24"/>
          <w:szCs w:val="24"/>
        </w:rPr>
        <w:t xml:space="preserve">The more important competitor is informal: student Zalo and Facebook groups where classmates share notes, past papers, and study tips. These groups have trust, peer social proof, and they’re free. BCH must be meaningfully more reliable and precise — not just more polished.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60"/>
              <w:left w:type="dxa" w:w="200"/>
              <w:bottom w:type="dxa" w:w="160"/>
              <w:right w:type="dxa" w:w="200"/>
            </w:tcMar>
          </w:tcPr>
          <w:p>
            <w:r>
              <w:rPr>
                <w:rFonts w:ascii="Arial" w:cs="Arial" w:eastAsia="Arial" w:hAnsi="Arial"/>
                <w:i/>
                <w:iCs/>
                <w:sz w:val="24"/>
                <w:szCs w:val="24"/>
              </w:rPr>
              <w:t xml:space="preserve">Strategic note: These informal groups are also the best distribution channel. Pharmacy students trust other pharmacy students. Peer-to-peer referral — not paid acquisition — is likely the most efficient growth path.</w:t>
            </w:r>
          </w:p>
        </w:tc>
      </w:tr>
    </w:tbl>
    <w:p>
      <w:pPr>
        <w:spacing w:after="120"/>
      </w:pPr>
    </w:p>
    <w:p>
      <w:pPr>
        <w:spacing w:after="120"/>
      </w:pPr>
    </w:p>
    <w:p>
      <w:pPr>
        <w:pStyle w:val="Heading1"/>
        <w:spacing w:after="160" w:before="320"/>
      </w:pPr>
      <w:r>
        <w:rPr>
          <w:rFonts w:ascii="Arial" w:cs="Arial" w:eastAsia="Arial" w:hAnsi="Arial"/>
          <w:b/>
          <w:bCs/>
          <w:sz w:val="32"/>
          <w:szCs w:val="32"/>
        </w:rPr>
        <w:t xml:space="preserve">6. Key assumptions to validate</w:t>
      </w:r>
    </w:p>
    <w:p>
      <w:pPr>
        <w:spacing w:after="160"/>
      </w:pPr>
      <w:r>
        <w:rPr>
          <w:rFonts w:ascii="Arial" w:cs="Arial" w:eastAsia="Arial" w:hAnsi="Arial"/>
          <w:sz w:val="24"/>
          <w:szCs w:val="24"/>
        </w:rPr>
        <w:t xml:space="preserve">These are the hypotheses that underpin the current direction. If any of them are wrong, the product strategy needs to change.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2800"/>
        <w:gridCol w:w="3400"/>
      </w:tblGrid>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Assumption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If wrong, it means...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Cheapest way to test</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Students want distilled keynotes, not full lecture content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BCH’s core content format is wrong and students bounce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Share sample keynotes with 10 students before building the full system. Measure if they use it over their existing notes.</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Content can be aligned to specific Vietnamese university curricula reliably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Content is too generic to feel precise, and students don’t trust it for exams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Pick one course at one university. Build 2 weeks of content. Ask students: “Does this match what your professor actually tests?”</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Students discover and adopt BCH through peer referral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Organic growth is too slow and paid acquisition burns the budget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Track how the first 50 users heard about BCH. If not peer-referred, identify what the actual channel is.</w:t>
            </w:r>
          </w:p>
        </w:tc>
      </w:tr>
    </w:tbl>
    <w:p>
      <w:pPr>
        <w:spacing w:after="120"/>
      </w:pPr>
    </w:p>
    <w:p>
      <w:pPr>
        <w:spacing w:after="120"/>
      </w:pPr>
    </w:p>
    <w:p>
      <w:pPr>
        <w:pStyle w:val="Heading1"/>
        <w:spacing w:after="160" w:before="320"/>
      </w:pPr>
      <w:r>
        <w:rPr>
          <w:rFonts w:ascii="Arial" w:cs="Arial" w:eastAsia="Arial" w:hAnsi="Arial"/>
          <w:b/>
          <w:bCs/>
          <w:sz w:val="32"/>
          <w:szCs w:val="32"/>
        </w:rPr>
        <w:t xml:space="preserve">7. Suggested next steps</w:t>
      </w:r>
    </w:p>
    <w:p>
      <w:pPr>
        <w:pStyle w:val="ListParagraph"/>
        <w:numPr>
          <w:ilvl w:val="0"/>
          <w:numId w:val="2"/>
        </w:numPr>
        <w:spacing w:after="120"/>
      </w:pPr>
      <w:r>
        <w:rPr>
          <w:rFonts w:ascii="Arial" w:cs="Arial" w:eastAsia="Arial" w:hAnsi="Arial"/>
          <w:sz w:val="24"/>
          <w:szCs w:val="24"/>
        </w:rPr>
        <w:t xml:space="preserve">Talk to 5–10 pharmacy or psychology students: ask how they currently prepare for exams, what they hate about it, and whether they’ve tried any tools</w:t>
      </w:r>
    </w:p>
    <w:p>
      <w:pPr>
        <w:pStyle w:val="ListParagraph"/>
        <w:numPr>
          <w:ilvl w:val="0"/>
          <w:numId w:val="2"/>
        </w:numPr>
        <w:spacing w:after="120"/>
      </w:pPr>
      <w:r>
        <w:rPr>
          <w:rFonts w:ascii="Arial" w:cs="Arial" w:eastAsia="Arial" w:hAnsi="Arial"/>
          <w:sz w:val="24"/>
          <w:szCs w:val="24"/>
        </w:rPr>
        <w:t xml:space="preserve">Audit 2–3 existing student study groups (Zalo/Facebook): observe what content is shared, what questions are asked, and when activity spikes</w:t>
      </w:r>
    </w:p>
    <w:p>
      <w:pPr>
        <w:pStyle w:val="ListParagraph"/>
        <w:numPr>
          <w:ilvl w:val="0"/>
          <w:numId w:val="2"/>
        </w:numPr>
        <w:spacing w:after="120"/>
      </w:pPr>
      <w:r>
        <w:rPr>
          <w:rFonts w:ascii="Arial" w:cs="Arial" w:eastAsia="Arial" w:hAnsi="Arial"/>
          <w:sz w:val="24"/>
          <w:szCs w:val="24"/>
        </w:rPr>
        <w:t xml:space="preserve">Decide on content model: who writes the keynotes, and how quality is ensured before publishing</w:t>
      </w:r>
    </w:p>
    <w:p>
      <w:pPr>
        <w:pStyle w:val="ListParagraph"/>
        <w:numPr>
          <w:ilvl w:val="0"/>
          <w:numId w:val="2"/>
        </w:numPr>
        <w:spacing w:after="120"/>
      </w:pPr>
      <w:r>
        <w:rPr>
          <w:rFonts w:ascii="Arial" w:cs="Arial" w:eastAsia="Arial" w:hAnsi="Arial"/>
          <w:sz w:val="24"/>
          <w:szCs w:val="24"/>
        </w:rPr>
        <w:t xml:space="preserve">Decide: university-specific (higher trust, slower to scale) vs. subject-level content (faster to build, less precise)</w:t>
      </w:r>
    </w:p>
    <w:p>
      <w:pPr>
        <w:pStyle w:val="ListParagraph"/>
        <w:numPr>
          <w:ilvl w:val="0"/>
          <w:numId w:val="2"/>
        </w:numPr>
        <w:spacing w:after="240"/>
      </w:pPr>
      <w:r>
        <w:rPr>
          <w:rFonts w:ascii="Arial" w:cs="Arial" w:eastAsia="Arial" w:hAnsi="Arial"/>
          <w:sz w:val="24"/>
          <w:szCs w:val="24"/>
        </w:rPr>
        <w:t xml:space="preserve">Revisit and refine this vision document after the first round of user conversations</w:t>
      </w:r>
    </w:p>
    <w:p>
      <w:pPr>
        <w:spacing w:after="120"/>
      </w:pPr>
    </w:p>
    <w:p>
      <w:pPr>
        <w:pBdr>
          <w:top w:val="single" w:color="CCCCCC" w:sz="4"/>
        </w:pBdr>
        <w:spacing w:after="0" w:before="240"/>
      </w:pPr>
      <w:r>
        <w:rPr>
          <w:rFonts w:ascii="Arial" w:cs="Arial" w:eastAsia="Arial" w:hAnsi="Arial"/>
          <w:color w:val="AAAAAA"/>
          <w:sz w:val="18"/>
          <w:szCs w:val="18"/>
        </w:rPr>
        <w:t xml:space="preserve">BCH — Product Vision   |   June 2026   |   Working document, subject to revision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2026-06-11T08:05:24.354Z</dcterms:created>
  <dcterms:modified xsi:type="dcterms:W3CDTF">2026-06-11T08:05:24.355Z</dcterms:modified>
</cp:coreProperties>
</file>

<file path=docProps/custom.xml><?xml version="1.0" encoding="utf-8"?>
<Properties xmlns="http://schemas.openxmlformats.org/officeDocument/2006/custom-properties" xmlns:vt="http://schemas.openxmlformats.org/officeDocument/2006/docPropsVTypes"/>
</file>