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0C2340"/>
          <w:sz w:val="44"/>
        </w:rPr>
        <w:t>KHUNG CHIẾN LƯỢC 5 NĂM: DỰ ÁN "BẠN CÙNG HỌC"</w:t>
      </w:r>
    </w:p>
    <w:p>
      <w:pPr>
        <w:spacing w:before="0" w:after="480"/>
        <w:jc w:val="center"/>
      </w:pPr>
      <w:r>
        <w:rPr>
          <w:rFonts w:ascii="Arial" w:hAnsi="Arial"/>
          <w:i/>
          <w:color w:val="666666"/>
          <w:sz w:val="24"/>
        </w:rPr>
        <w:t>Văn bản thiết lập nền móng dự án</w:t>
        <w:br/>
        <w:t>Đồng sáng lập: Lộc &amp; Chuột | Cập nhật: Tháng 5, 2026</w:t>
      </w:r>
    </w:p>
    <w:p>
      <w:pPr>
        <w:spacing w:after="360"/>
        <w:jc w:val="center"/>
      </w:pPr>
      <w:r>
        <w:rPr>
          <w:color w:val="4682B4"/>
        </w:rPr>
        <w:t>——————————————————————————————————————————————————</w:t>
      </w:r>
    </w:p>
    <w:p>
      <w:pPr>
        <w:keepNext/>
        <w:spacing w:before="360" w:after="160"/>
      </w:pPr>
      <w:r>
        <w:rPr>
          <w:rFonts w:ascii="Arial" w:hAnsi="Arial"/>
          <w:b/>
          <w:color w:val="0C2340"/>
          <w:sz w:val="30"/>
        </w:rPr>
        <w:t>PHẦN 1: ĐỊNH VỊ CỐT LÕI &amp; TẦM NHÌN (VISION 2031)</w:t>
      </w:r>
    </w:p>
    <w:p>
      <w:pPr>
        <w:keepNext/>
        <w:spacing w:before="240" w:after="120"/>
      </w:pPr>
      <w:r>
        <w:rPr>
          <w:rFonts w:ascii="Arial" w:hAnsi="Arial"/>
          <w:b/>
          <w:color w:val="4682B4"/>
          <w:sz w:val="25"/>
        </w:rPr>
        <w:t>1. Mô hình trọng tâm (3 năm đầu)</w:t>
      </w:r>
    </w:p>
    <w:p>
      <w:pPr>
        <w:spacing w:before="0" w:after="120" w:line="276" w:lineRule="auto"/>
      </w:pPr>
      <w:r>
        <w:rPr>
          <w:rFonts w:ascii="Arial" w:hAnsi="Arial"/>
          <w:b/>
          <w:i w:val="0"/>
          <w:color w:val="333333"/>
          <w:sz w:val="22"/>
        </w:rPr>
        <w:t>Lựa chọn chiến lược: Mô hình B - Nền tảng công nghệ / E-learning.</w:t>
      </w:r>
    </w:p>
    <w:p>
      <w:pPr>
        <w:spacing w:before="0" w:after="120" w:line="276" w:lineRule="auto"/>
      </w:pPr>
      <w:r>
        <w:rPr>
          <w:rFonts w:ascii="Arial" w:hAnsi="Arial"/>
          <w:b w:val="0"/>
          <w:i w:val="0"/>
          <w:color w:val="333333"/>
          <w:sz w:val="22"/>
        </w:rPr>
        <w:t>Định hướng hành động: Tập trung nguồn lực tối đa vào việc xây dựng hệ thống website có tính tương tác cao, phát triển các công cụ bổ trợ học tập chuyên sâu, kho bài trắc nghiệm (quiz) thông minh và các khóa học ngắn mang tính thực tiễn cao.</w:t>
      </w:r>
    </w:p>
    <w:p>
      <w:pPr>
        <w:keepNext/>
        <w:spacing w:before="240" w:after="120"/>
      </w:pPr>
      <w:r>
        <w:rPr>
          <w:rFonts w:ascii="Arial" w:hAnsi="Arial"/>
          <w:b/>
          <w:color w:val="4682B4"/>
          <w:sz w:val="25"/>
        </w:rPr>
        <w:t>2. Chỉ số thành công cốt lõi (North Star Metric &amp; Cột mốc 5 năm)</w:t>
      </w:r>
    </w:p>
    <w:p>
      <w:pPr>
        <w:spacing w:before="0" w:after="120" w:line="276" w:lineRule="auto"/>
      </w:pPr>
      <w:r>
        <w:rPr>
          <w:rFonts w:ascii="Arial" w:hAnsi="Arial"/>
          <w:b/>
          <w:i w:val="0"/>
          <w:color w:val="333333"/>
          <w:sz w:val="22"/>
        </w:rPr>
        <w:t xml:space="preserve">North Star Metric (Chỉ số mũi tên vàng): </w:t>
      </w:r>
    </w:p>
    <w:p>
      <w:pPr>
        <w:spacing w:before="0" w:after="120" w:line="276" w:lineRule="auto"/>
      </w:pPr>
      <w:r>
        <w:rPr>
          <w:rFonts w:ascii="Arial" w:hAnsi="Arial"/>
          <w:b w:val="0"/>
          <w:i w:val="0"/>
          <w:color w:val="333333"/>
          <w:sz w:val="22"/>
        </w:rPr>
        <w:t>Time spent learning (Tổng thời gian người dùng thực sự học và tương tác có chất lượng trên nền tảng) là thước đo tối cao cho mọi sự cải tiến sản phẩm.</w:t>
      </w:r>
    </w:p>
    <w:p>
      <w:pPr>
        <w:pStyle w:val="ListBullet"/>
        <w:spacing w:before="0" w:after="120" w:line="276" w:lineRule="auto"/>
      </w:pPr>
      <w:r>
        <w:rPr>
          <w:rFonts w:ascii="Arial" w:hAnsi="Arial"/>
          <w:b w:val="0"/>
          <w:i w:val="0"/>
          <w:color w:val="333333"/>
          <w:sz w:val="22"/>
        </w:rPr>
        <w:t>Mục tiêu định lượng (Scale): Đạt mốc 1,000 active users/day (người dùng hoạt động đều đặn mỗi ngày) sau 5 năm.</w:t>
      </w:r>
    </w:p>
    <w:p>
      <w:pPr>
        <w:pStyle w:val="ListBullet"/>
        <w:spacing w:before="0" w:after="120" w:line="276" w:lineRule="auto"/>
      </w:pPr>
      <w:r>
        <w:rPr>
          <w:rFonts w:ascii="Arial" w:hAnsi="Arial"/>
          <w:b w:val="0"/>
          <w:i w:val="0"/>
          <w:color w:val="333333"/>
          <w:sz w:val="22"/>
        </w:rPr>
        <w:t>Độ nhận diện thương hiệu (Word of Mouth): Đạt chỉ số lan tỏa tự nhiên cao trong cộng đồng ngành dọc. Khảo sát ngẫu nhiên 10 người học liên quan (sinh viên, học viên), có ít nhất 6 người biết đến và nhận diện được thương hiệu "Bạn Cùng Học".</w:t>
      </w:r>
    </w:p>
    <w:p>
      <w:pPr>
        <w:pStyle w:val="ListBullet"/>
        <w:spacing w:before="0" w:after="120" w:line="276" w:lineRule="auto"/>
      </w:pPr>
      <w:r>
        <w:rPr>
          <w:rFonts w:ascii="Arial" w:hAnsi="Arial"/>
          <w:b w:val="0"/>
          <w:i w:val="0"/>
          <w:color w:val="333333"/>
          <w:sz w:val="22"/>
        </w:rPr>
        <w:t>Lộ trình mở rộng (Scalability): Xuất phát vững chắc từ 2 ngành mũi nhọn là Dược học và Tâm lý học. Mục tiêu tích hợp và mở rộng thêm 3 lĩnh vực học thuật mới trong vòng 5 năm tiếp theo.</w:t>
      </w:r>
    </w:p>
    <w:p>
      <w:pPr>
        <w:keepNext/>
        <w:spacing w:before="240" w:after="120"/>
      </w:pPr>
      <w:r>
        <w:rPr>
          <w:rFonts w:ascii="Arial" w:hAnsi="Arial"/>
          <w:b/>
          <w:color w:val="4682B4"/>
          <w:sz w:val="25"/>
        </w:rPr>
        <w:t>3. Giá trị cốt lõi (Core Values) &amp; Cam kết thương hiệu</w:t>
      </w:r>
    </w:p>
    <w:p>
      <w:pPr>
        <w:spacing w:before="0" w:after="120" w:line="276" w:lineRule="auto"/>
      </w:pPr>
      <w:r>
        <w:rPr>
          <w:rFonts w:ascii="Arial" w:hAnsi="Arial"/>
          <w:b/>
          <w:i w:val="0"/>
          <w:color w:val="333333"/>
          <w:sz w:val="22"/>
        </w:rPr>
        <w:t xml:space="preserve">Accurate (Chính xác): </w:t>
      </w:r>
    </w:p>
    <w:p>
      <w:pPr>
        <w:spacing w:before="0" w:after="120" w:line="276" w:lineRule="auto"/>
      </w:pPr>
      <w:r>
        <w:rPr>
          <w:rFonts w:ascii="Arial" w:hAnsi="Arial"/>
          <w:b w:val="0"/>
          <w:i w:val="0"/>
          <w:color w:val="333333"/>
          <w:sz w:val="22"/>
        </w:rPr>
        <w:t>Đảm bảo an toàn học thuật ở mức tuyệt đối. Thông tin y dược và tâm lý được truyền tải chuẩn xác dựa trên bằng chứng khoa học, đóng vai trò là "chốt chặn an toàn cuối cùng" cho kiến thức trước khi ứng dụng thực tế.</w:t>
      </w:r>
    </w:p>
    <w:p>
      <w:pPr>
        <w:spacing w:before="0" w:after="120" w:line="276" w:lineRule="auto"/>
      </w:pPr>
      <w:r>
        <w:rPr>
          <w:rFonts w:ascii="Arial" w:hAnsi="Arial"/>
          <w:b/>
          <w:i w:val="0"/>
          <w:color w:val="333333"/>
          <w:sz w:val="22"/>
        </w:rPr>
        <w:t xml:space="preserve">Efficient (Hiệu quả &amp; Tinh gọn): </w:t>
      </w:r>
    </w:p>
    <w:p>
      <w:pPr>
        <w:spacing w:before="0" w:after="120" w:line="276" w:lineRule="auto"/>
      </w:pPr>
      <w:r>
        <w:rPr>
          <w:rFonts w:ascii="Arial" w:hAnsi="Arial"/>
          <w:b w:val="0"/>
          <w:i w:val="0"/>
          <w:color w:val="333333"/>
          <w:sz w:val="22"/>
        </w:rPr>
        <w:t>Giao diện thân thiện (User-friendly), nội dung tinh lọc "không thừa không thiếu", bám sát mục tiêu học tập rõ ràng giúp tối ưu hóa thời gian và tăng cường hiệu suất ghi nhớ của người học.</w:t>
      </w:r>
    </w:p>
    <w:p>
      <w:pPr>
        <w:keepNext/>
        <w:spacing w:before="360" w:after="160"/>
      </w:pPr>
      <w:r>
        <w:rPr>
          <w:rFonts w:ascii="Arial" w:hAnsi="Arial"/>
          <w:b/>
          <w:color w:val="0C2340"/>
          <w:sz w:val="30"/>
        </w:rPr>
        <w:t>PHẦN 2: CHIẾN LƯỢC KHÁCH HÀNG &amp; PHƯƠNG PHÁP NỘI DUNG</w:t>
      </w:r>
    </w:p>
    <w:p>
      <w:pPr>
        <w:keepNext/>
        <w:spacing w:before="240" w:after="120"/>
      </w:pPr>
      <w:r>
        <w:rPr>
          <w:rFonts w:ascii="Arial" w:hAnsi="Arial"/>
          <w:b/>
          <w:color w:val="4682B4"/>
          <w:sz w:val="25"/>
        </w:rPr>
        <w:t>1. Phân rã đối tượng mục tiêu (Target Persona)</w:t>
      </w:r>
    </w:p>
    <w:p>
      <w:pPr>
        <w:pStyle w:val="ListBullet"/>
        <w:spacing w:before="0" w:after="120" w:line="276" w:lineRule="auto"/>
      </w:pPr>
      <w:r>
        <w:rPr>
          <w:rFonts w:ascii="Arial" w:hAnsi="Arial"/>
          <w:b w:val="0"/>
          <w:i w:val="0"/>
          <w:color w:val="333333"/>
          <w:sz w:val="22"/>
        </w:rPr>
        <w:t>Nhóm trọng tâm (70%): Sinh viên ngành dọc (Dược, Tâm lý) đang cần công cụ bổ trợ học tập vững chắc và người đã tốt nghiệp cần ôn tập, nâng cao năng lực lâm sàng hoặc chuẩn bị cho các kỳ thi đánh giá năng lực chuyên môn (Qualification exams).</w:t>
      </w:r>
    </w:p>
    <w:p>
      <w:pPr>
        <w:pStyle w:val="ListBullet"/>
        <w:spacing w:before="0" w:after="120" w:line="276" w:lineRule="auto"/>
      </w:pPr>
      <w:r>
        <w:rPr>
          <w:rFonts w:ascii="Arial" w:hAnsi="Arial"/>
          <w:b w:val="0"/>
          <w:i w:val="0"/>
          <w:color w:val="333333"/>
          <w:sz w:val="22"/>
        </w:rPr>
        <w:t>Nhóm vệ tinh (30%): Đại chúng / Công chúng có nhu cầu tìm kiếm các kiến thức khoa học chuẩn xác, đáng tin cậy để ứng dụng tự chăm sóc sức khỏe chủ động hoặc thấu hiểu bản thân.</w:t>
      </w:r>
    </w:p>
    <w:p>
      <w:pPr>
        <w:keepNext/>
        <w:spacing w:before="240" w:after="120"/>
      </w:pPr>
      <w:r>
        <w:rPr>
          <w:rFonts w:ascii="Arial" w:hAnsi="Arial"/>
          <w:b/>
          <w:color w:val="4682B4"/>
          <w:sz w:val="25"/>
        </w:rPr>
        <w:t>2. Ma trận Thực trạng &amp; Giải pháp đột phá (Problem &amp; Solution)</w:t>
      </w:r>
    </w:p>
    <w:tbl>
      <w:tblPr>
        <w:tblW w:type="auto" w:w="0"/>
        <w:jc w:val="center"/>
        <w:tblLayout w:type="fixed"/>
        <w:tblLook w:firstColumn="1" w:firstRow="1" w:lastColumn="0" w:lastRow="0" w:noHBand="0" w:noVBand="1" w:val="04A0"/>
      </w:tblPr>
      <w:tblGrid>
        <w:gridCol w:w="4680"/>
        <w:gridCol w:w="4680"/>
      </w:tblGrid>
      <w:tr>
        <w:tc>
          <w:tcPr>
            <w:tcW w:type="dxa" w:w="4608"/>
            <w:shd w:fill="0C2340"/>
            <w:tcMar>
              <w:top w:w="120" w:type="dxa"/>
              <w:bottom w:w="120" w:type="dxa"/>
              <w:left w:w="150" w:type="dxa"/>
              <w:right w:w="150" w:type="dxa"/>
            </w:tcMar>
          </w:tcPr>
          <w:p>
            <w:pPr>
              <w:jc w:val="center"/>
            </w:pPr>
            <w:r>
              <w:rPr>
                <w:rFonts w:ascii="Arial" w:hAnsi="Arial"/>
                <w:b/>
                <w:color w:val="FFFFFF"/>
                <w:sz w:val="21"/>
              </w:rPr>
              <w:t>Thực trạng &amp; Nỗi đau của người học (Problem)</w:t>
            </w:r>
          </w:p>
        </w:tc>
        <w:tc>
          <w:tcPr>
            <w:tcW w:type="dxa" w:w="4608"/>
            <w:shd w:fill="0C2340"/>
            <w:tcMar>
              <w:top w:w="120" w:type="dxa"/>
              <w:bottom w:w="120" w:type="dxa"/>
              <w:left w:w="150" w:type="dxa"/>
              <w:right w:w="150" w:type="dxa"/>
            </w:tcMar>
          </w:tcPr>
          <w:p>
            <w:pPr>
              <w:jc w:val="center"/>
            </w:pPr>
            <w:r>
              <w:rPr>
                <w:rFonts w:ascii="Arial" w:hAnsi="Arial"/>
                <w:b/>
                <w:color w:val="FFFFFF"/>
                <w:sz w:val="21"/>
              </w:rPr>
              <w:t>Giải pháp của "Bạn Cùng Học" (Solution)</w:t>
            </w:r>
          </w:p>
        </w:tc>
      </w:tr>
      <w:tr>
        <w:tc>
          <w:tcPr>
            <w:tcW w:type="dxa" w:w="4608"/>
            <w:shd w:fill="FFFFFF"/>
            <w:tcMar>
              <w:top w:w="100" w:type="dxa"/>
              <w:bottom w:w="100" w:type="dxa"/>
              <w:left w:w="150" w:type="dxa"/>
              <w:right w:w="150" w:type="dxa"/>
            </w:tcMar>
            <w:tcBorders>
              <w:top w:sz="4" w:val="single" w:color="D3D3D3"/>
              <w:bottom w:sz="4" w:val="single" w:color="D3D3D3"/>
              <w:left w:sz="4" w:val="single" w:color="D3D3D3"/>
              <w:right w:sz="4" w:val="single" w:color="D3D3D3"/>
            </w:tcBorders>
            <w:vAlign w:val="center"/>
          </w:tcPr>
          <w:p>
            <w:pPr>
              <w:spacing w:before="40" w:after="40" w:line="276" w:lineRule="auto"/>
            </w:pPr>
            <w:r>
              <w:rPr>
                <w:rFonts w:ascii="Arial" w:hAnsi="Arial"/>
                <w:color w:val="333333"/>
                <w:sz w:val="20"/>
              </w:rPr>
              <w:t>Tài liệu scattered:</w:t>
              <w:br/>
              <w:t>Kiến thức học thuật bị phân tán nhiều nơi, khó hệ thống, nhiều nguồn thiếu chính thống hoặc bị thương mại hóa quá mức.</w:t>
            </w:r>
          </w:p>
        </w:tc>
        <w:tc>
          <w:tcPr>
            <w:tcW w:type="dxa" w:w="4608"/>
            <w:shd w:fill="FFFFFF"/>
            <w:tcMar>
              <w:top w:w="100" w:type="dxa"/>
              <w:bottom w:w="100" w:type="dxa"/>
              <w:left w:w="150" w:type="dxa"/>
              <w:right w:w="150" w:type="dxa"/>
            </w:tcMar>
            <w:tcBorders>
              <w:top w:sz="4" w:val="single" w:color="D3D3D3"/>
              <w:bottom w:sz="4" w:val="single" w:color="D3D3D3"/>
              <w:left w:sz="4" w:val="single" w:color="D3D3D3"/>
              <w:right w:sz="4" w:val="single" w:color="D3D3D3"/>
            </w:tcBorders>
            <w:vAlign w:val="center"/>
          </w:tcPr>
          <w:p>
            <w:pPr>
              <w:spacing w:before="40" w:after="40" w:line="276" w:lineRule="auto"/>
            </w:pPr>
            <w:r>
              <w:rPr>
                <w:rFonts w:ascii="Arial" w:hAnsi="Arial"/>
                <w:color w:val="333333"/>
                <w:sz w:val="20"/>
              </w:rPr>
              <w:t>All-in-one place:</w:t>
              <w:br/>
              <w:t>Hệ thống hóa tài liệu học tập, quy chuẩn lộ trình học trực quan và scannable về một nền tảng duy nhất.</w:t>
            </w:r>
          </w:p>
        </w:tc>
      </w:tr>
      <w:tr>
        <w:tc>
          <w:tcPr>
            <w:tcW w:type="dxa" w:w="4608"/>
            <w:shd w:fill="F4F6F9"/>
            <w:tcMar>
              <w:top w:w="100" w:type="dxa"/>
              <w:bottom w:w="100" w:type="dxa"/>
              <w:left w:w="150" w:type="dxa"/>
              <w:right w:w="150" w:type="dxa"/>
            </w:tcMar>
            <w:tcBorders>
              <w:top w:sz="4" w:val="single" w:color="D3D3D3"/>
              <w:bottom w:sz="4" w:val="single" w:color="D3D3D3"/>
              <w:left w:sz="4" w:val="single" w:color="D3D3D3"/>
              <w:right w:sz="4" w:val="single" w:color="D3D3D3"/>
            </w:tcBorders>
            <w:vAlign w:val="center"/>
          </w:tcPr>
          <w:p>
            <w:pPr>
              <w:spacing w:before="40" w:after="40" w:line="276" w:lineRule="auto"/>
            </w:pPr>
            <w:r>
              <w:rPr>
                <w:rFonts w:ascii="Arial" w:hAnsi="Arial"/>
                <w:color w:val="333333"/>
                <w:sz w:val="20"/>
              </w:rPr>
              <w:t>Creditability thấp:</w:t>
              <w:br/>
              <w:t>Các tài liệu dịch thuật hoặc bài viết chia sẻ trôi nổi trên mạng có độ tin cậy thấp, khó kiểm chứng.</w:t>
            </w:r>
          </w:p>
        </w:tc>
        <w:tc>
          <w:tcPr>
            <w:tcW w:type="dxa" w:w="4608"/>
            <w:shd w:fill="F4F6F9"/>
            <w:tcMar>
              <w:top w:w="100" w:type="dxa"/>
              <w:bottom w:w="100" w:type="dxa"/>
              <w:left w:w="150" w:type="dxa"/>
              <w:right w:w="150" w:type="dxa"/>
            </w:tcMar>
            <w:tcBorders>
              <w:top w:sz="4" w:val="single" w:color="D3D3D3"/>
              <w:bottom w:sz="4" w:val="single" w:color="D3D3D3"/>
              <w:left w:sz="4" w:val="single" w:color="D3D3D3"/>
              <w:right w:sz="4" w:val="single" w:color="D3D3D3"/>
            </w:tcBorders>
            <w:vAlign w:val="center"/>
          </w:tcPr>
          <w:p>
            <w:pPr>
              <w:spacing w:before="40" w:after="40" w:line="276" w:lineRule="auto"/>
            </w:pPr>
            <w:r>
              <w:rPr>
                <w:rFonts w:ascii="Arial" w:hAnsi="Arial"/>
                <w:color w:val="333333"/>
                <w:sz w:val="20"/>
              </w:rPr>
              <w:t>Curated &amp; Certified:</w:t>
              <w:br/>
              <w:t>Nội dung được biên soạn chuẩn xác bởi các tác giả có chứng nhận chuyên môn và được thẩm định nghiêm ngặt bởi Hội đồng cố vấn.</w:t>
            </w:r>
          </w:p>
        </w:tc>
      </w:tr>
      <w:tr>
        <w:tc>
          <w:tcPr>
            <w:tcW w:type="dxa" w:w="4608"/>
            <w:shd w:fill="FFFFFF"/>
            <w:tcMar>
              <w:top w:w="100" w:type="dxa"/>
              <w:bottom w:w="100" w:type="dxa"/>
              <w:left w:w="150" w:type="dxa"/>
              <w:right w:w="150" w:type="dxa"/>
            </w:tcMar>
            <w:tcBorders>
              <w:top w:sz="4" w:val="single" w:color="D3D3D3"/>
              <w:bottom w:sz="4" w:val="single" w:color="D3D3D3"/>
              <w:left w:sz="4" w:val="single" w:color="D3D3D3"/>
              <w:right w:sz="4" w:val="single" w:color="D3D3D3"/>
            </w:tcBorders>
            <w:vAlign w:val="center"/>
          </w:tcPr>
          <w:p>
            <w:pPr>
              <w:spacing w:before="40" w:after="40" w:line="276" w:lineRule="auto"/>
            </w:pPr>
            <w:r>
              <w:rPr>
                <w:rFonts w:ascii="Arial" w:hAnsi="Arial"/>
                <w:color w:val="333333"/>
                <w:sz w:val="20"/>
              </w:rPr>
              <w:t>Thiếu định hướng &amp; Trọng tâm:</w:t>
              <w:br/>
              <w:t>Học nặng về lý thuyết suông từ giáo trình dày đặc, khó ứng dụng vào thực tế thực hành lâm sàng.</w:t>
            </w:r>
          </w:p>
        </w:tc>
        <w:tc>
          <w:tcPr>
            <w:tcW w:type="dxa" w:w="4608"/>
            <w:shd w:fill="FFFFFF"/>
            <w:tcMar>
              <w:top w:w="100" w:type="dxa"/>
              <w:bottom w:w="100" w:type="dxa"/>
              <w:left w:w="150" w:type="dxa"/>
              <w:right w:w="150" w:type="dxa"/>
            </w:tcMar>
            <w:tcBorders>
              <w:top w:sz="4" w:val="single" w:color="D3D3D3"/>
              <w:bottom w:sz="4" w:val="single" w:color="D3D3D3"/>
              <w:left w:sz="4" w:val="single" w:color="D3D3D3"/>
              <w:right w:sz="4" w:val="single" w:color="D3D3D3"/>
            </w:tcBorders>
            <w:vAlign w:val="center"/>
          </w:tcPr>
          <w:p>
            <w:pPr>
              <w:spacing w:before="40" w:after="40" w:line="276" w:lineRule="auto"/>
            </w:pPr>
            <w:r>
              <w:rPr>
                <w:rFonts w:ascii="Arial" w:hAnsi="Arial"/>
                <w:color w:val="333333"/>
                <w:sz w:val="20"/>
              </w:rPr>
              <w:t>Practice &amp; Competence oriented:</w:t>
              <w:br/>
              <w:t>Phát triển nội dung theo hướng "Down-to-earth" (thực tế, gần gũi), tập trung trực tiếp vào năng lực giải quyết tình huống.</w:t>
            </w:r>
          </w:p>
        </w:tc>
      </w:tr>
      <w:tr>
        <w:tc>
          <w:tcPr>
            <w:tcW w:type="dxa" w:w="4608"/>
            <w:shd w:fill="F4F6F9"/>
            <w:tcMar>
              <w:top w:w="100" w:type="dxa"/>
              <w:bottom w:w="100" w:type="dxa"/>
              <w:left w:w="150" w:type="dxa"/>
              <w:right w:w="150" w:type="dxa"/>
            </w:tcMar>
            <w:tcBorders>
              <w:top w:sz="4" w:val="single" w:color="D3D3D3"/>
              <w:bottom w:sz="4" w:val="single" w:color="D3D3D3"/>
              <w:left w:sz="4" w:val="single" w:color="D3D3D3"/>
              <w:right w:sz="4" w:val="single" w:color="D3D3D3"/>
            </w:tcBorders>
            <w:vAlign w:val="center"/>
          </w:tcPr>
          <w:p>
            <w:pPr>
              <w:spacing w:before="40" w:after="40" w:line="276" w:lineRule="auto"/>
            </w:pPr>
            <w:r>
              <w:rPr>
                <w:rFonts w:ascii="Arial" w:hAnsi="Arial"/>
                <w:color w:val="333333"/>
                <w:sz w:val="20"/>
              </w:rPr>
              <w:t>Học vẹt (Passive learning):</w:t>
              <w:br/>
              <w:t>Đọc chép và ghi nhớ thụ động khiến kiến thức nhanh rơi rụng, thiếu tư duy phản biện và khả năng liên kết.</w:t>
            </w:r>
          </w:p>
        </w:tc>
        <w:tc>
          <w:tcPr>
            <w:tcW w:type="dxa" w:w="4608"/>
            <w:shd w:fill="F4F6F9"/>
            <w:tcMar>
              <w:top w:w="100" w:type="dxa"/>
              <w:bottom w:w="100" w:type="dxa"/>
              <w:left w:w="150" w:type="dxa"/>
              <w:right w:w="150" w:type="dxa"/>
            </w:tcMar>
            <w:tcBorders>
              <w:top w:sz="4" w:val="single" w:color="D3D3D3"/>
              <w:bottom w:sz="4" w:val="single" w:color="D3D3D3"/>
              <w:left w:sz="4" w:val="single" w:color="D3D3D3"/>
              <w:right w:sz="4" w:val="single" w:color="D3D3D3"/>
            </w:tcBorders>
            <w:vAlign w:val="center"/>
          </w:tcPr>
          <w:p>
            <w:pPr>
              <w:spacing w:before="40" w:after="40" w:line="276" w:lineRule="auto"/>
            </w:pPr>
            <w:r>
              <w:rPr>
                <w:rFonts w:ascii="Arial" w:hAnsi="Arial"/>
                <w:color w:val="333333"/>
                <w:sz w:val="20"/>
              </w:rPr>
              <w:t>Retrieval Practice:</w:t>
              <w:br/>
              <w:t>Đưa phương pháp "Chủ động gợi nhớ" thông qua các bộ công cụ câu hỏi tương tác, flashcard thông minh làm lõi vận hành cốt lõi.</w:t>
            </w:r>
          </w:p>
        </w:tc>
      </w:tr>
    </w:tbl>
    <w:p>
      <w:pPr>
        <w:spacing w:after="120"/>
      </w:pPr>
    </w:p>
    <w:p>
      <w:pPr>
        <w:keepNext/>
        <w:spacing w:before="240" w:after="120"/>
      </w:pPr>
      <w:r>
        <w:rPr>
          <w:rFonts w:ascii="Arial" w:hAnsi="Arial"/>
          <w:b/>
          <w:color w:val="4682B4"/>
          <w:sz w:val="25"/>
        </w:rPr>
        <w:t>3. Phương pháp tương tác đặc trưng cho chủ đề trừu tượng (Social/Abstract)</w:t>
      </w:r>
    </w:p>
    <w:p>
      <w:pPr>
        <w:spacing w:before="0" w:after="120" w:line="276" w:lineRule="auto"/>
      </w:pPr>
      <w:r>
        <w:rPr>
          <w:rFonts w:ascii="Arial" w:hAnsi="Arial"/>
          <w:b w:val="0"/>
          <w:i w:val="0"/>
          <w:color w:val="333333"/>
          <w:sz w:val="22"/>
        </w:rPr>
        <w:t>Đối với các chủ đề mang tính xã hội hoặc trừu tượng khó lượng hóa trong ngành Tâm lý hoặc cơ chế sâu của Dược học, hệ thống áp dụng cơ chế tương tác đa tầng:</w:t>
      </w:r>
    </w:p>
    <w:p>
      <w:pPr>
        <w:pStyle w:val="ListBullet"/>
        <w:spacing w:before="0" w:after="120" w:line="276" w:lineRule="auto"/>
      </w:pPr>
      <w:r>
        <w:rPr>
          <w:rFonts w:ascii="Arial" w:hAnsi="Arial"/>
          <w:b w:val="0"/>
          <w:i w:val="0"/>
          <w:color w:val="333333"/>
          <w:sz w:val="22"/>
        </w:rPr>
        <w:t>Liên tưởng tự do (Free Association): Kích thích tư duy mở, kết nối các khái niệm học thuật với trải nghiệm thực tế đời sống.</w:t>
      </w:r>
    </w:p>
    <w:p>
      <w:pPr>
        <w:pStyle w:val="ListBullet"/>
        <w:spacing w:before="0" w:after="120" w:line="276" w:lineRule="auto"/>
      </w:pPr>
      <w:r>
        <w:rPr>
          <w:rFonts w:ascii="Arial" w:hAnsi="Arial"/>
          <w:b w:val="0"/>
          <w:i w:val="0"/>
          <w:color w:val="333333"/>
          <w:sz w:val="22"/>
        </w:rPr>
        <w:t>Peer-reviewed writing exercise: Các bài tập viết ngắn hoặc phân tích case study lâm sàng được thiết kế để học viên tự chấm điểm và đánh giá chéo nhau, tăng tính phản biện.</w:t>
      </w:r>
    </w:p>
    <w:p>
      <w:pPr>
        <w:pStyle w:val="ListBullet"/>
        <w:spacing w:before="0" w:after="120" w:line="276" w:lineRule="auto"/>
      </w:pPr>
      <w:r>
        <w:rPr>
          <w:rFonts w:ascii="Arial" w:hAnsi="Arial"/>
          <w:b w:val="0"/>
          <w:i w:val="0"/>
          <w:color w:val="333333"/>
          <w:sz w:val="22"/>
        </w:rPr>
        <w:t>AI Loop Feedback: Ứng dụng trí tuệ nhân tạo để phân tích, phản hồi và gợi ý chỉnh sửa câu trả lời cho người học theo thời gian thực (Real-time), dựa trên một phạm vi kiến thức chuyên môn đã được giới hạn và kiểm duyệt chặt chẽ (Designated Scope).</w:t>
      </w:r>
    </w:p>
    <w:p>
      <w:pPr>
        <w:keepNext/>
        <w:spacing w:before="360" w:after="160"/>
      </w:pPr>
      <w:r>
        <w:rPr>
          <w:rFonts w:ascii="Arial" w:hAnsi="Arial"/>
          <w:b/>
          <w:color w:val="0C2340"/>
          <w:sz w:val="30"/>
        </w:rPr>
        <w:t>PHẦN 3: BẢO CHỨNG CHUYÊN MÔN, NGUỒN LỰC &amp; QUẢN TRỊ RỦI RO</w:t>
      </w:r>
    </w:p>
    <w:p>
      <w:pPr>
        <w:keepNext/>
        <w:spacing w:before="240" w:after="120"/>
      </w:pPr>
      <w:r>
        <w:rPr>
          <w:rFonts w:ascii="Arial" w:hAnsi="Arial"/>
          <w:b/>
          <w:color w:val="4682B4"/>
          <w:sz w:val="25"/>
        </w:rPr>
        <w:t>1. Chiến lược Tài liệu &amp; Kiểm chứng (Fact-checking)</w:t>
      </w:r>
    </w:p>
    <w:p>
      <w:pPr>
        <w:spacing w:before="0" w:after="120" w:line="276" w:lineRule="auto"/>
      </w:pPr>
      <w:r>
        <w:rPr>
          <w:rFonts w:ascii="Arial" w:hAnsi="Arial"/>
          <w:b w:val="0"/>
          <w:i w:val="0"/>
          <w:color w:val="333333"/>
          <w:sz w:val="22"/>
        </w:rPr>
        <w:t>Nguyên tắc nguồn tài liệu: Phân cấp nguồn minh bạch và khắt khe. Hệ thống sử dụng chủ yếu Tài liệu Cấp 3 (Handbooks, Guidelines điều trị quốc gia/quốc tế, Textbooks chính thống từ các trường đại học y dược uy tín) để xây dựng nội dung cốt lõi nhanh và chính xác. Mở rộng với Tài liệu Cấp 2 (Các bài báo nghiên cứu, thử nghiệm lâm sàng hệ thống trên các cơ sở dữ liệu lớn như Pubmed, Cochrane) khi cần phân tích chuyên sâu. Tuyệt đối loại bỏ và nói không với các nguồn mở thiếu kiểm duyệt học thuật (như Wikipedia) ra khỏi hệ thống nguồn dẫn.</w:t>
      </w:r>
    </w:p>
    <w:p>
      <w:pPr>
        <w:spacing w:before="0" w:after="120" w:line="276" w:lineRule="auto"/>
      </w:pPr>
      <w:r>
        <w:rPr>
          <w:rFonts w:ascii="Arial" w:hAnsi="Arial"/>
          <w:b w:val="0"/>
          <w:i w:val="0"/>
          <w:color w:val="333333"/>
          <w:sz w:val="22"/>
        </w:rPr>
        <w:t>Hội đồng cố vấn (Advisory Board): Thu hút và giữ chân các Giáo sư, Giảng viên đại học uy tín, Dược sĩ/Bác sĩ lâm sàng gạo cội tham gia thẩm định và bảo chứng thông qua hai đòn bẩy: Tài chính xứng đáng (Tiền) và Sự đồng điệu sâu sắc về tầm nhìn đổi mới giáo dục (Vision).</w:t>
      </w:r>
    </w:p>
    <w:p>
      <w:pPr>
        <w:keepNext/>
        <w:spacing w:before="240" w:after="120"/>
      </w:pPr>
      <w:r>
        <w:rPr>
          <w:rFonts w:ascii="Arial" w:hAnsi="Arial"/>
          <w:b/>
          <w:color w:val="4682B4"/>
          <w:sz w:val="25"/>
        </w:rPr>
        <w:t>2. Quản trị rủi ro &amp; Đạo đức (Risk &amp; Ethics)</w:t>
      </w:r>
    </w:p>
    <w:p>
      <w:pPr>
        <w:spacing w:before="0" w:after="120" w:line="276" w:lineRule="auto"/>
      </w:pPr>
      <w:r>
        <w:rPr>
          <w:rFonts w:ascii="Arial" w:hAnsi="Arial"/>
          <w:b/>
          <w:i w:val="0"/>
          <w:color w:val="333333"/>
          <w:sz w:val="22"/>
        </w:rPr>
        <w:t>Màng lọc an toàn tối cao: Dự án cam kết đóng vai trò là một "chốt chặn an toàn cuối cùng" về mặt tri thức học thuật cho người học trước khi họ đem kiến thức áp dụng trực tiếp vào lâm sàng hay cuộc sống thực tế.</w:t>
      </w:r>
    </w:p>
    <w:p>
      <w:pPr>
        <w:spacing w:before="0" w:after="120" w:line="276" w:lineRule="auto"/>
      </w:pPr>
      <w:r>
        <w:rPr>
          <w:rFonts w:ascii="Arial" w:hAnsi="Arial"/>
          <w:b w:val="0"/>
          <w:i w:val="0"/>
          <w:color w:val="333333"/>
          <w:sz w:val="22"/>
        </w:rPr>
        <w:t>Giải pháp kiểm soát: Xây dựng bộ quy tắc ứng xử và biên tập nội dung y khoa/tâm lý (Code of Ethics) nghiêm ngặt. Toàn bộ khung nội dung và lộ trình phân tách kỹ năng trên website phải bám sát theo các khung chương trình đào tạo uy tín chuẩn quốc gia hoặc quốc tế đã được công nhận (Creditable course outlines).</w:t>
      </w:r>
    </w:p>
    <w:p>
      <w:pPr>
        <w:keepNext/>
        <w:spacing w:before="360" w:after="160"/>
      </w:pPr>
      <w:r>
        <w:rPr>
          <w:rFonts w:ascii="Arial" w:hAnsi="Arial"/>
          <w:b/>
          <w:color w:val="0C2340"/>
          <w:sz w:val="30"/>
        </w:rPr>
        <w:t>PHẦN 4: MÔ HÌNH VẬN HÀNH &amp; TÀI CHÍNH (THE HOW)</w:t>
      </w:r>
    </w:p>
    <w:p>
      <w:pPr>
        <w:keepNext/>
        <w:spacing w:before="240" w:after="120"/>
      </w:pPr>
      <w:r>
        <w:rPr>
          <w:rFonts w:ascii="Arial" w:hAnsi="Arial"/>
          <w:b/>
          <w:color w:val="4682B4"/>
          <w:sz w:val="25"/>
        </w:rPr>
        <w:t>1. Phân chia nguồn lực trong 12 tháng đầu (Giai đoạn Bootstrapping)</w:t>
      </w:r>
    </w:p>
    <w:p>
      <w:pPr>
        <w:spacing w:before="0" w:after="120" w:line="276" w:lineRule="auto"/>
      </w:pPr>
      <w:r>
        <w:rPr>
          <w:rFonts w:ascii="Arial" w:hAnsi="Arial"/>
          <w:b w:val="0"/>
          <w:i/>
          <w:color w:val="333333"/>
          <w:sz w:val="22"/>
        </w:rPr>
        <w:t>Cơ chế ra quyết định: Đồng trách nhiệm (Mutual responsibility). Khi xảy ra bất đồng ý kiến hoặc tranh chấp trong định hướng phát triển, quyết định mang tính chung cuộc cuối cùng sẽ thuộc về người có trải nghiệm thực tế và chuyên môn sâu hơn trong lĩnh vực đó.</w:t>
      </w:r>
    </w:p>
    <w:p>
      <w:pPr>
        <w:spacing w:before="0" w:after="120" w:line="276" w:lineRule="auto"/>
      </w:pPr>
      <w:r>
        <w:rPr>
          <w:rFonts w:ascii="Arial" w:hAnsi="Arial"/>
          <w:b/>
          <w:i w:val="0"/>
          <w:color w:val="333333"/>
          <w:sz w:val="22"/>
        </w:rPr>
        <w:t>Phân vai Co-founders rõ ràng:</w:t>
      </w:r>
    </w:p>
    <w:p>
      <w:pPr>
        <w:pStyle w:val="ListBullet"/>
        <w:spacing w:before="0" w:after="120" w:line="276" w:lineRule="auto"/>
      </w:pPr>
      <w:r>
        <w:rPr>
          <w:rFonts w:ascii="Arial" w:hAnsi="Arial"/>
          <w:b w:val="0"/>
          <w:i w:val="0"/>
          <w:color w:val="333333"/>
          <w:sz w:val="22"/>
        </w:rPr>
        <w:t>Lộc (Chuyên môn): Chịu trách nhiệm tối cao về việc định hướng, lên khung kiến thức, biên soạn, kết nối chuyên gia và kiểm duyệt toàn bộ Nội dung &amp; Học thuật trên nền tảng.</w:t>
      </w:r>
    </w:p>
    <w:p>
      <w:pPr>
        <w:pStyle w:val="ListBullet"/>
        <w:spacing w:before="0" w:after="120" w:line="276" w:lineRule="auto"/>
      </w:pPr>
      <w:r>
        <w:rPr>
          <w:rFonts w:ascii="Arial" w:hAnsi="Arial"/>
          <w:b w:val="0"/>
          <w:i w:val="0"/>
          <w:color w:val="333333"/>
          <w:sz w:val="22"/>
        </w:rPr>
        <w:t>Chuột (Kỹ thuật): Chịu trách nhiệm tối cao về việc kiến trúc hệ thống công nghệ, tối ưu hóa UI/UX website, quản trị vận hành nền tảng và lập kế hoạch Marketing thu hút người dùng.</w:t>
      </w:r>
    </w:p>
    <w:p>
      <w:pPr>
        <w:keepNext/>
        <w:spacing w:before="240" w:after="120"/>
      </w:pPr>
      <w:r>
        <w:rPr>
          <w:rFonts w:ascii="Arial" w:hAnsi="Arial"/>
          <w:b/>
          <w:color w:val="4682B4"/>
          <w:sz w:val="25"/>
        </w:rPr>
        <w:t>2. Mô hình tạo dòng tiền (Monetization - Từ năm thứ 2 trở đi)</w:t>
      </w:r>
    </w:p>
    <w:p>
      <w:pPr>
        <w:spacing w:before="0" w:after="120" w:line="276" w:lineRule="auto"/>
      </w:pPr>
      <w:r>
        <w:rPr>
          <w:rFonts w:ascii="Arial" w:hAnsi="Arial"/>
          <w:b w:val="0"/>
          <w:i w:val="0"/>
          <w:color w:val="333333"/>
          <w:sz w:val="22"/>
        </w:rPr>
        <w:t>Thực hiện mô hình kinh doanh kết hợp Freemium &amp; Subscription linh hoạt:</w:t>
      </w:r>
    </w:p>
    <w:p>
      <w:pPr>
        <w:pStyle w:val="ListBullet"/>
        <w:spacing w:before="0" w:after="120" w:line="276" w:lineRule="auto"/>
      </w:pPr>
      <w:r>
        <w:rPr>
          <w:rFonts w:ascii="Arial" w:hAnsi="Arial"/>
          <w:b w:val="0"/>
          <w:i w:val="0"/>
          <w:color w:val="333333"/>
          <w:sz w:val="22"/>
        </w:rPr>
        <w:t>Freemium: Cung cấp hoàn toàn miễn phí các kiến thức lý thuyết nền tảng, sơ đồ tư duy cơ bản nhằm tiếp cận, giáo dục thị trường và giữ chân lượng lớn người dùng đại chúng.</w:t>
      </w:r>
    </w:p>
    <w:p>
      <w:pPr>
        <w:pStyle w:val="ListBullet"/>
        <w:spacing w:before="0" w:after="120" w:line="276" w:lineRule="auto"/>
      </w:pPr>
      <w:r>
        <w:rPr>
          <w:rFonts w:ascii="Arial" w:hAnsi="Arial"/>
          <w:b w:val="0"/>
          <w:i w:val="0"/>
          <w:color w:val="333333"/>
          <w:sz w:val="22"/>
        </w:rPr>
        <w:t>Subscription (Thu phí thành viên định kỳ): Thu phí theo tháng/quý/năm để mở khóa các tính năng tương tác chuyên sâu, cao cấp (AI Loop Feedback, Hệ thống Peer-review), kho học liệu lâm sàng chuyên sâu, hoặc các chương trình luyện thi chứng chỉ hành nghề/kỳ thi chất lượng cao (Qualification exam preparation).</w:t>
      </w:r>
    </w:p>
    <w:p>
      <w:pPr>
        <w:keepNext/>
        <w:spacing w:before="240" w:after="120"/>
      </w:pPr>
      <w:r>
        <w:rPr>
          <w:rFonts w:ascii="Arial" w:hAnsi="Arial"/>
          <w:b/>
          <w:color w:val="4682B4"/>
          <w:sz w:val="25"/>
        </w:rPr>
        <w:t>3. Định hướng chuyển đổi công nghệ (Năm thứ 4 - 5)</w:t>
      </w:r>
    </w:p>
    <w:p>
      <w:pPr>
        <w:spacing w:before="0" w:after="120" w:line="276" w:lineRule="auto"/>
      </w:pPr>
      <w:r>
        <w:rPr>
          <w:rFonts w:ascii="Arial" w:hAnsi="Arial"/>
          <w:b w:val="0"/>
          <w:i w:val="0"/>
          <w:color w:val="333333"/>
          <w:sz w:val="22"/>
        </w:rPr>
        <w:t>Tầm nhìn dài hạn: Sẵn sàng thực hiện bước chuyển đổi mô hình từ Website thuần túy sang Ứng dụng di động (Mobile App) chuyên dụng hoặc một hệ sinh thái e-learning đa nền tảng toàn diện.</w:t>
      </w:r>
    </w:p>
    <w:p>
      <w:pPr>
        <w:spacing w:before="0" w:after="120" w:line="276" w:lineRule="auto"/>
      </w:pPr>
      <w:r>
        <w:rPr>
          <w:rFonts w:ascii="Arial" w:hAnsi="Arial"/>
          <w:b/>
          <w:i w:val="0"/>
          <w:color w:val="333333"/>
          <w:sz w:val="22"/>
        </w:rPr>
        <w:t>Điều kiện kích hoạt (Trigger Point): Kích hoạt dự án phát triển App ngay khi hệ thống dữ liệu tracking ghi nhận nhu cầu truy cập và học tập thông qua thiết bị di động của người dùng vượt quá mức 50% tổng lưu lượng truy cập của toàn hệ thống liên tục trong vòng 2 quý.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