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ascii="方正小标宋_GBK" w:eastAsia="方正小标宋_GBK"/>
          <w:color w:val="auto"/>
          <w:sz w:val="30"/>
          <w:szCs w:val="30"/>
          <w:highlight w:val="none"/>
        </w:rPr>
      </w:pPr>
      <w:r>
        <w:rPr>
          <w:rFonts w:hint="eastAsia" w:ascii="方正小标宋_GBK" w:eastAsia="方正小标宋_GBK"/>
          <w:color w:val="auto"/>
          <w:sz w:val="30"/>
          <w:szCs w:val="30"/>
          <w:highlight w:val="none"/>
          <w:lang w:val="en-US" w:eastAsia="zh-CN"/>
        </w:rPr>
        <w:t>招标</w:t>
      </w:r>
      <w:r>
        <w:rPr>
          <w:rFonts w:hint="eastAsia" w:ascii="方正小标宋_GBK" w:eastAsia="方正小标宋_GBK"/>
          <w:color w:val="auto"/>
          <w:sz w:val="30"/>
          <w:szCs w:val="30"/>
          <w:highlight w:val="none"/>
        </w:rPr>
        <w:t>编号：</w:t>
      </w:r>
      <w:r>
        <w:rPr>
          <w:rFonts w:hint="eastAsia" w:ascii="方正小标宋_GBK" w:eastAsia="方正小标宋_GBK"/>
          <w:color w:val="auto"/>
          <w:sz w:val="30"/>
          <w:szCs w:val="30"/>
          <w:highlight w:val="none"/>
          <w:lang w:val="en-US" w:eastAsia="zh-CN"/>
        </w:rPr>
        <w:t>0711-26OTL11013056</w:t>
      </w:r>
    </w:p>
    <w:p>
      <w:pPr>
        <w:spacing w:line="360" w:lineRule="auto"/>
        <w:ind w:right="-58"/>
        <w:jc w:val="right"/>
        <w:rPr>
          <w:rFonts w:ascii="方正小标宋_GBK" w:eastAsia="方正小标宋_GBK"/>
          <w:color w:val="auto"/>
          <w:sz w:val="30"/>
          <w:szCs w:val="30"/>
          <w:highlight w:val="none"/>
        </w:rPr>
      </w:pPr>
    </w:p>
    <w:p>
      <w:pPr>
        <w:spacing w:line="360" w:lineRule="auto"/>
        <w:ind w:right="-58"/>
        <w:jc w:val="right"/>
        <w:rPr>
          <w:rFonts w:ascii="方正小标宋_GBK" w:eastAsia="方正小标宋_GBK"/>
          <w:color w:val="auto"/>
          <w:sz w:val="30"/>
          <w:szCs w:val="30"/>
          <w:highlight w:val="none"/>
        </w:rPr>
      </w:pPr>
    </w:p>
    <w:p>
      <w:pPr>
        <w:snapToGrid w:val="0"/>
        <w:spacing w:line="800" w:lineRule="exact"/>
        <w:jc w:val="center"/>
        <w:rPr>
          <w:rFonts w:hint="eastAsia" w:ascii="方正小标宋_GBK" w:eastAsia="方正小标宋_GBK"/>
          <w:b/>
          <w:color w:val="auto"/>
          <w:sz w:val="44"/>
          <w:szCs w:val="44"/>
          <w:highlight w:val="none"/>
        </w:rPr>
      </w:pPr>
      <w:r>
        <w:rPr>
          <w:rFonts w:hint="eastAsia" w:ascii="方正小标宋_GBK" w:eastAsia="方正小标宋_GBK"/>
          <w:b/>
          <w:color w:val="auto"/>
          <w:sz w:val="44"/>
          <w:szCs w:val="44"/>
          <w:highlight w:val="none"/>
        </w:rPr>
        <w:t>国家电网有限公司2026年特高压项目第四次服务公开招标采购</w:t>
      </w:r>
    </w:p>
    <w:p>
      <w:pPr>
        <w:snapToGrid w:val="0"/>
        <w:spacing w:line="800" w:lineRule="exact"/>
        <w:jc w:val="center"/>
        <w:rPr>
          <w:rFonts w:ascii="方正小标宋_GBK" w:eastAsia="方正小标宋_GBK"/>
          <w:b/>
          <w:color w:val="auto"/>
          <w:sz w:val="44"/>
          <w:szCs w:val="44"/>
          <w:highlight w:val="none"/>
        </w:rPr>
      </w:pPr>
      <w:r>
        <w:rPr>
          <w:rFonts w:hint="eastAsia" w:ascii="方正小标宋_GBK" w:eastAsia="方正小标宋_GBK"/>
          <w:b/>
          <w:color w:val="auto"/>
          <w:sz w:val="44"/>
          <w:szCs w:val="44"/>
          <w:highlight w:val="none"/>
        </w:rPr>
        <w:t>施工公开招标文件</w:t>
      </w:r>
    </w:p>
    <w:p>
      <w:pPr>
        <w:snapToGrid w:val="0"/>
        <w:spacing w:line="800" w:lineRule="exact"/>
        <w:jc w:val="center"/>
        <w:rPr>
          <w:rFonts w:hint="eastAsia" w:ascii="方正小标宋_GBK" w:eastAsia="方正小标宋_GBK"/>
          <w:b/>
          <w:color w:val="auto"/>
          <w:sz w:val="44"/>
          <w:szCs w:val="44"/>
          <w:highlight w:val="none"/>
        </w:rPr>
      </w:pPr>
    </w:p>
    <w:p>
      <w:pPr>
        <w:snapToGrid w:val="0"/>
        <w:spacing w:line="700" w:lineRule="exact"/>
        <w:jc w:val="center"/>
        <w:rPr>
          <w:rFonts w:hint="eastAsia" w:ascii="方正小标宋_GBK" w:eastAsia="方正小标宋_GBK"/>
          <w:b/>
          <w:color w:val="auto"/>
          <w:sz w:val="32"/>
          <w:szCs w:val="32"/>
          <w:highlight w:val="none"/>
          <w:lang w:val="en-US" w:eastAsia="zh-CN"/>
        </w:rPr>
      </w:pPr>
      <w:r>
        <w:rPr>
          <w:rFonts w:hint="eastAsia" w:ascii="方正小标宋_GBK" w:eastAsia="方正小标宋_GBK"/>
          <w:b/>
          <w:color w:val="auto"/>
          <w:sz w:val="32"/>
          <w:szCs w:val="32"/>
          <w:highlight w:val="none"/>
          <w:lang w:val="en-US" w:eastAsia="zh-CN"/>
        </w:rPr>
        <w:t>分标名称：换流站土建施工</w:t>
      </w:r>
    </w:p>
    <w:p>
      <w:pPr>
        <w:snapToGrid w:val="0"/>
        <w:spacing w:line="700" w:lineRule="exact"/>
        <w:jc w:val="center"/>
        <w:rPr>
          <w:rFonts w:hint="eastAsia" w:ascii="方正小标宋_GBK" w:eastAsia="方正小标宋_GBK"/>
          <w:b/>
          <w:color w:val="auto"/>
          <w:sz w:val="32"/>
          <w:szCs w:val="32"/>
          <w:highlight w:val="none"/>
          <w:lang w:val="en-US" w:eastAsia="zh-CN"/>
        </w:rPr>
      </w:pPr>
      <w:r>
        <w:rPr>
          <w:rFonts w:hint="eastAsia" w:ascii="方正小标宋_GBK" w:eastAsia="方正小标宋_GBK"/>
          <w:b/>
          <w:color w:val="auto"/>
          <w:sz w:val="32"/>
          <w:szCs w:val="32"/>
          <w:highlight w:val="none"/>
          <w:lang w:val="en-US" w:eastAsia="zh-CN"/>
        </w:rPr>
        <w:t>变电站土建及电气安装施工</w:t>
      </w:r>
    </w:p>
    <w:p>
      <w:pPr>
        <w:snapToGrid w:val="0"/>
        <w:spacing w:line="700" w:lineRule="exact"/>
        <w:jc w:val="center"/>
        <w:rPr>
          <w:rFonts w:hint="eastAsia" w:ascii="方正小标宋_GBK" w:eastAsia="方正小标宋_GBK"/>
          <w:b/>
          <w:color w:val="auto"/>
          <w:sz w:val="32"/>
          <w:szCs w:val="32"/>
          <w:highlight w:val="none"/>
          <w:lang w:val="en-US" w:eastAsia="zh-CN"/>
        </w:rPr>
      </w:pPr>
      <w:r>
        <w:rPr>
          <w:rFonts w:hint="eastAsia" w:ascii="方正小标宋_GBK" w:eastAsia="方正小标宋_GBK"/>
          <w:b/>
          <w:color w:val="auto"/>
          <w:sz w:val="32"/>
          <w:szCs w:val="32"/>
          <w:highlight w:val="none"/>
          <w:lang w:val="en-US" w:eastAsia="zh-CN"/>
        </w:rPr>
        <w:t>变电站桩基施工</w:t>
      </w:r>
    </w:p>
    <w:p>
      <w:pPr>
        <w:snapToGrid w:val="0"/>
        <w:spacing w:line="700" w:lineRule="exact"/>
        <w:jc w:val="center"/>
        <w:rPr>
          <w:rFonts w:ascii="方正小标宋_GBK" w:eastAsia="方正小标宋_GBK"/>
          <w:b/>
          <w:color w:val="auto"/>
          <w:sz w:val="44"/>
          <w:szCs w:val="44"/>
          <w:highlight w:val="none"/>
        </w:rPr>
      </w:pPr>
      <w:r>
        <w:rPr>
          <w:rFonts w:hint="eastAsia" w:ascii="方正小标宋_GBK" w:eastAsia="方正小标宋_GBK"/>
          <w:b/>
          <w:color w:val="auto"/>
          <w:sz w:val="32"/>
          <w:szCs w:val="32"/>
          <w:highlight w:val="none"/>
          <w:lang w:val="en-US" w:eastAsia="zh-CN"/>
        </w:rPr>
        <w:t>光纤通信施工</w:t>
      </w:r>
    </w:p>
    <w:p>
      <w:pPr>
        <w:snapToGrid w:val="0"/>
        <w:spacing w:line="360" w:lineRule="auto"/>
        <w:ind w:left="1642"/>
        <w:rPr>
          <w:rFonts w:ascii="方正小标宋_GBK" w:eastAsia="方正小标宋_GBK"/>
          <w:b/>
          <w:color w:val="auto"/>
          <w:sz w:val="32"/>
          <w:szCs w:val="32"/>
          <w:highlight w:val="none"/>
        </w:rPr>
      </w:pPr>
    </w:p>
    <w:p>
      <w:pPr>
        <w:pStyle w:val="18"/>
        <w:ind w:left="0"/>
        <w:jc w:val="both"/>
        <w:rPr>
          <w:rFonts w:ascii="方正小标宋_GBK" w:eastAsia="方正小标宋_GBK"/>
          <w:b/>
          <w:color w:val="auto"/>
          <w:sz w:val="32"/>
          <w:szCs w:val="32"/>
          <w:highlight w:val="none"/>
        </w:rPr>
      </w:pPr>
    </w:p>
    <w:p>
      <w:pPr>
        <w:rPr>
          <w:rFonts w:ascii="方正小标宋_GBK" w:eastAsia="方正小标宋_GBK"/>
          <w:b/>
          <w:color w:val="auto"/>
          <w:sz w:val="32"/>
          <w:szCs w:val="32"/>
          <w:highlight w:val="none"/>
        </w:rPr>
      </w:pPr>
    </w:p>
    <w:p>
      <w:pPr>
        <w:pStyle w:val="18"/>
        <w:ind w:left="0"/>
        <w:jc w:val="both"/>
        <w:rPr>
          <w:rFonts w:ascii="方正小标宋_GBK" w:eastAsia="方正小标宋_GBK"/>
          <w:b/>
          <w:color w:val="auto"/>
          <w:sz w:val="32"/>
          <w:szCs w:val="32"/>
          <w:highlight w:val="none"/>
        </w:rPr>
      </w:pPr>
    </w:p>
    <w:p>
      <w:pPr>
        <w:pStyle w:val="17"/>
        <w:ind w:left="0" w:leftChars="0" w:firstLine="0"/>
        <w:rPr>
          <w:color w:val="auto"/>
          <w:highlight w:val="none"/>
        </w:rPr>
      </w:pPr>
    </w:p>
    <w:p>
      <w:pPr>
        <w:snapToGrid w:val="0"/>
        <w:spacing w:line="360" w:lineRule="auto"/>
        <w:ind w:left="924"/>
        <w:rPr>
          <w:rFonts w:ascii="方正小标宋_GBK" w:eastAsia="方正小标宋_GBK"/>
          <w:b/>
          <w:color w:val="auto"/>
          <w:sz w:val="18"/>
          <w:szCs w:val="32"/>
          <w:highlight w:val="none"/>
        </w:rPr>
      </w:pPr>
    </w:p>
    <w:p>
      <w:pPr>
        <w:adjustRightInd w:val="0"/>
        <w:snapToGrid w:val="0"/>
        <w:spacing w:line="360" w:lineRule="auto"/>
        <w:jc w:val="center"/>
        <w:rPr>
          <w:rFonts w:ascii="黑体" w:eastAsia="黑体"/>
          <w:color w:val="auto"/>
          <w:sz w:val="30"/>
          <w:szCs w:val="32"/>
          <w:highlight w:val="none"/>
        </w:rPr>
      </w:pPr>
      <w:r>
        <w:rPr>
          <w:rFonts w:hint="eastAsia" w:ascii="黑体" w:eastAsia="黑体"/>
          <w:color w:val="auto"/>
          <w:sz w:val="30"/>
          <w:szCs w:val="32"/>
          <w:highlight w:val="none"/>
        </w:rPr>
        <w:t>国家电网有限公司</w:t>
      </w:r>
    </w:p>
    <w:p>
      <w:pPr>
        <w:jc w:val="center"/>
        <w:rPr>
          <w:rFonts w:ascii="黑体" w:eastAsia="黑体"/>
          <w:color w:val="auto"/>
          <w:sz w:val="30"/>
          <w:szCs w:val="32"/>
          <w:highlight w:val="none"/>
        </w:rPr>
        <w:sectPr>
          <w:headerReference r:id="rId5" w:type="first"/>
          <w:footerReference r:id="rId8" w:type="first"/>
          <w:headerReference r:id="rId3" w:type="default"/>
          <w:footerReference r:id="rId6" w:type="default"/>
          <w:headerReference r:id="rId4" w:type="even"/>
          <w:footerReference r:id="rId7" w:type="even"/>
          <w:pgSz w:w="11850" w:h="16783"/>
          <w:pgMar w:top="1134" w:right="1800" w:bottom="1134" w:left="1800" w:header="0" w:footer="841" w:gutter="0"/>
          <w:pgNumType w:start="0"/>
          <w:cols w:space="720" w:num="1"/>
          <w:titlePg/>
          <w:docGrid w:linePitch="286" w:charSpace="0"/>
        </w:sectPr>
      </w:pPr>
      <w:r>
        <w:rPr>
          <w:rFonts w:hint="eastAsia" w:ascii="黑体" w:eastAsia="黑体"/>
          <w:color w:val="auto"/>
          <w:sz w:val="30"/>
          <w:szCs w:val="32"/>
          <w:highlight w:val="none"/>
        </w:rPr>
        <w:t>二〇二</w:t>
      </w:r>
      <w:r>
        <w:rPr>
          <w:rFonts w:hint="eastAsia" w:ascii="黑体" w:eastAsia="黑体"/>
          <w:color w:val="auto"/>
          <w:sz w:val="30"/>
          <w:szCs w:val="32"/>
          <w:highlight w:val="none"/>
          <w:lang w:val="en-US" w:eastAsia="zh-CN"/>
        </w:rPr>
        <w:t>六</w:t>
      </w:r>
      <w:r>
        <w:rPr>
          <w:rFonts w:hint="eastAsia" w:ascii="黑体" w:eastAsia="黑体"/>
          <w:color w:val="auto"/>
          <w:sz w:val="30"/>
          <w:szCs w:val="32"/>
          <w:highlight w:val="none"/>
        </w:rPr>
        <w:t>年</w:t>
      </w:r>
    </w:p>
    <w:p>
      <w:pPr>
        <w:pStyle w:val="6"/>
        <w:rPr>
          <w:color w:val="auto"/>
          <w:highlight w:val="none"/>
        </w:rPr>
      </w:pPr>
    </w:p>
    <w:p>
      <w:pPr>
        <w:adjustRightInd/>
        <w:snapToGrid/>
        <w:jc w:val="left"/>
        <w:rPr>
          <w:rFonts w:ascii="黑体" w:eastAsia="黑体"/>
          <w:b/>
          <w:color w:val="auto"/>
          <w:sz w:val="28"/>
          <w:szCs w:val="28"/>
          <w:highlight w:val="none"/>
        </w:rPr>
      </w:pPr>
    </w:p>
    <w:p>
      <w:pPr>
        <w:adjustRightInd w:val="0"/>
        <w:snapToGrid w:val="0"/>
        <w:ind w:firstLine="0"/>
        <w:jc w:val="center"/>
        <w:outlineLvl w:val="0"/>
        <w:rPr>
          <w:rFonts w:ascii="黑体" w:eastAsia="黑体"/>
          <w:b/>
          <w:color w:val="auto"/>
          <w:sz w:val="44"/>
          <w:szCs w:val="44"/>
          <w:highlight w:val="none"/>
        </w:rPr>
      </w:pPr>
      <w:r>
        <w:rPr>
          <w:rFonts w:hint="eastAsia" w:ascii="黑体" w:eastAsia="黑体"/>
          <w:b/>
          <w:color w:val="auto"/>
          <w:sz w:val="44"/>
          <w:szCs w:val="44"/>
          <w:highlight w:val="none"/>
        </w:rPr>
        <w:t>目  录</w:t>
      </w:r>
    </w:p>
    <w:p>
      <w:pPr>
        <w:rPr>
          <w:color w:val="auto"/>
          <w:highlight w:val="none"/>
        </w:rPr>
      </w:pP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第一章  招标公告</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第二章  投标人须知</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第三章  评标办法（综合评估法）</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第四章  合同条款及格式</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第五章  工程量清单</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第六章  图纸</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第七章  技术标准和要求</w:t>
      </w:r>
    </w:p>
    <w:p>
      <w:pPr>
        <w:pStyle w:val="27"/>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第八章  投标文件格式</w:t>
      </w:r>
    </w:p>
    <w:p>
      <w:pPr>
        <w:adjustRightInd w:val="0"/>
        <w:spacing w:line="360" w:lineRule="auto"/>
        <w:ind w:left="420" w:leftChars="200"/>
        <w:rPr>
          <w:rFonts w:ascii="黑体" w:eastAsia="黑体"/>
          <w:color w:val="auto"/>
          <w:sz w:val="36"/>
          <w:szCs w:val="36"/>
          <w:highlight w:val="none"/>
        </w:rPr>
      </w:pPr>
      <w:r>
        <w:rPr>
          <w:rFonts w:ascii="黑体" w:eastAsia="黑体"/>
          <w:color w:val="auto"/>
          <w:sz w:val="36"/>
          <w:szCs w:val="36"/>
          <w:highlight w:val="none"/>
        </w:rPr>
        <w:br w:type="page"/>
      </w:r>
    </w:p>
    <w:p>
      <w:pPr>
        <w:pStyle w:val="6"/>
        <w:rPr>
          <w:color w:val="auto"/>
          <w:highlight w:val="none"/>
        </w:rPr>
      </w:pPr>
      <w:bookmarkStart w:id="0" w:name="_Toc21826"/>
      <w:bookmarkStart w:id="1" w:name="_Toc8055"/>
      <w:bookmarkStart w:id="2" w:name="_Toc20279"/>
      <w:bookmarkStart w:id="3" w:name="_Toc62549129"/>
      <w:bookmarkStart w:id="4" w:name="_Toc5006"/>
      <w:bookmarkStart w:id="5" w:name="_Toc9755"/>
      <w:bookmarkStart w:id="6" w:name="_Toc62549185"/>
      <w:bookmarkStart w:id="7" w:name="_Toc62222570"/>
      <w:bookmarkStart w:id="8" w:name="_Toc12620"/>
      <w:bookmarkStart w:id="9" w:name="_Toc14356"/>
      <w:bookmarkStart w:id="10" w:name="_Toc23777"/>
      <w:bookmarkStart w:id="11" w:name="_Toc32701"/>
      <w:bookmarkStart w:id="12" w:name="_Toc8652"/>
      <w:bookmarkStart w:id="13" w:name="_Toc21360"/>
      <w:bookmarkStart w:id="14" w:name="_Toc17013"/>
      <w:bookmarkStart w:id="15" w:name="_Toc28787"/>
      <w:bookmarkStart w:id="16" w:name="_Toc62221463"/>
      <w:bookmarkStart w:id="17" w:name="_Toc62221754"/>
      <w:bookmarkStart w:id="18" w:name="_Toc9154"/>
      <w:bookmarkStart w:id="19" w:name="_Toc26598"/>
      <w:bookmarkStart w:id="20" w:name="_Toc32260"/>
      <w:bookmarkStart w:id="21" w:name="_Toc19963"/>
      <w:bookmarkStart w:id="22" w:name="_Toc22762"/>
      <w:bookmarkStart w:id="23" w:name="_Toc20072"/>
      <w:bookmarkStart w:id="24" w:name="_Toc129618825"/>
      <w:bookmarkStart w:id="25" w:name="_Toc15573"/>
      <w:bookmarkStart w:id="26" w:name="_Toc15978"/>
      <w:bookmarkStart w:id="27" w:name="_Toc62222022"/>
      <w:bookmarkStart w:id="28" w:name="_Toc30351"/>
      <w:bookmarkStart w:id="29" w:name="_Toc6993"/>
      <w:bookmarkStart w:id="30" w:name="_Toc10966"/>
      <w:bookmarkStart w:id="31" w:name="_Toc20669"/>
      <w:bookmarkStart w:id="32" w:name="_Toc6324"/>
      <w:bookmarkStart w:id="33" w:name="_Toc24348"/>
      <w:bookmarkStart w:id="34" w:name="_Toc8415"/>
      <w:bookmarkStart w:id="35" w:name="_Toc8289"/>
      <w:bookmarkStart w:id="36" w:name="_Toc32233"/>
      <w:bookmarkStart w:id="37" w:name="_Toc18034"/>
      <w:bookmarkStart w:id="38" w:name="_Toc12304"/>
      <w:bookmarkStart w:id="39" w:name="_Toc4944"/>
      <w:bookmarkStart w:id="40" w:name="_Toc15943"/>
      <w:bookmarkStart w:id="41" w:name="_Toc25646"/>
      <w:bookmarkStart w:id="42" w:name="_Toc20439"/>
      <w:bookmarkStart w:id="43" w:name="_Toc18557"/>
      <w:bookmarkStart w:id="44" w:name="_Toc32650"/>
      <w:bookmarkStart w:id="45" w:name="_Toc27507"/>
      <w:bookmarkStart w:id="46" w:name="_Toc2581"/>
      <w:bookmarkStart w:id="47" w:name="_Toc16717"/>
    </w:p>
    <w:p>
      <w:pPr>
        <w:adjustRightInd w:val="0"/>
        <w:snapToGrid w:val="0"/>
        <w:jc w:val="center"/>
        <w:rPr>
          <w:rFonts w:ascii="黑体" w:eastAsia="黑体"/>
          <w:b/>
          <w:color w:val="auto"/>
          <w:sz w:val="28"/>
          <w:szCs w:val="28"/>
          <w:highlight w:val="none"/>
        </w:rPr>
      </w:pPr>
    </w:p>
    <w:p>
      <w:pPr>
        <w:pStyle w:val="24"/>
        <w:rPr>
          <w:color w:val="auto"/>
          <w:highlight w:val="none"/>
        </w:rPr>
      </w:pPr>
      <w:r>
        <w:rPr>
          <w:rFonts w:hint="eastAsia"/>
          <w:color w:val="auto"/>
          <w:highlight w:val="none"/>
        </w:rPr>
        <w:t>第一章 招标公告</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pPr>
        <w:adjustRightInd w:val="0"/>
        <w:snapToGrid w:val="0"/>
        <w:jc w:val="center"/>
        <w:rPr>
          <w:rFonts w:ascii="黑体" w:eastAsia="黑体"/>
          <w:b/>
          <w:color w:val="auto"/>
          <w:sz w:val="28"/>
          <w:szCs w:val="28"/>
          <w:highlight w:val="none"/>
        </w:rPr>
      </w:pPr>
    </w:p>
    <w:p>
      <w:pPr>
        <w:adjustRightInd w:val="0"/>
        <w:snapToGrid w:val="0"/>
        <w:jc w:val="center"/>
        <w:rPr>
          <w:rFonts w:hint="eastAsia" w:ascii="黑体" w:eastAsia="黑体"/>
          <w:b/>
          <w:color w:val="auto"/>
          <w:sz w:val="28"/>
          <w:szCs w:val="28"/>
          <w:highlight w:val="none"/>
          <w:lang w:val="en-US" w:eastAsia="zh-CN"/>
        </w:rPr>
      </w:pPr>
      <w:r>
        <w:rPr>
          <w:rFonts w:hint="eastAsia" w:ascii="黑体" w:eastAsia="黑体"/>
          <w:b/>
          <w:color w:val="auto"/>
          <w:sz w:val="28"/>
          <w:szCs w:val="28"/>
          <w:highlight w:val="none"/>
          <w:lang w:val="en-US" w:eastAsia="zh-CN"/>
        </w:rPr>
        <w:t>（另附）</w:t>
      </w:r>
    </w:p>
    <w:p>
      <w:pPr>
        <w:jc w:val="left"/>
        <w:rPr>
          <w:rFonts w:hint="eastAsia" w:ascii="黑体" w:hAnsi="黑体" w:eastAsia="黑体"/>
          <w:bCs/>
          <w:color w:val="auto"/>
          <w:sz w:val="28"/>
          <w:szCs w:val="28"/>
          <w:highlight w:val="none"/>
        </w:rPr>
      </w:pPr>
      <w:r>
        <w:rPr>
          <w:rFonts w:hint="eastAsia" w:ascii="黑体" w:hAnsi="黑体" w:eastAsia="黑体"/>
          <w:bCs/>
          <w:color w:val="auto"/>
          <w:sz w:val="28"/>
          <w:szCs w:val="28"/>
          <w:highlight w:val="none"/>
        </w:rPr>
        <w:br w:type="page"/>
      </w:r>
    </w:p>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Pr>
        <w:pStyle w:val="6"/>
        <w:jc w:val="right"/>
        <w:rPr>
          <w:color w:val="auto"/>
          <w:highlight w:val="none"/>
        </w:rPr>
      </w:pPr>
    </w:p>
    <w:p>
      <w:pPr>
        <w:adjustRightInd w:val="0"/>
        <w:snapToGrid w:val="0"/>
        <w:jc w:val="center"/>
        <w:outlineLvl w:val="0"/>
        <w:rPr>
          <w:rFonts w:ascii="黑体" w:eastAsia="黑体"/>
          <w:b/>
          <w:color w:val="auto"/>
          <w:sz w:val="28"/>
          <w:szCs w:val="28"/>
          <w:highlight w:val="none"/>
        </w:rPr>
      </w:pPr>
      <w:bookmarkStart w:id="48" w:name="_Toc62551537"/>
      <w:bookmarkStart w:id="49" w:name="_Toc129618835"/>
      <w:bookmarkStart w:id="50" w:name="_Toc28103"/>
      <w:bookmarkStart w:id="51" w:name="_Toc14430"/>
      <w:bookmarkStart w:id="52" w:name="_Toc496718830"/>
      <w:bookmarkStart w:id="53" w:name="_Toc7755"/>
      <w:r>
        <w:rPr>
          <w:rFonts w:hint="eastAsia" w:ascii="黑体" w:eastAsia="黑体"/>
          <w:b/>
          <w:color w:val="auto"/>
          <w:sz w:val="28"/>
          <w:szCs w:val="28"/>
          <w:highlight w:val="none"/>
        </w:rPr>
        <w:t>第二章</w:t>
      </w:r>
      <w:bookmarkStart w:id="54" w:name="_Toc500521529"/>
      <w:r>
        <w:rPr>
          <w:rFonts w:hint="eastAsia" w:ascii="黑体" w:eastAsia="黑体"/>
          <w:b/>
          <w:color w:val="auto"/>
          <w:sz w:val="28"/>
          <w:szCs w:val="28"/>
          <w:highlight w:val="none"/>
        </w:rPr>
        <w:t xml:space="preserve">  投标人须知</w:t>
      </w:r>
      <w:bookmarkEnd w:id="48"/>
      <w:bookmarkEnd w:id="49"/>
      <w:bookmarkEnd w:id="50"/>
      <w:bookmarkEnd w:id="51"/>
      <w:bookmarkEnd w:id="52"/>
      <w:bookmarkEnd w:id="53"/>
      <w:bookmarkEnd w:id="54"/>
    </w:p>
    <w:p>
      <w:pPr>
        <w:pStyle w:val="3"/>
        <w:spacing w:before="0" w:after="0" w:line="400" w:lineRule="exact"/>
        <w:rPr>
          <w:rFonts w:ascii="黑体" w:hAnsi="黑体"/>
          <w:bCs w:val="0"/>
          <w:color w:val="auto"/>
          <w:sz w:val="24"/>
          <w:szCs w:val="24"/>
          <w:highlight w:val="none"/>
        </w:rPr>
      </w:pPr>
      <w:bookmarkStart w:id="55" w:name="_Toc500521530"/>
      <w:bookmarkStart w:id="56" w:name="_Toc129618836"/>
      <w:bookmarkStart w:id="57" w:name="_Toc2109"/>
      <w:bookmarkStart w:id="58" w:name="_Toc9273"/>
      <w:bookmarkStart w:id="59" w:name="_Toc15683"/>
      <w:bookmarkStart w:id="60" w:name="_Toc62551538"/>
      <w:r>
        <w:rPr>
          <w:rFonts w:hint="eastAsia" w:ascii="黑体" w:hAnsi="黑体"/>
          <w:bCs w:val="0"/>
          <w:color w:val="auto"/>
          <w:sz w:val="24"/>
          <w:szCs w:val="24"/>
          <w:highlight w:val="none"/>
        </w:rPr>
        <w:t>投标人须知前附表</w:t>
      </w:r>
      <w:bookmarkEnd w:id="55"/>
      <w:bookmarkEnd w:id="56"/>
      <w:bookmarkEnd w:id="57"/>
      <w:bookmarkEnd w:id="58"/>
      <w:bookmarkEnd w:id="59"/>
      <w:bookmarkEnd w:id="60"/>
    </w:p>
    <w:tbl>
      <w:tblPr>
        <w:tblStyle w:val="19"/>
        <w:tblW w:w="92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57" w:type="dxa"/>
          <w:bottom w:w="57" w:type="dxa"/>
          <w:right w:w="57" w:type="dxa"/>
        </w:tblCellMar>
      </w:tblPr>
      <w:tblGrid>
        <w:gridCol w:w="1087"/>
        <w:gridCol w:w="1092"/>
        <w:gridCol w:w="70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blHeader/>
          <w:jc w:val="center"/>
        </w:trPr>
        <w:tc>
          <w:tcPr>
            <w:tcW w:w="1087" w:type="dxa"/>
            <w:vAlign w:val="center"/>
          </w:tcPr>
          <w:p>
            <w:pPr>
              <w:pStyle w:val="28"/>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lang w:eastAsia="en-US"/>
              </w:rPr>
              <w:t>条款号</w:t>
            </w:r>
          </w:p>
        </w:tc>
        <w:tc>
          <w:tcPr>
            <w:tcW w:w="1092" w:type="dxa"/>
            <w:vAlign w:val="center"/>
          </w:tcPr>
          <w:p>
            <w:pPr>
              <w:pStyle w:val="28"/>
              <w:jc w:val="center"/>
              <w:rPr>
                <w:rFonts w:hint="eastAsia" w:ascii="宋体" w:hAnsi="宋体" w:eastAsia="宋体" w:cs="宋体"/>
                <w:b/>
                <w:color w:val="auto"/>
                <w:sz w:val="21"/>
                <w:szCs w:val="21"/>
                <w:highlight w:val="none"/>
                <w:lang w:eastAsia="en-US"/>
              </w:rPr>
            </w:pPr>
            <w:r>
              <w:rPr>
                <w:rFonts w:hint="eastAsia" w:ascii="宋体" w:hAnsi="宋体" w:eastAsia="宋体" w:cs="宋体"/>
                <w:b/>
                <w:color w:val="auto"/>
                <w:sz w:val="21"/>
                <w:szCs w:val="21"/>
                <w:highlight w:val="none"/>
                <w:lang w:eastAsia="en-US"/>
              </w:rPr>
              <w:t>条款名称</w:t>
            </w:r>
          </w:p>
        </w:tc>
        <w:tc>
          <w:tcPr>
            <w:tcW w:w="7035" w:type="dxa"/>
            <w:vAlign w:val="center"/>
          </w:tcPr>
          <w:p>
            <w:pPr>
              <w:pStyle w:val="28"/>
              <w:jc w:val="center"/>
              <w:rPr>
                <w:rFonts w:hint="eastAsia" w:ascii="宋体" w:hAnsi="宋体" w:eastAsia="宋体" w:cs="宋体"/>
                <w:b/>
                <w:color w:val="auto"/>
                <w:sz w:val="21"/>
                <w:szCs w:val="21"/>
                <w:highlight w:val="none"/>
                <w:lang w:eastAsia="en-US"/>
              </w:rPr>
            </w:pPr>
            <w:r>
              <w:rPr>
                <w:rFonts w:hint="eastAsia" w:ascii="宋体" w:hAnsi="宋体" w:eastAsia="宋体" w:cs="宋体"/>
                <w:b/>
                <w:color w:val="auto"/>
                <w:sz w:val="21"/>
                <w:szCs w:val="21"/>
                <w:highlight w:val="none"/>
                <w:lang w:eastAsia="en-US"/>
              </w:rPr>
              <w:t>编列内容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1.1.1</w:t>
            </w:r>
          </w:p>
        </w:tc>
        <w:tc>
          <w:tcPr>
            <w:tcW w:w="1092" w:type="dxa"/>
            <w:vAlign w:val="center"/>
          </w:tcPr>
          <w:p>
            <w:pPr>
              <w:pStyle w:val="28"/>
              <w:jc w:val="center"/>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eastAsia="en-US"/>
              </w:rPr>
              <w:t>招标依据</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根据《中华人民共和国招标投标法》、《中华人民共和国招标投标法实施条例》和《电子招标投标办法》等有关法律、法规和规章的规定，本招标项目已具备招标条件，现进行招标。</w:t>
            </w:r>
          </w:p>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b/>
                <w:color w:val="auto"/>
                <w:kern w:val="0"/>
                <w:sz w:val="21"/>
                <w:szCs w:val="21"/>
                <w:highlight w:val="none"/>
              </w:rPr>
              <w:t>招标文件中所指“本招标项目”，均指其对应的“包”或“标段”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本招标项目招标人</w:t>
            </w:r>
          </w:p>
        </w:tc>
        <w:tc>
          <w:tcPr>
            <w:tcW w:w="7035" w:type="dxa"/>
            <w:vAlign w:val="center"/>
          </w:tcPr>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名称：见招标公告</w:t>
            </w:r>
          </w:p>
          <w:p>
            <w:pPr>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地址：见招标公告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1.1.3</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本标段招标代理机构</w:t>
            </w:r>
          </w:p>
        </w:tc>
        <w:tc>
          <w:tcPr>
            <w:tcW w:w="7035" w:type="dxa"/>
            <w:vAlign w:val="center"/>
          </w:tcPr>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名称：见招标公告</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地址：见招标公告</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联系人：见招标公告</w:t>
            </w:r>
          </w:p>
          <w:p>
            <w:pPr>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电话：见招标公告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1.1.4</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本招标项目名称</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1.1.5</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本标段建设地点</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cs="宋体"/>
                <w:color w:val="auto"/>
                <w:kern w:val="0"/>
                <w:szCs w:val="21"/>
                <w:highlight w:val="none"/>
                <w:lang w:eastAsia="en-US"/>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1.2.1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本招标项目的资金来源</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见招标公告</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1.2.2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本招标项目的出资比例</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见招标公告</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1.2.3</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本招标项目的资金落实情况</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已落实</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1.3.1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本次招标范围</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见招标公告</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1.3.2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本标段的计划工期</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见招标公告</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1.3.3</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sz w:val="21"/>
                <w:szCs w:val="21"/>
                <w:highlight w:val="none"/>
              </w:rPr>
              <w:t>本标段的质量要求</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1.基本要求：严格执行国家、行业、国家电网有限公司有关工程建设质量管理的法律、法规和规章制度，贯彻国家及行业现行规范，保证工程满足国家和行业施工验收规范的要求。</w:t>
            </w:r>
          </w:p>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2.具体要求见</w:t>
            </w:r>
            <w:r>
              <w:rPr>
                <w:rFonts w:hint="eastAsia" w:ascii="宋体" w:hAnsi="宋体" w:eastAsia="宋体" w:cs="宋体"/>
                <w:color w:val="auto"/>
                <w:kern w:val="0"/>
                <w:sz w:val="21"/>
                <w:szCs w:val="21"/>
                <w:highlight w:val="none"/>
                <w:lang w:val="en-US" w:eastAsia="zh-CN"/>
              </w:rPr>
              <w:t>技术规范书和</w:t>
            </w:r>
            <w:r>
              <w:rPr>
                <w:rFonts w:hint="eastAsia" w:ascii="宋体" w:hAnsi="宋体" w:eastAsia="宋体" w:cs="宋体"/>
                <w:color w:val="auto"/>
                <w:kern w:val="0"/>
                <w:sz w:val="21"/>
                <w:szCs w:val="21"/>
                <w:highlight w:val="none"/>
              </w:rPr>
              <w:t>合同条款。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7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1.4.1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投标人资质条件、能力、信誉</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见招标公告</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829"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1.4.2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是否接受联合体投标</w:t>
            </w:r>
          </w:p>
        </w:tc>
        <w:tc>
          <w:tcPr>
            <w:tcW w:w="7035" w:type="dxa"/>
            <w:vAlign w:val="center"/>
          </w:tcPr>
          <w:p>
            <w:pPr>
              <w:adjustRightInd w:val="0"/>
              <w:snapToGrid w:val="0"/>
              <w:spacing w:before="120" w:beforeLines="50" w:after="120" w:afterLines="50"/>
              <w:jc w:val="left"/>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见招标公告</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spacing w:line="28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1.4.3</w:t>
            </w:r>
          </w:p>
        </w:tc>
        <w:tc>
          <w:tcPr>
            <w:tcW w:w="1092" w:type="dxa"/>
            <w:vAlign w:val="center"/>
          </w:tcPr>
          <w:p>
            <w:pPr>
              <w:spacing w:line="280" w:lineRule="exact"/>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投标人不得存在下列情形之一</w:t>
            </w:r>
          </w:p>
        </w:tc>
        <w:tc>
          <w:tcPr>
            <w:tcW w:w="7035" w:type="dxa"/>
            <w:vAlign w:val="center"/>
          </w:tcPr>
          <w:p>
            <w:pPr>
              <w:snapToGrid w:val="0"/>
              <w:ind w:firstLine="0" w:firstLineChars="0"/>
              <w:rPr>
                <w:rFonts w:hint="eastAsia" w:ascii="宋体" w:hAnsi="宋体" w:eastAsia="宋体" w:cs="宋体"/>
                <w:b/>
                <w:bCs/>
                <w:color w:val="auto"/>
                <w:sz w:val="21"/>
                <w:szCs w:val="21"/>
                <w:highlight w:val="none"/>
                <w:lang w:val="en-US" w:eastAsia="zh-CN"/>
              </w:rPr>
            </w:pPr>
            <w:r>
              <w:rPr>
                <w:rFonts w:hint="eastAsia" w:ascii="宋体" w:hAnsi="宋体" w:cs="宋体"/>
                <w:b/>
                <w:bCs/>
                <w:color w:val="auto"/>
                <w:sz w:val="21"/>
                <w:szCs w:val="21"/>
                <w:highlight w:val="none"/>
                <w:lang w:val="en-US" w:eastAsia="zh-CN"/>
              </w:rPr>
              <w:t>修改：</w:t>
            </w:r>
          </w:p>
          <w:p>
            <w:pPr>
              <w:snapToGrid w:val="0"/>
              <w:ind w:firstLine="420" w:firstLineChars="20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）与本标段前期准备设计或咨询服务的单位（设计施工总承包的除外）为同一单位的，或有隶属关系,或法定代表人或单位负责人为同一人，或存在控股、管理关系的</w:t>
            </w:r>
            <w:r>
              <w:rPr>
                <w:rFonts w:hint="eastAsia" w:ascii="宋体" w:hAnsi="宋体" w:eastAsia="宋体" w:cs="宋体"/>
                <w:color w:val="auto"/>
                <w:sz w:val="21"/>
                <w:szCs w:val="21"/>
                <w:highlight w:val="none"/>
                <w:lang w:eastAsia="zh-CN"/>
              </w:rPr>
              <w:t>；</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（9）被责令停产停业、暂扣或者吊销许可证、暂扣或者吊销执照的。</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（11）财产被接管或冻结，或进入清算程序，或被宣告破产，或其他丧失履约能力的情形的。</w:t>
            </w:r>
          </w:p>
          <w:p>
            <w:pPr>
              <w:snapToGrid w:val="0"/>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补充：</w:t>
            </w:r>
          </w:p>
          <w:p>
            <w:pPr>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（13）投标人被市场监督管理机关在国家企业信用信息公示系统中列入市场监督管理严重违法失信名单或列入经营异常名录信息的。</w:t>
            </w:r>
          </w:p>
          <w:p>
            <w:pPr>
              <w:ind w:firstLine="420" w:firstLineChars="200"/>
              <w:rPr>
                <w:rFonts w:hint="eastAsia"/>
                <w:color w:val="auto"/>
                <w:highlight w:val="none"/>
              </w:rPr>
            </w:pPr>
            <w:r>
              <w:rPr>
                <w:rFonts w:hint="eastAsia" w:ascii="宋体" w:hAnsi="宋体" w:eastAsia="宋体" w:cs="宋体"/>
                <w:color w:val="auto"/>
                <w:sz w:val="21"/>
                <w:szCs w:val="21"/>
                <w:highlight w:val="none"/>
              </w:rPr>
              <w:t>（14）在投标截止日前三年内投标人或其法定代表人（</w:t>
            </w:r>
            <w:r>
              <w:rPr>
                <w:rFonts w:hint="eastAsia" w:ascii="宋体" w:hAnsi="宋体" w:eastAsia="宋体" w:cs="宋体"/>
                <w:color w:val="auto"/>
                <w:kern w:val="0"/>
                <w:sz w:val="21"/>
                <w:szCs w:val="21"/>
                <w:highlight w:val="none"/>
              </w:rPr>
              <w:t>单位负责人</w:t>
            </w:r>
            <w:r>
              <w:rPr>
                <w:rFonts w:hint="eastAsia" w:ascii="宋体" w:hAnsi="宋体" w:eastAsia="宋体" w:cs="宋体"/>
                <w:color w:val="auto"/>
                <w:sz w:val="21"/>
                <w:szCs w:val="21"/>
                <w:highlight w:val="none"/>
              </w:rPr>
              <w:t>）、拟委任的项目负责人有</w:t>
            </w:r>
            <w:r>
              <w:rPr>
                <w:rFonts w:hint="eastAsia" w:ascii="宋体" w:hAnsi="宋体" w:cs="宋体"/>
                <w:color w:val="auto"/>
                <w:sz w:val="21"/>
                <w:szCs w:val="21"/>
                <w:highlight w:val="none"/>
                <w:lang w:eastAsia="zh-CN"/>
              </w:rPr>
              <w:t>行贿犯罪记录</w:t>
            </w:r>
            <w:r>
              <w:rPr>
                <w:rFonts w:hint="eastAsia" w:ascii="宋体" w:hAnsi="宋体" w:eastAsia="宋体" w:cs="宋体"/>
                <w:color w:val="auto"/>
                <w:sz w:val="21"/>
                <w:szCs w:val="21"/>
                <w:highlight w:val="none"/>
              </w:rPr>
              <w:t>的（拟委任的项目负责人指项目经理）。</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（15）与招标人存在利害关系且可能影响招标公正性；</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（16）与本标段的其他投标人为同一个法定代表人或单位负责人；</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（17）与本标段的其他投标人存在控股、管理关系；</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（18）法定代表人或单位负责人为同一人或者存在控股、管理关系的不同单位，参加同一标包投标的；</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（19）在投标截止日前三年内发生重大施工质量问题（以相关行业主管部门的行政处罚决定或司法机关出具的有关法律文书为准）；</w:t>
            </w:r>
          </w:p>
          <w:p>
            <w:pPr>
              <w:pStyle w:val="17"/>
              <w:ind w:left="0" w:leftChars="0" w:firstLine="0"/>
              <w:rPr>
                <w:rFonts w:hint="default" w:eastAsia="宋体"/>
                <w:color w:val="auto"/>
                <w:highlight w:val="none"/>
                <w:lang w:val="en-US" w:eastAsia="zh-CN"/>
              </w:rPr>
            </w:pPr>
            <w:r>
              <w:rPr>
                <w:rFonts w:hint="eastAsia"/>
                <w:color w:val="auto"/>
                <w:highlight w:val="none"/>
                <w:lang w:val="en-US" w:eastAsia="zh-CN"/>
              </w:rPr>
              <w:t xml:space="preserve">    （20）</w:t>
            </w:r>
            <w:r>
              <w:rPr>
                <w:rFonts w:hint="eastAsia" w:ascii="宋体" w:hAnsi="宋体" w:cs="宋体"/>
                <w:color w:val="auto"/>
                <w:szCs w:val="21"/>
                <w:highlight w:val="none"/>
              </w:rPr>
              <w:t>被责令停产停业、暂扣或吊销许可证、吊销执照，存在弄虚作假、重大质量等问题以及履约能力受影响不符合中标条件。</w:t>
            </w:r>
          </w:p>
          <w:p>
            <w:pPr>
              <w:snapToGrid w:val="0"/>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r>
              <w:rPr>
                <w:rFonts w:hint="eastAsia" w:ascii="宋体" w:hAnsi="宋体" w:cs="宋体"/>
                <w:color w:val="auto"/>
                <w:sz w:val="21"/>
                <w:szCs w:val="21"/>
                <w:highlight w:val="none"/>
                <w:lang w:val="en-US" w:eastAsia="zh-CN"/>
              </w:rPr>
              <w:t>1</w:t>
            </w:r>
            <w:r>
              <w:rPr>
                <w:rFonts w:hint="eastAsia" w:ascii="宋体" w:hAnsi="宋体" w:eastAsia="宋体" w:cs="宋体"/>
                <w:color w:val="auto"/>
                <w:sz w:val="21"/>
                <w:szCs w:val="21"/>
                <w:highlight w:val="none"/>
              </w:rPr>
              <w:t>）法律法规或投标人须知前附表规定的其他情形。</w:t>
            </w:r>
          </w:p>
          <w:p>
            <w:pPr>
              <w:ind w:firstLine="420" w:firstLineChars="200"/>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注：本条</w:t>
            </w:r>
            <w:r>
              <w:rPr>
                <w:rFonts w:hint="eastAsia" w:ascii="宋体" w:hAnsi="宋体" w:eastAsia="宋体" w:cs="宋体"/>
                <w:strike w:val="0"/>
                <w:dstrike w:val="0"/>
                <w:color w:val="auto"/>
                <w:sz w:val="21"/>
                <w:szCs w:val="21"/>
                <w:highlight w:val="none"/>
              </w:rPr>
              <w:t>及第二章投标人须知1.4.3中</w:t>
            </w:r>
            <w:r>
              <w:rPr>
                <w:rFonts w:hint="eastAsia" w:ascii="宋体" w:hAnsi="宋体" w:eastAsia="宋体" w:cs="宋体"/>
                <w:color w:val="auto"/>
                <w:sz w:val="21"/>
                <w:szCs w:val="21"/>
                <w:highlight w:val="none"/>
              </w:rPr>
              <w:t>所述的“本标段”指的是“本包”。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1.9.1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踏勘现场</w:t>
            </w:r>
          </w:p>
        </w:tc>
        <w:tc>
          <w:tcPr>
            <w:tcW w:w="7035" w:type="dxa"/>
            <w:vAlign w:val="center"/>
          </w:tcPr>
          <w:p>
            <w:pPr>
              <w:snapToGrid/>
              <w:spacing w:before="0" w:beforeLines="-2147483648" w:after="0" w:afterLines="-2147483648"/>
              <w:rPr>
                <w:rFonts w:hint="eastAsia"/>
                <w:color w:val="auto"/>
                <w:highlight w:val="none"/>
              </w:rPr>
            </w:pPr>
            <w:r>
              <w:rPr>
                <w:rFonts w:hint="eastAsia"/>
                <w:color w:val="auto"/>
                <w:highlight w:val="none"/>
                <w:lang w:eastAsia="zh-CN"/>
              </w:rPr>
              <w:t>□</w:t>
            </w:r>
            <w:r>
              <w:rPr>
                <w:rFonts w:hint="eastAsia"/>
                <w:color w:val="auto"/>
                <w:highlight w:val="none"/>
              </w:rPr>
              <w:t>不组织</w:t>
            </w:r>
          </w:p>
          <w:p>
            <w:pPr>
              <w:adjustRightInd/>
              <w:snapToGrid/>
              <w:spacing w:before="0" w:beforeLines="-2147483648" w:after="0" w:afterLines="-2147483648"/>
              <w:rPr>
                <w:rFonts w:hint="eastAsia"/>
                <w:color w:val="auto"/>
                <w:highlight w:val="none"/>
              </w:rPr>
            </w:pPr>
            <w:r>
              <w:rPr>
                <w:rFonts w:hint="eastAsia"/>
                <w:color w:val="auto"/>
                <w:highlight w:val="none"/>
                <w:lang w:eastAsia="zh-CN"/>
              </w:rPr>
              <w:t>☑</w:t>
            </w:r>
            <w:r>
              <w:rPr>
                <w:rFonts w:hint="eastAsia"/>
                <w:color w:val="auto"/>
                <w:highlight w:val="none"/>
              </w:rPr>
              <w:t>组织</w:t>
            </w:r>
          </w:p>
          <w:p>
            <w:pPr>
              <w:rPr>
                <w:rFonts w:hint="eastAsia" w:eastAsia="宋体"/>
                <w:color w:val="auto"/>
                <w:highlight w:val="none"/>
                <w:lang w:val="en-US" w:eastAsia="zh-CN"/>
              </w:rPr>
            </w:pPr>
            <w:r>
              <w:rPr>
                <w:rFonts w:hint="eastAsia"/>
                <w:color w:val="auto"/>
                <w:highlight w:val="none"/>
                <w:lang w:eastAsia="zh-CN"/>
              </w:rPr>
              <w:t>【</w:t>
            </w:r>
            <w:r>
              <w:rPr>
                <w:rFonts w:hint="eastAsia"/>
                <w:color w:val="auto"/>
                <w:highlight w:val="none"/>
              </w:rPr>
              <w:t>换流站</w:t>
            </w:r>
            <w:r>
              <w:rPr>
                <w:rFonts w:hint="eastAsia"/>
                <w:color w:val="auto"/>
                <w:highlight w:val="none"/>
                <w:lang w:val="en-US" w:eastAsia="zh-CN"/>
              </w:rPr>
              <w:t>土建</w:t>
            </w:r>
            <w:r>
              <w:rPr>
                <w:rFonts w:hint="eastAsia"/>
                <w:color w:val="auto"/>
                <w:highlight w:val="none"/>
              </w:rPr>
              <w:t>施工</w:t>
            </w:r>
            <w:r>
              <w:rPr>
                <w:rFonts w:hint="eastAsia"/>
                <w:color w:val="auto"/>
                <w:highlight w:val="none"/>
                <w:lang w:val="en-US" w:eastAsia="zh-CN"/>
              </w:rPr>
              <w:t>组织</w:t>
            </w:r>
            <w:r>
              <w:rPr>
                <w:rFonts w:hint="eastAsia"/>
                <w:color w:val="auto"/>
                <w:highlight w:val="none"/>
                <w:lang w:eastAsia="zh-CN"/>
              </w:rPr>
              <w:t>】</w:t>
            </w:r>
          </w:p>
          <w:p>
            <w:pPr>
              <w:rPr>
                <w:rFonts w:hint="eastAsia"/>
                <w:color w:val="auto"/>
                <w:highlight w:val="none"/>
              </w:rPr>
            </w:pPr>
            <w:r>
              <w:rPr>
                <w:rFonts w:hint="eastAsia"/>
                <w:color w:val="auto"/>
                <w:highlight w:val="none"/>
              </w:rPr>
              <w:t>工程名称：陕西-河南±800千伏特高压直流工程榆溪换流站</w:t>
            </w:r>
          </w:p>
          <w:p>
            <w:pPr>
              <w:rPr>
                <w:rFonts w:hint="eastAsia"/>
                <w:color w:val="auto"/>
                <w:highlight w:val="none"/>
              </w:rPr>
            </w:pPr>
            <w:r>
              <w:rPr>
                <w:rFonts w:hint="eastAsia"/>
                <w:color w:val="auto"/>
                <w:highlight w:val="none"/>
              </w:rPr>
              <w:t>踏勘时间：2026年8月28日</w:t>
            </w:r>
          </w:p>
          <w:p>
            <w:pPr>
              <w:rPr>
                <w:rFonts w:hint="eastAsia"/>
                <w:color w:val="auto"/>
                <w:highlight w:val="none"/>
              </w:rPr>
            </w:pPr>
            <w:r>
              <w:rPr>
                <w:rFonts w:hint="eastAsia"/>
                <w:color w:val="auto"/>
                <w:highlight w:val="none"/>
              </w:rPr>
              <w:t>踏勘集中地点：陕西省榆林市横山区驼燕沟村榆溪换流站站址</w:t>
            </w:r>
          </w:p>
          <w:p>
            <w:pPr>
              <w:rPr>
                <w:rFonts w:hint="eastAsia"/>
                <w:color w:val="auto"/>
                <w:highlight w:val="none"/>
              </w:rPr>
            </w:pPr>
            <w:r>
              <w:rPr>
                <w:rFonts w:hint="eastAsia"/>
                <w:color w:val="auto"/>
                <w:highlight w:val="none"/>
              </w:rPr>
              <w:t>姓名：黄家南</w:t>
            </w:r>
          </w:p>
          <w:p>
            <w:pPr>
              <w:rPr>
                <w:rFonts w:hint="eastAsia"/>
                <w:color w:val="auto"/>
                <w:highlight w:val="none"/>
              </w:rPr>
            </w:pPr>
            <w:r>
              <w:rPr>
                <w:rFonts w:hint="eastAsia"/>
                <w:color w:val="auto"/>
                <w:highlight w:val="none"/>
              </w:rPr>
              <w:t>电话：18089287908</w:t>
            </w:r>
          </w:p>
          <w:p>
            <w:pPr>
              <w:rPr>
                <w:rFonts w:hint="eastAsia"/>
                <w:color w:val="auto"/>
                <w:highlight w:val="none"/>
              </w:rPr>
            </w:pPr>
          </w:p>
          <w:p>
            <w:pPr>
              <w:rPr>
                <w:rFonts w:hint="eastAsia"/>
                <w:color w:val="auto"/>
                <w:highlight w:val="none"/>
              </w:rPr>
            </w:pPr>
            <w:r>
              <w:rPr>
                <w:rFonts w:hint="eastAsia"/>
                <w:color w:val="auto"/>
                <w:highlight w:val="none"/>
              </w:rPr>
              <w:t>工程名称：陕西-河南工程汴梁换流站</w:t>
            </w:r>
          </w:p>
          <w:p>
            <w:pPr>
              <w:rPr>
                <w:rFonts w:hint="eastAsia"/>
                <w:color w:val="auto"/>
                <w:highlight w:val="none"/>
              </w:rPr>
            </w:pPr>
            <w:r>
              <w:rPr>
                <w:rFonts w:hint="eastAsia"/>
                <w:color w:val="auto"/>
                <w:highlight w:val="none"/>
              </w:rPr>
              <w:t>踏勘时间：2026年9月1日；</w:t>
            </w:r>
          </w:p>
          <w:p>
            <w:pPr>
              <w:rPr>
                <w:rFonts w:hint="eastAsia"/>
                <w:color w:val="auto"/>
                <w:highlight w:val="none"/>
              </w:rPr>
            </w:pPr>
            <w:r>
              <w:rPr>
                <w:rFonts w:hint="eastAsia"/>
                <w:color w:val="auto"/>
                <w:highlight w:val="none"/>
              </w:rPr>
              <w:t>踏勘集中地点：河南省开封市杞县葛岗镇前李村汴梁换流站站址；</w:t>
            </w:r>
          </w:p>
          <w:p>
            <w:pPr>
              <w:rPr>
                <w:rFonts w:hint="eastAsia"/>
                <w:color w:val="auto"/>
                <w:highlight w:val="none"/>
              </w:rPr>
            </w:pPr>
            <w:r>
              <w:rPr>
                <w:rFonts w:hint="eastAsia"/>
                <w:color w:val="auto"/>
                <w:highlight w:val="none"/>
              </w:rPr>
              <w:t>姓名：侯治华</w:t>
            </w:r>
          </w:p>
          <w:p>
            <w:pPr>
              <w:rPr>
                <w:rFonts w:hint="eastAsia"/>
                <w:color w:val="auto"/>
                <w:highlight w:val="none"/>
              </w:rPr>
            </w:pPr>
            <w:r>
              <w:rPr>
                <w:rFonts w:hint="eastAsia"/>
                <w:color w:val="auto"/>
                <w:highlight w:val="none"/>
              </w:rPr>
              <w:t>电话：18637306577</w:t>
            </w:r>
          </w:p>
          <w:p>
            <w:pPr>
              <w:rPr>
                <w:rFonts w:hint="eastAsia"/>
                <w:color w:val="auto"/>
                <w:highlight w:val="none"/>
              </w:rPr>
            </w:pPr>
          </w:p>
          <w:p>
            <w:pPr>
              <w:rPr>
                <w:rFonts w:hint="eastAsia"/>
                <w:color w:val="auto"/>
                <w:highlight w:val="none"/>
              </w:rPr>
            </w:pPr>
            <w:r>
              <w:rPr>
                <w:rFonts w:hint="eastAsia"/>
                <w:color w:val="auto"/>
                <w:highlight w:val="none"/>
              </w:rPr>
              <w:t>工程名称：鲁苏工程蒙山换流站</w:t>
            </w:r>
          </w:p>
          <w:p>
            <w:pPr>
              <w:rPr>
                <w:rFonts w:hint="eastAsia"/>
                <w:color w:val="auto"/>
                <w:highlight w:val="none"/>
              </w:rPr>
            </w:pPr>
            <w:r>
              <w:rPr>
                <w:rFonts w:hint="eastAsia"/>
                <w:color w:val="auto"/>
                <w:highlight w:val="none"/>
              </w:rPr>
              <w:t>踏勘时间：2026年9月7日 上午9点；</w:t>
            </w:r>
          </w:p>
          <w:p>
            <w:pPr>
              <w:rPr>
                <w:rFonts w:hint="eastAsia"/>
                <w:color w:val="auto"/>
                <w:highlight w:val="none"/>
              </w:rPr>
            </w:pPr>
            <w:r>
              <w:rPr>
                <w:rFonts w:hint="eastAsia"/>
                <w:color w:val="auto"/>
                <w:highlight w:val="none"/>
              </w:rPr>
              <w:t>踏勘集中地点：临沂市兰陵县长城镇二庙中学对面，鲁苏背靠背工程四通一平项目部</w:t>
            </w:r>
          </w:p>
          <w:p>
            <w:pPr>
              <w:rPr>
                <w:rFonts w:hint="eastAsia"/>
                <w:color w:val="auto"/>
                <w:highlight w:val="none"/>
              </w:rPr>
            </w:pPr>
            <w:r>
              <w:rPr>
                <w:rFonts w:hint="eastAsia"/>
                <w:color w:val="auto"/>
                <w:highlight w:val="none"/>
              </w:rPr>
              <w:t>联系人：汤晓先</w:t>
            </w:r>
          </w:p>
          <w:p>
            <w:pPr>
              <w:rPr>
                <w:rFonts w:hint="eastAsia"/>
                <w:color w:val="auto"/>
                <w:highlight w:val="none"/>
                <w:lang w:eastAsia="zh-CN"/>
              </w:rPr>
            </w:pPr>
            <w:r>
              <w:rPr>
                <w:rFonts w:hint="eastAsia"/>
                <w:color w:val="auto"/>
                <w:highlight w:val="none"/>
              </w:rPr>
              <w:t>电话：18560762957</w:t>
            </w:r>
          </w:p>
          <w:p>
            <w:pPr>
              <w:pStyle w:val="5"/>
              <w:rPr>
                <w:rFonts w:hint="eastAsia"/>
                <w:color w:val="auto"/>
                <w:highlight w:val="none"/>
                <w:lang w:eastAsia="zh-CN"/>
              </w:rPr>
            </w:pPr>
          </w:p>
          <w:p>
            <w:pPr>
              <w:rPr>
                <w:rFonts w:hint="eastAsia"/>
                <w:color w:val="auto"/>
                <w:highlight w:val="none"/>
              </w:rPr>
            </w:pPr>
            <w:r>
              <w:rPr>
                <w:rFonts w:hint="eastAsia" w:ascii="宋体" w:hAnsi="宋体" w:eastAsia="宋体" w:cs="宋体"/>
                <w:b/>
                <w:bCs/>
                <w:color w:val="auto"/>
                <w:sz w:val="21"/>
                <w:szCs w:val="21"/>
                <w:highlight w:val="none"/>
                <w:lang w:eastAsia="zh-CN"/>
              </w:rPr>
              <w:t>部分投标人未按时参加踏勘现场的，不影响踏勘现场的正常进行。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1.10.1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投标预备会</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color w:val="auto"/>
                <w:highlight w:val="none"/>
                <w:lang w:eastAsia="zh-CN"/>
              </w:rPr>
              <w:t>☑</w:t>
            </w:r>
            <w:r>
              <w:rPr>
                <w:rFonts w:hint="eastAsia"/>
                <w:color w:val="auto"/>
                <w:highlight w:val="none"/>
              </w:rPr>
              <w:t>召开</w:t>
            </w:r>
            <w:r>
              <w:rPr>
                <w:rFonts w:hint="eastAsia"/>
                <w:color w:val="auto"/>
                <w:highlight w:val="none"/>
                <w:lang w:eastAsia="zh-CN"/>
              </w:rPr>
              <w:t>。</w:t>
            </w:r>
            <w:r>
              <w:rPr>
                <w:rFonts w:hint="eastAsia" w:ascii="宋体" w:hAnsi="宋体" w:eastAsia="宋体" w:cs="宋体"/>
                <w:color w:val="auto"/>
                <w:sz w:val="21"/>
                <w:szCs w:val="21"/>
                <w:highlight w:val="none"/>
                <w:lang w:eastAsia="zh-CN"/>
              </w:rPr>
              <w:t>召开时间：具体时间另行通知，</w:t>
            </w:r>
            <w:r>
              <w:rPr>
                <w:rFonts w:hint="eastAsia" w:ascii="宋体" w:hAnsi="宋体" w:eastAsia="宋体" w:cs="宋体"/>
                <w:b w:val="0"/>
                <w:bCs w:val="0"/>
                <w:color w:val="auto"/>
                <w:sz w:val="21"/>
                <w:szCs w:val="21"/>
                <w:highlight w:val="none"/>
                <w:lang w:eastAsia="zh-CN"/>
              </w:rPr>
              <w:t>召开地点：</w:t>
            </w:r>
            <w:r>
              <w:rPr>
                <w:rFonts w:hint="eastAsia" w:ascii="宋体" w:hAnsi="宋体" w:eastAsia="宋体" w:cs="宋体"/>
                <w:b w:val="0"/>
                <w:bCs w:val="0"/>
                <w:color w:val="auto"/>
                <w:sz w:val="21"/>
                <w:szCs w:val="21"/>
                <w:highlight w:val="none"/>
                <w:u w:val="none"/>
                <w:lang w:val="en-US" w:eastAsia="zh-CN"/>
              </w:rPr>
              <w:t>i国网视频会议。</w:t>
            </w:r>
          </w:p>
          <w:p>
            <w:pPr>
              <w:adjustRightInd w:val="0"/>
              <w:snapToGrid w:val="0"/>
              <w:spacing w:before="120" w:beforeLines="50" w:afterLines="50"/>
              <w:ind w:left="0" w:leftChars="0" w:firstLineChars="0"/>
              <w:rPr>
                <w:rFonts w:hint="eastAsia"/>
                <w:color w:val="auto"/>
                <w:highlight w:val="none"/>
              </w:rPr>
            </w:pPr>
            <w:r>
              <w:rPr>
                <w:rFonts w:hint="eastAsia"/>
                <w:color w:val="auto"/>
                <w:highlight w:val="none"/>
              </w:rPr>
              <w:t>□不召开</w:t>
            </w:r>
            <w:r>
              <w:rPr>
                <w:rFonts w:hint="eastAsia"/>
                <w:color w:val="auto"/>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1.10.2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投标人在投标预备会前提出问题</w:t>
            </w:r>
          </w:p>
        </w:tc>
        <w:tc>
          <w:tcPr>
            <w:tcW w:w="7035" w:type="dxa"/>
            <w:vAlign w:val="center"/>
          </w:tcPr>
          <w:p>
            <w:pPr>
              <w:autoSpaceDE/>
              <w:autoSpaceDN/>
              <w:adjustRightInd w:val="0"/>
              <w:snapToGrid w:val="0"/>
              <w:spacing w:before="120" w:beforeLines="50" w:after="120" w:afterLines="5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时间：</w:t>
            </w:r>
          </w:p>
          <w:p>
            <w:pPr>
              <w:autoSpaceDE/>
              <w:autoSpaceDN/>
              <w:adjustRightInd w:val="0"/>
              <w:snapToGrid w:val="0"/>
              <w:spacing w:before="120" w:beforeLines="50" w:after="120" w:afterLines="5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形式：</w:t>
            </w:r>
            <w:r>
              <w:rPr>
                <w:rFonts w:hint="eastAsia" w:ascii="宋体" w:hAnsi="宋体" w:eastAsia="宋体" w:cs="宋体"/>
                <w:color w:val="auto"/>
                <w:sz w:val="21"/>
                <w:szCs w:val="21"/>
                <w:highlight w:val="none"/>
                <w:u w:val="none"/>
                <w:lang w:eastAsia="zh-CN"/>
              </w:rPr>
              <w:t>通过国家电网有限公司电子商务平台发出</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若不召开投标预备会，则不适用。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1.10.3</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投标预备会后招标人发出澄清</w:t>
            </w:r>
          </w:p>
        </w:tc>
        <w:tc>
          <w:tcPr>
            <w:tcW w:w="7035" w:type="dxa"/>
            <w:vAlign w:val="center"/>
          </w:tcPr>
          <w:p>
            <w:pPr>
              <w:autoSpaceDE/>
              <w:autoSpaceDN/>
              <w:adjustRightInd w:val="0"/>
              <w:snapToGrid w:val="0"/>
              <w:spacing w:before="120" w:beforeLines="50" w:after="120" w:afterLines="5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时间：</w:t>
            </w:r>
          </w:p>
          <w:p>
            <w:pPr>
              <w:autoSpaceDE/>
              <w:autoSpaceDN/>
              <w:adjustRightInd w:val="0"/>
              <w:snapToGrid w:val="0"/>
              <w:spacing w:before="120" w:beforeLines="50" w:after="120" w:afterLines="5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形式：</w:t>
            </w:r>
            <w:r>
              <w:rPr>
                <w:rFonts w:hint="eastAsia" w:ascii="宋体" w:hAnsi="宋体" w:eastAsia="宋体" w:cs="宋体"/>
                <w:color w:val="auto"/>
                <w:sz w:val="21"/>
                <w:szCs w:val="21"/>
                <w:highlight w:val="none"/>
                <w:u w:val="none"/>
                <w:lang w:eastAsia="zh-CN"/>
              </w:rPr>
              <w:t>通过国家电网有限公司电子商务平台发出</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若不召开投标预备会，则不适用。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分包</w:t>
            </w:r>
          </w:p>
        </w:tc>
        <w:tc>
          <w:tcPr>
            <w:tcW w:w="7035" w:type="dxa"/>
            <w:vAlign w:val="center"/>
          </w:tcPr>
          <w:p>
            <w:pPr>
              <w:pStyle w:val="5"/>
              <w:snapToGrid w:val="0"/>
              <w:spacing w:before="120" w:beforeLines="50" w:after="120" w:afterLines="50"/>
              <w:ind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详见投标人须知前附表之附表一</w:t>
            </w:r>
          </w:p>
          <w:p>
            <w:pPr>
              <w:adjustRightInd w:val="0"/>
              <w:snapToGrid w:val="0"/>
              <w:spacing w:line="312" w:lineRule="atLeast"/>
              <w:jc w:val="lef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不允许</w:t>
            </w:r>
          </w:p>
          <w:p>
            <w:pPr>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☑允许</w:t>
            </w:r>
          </w:p>
          <w:p>
            <w:pPr>
              <w:pStyle w:val="5"/>
              <w:snapToGrid w:val="0"/>
              <w:spacing w:before="120" w:beforeLines="50" w:after="120" w:afterLines="50"/>
              <w:ind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投标人可以根据工程实际，按照国家和国家电网有限公司有关规定允许范围进行分包，</w:t>
            </w:r>
            <w:r>
              <w:rPr>
                <w:rFonts w:hint="eastAsia" w:ascii="宋体" w:hAnsi="宋体" w:eastAsia="宋体" w:cs="宋体"/>
                <w:b/>
                <w:bCs/>
                <w:color w:val="auto"/>
                <w:sz w:val="21"/>
                <w:szCs w:val="21"/>
                <w:highlight w:val="none"/>
              </w:rPr>
              <w:t>在投标文件中载明分包计划、分包方案等，主体工程不得专业分包，招标文件未明确的、投标文件未承诺的，原则上不得进行分包，严禁外包商转包、违法分包</w:t>
            </w:r>
            <w:r>
              <w:rPr>
                <w:rFonts w:hint="eastAsia" w:ascii="宋体" w:hAnsi="宋体" w:eastAsia="宋体" w:cs="宋体"/>
                <w:color w:val="auto"/>
                <w:sz w:val="21"/>
                <w:szCs w:val="21"/>
                <w:highlight w:val="none"/>
              </w:rPr>
              <w:t>。分包应遵守国家电网有限公司电网建设工程施工分包管理相关规定、国家电网有限公司施工分包安全管理相关规定及国家电网有限公司其他相关规定。投标人在中标后不得将工程主体、关键性工作专业分包给第三人。具体为：详见合同条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偏</w:t>
            </w:r>
            <w:r>
              <w:rPr>
                <w:rFonts w:hint="eastAsia" w:ascii="宋体" w:hAnsi="宋体" w:eastAsia="宋体" w:cs="宋体"/>
                <w:color w:val="auto"/>
                <w:kern w:val="0"/>
                <w:sz w:val="21"/>
                <w:szCs w:val="21"/>
                <w:highlight w:val="none"/>
              </w:rPr>
              <w:t>离</w:t>
            </w:r>
          </w:p>
        </w:tc>
        <w:tc>
          <w:tcPr>
            <w:tcW w:w="7035" w:type="dxa"/>
            <w:vAlign w:val="center"/>
          </w:tcPr>
          <w:p>
            <w:pPr>
              <w:adjustRightInd w:val="0"/>
              <w:snapToGrid w:val="0"/>
              <w:spacing w:line="312" w:lineRule="atLeast"/>
              <w:jc w:val="lef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允许，投标的技术参数允许优于招标文件的规定：投标人针对招标文件提出的偏离应填写在“投标文件格式”规定的偏差表中，未在偏差表中列明的偏离且未被评标委员会发现的，视为无偏离；被评标委员会发现的偏离，按实际偏离情况处理。</w:t>
            </w:r>
          </w:p>
          <w:p>
            <w:pPr>
              <w:keepNext/>
              <w:keepLines/>
              <w:tabs>
                <w:tab w:val="left" w:pos="720"/>
                <w:tab w:val="left" w:pos="1440"/>
              </w:tabs>
              <w:adjustRightInd w:val="0"/>
              <w:snapToGrid w:val="0"/>
              <w:spacing w:before="120" w:beforeLines="50" w:after="120" w:afterLines="50"/>
              <w:outlineLvl w:val="2"/>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kern w:val="2"/>
                <w:sz w:val="21"/>
                <w:szCs w:val="21"/>
                <w:highlight w:val="none"/>
                <w:lang w:val="en-US" w:eastAsia="zh-CN" w:bidi="ar-SA"/>
              </w:rPr>
              <w:t>不允许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snapToGrid w:val="0"/>
              <w:jc w:val="center"/>
              <w:rPr>
                <w:rFonts w:hint="eastAsia" w:ascii="宋体" w:hAnsi="宋体" w:eastAsia="宋体" w:cs="宋体"/>
                <w:color w:val="auto"/>
                <w:sz w:val="21"/>
                <w:szCs w:val="21"/>
                <w:highlight w:val="none"/>
                <w:u w:val="none"/>
              </w:rPr>
            </w:pPr>
            <w:r>
              <w:rPr>
                <w:rFonts w:hint="eastAsia" w:ascii="宋体" w:hAnsi="宋体" w:eastAsia="宋体" w:cs="宋体"/>
                <w:color w:val="auto"/>
                <w:sz w:val="21"/>
                <w:szCs w:val="21"/>
                <w:highlight w:val="none"/>
                <w:u w:val="none"/>
              </w:rPr>
              <w:t>新增</w:t>
            </w:r>
          </w:p>
          <w:p>
            <w:pPr>
              <w:snapToGrid w:val="0"/>
              <w:jc w:val="center"/>
              <w:rPr>
                <w:rFonts w:hint="eastAsia" w:ascii="宋体" w:hAnsi="宋体" w:eastAsia="宋体" w:cs="宋体"/>
                <w:color w:val="auto"/>
                <w:kern w:val="2"/>
                <w:sz w:val="21"/>
                <w:szCs w:val="21"/>
                <w:highlight w:val="none"/>
                <w:u w:val="none"/>
                <w:lang w:val="en-US" w:eastAsia="zh-CN" w:bidi="ar-SA"/>
              </w:rPr>
            </w:pPr>
            <w:r>
              <w:rPr>
                <w:rFonts w:hint="eastAsia" w:ascii="宋体" w:hAnsi="宋体" w:eastAsia="宋体" w:cs="宋体"/>
                <w:color w:val="auto"/>
                <w:sz w:val="21"/>
                <w:szCs w:val="21"/>
                <w:highlight w:val="none"/>
                <w:u w:val="none"/>
              </w:rPr>
              <w:t>1.12.1</w:t>
            </w:r>
          </w:p>
        </w:tc>
        <w:tc>
          <w:tcPr>
            <w:tcW w:w="1092" w:type="dxa"/>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u w:val="none"/>
                <w:lang w:val="en-US" w:eastAsia="en-US" w:bidi="ar-SA"/>
              </w:rPr>
            </w:pPr>
            <w:r>
              <w:rPr>
                <w:rFonts w:hint="eastAsia" w:ascii="宋体" w:hAnsi="宋体" w:eastAsia="宋体" w:cs="宋体"/>
                <w:color w:val="auto"/>
                <w:kern w:val="0"/>
                <w:sz w:val="21"/>
                <w:szCs w:val="21"/>
                <w:highlight w:val="none"/>
                <w:u w:val="none"/>
              </w:rPr>
              <w:t>实质性要求和条件</w:t>
            </w:r>
          </w:p>
        </w:tc>
        <w:tc>
          <w:tcPr>
            <w:tcW w:w="7035" w:type="dxa"/>
            <w:vAlign w:val="center"/>
          </w:tcPr>
          <w:p>
            <w:pPr>
              <w:autoSpaceDE w:val="0"/>
              <w:autoSpaceDN w:val="0"/>
              <w:adjustRightInd w:val="0"/>
              <w:snapToGrid w:val="0"/>
              <w:spacing w:line="312" w:lineRule="atLeast"/>
              <w:jc w:val="left"/>
              <w:textAlignment w:val="baseline"/>
              <w:rPr>
                <w:rFonts w:hint="eastAsia" w:ascii="宋体" w:hAnsi="宋体" w:eastAsia="宋体" w:cs="宋体"/>
                <w:color w:val="auto"/>
                <w:kern w:val="2"/>
                <w:sz w:val="21"/>
                <w:szCs w:val="21"/>
                <w:highlight w:val="none"/>
                <w:u w:val="none"/>
                <w:lang w:val="en-US" w:eastAsia="zh-CN" w:bidi="ar-SA"/>
              </w:rPr>
            </w:pPr>
            <w:r>
              <w:rPr>
                <w:rFonts w:hint="eastAsia" w:ascii="宋体" w:hAnsi="宋体" w:eastAsia="宋体" w:cs="宋体"/>
                <w:color w:val="auto"/>
                <w:spacing w:val="-3"/>
                <w:sz w:val="21"/>
                <w:szCs w:val="21"/>
                <w:highlight w:val="none"/>
                <w:u w:val="none"/>
              </w:rPr>
              <w:t>投标文件应当对招标文件的实质性要求和条件作出满足性或更有利于招标人的响应。投标人不得出现评标办法前附表“附表一否决条件”规定的否决投标内容</w:t>
            </w:r>
            <w:r>
              <w:rPr>
                <w:rFonts w:hint="eastAsia" w:ascii="宋体" w:hAnsi="宋体" w:eastAsia="宋体" w:cs="宋体"/>
                <w:color w:val="auto"/>
                <w:spacing w:val="-3"/>
                <w:sz w:val="21"/>
                <w:szCs w:val="21"/>
                <w:highlight w:val="none"/>
                <w:u w:val="none"/>
                <w:lang w:eastAsia="zh-CN"/>
              </w:rPr>
              <w:t>，</w:t>
            </w:r>
            <w:r>
              <w:rPr>
                <w:rFonts w:hint="eastAsia" w:ascii="宋体" w:hAnsi="宋体" w:eastAsia="宋体" w:cs="宋体"/>
                <w:color w:val="auto"/>
                <w:spacing w:val="-3"/>
                <w:sz w:val="21"/>
                <w:szCs w:val="21"/>
                <w:highlight w:val="none"/>
                <w:u w:val="none"/>
              </w:rPr>
              <w:t>否则投标人的投标将被否决。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snapToGrid w:val="0"/>
              <w:jc w:val="center"/>
              <w:rPr>
                <w:rFonts w:hint="eastAsia" w:ascii="宋体" w:hAnsi="宋体" w:eastAsia="宋体" w:cs="宋体"/>
                <w:color w:val="auto"/>
                <w:sz w:val="21"/>
                <w:szCs w:val="21"/>
                <w:highlight w:val="none"/>
                <w:u w:val="none"/>
              </w:rPr>
            </w:pPr>
            <w:r>
              <w:rPr>
                <w:rFonts w:hint="eastAsia" w:ascii="宋体" w:hAnsi="宋体" w:eastAsia="宋体" w:cs="宋体"/>
                <w:color w:val="auto"/>
                <w:sz w:val="21"/>
                <w:szCs w:val="21"/>
                <w:highlight w:val="none"/>
                <w:u w:val="none"/>
              </w:rPr>
              <w:t>新增</w:t>
            </w:r>
          </w:p>
          <w:p>
            <w:pPr>
              <w:snapToGrid w:val="0"/>
              <w:jc w:val="center"/>
              <w:rPr>
                <w:rFonts w:hint="eastAsia" w:ascii="宋体" w:hAnsi="宋体" w:eastAsia="宋体" w:cs="宋体"/>
                <w:color w:val="auto"/>
                <w:kern w:val="2"/>
                <w:sz w:val="21"/>
                <w:szCs w:val="21"/>
                <w:highlight w:val="none"/>
                <w:u w:val="none"/>
                <w:lang w:val="en-US" w:eastAsia="zh-CN" w:bidi="ar-SA"/>
              </w:rPr>
            </w:pPr>
            <w:r>
              <w:rPr>
                <w:rFonts w:hint="eastAsia" w:ascii="宋体" w:hAnsi="宋体" w:eastAsia="宋体" w:cs="宋体"/>
                <w:color w:val="auto"/>
                <w:sz w:val="21"/>
                <w:szCs w:val="21"/>
                <w:highlight w:val="none"/>
                <w:u w:val="none"/>
              </w:rPr>
              <w:t>1.12.2</w:t>
            </w:r>
          </w:p>
        </w:tc>
        <w:tc>
          <w:tcPr>
            <w:tcW w:w="1092" w:type="dxa"/>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u w:val="none"/>
                <w:lang w:val="en-US" w:eastAsia="en-US" w:bidi="ar-SA"/>
              </w:rPr>
            </w:pPr>
            <w:r>
              <w:rPr>
                <w:rFonts w:hint="eastAsia" w:ascii="宋体" w:hAnsi="宋体" w:eastAsia="宋体" w:cs="宋体"/>
                <w:color w:val="auto"/>
                <w:sz w:val="21"/>
                <w:szCs w:val="21"/>
                <w:highlight w:val="none"/>
                <w:u w:val="none"/>
              </w:rPr>
              <w:t>响应</w:t>
            </w:r>
          </w:p>
        </w:tc>
        <w:tc>
          <w:tcPr>
            <w:tcW w:w="7035" w:type="dxa"/>
            <w:vAlign w:val="center"/>
          </w:tcPr>
          <w:p>
            <w:pPr>
              <w:autoSpaceDE w:val="0"/>
              <w:autoSpaceDN w:val="0"/>
              <w:adjustRightInd w:val="0"/>
              <w:snapToGrid w:val="0"/>
              <w:spacing w:line="312" w:lineRule="atLeast"/>
              <w:jc w:val="left"/>
              <w:textAlignment w:val="baseline"/>
              <w:rPr>
                <w:rFonts w:hint="eastAsia" w:ascii="宋体" w:hAnsi="宋体" w:eastAsia="宋体" w:cs="宋体"/>
                <w:color w:val="auto"/>
                <w:kern w:val="2"/>
                <w:sz w:val="21"/>
                <w:szCs w:val="21"/>
                <w:highlight w:val="none"/>
                <w:u w:val="none"/>
                <w:lang w:val="en-US" w:eastAsia="zh-CN" w:bidi="ar-SA"/>
              </w:rPr>
            </w:pPr>
            <w:r>
              <w:rPr>
                <w:rFonts w:hint="eastAsia" w:ascii="宋体" w:hAnsi="宋体" w:eastAsia="宋体" w:cs="宋体"/>
                <w:color w:val="auto"/>
                <w:sz w:val="21"/>
                <w:szCs w:val="21"/>
                <w:highlight w:val="none"/>
                <w:u w:val="none"/>
              </w:rPr>
              <w:t>投标人应根据招标文件的要求对招标文件作出响应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构成招标文件的其他文件</w:t>
            </w:r>
          </w:p>
        </w:tc>
        <w:tc>
          <w:tcPr>
            <w:tcW w:w="7035"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修改：</w:t>
            </w:r>
          </w:p>
          <w:p>
            <w:pPr>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投标人应详细阅读招标文件，并按招标文件要求提交全部投标文件。如投标人无特殊声明，则视为投标人已全部理解并接受招标文件规定的条款。</w:t>
            </w:r>
          </w:p>
          <w:p>
            <w:pPr>
              <w:ind w:firstLine="420" w:firstLineChars="20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如招标文件中商务部分与技术规范书中的内容有差异，技术标准、工程规模、招标范围及工期/服务期要求以技术规范书为准，投标人资格要求、质保期以商务部分为准。如技术规范书中的招标工程量与工程量清单有差异，以工程量清单为准。</w:t>
            </w:r>
          </w:p>
          <w:p>
            <w:pPr>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如招标文件中有设备或组件材料指定专利、商标、品牌、原产地或供应商的，均属于无效指定，以相应设备或组件材料的技术要求为准。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restart"/>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2.2.1</w:t>
            </w:r>
          </w:p>
        </w:tc>
        <w:tc>
          <w:tcPr>
            <w:tcW w:w="1092" w:type="dxa"/>
            <w:vMerge w:val="restart"/>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投标人要求澄清招标文件</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rPr>
              <w:t>时间：投标截止时间</w:t>
            </w:r>
            <w:r>
              <w:rPr>
                <w:rFonts w:hint="eastAsia" w:ascii="宋体" w:hAnsi="宋体" w:cs="宋体"/>
                <w:b/>
                <w:bCs/>
                <w:color w:val="auto"/>
                <w:sz w:val="21"/>
                <w:szCs w:val="21"/>
                <w:highlight w:val="none"/>
                <w:lang w:val="en-US" w:eastAsia="zh-CN"/>
              </w:rPr>
              <w:t>16</w:t>
            </w:r>
            <w:r>
              <w:rPr>
                <w:rFonts w:hint="eastAsia" w:ascii="宋体" w:hAnsi="宋体" w:eastAsia="宋体" w:cs="宋体"/>
                <w:b/>
                <w:bCs/>
                <w:color w:val="auto"/>
                <w:sz w:val="21"/>
                <w:szCs w:val="21"/>
                <w:highlight w:val="none"/>
              </w:rPr>
              <w:t>日前。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continue"/>
            <w:tcBorders>
              <w:top w:val="nil"/>
            </w:tcBorders>
            <w:vAlign w:val="center"/>
          </w:tcPr>
          <w:p>
            <w:pPr>
              <w:adjustRightInd w:val="0"/>
              <w:snapToGrid w:val="0"/>
              <w:jc w:val="center"/>
              <w:rPr>
                <w:rFonts w:hint="eastAsia" w:ascii="宋体" w:hAnsi="宋体" w:eastAsia="宋体" w:cs="宋体"/>
                <w:color w:val="auto"/>
                <w:sz w:val="21"/>
                <w:szCs w:val="21"/>
                <w:highlight w:val="none"/>
              </w:rPr>
            </w:pPr>
          </w:p>
        </w:tc>
        <w:tc>
          <w:tcPr>
            <w:tcW w:w="1092" w:type="dxa"/>
            <w:vMerge w:val="continue"/>
            <w:tcBorders>
              <w:top w:val="nil"/>
            </w:tcBorders>
            <w:vAlign w:val="center"/>
          </w:tcPr>
          <w:p>
            <w:pPr>
              <w:adjustRightInd w:val="0"/>
              <w:snapToGrid w:val="0"/>
              <w:jc w:val="center"/>
              <w:rPr>
                <w:rFonts w:hint="eastAsia" w:ascii="宋体" w:hAnsi="宋体" w:eastAsia="宋体" w:cs="宋体"/>
                <w:color w:val="auto"/>
                <w:kern w:val="0"/>
                <w:sz w:val="21"/>
                <w:szCs w:val="21"/>
                <w:highlight w:val="none"/>
              </w:rPr>
            </w:pPr>
          </w:p>
        </w:tc>
        <w:tc>
          <w:tcPr>
            <w:tcW w:w="7035" w:type="dxa"/>
            <w:vAlign w:val="center"/>
          </w:tcPr>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形式：上传至招标人招投标交易平台信息系统。招标人仅接受投标人上传至招标人招投标交易平台信息系统相应位置的澄清函。</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具体操作方式：详见</w:t>
            </w:r>
            <w:r>
              <w:rPr>
                <w:rFonts w:hint="eastAsia" w:ascii="宋体" w:hAnsi="宋体" w:eastAsia="宋体" w:cs="宋体"/>
                <w:color w:val="auto"/>
                <w:spacing w:val="7"/>
                <w:sz w:val="21"/>
                <w:szCs w:val="21"/>
                <w:highlight w:val="none"/>
              </w:rPr>
              <w:t>首页“下载专区→参与投标→操作手册”</w:t>
            </w:r>
            <w:r>
              <w:rPr>
                <w:rFonts w:hint="eastAsia" w:ascii="宋体" w:hAnsi="宋体" w:eastAsia="宋体" w:cs="宋体"/>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招标文件澄清发出的形式与时间</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招标文件的澄清</w:t>
            </w:r>
            <w:r>
              <w:rPr>
                <w:rFonts w:hint="eastAsia" w:ascii="宋体" w:hAnsi="宋体" w:eastAsia="宋体" w:cs="宋体"/>
                <w:color w:val="auto"/>
                <w:kern w:val="0"/>
                <w:sz w:val="21"/>
                <w:szCs w:val="21"/>
                <w:highlight w:val="none"/>
              </w:rPr>
              <w:t>通过招标人招投标交易平台信息系统</w:t>
            </w:r>
            <w:r>
              <w:rPr>
                <w:rFonts w:hint="eastAsia" w:ascii="宋体" w:hAnsi="宋体" w:eastAsia="宋体" w:cs="宋体"/>
                <w:color w:val="auto"/>
                <w:sz w:val="21"/>
                <w:szCs w:val="21"/>
                <w:highlight w:val="none"/>
              </w:rPr>
              <w:t>发给所有获取招标文件的投标人。</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招标人对招标文件进行必要的澄清或者修改时间：澄清或者修改的内容可能影响投标文件编制的，投标截止时间至少15日前。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restart"/>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2.2.3</w:t>
            </w:r>
          </w:p>
        </w:tc>
        <w:tc>
          <w:tcPr>
            <w:tcW w:w="1092" w:type="dxa"/>
            <w:vMerge w:val="restart"/>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投标人确认收到招标文件澄清</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时间：收到澄清后24小时内,逾期未在规定时间内确认的，招标人一律视为已收到。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continue"/>
            <w:tcBorders>
              <w:top w:val="nil"/>
            </w:tcBorders>
            <w:vAlign w:val="center"/>
          </w:tcPr>
          <w:p>
            <w:pPr>
              <w:adjustRightInd w:val="0"/>
              <w:snapToGrid w:val="0"/>
              <w:jc w:val="center"/>
              <w:rPr>
                <w:rFonts w:hint="eastAsia" w:ascii="宋体" w:hAnsi="宋体" w:eastAsia="宋体" w:cs="宋体"/>
                <w:color w:val="auto"/>
                <w:sz w:val="21"/>
                <w:szCs w:val="21"/>
                <w:highlight w:val="none"/>
              </w:rPr>
            </w:pPr>
          </w:p>
        </w:tc>
        <w:tc>
          <w:tcPr>
            <w:tcW w:w="1092" w:type="dxa"/>
            <w:vMerge w:val="continue"/>
            <w:tcBorders>
              <w:top w:val="nil"/>
            </w:tcBorders>
            <w:vAlign w:val="center"/>
          </w:tcPr>
          <w:p>
            <w:pPr>
              <w:adjustRightInd w:val="0"/>
              <w:snapToGrid w:val="0"/>
              <w:jc w:val="center"/>
              <w:rPr>
                <w:rFonts w:hint="eastAsia" w:ascii="宋体" w:hAnsi="宋体" w:eastAsia="宋体" w:cs="宋体"/>
                <w:color w:val="auto"/>
                <w:sz w:val="21"/>
                <w:szCs w:val="21"/>
                <w:highlight w:val="none"/>
              </w:rPr>
            </w:pPr>
          </w:p>
        </w:tc>
        <w:tc>
          <w:tcPr>
            <w:tcW w:w="7035" w:type="dxa"/>
            <w:vAlign w:val="center"/>
          </w:tcPr>
          <w:p>
            <w:pPr>
              <w:pStyle w:val="28"/>
              <w:adjustRightInd w:val="0"/>
              <w:snapToGrid w:val="0"/>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形式：</w:t>
            </w:r>
            <w:r>
              <w:rPr>
                <w:rFonts w:hint="eastAsia" w:ascii="宋体" w:hAnsi="宋体" w:eastAsia="宋体" w:cs="宋体"/>
                <w:color w:val="auto"/>
                <w:sz w:val="21"/>
                <w:szCs w:val="21"/>
                <w:highlight w:val="none"/>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tcBorders>
              <w:top w:val="nil"/>
            </w:tcBorders>
            <w:vAlign w:val="center"/>
          </w:tcPr>
          <w:p>
            <w:pPr>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新增</w:t>
            </w:r>
          </w:p>
          <w:p>
            <w:pPr>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2.2.4</w:t>
            </w:r>
          </w:p>
        </w:tc>
        <w:tc>
          <w:tcPr>
            <w:tcW w:w="1092" w:type="dxa"/>
            <w:tcBorders>
              <w:top w:val="nil"/>
            </w:tcBorders>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澄清答复</w:t>
            </w:r>
          </w:p>
        </w:tc>
        <w:tc>
          <w:tcPr>
            <w:tcW w:w="7035" w:type="dxa"/>
            <w:vAlign w:val="center"/>
          </w:tcPr>
          <w:p>
            <w:pPr>
              <w:adjustRightInd w:val="0"/>
              <w:snapToGrid w:val="0"/>
              <w:spacing w:line="312" w:lineRule="atLeast"/>
              <w:jc w:val="left"/>
              <w:textAlignment w:val="baseline"/>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除非招标人认为确有必要答复，否则</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招标人有权拒绝回复投标人在本章第 2.2.1项规定的时间后的任何澄清要求。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2.3.1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招标文件修改发出的形式</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lang w:val="en-US" w:eastAsia="zh-CN"/>
              </w:rPr>
            </w:pPr>
            <w:r>
              <w:rPr>
                <w:rFonts w:hint="eastAsia" w:ascii="宋体" w:hAnsi="宋体" w:eastAsia="宋体" w:cs="宋体"/>
                <w:color w:val="auto"/>
                <w:kern w:val="0"/>
                <w:sz w:val="21"/>
                <w:szCs w:val="21"/>
                <w:highlight w:val="none"/>
              </w:rPr>
              <w:t>修改为：</w:t>
            </w:r>
            <w:r>
              <w:rPr>
                <w:rFonts w:hint="eastAsia" w:ascii="宋体" w:hAnsi="宋体" w:eastAsia="宋体" w:cs="宋体"/>
                <w:color w:val="auto"/>
                <w:kern w:val="0"/>
                <w:sz w:val="21"/>
                <w:szCs w:val="21"/>
                <w:highlight w:val="none"/>
                <w:lang w:val="en-US" w:eastAsia="zh-CN"/>
              </w:rPr>
              <w:t xml:space="preserve"> </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在投标截止时间15天前，招标人可以通过招标人招投标交易平台信息系统修改招标文件。如果修改招标文件的时间距投标截止时间不足15天，且对投标可能产生实质性影响的，招标人应相应延长投标截止时间。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restart"/>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2.3.2</w:t>
            </w:r>
          </w:p>
        </w:tc>
        <w:tc>
          <w:tcPr>
            <w:tcW w:w="1092" w:type="dxa"/>
            <w:vMerge w:val="restart"/>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投标人确认收到招标文件修改</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时间：收到修改后24小时内,逾期未在规定时间内确认的，招标人一律视为已收到</w:t>
            </w:r>
            <w:r>
              <w:rPr>
                <w:rFonts w:hint="eastAsia" w:ascii="宋体" w:hAnsi="宋体" w:eastAsia="宋体" w:cs="宋体"/>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continue"/>
            <w:tcBorders>
              <w:top w:val="nil"/>
            </w:tcBorders>
            <w:vAlign w:val="center"/>
          </w:tcPr>
          <w:p>
            <w:pPr>
              <w:jc w:val="center"/>
              <w:rPr>
                <w:rFonts w:hint="eastAsia" w:ascii="宋体" w:hAnsi="宋体" w:eastAsia="宋体" w:cs="宋体"/>
                <w:color w:val="auto"/>
                <w:sz w:val="21"/>
                <w:szCs w:val="21"/>
                <w:highlight w:val="none"/>
              </w:rPr>
            </w:pPr>
          </w:p>
        </w:tc>
        <w:tc>
          <w:tcPr>
            <w:tcW w:w="1092" w:type="dxa"/>
            <w:vMerge w:val="continue"/>
            <w:tcBorders>
              <w:top w:val="nil"/>
            </w:tcBorders>
            <w:vAlign w:val="center"/>
          </w:tcPr>
          <w:p>
            <w:pPr>
              <w:adjustRightInd w:val="0"/>
              <w:snapToGrid w:val="0"/>
              <w:jc w:val="center"/>
              <w:rPr>
                <w:rFonts w:hint="eastAsia" w:ascii="宋体" w:hAnsi="宋体" w:eastAsia="宋体" w:cs="宋体"/>
                <w:color w:val="auto"/>
                <w:kern w:val="0"/>
                <w:sz w:val="21"/>
                <w:szCs w:val="21"/>
                <w:highlight w:val="none"/>
              </w:rPr>
            </w:pPr>
          </w:p>
        </w:tc>
        <w:tc>
          <w:tcPr>
            <w:tcW w:w="7035" w:type="dxa"/>
            <w:vAlign w:val="center"/>
          </w:tcPr>
          <w:p>
            <w:pPr>
              <w:pStyle w:val="28"/>
              <w:adjustRightInd w:val="0"/>
              <w:snapToGrid w:val="0"/>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形式：</w:t>
            </w:r>
            <w:r>
              <w:rPr>
                <w:rFonts w:hint="eastAsia" w:ascii="宋体" w:hAnsi="宋体" w:eastAsia="宋体" w:cs="宋体"/>
                <w:color w:val="auto"/>
                <w:sz w:val="21"/>
                <w:szCs w:val="21"/>
                <w:highlight w:val="none"/>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243" w:hRule="atLeast"/>
          <w:jc w:val="center"/>
        </w:trPr>
        <w:tc>
          <w:tcPr>
            <w:tcW w:w="1087" w:type="dxa"/>
            <w:tcBorders>
              <w:top w:val="nil"/>
            </w:tcBorders>
            <w:vAlign w:val="center"/>
          </w:tcPr>
          <w:p>
            <w:pPr>
              <w:pStyle w:val="28"/>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eastAsia="en-US"/>
              </w:rPr>
              <w:t>2.4</w:t>
            </w:r>
          </w:p>
        </w:tc>
        <w:tc>
          <w:tcPr>
            <w:tcW w:w="1092" w:type="dxa"/>
            <w:tcBorders>
              <w:top w:val="nil"/>
            </w:tcBorders>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招标文件的异议</w:t>
            </w:r>
          </w:p>
        </w:tc>
        <w:tc>
          <w:tcPr>
            <w:tcW w:w="7035" w:type="dxa"/>
            <w:vAlign w:val="center"/>
          </w:tcPr>
          <w:p>
            <w:pPr>
              <w:autoSpaceDE w:val="0"/>
              <w:autoSpaceDN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补充：</w:t>
            </w:r>
          </w:p>
          <w:p>
            <w:pPr>
              <w:autoSpaceDE w:val="0"/>
              <w:autoSpaceDN w:val="0"/>
              <w:snapToGrid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1.异议的提出应按附件格式填写《招标文件异议单》，盖章扫描件发送至指定电子邮箱，电子邮箱见招标公告。</w:t>
            </w:r>
          </w:p>
          <w:p>
            <w:pPr>
              <w:autoSpaceDE w:val="0"/>
              <w:autoSpaceDN w:val="0"/>
              <w:snapToGrid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2.其他利害关系人提出异议的，应提供关于利害关系的支撑材料。</w:t>
            </w:r>
          </w:p>
          <w:p>
            <w:pPr>
              <w:autoSpaceDE w:val="0"/>
              <w:autoSpaceDN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3.不受理匿名或其他形式的异议。</w:t>
            </w:r>
          </w:p>
          <w:p>
            <w:pPr>
              <w:autoSpaceDE w:val="0"/>
              <w:autoSpaceDN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4.投标人应详细阅读招标文件，并按招标文件要求提交全部资料。如投标人无特殊声明，则视为投标人已全部理解并接受招标文件规定的条款。</w:t>
            </w:r>
          </w:p>
          <w:p>
            <w:pP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5.投标人或者其他利害关系人对招标文件有异议的，应当在投标截止时间10日前以书面形式提出。招标人将在收到异议之日起3日内作出答复；作出答复前，将暂停招标投标活动。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3.1.1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构成投标文件的其他资料</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lang w:val="en-US" w:eastAsia="en-US"/>
              </w:rPr>
            </w:pPr>
            <w:r>
              <w:rPr>
                <w:rFonts w:hint="eastAsia" w:ascii="宋体" w:hAnsi="宋体" w:eastAsia="宋体" w:cs="宋体"/>
                <w:color w:val="auto"/>
                <w:kern w:val="0"/>
                <w:sz w:val="21"/>
                <w:szCs w:val="21"/>
                <w:highlight w:val="none"/>
                <w:lang w:val="en-US" w:eastAsia="en-US"/>
              </w:rPr>
              <w:t>补充：</w:t>
            </w:r>
          </w:p>
          <w:p>
            <w:pPr>
              <w:adjustRightInd w:val="0"/>
              <w:snapToGrid w:val="0"/>
              <w:spacing w:before="120" w:beforeLines="50" w:after="120" w:afterLines="50"/>
              <w:rPr>
                <w:rFonts w:hint="eastAsia" w:ascii="宋体" w:hAnsi="宋体" w:eastAsia="宋体" w:cs="宋体"/>
                <w:color w:val="auto"/>
                <w:kern w:val="0"/>
                <w:sz w:val="21"/>
                <w:szCs w:val="21"/>
                <w:highlight w:val="none"/>
                <w:lang w:val="en-US" w:eastAsia="en-US"/>
              </w:rPr>
            </w:pPr>
            <w:r>
              <w:rPr>
                <w:rFonts w:hint="eastAsia" w:ascii="宋体" w:hAnsi="宋体" w:eastAsia="宋体" w:cs="宋体"/>
                <w:color w:val="auto"/>
                <w:kern w:val="0"/>
                <w:sz w:val="21"/>
                <w:szCs w:val="21"/>
                <w:highlight w:val="none"/>
                <w:lang w:val="en-US" w:eastAsia="en-US"/>
              </w:rPr>
              <w:t>（1</w:t>
            </w:r>
            <w:r>
              <w:rPr>
                <w:rFonts w:hint="eastAsia" w:ascii="宋体" w:hAnsi="宋体" w:eastAsia="宋体" w:cs="宋体"/>
                <w:color w:val="auto"/>
                <w:kern w:val="0"/>
                <w:sz w:val="21"/>
                <w:szCs w:val="21"/>
                <w:highlight w:val="none"/>
                <w:lang w:val="en-US" w:eastAsia="zh-CN"/>
              </w:rPr>
              <w:t>0</w:t>
            </w:r>
            <w:r>
              <w:rPr>
                <w:rFonts w:hint="eastAsia" w:ascii="宋体" w:hAnsi="宋体" w:eastAsia="宋体" w:cs="宋体"/>
                <w:color w:val="auto"/>
                <w:kern w:val="0"/>
                <w:sz w:val="21"/>
                <w:szCs w:val="21"/>
                <w:highlight w:val="none"/>
                <w:lang w:val="en-US" w:eastAsia="en-US"/>
              </w:rPr>
              <w:t>）投标人施工设备证明材料（采购合同、采购发票或租赁意向书、订购意向）。</w:t>
            </w:r>
          </w:p>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0"/>
                <w:sz w:val="21"/>
                <w:szCs w:val="21"/>
                <w:highlight w:val="none"/>
                <w:lang w:val="en-US" w:eastAsia="en-US"/>
              </w:rPr>
              <w:t>（1</w:t>
            </w:r>
            <w:r>
              <w:rPr>
                <w:rFonts w:hint="eastAsia" w:ascii="宋体" w:hAnsi="宋体" w:eastAsia="宋体" w:cs="宋体"/>
                <w:color w:val="auto"/>
                <w:kern w:val="0"/>
                <w:sz w:val="21"/>
                <w:szCs w:val="21"/>
                <w:highlight w:val="none"/>
                <w:lang w:val="en-US" w:eastAsia="zh-CN"/>
              </w:rPr>
              <w:t>1</w:t>
            </w:r>
            <w:r>
              <w:rPr>
                <w:rFonts w:hint="eastAsia" w:ascii="宋体" w:hAnsi="宋体" w:eastAsia="宋体" w:cs="宋体"/>
                <w:color w:val="auto"/>
                <w:kern w:val="0"/>
                <w:sz w:val="21"/>
                <w:szCs w:val="21"/>
                <w:highlight w:val="none"/>
                <w:lang w:val="en-US" w:eastAsia="en-US"/>
              </w:rPr>
              <w:t>）应包含评标办法所涵盖的内容。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spacing w:line="312" w:lineRule="atLeast"/>
              <w:jc w:val="center"/>
              <w:textAlignment w:val="baseline"/>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新增</w:t>
            </w:r>
          </w:p>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3.2.1</w:t>
            </w:r>
          </w:p>
        </w:tc>
        <w:tc>
          <w:tcPr>
            <w:tcW w:w="1092" w:type="dxa"/>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清单报价的填写与提交</w:t>
            </w:r>
          </w:p>
        </w:tc>
        <w:tc>
          <w:tcPr>
            <w:tcW w:w="7035" w:type="dxa"/>
            <w:vAlign w:val="center"/>
          </w:tcPr>
          <w:p>
            <w:pPr>
              <w:adjustRightInd w:val="0"/>
              <w:snapToGrid w:val="0"/>
              <w:spacing w:line="312" w:lineRule="atLeast"/>
              <w:jc w:val="lef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补充：</w:t>
            </w:r>
          </w:p>
          <w:p>
            <w:pPr>
              <w:adjustRightInd w:val="0"/>
              <w:snapToGrid w:val="0"/>
              <w:spacing w:line="312" w:lineRule="atLeast"/>
              <w:jc w:val="lef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1. </w:t>
            </w:r>
            <w:r>
              <w:rPr>
                <w:rFonts w:hint="eastAsia" w:ascii="宋体" w:hAnsi="宋体" w:eastAsia="宋体" w:cs="宋体"/>
                <w:b/>
                <w:color w:val="auto"/>
                <w:sz w:val="21"/>
                <w:szCs w:val="21"/>
                <w:highlight w:val="none"/>
              </w:rPr>
              <w:t>本次施工招标实行工程量清单电子单轨制评审，不接受工程量清单纸质版。</w:t>
            </w:r>
            <w:r>
              <w:rPr>
                <w:rFonts w:hint="eastAsia" w:ascii="宋体" w:hAnsi="宋体" w:eastAsia="宋体" w:cs="宋体"/>
                <w:color w:val="auto"/>
                <w:sz w:val="21"/>
                <w:szCs w:val="21"/>
                <w:highlight w:val="none"/>
              </w:rPr>
              <w:t xml:space="preserve"> 投标人应将已标价的工程量清单电子版上传至国家电网有限公司电子商务平台（ECP系统）“行报价”部分。</w:t>
            </w:r>
          </w:p>
          <w:p>
            <w:pPr>
              <w:snapToGrid w:val="0"/>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2.工程量清单格式性要求：</w:t>
            </w:r>
          </w:p>
          <w:p>
            <w:pPr>
              <w:widowControl/>
              <w:jc w:val="left"/>
              <w:rPr>
                <w:rFonts w:hint="eastAsia" w:ascii="宋体" w:hAnsi="宋体" w:eastAsia="宋体" w:cs="宋体"/>
                <w:color w:val="auto"/>
                <w:sz w:val="21"/>
                <w:szCs w:val="21"/>
                <w:highlight w:val="none"/>
                <w:u w:val="single"/>
              </w:rPr>
            </w:pPr>
            <w:r>
              <w:rPr>
                <w:rFonts w:hint="eastAsia" w:ascii="宋体" w:hAnsi="宋体" w:eastAsia="宋体" w:cs="宋体"/>
                <w:color w:val="auto"/>
                <w:sz w:val="21"/>
                <w:szCs w:val="21"/>
                <w:highlight w:val="none"/>
              </w:rPr>
              <w:t>□</w:t>
            </w:r>
            <w:r>
              <w:rPr>
                <w:rFonts w:hint="eastAsia" w:ascii="宋体" w:hAnsi="宋体" w:eastAsia="宋体" w:cs="宋体"/>
                <w:b/>
                <w:bCs/>
                <w:color w:val="auto"/>
                <w:sz w:val="21"/>
                <w:szCs w:val="21"/>
                <w:highlight w:val="none"/>
              </w:rPr>
              <w:t>不使用</w:t>
            </w:r>
            <w:r>
              <w:rPr>
                <w:rFonts w:hint="eastAsia" w:ascii="宋体" w:hAnsi="宋体" w:eastAsia="宋体" w:cs="宋体"/>
                <w:color w:val="auto"/>
                <w:sz w:val="21"/>
                <w:szCs w:val="21"/>
                <w:highlight w:val="none"/>
              </w:rPr>
              <w:t>投标工程量清单标准化应用软件进行规范性检测、生成标准格式。</w:t>
            </w:r>
          </w:p>
          <w:p>
            <w:pPr>
              <w:widowControl/>
              <w:jc w:val="left"/>
              <w:rPr>
                <w:rFonts w:hint="eastAsia" w:ascii="宋体" w:hAnsi="宋体" w:eastAsia="宋体" w:cs="宋体"/>
                <w:color w:val="auto"/>
                <w:sz w:val="21"/>
                <w:szCs w:val="21"/>
                <w:highlight w:val="none"/>
                <w:shd w:val="clear" w:color="auto" w:fill="FFFF00"/>
              </w:rPr>
            </w:pPr>
            <w:r>
              <w:rPr>
                <w:rFonts w:hint="eastAsia" w:ascii="宋体" w:hAnsi="宋体" w:eastAsia="宋体" w:cs="宋体"/>
                <w:color w:val="auto"/>
                <w:sz w:val="21"/>
                <w:szCs w:val="21"/>
                <w:highlight w:val="none"/>
              </w:rPr>
              <w:t>☑</w:t>
            </w:r>
            <w:r>
              <w:rPr>
                <w:rFonts w:hint="eastAsia" w:ascii="宋体" w:hAnsi="宋体" w:eastAsia="宋体" w:cs="宋体"/>
                <w:b/>
                <w:bCs/>
                <w:color w:val="auto"/>
                <w:sz w:val="21"/>
                <w:szCs w:val="21"/>
                <w:highlight w:val="none"/>
              </w:rPr>
              <w:t>使用</w:t>
            </w:r>
            <w:r>
              <w:rPr>
                <w:rFonts w:hint="eastAsia" w:ascii="宋体" w:hAnsi="宋体" w:eastAsia="宋体" w:cs="宋体"/>
                <w:color w:val="auto"/>
                <w:sz w:val="21"/>
                <w:szCs w:val="21"/>
                <w:highlight w:val="none"/>
              </w:rPr>
              <w:t>投标工程量清单标准化应用软件进行规范性检测、生成标准格式，要求如下：</w:t>
            </w:r>
          </w:p>
          <w:p>
            <w:pPr>
              <w:snapToGrid w:val="0"/>
              <w:jc w:val="left"/>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 xml:space="preserve"> </w:t>
            </w:r>
            <w:r>
              <w:rPr>
                <w:rFonts w:hint="eastAsia" w:ascii="宋体" w:hAnsi="宋体" w:eastAsia="宋体" w:cs="宋体"/>
                <w:color w:val="auto"/>
                <w:sz w:val="21"/>
                <w:szCs w:val="21"/>
                <w:highlight w:val="none"/>
              </w:rPr>
              <w:t>（1）</w:t>
            </w:r>
            <w:r>
              <w:rPr>
                <w:rFonts w:hint="eastAsia" w:ascii="宋体" w:hAnsi="宋体" w:eastAsia="宋体" w:cs="宋体"/>
                <w:bCs/>
                <w:color w:val="auto"/>
                <w:sz w:val="21"/>
                <w:szCs w:val="21"/>
                <w:highlight w:val="none"/>
              </w:rPr>
              <w:t>投标人须</w:t>
            </w:r>
            <w:r>
              <w:rPr>
                <w:rFonts w:hint="eastAsia" w:ascii="宋体" w:hAnsi="宋体" w:eastAsia="宋体" w:cs="宋体"/>
                <w:color w:val="auto"/>
                <w:sz w:val="21"/>
                <w:szCs w:val="21"/>
                <w:highlight w:val="none"/>
              </w:rPr>
              <w:t>根据国家电网有限公司电子商务平台下载的招标</w:t>
            </w:r>
            <w:r>
              <w:rPr>
                <w:rFonts w:hint="eastAsia" w:ascii="宋体" w:hAnsi="宋体" w:eastAsia="宋体" w:cs="宋体"/>
                <w:bCs/>
                <w:color w:val="auto"/>
                <w:sz w:val="21"/>
                <w:szCs w:val="21"/>
                <w:highlight w:val="none"/>
              </w:rPr>
              <w:t>工程量清单（</w:t>
            </w:r>
            <w:r>
              <w:rPr>
                <w:rFonts w:hint="eastAsia" w:ascii="宋体" w:hAnsi="宋体" w:eastAsia="宋体" w:cs="宋体"/>
                <w:b/>
                <w:color w:val="auto"/>
                <w:sz w:val="21"/>
                <w:szCs w:val="21"/>
                <w:highlight w:val="none"/>
              </w:rPr>
              <w:t>*.</w:t>
            </w:r>
            <w:r>
              <w:rPr>
                <w:rFonts w:hint="eastAsia" w:ascii="宋体" w:hAnsi="宋体" w:eastAsia="宋体" w:cs="宋体"/>
                <w:b/>
                <w:color w:val="auto"/>
                <w:sz w:val="21"/>
                <w:szCs w:val="21"/>
                <w:highlight w:val="none"/>
                <w:lang w:val="en-US" w:eastAsia="zh-CN"/>
              </w:rPr>
              <w:t>jl</w:t>
            </w:r>
            <w:r>
              <w:rPr>
                <w:rFonts w:hint="eastAsia" w:ascii="宋体" w:hAnsi="宋体" w:eastAsia="宋体" w:cs="宋体"/>
                <w:b/>
                <w:color w:val="auto"/>
                <w:sz w:val="21"/>
                <w:szCs w:val="21"/>
                <w:highlight w:val="none"/>
              </w:rPr>
              <w:t>zb23</w:t>
            </w:r>
            <w:r>
              <w:rPr>
                <w:rFonts w:hint="eastAsia" w:ascii="宋体" w:hAnsi="宋体" w:eastAsia="宋体" w:cs="宋体"/>
                <w:b/>
                <w:color w:val="auto"/>
                <w:sz w:val="21"/>
                <w:szCs w:val="21"/>
                <w:highlight w:val="none"/>
                <w:lang w:val="en-US" w:eastAsia="zh-CN"/>
              </w:rPr>
              <w:t>/</w:t>
            </w:r>
            <w:r>
              <w:rPr>
                <w:rFonts w:hint="eastAsia" w:ascii="宋体" w:hAnsi="宋体" w:eastAsia="宋体" w:cs="宋体"/>
                <w:b/>
                <w:color w:val="auto"/>
                <w:sz w:val="21"/>
                <w:szCs w:val="21"/>
                <w:highlight w:val="none"/>
              </w:rPr>
              <w:t>*.</w:t>
            </w:r>
            <w:r>
              <w:rPr>
                <w:rFonts w:hint="eastAsia" w:ascii="宋体" w:hAnsi="宋体" w:eastAsia="宋体" w:cs="宋体"/>
                <w:b/>
                <w:color w:val="auto"/>
                <w:sz w:val="21"/>
                <w:szCs w:val="21"/>
                <w:highlight w:val="none"/>
                <w:lang w:val="en-US" w:eastAsia="zh-CN"/>
              </w:rPr>
              <w:t>zl</w:t>
            </w:r>
            <w:r>
              <w:rPr>
                <w:rFonts w:hint="eastAsia" w:ascii="宋体" w:hAnsi="宋体" w:eastAsia="宋体" w:cs="宋体"/>
                <w:b/>
                <w:color w:val="auto"/>
                <w:sz w:val="21"/>
                <w:szCs w:val="21"/>
                <w:highlight w:val="none"/>
              </w:rPr>
              <w:t>zb23格式</w:t>
            </w:r>
            <w:r>
              <w:rPr>
                <w:rFonts w:hint="eastAsia" w:ascii="宋体" w:hAnsi="宋体" w:eastAsia="宋体" w:cs="宋体"/>
                <w:bCs/>
                <w:color w:val="auto"/>
                <w:sz w:val="21"/>
                <w:szCs w:val="21"/>
                <w:highlight w:val="none"/>
              </w:rPr>
              <w:t>）编制投标工程量清单，该格式清单须使用投标工程量清单标准化应用软件打开，软件在BOSP系统项目商务专用部分下载。</w:t>
            </w:r>
            <w:r>
              <w:rPr>
                <w:rFonts w:hint="eastAsia" w:ascii="宋体" w:hAnsi="宋体" w:eastAsia="宋体" w:cs="宋体"/>
                <w:b/>
                <w:bCs w:val="0"/>
                <w:color w:val="auto"/>
                <w:sz w:val="21"/>
                <w:szCs w:val="21"/>
                <w:highlight w:val="none"/>
              </w:rPr>
              <w:t>投标人完成已标价工程量清单编制后，须经投标工程量清单标准化应用软件检查并导出带有国家电网底纹和ID标识的excel格式工程量清单，经电子签章后作为最终投标电子文件。</w:t>
            </w:r>
            <w:r>
              <w:rPr>
                <w:rFonts w:hint="eastAsia" w:ascii="宋体" w:hAnsi="宋体" w:eastAsia="宋体" w:cs="宋体"/>
                <w:bCs/>
                <w:color w:val="auto"/>
                <w:sz w:val="21"/>
                <w:szCs w:val="21"/>
                <w:highlight w:val="none"/>
              </w:rPr>
              <w:t>招标文件澄清修改的工程量，可以允许不通过工程量清单辅助投标软件校验</w:t>
            </w:r>
            <w:r>
              <w:rPr>
                <w:rFonts w:hint="eastAsia" w:ascii="宋体" w:hAnsi="宋体" w:eastAsia="宋体" w:cs="宋体"/>
                <w:color w:val="auto"/>
                <w:sz w:val="21"/>
                <w:szCs w:val="21"/>
                <w:highlight w:val="none"/>
              </w:rPr>
              <w:t>。</w:t>
            </w:r>
          </w:p>
          <w:p>
            <w:pPr>
              <w:snapToGrid w:val="0"/>
              <w:ind w:firstLine="105" w:firstLineChars="5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（2）已标价工程量清单编制要求：</w:t>
            </w:r>
          </w:p>
          <w:p>
            <w:pPr>
              <w:snapToGrid w:val="0"/>
              <w:ind w:firstLine="210" w:firstLineChars="1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1）上传国家电网有限公司电子商务平台的已标价的工程量清单报价文件对标准格式不允许任何删减或修改。</w:t>
            </w:r>
          </w:p>
          <w:p>
            <w:pPr>
              <w:snapToGrid w:val="0"/>
              <w:ind w:firstLine="210" w:firstLineChars="1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2）不允许删除工程量清单报价文件中的“填表须知”。</w:t>
            </w:r>
          </w:p>
          <w:p>
            <w:pPr>
              <w:snapToGrid w:val="0"/>
              <w:ind w:firstLine="210" w:firstLineChars="1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3）不允许将多个工程量清单合并成一个清单进行投标，投标文件工程量清单数量需与招标文件严格一致。</w:t>
            </w:r>
          </w:p>
          <w:p>
            <w:pPr>
              <w:snapToGrid w:val="0"/>
              <w:ind w:firstLine="210" w:firstLineChars="1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4）不允许删除或更改工程量清单报价文件中的“工程信息文件（勿动）表”。</w:t>
            </w:r>
          </w:p>
          <w:p>
            <w:pPr>
              <w:snapToGrid w:val="0"/>
              <w:ind w:firstLine="210" w:firstLineChars="1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5）不允许对工程量清单电子文件进行加密或写保护。</w:t>
            </w:r>
          </w:p>
          <w:p>
            <w:pPr>
              <w:snapToGrid w:val="0"/>
              <w:ind w:firstLine="210" w:firstLineChars="1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6）对于甲供设备材料，如招标工程量清单分部分项中的工程量与招标人采购材料设备表中的数量不一致，以分部分项中的工程量为准进行报价，招标人采购材料设备表中的数量仅作参考。</w:t>
            </w:r>
          </w:p>
          <w:p>
            <w:pPr>
              <w:snapToGrid w:val="0"/>
              <w:jc w:val="left"/>
              <w:rPr>
                <w:rFonts w:hint="eastAsia" w:ascii="宋体" w:hAnsi="宋体" w:eastAsia="宋体" w:cs="宋体"/>
                <w:color w:val="auto"/>
                <w:kern w:val="2"/>
                <w:sz w:val="21"/>
                <w:szCs w:val="21"/>
                <w:highlight w:val="none"/>
                <w:lang w:val="en-US" w:eastAsia="en-US" w:bidi="ar-SA"/>
              </w:rPr>
            </w:pPr>
            <w:r>
              <w:rPr>
                <w:rFonts w:hint="eastAsia" w:ascii="宋体" w:hAnsi="宋体" w:eastAsia="宋体" w:cs="宋体"/>
                <w:color w:val="auto"/>
                <w:sz w:val="21"/>
                <w:szCs w:val="21"/>
                <w:highlight w:val="none"/>
              </w:rPr>
              <w:t>3．投标报价按照国家现行税收法律法规、部门规章、行业规范执行。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spacing w:line="312" w:lineRule="atLeast"/>
              <w:jc w:val="center"/>
              <w:textAlignment w:val="baseline"/>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新增</w:t>
            </w:r>
          </w:p>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3.2.2</w:t>
            </w:r>
          </w:p>
        </w:tc>
        <w:tc>
          <w:tcPr>
            <w:tcW w:w="1092" w:type="dxa"/>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修改投标报价要求</w:t>
            </w:r>
          </w:p>
        </w:tc>
        <w:tc>
          <w:tcPr>
            <w:tcW w:w="7035" w:type="dxa"/>
            <w:vAlign w:val="center"/>
          </w:tcPr>
          <w:p>
            <w:pPr>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修改为：</w:t>
            </w:r>
          </w:p>
          <w:p>
            <w:pPr>
              <w:snapToGrid w:val="0"/>
              <w:jc w:val="left"/>
              <w:rPr>
                <w:rFonts w:hint="eastAsia" w:ascii="宋体" w:hAnsi="宋体" w:eastAsia="宋体" w:cs="宋体"/>
                <w:color w:val="auto"/>
                <w:kern w:val="2"/>
                <w:sz w:val="21"/>
                <w:szCs w:val="21"/>
                <w:highlight w:val="none"/>
                <w:lang w:val="en-US" w:eastAsia="en-US" w:bidi="ar-SA"/>
              </w:rPr>
            </w:pPr>
            <w:r>
              <w:rPr>
                <w:rFonts w:hint="eastAsia" w:ascii="宋体" w:hAnsi="宋体" w:eastAsia="宋体" w:cs="宋体"/>
                <w:color w:val="auto"/>
                <w:sz w:val="21"/>
                <w:szCs w:val="21"/>
                <w:highlight w:val="none"/>
              </w:rPr>
              <w:t>招标人不接受投标截止时间后投标人任何形式的价格调整声明（价格下浮或上浮声明），在投标截止时间前，如投标价格有变动，投标人应在投标离线工具中重新报价并上传报价文件，保证两者价格一致。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3.2.</w:t>
            </w:r>
            <w:r>
              <w:rPr>
                <w:rFonts w:hint="eastAsia" w:ascii="宋体" w:hAnsi="宋体" w:eastAsia="宋体" w:cs="宋体"/>
                <w:color w:val="auto"/>
                <w:sz w:val="21"/>
                <w:szCs w:val="21"/>
                <w:highlight w:val="none"/>
                <w:lang w:val="en-US" w:eastAsia="zh-CN"/>
              </w:rPr>
              <w:t>3新增</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增值税税金的计算方法</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0"/>
                <w:sz w:val="21"/>
                <w:szCs w:val="21"/>
                <w:highlight w:val="none"/>
              </w:rPr>
              <w:t>投标人应按照国家规定税率填报增值税税率或征收率</w:t>
            </w:r>
            <w:r>
              <w:rPr>
                <w:rFonts w:hint="eastAsia" w:ascii="宋体" w:hAnsi="宋体" w:eastAsia="宋体" w:cs="宋体"/>
                <w:color w:val="auto"/>
                <w:kern w:val="0"/>
                <w:sz w:val="21"/>
                <w:szCs w:val="21"/>
                <w:highlight w:val="none"/>
                <w:lang w:eastAsia="zh-CN"/>
              </w:rPr>
              <w:t>。</w:t>
            </w:r>
            <w:r>
              <w:rPr>
                <w:rFonts w:hint="eastAsia" w:ascii="宋体" w:hAnsi="宋体" w:eastAsia="宋体" w:cs="宋体"/>
                <w:color w:val="auto"/>
                <w:kern w:val="0"/>
                <w:sz w:val="21"/>
                <w:szCs w:val="21"/>
                <w:highlight w:val="none"/>
              </w:rPr>
              <w:t>除另有规定外，增值税税金按一般计税方法计算。投标人应按第</w:t>
            </w:r>
            <w:r>
              <w:rPr>
                <w:rFonts w:hint="eastAsia" w:ascii="宋体" w:hAnsi="宋体" w:eastAsia="宋体" w:cs="宋体"/>
                <w:color w:val="auto"/>
                <w:kern w:val="0"/>
                <w:sz w:val="21"/>
                <w:szCs w:val="21"/>
                <w:highlight w:val="none"/>
                <w:lang w:val="en-US" w:eastAsia="zh-CN"/>
              </w:rPr>
              <w:t>八</w:t>
            </w:r>
            <w:r>
              <w:rPr>
                <w:rFonts w:hint="eastAsia" w:ascii="宋体" w:hAnsi="宋体" w:eastAsia="宋体" w:cs="宋体"/>
                <w:color w:val="auto"/>
                <w:kern w:val="0"/>
                <w:sz w:val="21"/>
                <w:szCs w:val="21"/>
                <w:highlight w:val="none"/>
              </w:rPr>
              <w:t>章“投标文件格式”的要求在投标函中进行报价并填写。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3.2.</w:t>
            </w:r>
            <w:r>
              <w:rPr>
                <w:rFonts w:hint="eastAsia" w:ascii="宋体" w:hAnsi="宋体" w:eastAsia="宋体" w:cs="宋体"/>
                <w:color w:val="auto"/>
                <w:sz w:val="21"/>
                <w:szCs w:val="21"/>
                <w:highlight w:val="none"/>
                <w:lang w:val="en-US" w:eastAsia="zh-CN"/>
              </w:rPr>
              <w:t>4新增</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en-US" w:bidi="ar-SA"/>
              </w:rPr>
            </w:pPr>
            <w:r>
              <w:rPr>
                <w:rFonts w:hint="eastAsia" w:ascii="宋体" w:hAnsi="宋体" w:eastAsia="宋体" w:cs="宋体"/>
                <w:color w:val="auto"/>
                <w:kern w:val="0"/>
                <w:sz w:val="21"/>
                <w:szCs w:val="21"/>
                <w:highlight w:val="none"/>
                <w:lang w:eastAsia="en-US"/>
              </w:rPr>
              <w:t>报价方式</w:t>
            </w:r>
          </w:p>
        </w:tc>
        <w:tc>
          <w:tcPr>
            <w:tcW w:w="7035" w:type="dxa"/>
            <w:vAlign w:val="center"/>
          </w:tcPr>
          <w:p>
            <w:pPr>
              <w:adjustRightInd w:val="0"/>
              <w:snapToGrid w:val="0"/>
              <w:spacing w:line="312" w:lineRule="atLeast"/>
              <w:jc w:val="lef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☑投标金额</w:t>
            </w:r>
          </w:p>
          <w:p>
            <w:pPr>
              <w:adjustRightInd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□折扣比例</w:t>
            </w:r>
          </w:p>
          <w:p>
            <w:pPr>
              <w:adjustRightInd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□投标金额和折扣比例</w:t>
            </w:r>
          </w:p>
          <w:p>
            <w:pPr>
              <w:adjustRightInd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□投标金额和工程本体投资估算值</w:t>
            </w:r>
          </w:p>
          <w:p>
            <w:pPr>
              <w:adjustRightInd w:val="0"/>
              <w:snapToGrid w:val="0"/>
              <w:jc w:val="left"/>
              <w:rPr>
                <w:rFonts w:hint="eastAsia" w:ascii="宋体" w:hAnsi="宋体" w:eastAsia="宋体" w:cs="宋体"/>
                <w:color w:val="auto"/>
                <w:sz w:val="21"/>
                <w:szCs w:val="21"/>
                <w:highlight w:val="none"/>
              </w:rPr>
            </w:pPr>
          </w:p>
          <w:p>
            <w:pPr>
              <w:adjustRightInd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eastAsia="宋体" w:cs="宋体"/>
                <w:b/>
                <w:color w:val="auto"/>
                <w:sz w:val="21"/>
                <w:szCs w:val="21"/>
                <w:highlight w:val="none"/>
              </w:rPr>
              <w:t>采用投标金额报价：</w:t>
            </w:r>
            <w:r>
              <w:rPr>
                <w:rFonts w:hint="eastAsia" w:ascii="宋体" w:hAnsi="宋体" w:eastAsia="宋体" w:cs="宋体"/>
                <w:color w:val="auto"/>
                <w:sz w:val="21"/>
                <w:szCs w:val="21"/>
                <w:highlight w:val="none"/>
              </w:rPr>
              <w:t>投标总价即为签约合同价。</w:t>
            </w:r>
          </w:p>
          <w:p>
            <w:pPr>
              <w:pStyle w:val="17"/>
              <w:ind w:left="0" w:leftChars="0" w:firstLine="0" w:firstLineChars="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w:t>
            </w:r>
            <w:r>
              <w:rPr>
                <w:rFonts w:hint="eastAsia" w:ascii="宋体" w:hAnsi="宋体" w:eastAsia="宋体" w:cs="宋体"/>
                <w:b/>
                <w:color w:val="auto"/>
                <w:sz w:val="21"/>
                <w:szCs w:val="21"/>
                <w:highlight w:val="none"/>
              </w:rPr>
              <w:t>采用折扣比例报价：</w:t>
            </w:r>
            <w:r>
              <w:rPr>
                <w:rFonts w:hint="eastAsia" w:ascii="宋体" w:hAnsi="宋体" w:eastAsia="宋体" w:cs="宋体"/>
                <w:color w:val="auto"/>
                <w:sz w:val="21"/>
                <w:szCs w:val="21"/>
                <w:highlight w:val="none"/>
              </w:rPr>
              <w:t>折扣比例定义为相对于报价基数的百分比。投标人报价时，应报出正的（＋）百分比。例如：下浮10%，折扣比例应填写为90%。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3.2.</w:t>
            </w:r>
            <w:r>
              <w:rPr>
                <w:rFonts w:hint="eastAsia" w:ascii="宋体" w:hAnsi="宋体" w:eastAsia="宋体" w:cs="宋体"/>
                <w:color w:val="auto"/>
                <w:sz w:val="21"/>
                <w:szCs w:val="21"/>
                <w:highlight w:val="none"/>
                <w:lang w:val="en-US" w:eastAsia="zh-CN"/>
              </w:rPr>
              <w:t>5新增</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lang w:eastAsia="zh-CN"/>
              </w:rPr>
              <w:t>最高限价</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0"/>
                <w:sz w:val="21"/>
                <w:szCs w:val="21"/>
                <w:highlight w:val="none"/>
                <w:lang w:eastAsia="zh-CN"/>
              </w:rPr>
              <w:t>详见</w:t>
            </w:r>
            <w:r>
              <w:rPr>
                <w:rFonts w:hint="eastAsia" w:ascii="宋体" w:hAnsi="宋体" w:eastAsia="宋体" w:cs="宋体"/>
                <w:b w:val="0"/>
                <w:bCs w:val="0"/>
                <w:color w:val="auto"/>
                <w:sz w:val="21"/>
                <w:szCs w:val="21"/>
                <w:highlight w:val="none"/>
                <w:lang w:val="en-US" w:eastAsia="zh-CN"/>
              </w:rPr>
              <w:t>招标公告</w:t>
            </w:r>
            <w:r>
              <w:rPr>
                <w:rFonts w:hint="eastAsia" w:ascii="宋体" w:hAnsi="宋体" w:cs="宋体"/>
                <w:b w:val="0"/>
                <w:bCs w:val="0"/>
                <w:color w:val="auto"/>
                <w:sz w:val="21"/>
                <w:szCs w:val="21"/>
                <w:highlight w:val="none"/>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3.2.</w:t>
            </w:r>
            <w:r>
              <w:rPr>
                <w:rFonts w:hint="eastAsia" w:ascii="宋体" w:hAnsi="宋体" w:cs="宋体"/>
                <w:color w:val="auto"/>
                <w:sz w:val="21"/>
                <w:szCs w:val="21"/>
                <w:highlight w:val="none"/>
                <w:lang w:val="en-US" w:eastAsia="zh-CN"/>
              </w:rPr>
              <w:t>6新增</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en-US" w:bidi="ar-SA"/>
              </w:rPr>
            </w:pPr>
            <w:r>
              <w:rPr>
                <w:rFonts w:hint="eastAsia" w:ascii="宋体" w:hAnsi="宋体" w:eastAsia="宋体" w:cs="宋体"/>
                <w:color w:val="auto"/>
                <w:kern w:val="0"/>
                <w:sz w:val="21"/>
                <w:szCs w:val="21"/>
                <w:highlight w:val="none"/>
                <w:lang w:eastAsia="en-US"/>
              </w:rPr>
              <w:t>投标报价的其他要求</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0"/>
                <w:sz w:val="21"/>
                <w:szCs w:val="21"/>
                <w:highlight w:val="none"/>
              </w:rPr>
              <w:t>投标人应充分了解该项目的总体情况以及影响投标报价的其他要素。招标人不接受投标人</w:t>
            </w:r>
            <w:r>
              <w:rPr>
                <w:rFonts w:hint="eastAsia" w:ascii="宋体" w:hAnsi="宋体" w:eastAsia="宋体" w:cs="宋体"/>
                <w:color w:val="auto"/>
                <w:sz w:val="21"/>
                <w:szCs w:val="21"/>
                <w:highlight w:val="none"/>
              </w:rPr>
              <w:t>任何形式的价格调整声明，</w:t>
            </w:r>
            <w:r>
              <w:rPr>
                <w:rFonts w:hint="eastAsia" w:ascii="宋体" w:hAnsi="宋体" w:eastAsia="宋体" w:cs="宋体"/>
                <w:color w:val="auto"/>
                <w:kern w:val="0"/>
                <w:sz w:val="21"/>
                <w:szCs w:val="21"/>
                <w:highlight w:val="none"/>
              </w:rPr>
              <w:t>在投标截止时间前，如投标价格有变动</w:t>
            </w: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rPr>
              <w:t>投标人应在投标截止时间前登录招标人招投标交易平台信息系统将原有投标价格删除重新填报新的价格。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553"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3.3.1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en-US" w:bidi="ar-SA"/>
              </w:rPr>
            </w:pPr>
            <w:r>
              <w:rPr>
                <w:rFonts w:hint="eastAsia" w:ascii="宋体" w:hAnsi="宋体" w:eastAsia="宋体" w:cs="宋体"/>
                <w:color w:val="auto"/>
                <w:kern w:val="0"/>
                <w:sz w:val="21"/>
                <w:szCs w:val="21"/>
                <w:highlight w:val="none"/>
                <w:lang w:eastAsia="en-US"/>
              </w:rPr>
              <w:t>投标有效期</w:t>
            </w:r>
          </w:p>
        </w:tc>
        <w:tc>
          <w:tcPr>
            <w:tcW w:w="7035" w:type="dxa"/>
            <w:vAlign w:val="center"/>
          </w:tcPr>
          <w:p>
            <w:pPr>
              <w:autoSpaceDE w:val="0"/>
              <w:autoSpaceDN w:val="0"/>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自投标截止日起</w:t>
            </w:r>
            <w:r>
              <w:rPr>
                <w:rFonts w:hint="eastAsia" w:ascii="宋体" w:hAnsi="宋体" w:eastAsia="宋体" w:cs="宋体"/>
                <w:b/>
                <w:bCs/>
                <w:color w:val="auto"/>
                <w:sz w:val="21"/>
                <w:szCs w:val="21"/>
                <w:highlight w:val="none"/>
                <w:u w:val="single"/>
                <w:lang w:val="en-US" w:eastAsia="zh-CN"/>
              </w:rPr>
              <w:t>90</w:t>
            </w:r>
            <w:r>
              <w:rPr>
                <w:rFonts w:hint="eastAsia" w:ascii="宋体" w:hAnsi="宋体" w:eastAsia="宋体" w:cs="宋体"/>
                <w:color w:val="auto"/>
                <w:sz w:val="21"/>
                <w:szCs w:val="21"/>
                <w:highlight w:val="none"/>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37"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3.4.1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投标保证金</w:t>
            </w:r>
          </w:p>
        </w:tc>
        <w:tc>
          <w:tcPr>
            <w:tcW w:w="7035" w:type="dxa"/>
            <w:vAlign w:val="center"/>
          </w:tcPr>
          <w:p>
            <w:pPr>
              <w:pStyle w:val="28"/>
              <w:spacing w:before="120" w:beforeLines="50" w:after="120" w:afterLines="50"/>
              <w:rPr>
                <w:rFonts w:hint="eastAsia" w:ascii="宋体" w:hAnsi="宋体" w:eastAsia="宋体" w:cs="宋体"/>
                <w:color w:val="auto"/>
                <w:sz w:val="21"/>
                <w:szCs w:val="21"/>
                <w:highlight w:val="none"/>
                <w:lang w:val="en-US"/>
              </w:rPr>
            </w:pPr>
            <w:r>
              <w:rPr>
                <w:rFonts w:hint="eastAsia" w:cs="宋体"/>
                <w:color w:val="auto"/>
                <w:sz w:val="21"/>
                <w:szCs w:val="21"/>
                <w:highlight w:val="none"/>
                <w:lang w:eastAsia="zh-CN"/>
              </w:rPr>
              <w:t>□</w:t>
            </w:r>
            <w:r>
              <w:rPr>
                <w:rFonts w:hint="eastAsia" w:ascii="宋体" w:hAnsi="宋体" w:eastAsia="宋体" w:cs="宋体"/>
                <w:color w:val="auto"/>
                <w:kern w:val="2"/>
                <w:sz w:val="21"/>
                <w:szCs w:val="21"/>
                <w:highlight w:val="none"/>
                <w:lang w:val="en-US" w:eastAsia="zh-CN"/>
              </w:rPr>
              <w:t>本项目免收投标保证金，招标文件中保证金的相关要求均不适用。</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cs="宋体"/>
                <w:color w:val="auto"/>
                <w:sz w:val="21"/>
                <w:szCs w:val="21"/>
                <w:highlight w:val="none"/>
                <w:lang w:eastAsia="zh-CN"/>
              </w:rPr>
              <w:t>☑</w:t>
            </w:r>
            <w:r>
              <w:rPr>
                <w:rFonts w:hint="eastAsia" w:ascii="宋体" w:hAnsi="宋体" w:eastAsia="宋体" w:cs="宋体"/>
                <w:color w:val="auto"/>
                <w:sz w:val="21"/>
                <w:szCs w:val="21"/>
                <w:highlight w:val="none"/>
              </w:rPr>
              <w:t>本次招标要求投标人递交投标保证金，</w:t>
            </w:r>
            <w:r>
              <w:rPr>
                <w:rFonts w:hint="eastAsia" w:ascii="宋体" w:hAnsi="宋体" w:eastAsia="宋体" w:cs="宋体"/>
                <w:color w:val="auto"/>
                <w:kern w:val="0"/>
                <w:sz w:val="21"/>
                <w:szCs w:val="21"/>
                <w:highlight w:val="none"/>
                <w:lang w:val="zh-CN"/>
              </w:rPr>
              <w:t>投标保证金金额详见投标人须知前附表之附表一。</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按以下方式递交投标保证金</w:t>
            </w:r>
            <w:r>
              <w:rPr>
                <w:rFonts w:hint="eastAsia" w:ascii="宋体" w:hAnsi="宋体" w:eastAsia="宋体" w:cs="宋体"/>
                <w:color w:val="auto"/>
                <w:sz w:val="21"/>
                <w:szCs w:val="21"/>
                <w:highlight w:val="none"/>
              </w:rPr>
              <w:t>，具体要求如下：</w:t>
            </w:r>
          </w:p>
          <w:p>
            <w:pPr>
              <w:pStyle w:val="30"/>
              <w:numPr>
                <w:ilvl w:val="0"/>
                <w:numId w:val="0"/>
              </w:numPr>
              <w:rPr>
                <w:rFonts w:hint="eastAsia" w:ascii="宋体" w:hAnsi="宋体" w:eastAsia="宋体" w:cs="宋体"/>
                <w:b/>
                <w:color w:val="auto"/>
                <w:sz w:val="21"/>
                <w:szCs w:val="21"/>
                <w:highlight w:val="none"/>
              </w:rPr>
            </w:pPr>
            <w:r>
              <w:rPr>
                <w:rFonts w:hint="eastAsia" w:ascii="宋体" w:hAnsi="宋体" w:eastAsia="宋体" w:cs="宋体"/>
                <w:b/>
                <w:bCs/>
                <w:color w:val="auto"/>
                <w:kern w:val="0"/>
                <w:sz w:val="21"/>
                <w:szCs w:val="21"/>
                <w:highlight w:val="none"/>
              </w:rPr>
              <w:t>投标人需登录BOSP2.0系统（https://bosp.sgm.sgcc.com.cn 国网物资业务运营服务平台），完成保证金支付、保证金明细的选定，并按招标文件要求上传相应材料至国家电网有限公司</w:t>
            </w:r>
            <w:r>
              <w:rPr>
                <w:rFonts w:hint="eastAsia" w:ascii="宋体" w:hAnsi="宋体" w:eastAsia="宋体" w:cs="宋体"/>
                <w:b/>
                <w:bCs/>
                <w:color w:val="auto"/>
                <w:kern w:val="0"/>
                <w:sz w:val="21"/>
                <w:szCs w:val="21"/>
                <w:highlight w:val="none"/>
                <w:lang w:eastAsia="zh-CN"/>
              </w:rPr>
              <w:t>电子商务平台</w:t>
            </w:r>
            <w:r>
              <w:rPr>
                <w:rFonts w:hint="eastAsia" w:ascii="宋体" w:hAnsi="宋体" w:eastAsia="宋体" w:cs="宋体"/>
                <w:b/>
                <w:bCs/>
                <w:color w:val="auto"/>
                <w:kern w:val="0"/>
                <w:sz w:val="21"/>
                <w:szCs w:val="21"/>
                <w:highlight w:val="none"/>
              </w:rPr>
              <w:t>。</w:t>
            </w:r>
          </w:p>
          <w:p>
            <w:pPr>
              <w:pStyle w:val="30"/>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1.不限制投标保证金开具形式，可以银行汇款、银行保函（抬头：国网物资有限公司）、投标保证保险（被保险人：国网物资有限公司）、年度投标保证金（含年度投标保证保险）或现金等方式开具。</w:t>
            </w:r>
          </w:p>
          <w:p>
            <w:pPr>
              <w:pStyle w:val="30"/>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以电汇、银行保函、投标保证保险方式提交保证金的，同时随附投标保证金明细表。对于未提供保证金明细表或提供的明细表内容不全的、所提供的明细表内容表达模糊不清的，招标人将按照招标编号、分标编号、包号顺序核定。</w:t>
            </w:r>
          </w:p>
          <w:p>
            <w:pPr>
              <w:pStyle w:val="30"/>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2.对于没有年度投标保证金证明的投标人，必须按投标人提交保证金。</w:t>
            </w:r>
          </w:p>
          <w:p>
            <w:pPr>
              <w:pStyle w:val="30"/>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对于以</w:t>
            </w:r>
            <w:r>
              <w:rPr>
                <w:rFonts w:hint="eastAsia" w:ascii="宋体" w:hAnsi="宋体" w:eastAsia="宋体" w:cs="宋体"/>
                <w:b/>
                <w:color w:val="auto"/>
                <w:sz w:val="21"/>
                <w:szCs w:val="21"/>
                <w:highlight w:val="none"/>
              </w:rPr>
              <w:t>电汇方式</w:t>
            </w:r>
            <w:r>
              <w:rPr>
                <w:rFonts w:hint="eastAsia" w:ascii="宋体" w:hAnsi="宋体" w:eastAsia="宋体" w:cs="宋体"/>
                <w:color w:val="auto"/>
                <w:sz w:val="21"/>
                <w:szCs w:val="21"/>
                <w:highlight w:val="none"/>
              </w:rPr>
              <w:t>提交投标保证金的投标人，应从投标人基本账户转出，投标文件应附企业基本账户开户许可证扫描件或由投标人基本账户开户银行通过账户管理系统打印的《基本存款账户信息》扫描件、银行回单电子版扫描件、投标保证金明细表（按照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章《投标保证金明细表（格式）》）（word版）编入商务投标文件，上传至电子商务平台。</w:t>
            </w:r>
          </w:p>
          <w:p>
            <w:pPr>
              <w:pStyle w:val="30"/>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对于以</w:t>
            </w:r>
            <w:r>
              <w:rPr>
                <w:rFonts w:hint="eastAsia" w:ascii="宋体" w:hAnsi="宋体" w:eastAsia="宋体" w:cs="宋体"/>
                <w:b/>
                <w:bCs/>
                <w:color w:val="auto"/>
                <w:sz w:val="21"/>
                <w:szCs w:val="21"/>
                <w:highlight w:val="none"/>
              </w:rPr>
              <w:t>银行保函</w:t>
            </w:r>
            <w:r>
              <w:rPr>
                <w:rFonts w:hint="eastAsia" w:ascii="宋体" w:hAnsi="宋体" w:eastAsia="宋体" w:cs="宋体"/>
                <w:color w:val="auto"/>
                <w:sz w:val="21"/>
                <w:szCs w:val="21"/>
                <w:highlight w:val="none"/>
              </w:rPr>
              <w:t>形式提交的投标保证金的投标人，银行保函应由信誉良好的具备开具保函资格的商业银行开出。投标保证金的有效期应与投标有效期一致。投标时提交保函扫描件、投标保证金明细表（word版）编入商务投标文件，上传至电子商务平台。</w:t>
            </w:r>
          </w:p>
          <w:p>
            <w:pPr>
              <w:pStyle w:val="30"/>
              <w:numPr>
                <w:ilvl w:val="0"/>
                <w:numId w:val="0"/>
              </w:numP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zh-CN"/>
              </w:rPr>
              <w:t>根据《国务院关于印发扎实稳住经济一揽子政策措施的通知》（国发[2022]12号），在招投标领域全面推行保函（保险）替代现金缴纳投标保证金的要求，鼓励投标人以投标保证保险形式提交的投标保证金。对于</w:t>
            </w:r>
            <w:r>
              <w:rPr>
                <w:rFonts w:hint="eastAsia" w:ascii="宋体" w:hAnsi="宋体" w:eastAsia="宋体" w:cs="宋体"/>
                <w:color w:val="auto"/>
                <w:kern w:val="0"/>
                <w:sz w:val="21"/>
                <w:szCs w:val="21"/>
                <w:highlight w:val="none"/>
              </w:rPr>
              <w:t>以</w:t>
            </w:r>
            <w:r>
              <w:rPr>
                <w:rFonts w:hint="eastAsia" w:ascii="宋体" w:hAnsi="宋体" w:eastAsia="宋体" w:cs="宋体"/>
                <w:b/>
                <w:bCs/>
                <w:color w:val="auto"/>
                <w:kern w:val="0"/>
                <w:sz w:val="21"/>
                <w:szCs w:val="21"/>
                <w:highlight w:val="none"/>
              </w:rPr>
              <w:t>投标保证保险</w:t>
            </w:r>
            <w:r>
              <w:rPr>
                <w:rFonts w:hint="eastAsia" w:ascii="宋体" w:hAnsi="宋体" w:eastAsia="宋体" w:cs="宋体"/>
                <w:color w:val="auto"/>
                <w:kern w:val="0"/>
                <w:sz w:val="21"/>
                <w:szCs w:val="21"/>
                <w:highlight w:val="none"/>
              </w:rPr>
              <w:t>形式提交的投标保证金，保险责任需满足招标人的要求，投标保证保险保单作为有效的投标文件依据，应由具备相应保险资质、信誉良好、且支持保单查询的保险公司开具，保单保费应从投标人基本账户转出，提交的保单上应体现保费是否由投标人基本账户支付的相关信息。投标保证保险的保险期限应与投标有效期一致。保险责任及相关要求见第</w:t>
            </w:r>
            <w:r>
              <w:rPr>
                <w:rFonts w:hint="eastAsia" w:ascii="宋体" w:hAnsi="宋体" w:eastAsia="宋体" w:cs="宋体"/>
                <w:color w:val="auto"/>
                <w:kern w:val="0"/>
                <w:sz w:val="21"/>
                <w:szCs w:val="21"/>
                <w:highlight w:val="none"/>
                <w:lang w:val="en-US" w:eastAsia="zh-CN"/>
              </w:rPr>
              <w:t>八</w:t>
            </w:r>
            <w:r>
              <w:rPr>
                <w:rFonts w:hint="eastAsia" w:ascii="宋体" w:hAnsi="宋体" w:eastAsia="宋体" w:cs="宋体"/>
                <w:color w:val="auto"/>
                <w:kern w:val="0"/>
                <w:sz w:val="21"/>
                <w:szCs w:val="21"/>
                <w:highlight w:val="none"/>
              </w:rPr>
              <w:t>章投标文件格式。以投标保证保险形式提交投标保证金的投标人，须将保证金明细表上传至电子商务平台，并将清晰标注了线上或电话查询保单真伪性路径的纸制保单扫描件（电子保单）PDF格式文件按照“投标保证保险-XXX公司（全称）”命名后上传至供应商投标工具中商务文件的“商务部分（附加）”端口。保单保费未从投标人基本帐户转出、保单未体现保费是否由投标人基本账户支付的相关信息、未提供保单查询途径或提供的查询途径招标人无法查询的，视为提交的投标保证金无效。</w:t>
            </w:r>
          </w:p>
          <w:p>
            <w:pPr>
              <w:pStyle w:val="30"/>
              <w:numPr>
                <w:ilvl w:val="0"/>
                <w:numId w:val="0"/>
              </w:numPr>
              <w:ind w:firstLine="360"/>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推荐投标人使用银行保函、投标保证保险。</w:t>
            </w:r>
          </w:p>
          <w:p>
            <w:pPr>
              <w:pStyle w:val="30"/>
              <w:numPr>
                <w:ilvl w:val="0"/>
                <w:numId w:val="0"/>
              </w:numPr>
              <w:autoSpaceDE/>
              <w:autoSpaceDN/>
              <w:adjustRightInd w:val="0"/>
              <w:snapToGrid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3.对于已提交年度投标保证金</w:t>
            </w:r>
            <w:r>
              <w:rPr>
                <w:rFonts w:hint="eastAsia" w:ascii="宋体" w:hAnsi="宋体" w:eastAsia="宋体" w:cs="宋体"/>
                <w:color w:val="auto"/>
                <w:sz w:val="21"/>
                <w:szCs w:val="21"/>
                <w:highlight w:val="none"/>
                <w:lang w:val="en-US" w:eastAsia="zh-CN"/>
              </w:rPr>
              <w:t>（含年度投标保证保险）</w:t>
            </w:r>
            <w:r>
              <w:rPr>
                <w:rFonts w:hint="eastAsia" w:ascii="宋体" w:hAnsi="宋体" w:eastAsia="宋体" w:cs="宋体"/>
                <w:color w:val="auto"/>
                <w:sz w:val="21"/>
                <w:szCs w:val="21"/>
                <w:highlight w:val="none"/>
              </w:rPr>
              <w:t>的投标人，仅须提交加盖公章的有效年度投标保证金</w:t>
            </w:r>
            <w:r>
              <w:rPr>
                <w:rFonts w:hint="eastAsia" w:ascii="宋体" w:hAnsi="宋体" w:eastAsia="宋体" w:cs="宋体"/>
                <w:color w:val="auto"/>
                <w:sz w:val="21"/>
                <w:szCs w:val="21"/>
                <w:highlight w:val="none"/>
                <w:lang w:val="en-US" w:eastAsia="zh-CN"/>
              </w:rPr>
              <w:t>（含年度投标保证保险）</w:t>
            </w:r>
            <w:r>
              <w:rPr>
                <w:rFonts w:hint="eastAsia" w:ascii="宋体" w:hAnsi="宋体" w:eastAsia="宋体" w:cs="宋体"/>
                <w:color w:val="auto"/>
                <w:sz w:val="21"/>
                <w:szCs w:val="21"/>
                <w:highlight w:val="none"/>
              </w:rPr>
              <w:t>的财务证明扫描件，编入商务投标文件，上传至电子商务平台。发生3.4.4投标保证金不予退还情形时，投标保证金将从年度投标保证金中直接扣减。年度投标保证金被扣减后，投标人应在参加下一次投标前主动补足其年度投标保证金不足部分，否则因年度投标保证金不足而引起的风险由投标人自行承担。</w:t>
            </w:r>
          </w:p>
          <w:p>
            <w:pPr>
              <w:pStyle w:val="30"/>
              <w:numPr>
                <w:ilvl w:val="0"/>
                <w:numId w:val="0"/>
              </w:numPr>
              <w:autoSpaceDE/>
              <w:autoSpaceDN/>
              <w:adjustRightInd w:val="0"/>
              <w:snapToGrid w:val="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对于以年度投标保证保险形式提交的投标保证金，保单保费应从投标人基本账户转出，保单上应体现保费是否由投标人基本账户支付的相关信息，投标人应按照</w:t>
            </w:r>
            <w:r>
              <w:rPr>
                <w:rFonts w:hint="eastAsia" w:ascii="宋体" w:hAnsi="宋体" w:eastAsia="宋体" w:cs="宋体"/>
                <w:color w:val="auto"/>
                <w:kern w:val="0"/>
                <w:sz w:val="21"/>
                <w:szCs w:val="21"/>
                <w:highlight w:val="none"/>
              </w:rPr>
              <w:t>第</w:t>
            </w:r>
            <w:r>
              <w:rPr>
                <w:rFonts w:hint="eastAsia" w:ascii="宋体" w:hAnsi="宋体" w:eastAsia="宋体" w:cs="宋体"/>
                <w:color w:val="auto"/>
                <w:kern w:val="0"/>
                <w:sz w:val="21"/>
                <w:szCs w:val="21"/>
                <w:highlight w:val="none"/>
                <w:lang w:val="en-US" w:eastAsia="zh-CN"/>
              </w:rPr>
              <w:t>八</w:t>
            </w:r>
            <w:r>
              <w:rPr>
                <w:rFonts w:hint="eastAsia" w:ascii="宋体" w:hAnsi="宋体" w:eastAsia="宋体" w:cs="宋体"/>
                <w:color w:val="auto"/>
                <w:kern w:val="0"/>
                <w:sz w:val="21"/>
                <w:szCs w:val="21"/>
                <w:highlight w:val="none"/>
              </w:rPr>
              <w:t>章投标文件格式</w:t>
            </w:r>
            <w:r>
              <w:rPr>
                <w:rFonts w:hint="eastAsia" w:ascii="宋体" w:hAnsi="宋体" w:eastAsia="宋体" w:cs="宋体"/>
                <w:color w:val="auto"/>
                <w:sz w:val="21"/>
                <w:szCs w:val="21"/>
                <w:highlight w:val="none"/>
                <w:lang w:val="en-US" w:eastAsia="zh-CN"/>
              </w:rPr>
              <w:t>要求递交年度投标保证保险保单，未提交年度投标保证保险保单、保单保费未从投标人基本帐户转出、保单未体现保费是否由投标人基本账户支付的相关信息，视为提交的投标保证金无效。</w:t>
            </w:r>
          </w:p>
          <w:p>
            <w:pPr>
              <w:pStyle w:val="30"/>
              <w:numPr>
                <w:ilvl w:val="0"/>
                <w:numId w:val="0"/>
              </w:numPr>
              <w:autoSpaceDE/>
              <w:autoSpaceDN/>
              <w:adjustRightInd w:val="0"/>
              <w:snapToGrid w:val="0"/>
              <w:ind w:firstLine="360"/>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4.</w:t>
            </w:r>
            <w:r>
              <w:rPr>
                <w:rFonts w:hint="eastAsia" w:ascii="宋体" w:hAnsi="宋体" w:eastAsia="宋体" w:cs="宋体"/>
                <w:b/>
                <w:bCs/>
                <w:color w:val="auto"/>
                <w:sz w:val="21"/>
                <w:szCs w:val="21"/>
                <w:highlight w:val="none"/>
                <w:lang w:eastAsia="zh-CN"/>
              </w:rPr>
              <w:t>投标保证金的金额：</w:t>
            </w:r>
            <w:r>
              <w:rPr>
                <w:rFonts w:hint="eastAsia" w:ascii="宋体" w:hAnsi="宋体" w:eastAsia="宋体" w:cs="宋体"/>
                <w:color w:val="auto"/>
                <w:kern w:val="2"/>
                <w:sz w:val="21"/>
                <w:szCs w:val="21"/>
                <w:highlight w:val="none"/>
                <w:lang w:val="en-US" w:eastAsia="zh-CN" w:bidi="ar-SA"/>
              </w:rPr>
              <w:t>投标人每个</w:t>
            </w:r>
            <w:r>
              <w:rPr>
                <w:rFonts w:hint="eastAsia" w:ascii="宋体" w:hAnsi="宋体" w:eastAsia="宋体" w:cs="宋体"/>
                <w:b/>
                <w:bCs/>
                <w:color w:val="auto"/>
                <w:kern w:val="2"/>
                <w:sz w:val="21"/>
                <w:szCs w:val="21"/>
                <w:highlight w:val="none"/>
                <w:lang w:val="en-US" w:eastAsia="zh-CN" w:bidi="ar-SA"/>
              </w:rPr>
              <w:t>分标</w:t>
            </w:r>
            <w:r>
              <w:rPr>
                <w:rFonts w:hint="eastAsia" w:ascii="宋体" w:hAnsi="宋体" w:eastAsia="宋体" w:cs="宋体"/>
                <w:color w:val="auto"/>
                <w:kern w:val="2"/>
                <w:sz w:val="21"/>
                <w:szCs w:val="21"/>
                <w:highlight w:val="none"/>
                <w:lang w:val="en-US" w:eastAsia="zh-CN" w:bidi="ar-SA"/>
              </w:rPr>
              <w:t>仅需交纳一份</w:t>
            </w:r>
            <w:r>
              <w:rPr>
                <w:rFonts w:hint="eastAsia" w:ascii="宋体" w:hAnsi="宋体" w:eastAsia="宋体" w:cs="宋体"/>
                <w:color w:val="auto"/>
                <w:sz w:val="21"/>
                <w:szCs w:val="21"/>
                <w:highlight w:val="none"/>
                <w:lang w:val="en-US" w:eastAsia="zh-CN"/>
              </w:rPr>
              <w:t>投标保证金，投标保证金金额为分标下投标人</w:t>
            </w:r>
            <w:r>
              <w:rPr>
                <w:rFonts w:hint="eastAsia" w:ascii="宋体" w:hAnsi="宋体" w:eastAsia="宋体" w:cs="宋体"/>
                <w:b/>
                <w:bCs/>
                <w:color w:val="auto"/>
                <w:sz w:val="21"/>
                <w:szCs w:val="21"/>
                <w:highlight w:val="none"/>
                <w:lang w:val="en-US" w:eastAsia="zh-CN"/>
              </w:rPr>
              <w:t>所投包的最大应交保证金金额</w:t>
            </w:r>
            <w:r>
              <w:rPr>
                <w:rFonts w:hint="eastAsia" w:ascii="宋体" w:hAnsi="宋体" w:eastAsia="宋体" w:cs="宋体"/>
                <w:color w:val="auto"/>
                <w:sz w:val="21"/>
                <w:szCs w:val="21"/>
                <w:highlight w:val="none"/>
                <w:lang w:val="en-US" w:eastAsia="zh-CN"/>
              </w:rPr>
              <w:t>。各包相应的投标保证金应交金额详见“应提交保证金一览表”。（各包保证金金额无需根据投标报价另行计算）。</w:t>
            </w:r>
          </w:p>
          <w:p>
            <w:pPr>
              <w:pStyle w:val="30"/>
              <w:numPr>
                <w:ilvl w:val="0"/>
                <w:numId w:val="0"/>
              </w:numPr>
              <w:ind w:firstLine="360"/>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当投标人投标多个分标，合并交纳一笔投标保证金时，若实交金额与应交金额不一致时，评标委员会将按照招标公告中分标先后顺序核定所投各分标实交投标保证金金额。当分标实交投标保证金金额不足时，</w:t>
            </w:r>
            <w:r>
              <w:rPr>
                <w:rFonts w:hint="eastAsia" w:ascii="宋体" w:hAnsi="宋体" w:eastAsia="宋体" w:cs="宋体"/>
                <w:b/>
                <w:bCs/>
                <w:color w:val="auto"/>
                <w:sz w:val="21"/>
                <w:szCs w:val="21"/>
                <w:highlight w:val="none"/>
              </w:rPr>
              <w:t>评标委员会</w:t>
            </w:r>
            <w:r>
              <w:rPr>
                <w:rFonts w:hint="eastAsia" w:ascii="宋体" w:hAnsi="宋体" w:eastAsia="宋体" w:cs="宋体"/>
                <w:b/>
                <w:bCs/>
                <w:color w:val="auto"/>
                <w:sz w:val="21"/>
                <w:szCs w:val="21"/>
                <w:highlight w:val="none"/>
                <w:lang w:val="en-US" w:eastAsia="zh-CN"/>
              </w:rPr>
              <w:t>将否决应交投标保证金金额超出实交投标保证金金额的标包。</w:t>
            </w:r>
            <w:r>
              <w:rPr>
                <w:rFonts w:hint="eastAsia" w:ascii="宋体" w:hAnsi="宋体" w:eastAsia="宋体" w:cs="宋体"/>
                <w:color w:val="auto"/>
                <w:sz w:val="21"/>
                <w:szCs w:val="21"/>
                <w:highlight w:val="none"/>
                <w:lang w:val="en-US" w:eastAsia="zh-CN"/>
              </w:rPr>
              <w:t>举例说明如下：</w:t>
            </w:r>
          </w:p>
          <w:p>
            <w:pPr>
              <w:pStyle w:val="30"/>
              <w:numPr>
                <w:ilvl w:val="0"/>
                <w:numId w:val="0"/>
              </w:numPr>
              <w:ind w:firstLine="36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drawing>
                <wp:inline distT="0" distB="0" distL="114300" distR="114300">
                  <wp:extent cx="3183890" cy="10674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3183890" cy="1067435"/>
                          </a:xfrm>
                          <a:prstGeom prst="rect">
                            <a:avLst/>
                          </a:prstGeom>
                          <a:noFill/>
                          <a:ln>
                            <a:noFill/>
                          </a:ln>
                        </pic:spPr>
                      </pic:pic>
                    </a:graphicData>
                  </a:graphic>
                </wp:inline>
              </w:drawing>
            </w:r>
          </w:p>
          <w:p>
            <w:pPr>
              <w:pStyle w:val="30"/>
              <w:numPr>
                <w:ilvl w:val="0"/>
                <w:numId w:val="0"/>
              </w:numPr>
              <w:autoSpaceDE/>
              <w:autoSpaceDN/>
              <w:adjustRightInd w:val="0"/>
              <w:snapToGrid w:val="0"/>
              <w:ind w:firstLine="420" w:firstLineChars="200"/>
              <w:rPr>
                <w:rFonts w:hint="eastAsia" w:ascii="宋体" w:hAnsi="宋体" w:eastAsia="宋体" w:cs="宋体"/>
                <w:color w:val="auto"/>
                <w:kern w:val="0"/>
                <w:sz w:val="21"/>
                <w:szCs w:val="21"/>
                <w:highlight w:val="none"/>
                <w:lang w:eastAsia="zh-CN"/>
              </w:rPr>
            </w:pPr>
            <w:r>
              <w:rPr>
                <w:rFonts w:hint="eastAsia" w:ascii="宋体" w:hAnsi="宋体" w:eastAsia="宋体" w:cs="宋体"/>
                <w:color w:val="auto"/>
                <w:kern w:val="0"/>
                <w:sz w:val="21"/>
                <w:szCs w:val="21"/>
                <w:highlight w:val="none"/>
                <w:lang w:val="en-US" w:eastAsia="zh-CN"/>
              </w:rPr>
              <w:t>5</w:t>
            </w:r>
            <w:r>
              <w:rPr>
                <w:rFonts w:hint="eastAsia" w:ascii="宋体" w:hAnsi="宋体" w:eastAsia="宋体" w:cs="宋体"/>
                <w:color w:val="auto"/>
                <w:kern w:val="0"/>
                <w:sz w:val="21"/>
                <w:szCs w:val="21"/>
                <w:highlight w:val="none"/>
                <w:lang w:eastAsia="zh-CN"/>
              </w:rPr>
              <w:t>.保证金提交操作方式</w:t>
            </w:r>
          </w:p>
          <w:p>
            <w:pPr>
              <w:pStyle w:val="30"/>
              <w:numPr>
                <w:ilvl w:val="0"/>
                <w:numId w:val="0"/>
              </w:numPr>
              <w:adjustRightInd w:val="0"/>
              <w:snapToGrid w:val="0"/>
              <w:ind w:firstLine="36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lang w:eastAsia="zh-CN"/>
              </w:rPr>
              <w:t>银行汇款保证金专用账户操作：</w:t>
            </w:r>
          </w:p>
          <w:p>
            <w:pPr>
              <w:pStyle w:val="30"/>
              <w:numPr>
                <w:ilvl w:val="0"/>
                <w:numId w:val="0"/>
              </w:numPr>
              <w:adjustRightInd w:val="0"/>
              <w:snapToGrid w:val="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投标人需登录BOSP2.0系统（</w:t>
            </w:r>
            <w:r>
              <w:rPr>
                <w:rFonts w:hint="eastAsia" w:ascii="宋体" w:hAnsi="宋体" w:eastAsia="宋体" w:cs="宋体"/>
                <w:color w:val="auto"/>
                <w:sz w:val="21"/>
                <w:szCs w:val="21"/>
                <w:highlight w:val="none"/>
              </w:rPr>
              <w:fldChar w:fldCharType="begin"/>
            </w:r>
            <w:r>
              <w:rPr>
                <w:rFonts w:hint="eastAsia" w:ascii="宋体" w:hAnsi="宋体" w:eastAsia="宋体" w:cs="宋体"/>
                <w:color w:val="auto"/>
                <w:sz w:val="21"/>
                <w:szCs w:val="21"/>
                <w:highlight w:val="none"/>
              </w:rPr>
              <w:instrText xml:space="preserve"> HYPERLINK "https://bosp.sgm.sgcc.com.cn/" </w:instrText>
            </w:r>
            <w:r>
              <w:rPr>
                <w:rFonts w:hint="eastAsia" w:ascii="宋体" w:hAnsi="宋体" w:eastAsia="宋体" w:cs="宋体"/>
                <w:color w:val="auto"/>
                <w:sz w:val="21"/>
                <w:szCs w:val="21"/>
                <w:highlight w:val="none"/>
              </w:rPr>
              <w:fldChar w:fldCharType="separate"/>
            </w:r>
            <w:r>
              <w:rPr>
                <w:rStyle w:val="23"/>
                <w:rFonts w:hint="eastAsia" w:ascii="宋体" w:hAnsi="宋体" w:eastAsia="宋体" w:cs="宋体"/>
                <w:color w:val="auto"/>
                <w:sz w:val="21"/>
                <w:szCs w:val="21"/>
                <w:highlight w:val="none"/>
                <w:lang w:eastAsia="zh-CN"/>
              </w:rPr>
              <w:t>https://bosp.sgm.sgcc.com.cn</w:t>
            </w:r>
            <w:r>
              <w:rPr>
                <w:rFonts w:hint="eastAsia" w:ascii="宋体" w:hAnsi="宋体" w:eastAsia="宋体" w:cs="宋体"/>
                <w:color w:val="auto"/>
                <w:sz w:val="21"/>
                <w:szCs w:val="21"/>
                <w:highlight w:val="none"/>
                <w:lang w:eastAsia="zh-CN"/>
              </w:rPr>
              <w:fldChar w:fldCharType="end"/>
            </w:r>
            <w:r>
              <w:rPr>
                <w:rFonts w:hint="eastAsia" w:ascii="宋体" w:hAnsi="宋体" w:eastAsia="宋体" w:cs="宋体"/>
                <w:color w:val="auto"/>
                <w:sz w:val="21"/>
                <w:szCs w:val="21"/>
                <w:highlight w:val="none"/>
                <w:lang w:eastAsia="zh-CN"/>
              </w:rPr>
              <w:t xml:space="preserve"> 国网物资业务运营服务平台），生成《银行汇款说明》。在系统首页中依次点击单批次保证金-选择项目-保证金支付（银行汇款）-保证金明细</w:t>
            </w:r>
            <w:r>
              <w:rPr>
                <w:rFonts w:hint="eastAsia" w:ascii="宋体" w:hAnsi="宋体" w:eastAsia="宋体" w:cs="宋体"/>
                <w:b/>
                <w:bCs/>
                <w:color w:val="auto"/>
                <w:sz w:val="21"/>
                <w:szCs w:val="21"/>
                <w:highlight w:val="none"/>
              </w:rPr>
              <w:t>（选择分标及所投应</w:t>
            </w:r>
            <w:r>
              <w:rPr>
                <w:rFonts w:hint="eastAsia" w:ascii="宋体" w:hAnsi="宋体" w:eastAsia="宋体" w:cs="宋体"/>
                <w:b/>
                <w:bCs/>
                <w:color w:val="auto"/>
                <w:sz w:val="21"/>
                <w:szCs w:val="21"/>
                <w:highlight w:val="none"/>
                <w:lang w:eastAsia="zh-CN"/>
              </w:rPr>
              <w:t>交</w:t>
            </w:r>
            <w:r>
              <w:rPr>
                <w:rFonts w:hint="eastAsia" w:ascii="宋体" w:hAnsi="宋体" w:eastAsia="宋体" w:cs="宋体"/>
                <w:b/>
                <w:bCs/>
                <w:color w:val="auto"/>
                <w:sz w:val="21"/>
                <w:szCs w:val="21"/>
                <w:highlight w:val="none"/>
              </w:rPr>
              <w:t>保证金金额最大包</w:t>
            </w:r>
            <w:r>
              <w:rPr>
                <w:rFonts w:hint="eastAsia" w:ascii="宋体" w:hAnsi="宋体" w:eastAsia="宋体" w:cs="宋体"/>
                <w:b/>
                <w:bCs/>
                <w:color w:val="auto"/>
                <w:sz w:val="21"/>
                <w:szCs w:val="21"/>
                <w:highlight w:val="none"/>
                <w:lang w:eastAsia="zh-CN"/>
              </w:rPr>
              <w:t>，如金额最大包有多个，则选择其中</w:t>
            </w:r>
            <w:r>
              <w:rPr>
                <w:rFonts w:hint="eastAsia" w:ascii="宋体" w:hAnsi="宋体" w:eastAsia="宋体" w:cs="宋体"/>
                <w:b/>
                <w:bCs/>
                <w:color w:val="auto"/>
                <w:sz w:val="21"/>
                <w:szCs w:val="21"/>
                <w:highlight w:val="none"/>
              </w:rPr>
              <w:t>自然序号最小的包</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rPr>
              <w:t>并填写</w:t>
            </w:r>
            <w:r>
              <w:rPr>
                <w:rFonts w:hint="eastAsia" w:ascii="宋体" w:hAnsi="宋体" w:eastAsia="宋体" w:cs="宋体"/>
                <w:b/>
                <w:bCs/>
                <w:color w:val="auto"/>
                <w:sz w:val="21"/>
                <w:szCs w:val="21"/>
                <w:highlight w:val="none"/>
                <w:lang w:eastAsia="zh-CN"/>
              </w:rPr>
              <w:t>应交保证金</w:t>
            </w:r>
            <w:r>
              <w:rPr>
                <w:rFonts w:hint="eastAsia" w:ascii="宋体" w:hAnsi="宋体" w:eastAsia="宋体" w:cs="宋体"/>
                <w:b/>
                <w:bCs/>
                <w:color w:val="auto"/>
                <w:sz w:val="21"/>
                <w:szCs w:val="21"/>
                <w:highlight w:val="none"/>
              </w:rPr>
              <w:t>金额，其他包无需填写）</w:t>
            </w:r>
            <w:r>
              <w:rPr>
                <w:rFonts w:hint="eastAsia" w:ascii="宋体" w:hAnsi="宋体" w:eastAsia="宋体" w:cs="宋体"/>
                <w:color w:val="auto"/>
                <w:sz w:val="21"/>
                <w:szCs w:val="21"/>
                <w:highlight w:val="none"/>
                <w:lang w:eastAsia="zh-CN"/>
              </w:rPr>
              <w:t>去结算-汇款确认-生成《银行汇款说明》）。根据《银行汇款说明》提供的账号及金额，方可缴纳本批次保证金。详见BOSP操作手册。</w:t>
            </w:r>
          </w:p>
          <w:p>
            <w:pPr>
              <w:pStyle w:val="30"/>
              <w:numPr>
                <w:ilvl w:val="0"/>
                <w:numId w:val="0"/>
              </w:numPr>
              <w:adjustRightInd w:val="0"/>
              <w:snapToGrid w:val="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提示：请严格根据每个订单对应的账号汇款足额保证金。</w:t>
            </w:r>
          </w:p>
          <w:p>
            <w:pPr>
              <w:pStyle w:val="30"/>
              <w:numPr>
                <w:ilvl w:val="0"/>
                <w:numId w:val="0"/>
              </w:numPr>
              <w:adjustRightInd w:val="0"/>
              <w:snapToGrid w:val="0"/>
              <w:ind w:firstLine="36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lang w:eastAsia="zh-CN"/>
              </w:rPr>
              <w:t>年度保证金操作：</w:t>
            </w:r>
          </w:p>
          <w:p>
            <w:pPr>
              <w:pStyle w:val="30"/>
              <w:numPr>
                <w:ilvl w:val="0"/>
                <w:numId w:val="0"/>
              </w:numPr>
              <w:adjustRightInd w:val="0"/>
              <w:snapToGrid w:val="0"/>
              <w:ind w:firstLine="420" w:firstLineChars="20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ab/>
            </w:r>
            <w:r>
              <w:rPr>
                <w:rFonts w:hint="eastAsia" w:ascii="宋体" w:hAnsi="宋体" w:eastAsia="宋体" w:cs="宋体"/>
                <w:color w:val="auto"/>
                <w:sz w:val="21"/>
                <w:szCs w:val="21"/>
                <w:highlight w:val="none"/>
                <w:lang w:eastAsia="zh-CN"/>
              </w:rPr>
              <w:t>投标人需登录BOSP2.0系统（</w:t>
            </w:r>
            <w:r>
              <w:rPr>
                <w:rFonts w:hint="eastAsia" w:ascii="宋体" w:hAnsi="宋体" w:eastAsia="宋体" w:cs="宋体"/>
                <w:color w:val="auto"/>
                <w:sz w:val="21"/>
                <w:szCs w:val="21"/>
                <w:highlight w:val="none"/>
              </w:rPr>
              <w:fldChar w:fldCharType="begin"/>
            </w:r>
            <w:r>
              <w:rPr>
                <w:rFonts w:hint="eastAsia" w:ascii="宋体" w:hAnsi="宋体" w:eastAsia="宋体" w:cs="宋体"/>
                <w:color w:val="auto"/>
                <w:sz w:val="21"/>
                <w:szCs w:val="21"/>
                <w:highlight w:val="none"/>
              </w:rPr>
              <w:instrText xml:space="preserve"> HYPERLINK "https://bosp.sgm.sgcc.com.cn/" </w:instrText>
            </w:r>
            <w:r>
              <w:rPr>
                <w:rFonts w:hint="eastAsia" w:ascii="宋体" w:hAnsi="宋体" w:eastAsia="宋体" w:cs="宋体"/>
                <w:color w:val="auto"/>
                <w:sz w:val="21"/>
                <w:szCs w:val="21"/>
                <w:highlight w:val="none"/>
              </w:rPr>
              <w:fldChar w:fldCharType="separate"/>
            </w:r>
            <w:r>
              <w:rPr>
                <w:rStyle w:val="23"/>
                <w:rFonts w:hint="eastAsia" w:ascii="宋体" w:hAnsi="宋体" w:eastAsia="宋体" w:cs="宋体"/>
                <w:color w:val="auto"/>
                <w:sz w:val="21"/>
                <w:szCs w:val="21"/>
                <w:highlight w:val="none"/>
                <w:lang w:eastAsia="zh-CN"/>
              </w:rPr>
              <w:t>https://bosp.sgm.sgcc.com.cn</w:t>
            </w:r>
            <w:r>
              <w:rPr>
                <w:rFonts w:hint="eastAsia" w:ascii="宋体" w:hAnsi="宋体" w:eastAsia="宋体" w:cs="宋体"/>
                <w:color w:val="auto"/>
                <w:sz w:val="21"/>
                <w:szCs w:val="21"/>
                <w:highlight w:val="none"/>
                <w:lang w:eastAsia="zh-CN"/>
              </w:rPr>
              <w:fldChar w:fldCharType="end"/>
            </w:r>
            <w:r>
              <w:rPr>
                <w:rFonts w:hint="eastAsia" w:ascii="宋体" w:hAnsi="宋体" w:eastAsia="宋体" w:cs="宋体"/>
                <w:color w:val="auto"/>
                <w:sz w:val="21"/>
                <w:szCs w:val="21"/>
                <w:highlight w:val="none"/>
                <w:lang w:eastAsia="zh-CN"/>
              </w:rPr>
              <w:t xml:space="preserve"> 国网物资业务运营服务平台），在系统首页中依次点击单批次保证金-选择项目-保证金支付（年度保证金）-保证金明细</w:t>
            </w:r>
            <w:r>
              <w:rPr>
                <w:rFonts w:hint="eastAsia" w:ascii="宋体" w:hAnsi="宋体" w:eastAsia="宋体" w:cs="宋体"/>
                <w:b/>
                <w:bCs/>
                <w:color w:val="auto"/>
                <w:sz w:val="21"/>
                <w:szCs w:val="21"/>
                <w:highlight w:val="none"/>
              </w:rPr>
              <w:t>（选择分标及所投应</w:t>
            </w:r>
            <w:r>
              <w:rPr>
                <w:rFonts w:hint="eastAsia" w:ascii="宋体" w:hAnsi="宋体" w:eastAsia="宋体" w:cs="宋体"/>
                <w:b/>
                <w:bCs/>
                <w:color w:val="auto"/>
                <w:sz w:val="21"/>
                <w:szCs w:val="21"/>
                <w:highlight w:val="none"/>
                <w:lang w:eastAsia="zh-CN"/>
              </w:rPr>
              <w:t>交</w:t>
            </w:r>
            <w:r>
              <w:rPr>
                <w:rFonts w:hint="eastAsia" w:ascii="宋体" w:hAnsi="宋体" w:eastAsia="宋体" w:cs="宋体"/>
                <w:b/>
                <w:bCs/>
                <w:color w:val="auto"/>
                <w:sz w:val="21"/>
                <w:szCs w:val="21"/>
                <w:highlight w:val="none"/>
              </w:rPr>
              <w:t>保证金金额最大包</w:t>
            </w:r>
            <w:r>
              <w:rPr>
                <w:rFonts w:hint="eastAsia" w:ascii="宋体" w:hAnsi="宋体" w:eastAsia="宋体" w:cs="宋体"/>
                <w:b/>
                <w:bCs/>
                <w:color w:val="auto"/>
                <w:sz w:val="21"/>
                <w:szCs w:val="21"/>
                <w:highlight w:val="none"/>
                <w:lang w:eastAsia="zh-CN"/>
              </w:rPr>
              <w:t>，如金额最大包有多个，则选择其中</w:t>
            </w:r>
            <w:r>
              <w:rPr>
                <w:rFonts w:hint="eastAsia" w:ascii="宋体" w:hAnsi="宋体" w:eastAsia="宋体" w:cs="宋体"/>
                <w:b/>
                <w:bCs/>
                <w:color w:val="auto"/>
                <w:sz w:val="21"/>
                <w:szCs w:val="21"/>
                <w:highlight w:val="none"/>
              </w:rPr>
              <w:t>自然序号最小的包</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rPr>
              <w:t>并填写</w:t>
            </w:r>
            <w:r>
              <w:rPr>
                <w:rFonts w:hint="eastAsia" w:ascii="宋体" w:hAnsi="宋体" w:eastAsia="宋体" w:cs="宋体"/>
                <w:b/>
                <w:bCs/>
                <w:color w:val="auto"/>
                <w:sz w:val="21"/>
                <w:szCs w:val="21"/>
                <w:highlight w:val="none"/>
                <w:lang w:eastAsia="zh-CN"/>
              </w:rPr>
              <w:t>应交保证金</w:t>
            </w:r>
            <w:r>
              <w:rPr>
                <w:rFonts w:hint="eastAsia" w:ascii="宋体" w:hAnsi="宋体" w:eastAsia="宋体" w:cs="宋体"/>
                <w:b/>
                <w:bCs/>
                <w:color w:val="auto"/>
                <w:sz w:val="21"/>
                <w:szCs w:val="21"/>
                <w:highlight w:val="none"/>
              </w:rPr>
              <w:t>金额，其他包无需填写）</w:t>
            </w:r>
            <w:r>
              <w:rPr>
                <w:rFonts w:hint="eastAsia" w:ascii="宋体" w:hAnsi="宋体" w:eastAsia="宋体" w:cs="宋体"/>
                <w:color w:val="auto"/>
                <w:sz w:val="21"/>
                <w:szCs w:val="21"/>
                <w:highlight w:val="none"/>
                <w:lang w:eastAsia="zh-CN"/>
              </w:rPr>
              <w:t>-去结算-保证金确认-选择年度保证金证书-确定。操作完成后页面会跳转到单批次保证金支付查询页面，可选择项目查看订单内容。详见BOSP操作手册。</w:t>
            </w:r>
          </w:p>
          <w:p>
            <w:pPr>
              <w:pStyle w:val="30"/>
              <w:numPr>
                <w:ilvl w:val="0"/>
                <w:numId w:val="0"/>
              </w:numPr>
              <w:adjustRightInd w:val="0"/>
              <w:snapToGrid w:val="0"/>
              <w:ind w:firstLine="36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lang w:eastAsia="zh-CN"/>
              </w:rPr>
              <w:t>保险、保函操作：</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投标人需登录BOSP系统（</w:t>
            </w:r>
            <w:r>
              <w:rPr>
                <w:rFonts w:hint="eastAsia" w:ascii="宋体" w:hAnsi="宋体" w:eastAsia="宋体" w:cs="宋体"/>
                <w:color w:val="auto"/>
                <w:sz w:val="21"/>
                <w:szCs w:val="21"/>
                <w:highlight w:val="none"/>
              </w:rPr>
              <w:fldChar w:fldCharType="begin"/>
            </w:r>
            <w:r>
              <w:rPr>
                <w:rFonts w:hint="eastAsia" w:ascii="宋体" w:hAnsi="宋体" w:eastAsia="宋体" w:cs="宋体"/>
                <w:color w:val="auto"/>
                <w:sz w:val="21"/>
                <w:szCs w:val="21"/>
                <w:highlight w:val="none"/>
              </w:rPr>
              <w:instrText xml:space="preserve"> HYPERLINK "https://bosp.sgm.sgcc.com.cn/" </w:instrText>
            </w:r>
            <w:r>
              <w:rPr>
                <w:rFonts w:hint="eastAsia" w:ascii="宋体" w:hAnsi="宋体" w:eastAsia="宋体" w:cs="宋体"/>
                <w:color w:val="auto"/>
                <w:sz w:val="21"/>
                <w:szCs w:val="21"/>
                <w:highlight w:val="none"/>
              </w:rPr>
              <w:fldChar w:fldCharType="separate"/>
            </w:r>
            <w:r>
              <w:rPr>
                <w:rStyle w:val="23"/>
                <w:rFonts w:hint="eastAsia" w:ascii="宋体" w:hAnsi="宋体" w:eastAsia="宋体" w:cs="宋体"/>
                <w:color w:val="auto"/>
                <w:sz w:val="21"/>
                <w:szCs w:val="21"/>
                <w:highlight w:val="none"/>
                <w:lang w:eastAsia="zh-CN"/>
              </w:rPr>
              <w:t>https://bosp.sgm.sgcc.com.cn</w:t>
            </w:r>
            <w:r>
              <w:rPr>
                <w:rFonts w:hint="eastAsia" w:ascii="宋体" w:hAnsi="宋体" w:eastAsia="宋体" w:cs="宋体"/>
                <w:color w:val="auto"/>
                <w:sz w:val="21"/>
                <w:szCs w:val="21"/>
                <w:highlight w:val="none"/>
                <w:lang w:eastAsia="zh-CN"/>
              </w:rPr>
              <w:fldChar w:fldCharType="end"/>
            </w:r>
            <w:r>
              <w:rPr>
                <w:rFonts w:hint="eastAsia" w:ascii="宋体" w:hAnsi="宋体" w:eastAsia="宋体" w:cs="宋体"/>
                <w:color w:val="auto"/>
                <w:sz w:val="21"/>
                <w:szCs w:val="21"/>
                <w:highlight w:val="none"/>
                <w:lang w:eastAsia="zh-CN"/>
              </w:rPr>
              <w:t xml:space="preserve"> 国网物资业务运营服务平台），在系统首页中依次点击单批次保证金-选择项目-保证金支付（线下保函、保险）保证金明细</w:t>
            </w:r>
            <w:r>
              <w:rPr>
                <w:rFonts w:hint="eastAsia" w:ascii="宋体" w:hAnsi="宋体" w:eastAsia="宋体" w:cs="宋体"/>
                <w:b/>
                <w:bCs/>
                <w:color w:val="auto"/>
                <w:sz w:val="21"/>
                <w:szCs w:val="21"/>
                <w:highlight w:val="none"/>
              </w:rPr>
              <w:t>（选择分标及所投应</w:t>
            </w:r>
            <w:r>
              <w:rPr>
                <w:rFonts w:hint="eastAsia" w:ascii="宋体" w:hAnsi="宋体" w:eastAsia="宋体" w:cs="宋体"/>
                <w:b/>
                <w:bCs/>
                <w:color w:val="auto"/>
                <w:sz w:val="21"/>
                <w:szCs w:val="21"/>
                <w:highlight w:val="none"/>
                <w:lang w:eastAsia="zh-CN"/>
              </w:rPr>
              <w:t>交</w:t>
            </w:r>
            <w:r>
              <w:rPr>
                <w:rFonts w:hint="eastAsia" w:ascii="宋体" w:hAnsi="宋体" w:eastAsia="宋体" w:cs="宋体"/>
                <w:b/>
                <w:bCs/>
                <w:color w:val="auto"/>
                <w:sz w:val="21"/>
                <w:szCs w:val="21"/>
                <w:highlight w:val="none"/>
              </w:rPr>
              <w:t>保证金金额最大包</w:t>
            </w:r>
            <w:r>
              <w:rPr>
                <w:rFonts w:hint="eastAsia" w:ascii="宋体" w:hAnsi="宋体" w:eastAsia="宋体" w:cs="宋体"/>
                <w:b/>
                <w:bCs/>
                <w:color w:val="auto"/>
                <w:sz w:val="21"/>
                <w:szCs w:val="21"/>
                <w:highlight w:val="none"/>
                <w:lang w:eastAsia="zh-CN"/>
              </w:rPr>
              <w:t>，如金额最大包有多个，则选择其中</w:t>
            </w:r>
            <w:r>
              <w:rPr>
                <w:rFonts w:hint="eastAsia" w:ascii="宋体" w:hAnsi="宋体" w:eastAsia="宋体" w:cs="宋体"/>
                <w:b/>
                <w:bCs/>
                <w:color w:val="auto"/>
                <w:sz w:val="21"/>
                <w:szCs w:val="21"/>
                <w:highlight w:val="none"/>
              </w:rPr>
              <w:t>自然序号最小的包</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rPr>
              <w:t>并填写</w:t>
            </w:r>
            <w:r>
              <w:rPr>
                <w:rFonts w:hint="eastAsia" w:ascii="宋体" w:hAnsi="宋体" w:eastAsia="宋体" w:cs="宋体"/>
                <w:b/>
                <w:bCs/>
                <w:color w:val="auto"/>
                <w:sz w:val="21"/>
                <w:szCs w:val="21"/>
                <w:highlight w:val="none"/>
                <w:lang w:eastAsia="zh-CN"/>
              </w:rPr>
              <w:t>应交保证金</w:t>
            </w:r>
            <w:r>
              <w:rPr>
                <w:rFonts w:hint="eastAsia" w:ascii="宋体" w:hAnsi="宋体" w:eastAsia="宋体" w:cs="宋体"/>
                <w:b/>
                <w:bCs/>
                <w:color w:val="auto"/>
                <w:sz w:val="21"/>
                <w:szCs w:val="21"/>
                <w:highlight w:val="none"/>
              </w:rPr>
              <w:t>金额，其他包无需填写）</w:t>
            </w:r>
            <w:r>
              <w:rPr>
                <w:rFonts w:hint="eastAsia" w:ascii="宋体" w:hAnsi="宋体" w:eastAsia="宋体" w:cs="宋体"/>
                <w:color w:val="auto"/>
                <w:sz w:val="21"/>
                <w:szCs w:val="21"/>
                <w:highlight w:val="none"/>
                <w:lang w:eastAsia="zh-CN"/>
              </w:rPr>
              <w:t>-去结算-保函确认。操作完成后页面会跳转到单批次保证金支付查询页面，可选择项目查看订单内容。</w:t>
            </w:r>
            <w:r>
              <w:rPr>
                <w:rFonts w:hint="eastAsia" w:ascii="宋体" w:hAnsi="宋体" w:eastAsia="宋体" w:cs="宋体"/>
                <w:color w:val="auto"/>
                <w:sz w:val="21"/>
                <w:szCs w:val="21"/>
                <w:highlight w:val="none"/>
                <w:lang w:eastAsia="en-US"/>
              </w:rPr>
              <w:t>详见BOSP操作手册。</w:t>
            </w:r>
            <w:r>
              <w:rPr>
                <w:rFonts w:hint="eastAsia" w:ascii="宋体" w:hAnsi="宋体" w:eastAsia="宋体" w:cs="宋体"/>
                <w:color w:val="auto"/>
                <w:sz w:val="21"/>
                <w:szCs w:val="21"/>
                <w:highlight w:val="none"/>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kern w:val="0"/>
                <w:sz w:val="21"/>
                <w:szCs w:val="21"/>
                <w:highlight w:val="none"/>
                <w:lang w:val="zh-CN" w:eastAsia="zh-CN" w:bidi="ar-SA"/>
              </w:rPr>
            </w:pPr>
            <w:r>
              <w:rPr>
                <w:rFonts w:hint="eastAsia" w:ascii="宋体" w:hAnsi="宋体" w:eastAsia="宋体" w:cs="宋体"/>
                <w:color w:val="auto"/>
                <w:sz w:val="21"/>
                <w:szCs w:val="21"/>
                <w:highlight w:val="none"/>
              </w:rPr>
              <w:t>3.4.3</w:t>
            </w:r>
          </w:p>
        </w:tc>
        <w:tc>
          <w:tcPr>
            <w:tcW w:w="1092" w:type="dxa"/>
            <w:vAlign w:val="center"/>
          </w:tcPr>
          <w:p>
            <w:pPr>
              <w:pStyle w:val="28"/>
              <w:jc w:val="center"/>
              <w:outlineLvl w:val="0"/>
              <w:rPr>
                <w:rFonts w:hint="eastAsia" w:ascii="宋体" w:hAnsi="宋体" w:eastAsia="宋体" w:cs="宋体"/>
                <w:color w:val="auto"/>
                <w:kern w:val="0"/>
                <w:sz w:val="21"/>
                <w:szCs w:val="21"/>
                <w:highlight w:val="none"/>
                <w:lang w:val="zh-CN" w:eastAsia="en-US" w:bidi="ar-SA"/>
              </w:rPr>
            </w:pPr>
            <w:r>
              <w:rPr>
                <w:rFonts w:hint="eastAsia" w:ascii="宋体" w:hAnsi="宋体" w:eastAsia="宋体" w:cs="宋体"/>
                <w:color w:val="auto"/>
                <w:sz w:val="21"/>
                <w:szCs w:val="21"/>
                <w:highlight w:val="none"/>
              </w:rPr>
              <w:t>投标保证金退还</w:t>
            </w:r>
          </w:p>
        </w:tc>
        <w:tc>
          <w:tcPr>
            <w:tcW w:w="7035" w:type="dxa"/>
            <w:vAlign w:val="center"/>
          </w:tcPr>
          <w:p>
            <w:pPr>
              <w:keepNext/>
              <w:keepLines/>
              <w:pageBreakBefore w:val="0"/>
              <w:widowControl w:val="0"/>
              <w:kinsoku/>
              <w:wordWrap/>
              <w:overflowPunct/>
              <w:topLinePunct w:val="0"/>
              <w:autoSpaceDE w:val="0"/>
              <w:autoSpaceDN w:val="0"/>
              <w:bidi w:val="0"/>
              <w:adjustRightInd w:val="0"/>
              <w:snapToGrid w:val="0"/>
              <w:spacing w:before="120" w:beforeLines="50" w:after="120" w:afterLines="50"/>
              <w:ind w:firstLine="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不适用。</w:t>
            </w:r>
          </w:p>
          <w:p>
            <w:pPr>
              <w:pStyle w:val="28"/>
              <w:keepNext/>
              <w:keepLines/>
              <w:pageBreakBefore w:val="0"/>
              <w:widowControl w:val="0"/>
              <w:kinsoku/>
              <w:wordWrap/>
              <w:overflowPunct/>
              <w:topLinePunct w:val="0"/>
              <w:autoSpaceDE w:val="0"/>
              <w:autoSpaceDN w:val="0"/>
              <w:bidi w:val="0"/>
              <w:spacing w:before="120" w:beforeLines="50" w:after="120" w:afterLines="5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补充：</w:t>
            </w:r>
          </w:p>
          <w:p>
            <w:pPr>
              <w:pStyle w:val="28"/>
              <w:keepNext/>
              <w:keepLines/>
              <w:pageBreakBefore w:val="0"/>
              <w:widowControl w:val="0"/>
              <w:kinsoku/>
              <w:wordWrap/>
              <w:overflowPunct/>
              <w:topLinePunct w:val="0"/>
              <w:autoSpaceDE w:val="0"/>
              <w:autoSpaceDN w:val="0"/>
              <w:bidi w:val="0"/>
              <w:spacing w:beforeLines="50" w:afterLines="50"/>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1.招标人最迟应当在书面合同签订后5日内向中标人和未中标的投标人退还投标保证金及银行同期存款利息。</w:t>
            </w:r>
          </w:p>
          <w:p>
            <w:pPr>
              <w:pStyle w:val="28"/>
              <w:keepNext/>
              <w:keepLines/>
              <w:pageBreakBefore w:val="0"/>
              <w:widowControl w:val="0"/>
              <w:kinsoku/>
              <w:wordWrap/>
              <w:overflowPunct/>
              <w:topLinePunct w:val="0"/>
              <w:autoSpaceDE w:val="0"/>
              <w:autoSpaceDN w:val="0"/>
              <w:bidi w:val="0"/>
              <w:spacing w:beforeLines="50" w:afterLines="50"/>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2.以投标保证保险形式提交的投标保证金，投标保证保险保单载明的保险期间届满后自动失效，不另行退还。</w:t>
            </w:r>
          </w:p>
          <w:p>
            <w:pPr>
              <w:pStyle w:val="28"/>
              <w:keepNext/>
              <w:keepLines/>
              <w:pageBreakBefore w:val="0"/>
              <w:widowControl w:val="0"/>
              <w:kinsoku/>
              <w:wordWrap/>
              <w:overflowPunct/>
              <w:topLinePunct w:val="0"/>
              <w:autoSpaceDE w:val="0"/>
              <w:autoSpaceDN w:val="0"/>
              <w:bidi w:val="0"/>
              <w:spacing w:beforeLines="50" w:afterLines="50"/>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3.以银行保函形式提交的投标保证金，采取投标人在招标代理机构财务窗口领取方式退还。</w:t>
            </w:r>
          </w:p>
          <w:p>
            <w:pPr>
              <w:pStyle w:val="28"/>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rPr>
              <w:t>4.以银行汇款形式提交的投标保证金，采取原路退回至投标人原来款账户方式退还。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3.4.4</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其他可以不予退还投标保证金的情形</w:t>
            </w:r>
          </w:p>
        </w:tc>
        <w:tc>
          <w:tcPr>
            <w:tcW w:w="7035" w:type="dxa"/>
            <w:vAlign w:val="center"/>
          </w:tcPr>
          <w:p>
            <w:pPr>
              <w:pStyle w:val="28"/>
              <w:spacing w:before="120" w:beforeLines="50" w:after="120" w:afterLines="5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不适用。</w:t>
            </w:r>
          </w:p>
          <w:p>
            <w:pPr>
              <w:pStyle w:val="28"/>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补充：</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1.在提交投标文件截止时间后主动对投标文件提出实质性修改的。</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2.投标人通过弄虚作假、相互串通、借用资质等违法手段谋取中标的。</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3.国家法律法规及招标文件规定的其他情形。</w:t>
            </w:r>
          </w:p>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w:t>
            </w:r>
            <w:r>
              <w:rPr>
                <w:rFonts w:hint="eastAsia" w:ascii="宋体" w:hAnsi="宋体" w:cs="宋体"/>
                <w:color w:val="auto"/>
                <w:szCs w:val="21"/>
                <w:highlight w:val="none"/>
              </w:rPr>
              <w:t>中标候选人在中标候选公示期间无正当理由主动放弃资格的</w:t>
            </w:r>
            <w:r>
              <w:rPr>
                <w:rFonts w:hint="eastAsia" w:ascii="宋体" w:hAnsi="宋体" w:eastAsia="宋体" w:cs="宋体"/>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3.5</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资格审查资料的特殊要求</w:t>
            </w:r>
          </w:p>
        </w:tc>
        <w:tc>
          <w:tcPr>
            <w:tcW w:w="7035" w:type="dxa"/>
            <w:vAlign w:val="center"/>
          </w:tcPr>
          <w:p>
            <w:pPr>
              <w:pStyle w:val="28"/>
              <w:spacing w:before="120" w:beforeLines="50" w:after="120" w:afterLines="50"/>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rPr>
              <w:sym w:font="Wingdings" w:char="00FE"/>
            </w:r>
            <w:r>
              <w:rPr>
                <w:rFonts w:hint="eastAsia" w:ascii="宋体" w:hAnsi="宋体" w:eastAsia="宋体" w:cs="宋体"/>
                <w:b/>
                <w:bCs/>
                <w:color w:val="auto"/>
                <w:sz w:val="21"/>
                <w:szCs w:val="21"/>
                <w:highlight w:val="none"/>
                <w:lang w:val="en-US"/>
              </w:rPr>
              <w:t>不接受资质业绩凭证单。</w:t>
            </w:r>
            <w:r>
              <w:rPr>
                <w:rFonts w:hint="eastAsia" w:ascii="宋体" w:hAnsi="宋体" w:eastAsia="宋体" w:cs="宋体"/>
                <w:color w:val="auto"/>
                <w:sz w:val="21"/>
                <w:szCs w:val="21"/>
                <w:highlight w:val="none"/>
                <w:lang w:val="en-US"/>
              </w:rPr>
              <w:t>投标人按“编制说明”提供对应支持证明材料，无须上传资质业绩凭证单。</w:t>
            </w:r>
          </w:p>
          <w:p>
            <w:pPr>
              <w:pStyle w:val="28"/>
              <w:spacing w:before="120" w:beforeLines="50" w:after="120" w:afterLines="50"/>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rPr>
              <w:sym w:font="Wingdings" w:char="00A8"/>
            </w:r>
            <w:r>
              <w:rPr>
                <w:rFonts w:hint="eastAsia" w:ascii="宋体" w:hAnsi="宋体" w:eastAsia="宋体" w:cs="宋体"/>
                <w:color w:val="auto"/>
                <w:sz w:val="21"/>
                <w:szCs w:val="21"/>
                <w:highlight w:val="none"/>
                <w:lang w:val="en-US"/>
              </w:rPr>
              <w:t>接受资质业绩凭证单</w:t>
            </w:r>
            <w:r>
              <w:rPr>
                <w:rFonts w:hint="eastAsia" w:ascii="宋体" w:hAnsi="宋体" w:eastAsia="宋体" w:cs="宋体"/>
                <w:color w:val="auto"/>
                <w:sz w:val="21"/>
                <w:szCs w:val="21"/>
                <w:highlight w:val="none"/>
                <w:lang w:bidi="zh-CN"/>
              </w:rPr>
              <w:t>（</w:t>
            </w:r>
            <w:r>
              <w:rPr>
                <w:rFonts w:hint="eastAsia" w:ascii="宋体" w:hAnsi="宋体" w:eastAsia="宋体" w:cs="宋体"/>
                <w:color w:val="auto"/>
                <w:sz w:val="21"/>
                <w:szCs w:val="21"/>
                <w:highlight w:val="none"/>
                <w:lang w:val="en-US"/>
              </w:rPr>
              <w:t>分标名称详见投标人须知前附表之附表一）</w:t>
            </w:r>
            <w:r>
              <w:rPr>
                <w:rFonts w:hint="eastAsia" w:ascii="宋体" w:hAnsi="宋体" w:eastAsia="宋体" w:cs="宋体"/>
                <w:color w:val="auto"/>
                <w:sz w:val="21"/>
                <w:szCs w:val="21"/>
                <w:highlight w:val="none"/>
                <w:lang w:bidi="zh-CN"/>
              </w:rPr>
              <w:t>，</w:t>
            </w:r>
            <w:r>
              <w:rPr>
                <w:rFonts w:hint="eastAsia" w:ascii="宋体" w:hAnsi="宋体" w:eastAsia="宋体" w:cs="宋体"/>
                <w:color w:val="auto"/>
                <w:sz w:val="21"/>
                <w:szCs w:val="21"/>
                <w:highlight w:val="none"/>
                <w:lang w:val="en-US"/>
              </w:rPr>
              <w:t>其相关要求如下：</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应按要求在ECP2.0系统中生成资质业绩凭证单（以下简称“凭证单”），“凭证单”应当在资质能力信息核实结果公告发布后生成，在投标工具中直接上传ECP2.0系统中生成的凭证单压缩包，用于投标的“凭证单”不得从招投标交易平台信息系统中删除，否则投标人将承担由此导致的包括但不限于投标失败等不利评价风险。</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请投标人选择</w:t>
            </w:r>
            <w:r>
              <w:rPr>
                <w:rFonts w:hint="eastAsia"/>
                <w:color w:val="auto"/>
                <w:kern w:val="2"/>
                <w:sz w:val="21"/>
                <w:szCs w:val="21"/>
                <w:highlight w:val="none"/>
                <w:lang w:val="en-US"/>
              </w:rPr>
              <w:t>XX年</w:t>
            </w:r>
            <w:r>
              <w:rPr>
                <w:rFonts w:hint="eastAsia" w:ascii="宋体" w:hAnsi="宋体" w:eastAsia="宋体" w:cs="宋体"/>
                <w:color w:val="auto"/>
                <w:sz w:val="21"/>
                <w:szCs w:val="21"/>
                <w:highlight w:val="none"/>
              </w:rPr>
              <w:t>资质能力核实任务的核实结果，并勾选保存需更新的未核实信息一并生成凭证单。</w:t>
            </w:r>
          </w:p>
          <w:p>
            <w:pPr>
              <w:pStyle w:val="28"/>
              <w:spacing w:before="120" w:beforeLines="50" w:after="120" w:afterLines="50"/>
              <w:jc w:val="both"/>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（1）“资质业绩凭证单”载明时间段内的业绩均以国网公司</w:t>
            </w:r>
            <w:r>
              <w:rPr>
                <w:rFonts w:hint="eastAsia" w:cs="宋体"/>
                <w:color w:val="auto"/>
                <w:sz w:val="21"/>
                <w:szCs w:val="21"/>
                <w:highlight w:val="none"/>
                <w:lang w:val="en-US" w:eastAsia="zh-CN"/>
              </w:rPr>
              <w:t>招标人招投标交易平台信息系统</w:t>
            </w:r>
            <w:r>
              <w:rPr>
                <w:rFonts w:hint="eastAsia" w:ascii="宋体" w:hAnsi="宋体" w:eastAsia="宋体" w:cs="宋体"/>
                <w:color w:val="auto"/>
                <w:sz w:val="21"/>
                <w:szCs w:val="21"/>
                <w:highlight w:val="none"/>
                <w:lang w:val="en-US"/>
              </w:rPr>
              <w:t>所载明的数据为准，无需再编入此时间段内的任何业绩证明材料，编入的不作评审。</w:t>
            </w:r>
          </w:p>
          <w:p>
            <w:pPr>
              <w:pStyle w:val="28"/>
              <w:spacing w:before="120" w:beforeLines="50" w:after="120" w:afterLines="50"/>
              <w:jc w:val="both"/>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“资质业绩凭证单”载明时间段之外的资质、获奖情况、业绩情况允许提供补充材料。</w:t>
            </w:r>
          </w:p>
          <w:p>
            <w:pPr>
              <w:pStyle w:val="28"/>
              <w:spacing w:before="120" w:beforeLines="50" w:after="120" w:afterLines="50"/>
              <w:jc w:val="both"/>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即：</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①</w:t>
            </w:r>
            <w:r>
              <w:rPr>
                <w:rFonts w:hint="eastAsia" w:ascii="宋体" w:hAnsi="宋体" w:eastAsia="宋体" w:cs="宋体"/>
                <w:color w:val="auto"/>
                <w:sz w:val="21"/>
                <w:szCs w:val="21"/>
                <w:highlight w:val="none"/>
              </w:rPr>
              <w:t>“凭证单”上所载明的“核实结果”为“是”的数据作为评审依据，无需提供其他证明材料。</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②供货业绩以凭证单载明的“核实结果”为“是”的数据为准，其他业绩及其支撑证明文件无需编入投标文件，编入的不作评审。</w:t>
            </w:r>
          </w:p>
          <w:p>
            <w:pPr>
              <w:pStyle w:val="28"/>
              <w:spacing w:before="120" w:beforeLines="50" w:after="120" w:afterLines="50"/>
              <w:jc w:val="both"/>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rPr>
              <w:t>③除供货业绩外，接受相关报告证书等信息的更新补充，更新补充的支撑文件按照《资质业绩信息集中应答文件》格式编制提交并提供支撑文件扫描件</w:t>
            </w:r>
          </w:p>
          <w:p>
            <w:pPr>
              <w:pStyle w:val="28"/>
              <w:spacing w:before="120" w:beforeLines="50" w:after="120" w:afterLines="50"/>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rPr>
              <w:t>④提交“凭证单”且“凭证单”包含股权结构信息、且信息无修改的，以“凭证单”内容为准。未提交“凭证单”或“凭证单”中股权结构信息有修改的，投标人须按相应格式提供股权结构说明书及相关证明文件（投标人为事业单位的不需提供）</w:t>
            </w:r>
            <w:r>
              <w:rPr>
                <w:rFonts w:hint="eastAsia" w:cs="宋体"/>
                <w:color w:val="auto"/>
                <w:sz w:val="21"/>
                <w:szCs w:val="21"/>
                <w:highlight w:val="none"/>
                <w:lang w:val="en-US" w:eastAsia="zh-CN"/>
              </w:rPr>
              <w:t>。</w:t>
            </w:r>
          </w:p>
          <w:p>
            <w:pPr>
              <w:pStyle w:val="28"/>
              <w:spacing w:before="120" w:beforeLines="50" w:after="120" w:afterLines="50"/>
              <w:jc w:val="both"/>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（2）投标人未取得“资质业绩凭证单”或已取得“资质业绩凭证单”但未在投标文件中提供的，应按招标文件格式要求编制投标文件。</w:t>
            </w:r>
          </w:p>
          <w:p>
            <w:pPr>
              <w:pStyle w:val="28"/>
              <w:spacing w:before="120" w:beforeLines="50" w:after="120" w:afterLines="50"/>
              <w:jc w:val="both"/>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rPr>
              <w:t>3</w:t>
            </w:r>
            <w:r>
              <w:rPr>
                <w:rFonts w:hint="eastAsia" w:ascii="宋体" w:hAnsi="宋体" w:eastAsia="宋体" w:cs="宋体"/>
                <w:color w:val="auto"/>
                <w:sz w:val="21"/>
                <w:szCs w:val="21"/>
                <w:highlight w:val="none"/>
              </w:rPr>
              <w:t>）ECP投标工具支持上传多份不同产品类别的“凭证单”：如所投产品涉及两个核实产品类别，两种凭证单均应全部上传。</w:t>
            </w:r>
          </w:p>
          <w:p>
            <w:pPr>
              <w:pStyle w:val="28"/>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w:t>
            </w:r>
            <w:r>
              <w:rPr>
                <w:rFonts w:hint="eastAsia" w:ascii="宋体" w:hAnsi="宋体" w:eastAsia="宋体" w:cs="宋体"/>
                <w:color w:val="auto"/>
                <w:sz w:val="21"/>
                <w:szCs w:val="21"/>
                <w:highlight w:val="none"/>
              </w:rPr>
              <w:t>已参加XX年国网财务信息专项核实的投标人，需上传财务信息核实结果凭证单。</w:t>
            </w:r>
          </w:p>
          <w:p>
            <w:pPr>
              <w:pStyle w:val="28"/>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w:t>
            </w:r>
            <w:r>
              <w:rPr>
                <w:rFonts w:hint="eastAsia" w:ascii="宋体" w:hAnsi="宋体" w:eastAsia="宋体" w:cs="宋体"/>
                <w:color w:val="auto"/>
                <w:sz w:val="21"/>
                <w:szCs w:val="21"/>
                <w:highlight w:val="none"/>
              </w:rPr>
              <w:t>未参加XX年国网财务信息专项核实的投标人，仅需提供XX年的财务会计报表审计报告、资产负债表、利润表及现金流量表，其他报表无需提供。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3.5.2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近年财务状况的年份要求</w:t>
            </w:r>
          </w:p>
        </w:tc>
        <w:tc>
          <w:tcPr>
            <w:tcW w:w="7035" w:type="dxa"/>
            <w:vAlign w:val="center"/>
          </w:tcPr>
          <w:p>
            <w:pPr>
              <w:pStyle w:val="17"/>
              <w:adjustRightInd w:val="0"/>
              <w:snapToGrid w:val="0"/>
              <w:spacing w:before="120" w:beforeLines="50" w:afterLines="50"/>
              <w:ind w:left="0" w:leftChars="0" w:firstLine="0"/>
              <w:rPr>
                <w:rFonts w:hint="eastAsia" w:ascii="宋体" w:hAnsi="宋体" w:eastAsia="宋体" w:cs="宋体"/>
                <w:color w:val="auto"/>
                <w:sz w:val="21"/>
                <w:szCs w:val="21"/>
                <w:highlight w:val="none"/>
                <w:lang w:eastAsia="zh-CN"/>
              </w:rPr>
            </w:pPr>
            <w:r>
              <w:rPr>
                <w:rFonts w:hint="eastAsia" w:ascii="宋体" w:hAnsi="宋体" w:eastAsia="宋体" w:cs="宋体"/>
                <w:b w:val="0"/>
                <w:bCs w:val="0"/>
                <w:color w:val="auto"/>
                <w:kern w:val="0"/>
                <w:sz w:val="21"/>
                <w:szCs w:val="21"/>
                <w:highlight w:val="none"/>
                <w:u w:val="single"/>
              </w:rPr>
              <w:t>20</w:t>
            </w:r>
            <w:r>
              <w:rPr>
                <w:rFonts w:hint="eastAsia" w:ascii="宋体" w:hAnsi="宋体" w:eastAsia="宋体" w:cs="宋体"/>
                <w:b w:val="0"/>
                <w:bCs w:val="0"/>
                <w:color w:val="auto"/>
                <w:kern w:val="0"/>
                <w:sz w:val="21"/>
                <w:szCs w:val="21"/>
                <w:highlight w:val="none"/>
                <w:u w:val="single"/>
                <w:lang w:val="en-US" w:eastAsia="zh-CN"/>
              </w:rPr>
              <w:t>2</w:t>
            </w:r>
            <w:r>
              <w:rPr>
                <w:rFonts w:hint="eastAsia" w:ascii="宋体" w:hAnsi="宋体" w:cs="宋体"/>
                <w:b w:val="0"/>
                <w:bCs w:val="0"/>
                <w:color w:val="auto"/>
                <w:kern w:val="0"/>
                <w:sz w:val="21"/>
                <w:szCs w:val="21"/>
                <w:highlight w:val="none"/>
                <w:u w:val="single"/>
                <w:lang w:val="en-US" w:eastAsia="zh-CN"/>
              </w:rPr>
              <w:t>3</w:t>
            </w:r>
            <w:r>
              <w:rPr>
                <w:rFonts w:hint="eastAsia" w:ascii="宋体" w:hAnsi="宋体" w:eastAsia="宋体" w:cs="宋体"/>
                <w:b w:val="0"/>
                <w:bCs w:val="0"/>
                <w:color w:val="auto"/>
                <w:kern w:val="0"/>
                <w:sz w:val="21"/>
                <w:szCs w:val="21"/>
                <w:highlight w:val="none"/>
                <w:u w:val="single"/>
              </w:rPr>
              <w:t>年-20</w:t>
            </w:r>
            <w:r>
              <w:rPr>
                <w:rFonts w:hint="eastAsia" w:ascii="宋体" w:hAnsi="宋体" w:eastAsia="宋体" w:cs="宋体"/>
                <w:b w:val="0"/>
                <w:bCs w:val="0"/>
                <w:color w:val="auto"/>
                <w:kern w:val="0"/>
                <w:sz w:val="21"/>
                <w:szCs w:val="21"/>
                <w:highlight w:val="none"/>
                <w:u w:val="single"/>
                <w:lang w:val="en-US" w:eastAsia="zh-CN"/>
              </w:rPr>
              <w:t>2</w:t>
            </w:r>
            <w:r>
              <w:rPr>
                <w:rFonts w:hint="eastAsia" w:ascii="宋体" w:hAnsi="宋体" w:cs="宋体"/>
                <w:b w:val="0"/>
                <w:bCs w:val="0"/>
                <w:color w:val="auto"/>
                <w:kern w:val="0"/>
                <w:sz w:val="21"/>
                <w:szCs w:val="21"/>
                <w:highlight w:val="none"/>
                <w:u w:val="single"/>
                <w:lang w:val="en-US" w:eastAsia="zh-CN"/>
              </w:rPr>
              <w:t>5</w:t>
            </w:r>
            <w:r>
              <w:rPr>
                <w:rFonts w:hint="eastAsia" w:ascii="宋体" w:hAnsi="宋体" w:eastAsia="宋体" w:cs="宋体"/>
                <w:b w:val="0"/>
                <w:bCs w:val="0"/>
                <w:color w:val="auto"/>
                <w:kern w:val="0"/>
                <w:sz w:val="21"/>
                <w:szCs w:val="21"/>
                <w:highlight w:val="none"/>
                <w:u w:val="single"/>
              </w:rPr>
              <w:t>年</w:t>
            </w:r>
            <w:r>
              <w:rPr>
                <w:rFonts w:hint="eastAsia" w:ascii="宋体" w:hAnsi="宋体" w:cs="宋体"/>
                <w:color w:val="auto"/>
                <w:sz w:val="21"/>
                <w:szCs w:val="21"/>
                <w:highlight w:val="none"/>
                <w:lang w:eastAsia="zh-CN"/>
              </w:rPr>
              <w:t>，投标人的成立时间少于规定年份的，应提供成立之日次年以来的财务状况表。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3.5.3</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近年完成的类似项目情况要求</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按照第一章招标公告投标人业绩要求和第三章评标办法前附表“评分标准”要求</w:t>
            </w:r>
            <w:r>
              <w:rPr>
                <w:rFonts w:hint="eastAsia" w:ascii="宋体" w:hAnsi="宋体" w:cs="宋体"/>
                <w:strike w:val="0"/>
                <w:dstrike w:val="0"/>
                <w:color w:val="auto"/>
                <w:sz w:val="21"/>
                <w:szCs w:val="21"/>
                <w:highlight w:val="none"/>
                <w:lang w:eastAsia="zh-CN"/>
              </w:rPr>
              <w:t>，</w:t>
            </w:r>
            <w:r>
              <w:rPr>
                <w:rFonts w:hint="eastAsia" w:ascii="宋体" w:hAnsi="宋体" w:eastAsia="宋体" w:cs="宋体"/>
                <w:color w:val="auto"/>
                <w:sz w:val="21"/>
                <w:szCs w:val="21"/>
                <w:highlight w:val="none"/>
              </w:rPr>
              <w:t>按</w:t>
            </w:r>
            <w:r>
              <w:rPr>
                <w:rFonts w:hint="eastAsia" w:ascii="宋体" w:hAnsi="宋体" w:eastAsia="宋体" w:cs="宋体"/>
                <w:color w:val="auto"/>
                <w:sz w:val="21"/>
                <w:szCs w:val="21"/>
                <w:highlight w:val="none"/>
                <w:lang w:val="en-US" w:eastAsia="zh-CN"/>
              </w:rPr>
              <w:t>照</w:t>
            </w:r>
            <w:r>
              <w:rPr>
                <w:rFonts w:hint="eastAsia" w:ascii="宋体" w:hAnsi="宋体" w:eastAsia="宋体" w:cs="宋体"/>
                <w:color w:val="auto"/>
                <w:sz w:val="21"/>
                <w:szCs w:val="21"/>
                <w:highlight w:val="none"/>
              </w:rPr>
              <w:t>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章投标文件格式要求填写。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3.5.5</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近年发生的诉讼及仲裁情况的时间要求</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bCs w:val="0"/>
                <w:color w:val="auto"/>
                <w:kern w:val="0"/>
                <w:sz w:val="21"/>
                <w:szCs w:val="21"/>
                <w:highlight w:val="none"/>
                <w:u w:val="single"/>
              </w:rPr>
              <w:t>202</w:t>
            </w:r>
            <w:r>
              <w:rPr>
                <w:rFonts w:hint="default" w:ascii="宋体" w:hAnsi="宋体" w:eastAsia="宋体" w:cs="宋体"/>
                <w:b w:val="0"/>
                <w:bCs w:val="0"/>
                <w:color w:val="auto"/>
                <w:kern w:val="0"/>
                <w:sz w:val="21"/>
                <w:szCs w:val="21"/>
                <w:highlight w:val="none"/>
                <w:u w:val="single"/>
                <w:lang w:val="en-US" w:eastAsia="zh-CN"/>
              </w:rPr>
              <w:t>1</w:t>
            </w:r>
            <w:r>
              <w:rPr>
                <w:rFonts w:hint="eastAsia" w:ascii="宋体" w:hAnsi="宋体" w:eastAsia="宋体" w:cs="宋体"/>
                <w:b w:val="0"/>
                <w:bCs w:val="0"/>
                <w:color w:val="auto"/>
                <w:kern w:val="0"/>
                <w:sz w:val="21"/>
                <w:szCs w:val="21"/>
                <w:highlight w:val="none"/>
                <w:u w:val="single"/>
                <w:lang w:eastAsia="en-US"/>
              </w:rPr>
              <w:t>年</w:t>
            </w:r>
            <w:r>
              <w:rPr>
                <w:rFonts w:hint="eastAsia" w:ascii="宋体" w:hAnsi="宋体" w:eastAsia="宋体" w:cs="宋体"/>
                <w:b w:val="0"/>
                <w:bCs w:val="0"/>
                <w:color w:val="auto"/>
                <w:kern w:val="0"/>
                <w:sz w:val="21"/>
                <w:szCs w:val="21"/>
                <w:highlight w:val="none"/>
              </w:rPr>
              <w:t>至投标截止日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spacing w:line="28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3.5.6</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是否接受联合体投标</w:t>
            </w:r>
          </w:p>
        </w:tc>
        <w:tc>
          <w:tcPr>
            <w:tcW w:w="7035" w:type="dxa"/>
            <w:vAlign w:val="center"/>
          </w:tcPr>
          <w:p>
            <w:pPr>
              <w:adjustRightInd w:val="0"/>
              <w:snapToGrid w:val="0"/>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见招标公告资格要求。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3.6</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是否允许递交备选投标方案</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eastAsia="en-US"/>
              </w:rPr>
              <w:t>不允许</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3.7.1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投标文件编制要求</w:t>
            </w:r>
          </w:p>
        </w:tc>
        <w:tc>
          <w:tcPr>
            <w:tcW w:w="7035" w:type="dxa"/>
            <w:shd w:val="clear" w:color="auto" w:fill="auto"/>
            <w:vAlign w:val="center"/>
          </w:tcPr>
          <w:p>
            <w:pPr>
              <w:pStyle w:val="28"/>
              <w:spacing w:before="120" w:beforeLines="50" w:after="120" w:afterLines="50"/>
              <w:jc w:val="both"/>
              <w:rPr>
                <w:rFonts w:hint="eastAsia" w:ascii="宋体" w:hAnsi="宋体" w:eastAsia="宋体" w:cs="宋体"/>
                <w:color w:val="auto"/>
                <w:kern w:val="2"/>
                <w:sz w:val="21"/>
                <w:szCs w:val="21"/>
                <w:highlight w:val="none"/>
                <w:lang w:val="zh-CN" w:eastAsia="zh-CN" w:bidi="ar-SA"/>
              </w:rPr>
            </w:pPr>
            <w:r>
              <w:rPr>
                <w:rFonts w:hint="eastAsia" w:cs="宋体"/>
                <w:color w:val="auto"/>
                <w:sz w:val="21"/>
                <w:szCs w:val="21"/>
                <w:highlight w:val="none"/>
                <w:lang w:val="en-US" w:eastAsia="zh-CN"/>
              </w:rPr>
              <w:t>补充：</w:t>
            </w:r>
            <w:r>
              <w:rPr>
                <w:rFonts w:hint="eastAsia" w:ascii="宋体" w:hAnsi="宋体" w:eastAsia="宋体" w:cs="宋体"/>
                <w:color w:val="auto"/>
                <w:sz w:val="21"/>
                <w:szCs w:val="21"/>
                <w:highlight w:val="none"/>
                <w:lang w:val="en-US"/>
              </w:rPr>
              <w:t>对投标人提供的</w:t>
            </w:r>
            <w:r>
              <w:rPr>
                <w:rFonts w:hint="eastAsia" w:cs="宋体"/>
                <w:color w:val="auto"/>
                <w:sz w:val="21"/>
                <w:szCs w:val="21"/>
                <w:highlight w:val="none"/>
                <w:lang w:val="en-US" w:eastAsia="zh-CN"/>
              </w:rPr>
              <w:t>招标</w:t>
            </w:r>
            <w:r>
              <w:rPr>
                <w:rFonts w:hint="eastAsia" w:ascii="宋体" w:hAnsi="宋体" w:eastAsia="宋体" w:cs="宋体"/>
                <w:color w:val="auto"/>
                <w:sz w:val="21"/>
                <w:szCs w:val="21"/>
                <w:highlight w:val="none"/>
                <w:lang w:val="en-US"/>
              </w:rPr>
              <w:t>文件要求之外的文件，评标委员会不作评审。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3.7.3（A）</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投标文件签字或盖章要求</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1.在互联网上，投标人使用本人的合法数字证书之私钥对所投电子投标文件进行数字（电子）签名，使用招标人的合法数字证书之公钥对所投电子投标文件进行加密后，提交招标人招投标交易平台信息系统。</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2.招标文件第八章中提供了格式文件的，投标人应按格式进行编制。对上述格式文件进行实质性修改或未按格式进行签署的文件，被视为无效文件。</w:t>
            </w:r>
          </w:p>
          <w:p>
            <w:pPr>
              <w:spacing w:before="120" w:beforeLines="50" w:after="120" w:afterLines="50"/>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3.对于系统电子投标文件，需完成价格文件、商务文件、技术文件整体电子签章。投标工具默认盖章至文件首页。投标文件的签署应能通过招标人招投标交易平台信息系统供应商投标工具的校验。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3.7.3（B）</w:t>
            </w:r>
          </w:p>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新增</w:t>
            </w:r>
          </w:p>
        </w:tc>
        <w:tc>
          <w:tcPr>
            <w:tcW w:w="1092"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投标文件效力</w:t>
            </w:r>
          </w:p>
        </w:tc>
        <w:tc>
          <w:tcPr>
            <w:tcW w:w="7035" w:type="dxa"/>
            <w:vAlign w:val="center"/>
          </w:tcPr>
          <w:p>
            <w:pPr>
              <w:pStyle w:val="17"/>
              <w:ind w:left="0" w:leftChars="0" w:firstLine="0"/>
              <w:rPr>
                <w:rFonts w:hint="eastAsia"/>
                <w:color w:val="auto"/>
                <w:highlight w:val="none"/>
              </w:rPr>
            </w:pPr>
            <w:r>
              <w:rPr>
                <w:rFonts w:hint="eastAsia"/>
                <w:color w:val="auto"/>
                <w:highlight w:val="none"/>
              </w:rPr>
              <w:t>修改为：</w:t>
            </w:r>
          </w:p>
          <w:p>
            <w:pPr>
              <w:pStyle w:val="17"/>
              <w:ind w:left="0" w:leftChars="0" w:firstLine="0"/>
              <w:rPr>
                <w:rFonts w:hint="eastAsia"/>
                <w:color w:val="auto"/>
                <w:highlight w:val="none"/>
              </w:rPr>
            </w:pPr>
            <w:r>
              <w:rPr>
                <w:rFonts w:hint="eastAsia"/>
                <w:color w:val="auto"/>
                <w:highlight w:val="none"/>
                <w:lang w:eastAsia="zh-CN"/>
              </w:rPr>
              <w:t>☑</w:t>
            </w:r>
            <w:r>
              <w:rPr>
                <w:rFonts w:hint="eastAsia"/>
                <w:color w:val="auto"/>
                <w:highlight w:val="none"/>
              </w:rPr>
              <w:t>接受网盘递交方式</w:t>
            </w:r>
            <w:r>
              <w:rPr>
                <w:rFonts w:hint="eastAsia"/>
                <w:color w:val="auto"/>
                <w:highlight w:val="none"/>
                <w:lang w:eastAsia="zh-CN"/>
              </w:rPr>
              <w:t>。</w:t>
            </w:r>
          </w:p>
          <w:p>
            <w:pPr>
              <w:pStyle w:val="17"/>
              <w:ind w:left="0" w:leftChars="0" w:firstLine="0"/>
              <w:rPr>
                <w:rFonts w:hint="eastAsia"/>
                <w:color w:val="auto"/>
                <w:highlight w:val="none"/>
              </w:rPr>
            </w:pPr>
            <w:r>
              <w:rPr>
                <w:rFonts w:hint="eastAsia"/>
                <w:color w:val="auto"/>
                <w:highlight w:val="none"/>
              </w:rPr>
              <w:t>受</w:t>
            </w:r>
            <w:r>
              <w:rPr>
                <w:rFonts w:hint="eastAsia"/>
                <w:color w:val="auto"/>
                <w:highlight w:val="none"/>
                <w:lang w:eastAsia="zh-CN"/>
              </w:rPr>
              <w:t>招标人招投标交易平台信息系统</w:t>
            </w:r>
            <w:r>
              <w:rPr>
                <w:rFonts w:hint="eastAsia"/>
                <w:color w:val="auto"/>
                <w:highlight w:val="none"/>
              </w:rPr>
              <w:t>容量限制，要求通过网盘递交的文件，</w:t>
            </w:r>
            <w:r>
              <w:rPr>
                <w:rFonts w:hint="eastAsia"/>
                <w:color w:val="auto"/>
                <w:highlight w:val="none"/>
                <w:lang w:val="en-US" w:eastAsia="zh-CN"/>
              </w:rPr>
              <w:t>投标</w:t>
            </w:r>
            <w:r>
              <w:rPr>
                <w:rFonts w:hint="eastAsia"/>
                <w:color w:val="auto"/>
                <w:highlight w:val="none"/>
              </w:rPr>
              <w:t>人需应用投标工具U+商务技术大文件功能加密提交网盘文件，在</w:t>
            </w:r>
            <w:r>
              <w:rPr>
                <w:rFonts w:hint="eastAsia"/>
                <w:color w:val="auto"/>
                <w:highlight w:val="none"/>
                <w:lang w:val="en-US" w:eastAsia="zh-CN"/>
              </w:rPr>
              <w:t>投标</w:t>
            </w:r>
            <w:r>
              <w:rPr>
                <w:rFonts w:hint="eastAsia"/>
                <w:color w:val="auto"/>
                <w:highlight w:val="none"/>
              </w:rPr>
              <w:t>截止时间前完成上传提交。</w:t>
            </w:r>
          </w:p>
          <w:p>
            <w:pPr>
              <w:pStyle w:val="17"/>
              <w:ind w:left="0" w:leftChars="0" w:firstLine="0"/>
              <w:rPr>
                <w:rFonts w:hint="eastAsia"/>
                <w:color w:val="auto"/>
                <w:highlight w:val="none"/>
              </w:rPr>
            </w:pPr>
            <w:r>
              <w:rPr>
                <w:rFonts w:hint="eastAsia"/>
                <w:color w:val="auto"/>
                <w:highlight w:val="none"/>
              </w:rPr>
              <w:t>不递交网盘的投标人，投标文件以提交至</w:t>
            </w:r>
            <w:r>
              <w:rPr>
                <w:rFonts w:hint="eastAsia"/>
                <w:color w:val="auto"/>
                <w:highlight w:val="none"/>
                <w:lang w:eastAsia="zh-CN"/>
              </w:rPr>
              <w:t>招标人招投标交易平台信息系统</w:t>
            </w:r>
            <w:r>
              <w:rPr>
                <w:rFonts w:hint="eastAsia"/>
                <w:color w:val="auto"/>
                <w:highlight w:val="none"/>
              </w:rPr>
              <w:t>的电子投标文件为准。递交网盘的投标人，网盘内容和</w:t>
            </w:r>
            <w:r>
              <w:rPr>
                <w:rFonts w:hint="eastAsia"/>
                <w:color w:val="auto"/>
                <w:highlight w:val="none"/>
                <w:lang w:eastAsia="zh-CN"/>
              </w:rPr>
              <w:t>招标人招投标交易平台信息系统</w:t>
            </w:r>
            <w:r>
              <w:rPr>
                <w:rFonts w:hint="eastAsia"/>
                <w:color w:val="auto"/>
                <w:highlight w:val="none"/>
              </w:rPr>
              <w:t>上传内容重复的文件或存在不一致内容的，以</w:t>
            </w:r>
            <w:r>
              <w:rPr>
                <w:rFonts w:hint="eastAsia"/>
                <w:color w:val="auto"/>
                <w:highlight w:val="none"/>
                <w:lang w:eastAsia="zh-CN"/>
              </w:rPr>
              <w:t>招标人招投标交易平台信息系统</w:t>
            </w:r>
            <w:r>
              <w:rPr>
                <w:rFonts w:hint="eastAsia"/>
                <w:color w:val="auto"/>
                <w:highlight w:val="none"/>
              </w:rPr>
              <w:t>的电子投标文件为准。</w:t>
            </w:r>
          </w:p>
          <w:p>
            <w:pPr>
              <w:pStyle w:val="17"/>
              <w:ind w:left="0" w:leftChars="0" w:firstLine="0"/>
              <w:rPr>
                <w:rFonts w:hint="eastAsia"/>
                <w:color w:val="auto"/>
                <w:highlight w:val="none"/>
              </w:rPr>
            </w:pPr>
            <w:r>
              <w:rPr>
                <w:rFonts w:hint="eastAsia"/>
                <w:color w:val="auto"/>
                <w:highlight w:val="none"/>
              </w:rPr>
              <w:t>□不接受网盘递交方式。</w:t>
            </w:r>
          </w:p>
          <w:p>
            <w:pPr>
              <w:pStyle w:val="17"/>
              <w:ind w:left="0" w:leftChars="0" w:firstLine="0"/>
              <w:rPr>
                <w:rFonts w:hint="eastAsia"/>
                <w:color w:val="auto"/>
                <w:highlight w:val="none"/>
              </w:rPr>
            </w:pPr>
            <w:r>
              <w:rPr>
                <w:rFonts w:hint="eastAsia"/>
                <w:color w:val="auto"/>
                <w:highlight w:val="none"/>
              </w:rPr>
              <w:t>全部文件应上传</w:t>
            </w:r>
            <w:r>
              <w:rPr>
                <w:rFonts w:hint="eastAsia"/>
                <w:color w:val="auto"/>
                <w:highlight w:val="none"/>
                <w:lang w:eastAsia="zh-CN"/>
              </w:rPr>
              <w:t>招标人招投标交易平台信息系统</w:t>
            </w:r>
            <w:r>
              <w:rPr>
                <w:rFonts w:hint="eastAsia"/>
                <w:color w:val="auto"/>
                <w:highlight w:val="none"/>
              </w:rPr>
              <w:t>，投标人仅可通过</w:t>
            </w:r>
            <w:r>
              <w:rPr>
                <w:rFonts w:hint="eastAsia"/>
                <w:color w:val="auto"/>
                <w:highlight w:val="none"/>
                <w:lang w:eastAsia="zh-CN"/>
              </w:rPr>
              <w:t>招标人招投标交易平台信息系统</w:t>
            </w:r>
            <w:r>
              <w:rPr>
                <w:rFonts w:hint="eastAsia"/>
                <w:color w:val="auto"/>
                <w:highlight w:val="none"/>
              </w:rPr>
              <w:t>提交全部投标文件</w:t>
            </w:r>
            <w:r>
              <w:rPr>
                <w:rFonts w:hint="eastAsia"/>
                <w:color w:val="auto"/>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3.7.4</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投标文件正副本要求</w:t>
            </w:r>
          </w:p>
        </w:tc>
        <w:tc>
          <w:tcPr>
            <w:tcW w:w="7035" w:type="dxa"/>
            <w:vAlign w:val="center"/>
          </w:tcPr>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3.7.5</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投标文件装订要求</w:t>
            </w:r>
          </w:p>
        </w:tc>
        <w:tc>
          <w:tcPr>
            <w:tcW w:w="7035" w:type="dxa"/>
            <w:vAlign w:val="center"/>
          </w:tcPr>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4.1.1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投标文件加密要求</w:t>
            </w:r>
          </w:p>
        </w:tc>
        <w:tc>
          <w:tcPr>
            <w:tcW w:w="7035" w:type="dxa"/>
            <w:vAlign w:val="center"/>
          </w:tcPr>
          <w:p>
            <w:pPr>
              <w:snapToGrid w:val="0"/>
              <w:spacing w:before="120" w:beforeLines="50" w:after="120" w:afterLines="50"/>
              <w:jc w:val="left"/>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zh-CN"/>
              </w:rPr>
              <w:t>投标人使用本人的合法数字证书之私钥对所投电子投标文件进行数字（电子）签名，使用招标人的合法数字证书之公钥对所投电子投标文件进行加密后，提交招标人招投标交易平台信息系统。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投标截止时间</w:t>
            </w:r>
          </w:p>
        </w:tc>
        <w:tc>
          <w:tcPr>
            <w:tcW w:w="7035" w:type="dxa"/>
            <w:vAlign w:val="center"/>
          </w:tcPr>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投标人通过电子招标投标交易平台递交电子投标文件</w:t>
            </w:r>
          </w:p>
        </w:tc>
        <w:tc>
          <w:tcPr>
            <w:tcW w:w="7035" w:type="dxa"/>
            <w:vAlign w:val="center"/>
          </w:tcPr>
          <w:p>
            <w:pPr>
              <w:pStyle w:val="3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1.投标人应使用投标工具制作投标文件价格文件、商务文件、技术文件，生成完整投标文件、进行电子签章后加密提交。</w:t>
            </w:r>
          </w:p>
          <w:p>
            <w:pPr>
              <w:pStyle w:val="30"/>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2.投标人未能在招标人招投标交易平台信息系统上提交投标报价的，或当众公示的开标一览表中不显示、显示为空白或乱码的投标报价，或投标人价格文件与开标一览表中的投标价格</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或折扣率</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不一致的，或投标报价错误的，视为无效报价。如有价格调整，投标人应在截标前在招标人招投标交易平台信息系统上重新报价，并重新生成全套价格文件（即工程量清单）以保持开标一览表与价格文件的报价一致性。</w:t>
            </w:r>
          </w:p>
          <w:p>
            <w:pPr>
              <w:pStyle w:val="31"/>
              <w:adjustRightInd w:val="0"/>
              <w:snapToGrid w:val="0"/>
              <w:spacing w:before="120" w:beforeLines="50" w:after="12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3.投标人放弃全部或部分标包的投标，投标人必须在截标前在招标人招投标交易平台信息系统撤回已提交的投标文件，否则将视为投标人参加投标并按本章第5条规定进行解密公示，公示后的开标报价具有法律效力，如该投标人中标，后续合同签订受相关法律责任约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rPr>
              <w:t>4.2.3</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投标文件是否退还</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lang w:bidi="zh-CN"/>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sz w:val="21"/>
                <w:szCs w:val="21"/>
                <w:highlight w:val="none"/>
                <w:lang w:val="en-US"/>
              </w:rPr>
              <w:t>4.2.4</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投标文件提交时间</w:t>
            </w:r>
          </w:p>
        </w:tc>
        <w:tc>
          <w:tcPr>
            <w:tcW w:w="7035" w:type="dxa"/>
            <w:vAlign w:val="center"/>
          </w:tcPr>
          <w:p>
            <w:pPr>
              <w:pStyle w:val="30"/>
              <w:autoSpaceDE w:val="0"/>
              <w:autoSpaceDN w:val="0"/>
              <w:snapToGrid w:val="0"/>
              <w:spacing w:before="120" w:beforeLines="50" w:after="120" w:afterLines="50"/>
              <w:ind w:firstLine="0" w:firstLineChars="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投标人完成电子投标文件上传后，可</w:t>
            </w:r>
            <w:r>
              <w:rPr>
                <w:rFonts w:hint="eastAsia" w:ascii="宋体" w:hAnsi="宋体" w:eastAsia="宋体" w:cs="宋体"/>
                <w:color w:val="auto"/>
                <w:sz w:val="21"/>
                <w:szCs w:val="21"/>
                <w:highlight w:val="none"/>
                <w:lang w:val="en-US" w:bidi="zh-CN"/>
              </w:rPr>
              <w:t>登</w:t>
            </w:r>
            <w:r>
              <w:rPr>
                <w:rFonts w:hint="eastAsia" w:ascii="宋体" w:hAnsi="宋体" w:eastAsia="宋体" w:cs="宋体"/>
                <w:b w:val="0"/>
                <w:bCs w:val="0"/>
                <w:color w:val="auto"/>
                <w:sz w:val="21"/>
                <w:szCs w:val="21"/>
                <w:highlight w:val="none"/>
                <w:u w:val="none"/>
                <w:lang w:val="en-US" w:bidi="zh-CN"/>
              </w:rPr>
              <w:t>录</w:t>
            </w:r>
            <w:r>
              <w:rPr>
                <w:rFonts w:hint="eastAsia" w:ascii="宋体" w:hAnsi="宋体" w:eastAsia="宋体" w:cs="宋体"/>
                <w:color w:val="auto"/>
                <w:sz w:val="21"/>
                <w:szCs w:val="21"/>
                <w:highlight w:val="none"/>
              </w:rPr>
              <w:t>招标人招投标交易平台信息系统查看投标文件上传情况统计。提交时间以招标人招投标交易平台信息系统记录的传输完成时间为准。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4.2.5</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拒收投标文件的其他情形</w:t>
            </w:r>
          </w:p>
        </w:tc>
        <w:tc>
          <w:tcPr>
            <w:tcW w:w="7035" w:type="dxa"/>
            <w:vAlign w:val="center"/>
          </w:tcPr>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补充：</w:t>
            </w:r>
          </w:p>
          <w:p>
            <w:pPr>
              <w:pStyle w:val="30"/>
              <w:autoSpaceDE w:val="0"/>
              <w:autoSpaceDN w:val="0"/>
              <w:snapToGrid w:val="0"/>
              <w:spacing w:before="120" w:beforeLines="50" w:after="120" w:afterLines="50"/>
              <w:ind w:firstLine="0" w:firstLineChars="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1.未按要求获取招标文件的，其投标文件将予以拒收。</w:t>
            </w:r>
          </w:p>
          <w:p>
            <w:pPr>
              <w:pStyle w:val="30"/>
              <w:autoSpaceDE w:val="0"/>
              <w:autoSpaceDN w:val="0"/>
              <w:snapToGrid w:val="0"/>
              <w:spacing w:before="120" w:beforeLines="50" w:after="120" w:afterLines="50"/>
              <w:ind w:firstLine="0" w:firstLineChars="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2.以邮寄方式递交的投标文件将予以拒收。</w:t>
            </w:r>
          </w:p>
          <w:p>
            <w:pPr>
              <w:pStyle w:val="30"/>
              <w:autoSpaceDE w:val="0"/>
              <w:autoSpaceDN w:val="0"/>
              <w:snapToGrid w:val="0"/>
              <w:spacing w:before="120" w:beforeLines="50" w:after="120" w:afterLines="50"/>
              <w:ind w:firstLine="0" w:firstLineChars="0"/>
              <w:jc w:val="left"/>
              <w:rPr>
                <w:rFonts w:hint="eastAsia" w:ascii="宋体" w:hAnsi="宋体" w:eastAsia="宋体" w:cs="宋体"/>
                <w:bCs/>
                <w:color w:val="auto"/>
                <w:sz w:val="21"/>
                <w:szCs w:val="21"/>
                <w:highlight w:val="none"/>
              </w:rPr>
            </w:pPr>
            <w:r>
              <w:rPr>
                <w:rFonts w:hint="eastAsia" w:ascii="宋体" w:hAnsi="宋体" w:eastAsia="宋体" w:cs="宋体"/>
                <w:color w:val="auto"/>
                <w:sz w:val="21"/>
                <w:szCs w:val="21"/>
                <w:highlight w:val="none"/>
              </w:rPr>
              <w:t>3.纸质投标文件将予以拒收。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4.3.2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投标文件的修改与撤回</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投标人修改或撤回投标文件后，可登</w:t>
            </w:r>
            <w:r>
              <w:rPr>
                <w:rFonts w:hint="eastAsia" w:ascii="宋体" w:hAnsi="宋体" w:eastAsia="宋体" w:cs="宋体"/>
                <w:strike w:val="0"/>
                <w:dstrike w:val="0"/>
                <w:color w:val="auto"/>
                <w:kern w:val="0"/>
                <w:sz w:val="21"/>
                <w:szCs w:val="21"/>
                <w:highlight w:val="none"/>
                <w:lang w:val="en-US" w:eastAsia="zh-CN"/>
              </w:rPr>
              <w:t>录</w:t>
            </w:r>
            <w:r>
              <w:rPr>
                <w:rFonts w:hint="eastAsia" w:ascii="宋体" w:hAnsi="宋体" w:eastAsia="宋体" w:cs="宋体"/>
                <w:color w:val="auto"/>
                <w:kern w:val="0"/>
                <w:sz w:val="21"/>
                <w:szCs w:val="21"/>
                <w:highlight w:val="none"/>
              </w:rPr>
              <w:t>招标人招投标交易平台信息系统查看投标文件上传情况。提交或撤回状态以招标人招投标交易平台信息系统记录的为准。</w:t>
            </w:r>
          </w:p>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投标人撤回投标文件的，招标人自收到投标人书面撤回通知之日起 5日内退还已收取的投标保证金。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5.1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en-US" w:bidi="ar-SA"/>
              </w:rPr>
            </w:pPr>
            <w:r>
              <w:rPr>
                <w:rFonts w:hint="eastAsia" w:ascii="宋体" w:hAnsi="宋体" w:eastAsia="宋体" w:cs="宋体"/>
                <w:color w:val="auto"/>
                <w:kern w:val="0"/>
                <w:sz w:val="21"/>
                <w:szCs w:val="21"/>
                <w:highlight w:val="none"/>
                <w:lang w:eastAsia="en-US"/>
              </w:rPr>
              <w:t>开标时间和地点</w:t>
            </w:r>
          </w:p>
        </w:tc>
        <w:tc>
          <w:tcPr>
            <w:tcW w:w="7035"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开标时间：同投标截止时间，见招标公告。</w:t>
            </w:r>
          </w:p>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b/>
                <w:bCs/>
                <w:color w:val="auto"/>
                <w:sz w:val="21"/>
                <w:szCs w:val="21"/>
                <w:highlight w:val="none"/>
                <w:u w:val="single"/>
                <w:lang w:eastAsia="zh-CN"/>
              </w:rPr>
            </w:pPr>
            <w:r>
              <w:rPr>
                <w:rFonts w:hint="eastAsia" w:ascii="宋体" w:hAnsi="宋体" w:eastAsia="宋体" w:cs="宋体"/>
                <w:strike w:val="0"/>
                <w:dstrike w:val="0"/>
                <w:color w:val="auto"/>
                <w:sz w:val="21"/>
                <w:szCs w:val="21"/>
                <w:highlight w:val="none"/>
              </w:rPr>
              <w:t>开标地点：</w:t>
            </w:r>
            <w:r>
              <w:rPr>
                <w:rFonts w:hint="eastAsia" w:ascii="宋体" w:hAnsi="宋体" w:eastAsia="宋体" w:cs="宋体"/>
                <w:b w:val="0"/>
                <w:bCs w:val="0"/>
                <w:color w:val="auto"/>
                <w:sz w:val="21"/>
                <w:szCs w:val="21"/>
                <w:highlight w:val="none"/>
                <w:u w:val="single"/>
                <w:lang w:eastAsia="zh-CN"/>
              </w:rPr>
              <w:t>国网物资有限公司</w:t>
            </w:r>
            <w:r>
              <w:rPr>
                <w:rFonts w:hint="eastAsia" w:ascii="宋体" w:hAnsi="宋体" w:eastAsia="宋体" w:cs="宋体"/>
                <w:b/>
                <w:bCs/>
                <w:color w:val="auto"/>
                <w:sz w:val="21"/>
                <w:szCs w:val="21"/>
                <w:highlight w:val="none"/>
                <w:u w:val="none"/>
                <w:lang w:eastAsia="zh-CN"/>
              </w:rPr>
              <w:t>（</w:t>
            </w:r>
            <w:r>
              <w:rPr>
                <w:rFonts w:hint="eastAsia" w:ascii="宋体" w:hAnsi="宋体" w:eastAsia="宋体" w:cs="宋体"/>
                <w:b w:val="0"/>
                <w:bCs w:val="0"/>
                <w:color w:val="auto"/>
                <w:sz w:val="21"/>
                <w:szCs w:val="21"/>
                <w:highlight w:val="none"/>
                <w:u w:val="none"/>
                <w:lang w:eastAsia="zh-CN"/>
              </w:rPr>
              <w:t>不组织现场开标，电子商务平台线上开标</w:t>
            </w:r>
            <w:r>
              <w:rPr>
                <w:rFonts w:hint="eastAsia" w:ascii="宋体" w:hAnsi="宋体" w:eastAsia="宋体" w:cs="宋体"/>
                <w:b/>
                <w:bCs/>
                <w:color w:val="auto"/>
                <w:sz w:val="21"/>
                <w:szCs w:val="21"/>
                <w:highlight w:val="none"/>
                <w:u w:val="none"/>
                <w:lang w:eastAsia="zh-CN"/>
              </w:rPr>
              <w:t>）</w:t>
            </w:r>
          </w:p>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strike/>
                <w:dstrike w:val="0"/>
                <w:color w:val="auto"/>
                <w:sz w:val="21"/>
                <w:szCs w:val="21"/>
                <w:highlight w:val="none"/>
              </w:rPr>
            </w:pPr>
            <w:r>
              <w:rPr>
                <w:rFonts w:hint="eastAsia" w:ascii="宋体" w:hAnsi="宋体" w:eastAsia="宋体" w:cs="宋体"/>
                <w:strike w:val="0"/>
                <w:dstrike w:val="0"/>
                <w:color w:val="auto"/>
                <w:sz w:val="21"/>
                <w:szCs w:val="21"/>
                <w:highlight w:val="none"/>
              </w:rPr>
              <w:t>本项目开标过程全程在</w:t>
            </w:r>
            <w:r>
              <w:rPr>
                <w:rFonts w:hint="eastAsia" w:ascii="宋体" w:hAnsi="宋体" w:eastAsia="宋体" w:cs="宋体"/>
                <w:color w:val="auto"/>
                <w:sz w:val="21"/>
                <w:szCs w:val="21"/>
                <w:highlight w:val="none"/>
                <w:lang w:eastAsia="zh-CN"/>
              </w:rPr>
              <w:t>电子商务平台在线直播。</w:t>
            </w:r>
          </w:p>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strike w:val="0"/>
                <w:dstrike w:val="0"/>
                <w:color w:val="auto"/>
                <w:sz w:val="21"/>
                <w:szCs w:val="21"/>
                <w:highlight w:val="none"/>
              </w:rPr>
              <w:t>参加开标的方法</w:t>
            </w:r>
            <w:r>
              <w:rPr>
                <w:rFonts w:hint="eastAsia" w:ascii="宋体" w:hAnsi="宋体" w:eastAsia="宋体" w:cs="宋体"/>
                <w:strike w:val="0"/>
                <w:dstrike w:val="0"/>
                <w:color w:val="auto"/>
                <w:sz w:val="21"/>
                <w:szCs w:val="21"/>
                <w:highlight w:val="none"/>
                <w:lang w:val="en-US" w:eastAsia="zh-CN"/>
              </w:rPr>
              <w:t>:</w:t>
            </w:r>
            <w:r>
              <w:rPr>
                <w:rFonts w:hint="eastAsia" w:ascii="宋体" w:hAnsi="宋体" w:eastAsia="宋体" w:cs="宋体"/>
                <w:color w:val="auto"/>
                <w:sz w:val="21"/>
                <w:szCs w:val="21"/>
                <w:highlight w:val="none"/>
                <w:lang w:eastAsia="zh-CN"/>
              </w:rPr>
              <w:t>投标人在开标前登录电子商务平台，在本次投标项目界面，点击进入“开标直播大厅”，并按系统提示完成操作后在线参加开标直播。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5.2</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rPr>
            </w:pPr>
            <w:r>
              <w:rPr>
                <w:rFonts w:hint="eastAsia" w:ascii="宋体" w:hAnsi="宋体" w:eastAsia="宋体" w:cs="宋体"/>
                <w:color w:val="auto"/>
                <w:kern w:val="0"/>
                <w:sz w:val="21"/>
                <w:szCs w:val="21"/>
                <w:highlight w:val="none"/>
                <w:lang w:val="en-US" w:eastAsia="zh-CN"/>
              </w:rPr>
              <w:t>电子化开标仪式</w:t>
            </w:r>
          </w:p>
        </w:tc>
        <w:tc>
          <w:tcPr>
            <w:tcW w:w="7035" w:type="dxa"/>
            <w:vAlign w:val="center"/>
          </w:tcPr>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rPr>
              <w:t>本项目开标仪式通过ECP开标直播大厅-i国网视频会议进行网络直播，请提前完成i国网客户端的下载、账号注册等工作。</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投标人在开标前，登录ECP2.0系统，进入“查看开标记录”页面后，点击“进入开标直播大厅”，根据系统的弹出i国网下载页面下载i国网客户端，注册isc账号，登录i国网后，输入会议号</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开标前短信通知</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观看开标直播。</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1）i国网平台下载地址：https://id.sgcc.com.cn:10443/igw/index.html</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isc账号注册地址：http://id.sgcc.com.cn:18088/；点击“外部单位注册”登录isc注册页面，填写单位信息，并在“审核凭证”处上传供应商注册ECP账号审核通过的截图（ECP截图路径为“账号信息管理-注册信息管理”）即可，</w:t>
            </w:r>
            <w:r>
              <w:rPr>
                <w:rFonts w:hint="eastAsia" w:ascii="宋体" w:hAnsi="宋体" w:eastAsia="宋体" w:cs="宋体"/>
                <w:color w:val="auto"/>
                <w:sz w:val="21"/>
                <w:szCs w:val="21"/>
                <w:highlight w:val="none"/>
                <w:lang w:eastAsia="zh-CN"/>
              </w:rPr>
              <w:t>所提交的申请将在1个工作日</w:t>
            </w:r>
            <w:r>
              <w:rPr>
                <w:rFonts w:hint="eastAsia" w:ascii="宋体" w:hAnsi="宋体" w:eastAsia="宋体" w:cs="宋体"/>
                <w:color w:val="auto"/>
                <w:sz w:val="21"/>
                <w:szCs w:val="21"/>
                <w:highlight w:val="none"/>
              </w:rPr>
              <w:t>后审核通过。</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如遇i国网注册问题，请联系运维电话：</w:t>
            </w:r>
            <w:r>
              <w:rPr>
                <w:rFonts w:hint="eastAsia" w:ascii="宋体" w:hAnsi="宋体" w:eastAsia="宋体" w:cs="宋体"/>
                <w:b/>
                <w:bCs/>
                <w:color w:val="auto"/>
                <w:sz w:val="21"/>
                <w:szCs w:val="21"/>
                <w:highlight w:val="none"/>
              </w:rPr>
              <w:t>010-60617604。</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按下列程序进行开标：</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（1）宣布开标纪律。</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（2）上传招标人招投标交易平台信息系统价格文件不足3家的项目不予开标；</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（3）投标人加密上传的投标文件将在投标截止时间起开始解密。开标报价通过招标人招投标交易平台信息系统向所有投标人公示。投标人的投标报价以招标人招投标交易平台信息系统公示的电子报价为准。</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因投标人原因造成投标文件未解密的，视为撤销其投标文件；因投标人之外的原因造成投标文件未解密的，视为撤回其投标文件，投标人有权要求责任方赔偿因此遭受的直接损失。部分投标文件未解密的，其他投标文件的开标可以继续进行。</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开标过程中，如发生系统解密中断或解密速度异常缓慢等情形，招标人将迅速组织进行信息系统检查和维护，各投标人可以在任何具备互联网条件的环境自行登录系统，继续见证开标过程和开标内容，直到服务器未解密开标信息数据全部解密完成。</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的投标报价以招标人招投标交易平台信息系统公示的电子报价为准；投标人可以登录招标人招投标交易平台信息系统见证监督开标过程。如投标人对开标过程有异议的，应按照招标文件规定的通信方式和异议格式向招标人提出。在评标中投标人的报价以招标人招投标交易平台信息系统公示的电子报价为准。</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（4）公示结束后，各投标人须于开标后24小时内在招标人招投标交易平台信息系统完成开标结果确认，逾期未在招标人招投标交易平台信息系统完成开标结果确认的视为投标人对开标结果已确认。</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（5）整个开标过程由监</w:t>
            </w:r>
            <w:r>
              <w:rPr>
                <w:rFonts w:hint="eastAsia" w:ascii="宋体" w:hAnsi="宋体" w:eastAsia="宋体" w:cs="宋体"/>
                <w:color w:val="auto"/>
                <w:sz w:val="21"/>
                <w:szCs w:val="21"/>
                <w:highlight w:val="none"/>
                <w:lang w:val="en-US" w:eastAsia="zh-CN"/>
              </w:rPr>
              <w:t>督</w:t>
            </w:r>
            <w:r>
              <w:rPr>
                <w:rFonts w:hint="eastAsia" w:ascii="宋体" w:hAnsi="宋体" w:eastAsia="宋体" w:cs="宋体"/>
                <w:color w:val="auto"/>
                <w:sz w:val="21"/>
                <w:szCs w:val="21"/>
                <w:highlight w:val="none"/>
              </w:rPr>
              <w:t>人员监督。</w:t>
            </w:r>
          </w:p>
          <w:p>
            <w:pPr>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投标人可在招标文件规定的投标截止时间前任意时间，在任何具备互联网环境的地方登录招标人招投标交易平台信息系统并插入CA钥匙，验证开标信息是否准时解密，以及是否发生提前解密的情形，监督招标人招投标交易平台信息系统的解密进程。</w:t>
            </w:r>
          </w:p>
          <w:p>
            <w:pPr>
              <w:autoSpaceDE w:val="0"/>
              <w:autoSpaceDN w:val="0"/>
              <w:adjustRightInd w:val="0"/>
              <w:snapToGrid w:val="0"/>
              <w:spacing w:before="120" w:beforeLines="50" w:after="120" w:afterLines="5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（7）价格公式中的</w:t>
            </w:r>
            <w:r>
              <w:rPr>
                <w:rFonts w:hint="eastAsia" w:ascii="宋体" w:hAnsi="宋体" w:eastAsia="宋体" w:cs="宋体"/>
                <w:color w:val="auto"/>
                <w:sz w:val="21"/>
                <w:szCs w:val="21"/>
                <w:highlight w:val="none"/>
                <w:lang w:val="en-US" w:eastAsia="zh-CN"/>
              </w:rPr>
              <w:t>浮动</w:t>
            </w:r>
            <w:r>
              <w:rPr>
                <w:rFonts w:hint="eastAsia" w:ascii="宋体" w:hAnsi="宋体" w:eastAsia="宋体" w:cs="宋体"/>
                <w:color w:val="auto"/>
                <w:sz w:val="21"/>
                <w:szCs w:val="21"/>
                <w:highlight w:val="none"/>
              </w:rPr>
              <w:t>系数（如有），在开标现场在监察监督下进行抽取，并通过互联网进行直播，抽取结果在招标人招投标交易平台信息系统进行公示。</w:t>
            </w:r>
          </w:p>
          <w:p>
            <w:pPr>
              <w:pStyle w:val="5"/>
              <w:autoSpaceDE w:val="0"/>
              <w:autoSpaceDN w:val="0"/>
              <w:adjustRightInd w:val="0"/>
              <w:snapToGrid w:val="0"/>
              <w:spacing w:before="120" w:beforeLines="50" w:after="120" w:afterLines="50"/>
              <w:ind w:firstLine="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8）投标人可在招标文件规定的投标截止时间后，在任何具备互联网环境的地方登录招标人招投标交易平台信息系统，并使用本人合法数字证书，查看开标一览表，如对其开标过程有异议，投标人根据附表三格式填写《开标异议单》，并及时将该记录表在开标结束时间后1个小时内盖章扫描发送至指定电子邮箱</w:t>
            </w:r>
            <w:r>
              <w:rPr>
                <w:rFonts w:hint="eastAsia" w:ascii="宋体" w:hAnsi="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en-US"/>
              </w:rPr>
              <w:t>5.3</w:t>
            </w:r>
            <w:r>
              <w:rPr>
                <w:rFonts w:hint="eastAsia" w:cs="宋体"/>
                <w:color w:val="auto"/>
                <w:sz w:val="21"/>
                <w:szCs w:val="21"/>
                <w:highlight w:val="none"/>
                <w:lang w:val="en-US" w:eastAsia="zh-CN"/>
              </w:rPr>
              <w:t>新增</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开标异议</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投标人对开标有异议的，应当在开标现场提出，招标人当场作出答复，并制作记录。</w:t>
            </w:r>
          </w:p>
          <w:p>
            <w:pPr>
              <w:adjustRightInd w:val="0"/>
              <w:snapToGrid w:val="0"/>
              <w:spacing w:before="120" w:beforeLines="50" w:after="120" w:afterLines="50"/>
              <w:rPr>
                <w:rFonts w:hint="eastAsia" w:ascii="宋体" w:hAnsi="宋体" w:eastAsia="宋体" w:cs="宋体"/>
                <w:color w:val="auto"/>
                <w:kern w:val="0"/>
                <w:sz w:val="21"/>
                <w:szCs w:val="21"/>
                <w:highlight w:val="none"/>
                <w:lang w:bidi="zh-CN"/>
              </w:rPr>
            </w:pPr>
            <w:r>
              <w:rPr>
                <w:rFonts w:hint="eastAsia" w:ascii="宋体" w:hAnsi="宋体" w:eastAsia="宋体" w:cs="宋体"/>
                <w:color w:val="auto"/>
                <w:kern w:val="0"/>
                <w:sz w:val="21"/>
                <w:szCs w:val="21"/>
                <w:highlight w:val="none"/>
              </w:rPr>
              <w:t>投标人对开标有异议的，应按附件格式填写《开标异议单》并在开标结束时间后1个小时内盖章扫描发送至指定电子邮箱，电子邮箱见招标公告。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6.1.1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评标委员会的组建</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评标委员会构成：5人及以上单数。技术、经济专家不少于成员总数的三分之二。</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技术、经济等方面专家确定方式：</w:t>
            </w:r>
            <w:r>
              <w:rPr>
                <w:rFonts w:hint="eastAsia" w:ascii="宋体" w:hAnsi="宋体" w:eastAsia="宋体" w:cs="宋体"/>
                <w:color w:val="auto"/>
                <w:sz w:val="21"/>
                <w:szCs w:val="21"/>
                <w:highlight w:val="none"/>
              </w:rPr>
              <w:t>根据国家法律法规和国家电网有限公司相关规定组建。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新增</w:t>
            </w:r>
          </w:p>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6.1.2</w:t>
            </w:r>
          </w:p>
        </w:tc>
        <w:tc>
          <w:tcPr>
            <w:tcW w:w="1092" w:type="dxa"/>
            <w:vAlign w:val="center"/>
          </w:tcPr>
          <w:p>
            <w:pPr>
              <w:adjustRightInd w:val="0"/>
              <w:snapToGrid w:val="0"/>
              <w:jc w:val="center"/>
              <w:rPr>
                <w:rFonts w:hint="eastAsia" w:ascii="宋体" w:hAnsi="宋体" w:eastAsia="宋体" w:cs="宋体"/>
                <w:color w:val="auto"/>
                <w:kern w:val="2"/>
                <w:sz w:val="21"/>
                <w:szCs w:val="21"/>
                <w:highlight w:val="none"/>
                <w:lang w:val="en-US" w:eastAsia="en-US" w:bidi="ar-SA"/>
              </w:rPr>
            </w:pPr>
            <w:r>
              <w:rPr>
                <w:rFonts w:hint="eastAsia" w:ascii="宋体" w:hAnsi="宋体" w:eastAsia="宋体" w:cs="宋体"/>
                <w:color w:val="auto"/>
                <w:sz w:val="21"/>
                <w:szCs w:val="21"/>
                <w:highlight w:val="none"/>
              </w:rPr>
              <w:t>评标委员会由下列情形之一的，应当回避</w:t>
            </w:r>
          </w:p>
        </w:tc>
        <w:tc>
          <w:tcPr>
            <w:tcW w:w="7035" w:type="dxa"/>
            <w:vAlign w:val="center"/>
          </w:tcPr>
          <w:p>
            <w:pPr>
              <w:adjustRightInd w:val="0"/>
              <w:snapToGrid w:val="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补充：（5）与投标人有其他利害关系。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新增</w:t>
            </w:r>
          </w:p>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6.1.3</w:t>
            </w:r>
          </w:p>
        </w:tc>
        <w:tc>
          <w:tcPr>
            <w:tcW w:w="1092" w:type="dxa"/>
            <w:vAlign w:val="center"/>
          </w:tcPr>
          <w:p>
            <w:pPr>
              <w:adjustRightInd w:val="0"/>
              <w:snapToGrid w:val="0"/>
              <w:jc w:val="center"/>
              <w:rPr>
                <w:rFonts w:hint="eastAsia" w:ascii="宋体" w:hAnsi="宋体" w:eastAsia="宋体" w:cs="宋体"/>
                <w:color w:val="auto"/>
                <w:kern w:val="2"/>
                <w:sz w:val="21"/>
                <w:szCs w:val="21"/>
                <w:highlight w:val="none"/>
                <w:lang w:val="en-US" w:eastAsia="en-US" w:bidi="ar-SA"/>
              </w:rPr>
            </w:pPr>
            <w:r>
              <w:rPr>
                <w:rFonts w:hint="eastAsia" w:ascii="宋体" w:hAnsi="宋体" w:eastAsia="宋体" w:cs="宋体"/>
                <w:color w:val="auto"/>
                <w:sz w:val="21"/>
                <w:szCs w:val="21"/>
                <w:highlight w:val="none"/>
              </w:rPr>
              <w:t>评标过程</w:t>
            </w:r>
          </w:p>
        </w:tc>
        <w:tc>
          <w:tcPr>
            <w:tcW w:w="7035" w:type="dxa"/>
            <w:vAlign w:val="center"/>
          </w:tcPr>
          <w:p>
            <w:pPr>
              <w:adjustRightInd w:val="0"/>
              <w:snapToGrid w:val="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评标过程中，评标委员会成员有回避事由、擅离职守或者因健康等原因不能继续评标的，招标人有权更换。被更换的评标委员会成员作出的评审结论无效，由更换后的评标委员会成员重新进行评审。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restart"/>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7.1</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是否授权评标委员会确定中标人</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Merge w:val="continue"/>
            <w:vAlign w:val="center"/>
          </w:tcPr>
          <w:p>
            <w:pPr>
              <w:adjustRightInd w:val="0"/>
              <w:snapToGrid w:val="0"/>
              <w:jc w:val="center"/>
              <w:rPr>
                <w:rFonts w:hint="eastAsia" w:ascii="宋体" w:hAnsi="宋体" w:eastAsia="宋体" w:cs="宋体"/>
                <w:color w:val="auto"/>
                <w:sz w:val="21"/>
                <w:szCs w:val="21"/>
                <w:highlight w:val="none"/>
              </w:rPr>
            </w:pP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评标委员会推荐中标候选人的人数</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0"/>
                <w:sz w:val="21"/>
                <w:szCs w:val="21"/>
                <w:highlight w:val="none"/>
              </w:rPr>
              <w:t>评标委员会每包推荐中标候选人</w:t>
            </w:r>
            <w:r>
              <w:rPr>
                <w:rFonts w:hint="eastAsia" w:ascii="宋体" w:hAnsi="宋体" w:eastAsia="宋体" w:cs="宋体"/>
                <w:b/>
                <w:bCs/>
                <w:color w:val="auto"/>
                <w:kern w:val="0"/>
                <w:sz w:val="21"/>
                <w:szCs w:val="21"/>
                <w:highlight w:val="none"/>
                <w:lang w:val="en-US" w:eastAsia="zh-CN"/>
              </w:rPr>
              <w:t>1</w:t>
            </w:r>
            <w:r>
              <w:rPr>
                <w:rFonts w:hint="eastAsia" w:ascii="宋体" w:hAnsi="宋体" w:eastAsia="宋体" w:cs="宋体"/>
                <w:color w:val="auto"/>
                <w:kern w:val="0"/>
                <w:sz w:val="21"/>
                <w:szCs w:val="21"/>
                <w:highlight w:val="none"/>
              </w:rPr>
              <w:t>名。招标人公示由评标委员会推荐的中标候选人。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 xml:space="preserve">     7.2</w:t>
            </w:r>
          </w:p>
          <w:p>
            <w:pPr>
              <w:adjustRightInd w:val="0"/>
              <w:snapToGrid w:val="0"/>
              <w:jc w:val="center"/>
              <w:rPr>
                <w:rFonts w:hint="eastAsia" w:ascii="宋体" w:hAnsi="宋体" w:eastAsia="宋体" w:cs="宋体"/>
                <w:color w:val="auto"/>
                <w:sz w:val="21"/>
                <w:szCs w:val="21"/>
                <w:highlight w:val="none"/>
              </w:rPr>
            </w:pPr>
          </w:p>
        </w:tc>
        <w:tc>
          <w:tcPr>
            <w:tcW w:w="1092" w:type="dxa"/>
            <w:vAlign w:val="center"/>
          </w:tcPr>
          <w:p>
            <w:pPr>
              <w:adjustRightInd w:val="0"/>
              <w:snapToGrid w:val="0"/>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kern w:val="0"/>
                <w:sz w:val="21"/>
                <w:szCs w:val="21"/>
                <w:highlight w:val="none"/>
              </w:rPr>
              <w:t>中标候选人公示</w:t>
            </w:r>
          </w:p>
        </w:tc>
        <w:tc>
          <w:tcPr>
            <w:tcW w:w="7035" w:type="dxa"/>
            <w:vAlign w:val="center"/>
          </w:tcPr>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（1）中标候选人公示：招标人在收到评标报告之日起3日内，按照投标人须知前附表规定的公示媒介和期限公示中标候选人，公示期不得少于3日。</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公示媒介：招标人招投标交易平台信息系统、中国招标投标公共服务平台。</w:t>
            </w:r>
          </w:p>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公示期限：3日。</w:t>
            </w:r>
          </w:p>
          <w:p>
            <w:pPr>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（2）评标结果异议：</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或者其他利害关系人对依法必须进行招标的项目的评标结果有异议的，应当在中标候选人公示期间，实名以书面形式向招标人提出。若提出异议的为利害关系人，应提供关于利害关系的支撑材料。不受理匿名或其他形式的异议。</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2）应按附件格式要求提供《评标结果异议单》，发送至指定电子邮箱或传真电话，电子邮箱或传真电话详见中标候选人公示。</w:t>
            </w:r>
          </w:p>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招标人将在收到异议之日起3日内作出答复；作出答复前，将暂停招标投标活动。</w:t>
            </w:r>
          </w:p>
          <w:p>
            <w:pPr>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3</w:t>
            </w:r>
            <w:r>
              <w:rPr>
                <w:rFonts w:hint="eastAsia" w:ascii="宋体" w:hAnsi="宋体" w:cs="宋体"/>
                <w:color w:val="auto"/>
                <w:kern w:val="0"/>
                <w:sz w:val="21"/>
                <w:szCs w:val="21"/>
                <w:highlight w:val="none"/>
                <w:lang w:eastAsia="zh-CN"/>
              </w:rPr>
              <w:t>）</w:t>
            </w:r>
            <w:r>
              <w:rPr>
                <w:rFonts w:hint="eastAsia" w:ascii="宋体" w:hAnsi="宋体" w:eastAsia="宋体" w:cs="宋体"/>
                <w:color w:val="auto"/>
                <w:kern w:val="0"/>
                <w:sz w:val="21"/>
                <w:szCs w:val="21"/>
                <w:highlight w:val="none"/>
              </w:rPr>
              <w:t>异议人所提事项应当客观真实，对其所提供材料内容的真实性负责，不得捏造事实或者提供虚假材料。对于捏造事实或者提供虚假材料的，招标人有权按照《国家电网有限公司供应商关系管理办法》对该异议人做出处理。</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3）中标候选人履约能力审查：中标候选人的经营、财务状况发生较大变化或存在违法行为，招标人认为可能影响其履约能力的，将在发出中标通知书前提请原评标委员会按照招标文件规定的标准和方法进行审查确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rPr>
              <w:t>7.</w:t>
            </w:r>
            <w:r>
              <w:rPr>
                <w:rFonts w:hint="eastAsia" w:ascii="宋体" w:hAnsi="宋体" w:eastAsia="宋体" w:cs="宋体"/>
                <w:color w:val="auto"/>
                <w:sz w:val="21"/>
                <w:szCs w:val="21"/>
                <w:highlight w:val="none"/>
                <w:lang w:val="en-US"/>
              </w:rPr>
              <w:t>3</w:t>
            </w:r>
          </w:p>
        </w:tc>
        <w:tc>
          <w:tcPr>
            <w:tcW w:w="1092" w:type="dxa"/>
            <w:vAlign w:val="center"/>
          </w:tcPr>
          <w:p>
            <w:pPr>
              <w:pStyle w:val="28"/>
              <w:jc w:val="center"/>
              <w:outlineLvl w:val="0"/>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rPr>
              <w:t>中标通知</w:t>
            </w:r>
          </w:p>
        </w:tc>
        <w:tc>
          <w:tcPr>
            <w:tcW w:w="7035" w:type="dxa"/>
            <w:vAlign w:val="center"/>
          </w:tcPr>
          <w:p>
            <w:pPr>
              <w:adjustRightInd w:val="0"/>
              <w:snapToGrid w:val="0"/>
              <w:spacing w:before="120" w:beforeLines="50" w:after="120" w:afterLines="50"/>
              <w:outlineLvl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补充：</w:t>
            </w:r>
          </w:p>
          <w:p>
            <w:pPr>
              <w:pStyle w:val="28"/>
              <w:tabs>
                <w:tab w:val="left" w:pos="1401"/>
                <w:tab w:val="left" w:pos="2171"/>
                <w:tab w:val="left" w:pos="2945"/>
              </w:tabs>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招标人</w:t>
            </w:r>
            <w:r>
              <w:rPr>
                <w:rFonts w:hint="eastAsia" w:ascii="宋体" w:hAnsi="宋体" w:eastAsia="宋体" w:cs="宋体"/>
                <w:color w:val="auto"/>
                <w:sz w:val="21"/>
                <w:szCs w:val="21"/>
                <w:highlight w:val="none"/>
              </w:rPr>
              <w:t>通过招标人招投标交易平台信息系统或以书面形式向中标人发出中标通知书，同时通过公开发布中标结果公告的方式将中标结果</w:t>
            </w:r>
            <w:r>
              <w:rPr>
                <w:rFonts w:hint="eastAsia" w:ascii="宋体" w:hAnsi="宋体" w:eastAsia="宋体" w:cs="宋体"/>
                <w:color w:val="auto"/>
                <w:sz w:val="21"/>
                <w:szCs w:val="21"/>
                <w:highlight w:val="none"/>
                <w:lang w:val="en-US"/>
              </w:rPr>
              <w:t>告知所有</w:t>
            </w:r>
            <w:r>
              <w:rPr>
                <w:rFonts w:hint="eastAsia" w:ascii="宋体" w:hAnsi="宋体" w:eastAsia="宋体" w:cs="宋体"/>
                <w:color w:val="auto"/>
                <w:sz w:val="21"/>
                <w:szCs w:val="21"/>
                <w:highlight w:val="none"/>
              </w:rPr>
              <w:t>投标人。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新增</w:t>
            </w:r>
          </w:p>
          <w:p>
            <w:pPr>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7.</w:t>
            </w:r>
            <w:r>
              <w:rPr>
                <w:rFonts w:hint="eastAsia" w:ascii="宋体" w:hAnsi="宋体" w:eastAsia="宋体" w:cs="宋体"/>
                <w:color w:val="auto"/>
                <w:sz w:val="21"/>
                <w:szCs w:val="21"/>
                <w:highlight w:val="none"/>
                <w:lang w:val="en-US" w:eastAsia="zh-CN"/>
              </w:rPr>
              <w:t>3</w:t>
            </w:r>
          </w:p>
        </w:tc>
        <w:tc>
          <w:tcPr>
            <w:tcW w:w="1092" w:type="dxa"/>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zh-CN" w:eastAsia="zh-CN" w:bidi="ar-SA"/>
              </w:rPr>
            </w:pPr>
            <w:r>
              <w:rPr>
                <w:rFonts w:hint="eastAsia" w:ascii="宋体" w:hAnsi="宋体" w:eastAsia="宋体" w:cs="宋体"/>
                <w:color w:val="auto"/>
                <w:sz w:val="21"/>
                <w:szCs w:val="21"/>
                <w:highlight w:val="none"/>
              </w:rPr>
              <w:t>中标人投标文件正本的制作及递交</w:t>
            </w:r>
          </w:p>
        </w:tc>
        <w:tc>
          <w:tcPr>
            <w:tcW w:w="7035" w:type="dxa"/>
            <w:vAlign w:val="center"/>
          </w:tcPr>
          <w:p>
            <w:pPr>
              <w:numPr>
                <w:ilvl w:val="0"/>
                <w:numId w:val="1"/>
              </w:num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在中标公告发布之日起5日内，中标人应将中标标包的电子投标文件分册按招标文件第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章投标文件格式的要求组卷为</w:t>
            </w:r>
            <w:r>
              <w:rPr>
                <w:rFonts w:hint="eastAsia" w:ascii="宋体" w:hAnsi="宋体" w:eastAsia="宋体" w:cs="宋体"/>
                <w:b/>
                <w:bCs/>
                <w:color w:val="auto"/>
                <w:sz w:val="21"/>
                <w:szCs w:val="21"/>
                <w:highlight w:val="none"/>
              </w:rPr>
              <w:t>开标文件、报价文件、商务文件、技术文件</w:t>
            </w:r>
            <w:r>
              <w:rPr>
                <w:rFonts w:hint="eastAsia" w:ascii="宋体" w:hAnsi="宋体" w:eastAsia="宋体" w:cs="宋体"/>
                <w:color w:val="auto"/>
                <w:sz w:val="21"/>
                <w:szCs w:val="21"/>
                <w:highlight w:val="none"/>
              </w:rPr>
              <w:t>，打印、盖章，并寄至招标代理机构。</w:t>
            </w:r>
          </w:p>
          <w:p>
            <w:pPr>
              <w:adjustRightInd w:val="0"/>
              <w:snapToGrid w:val="0"/>
              <w:ind w:firstLine="210" w:firstLineChars="10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应保证中标后邮寄的纸质投标文件（含投标保证金银行保函）与投标截止时间前提交或递交的电子投标文件保持完全一致，若出现不一致，视同虚假投标，按《国家电网有限公司供应商关系管理办法》中的虚假投标相关规定处理。</w:t>
            </w:r>
          </w:p>
          <w:p>
            <w:pPr>
              <w:adjustRightInd w:val="0"/>
              <w:snapToGrid w:val="0"/>
              <w:ind w:firstLine="210" w:firstLineChars="10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中标人的投标文件提交</w:t>
            </w:r>
            <w:r>
              <w:rPr>
                <w:rFonts w:hint="eastAsia" w:ascii="宋体" w:hAnsi="宋体" w:eastAsia="宋体" w:cs="宋体"/>
                <w:color w:val="auto"/>
                <w:sz w:val="21"/>
                <w:szCs w:val="21"/>
                <w:highlight w:val="none"/>
                <w:lang w:val="en-US" w:eastAsia="zh-CN"/>
              </w:rPr>
              <w:t>内容</w:t>
            </w:r>
            <w:r>
              <w:rPr>
                <w:rFonts w:hint="eastAsia" w:ascii="宋体" w:hAnsi="宋体" w:eastAsia="宋体" w:cs="宋体"/>
                <w:color w:val="auto"/>
                <w:sz w:val="21"/>
                <w:szCs w:val="21"/>
                <w:highlight w:val="none"/>
              </w:rPr>
              <w:t>：</w:t>
            </w:r>
          </w:p>
          <w:p>
            <w:pPr>
              <w:keepNext w:val="0"/>
              <w:keepLines w:val="0"/>
              <w:pageBreakBefore w:val="0"/>
              <w:widowControl w:val="0"/>
              <w:numPr>
                <w:ilvl w:val="0"/>
                <w:numId w:val="2"/>
              </w:numPr>
              <w:kinsoku/>
              <w:wordWrap/>
              <w:overflowPunct/>
              <w:topLinePunct w:val="0"/>
              <w:autoSpaceDE/>
              <w:autoSpaceDN/>
              <w:bidi w:val="0"/>
              <w:adjustRightInd w:val="0"/>
              <w:snapToGrid w:val="0"/>
              <w:ind w:firstLine="210" w:firstLineChars="10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正本：1份。正本的封面右上角上应清楚地标记“正本”字样。</w:t>
            </w:r>
          </w:p>
          <w:p>
            <w:pPr>
              <w:numPr>
                <w:ilvl w:val="0"/>
                <w:numId w:val="2"/>
              </w:numPr>
              <w:adjustRightInd w:val="0"/>
              <w:snapToGrid w:val="0"/>
              <w:ind w:firstLine="210" w:firstLineChars="10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复印件：如中标人</w:t>
            </w:r>
            <w:r>
              <w:rPr>
                <w:rFonts w:hint="eastAsia" w:ascii="宋体" w:hAnsi="宋体" w:eastAsia="宋体" w:cs="宋体"/>
                <w:b/>
                <w:bCs/>
                <w:color w:val="auto"/>
                <w:sz w:val="21"/>
                <w:szCs w:val="21"/>
                <w:highlight w:val="none"/>
              </w:rPr>
              <w:t>同一分标</w:t>
            </w:r>
            <w:r>
              <w:rPr>
                <w:rFonts w:hint="eastAsia" w:ascii="宋体" w:hAnsi="宋体" w:eastAsia="宋体" w:cs="宋体"/>
                <w:color w:val="auto"/>
                <w:sz w:val="21"/>
                <w:szCs w:val="21"/>
                <w:highlight w:val="none"/>
              </w:rPr>
              <w:t>中标N个标包，请提供N-1份</w:t>
            </w:r>
            <w:r>
              <w:rPr>
                <w:rFonts w:hint="eastAsia" w:ascii="宋体" w:hAnsi="宋体" w:eastAsia="宋体" w:cs="宋体"/>
                <w:b/>
                <w:bCs/>
                <w:color w:val="auto"/>
                <w:sz w:val="21"/>
                <w:szCs w:val="21"/>
                <w:highlight w:val="none"/>
              </w:rPr>
              <w:t>商务文件</w:t>
            </w:r>
            <w:r>
              <w:rPr>
                <w:rFonts w:hint="eastAsia" w:ascii="宋体" w:hAnsi="宋体" w:eastAsia="宋体" w:cs="宋体"/>
                <w:color w:val="auto"/>
                <w:sz w:val="21"/>
                <w:szCs w:val="21"/>
                <w:highlight w:val="none"/>
              </w:rPr>
              <w:t>正本的复印件。</w:t>
            </w:r>
          </w:p>
          <w:p>
            <w:pPr>
              <w:numPr>
                <w:ilvl w:val="0"/>
                <w:numId w:val="2"/>
              </w:numPr>
              <w:autoSpaceDE/>
              <w:autoSpaceDN/>
              <w:adjustRightInd w:val="0"/>
              <w:snapToGrid w:val="0"/>
              <w:ind w:firstLine="211" w:firstLineChars="100"/>
              <w:jc w:val="both"/>
              <w:rPr>
                <w:rFonts w:hint="eastAsia" w:ascii="宋体" w:hAnsi="宋体" w:eastAsia="宋体" w:cs="宋体"/>
                <w:b w:val="0"/>
                <w:bCs w:val="0"/>
                <w:color w:val="auto"/>
                <w:sz w:val="21"/>
                <w:szCs w:val="21"/>
                <w:highlight w:val="none"/>
                <w:lang w:eastAsia="zh-CN"/>
              </w:rPr>
            </w:pPr>
            <w:r>
              <w:rPr>
                <w:rFonts w:hint="eastAsia" w:ascii="宋体" w:hAnsi="宋体" w:eastAsia="宋体" w:cs="宋体"/>
                <w:b/>
                <w:bCs/>
                <w:color w:val="auto"/>
                <w:sz w:val="21"/>
                <w:szCs w:val="21"/>
                <w:highlight w:val="none"/>
                <w:lang w:val="en-US" w:eastAsia="zh-CN"/>
              </w:rPr>
              <w:t>邮寄清单1份。格式详见投标文件格式。</w:t>
            </w:r>
          </w:p>
          <w:p>
            <w:pPr>
              <w:numPr>
                <w:ilvl w:val="0"/>
                <w:numId w:val="2"/>
              </w:numPr>
              <w:adjustRightInd w:val="0"/>
              <w:snapToGrid w:val="0"/>
              <w:ind w:firstLine="211" w:firstLineChars="100"/>
              <w:jc w:val="both"/>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电子版</w:t>
            </w:r>
            <w:r>
              <w:rPr>
                <w:rFonts w:hint="eastAsia" w:ascii="宋体" w:hAnsi="宋体" w:eastAsia="宋体" w:cs="宋体"/>
                <w:b/>
                <w:bCs/>
                <w:color w:val="auto"/>
                <w:sz w:val="21"/>
                <w:szCs w:val="21"/>
                <w:highlight w:val="none"/>
                <w:lang w:eastAsia="zh-CN"/>
              </w:rPr>
              <w:t>：中标人还应提供</w:t>
            </w:r>
            <w:r>
              <w:rPr>
                <w:rFonts w:hint="eastAsia" w:ascii="宋体" w:hAnsi="宋体" w:eastAsia="宋体" w:cs="宋体"/>
                <w:b/>
                <w:bCs/>
                <w:color w:val="auto"/>
                <w:sz w:val="21"/>
                <w:szCs w:val="21"/>
                <w:highlight w:val="none"/>
                <w:lang w:val="en-US" w:eastAsia="zh-CN"/>
              </w:rPr>
              <w:t>U</w:t>
            </w:r>
            <w:r>
              <w:rPr>
                <w:rFonts w:hint="eastAsia" w:ascii="宋体" w:hAnsi="宋体" w:eastAsia="宋体" w:cs="宋体"/>
                <w:b/>
                <w:bCs/>
                <w:color w:val="auto"/>
                <w:sz w:val="21"/>
                <w:szCs w:val="21"/>
                <w:highlight w:val="none"/>
                <w:lang w:eastAsia="zh-CN"/>
              </w:rPr>
              <w:t>盘一</w:t>
            </w:r>
            <w:r>
              <w:rPr>
                <w:rFonts w:hint="eastAsia" w:ascii="宋体" w:hAnsi="宋体" w:eastAsia="宋体" w:cs="宋体"/>
                <w:b/>
                <w:bCs/>
                <w:color w:val="auto"/>
                <w:sz w:val="21"/>
                <w:szCs w:val="21"/>
                <w:highlight w:val="none"/>
                <w:lang w:val="en-US" w:eastAsia="zh-CN"/>
              </w:rPr>
              <w:t>份，包括</w:t>
            </w:r>
            <w:r>
              <w:rPr>
                <w:rFonts w:hint="eastAsia" w:ascii="宋体" w:hAnsi="宋体" w:eastAsia="宋体" w:cs="宋体"/>
                <w:b/>
                <w:bCs/>
                <w:color w:val="auto"/>
                <w:sz w:val="21"/>
                <w:szCs w:val="21"/>
                <w:highlight w:val="none"/>
              </w:rPr>
              <w:t>开标文件、报价文件、商务文件、技术文件</w:t>
            </w:r>
            <w:r>
              <w:rPr>
                <w:rFonts w:hint="eastAsia" w:ascii="宋体" w:hAnsi="宋体" w:eastAsia="宋体" w:cs="宋体"/>
                <w:b/>
                <w:bCs/>
                <w:color w:val="auto"/>
                <w:sz w:val="21"/>
                <w:szCs w:val="21"/>
                <w:highlight w:val="none"/>
                <w:lang w:eastAsia="zh-CN"/>
              </w:rPr>
              <w:t>投标文件</w:t>
            </w:r>
            <w:r>
              <w:rPr>
                <w:rFonts w:hint="eastAsia" w:ascii="宋体" w:hAnsi="宋体" w:eastAsia="宋体" w:cs="宋体"/>
                <w:b/>
                <w:bCs/>
                <w:color w:val="auto"/>
                <w:sz w:val="21"/>
                <w:szCs w:val="21"/>
                <w:highlight w:val="none"/>
                <w:lang w:val="en-US" w:eastAsia="zh-CN"/>
              </w:rPr>
              <w:t>的PDF扫描件及邮寄清单</w:t>
            </w:r>
            <w:r>
              <w:rPr>
                <w:rFonts w:hint="eastAsia" w:ascii="宋体" w:hAnsi="宋体" w:eastAsia="宋体" w:cs="宋体"/>
                <w:b/>
                <w:bCs/>
                <w:color w:val="auto"/>
                <w:sz w:val="21"/>
                <w:szCs w:val="21"/>
                <w:highlight w:val="none"/>
                <w:lang w:eastAsia="zh-CN"/>
              </w:rPr>
              <w:t>的</w:t>
            </w:r>
            <w:r>
              <w:rPr>
                <w:rFonts w:hint="eastAsia" w:ascii="宋体" w:hAnsi="宋体" w:eastAsia="宋体" w:cs="宋体"/>
                <w:b/>
                <w:bCs/>
                <w:color w:val="auto"/>
                <w:sz w:val="21"/>
                <w:szCs w:val="21"/>
                <w:highlight w:val="none"/>
                <w:lang w:val="en-US" w:eastAsia="zh-CN"/>
              </w:rPr>
              <w:t>可编辑</w:t>
            </w:r>
            <w:r>
              <w:rPr>
                <w:rFonts w:hint="eastAsia" w:ascii="宋体" w:hAnsi="宋体" w:eastAsia="宋体" w:cs="宋体"/>
                <w:b/>
                <w:bCs/>
                <w:color w:val="auto"/>
                <w:sz w:val="21"/>
                <w:szCs w:val="21"/>
                <w:highlight w:val="none"/>
                <w:lang w:eastAsia="zh-CN"/>
              </w:rPr>
              <w:t>电子</w:t>
            </w:r>
            <w:r>
              <w:rPr>
                <w:rFonts w:hint="eastAsia" w:ascii="宋体" w:hAnsi="宋体" w:eastAsia="宋体" w:cs="宋体"/>
                <w:b/>
                <w:bCs/>
                <w:color w:val="auto"/>
                <w:sz w:val="21"/>
                <w:szCs w:val="21"/>
                <w:highlight w:val="none"/>
                <w:lang w:val="en-US" w:eastAsia="zh-CN"/>
              </w:rPr>
              <w:t>版</w:t>
            </w:r>
            <w:r>
              <w:rPr>
                <w:rFonts w:hint="eastAsia" w:ascii="宋体" w:hAnsi="宋体" w:eastAsia="宋体" w:cs="宋体"/>
                <w:b/>
                <w:bCs/>
                <w:color w:val="auto"/>
                <w:sz w:val="21"/>
                <w:szCs w:val="21"/>
                <w:highlight w:val="none"/>
                <w:lang w:eastAsia="zh-CN"/>
              </w:rPr>
              <w:t>。</w:t>
            </w:r>
          </w:p>
          <w:p>
            <w:pPr>
              <w:widowControl/>
              <w:ind w:firstLine="211" w:firstLineChars="100"/>
              <w:jc w:val="both"/>
              <w:rPr>
                <w:rFonts w:hint="eastAsia" w:ascii="宋体" w:hAnsi="宋体" w:eastAsia="宋体" w:cs="宋体"/>
                <w:b/>
                <w:color w:val="auto"/>
                <w:kern w:val="0"/>
                <w:sz w:val="21"/>
                <w:szCs w:val="21"/>
                <w:highlight w:val="none"/>
              </w:rPr>
            </w:pPr>
          </w:p>
          <w:p>
            <w:pPr>
              <w:widowControl/>
              <w:ind w:firstLine="211" w:firstLineChars="100"/>
              <w:jc w:val="both"/>
              <w:rPr>
                <w:rFonts w:hint="eastAsia" w:ascii="宋体" w:hAnsi="宋体" w:eastAsia="宋体" w:cs="宋体"/>
                <w:b/>
                <w:color w:val="auto"/>
                <w:kern w:val="0"/>
                <w:sz w:val="21"/>
                <w:szCs w:val="21"/>
                <w:highlight w:val="none"/>
              </w:rPr>
            </w:pPr>
            <w:r>
              <w:rPr>
                <w:rFonts w:hint="eastAsia" w:ascii="宋体" w:hAnsi="宋体" w:eastAsia="宋体" w:cs="宋体"/>
                <w:b/>
                <w:color w:val="auto"/>
                <w:kern w:val="0"/>
                <w:sz w:val="21"/>
                <w:szCs w:val="21"/>
                <w:highlight w:val="none"/>
              </w:rPr>
              <w:t>（二）纸质正本投标文件应满足如下要求：</w:t>
            </w:r>
          </w:p>
          <w:p>
            <w:pPr>
              <w:widowControl/>
              <w:ind w:left="178" w:leftChars="85"/>
              <w:jc w:val="both"/>
              <w:rPr>
                <w:rFonts w:hint="eastAsia" w:ascii="宋体" w:hAnsi="宋体" w:eastAsia="宋体" w:cs="宋体"/>
                <w:color w:val="auto"/>
                <w:kern w:val="0"/>
                <w:sz w:val="21"/>
                <w:szCs w:val="21"/>
                <w:highlight w:val="none"/>
              </w:rPr>
            </w:pPr>
            <w:r>
              <w:rPr>
                <w:rFonts w:hint="eastAsia" w:ascii="宋体" w:hAnsi="宋体" w:eastAsia="宋体" w:cs="宋体"/>
                <w:b/>
                <w:color w:val="auto"/>
                <w:kern w:val="0"/>
                <w:sz w:val="21"/>
                <w:szCs w:val="21"/>
                <w:highlight w:val="none"/>
              </w:rPr>
              <w:t>以下文件按包制作：</w:t>
            </w:r>
            <w:r>
              <w:rPr>
                <w:rFonts w:hint="eastAsia" w:ascii="宋体" w:hAnsi="宋体" w:eastAsia="宋体" w:cs="宋体"/>
                <w:color w:val="auto"/>
                <w:kern w:val="0"/>
                <w:sz w:val="21"/>
                <w:szCs w:val="21"/>
                <w:highlight w:val="none"/>
              </w:rPr>
              <w:br w:type="textWrapping"/>
            </w:r>
            <w:r>
              <w:rPr>
                <w:rFonts w:hint="eastAsia" w:ascii="宋体" w:hAnsi="宋体" w:eastAsia="宋体" w:cs="宋体"/>
                <w:color w:val="auto"/>
                <w:kern w:val="0"/>
                <w:sz w:val="21"/>
                <w:szCs w:val="21"/>
                <w:highlight w:val="none"/>
              </w:rPr>
              <w:t>1.开标文件</w:t>
            </w:r>
            <w:r>
              <w:rPr>
                <w:rFonts w:hint="eastAsia" w:ascii="宋体" w:hAnsi="宋体" w:eastAsia="宋体" w:cs="宋体"/>
                <w:color w:val="auto"/>
                <w:kern w:val="0"/>
                <w:sz w:val="21"/>
                <w:szCs w:val="21"/>
                <w:highlight w:val="none"/>
              </w:rPr>
              <w:br w:type="textWrapping"/>
            </w:r>
            <w:r>
              <w:rPr>
                <w:rFonts w:hint="eastAsia" w:ascii="宋体" w:hAnsi="宋体" w:eastAsia="宋体" w:cs="宋体"/>
                <w:color w:val="auto"/>
                <w:kern w:val="0"/>
                <w:sz w:val="21"/>
                <w:szCs w:val="21"/>
                <w:highlight w:val="none"/>
              </w:rPr>
              <w:t>2.报价文件</w:t>
            </w:r>
          </w:p>
          <w:p>
            <w:pPr>
              <w:widowControl/>
              <w:ind w:firstLine="210" w:firstLineChars="100"/>
              <w:jc w:val="both"/>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3.技术文件</w:t>
            </w:r>
          </w:p>
          <w:p>
            <w:pPr>
              <w:widowControl/>
              <w:ind w:left="180" w:hanging="211" w:hangingChars="100"/>
              <w:jc w:val="both"/>
              <w:rPr>
                <w:rFonts w:hint="eastAsia" w:ascii="宋体" w:hAnsi="宋体" w:eastAsia="宋体" w:cs="宋体"/>
                <w:color w:val="auto"/>
                <w:kern w:val="0"/>
                <w:sz w:val="21"/>
                <w:szCs w:val="21"/>
                <w:highlight w:val="none"/>
              </w:rPr>
            </w:pPr>
            <w:r>
              <w:rPr>
                <w:rFonts w:hint="eastAsia" w:ascii="宋体" w:hAnsi="宋体" w:eastAsia="宋体" w:cs="宋体"/>
                <w:b/>
                <w:color w:val="auto"/>
                <w:kern w:val="0"/>
                <w:sz w:val="21"/>
                <w:szCs w:val="21"/>
                <w:highlight w:val="none"/>
              </w:rPr>
              <w:t>以下文件按分标制作：</w:t>
            </w:r>
            <w:r>
              <w:rPr>
                <w:rFonts w:hint="eastAsia" w:ascii="宋体" w:hAnsi="宋体" w:eastAsia="宋体" w:cs="宋体"/>
                <w:color w:val="auto"/>
                <w:kern w:val="0"/>
                <w:sz w:val="21"/>
                <w:szCs w:val="21"/>
                <w:highlight w:val="none"/>
              </w:rPr>
              <w:br w:type="textWrapping"/>
            </w:r>
            <w:r>
              <w:rPr>
                <w:rFonts w:hint="eastAsia" w:ascii="宋体" w:hAnsi="宋体" w:eastAsia="宋体" w:cs="宋体"/>
                <w:color w:val="auto"/>
                <w:kern w:val="0"/>
                <w:sz w:val="21"/>
                <w:szCs w:val="21"/>
                <w:highlight w:val="none"/>
              </w:rPr>
              <w:t>1.商务文件</w:t>
            </w:r>
          </w:p>
          <w:p>
            <w:pPr>
              <w:widowControl/>
              <w:ind w:left="180" w:hanging="211" w:hangingChars="100"/>
              <w:jc w:val="both"/>
              <w:rPr>
                <w:rFonts w:hint="eastAsia" w:ascii="宋体" w:hAnsi="宋体" w:eastAsia="宋体" w:cs="宋体"/>
                <w:b/>
                <w:bCs/>
                <w:color w:val="auto"/>
                <w:kern w:val="0"/>
                <w:sz w:val="21"/>
                <w:szCs w:val="21"/>
                <w:highlight w:val="none"/>
              </w:rPr>
            </w:pPr>
          </w:p>
          <w:p>
            <w:pPr>
              <w:widowControl/>
              <w:ind w:left="180" w:hanging="211" w:hangingChars="100"/>
              <w:jc w:val="both"/>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具体要求：</w:t>
            </w:r>
          </w:p>
          <w:p>
            <w:pPr>
              <w:widowControl/>
              <w:ind w:firstLine="211" w:firstLineChars="100"/>
              <w:jc w:val="both"/>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1.纸质投标文件应装订成册，并编制目录，投标文件（包括符合规定的书面修改通知）用A4幅面纸出版（含每册封皮），竖向左侧装订，且各册禁止活页和塑料皮装订。</w:t>
            </w:r>
            <w:r>
              <w:rPr>
                <w:rFonts w:hint="eastAsia" w:ascii="宋体" w:hAnsi="宋体" w:eastAsia="宋体" w:cs="宋体"/>
                <w:color w:val="auto"/>
                <w:kern w:val="0"/>
                <w:sz w:val="21"/>
                <w:szCs w:val="21"/>
                <w:highlight w:val="none"/>
              </w:rPr>
              <w:br w:type="textWrapping"/>
            </w:r>
            <w:r>
              <w:rPr>
                <w:rFonts w:hint="eastAsia" w:ascii="宋体" w:hAnsi="宋体" w:eastAsia="宋体" w:cs="宋体"/>
                <w:color w:val="auto"/>
                <w:kern w:val="0"/>
                <w:sz w:val="21"/>
                <w:szCs w:val="21"/>
                <w:highlight w:val="none"/>
              </w:rPr>
              <w:t xml:space="preserve">  </w:t>
            </w:r>
            <w:r>
              <w:rPr>
                <w:rFonts w:hint="eastAsia" w:ascii="宋体" w:hAnsi="宋体" w:eastAsia="宋体" w:cs="宋体"/>
                <w:b/>
                <w:bCs/>
                <w:color w:val="auto"/>
                <w:kern w:val="0"/>
                <w:sz w:val="21"/>
                <w:szCs w:val="21"/>
                <w:highlight w:val="none"/>
              </w:rPr>
              <w:t>2.根据档案管理的要求，编页要求如下：</w:t>
            </w:r>
          </w:p>
          <w:p>
            <w:pPr>
              <w:autoSpaceDE w:val="0"/>
              <w:autoSpaceDN w:val="0"/>
              <w:adjustRightInd w:val="0"/>
              <w:snapToGrid w:val="0"/>
              <w:ind w:firstLine="211" w:firstLineChars="100"/>
              <w:jc w:val="both"/>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1）从封面为第1页开始连续编页码，且以自然数逐页按顺序编写，页码不得中断或重新编页，有文字的页面均需编页，只要包括封面、封底、目录、夹装在其中的各种证书影印件、图纸等都必须整体连续编页，不得中断。（如：投标文件共100页，必须从1至100连续编页）。空白页（无任何文字及符号的）不需要编页码。</w:t>
            </w:r>
          </w:p>
          <w:p>
            <w:pPr>
              <w:autoSpaceDE w:val="0"/>
              <w:autoSpaceDN w:val="0"/>
              <w:adjustRightInd w:val="0"/>
              <w:snapToGrid w:val="0"/>
              <w:ind w:firstLine="211" w:firstLineChars="100"/>
              <w:jc w:val="both"/>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（2）按照独立成册的原则进行编码。如开标文件、报价文件、商务文件、技术文件应分别编页；上下册等各分册之间不连续编页。</w:t>
            </w:r>
          </w:p>
          <w:p>
            <w:pPr>
              <w:widowControl/>
              <w:ind w:firstLine="211" w:firstLineChars="100"/>
              <w:jc w:val="both"/>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（3）编页时，单面文件在右下角进行编页；双面文件在正面的右下角编页，背面在左下角编页。</w:t>
            </w:r>
          </w:p>
          <w:p>
            <w:pPr>
              <w:autoSpaceDE w:val="0"/>
              <w:autoSpaceDN w:val="0"/>
              <w:adjustRightInd w:val="0"/>
              <w:snapToGrid w:val="0"/>
              <w:ind w:firstLine="211" w:firstLineChars="100"/>
              <w:jc w:val="both"/>
              <w:rPr>
                <w:rFonts w:hint="eastAsia" w:ascii="宋体" w:hAnsi="宋体" w:eastAsia="宋体" w:cs="宋体"/>
                <w:b/>
                <w:bCs/>
                <w:color w:val="auto"/>
                <w:kern w:val="0"/>
                <w:sz w:val="21"/>
                <w:szCs w:val="21"/>
                <w:highlight w:val="none"/>
              </w:rPr>
            </w:pPr>
          </w:p>
          <w:p>
            <w:pPr>
              <w:autoSpaceDE w:val="0"/>
              <w:autoSpaceDN w:val="0"/>
              <w:adjustRightInd w:val="0"/>
              <w:snapToGrid w:val="0"/>
              <w:ind w:firstLine="211" w:firstLineChars="100"/>
              <w:jc w:val="both"/>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3 .纸质投标文件封面应盖单位章，每分册可加盖骑缝章；封面日期应明确年月日，与电子文件提交日期保持一致，应不早于卷内文件日期，并不得晚于开标日期。</w:t>
            </w:r>
          </w:p>
          <w:p>
            <w:pPr>
              <w:tabs>
                <w:tab w:val="left" w:pos="312"/>
              </w:tabs>
              <w:autoSpaceDE w:val="0"/>
              <w:autoSpaceDN w:val="0"/>
              <w:adjustRightInd w:val="0"/>
              <w:snapToGrid w:val="0"/>
              <w:ind w:firstLine="211" w:firstLineChars="100"/>
              <w:jc w:val="both"/>
              <w:rPr>
                <w:rFonts w:hint="eastAsia" w:ascii="宋体" w:hAnsi="宋体" w:eastAsia="宋体" w:cs="宋体"/>
                <w:b/>
                <w:bCs/>
                <w:color w:val="auto"/>
                <w:kern w:val="0"/>
                <w:sz w:val="21"/>
                <w:szCs w:val="21"/>
                <w:highlight w:val="none"/>
              </w:rPr>
            </w:pPr>
            <w:r>
              <w:rPr>
                <w:rFonts w:hint="eastAsia" w:ascii="宋体" w:hAnsi="宋体" w:cs="宋体"/>
                <w:b/>
                <w:bCs/>
                <w:color w:val="auto"/>
                <w:kern w:val="0"/>
                <w:sz w:val="21"/>
                <w:szCs w:val="21"/>
                <w:highlight w:val="none"/>
                <w:lang w:val="en-US" w:eastAsia="zh-CN"/>
              </w:rPr>
              <w:t>4.</w:t>
            </w:r>
            <w:r>
              <w:rPr>
                <w:rFonts w:hint="eastAsia" w:ascii="宋体" w:hAnsi="宋体" w:eastAsia="宋体" w:cs="宋体"/>
                <w:b/>
                <w:bCs/>
                <w:color w:val="auto"/>
                <w:kern w:val="0"/>
                <w:sz w:val="21"/>
                <w:szCs w:val="21"/>
                <w:highlight w:val="none"/>
              </w:rPr>
              <w:t>单本纸质投标文件的厚度不应超过50mm，如超过50mm，应分册装订。</w:t>
            </w:r>
          </w:p>
          <w:p>
            <w:pPr>
              <w:widowControl/>
              <w:jc w:val="both"/>
              <w:rPr>
                <w:rFonts w:hint="eastAsia" w:ascii="宋体" w:hAnsi="宋体" w:eastAsia="宋体" w:cs="宋体"/>
                <w:b/>
                <w:color w:val="auto"/>
                <w:kern w:val="0"/>
                <w:sz w:val="21"/>
                <w:szCs w:val="21"/>
                <w:highlight w:val="none"/>
              </w:rPr>
            </w:pPr>
          </w:p>
          <w:p>
            <w:pPr>
              <w:widowControl/>
              <w:jc w:val="both"/>
              <w:rPr>
                <w:rFonts w:hint="eastAsia" w:ascii="宋体" w:hAnsi="宋体" w:eastAsia="宋体" w:cs="宋体"/>
                <w:b/>
                <w:color w:val="auto"/>
                <w:kern w:val="0"/>
                <w:sz w:val="21"/>
                <w:szCs w:val="21"/>
                <w:highlight w:val="none"/>
              </w:rPr>
            </w:pPr>
            <w:r>
              <w:rPr>
                <w:rFonts w:hint="eastAsia" w:ascii="宋体" w:hAnsi="宋体" w:eastAsia="宋体" w:cs="宋体"/>
                <w:b/>
                <w:color w:val="auto"/>
                <w:kern w:val="0"/>
                <w:sz w:val="21"/>
                <w:szCs w:val="21"/>
                <w:highlight w:val="none"/>
              </w:rPr>
              <w:t>（三）正本投标文件扫描件应满足如下要求：</w:t>
            </w:r>
          </w:p>
          <w:p>
            <w:pPr>
              <w:widowControl/>
              <w:ind w:firstLine="210" w:firstLineChars="10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中标人应同时提供一套纸质正本投标文件的电子</w:t>
            </w:r>
            <w:r>
              <w:rPr>
                <w:rFonts w:hint="eastAsia" w:ascii="宋体" w:hAnsi="宋体" w:eastAsia="宋体" w:cs="宋体"/>
                <w:color w:val="auto"/>
                <w:sz w:val="21"/>
                <w:szCs w:val="21"/>
                <w:highlight w:val="none"/>
                <w:lang w:val="en-US" w:eastAsia="zh-CN"/>
              </w:rPr>
              <w:t>版U</w:t>
            </w:r>
            <w:r>
              <w:rPr>
                <w:rFonts w:hint="eastAsia" w:ascii="宋体" w:hAnsi="宋体" w:eastAsia="宋体" w:cs="宋体"/>
                <w:color w:val="auto"/>
                <w:sz w:val="21"/>
                <w:szCs w:val="21"/>
                <w:highlight w:val="none"/>
              </w:rPr>
              <w:t>盘</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U盘上标记中标人名称或简称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。每一册分别扫描成为PDF文件。</w:t>
            </w:r>
            <w:r>
              <w:rPr>
                <w:rFonts w:hint="eastAsia" w:ascii="宋体" w:hAnsi="宋体" w:eastAsia="宋体" w:cs="宋体"/>
                <w:color w:val="auto"/>
                <w:sz w:val="21"/>
                <w:szCs w:val="21"/>
                <w:highlight w:val="none"/>
                <w:lang w:val="en-US" w:eastAsia="zh-CN"/>
              </w:rPr>
              <w:t>U</w:t>
            </w:r>
            <w:r>
              <w:rPr>
                <w:rFonts w:hint="eastAsia" w:ascii="宋体" w:hAnsi="宋体" w:eastAsia="宋体" w:cs="宋体"/>
                <w:color w:val="auto"/>
                <w:sz w:val="21"/>
                <w:szCs w:val="21"/>
                <w:highlight w:val="none"/>
              </w:rPr>
              <w:t>盘中目录</w:t>
            </w:r>
            <w:r>
              <w:rPr>
                <w:rFonts w:hint="eastAsia" w:ascii="宋体" w:hAnsi="宋体" w:eastAsia="宋体" w:cs="宋体"/>
                <w:color w:val="auto"/>
                <w:sz w:val="21"/>
                <w:szCs w:val="21"/>
                <w:highlight w:val="none"/>
                <w:lang w:val="en-US" w:eastAsia="zh-CN"/>
              </w:rPr>
              <w:t>见压缩包</w:t>
            </w:r>
            <w:r>
              <w:rPr>
                <w:rFonts w:hint="eastAsia" w:ascii="宋体" w:hAnsi="宋体" w:eastAsia="宋体" w:cs="宋体"/>
                <w:color w:val="auto"/>
                <w:sz w:val="21"/>
                <w:szCs w:val="21"/>
                <w:highlight w:val="none"/>
              </w:rPr>
              <w:t>：</w:t>
            </w:r>
          </w:p>
          <w:p>
            <w:pPr>
              <w:widowControl/>
              <w:ind w:firstLine="210" w:firstLineChars="100"/>
              <w:jc w:val="both"/>
              <w:rPr>
                <w:rFonts w:hint="eastAsia" w:ascii="宋体" w:hAnsi="宋体" w:eastAsia="宋体" w:cs="宋体"/>
                <w:color w:val="auto"/>
                <w:sz w:val="21"/>
                <w:szCs w:val="21"/>
                <w:highlight w:val="none"/>
              </w:rPr>
            </w:pPr>
          </w:p>
          <w:p>
            <w:pPr>
              <w:pStyle w:val="17"/>
              <w:ind w:left="0" w:firstLine="0"/>
              <w:jc w:val="both"/>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object>
                <v:shape id="_x0000_i1025" o:spt="75" type="#_x0000_t75" style="height:66pt;width:72.75pt;" o:ole="t" filled="f" o:preferrelative="t" stroked="f" coordsize="21600,21600">
                  <v:path/>
                  <v:fill on="f" focussize="0,0"/>
                  <v:stroke on="f"/>
                  <v:imagedata r:id="rId17" o:title=""/>
                  <o:lock v:ext="edit" aspectratio="t"/>
                  <w10:wrap type="none"/>
                  <w10:anchorlock/>
                </v:shape>
                <o:OLEObject Type="Embed" ProgID="Package" ShapeID="_x0000_i1025" DrawAspect="Icon" ObjectID="_1468075725" r:id="rId16">
                  <o:LockedField>false</o:LockedField>
                </o:OLEObject>
              </w:object>
            </w:r>
          </w:p>
          <w:p>
            <w:pPr>
              <w:pStyle w:val="5"/>
              <w:ind w:firstLine="0"/>
              <w:jc w:val="both"/>
              <w:rPr>
                <w:rFonts w:hint="eastAsia" w:ascii="宋体" w:hAnsi="宋体" w:eastAsia="宋体" w:cs="宋体"/>
                <w:color w:val="auto"/>
                <w:sz w:val="21"/>
                <w:szCs w:val="21"/>
                <w:highlight w:val="none"/>
              </w:rPr>
            </w:pPr>
            <w:r>
              <w:rPr>
                <w:rFonts w:hint="eastAsia" w:ascii="宋体" w:hAnsi="宋体" w:eastAsia="宋体" w:cs="宋体"/>
                <w:b/>
                <w:color w:val="auto"/>
                <w:kern w:val="0"/>
                <w:sz w:val="21"/>
                <w:szCs w:val="21"/>
                <w:highlight w:val="none"/>
              </w:rPr>
              <w:t>（四）封装及邮寄应满足如下要求：</w:t>
            </w:r>
          </w:p>
          <w:p>
            <w:pPr>
              <w:widowControl/>
              <w:ind w:firstLine="210" w:firstLineChars="100"/>
              <w:jc w:val="both"/>
              <w:rPr>
                <w:rFonts w:hint="eastAsia" w:ascii="宋体" w:hAnsi="宋体" w:eastAsia="宋体" w:cs="宋体"/>
                <w:b/>
                <w:color w:val="auto"/>
                <w:kern w:val="0"/>
                <w:sz w:val="21"/>
                <w:szCs w:val="21"/>
                <w:highlight w:val="none"/>
              </w:rPr>
            </w:pPr>
            <w:r>
              <w:rPr>
                <w:rFonts w:hint="eastAsia" w:ascii="宋体" w:hAnsi="宋体" w:eastAsia="宋体" w:cs="宋体"/>
                <w:color w:val="auto"/>
                <w:sz w:val="21"/>
                <w:szCs w:val="21"/>
                <w:highlight w:val="none"/>
              </w:rPr>
              <w:t>纸质投标文件与电子扫描件</w:t>
            </w:r>
            <w:r>
              <w:rPr>
                <w:rFonts w:hint="eastAsia" w:ascii="宋体" w:hAnsi="宋体" w:eastAsia="宋体" w:cs="宋体"/>
                <w:color w:val="auto"/>
                <w:sz w:val="21"/>
                <w:szCs w:val="21"/>
                <w:highlight w:val="none"/>
                <w:lang w:val="en-US" w:eastAsia="zh-CN"/>
              </w:rPr>
              <w:t>U</w:t>
            </w:r>
            <w:r>
              <w:rPr>
                <w:rFonts w:hint="eastAsia" w:ascii="宋体" w:hAnsi="宋体" w:eastAsia="宋体" w:cs="宋体"/>
                <w:color w:val="auto"/>
                <w:sz w:val="21"/>
                <w:szCs w:val="21"/>
                <w:highlight w:val="none"/>
              </w:rPr>
              <w:t>盘可一起封装邮寄，包装封套上应清楚地标注项目名称、招标编号、投标文件字样，并由法定代表人或其委托代理人在密封处加盖公章，同时写明投标人名称、地址、联系人及联系方式。可根据投标文件的数量拆分为几个包装，并在封套上标明共几个包装。</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
              <w:gridCol w:w="1089"/>
              <w:gridCol w:w="4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7" w:type="dxa"/>
                  <w:gridSpan w:val="3"/>
                  <w:noWrap w:val="0"/>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中标投标文件邮寄信息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491"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1089"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邮寄地址</w:t>
                  </w:r>
                </w:p>
              </w:tc>
              <w:tc>
                <w:tcPr>
                  <w:tcW w:w="4657" w:type="dxa"/>
                  <w:noWrap w:val="0"/>
                  <w:vAlign w:val="center"/>
                </w:tcPr>
                <w:p>
                  <w:pPr>
                    <w:adjustRightInd w:val="0"/>
                    <w:snapToGrid w:val="0"/>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北京市西城区六铺炕街5号国网物资有限公司</w:t>
                  </w:r>
                  <w:r>
                    <w:rPr>
                      <w:rFonts w:hint="eastAsia" w:ascii="宋体" w:hAnsi="宋体" w:cs="宋体"/>
                      <w:b/>
                      <w:bCs/>
                      <w:color w:val="auto"/>
                      <w:sz w:val="21"/>
                      <w:szCs w:val="21"/>
                      <w:highlight w:val="none"/>
                      <w:lang w:val="en-US" w:eastAsia="zh-CN"/>
                    </w:rPr>
                    <w:t>+</w:t>
                  </w:r>
                  <w:r>
                    <w:rPr>
                      <w:rFonts w:hint="eastAsia" w:ascii="宋体" w:hAnsi="宋体" w:cs="宋体"/>
                      <w:b w:val="0"/>
                      <w:bCs w:val="0"/>
                      <w:color w:val="auto"/>
                      <w:sz w:val="21"/>
                      <w:szCs w:val="21"/>
                      <w:highlight w:val="none"/>
                      <w:lang w:val="en-US" w:eastAsia="zh-CN"/>
                    </w:rPr>
                    <w:t>本批</w:t>
                  </w:r>
                  <w:r>
                    <w:rPr>
                      <w:rFonts w:hint="eastAsia" w:ascii="宋体" w:hAnsi="宋体" w:eastAsia="宋体" w:cs="宋体"/>
                      <w:b w:val="0"/>
                      <w:bCs w:val="0"/>
                      <w:color w:val="auto"/>
                      <w:sz w:val="21"/>
                      <w:szCs w:val="21"/>
                      <w:highlight w:val="none"/>
                    </w:rPr>
                    <w:t>招</w:t>
                  </w:r>
                  <w:r>
                    <w:rPr>
                      <w:rFonts w:hint="eastAsia" w:ascii="宋体" w:hAnsi="宋体" w:eastAsia="宋体" w:cs="宋体"/>
                      <w:color w:val="auto"/>
                      <w:sz w:val="21"/>
                      <w:szCs w:val="21"/>
                      <w:highlight w:val="none"/>
                    </w:rPr>
                    <w:t>标编号</w:t>
                  </w: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rPr>
                    <w:t>例：北京市西城区六铺炕街5号国网物资有限公司</w:t>
                  </w:r>
                  <w:r>
                    <w:rPr>
                      <w:rFonts w:hint="eastAsia" w:ascii="宋体" w:hAnsi="宋体" w:eastAsia="宋体" w:cs="宋体"/>
                      <w:color w:val="auto"/>
                      <w:sz w:val="21"/>
                      <w:szCs w:val="21"/>
                      <w:highlight w:val="none"/>
                      <w:lang w:val="en-US" w:eastAsia="zh-CN"/>
                    </w:rPr>
                    <w:t>+</w:t>
                  </w:r>
                  <w:r>
                    <w:rPr>
                      <w:rFonts w:hint="eastAsia" w:ascii="宋体" w:hAnsi="宋体" w:cs="宋体"/>
                      <w:color w:val="auto"/>
                      <w:szCs w:val="21"/>
                      <w:highlight w:val="none"/>
                    </w:rPr>
                    <w:t>0711-26OTL11013056</w:t>
                  </w:r>
                  <w:r>
                    <w:rPr>
                      <w:rFonts w:hint="eastAsia" w:ascii="宋体" w:hAnsi="宋体" w:cs="宋体"/>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1"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W w:w="1089"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邮寄编码</w:t>
                  </w:r>
                </w:p>
              </w:tc>
              <w:tc>
                <w:tcPr>
                  <w:tcW w:w="4657"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1"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W w:w="1089"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邮寄电话</w:t>
                  </w:r>
                </w:p>
              </w:tc>
              <w:tc>
                <w:tcPr>
                  <w:tcW w:w="4657"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010-60348075</w:t>
                  </w:r>
                </w:p>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（该电话仅用于中标文件邮寄接收。）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jc w:val="center"/>
              </w:trPr>
              <w:tc>
                <w:tcPr>
                  <w:tcW w:w="491"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w:t>
                  </w:r>
                </w:p>
              </w:tc>
              <w:tc>
                <w:tcPr>
                  <w:tcW w:w="1089"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收件人</w:t>
                  </w:r>
                </w:p>
              </w:tc>
              <w:tc>
                <w:tcPr>
                  <w:tcW w:w="4657"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投标人简称（例：天津院）</w:t>
                  </w:r>
                </w:p>
              </w:tc>
            </w:tr>
          </w:tbl>
          <w:p>
            <w:pPr>
              <w:widowControl/>
              <w:jc w:val="both"/>
              <w:rPr>
                <w:rFonts w:hint="eastAsia" w:ascii="宋体" w:hAnsi="宋体" w:eastAsia="宋体" w:cs="宋体"/>
                <w:color w:val="auto"/>
                <w:kern w:val="2"/>
                <w:sz w:val="21"/>
                <w:szCs w:val="21"/>
                <w:highlight w:val="none"/>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7.4</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lang w:eastAsia="en-US"/>
              </w:rPr>
              <w:t>履约保证金</w:t>
            </w:r>
          </w:p>
        </w:tc>
        <w:tc>
          <w:tcPr>
            <w:tcW w:w="7035" w:type="dxa"/>
            <w:vAlign w:val="center"/>
          </w:tcPr>
          <w:p>
            <w:pPr>
              <w:adjustRightInd w:val="0"/>
              <w:snapToGrid w:val="0"/>
              <w:spacing w:before="120" w:beforeLines="50" w:afterLines="50"/>
              <w:rPr>
                <w:rFonts w:hint="eastAsia" w:ascii="宋体" w:hAnsi="宋体" w:eastAsia="宋体" w:cs="宋体"/>
                <w:color w:val="auto"/>
                <w:kern w:val="2"/>
                <w:sz w:val="21"/>
                <w:szCs w:val="21"/>
                <w:highlight w:val="none"/>
                <w:lang w:val="zh-CN" w:eastAsia="zh-CN" w:bidi="ar-SA"/>
              </w:rPr>
            </w:pPr>
            <w:r>
              <w:rPr>
                <w:rFonts w:hint="eastAsia" w:ascii="宋体" w:hAnsi="宋体" w:eastAsia="宋体" w:cs="宋体"/>
                <w:color w:val="auto"/>
                <w:sz w:val="21"/>
                <w:szCs w:val="21"/>
                <w:highlight w:val="none"/>
              </w:rPr>
              <w:t>见第四章合同条款及格式规定。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lang w:eastAsia="en-US"/>
              </w:rPr>
              <w:t>7.</w:t>
            </w:r>
            <w:r>
              <w:rPr>
                <w:rFonts w:hint="eastAsia" w:ascii="宋体" w:hAnsi="宋体" w:eastAsia="宋体" w:cs="宋体"/>
                <w:color w:val="auto"/>
                <w:sz w:val="21"/>
                <w:szCs w:val="21"/>
                <w:highlight w:val="none"/>
                <w:lang w:val="en-US"/>
              </w:rPr>
              <w:t>5</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en-US"/>
              </w:rPr>
              <w:t>签订合同</w:t>
            </w:r>
          </w:p>
        </w:tc>
        <w:tc>
          <w:tcPr>
            <w:tcW w:w="7035" w:type="dxa"/>
            <w:vAlign w:val="center"/>
          </w:tcPr>
          <w:p>
            <w:pPr>
              <w:pStyle w:val="30"/>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补充：</w:t>
            </w:r>
          </w:p>
          <w:p>
            <w:pPr>
              <w:pStyle w:val="30"/>
              <w:adjustRightInd w:val="0"/>
              <w:snapToGrid w:val="0"/>
              <w:spacing w:before="120" w:beforeLines="50" w:after="120" w:afterLines="50"/>
              <w:ind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1.签订合同的主体为项目单位和中标人</w:t>
            </w:r>
            <w:r>
              <w:rPr>
                <w:rFonts w:hint="eastAsia" w:ascii="宋体" w:hAnsi="宋体" w:cs="宋体"/>
                <w:color w:val="auto"/>
                <w:sz w:val="21"/>
                <w:szCs w:val="21"/>
                <w:highlight w:val="none"/>
                <w:lang w:eastAsia="zh-CN"/>
              </w:rPr>
              <w:t>。</w:t>
            </w:r>
          </w:p>
          <w:p>
            <w:pPr>
              <w:pStyle w:val="30"/>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如中标人无正当理由拒签合同，或未按照招标文件要求提交履约担保的，招标人将取消该中标人的中标资格，并不予退还投标保证金，在此情况下，招标人可以按照招标文件相关规定确定其他中标候选人为中标人，或重新招标。招标人</w:t>
            </w:r>
            <w:r>
              <w:rPr>
                <w:rFonts w:hint="eastAsia" w:ascii="宋体" w:hAnsi="宋体" w:cs="宋体"/>
                <w:color w:val="auto"/>
                <w:sz w:val="21"/>
                <w:szCs w:val="21"/>
                <w:highlight w:val="none"/>
                <w:lang w:val="en-US" w:eastAsia="zh-CN"/>
              </w:rPr>
              <w:t>有权</w:t>
            </w:r>
            <w:r>
              <w:rPr>
                <w:rFonts w:hint="eastAsia" w:ascii="宋体" w:hAnsi="宋体" w:eastAsia="宋体" w:cs="宋体"/>
                <w:color w:val="auto"/>
                <w:sz w:val="21"/>
                <w:szCs w:val="21"/>
                <w:highlight w:val="none"/>
              </w:rPr>
              <w:t>按照《国家电网有限公司供应商关系管理办法》对该中标人做出处理。</w:t>
            </w:r>
          </w:p>
          <w:p>
            <w:pPr>
              <w:pStyle w:val="30"/>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投标有效期内，招标人或其所属项目单位应当根据招标文件和中标人的投标文件与中标人订立书面合同，不得再行订立背离合同实质性内容的其他协议。</w:t>
            </w:r>
          </w:p>
          <w:p>
            <w:pPr>
              <w:pStyle w:val="30"/>
              <w:adjustRightInd w:val="0"/>
              <w:snapToGrid w:val="0"/>
              <w:spacing w:before="120" w:beforeLines="50" w:after="120" w:afterLines="50"/>
              <w:ind w:firstLine="0" w:firstLineChars="0"/>
              <w:rPr>
                <w:rFonts w:hint="eastAsia" w:eastAsia="宋体"/>
                <w:color w:val="auto"/>
                <w:sz w:val="21"/>
                <w:szCs w:val="21"/>
                <w:highlight w:val="none"/>
                <w:lang w:eastAsia="zh-CN"/>
              </w:rPr>
            </w:pPr>
            <w:r>
              <w:rPr>
                <w:rFonts w:hint="eastAsia" w:ascii="宋体" w:hAnsi="宋体" w:cs="宋体"/>
                <w:color w:val="auto"/>
                <w:sz w:val="21"/>
                <w:szCs w:val="21"/>
                <w:highlight w:val="none"/>
                <w:lang w:val="en-US" w:eastAsia="zh-CN"/>
              </w:rPr>
              <w:t>4.</w:t>
            </w:r>
            <w:r>
              <w:rPr>
                <w:rFonts w:hint="eastAsia" w:eastAsia="宋体"/>
                <w:color w:val="auto"/>
                <w:sz w:val="21"/>
                <w:szCs w:val="21"/>
                <w:highlight w:val="none"/>
                <w:lang w:eastAsia="zh-CN"/>
              </w:rPr>
              <w:t>当投标人出现下列情形时，取消投标人与招标人签订合同的资格，并且招标人保留追究投标人责任的权利。同时，招标人将对投标人的不诚信行为按照《国家电网有限公司供应商关系管理办法》做出处理。</w:t>
            </w:r>
          </w:p>
          <w:p>
            <w:pPr>
              <w:pStyle w:val="30"/>
              <w:adjustRightInd w:val="0"/>
              <w:snapToGrid w:val="0"/>
              <w:spacing w:before="120" w:beforeLines="50" w:after="120" w:afterLines="50"/>
              <w:ind w:firstLine="0" w:firstLineChars="0"/>
              <w:rPr>
                <w:rFonts w:hint="eastAsia" w:eastAsia="宋体"/>
                <w:color w:val="auto"/>
                <w:sz w:val="21"/>
                <w:szCs w:val="21"/>
                <w:highlight w:val="none"/>
                <w:lang w:eastAsia="zh-CN"/>
              </w:rPr>
            </w:pPr>
            <w:r>
              <w:rPr>
                <w:rFonts w:hint="eastAsia" w:eastAsia="宋体"/>
                <w:color w:val="auto"/>
                <w:sz w:val="21"/>
                <w:szCs w:val="21"/>
                <w:highlight w:val="none"/>
                <w:lang w:eastAsia="zh-CN"/>
              </w:rPr>
              <w:t>（1）投标人在投标有效期内撤销投标文件。</w:t>
            </w:r>
          </w:p>
          <w:p>
            <w:pPr>
              <w:pStyle w:val="30"/>
              <w:adjustRightInd w:val="0"/>
              <w:snapToGrid w:val="0"/>
              <w:spacing w:before="120" w:beforeLines="50" w:after="120" w:afterLines="50"/>
              <w:ind w:firstLine="0" w:firstLineChars="0"/>
              <w:rPr>
                <w:rFonts w:hint="eastAsia" w:eastAsia="宋体"/>
                <w:color w:val="auto"/>
                <w:sz w:val="21"/>
                <w:szCs w:val="21"/>
                <w:highlight w:val="none"/>
                <w:lang w:eastAsia="zh-CN"/>
              </w:rPr>
            </w:pPr>
            <w:r>
              <w:rPr>
                <w:rFonts w:hint="eastAsia" w:eastAsia="宋体"/>
                <w:color w:val="auto"/>
                <w:sz w:val="21"/>
                <w:szCs w:val="21"/>
                <w:highlight w:val="none"/>
                <w:lang w:eastAsia="zh-CN"/>
              </w:rPr>
              <w:t>（2）</w:t>
            </w:r>
            <w:r>
              <w:rPr>
                <w:rFonts w:hint="eastAsia"/>
                <w:color w:val="auto"/>
                <w:sz w:val="21"/>
                <w:szCs w:val="21"/>
                <w:highlight w:val="none"/>
                <w:lang w:val="en-US" w:eastAsia="zh-CN"/>
              </w:rPr>
              <w:t>中标</w:t>
            </w:r>
            <w:r>
              <w:rPr>
                <w:rFonts w:hint="eastAsia" w:eastAsia="宋体"/>
                <w:color w:val="auto"/>
                <w:sz w:val="21"/>
                <w:szCs w:val="21"/>
                <w:highlight w:val="none"/>
                <w:lang w:eastAsia="zh-CN"/>
              </w:rPr>
              <w:t>人在收到</w:t>
            </w:r>
            <w:r>
              <w:rPr>
                <w:rFonts w:hint="eastAsia"/>
                <w:color w:val="auto"/>
                <w:sz w:val="21"/>
                <w:szCs w:val="21"/>
                <w:highlight w:val="none"/>
                <w:lang w:val="en-US" w:eastAsia="zh-CN"/>
              </w:rPr>
              <w:t>中标</w:t>
            </w:r>
            <w:r>
              <w:rPr>
                <w:rFonts w:hint="eastAsia" w:eastAsia="宋体"/>
                <w:color w:val="auto"/>
                <w:sz w:val="21"/>
                <w:szCs w:val="21"/>
                <w:highlight w:val="none"/>
                <w:lang w:eastAsia="zh-CN"/>
              </w:rPr>
              <w:t>通知书后，无正当理由不与招标人订立合同，在签订合同时向招标人提出附加条件，或者不按照招标文件要求提交履约保证金。</w:t>
            </w:r>
          </w:p>
          <w:p>
            <w:pPr>
              <w:pStyle w:val="30"/>
              <w:adjustRightInd w:val="0"/>
              <w:snapToGrid w:val="0"/>
              <w:spacing w:before="120" w:beforeLines="50" w:after="120" w:afterLines="50"/>
              <w:ind w:firstLine="0" w:firstLineChars="0"/>
              <w:rPr>
                <w:rFonts w:hint="eastAsia" w:eastAsia="宋体"/>
                <w:color w:val="auto"/>
                <w:sz w:val="21"/>
                <w:szCs w:val="21"/>
                <w:highlight w:val="none"/>
                <w:lang w:eastAsia="zh-CN"/>
              </w:rPr>
            </w:pPr>
            <w:r>
              <w:rPr>
                <w:rFonts w:hint="eastAsia" w:eastAsia="宋体"/>
                <w:color w:val="auto"/>
                <w:sz w:val="21"/>
                <w:szCs w:val="21"/>
                <w:highlight w:val="none"/>
                <w:lang w:eastAsia="zh-CN"/>
              </w:rPr>
              <w:t>（3）在提交投标文件截止时间后主动对投标文件提出实质性修改的。</w:t>
            </w:r>
          </w:p>
          <w:p>
            <w:pPr>
              <w:pStyle w:val="30"/>
              <w:adjustRightInd w:val="0"/>
              <w:snapToGrid w:val="0"/>
              <w:spacing w:before="120" w:beforeLines="50" w:after="120" w:afterLines="50"/>
              <w:ind w:firstLine="0" w:firstLineChars="0"/>
              <w:rPr>
                <w:rFonts w:hint="eastAsia" w:eastAsia="宋体"/>
                <w:color w:val="auto"/>
                <w:sz w:val="21"/>
                <w:szCs w:val="21"/>
                <w:highlight w:val="none"/>
                <w:lang w:eastAsia="zh-CN"/>
              </w:rPr>
            </w:pPr>
            <w:r>
              <w:rPr>
                <w:rFonts w:hint="eastAsia" w:eastAsia="宋体"/>
                <w:color w:val="auto"/>
                <w:sz w:val="21"/>
                <w:szCs w:val="21"/>
                <w:highlight w:val="none"/>
                <w:lang w:eastAsia="zh-CN"/>
              </w:rPr>
              <w:t>（4）投标人串通投标或有其他违法行为的。</w:t>
            </w:r>
          </w:p>
          <w:p>
            <w:pPr>
              <w:pStyle w:val="30"/>
              <w:adjustRightInd w:val="0"/>
              <w:snapToGrid w:val="0"/>
              <w:spacing w:before="120" w:beforeLines="50" w:after="120" w:afterLines="50"/>
              <w:ind w:firstLine="0" w:firstLineChars="0"/>
              <w:rPr>
                <w:rFonts w:hint="eastAsia" w:eastAsia="宋体"/>
                <w:color w:val="auto"/>
                <w:sz w:val="21"/>
                <w:szCs w:val="21"/>
                <w:highlight w:val="none"/>
                <w:lang w:eastAsia="zh-CN"/>
              </w:rPr>
            </w:pPr>
            <w:r>
              <w:rPr>
                <w:rFonts w:hint="eastAsia" w:eastAsia="宋体"/>
                <w:color w:val="auto"/>
                <w:sz w:val="21"/>
                <w:szCs w:val="21"/>
                <w:highlight w:val="none"/>
                <w:lang w:eastAsia="zh-CN"/>
              </w:rPr>
              <w:t>（5）国家法律法规及招标文件规定的其他情形。</w:t>
            </w:r>
          </w:p>
          <w:p>
            <w:pPr>
              <w:pStyle w:val="30"/>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cs="宋体"/>
                <w:color w:val="auto"/>
                <w:sz w:val="21"/>
                <w:szCs w:val="21"/>
                <w:highlight w:val="none"/>
                <w:lang w:val="en-US" w:eastAsia="zh-CN"/>
              </w:rPr>
              <w:t>5</w:t>
            </w:r>
            <w:r>
              <w:rPr>
                <w:rFonts w:hint="eastAsia" w:ascii="宋体" w:hAnsi="宋体" w:eastAsia="宋体" w:cs="宋体"/>
                <w:color w:val="auto"/>
                <w:sz w:val="21"/>
                <w:szCs w:val="21"/>
                <w:highlight w:val="none"/>
              </w:rPr>
              <w:t>.如同一包内包含两个或两个以上项目单位，中标人应分别与各项目单位签订合同。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topLinePunct/>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7.5.3</w:t>
            </w:r>
          </w:p>
          <w:p>
            <w:pPr>
              <w:pStyle w:val="28"/>
              <w:topLinePunct/>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新增</w:t>
            </w:r>
          </w:p>
        </w:tc>
        <w:tc>
          <w:tcPr>
            <w:tcW w:w="1092" w:type="dxa"/>
            <w:vAlign w:val="center"/>
          </w:tcPr>
          <w:p>
            <w:pPr>
              <w:topLinePunct/>
              <w:adjustRightInd w:val="0"/>
              <w:snapToGrid w:val="0"/>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kern w:val="0"/>
                <w:sz w:val="21"/>
                <w:szCs w:val="21"/>
                <w:highlight w:val="none"/>
              </w:rPr>
              <w:t>联合体中标</w:t>
            </w:r>
          </w:p>
        </w:tc>
        <w:tc>
          <w:tcPr>
            <w:tcW w:w="7035" w:type="dxa"/>
            <w:vAlign w:val="center"/>
          </w:tcPr>
          <w:p>
            <w:pPr>
              <w:pStyle w:val="30"/>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val="zh-CN"/>
              </w:rPr>
              <w:t>7.7.3联合体中标的，联合体各方应当共同与招标人签订合同，就中标项目向招标人承担连带责任。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topLinePun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7.6</w:t>
            </w:r>
          </w:p>
          <w:p>
            <w:pPr>
              <w:pStyle w:val="28"/>
              <w:topLinePunct/>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rPr>
              <w:t>新增</w:t>
            </w:r>
          </w:p>
        </w:tc>
        <w:tc>
          <w:tcPr>
            <w:tcW w:w="1092" w:type="dxa"/>
            <w:vAlign w:val="center"/>
          </w:tcPr>
          <w:p>
            <w:pPr>
              <w:topLinePunct/>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取消中标候选人资格，或认定中标无效</w:t>
            </w:r>
          </w:p>
        </w:tc>
        <w:tc>
          <w:tcPr>
            <w:tcW w:w="7035" w:type="dxa"/>
            <w:vAlign w:val="center"/>
          </w:tcPr>
          <w:p>
            <w:pPr>
              <w:pStyle w:val="30"/>
              <w:topLinePunct/>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签订书面合同前，如果中标人发生安全生产事故（四级及以上人身、电网、设备事件），事故原因查明前，招标人将有权取消该中标人的中标资格。</w:t>
            </w:r>
          </w:p>
          <w:p>
            <w:pPr>
              <w:pStyle w:val="30"/>
              <w:topLinePunct/>
              <w:adjustRightInd w:val="0"/>
              <w:snapToGrid w:val="0"/>
              <w:spacing w:before="120" w:beforeLines="50" w:after="120" w:afterLines="50"/>
              <w:ind w:firstLine="0" w:firstLineChars="0"/>
              <w:rPr>
                <w:rFonts w:hint="eastAsia" w:ascii="宋体" w:hAnsi="宋体" w:eastAsia="宋体" w:cs="宋体"/>
                <w:color w:val="auto"/>
                <w:kern w:val="0"/>
                <w:sz w:val="21"/>
                <w:szCs w:val="21"/>
                <w:highlight w:val="none"/>
                <w:lang w:val="zh-CN"/>
              </w:rPr>
            </w:pPr>
            <w:r>
              <w:rPr>
                <w:rFonts w:hint="eastAsia" w:ascii="宋体" w:hAnsi="宋体" w:cs="宋体"/>
                <w:color w:val="auto"/>
                <w:sz w:val="21"/>
                <w:szCs w:val="21"/>
                <w:highlight w:val="none"/>
                <w:lang w:val="en-US" w:eastAsia="zh-CN"/>
              </w:rPr>
              <w:t>2</w:t>
            </w:r>
            <w:r>
              <w:rPr>
                <w:rFonts w:hint="eastAsia" w:ascii="宋体" w:hAnsi="宋体" w:eastAsia="宋体" w:cs="宋体"/>
                <w:color w:val="auto"/>
                <w:sz w:val="21"/>
                <w:szCs w:val="21"/>
                <w:highlight w:val="none"/>
              </w:rPr>
              <w:t>.招标人有权对投标人进行资质能力核查，如经核查其不具有承担投标项目的资质能力，或因其自身原因造成核查工作无法进行的，将视其不具备承担投标项目所需的资质能力，取消其中标候选人资格或不予签订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8.1</w:t>
            </w:r>
          </w:p>
        </w:tc>
        <w:tc>
          <w:tcPr>
            <w:tcW w:w="1092" w:type="dxa"/>
            <w:vAlign w:val="center"/>
          </w:tcPr>
          <w:p>
            <w:pPr>
              <w:pStyle w:val="28"/>
              <w:jc w:val="center"/>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highlight w:val="none"/>
                <w:lang w:val="en-US"/>
              </w:rPr>
              <w:t>重新招标</w:t>
            </w:r>
          </w:p>
        </w:tc>
        <w:tc>
          <w:tcPr>
            <w:tcW w:w="7035" w:type="dxa"/>
            <w:vAlign w:val="center"/>
          </w:tcPr>
          <w:p>
            <w:pPr>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有下列情形之一的，招标人在分析招标失败的原因并采取相应措施后，将重新招标：</w:t>
            </w:r>
          </w:p>
          <w:p>
            <w:pPr>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（1）投标截止时间止，提交价格投标文件的投标人少于3个的。</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（2）经评标委员会评审否决所有投标的，或者评标委员会否决一部分投标后其他有效投标不足3个使得投标明显缺乏竞争,决定否决全部投标的。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8.2</w:t>
            </w:r>
          </w:p>
        </w:tc>
        <w:tc>
          <w:tcPr>
            <w:tcW w:w="1092" w:type="dxa"/>
            <w:vAlign w:val="center"/>
          </w:tcPr>
          <w:p>
            <w:pPr>
              <w:pStyle w:val="28"/>
              <w:jc w:val="center"/>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highlight w:val="none"/>
                <w:lang w:val="en-US"/>
              </w:rPr>
              <w:t>不再招标</w:t>
            </w:r>
          </w:p>
        </w:tc>
        <w:tc>
          <w:tcPr>
            <w:tcW w:w="7035" w:type="dxa"/>
            <w:vAlign w:val="center"/>
          </w:tcPr>
          <w:p>
            <w:pPr>
              <w:pStyle w:val="28"/>
              <w:tabs>
                <w:tab w:val="left" w:pos="1401"/>
                <w:tab w:val="left" w:pos="2171"/>
                <w:tab w:val="left" w:pos="2945"/>
              </w:tabs>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highlight w:val="none"/>
                <w:lang w:val="en-US"/>
              </w:rPr>
              <w:t>重新招标后投标人仍少于3个或者所有投标被否决的，</w:t>
            </w:r>
            <w:r>
              <w:rPr>
                <w:rFonts w:hint="eastAsia" w:ascii="宋体" w:hAnsi="宋体" w:eastAsia="宋体" w:cs="宋体"/>
                <w:color w:val="auto"/>
                <w:sz w:val="21"/>
                <w:szCs w:val="21"/>
                <w:highlight w:val="none"/>
                <w:lang w:val="en-US"/>
              </w:rPr>
              <w:t>可以不再进行招标；（此为通常情况）</w:t>
            </w:r>
            <w:r>
              <w:rPr>
                <w:rFonts w:hint="eastAsia" w:ascii="宋体" w:hAnsi="宋体" w:eastAsia="宋体" w:cs="宋体"/>
                <w:color w:val="auto"/>
                <w:kern w:val="2"/>
                <w:sz w:val="21"/>
                <w:szCs w:val="21"/>
                <w:highlight w:val="none"/>
                <w:lang w:val="en-US"/>
              </w:rPr>
              <w:t>按国家有关规定需要履行审批、核准手续的依法必须进行招标的项目，报项目审批、核准部门审批、核准后可以不再进行招标。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pStyle w:val="28"/>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9</w:t>
            </w:r>
            <w:r>
              <w:rPr>
                <w:rFonts w:hint="eastAsia" w:ascii="宋体" w:hAnsi="宋体" w:eastAsia="宋体" w:cs="宋体"/>
                <w:color w:val="auto"/>
                <w:sz w:val="21"/>
                <w:szCs w:val="21"/>
                <w:highlight w:val="none"/>
                <w:lang w:eastAsia="en-US"/>
              </w:rPr>
              <w:t>.2</w:t>
            </w:r>
          </w:p>
        </w:tc>
        <w:tc>
          <w:tcPr>
            <w:tcW w:w="1092" w:type="dxa"/>
            <w:vAlign w:val="center"/>
          </w:tcPr>
          <w:p>
            <w:pPr>
              <w:pStyle w:val="28"/>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lang w:eastAsia="en-US"/>
              </w:rPr>
              <w:t>对投标人的纪律要求</w:t>
            </w:r>
          </w:p>
        </w:tc>
        <w:tc>
          <w:tcPr>
            <w:tcW w:w="7035" w:type="dxa"/>
            <w:vAlign w:val="center"/>
          </w:tcPr>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补充：</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如果中标人有商业贿赂或欺诈行为，其中标资格将被取消。如果投标人在任何时候，被认定为有商业贿赂或欺诈行为，将被宣布在一个不定期的时间内被取消其中标资格或拒绝其投标。商业贿赂指在招标、评标和合同执行等过程中，投标人为影响招标人、招标代理机构、评标委员会成员的行为而提供、给予任何有价物或好处的行为或招标人、招标代理机构、评标委员会成员为谋取不正当利益向投标人索取或接受投标人任何有价物或好处的行为。欺诈行为指为了影响招标、评标和合同执行等过程而隐瞒或虚构事实、虚假投标，从而给招标人造成损害的行为，其中包括投标人之间的串通行为，旨在使投标价格成为人为的、无竞争性的价格，并使招标人无法从自由公开的竞争中受益。</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在招标采购过程中，投标人或投标文件存在下列情形之一的，视为投标人相互串通投标：</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1）不同投标人的投标文件由同一单位或者个人编制，不同投标人的电子投标文件通过同一台电脑制作、上传。同一标包中，不同投标人编制电子投标文件（包括价格、技术、商务和资质业绩文件中任一类别）时使用的计算机硬件网卡MAC 地址（如有）、CPU 序列号和硬盘序列号均相同。</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2）不同投标人委托同一单位或者个人办理投标事宜（如电子化投标过程中在获取招标文件、递交投标文件、提出澄清、提出异议、澄清回复、踏勘现场等阶段的联系信息一致，如联系人姓名、电话、邮箱、地址一致）。</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（3）不同投标人的投标文件载明的项目管理成员为同一人，除非投标人能够证明其不存在串通投标行为。</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（4）不同投标人的投标保证金或投标保证保险的保费从同一单位或者个人账户转出。</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（5）不同投标人的投标文件异常一致（如投标文件错误表述、错误计算或者笔误雷同，投标文件整段内容一致（引用除外），投标文件排版格式一致等）</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（6）不同投标人的投标文件上所加盖公司印章、签字相同。</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（7）不同投标人的投标文件相互混装。</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（8）不同投标人的投标报价呈规律性差异（如同一标包中不同投标人的投标报价呈等差数列或有规律性的百分比等）。</w:t>
            </w:r>
          </w:p>
          <w:p>
            <w:pPr>
              <w:pStyle w:val="28"/>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eastAsia="zh-CN"/>
              </w:rPr>
            </w:pPr>
            <w:r>
              <w:rPr>
                <w:rFonts w:hint="eastAsia" w:ascii="宋体" w:hAnsi="宋体" w:eastAsia="宋体" w:cs="宋体"/>
                <w:color w:val="auto"/>
                <w:kern w:val="2"/>
                <w:sz w:val="21"/>
                <w:szCs w:val="21"/>
                <w:highlight w:val="none"/>
                <w:lang w:val="en-US"/>
              </w:rPr>
              <w:t>投标人存在串通投标或视为串通投标行为的，该投标人参与本次招标活动的所有标包将被否决，同时招标人将依据《国家电网有限公司供应商关系管理办法》规定进行后续处理</w:t>
            </w:r>
            <w:r>
              <w:rPr>
                <w:rFonts w:hint="eastAsia" w:cs="宋体"/>
                <w:color w:val="auto"/>
                <w:kern w:val="2"/>
                <w:sz w:val="21"/>
                <w:szCs w:val="21"/>
                <w:highlight w:val="none"/>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utoSpaceDE w:val="0"/>
              <w:autoSpaceDN w:val="0"/>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9</w:t>
            </w:r>
            <w:r>
              <w:rPr>
                <w:rFonts w:hint="eastAsia" w:ascii="宋体" w:hAnsi="宋体" w:eastAsia="宋体" w:cs="宋体"/>
                <w:color w:val="auto"/>
                <w:kern w:val="0"/>
                <w:sz w:val="21"/>
                <w:szCs w:val="21"/>
                <w:highlight w:val="none"/>
                <w:lang w:eastAsia="en-US"/>
              </w:rPr>
              <w:t>.3</w:t>
            </w:r>
          </w:p>
        </w:tc>
        <w:tc>
          <w:tcPr>
            <w:tcW w:w="1092" w:type="dxa"/>
            <w:vAlign w:val="center"/>
          </w:tcPr>
          <w:p>
            <w:pPr>
              <w:autoSpaceDE w:val="0"/>
              <w:autoSpaceDN w:val="0"/>
              <w:adjustRightInd w:val="0"/>
              <w:snapToGrid w:val="0"/>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对评标委员会成员的纪律要求</w:t>
            </w:r>
          </w:p>
        </w:tc>
        <w:tc>
          <w:tcPr>
            <w:tcW w:w="7035" w:type="dxa"/>
            <w:vAlign w:val="center"/>
          </w:tcPr>
          <w:p>
            <w:pPr>
              <w:autoSpaceDE w:val="0"/>
              <w:autoSpaceDN w:val="0"/>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补充：</w:t>
            </w:r>
          </w:p>
          <w:p>
            <w:pPr>
              <w:autoSpaceDE w:val="0"/>
              <w:autoSpaceDN w:val="0"/>
              <w:adjustRightInd w:val="0"/>
              <w:snapToGrid w:val="0"/>
              <w:spacing w:before="120" w:beforeLines="50" w:after="120" w:afterLines="50"/>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不得向招标人征询其确定中标人的意向，不得接受任何单位或者个人明示或者暗示提出的倾向或者排斥特定投标人的要求</w:t>
            </w:r>
            <w:r>
              <w:rPr>
                <w:rFonts w:hint="eastAsia" w:ascii="宋体" w:hAnsi="宋体" w:eastAsia="宋体" w:cs="宋体"/>
                <w:color w:val="auto"/>
                <w:sz w:val="21"/>
                <w:szCs w:val="21"/>
                <w:highlight w:val="none"/>
              </w:rPr>
              <w:t>，不得私下接触投标人，不得接受投标人的馈赠或其他好处</w:t>
            </w:r>
            <w:r>
              <w:rPr>
                <w:rFonts w:hint="eastAsia" w:ascii="宋体" w:hAnsi="宋体" w:eastAsia="宋体" w:cs="宋体"/>
                <w:color w:val="auto"/>
                <w:kern w:val="0"/>
                <w:sz w:val="21"/>
                <w:szCs w:val="21"/>
                <w:highlight w:val="none"/>
              </w:rPr>
              <w:t>，不得有其他不客观、不公正履行职务的行为。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w:t>
            </w:r>
          </w:p>
        </w:tc>
        <w:tc>
          <w:tcPr>
            <w:tcW w:w="1092" w:type="dxa"/>
            <w:vAlign w:val="center"/>
          </w:tcPr>
          <w:p>
            <w:pPr>
              <w:adjustRightInd w:val="0"/>
              <w:snapToGrid w:val="0"/>
              <w:jc w:val="center"/>
              <w:rPr>
                <w:rFonts w:hint="eastAsia" w:ascii="宋体" w:hAnsi="宋体" w:eastAsia="宋体" w:cs="宋体"/>
                <w:color w:val="auto"/>
                <w:kern w:val="0"/>
                <w:sz w:val="21"/>
                <w:szCs w:val="21"/>
                <w:highlight w:val="none"/>
                <w:lang w:eastAsia="en-US"/>
              </w:rPr>
            </w:pPr>
            <w:r>
              <w:rPr>
                <w:rFonts w:hint="eastAsia" w:ascii="宋体" w:hAnsi="宋体" w:eastAsia="宋体" w:cs="宋体"/>
                <w:color w:val="auto"/>
                <w:kern w:val="0"/>
                <w:sz w:val="21"/>
                <w:szCs w:val="21"/>
                <w:highlight w:val="none"/>
                <w:lang w:eastAsia="en-US"/>
              </w:rPr>
              <w:t>需要补充的其他内容</w:t>
            </w:r>
          </w:p>
        </w:tc>
        <w:tc>
          <w:tcPr>
            <w:tcW w:w="7035" w:type="dxa"/>
            <w:vAlign w:val="center"/>
          </w:tcPr>
          <w:p>
            <w:pPr>
              <w:pStyle w:val="28"/>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1.增值税税率</w:t>
            </w:r>
          </w:p>
          <w:p>
            <w:pPr>
              <w:pStyle w:val="28"/>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bidi="zh-CN"/>
              </w:rPr>
              <w:t>增值税税率：投标人应按照国家规定税率填报增值税税率或征收率，投标人中标后，在合同履行期间应提供增值税专用发票原件，并按此进行合同结算，否则由此给项目单位造成的损失应由中标人承担。</w:t>
            </w:r>
          </w:p>
          <w:p>
            <w:pPr>
              <w:pStyle w:val="28"/>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2.企业名称变更</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凡资格业绩等证明文件中的公司名称与投标人名称不一致的，应提供投标人自述的企业名称变更原因说明、市场监督管理部门出具的‘名称变更证明’相关证明材料。</w:t>
            </w:r>
          </w:p>
          <w:p>
            <w:pPr>
              <w:pStyle w:val="17"/>
              <w:numPr>
                <w:ilvl w:val="255"/>
                <w:numId w:val="0"/>
              </w:numPr>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3.若本项目涉及农民工工资支付事宜，应严格执行《保障农民工工资支付条例》（国务院724号令）等国家有关法规，及时足额支付农民工工资。</w:t>
            </w:r>
          </w:p>
          <w:p>
            <w:pPr>
              <w:pStyle w:val="28"/>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4.招标代理服务费</w:t>
            </w:r>
          </w:p>
          <w:p>
            <w:pPr>
              <w:pStyle w:val="28"/>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（1）投标报价应包含招标代理服务费。</w:t>
            </w:r>
          </w:p>
          <w:p>
            <w:pPr>
              <w:pStyle w:val="28"/>
              <w:shd w:val="clear"/>
              <w:spacing w:before="120" w:beforeLines="50" w:after="120" w:afterLines="50"/>
              <w:rPr>
                <w:rFonts w:hint="eastAsia" w:ascii="宋体" w:hAnsi="宋体" w:eastAsia="宋体" w:cs="宋体"/>
                <w:color w:val="auto"/>
                <w:kern w:val="2"/>
                <w:sz w:val="21"/>
                <w:szCs w:val="21"/>
                <w:highlight w:val="none"/>
                <w:lang w:val="en-US" w:eastAsia="zh-CN"/>
              </w:rPr>
            </w:pPr>
            <w:r>
              <w:rPr>
                <w:rFonts w:hint="eastAsia" w:ascii="宋体" w:hAnsi="宋体" w:eastAsia="宋体" w:cs="宋体"/>
                <w:color w:val="auto"/>
                <w:kern w:val="2"/>
                <w:sz w:val="21"/>
                <w:szCs w:val="21"/>
                <w:highlight w:val="none"/>
                <w:lang w:val="en-US"/>
              </w:rPr>
              <w:t>（2）</w:t>
            </w:r>
            <w:r>
              <w:rPr>
                <w:rFonts w:hint="eastAsia" w:ascii="宋体" w:hAnsi="宋体" w:eastAsia="宋体" w:cs="宋体"/>
                <w:color w:val="auto"/>
                <w:sz w:val="21"/>
                <w:szCs w:val="21"/>
                <w:highlight w:val="none"/>
              </w:rPr>
              <w:t>中标人应在《中标通知书》发出后5日内，一次性向招标代理机构</w:t>
            </w:r>
            <w:r>
              <w:rPr>
                <w:rFonts w:hint="eastAsia" w:ascii="宋体" w:hAnsi="宋体" w:eastAsia="宋体" w:cs="宋体"/>
                <w:strike w:val="0"/>
                <w:dstrike w:val="0"/>
                <w:color w:val="auto"/>
                <w:sz w:val="21"/>
                <w:szCs w:val="21"/>
                <w:highlight w:val="none"/>
                <w:lang w:val="en-US" w:eastAsia="zh-CN"/>
              </w:rPr>
              <w:t>交</w:t>
            </w:r>
            <w:r>
              <w:rPr>
                <w:rFonts w:hint="eastAsia" w:ascii="宋体" w:hAnsi="宋体" w:eastAsia="宋体" w:cs="宋体"/>
                <w:color w:val="auto"/>
                <w:sz w:val="21"/>
                <w:szCs w:val="21"/>
                <w:highlight w:val="none"/>
              </w:rPr>
              <w:t>纳招标代理服务费</w:t>
            </w:r>
            <w:r>
              <w:rPr>
                <w:rFonts w:hint="eastAsia" w:ascii="宋体" w:hAnsi="宋体" w:eastAsia="宋体" w:cs="宋体"/>
                <w:color w:val="auto"/>
                <w:kern w:val="2"/>
                <w:sz w:val="21"/>
                <w:szCs w:val="21"/>
                <w:highlight w:val="none"/>
                <w:lang w:val="en-US"/>
              </w:rPr>
              <w:t>。招标代理服务费以包为单位收取，按差额定率累进法计算，收费标准见下表。</w:t>
            </w:r>
            <w:r>
              <w:rPr>
                <w:rFonts w:hint="eastAsia" w:ascii="宋体" w:hAnsi="宋体" w:eastAsia="宋体" w:cs="宋体"/>
                <w:color w:val="auto"/>
                <w:sz w:val="21"/>
                <w:szCs w:val="21"/>
                <w:highlight w:val="none"/>
                <w:lang w:val="en-US" w:eastAsia="zh-CN"/>
              </w:rPr>
              <w:t>投标人可登录BOSP系统自行下载招标代理服务费交费通知。</w:t>
            </w:r>
            <w:r>
              <w:rPr>
                <w:rFonts w:hint="eastAsia" w:ascii="宋体" w:hAnsi="宋体" w:eastAsia="宋体" w:cs="宋体"/>
                <w:b/>
                <w:bCs/>
                <w:color w:val="auto"/>
                <w:sz w:val="21"/>
                <w:szCs w:val="21"/>
                <w:highlight w:val="none"/>
                <w:lang w:val="en-US" w:eastAsia="zh-CN"/>
              </w:rPr>
              <w:t>通过电汇形式支付招标代理服务费。</w:t>
            </w:r>
            <w:r>
              <w:rPr>
                <w:rFonts w:hint="eastAsia" w:ascii="宋体" w:hAnsi="宋体" w:eastAsia="宋体" w:cs="宋体"/>
                <w:color w:val="auto"/>
                <w:kern w:val="2"/>
                <w:sz w:val="21"/>
                <w:szCs w:val="21"/>
                <w:highlight w:val="none"/>
                <w:lang w:val="en-US"/>
              </w:rPr>
              <w:t>如果中标人不按照招标文件规定</w:t>
            </w:r>
            <w:r>
              <w:rPr>
                <w:rFonts w:hint="eastAsia" w:ascii="宋体" w:hAnsi="宋体" w:eastAsia="宋体" w:cs="宋体"/>
                <w:strike w:val="0"/>
                <w:dstrike w:val="0"/>
                <w:color w:val="auto"/>
                <w:sz w:val="21"/>
                <w:szCs w:val="21"/>
                <w:highlight w:val="none"/>
                <w:lang w:val="en-US" w:eastAsia="zh-CN"/>
              </w:rPr>
              <w:t>交</w:t>
            </w:r>
            <w:r>
              <w:rPr>
                <w:rFonts w:hint="eastAsia" w:ascii="宋体" w:hAnsi="宋体" w:eastAsia="宋体" w:cs="宋体"/>
                <w:color w:val="auto"/>
                <w:kern w:val="2"/>
                <w:sz w:val="21"/>
                <w:szCs w:val="21"/>
                <w:highlight w:val="none"/>
                <w:lang w:val="en-US"/>
              </w:rPr>
              <w:t>纳招标代理服务费，投标人将承担由此导致的不利信用评价风险</w:t>
            </w:r>
            <w:r>
              <w:rPr>
                <w:rFonts w:hint="eastAsia" w:ascii="宋体" w:hAnsi="宋体" w:eastAsia="宋体" w:cs="宋体"/>
                <w:color w:val="auto"/>
                <w:kern w:val="2"/>
                <w:sz w:val="21"/>
                <w:szCs w:val="21"/>
                <w:highlight w:val="none"/>
                <w:lang w:val="en-US" w:eastAsia="zh-CN"/>
              </w:rPr>
              <w:t>。</w:t>
            </w:r>
          </w:p>
          <w:p>
            <w:pPr>
              <w:widowControl/>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招标代理服务收费标准（费率）</w:t>
            </w:r>
          </w:p>
          <w:tbl>
            <w:tblPr>
              <w:tblStyle w:val="19"/>
              <w:tblW w:w="0" w:type="auto"/>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420"/>
              <w:gridCol w:w="3501"/>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double" w:color="auto" w:sz="4" w:space="0"/>
                    <w:left w:val="nil"/>
                    <w:bottom w:val="single" w:color="auto" w:sz="4" w:space="0"/>
                    <w:right w:val="single" w:color="auto" w:sz="4" w:space="0"/>
                  </w:tcBorders>
                  <w:noWrap w:val="0"/>
                  <w:vAlign w:val="center"/>
                </w:tcPr>
                <w:p>
                  <w:pPr>
                    <w:adjustRightInd w:val="0"/>
                    <w:snapToGrid w:val="0"/>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中标金额（万元）</w:t>
                  </w:r>
                </w:p>
              </w:tc>
              <w:tc>
                <w:tcPr>
                  <w:tcW w:w="3915" w:type="dxa"/>
                  <w:tcBorders>
                    <w:top w:val="double" w:color="auto" w:sz="4" w:space="0"/>
                    <w:left w:val="single" w:color="auto" w:sz="4" w:space="0"/>
                    <w:bottom w:val="single" w:color="auto" w:sz="4" w:space="0"/>
                    <w:right w:val="nil"/>
                  </w:tcBorders>
                  <w:noWrap w:val="0"/>
                  <w:vAlign w:val="center"/>
                </w:tcPr>
                <w:p>
                  <w:pPr>
                    <w:adjustRightInd w:val="0"/>
                    <w:snapToGrid w:val="0"/>
                    <w:ind w:left="402" w:hanging="422" w:hangingChars="200"/>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费率</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PrEx>
              <w:trPr>
                <w:jc w:val="center"/>
              </w:trPr>
              <w:tc>
                <w:tcPr>
                  <w:tcW w:w="3735" w:type="dxa"/>
                  <w:tcBorders>
                    <w:top w:val="single" w:color="auto" w:sz="4" w:space="0"/>
                    <w:left w:val="nil"/>
                    <w:bottom w:val="single" w:color="auto" w:sz="4" w:space="0"/>
                    <w:right w:val="single" w:color="auto" w:sz="4" w:space="0"/>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 以下</w:t>
                  </w:r>
                </w:p>
              </w:tc>
              <w:tc>
                <w:tcPr>
                  <w:tcW w:w="3915" w:type="dxa"/>
                  <w:tcBorders>
                    <w:top w:val="single" w:color="auto" w:sz="4" w:space="0"/>
                    <w:left w:val="single" w:color="auto" w:sz="4" w:space="0"/>
                    <w:bottom w:val="sing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0.9600%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single" w:color="auto" w:sz="4" w:space="0"/>
                    <w:left w:val="nil"/>
                    <w:bottom w:val="single" w:color="auto" w:sz="4" w:space="0"/>
                    <w:right w:val="single" w:color="auto" w:sz="4" w:space="0"/>
                  </w:tcBorders>
                  <w:noWrap w:val="0"/>
                  <w:vAlign w:val="center"/>
                </w:tcPr>
                <w:p>
                  <w:pPr>
                    <w:adjustRightInd w:val="0"/>
                    <w:snapToGrid w:val="0"/>
                    <w:spacing w:before="30" w:after="30" w:line="312" w:lineRule="atLeast"/>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100-500</w:t>
                  </w:r>
                </w:p>
              </w:tc>
              <w:tc>
                <w:tcPr>
                  <w:tcW w:w="3915" w:type="dxa"/>
                  <w:tcBorders>
                    <w:top w:val="single" w:color="auto" w:sz="4" w:space="0"/>
                    <w:left w:val="single" w:color="auto" w:sz="4" w:space="0"/>
                    <w:bottom w:val="sing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0.6720%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single" w:color="auto" w:sz="4" w:space="0"/>
                    <w:left w:val="nil"/>
                    <w:bottom w:val="single" w:color="auto" w:sz="4" w:space="0"/>
                    <w:right w:val="single" w:color="auto" w:sz="4" w:space="0"/>
                  </w:tcBorders>
                  <w:noWrap w:val="0"/>
                  <w:vAlign w:val="center"/>
                </w:tcPr>
                <w:p>
                  <w:pPr>
                    <w:adjustRightInd w:val="0"/>
                    <w:snapToGrid w:val="0"/>
                    <w:spacing w:before="30" w:after="30" w:line="312" w:lineRule="atLeast"/>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500-1000</w:t>
                  </w:r>
                </w:p>
              </w:tc>
              <w:tc>
                <w:tcPr>
                  <w:tcW w:w="3915" w:type="dxa"/>
                  <w:tcBorders>
                    <w:top w:val="single" w:color="auto" w:sz="4" w:space="0"/>
                    <w:left w:val="single" w:color="auto" w:sz="4" w:space="0"/>
                    <w:bottom w:val="sing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0.5280%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single" w:color="auto" w:sz="4" w:space="0"/>
                    <w:left w:val="nil"/>
                    <w:bottom w:val="single" w:color="auto" w:sz="4" w:space="0"/>
                    <w:right w:val="single" w:color="auto" w:sz="4" w:space="0"/>
                  </w:tcBorders>
                  <w:noWrap w:val="0"/>
                  <w:vAlign w:val="center"/>
                </w:tcPr>
                <w:p>
                  <w:pPr>
                    <w:adjustRightInd w:val="0"/>
                    <w:snapToGrid w:val="0"/>
                    <w:spacing w:before="30" w:after="30" w:line="312" w:lineRule="atLeast"/>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1000-5000</w:t>
                  </w:r>
                </w:p>
              </w:tc>
              <w:tc>
                <w:tcPr>
                  <w:tcW w:w="3915" w:type="dxa"/>
                  <w:tcBorders>
                    <w:top w:val="single" w:color="auto" w:sz="4" w:space="0"/>
                    <w:left w:val="single" w:color="auto" w:sz="4" w:space="0"/>
                    <w:bottom w:val="sing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0.3360%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single" w:color="auto" w:sz="4" w:space="0"/>
                    <w:left w:val="nil"/>
                    <w:bottom w:val="single" w:color="auto" w:sz="4" w:space="0"/>
                    <w:right w:val="single" w:color="auto" w:sz="4" w:space="0"/>
                  </w:tcBorders>
                  <w:noWrap w:val="0"/>
                  <w:vAlign w:val="center"/>
                </w:tcPr>
                <w:p>
                  <w:pPr>
                    <w:adjustRightInd w:val="0"/>
                    <w:snapToGrid w:val="0"/>
                    <w:spacing w:before="30" w:after="30" w:line="312" w:lineRule="atLeast"/>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5000-10000</w:t>
                  </w:r>
                </w:p>
              </w:tc>
              <w:tc>
                <w:tcPr>
                  <w:tcW w:w="3915" w:type="dxa"/>
                  <w:tcBorders>
                    <w:top w:val="single" w:color="auto" w:sz="4" w:space="0"/>
                    <w:left w:val="single" w:color="auto" w:sz="4" w:space="0"/>
                    <w:bottom w:val="sing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0.1920%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single" w:color="auto" w:sz="4" w:space="0"/>
                    <w:left w:val="nil"/>
                    <w:bottom w:val="single" w:color="auto" w:sz="4" w:space="0"/>
                    <w:right w:val="single" w:color="auto" w:sz="4" w:space="0"/>
                  </w:tcBorders>
                  <w:noWrap w:val="0"/>
                  <w:vAlign w:val="center"/>
                </w:tcPr>
                <w:p>
                  <w:pPr>
                    <w:adjustRightInd w:val="0"/>
                    <w:snapToGrid w:val="0"/>
                    <w:spacing w:before="30" w:after="30" w:line="312" w:lineRule="atLeast"/>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10000-100000</w:t>
                  </w:r>
                </w:p>
              </w:tc>
              <w:tc>
                <w:tcPr>
                  <w:tcW w:w="3915" w:type="dxa"/>
                  <w:tcBorders>
                    <w:top w:val="single" w:color="auto" w:sz="4" w:space="0"/>
                    <w:left w:val="single" w:color="auto" w:sz="4" w:space="0"/>
                    <w:bottom w:val="sing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0.0480%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735" w:type="dxa"/>
                  <w:tcBorders>
                    <w:top w:val="single" w:color="auto" w:sz="4" w:space="0"/>
                    <w:left w:val="nil"/>
                    <w:bottom w:val="double" w:color="auto" w:sz="4" w:space="0"/>
                    <w:right w:val="single" w:color="auto" w:sz="4" w:space="0"/>
                  </w:tcBorders>
                  <w:noWrap w:val="0"/>
                  <w:vAlign w:val="center"/>
                </w:tcPr>
                <w:p>
                  <w:pPr>
                    <w:adjustRightInd w:val="0"/>
                    <w:snapToGrid w:val="0"/>
                    <w:spacing w:before="30" w:after="30" w:line="312" w:lineRule="atLeast"/>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100000 以上</w:t>
                  </w:r>
                </w:p>
              </w:tc>
              <w:tc>
                <w:tcPr>
                  <w:tcW w:w="3915" w:type="dxa"/>
                  <w:tcBorders>
                    <w:top w:val="single" w:color="auto" w:sz="4" w:space="0"/>
                    <w:left w:val="single" w:color="auto" w:sz="4" w:space="0"/>
                    <w:bottom w:val="double" w:color="auto" w:sz="4" w:space="0"/>
                    <w:right w:val="nil"/>
                  </w:tcBorders>
                  <w:noWrap w:val="0"/>
                  <w:vAlign w:val="center"/>
                </w:tcPr>
                <w:p>
                  <w:pPr>
                    <w:adjustRightInd w:val="0"/>
                    <w:snapToGrid w:val="0"/>
                    <w:spacing w:before="30" w:after="30"/>
                    <w:ind w:left="360" w:hanging="420" w:hangingChars="20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0.0096%</w:t>
                  </w:r>
                </w:p>
              </w:tc>
            </w:tr>
          </w:tbl>
          <w:p>
            <w:pPr>
              <w:pStyle w:val="28"/>
              <w:shd w:val="clear"/>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（3）根据中标金额一次性向招标代理机构</w:t>
            </w:r>
            <w:r>
              <w:rPr>
                <w:rFonts w:hint="eastAsia" w:ascii="宋体" w:hAnsi="宋体" w:eastAsia="宋体" w:cs="宋体"/>
                <w:strike w:val="0"/>
                <w:dstrike w:val="0"/>
                <w:color w:val="auto"/>
                <w:sz w:val="21"/>
                <w:szCs w:val="21"/>
                <w:highlight w:val="none"/>
                <w:lang w:val="en-US" w:eastAsia="zh-CN"/>
              </w:rPr>
              <w:t>交</w:t>
            </w:r>
            <w:r>
              <w:rPr>
                <w:rFonts w:hint="eastAsia" w:ascii="宋体" w:hAnsi="宋体" w:eastAsia="宋体" w:cs="宋体"/>
                <w:color w:val="auto"/>
                <w:kern w:val="2"/>
                <w:sz w:val="21"/>
                <w:szCs w:val="21"/>
                <w:highlight w:val="none"/>
                <w:lang w:val="en-US"/>
              </w:rPr>
              <w:t>纳招标代理服务费，合同执行金额大于或小于中标金额，招标代理服务费均不做调整。</w:t>
            </w:r>
          </w:p>
          <w:p>
            <w:pPr>
              <w:pStyle w:val="18"/>
              <w:ind w:left="420" w:leftChars="0" w:hanging="420" w:hanging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（4）招标代理机构银行账户信息：</w:t>
            </w:r>
            <w:r>
              <w:rPr>
                <w:rFonts w:hint="eastAsia" w:ascii="宋体" w:hAnsi="宋体" w:eastAsia="宋体" w:cs="宋体"/>
                <w:color w:val="auto"/>
                <w:kern w:val="2"/>
                <w:sz w:val="21"/>
                <w:szCs w:val="21"/>
                <w:highlight w:val="none"/>
                <w:lang w:val="en-US" w:eastAsia="zh-CN" w:bidi="ar-SA"/>
              </w:rPr>
              <w:br w:type="textWrapping"/>
            </w:r>
            <w:r>
              <w:rPr>
                <w:rFonts w:hint="eastAsia" w:ascii="宋体" w:hAnsi="宋体" w:eastAsia="宋体" w:cs="宋体"/>
                <w:b/>
                <w:bCs/>
                <w:color w:val="auto"/>
                <w:kern w:val="2"/>
                <w:sz w:val="21"/>
                <w:szCs w:val="21"/>
                <w:highlight w:val="none"/>
                <w:lang w:val="en-US" w:eastAsia="zh-CN" w:bidi="ar-SA"/>
              </w:rPr>
              <w:t>招标代理服务费汇款账户：</w:t>
            </w:r>
          </w:p>
          <w:p>
            <w:pPr>
              <w:pStyle w:val="18"/>
              <w:ind w:left="0" w:leftChars="0" w:firstLine="422" w:firstLine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b/>
                <w:bCs/>
                <w:color w:val="auto"/>
                <w:kern w:val="2"/>
                <w:sz w:val="21"/>
                <w:szCs w:val="21"/>
                <w:highlight w:val="none"/>
                <w:lang w:val="en-US" w:eastAsia="zh-CN" w:bidi="ar-SA"/>
              </w:rPr>
              <w:t>开户银行：中国工商银行北京中电财支行</w:t>
            </w:r>
          </w:p>
          <w:p>
            <w:pPr>
              <w:pStyle w:val="18"/>
              <w:ind w:left="0" w:leftChars="0" w:firstLine="422" w:firstLine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b/>
                <w:bCs/>
                <w:color w:val="auto"/>
                <w:kern w:val="2"/>
                <w:sz w:val="21"/>
                <w:szCs w:val="21"/>
                <w:highlight w:val="none"/>
                <w:lang w:val="en-US" w:eastAsia="zh-CN" w:bidi="ar-SA"/>
              </w:rPr>
              <w:t>账号：0200337419100008210</w:t>
            </w:r>
          </w:p>
          <w:p>
            <w:pPr>
              <w:pStyle w:val="18"/>
              <w:ind w:left="0" w:leftChars="0" w:firstLine="422" w:firstLine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b/>
                <w:bCs/>
                <w:color w:val="auto"/>
                <w:kern w:val="2"/>
                <w:sz w:val="21"/>
                <w:szCs w:val="21"/>
                <w:highlight w:val="none"/>
                <w:lang w:val="en-US" w:eastAsia="zh-CN" w:bidi="ar-SA"/>
              </w:rPr>
              <w:t>收款人名称：国网物资有限公司</w:t>
            </w:r>
          </w:p>
          <w:p>
            <w:pPr>
              <w:pStyle w:val="28"/>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5.</w:t>
            </w:r>
            <w:r>
              <w:rPr>
                <w:rFonts w:hint="eastAsia" w:ascii="宋体" w:hAnsi="宋体" w:eastAsia="宋体" w:cs="宋体"/>
                <w:color w:val="auto"/>
                <w:kern w:val="2"/>
                <w:sz w:val="21"/>
                <w:szCs w:val="21"/>
                <w:highlight w:val="none"/>
                <w:lang w:val="en-US"/>
              </w:rPr>
              <w:t>中标人不得承接国家电网有限公司招标采购产品其他供应商的贴牌代工及任何分包（招标文件中允许外购外协的除外）、转包，否则将根据《</w:t>
            </w:r>
            <w:r>
              <w:rPr>
                <w:rFonts w:hint="eastAsia" w:cs="宋体"/>
                <w:color w:val="auto"/>
                <w:kern w:val="2"/>
                <w:sz w:val="21"/>
                <w:szCs w:val="21"/>
                <w:highlight w:val="none"/>
                <w:lang w:val="en-US" w:eastAsia="zh-CN"/>
              </w:rPr>
              <w:t>国家电网有限公司供应商关系管理办法</w:t>
            </w:r>
            <w:r>
              <w:rPr>
                <w:rFonts w:hint="eastAsia" w:ascii="宋体" w:hAnsi="宋体" w:eastAsia="宋体" w:cs="宋体"/>
                <w:color w:val="auto"/>
                <w:kern w:val="2"/>
                <w:sz w:val="21"/>
                <w:szCs w:val="21"/>
                <w:highlight w:val="none"/>
                <w:lang w:val="en-US"/>
              </w:rPr>
              <w:t>》进行相应处理</w:t>
            </w:r>
            <w:r>
              <w:rPr>
                <w:rFonts w:hint="eastAsia" w:ascii="宋体" w:hAnsi="宋体" w:eastAsia="宋体" w:cs="宋体"/>
                <w:color w:val="auto"/>
                <w:kern w:val="2"/>
                <w:sz w:val="21"/>
                <w:szCs w:val="21"/>
                <w:highlight w:val="none"/>
                <w:lang w:val="en-US" w:eastAsia="zh-CN"/>
              </w:rPr>
              <w:t>。</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6</w:t>
            </w:r>
            <w:r>
              <w:rPr>
                <w:rFonts w:hint="eastAsia" w:ascii="宋体" w:hAnsi="宋体" w:eastAsia="宋体" w:cs="宋体"/>
                <w:color w:val="auto"/>
                <w:sz w:val="21"/>
                <w:szCs w:val="21"/>
                <w:highlight w:val="none"/>
              </w:rPr>
              <w:t>.</w:t>
            </w:r>
            <w:r>
              <w:rPr>
                <w:rFonts w:hint="eastAsia" w:ascii="宋体" w:hAnsi="宋体" w:cs="宋体"/>
                <w:color w:val="auto"/>
                <w:szCs w:val="21"/>
                <w:highlight w:val="none"/>
              </w:rPr>
              <w:t>投标价格编制原则</w:t>
            </w:r>
            <w:r>
              <w:rPr>
                <w:rFonts w:hint="eastAsia" w:ascii="宋体" w:hAnsi="宋体" w:eastAsia="宋体" w:cs="宋体"/>
                <w:color w:val="auto"/>
                <w:sz w:val="21"/>
                <w:szCs w:val="21"/>
                <w:highlight w:val="none"/>
              </w:rPr>
              <w:t>(以下为参考)</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报价包含的费用。投标人的投标报价为在工程项目建设期和保修期内，完成招标文件的工作内容的各项费用，应包括人工、材料、机械、设备、施工管理（包括编制声像资料等相关费用、安全文明施工策划等）、建设场地准备、临时设施、各种施工措施费、维护、利润、税金、包干预备费、政策性文件规定及合同包含的文明施工、安全措施、建设周边环境协调等所有风险、责任各项应有费用。同时投标人的投标报价还应包括按规定办理的各种施工手续，为开展上述工作根据规定（包括地方文件规定）所缴纳的各种税费；工作协调费；工程质量监督、竣工预验收、竣工验收配合费；环保、水保、档案等专项验收配合费；达标投产及评优、后评估工作配合费；由于工期、设备供货等客观因素增加的成本；需多次进退场所发生的增加费用；由承包人自行组织或受益的协调会所需费用等。</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（2）取费标准。报价书的计算程序应依据电力行业现行规定，投标报价由投标人依照《电网工程建设预算编制与计算标准》（20</w:t>
            </w:r>
            <w:r>
              <w:rPr>
                <w:rFonts w:hint="eastAsia" w:ascii="宋体" w:hAnsi="宋体" w:cs="宋体"/>
                <w:color w:val="auto"/>
                <w:sz w:val="21"/>
                <w:szCs w:val="21"/>
                <w:highlight w:val="none"/>
                <w:lang w:val="en-US" w:eastAsia="zh-CN"/>
              </w:rPr>
              <w:t>25</w:t>
            </w:r>
            <w:r>
              <w:rPr>
                <w:rFonts w:hint="eastAsia" w:ascii="宋体" w:hAnsi="宋体" w:eastAsia="宋体" w:cs="宋体"/>
                <w:color w:val="auto"/>
                <w:sz w:val="21"/>
                <w:szCs w:val="21"/>
                <w:highlight w:val="none"/>
              </w:rPr>
              <w:t>版）、《电网技术改造及检修工程定额和费用计算规定（2020年版）》、《20kV及以下配电网工程定额和费用计算规定（2022年版）》及相关计价依据和各投标人自身情况测算。</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其他费用的取费项目和取费标准由投标人自行测定报价。投标人应认真测算，并结合以往工程和自身经验，充分考虑进行该项工作的风险，全面计取相关的费用，同时应依据规定在报价书中以单项表示，若未计列，则视为已综合含在其他项目中，结算时不再调整。</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（3）招标人供应的设备、材料的取费。招标人供应的设备、材料不计入投标报价，若由投标人负责安装，则仅计取安装费用；由投标人采购的设备、材料其费用列入投标报价。</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外部环境变化引起的费用变动。投标人应考虑自项目开工至竣工验收为止期间物价上涨、政策性调整及一般设计变更等诸多因素以及由此引起的费用变动并计入报价（分别计入总价承包和综合单价承包中）。总价承包部分的价差计入报价总表，仅可计取税金；综合单价承包部分的价差计入综合单价，仅可计取税金。</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7</w:t>
            </w:r>
            <w:r>
              <w:rPr>
                <w:rFonts w:hint="eastAsia" w:ascii="宋体" w:hAnsi="宋体" w:eastAsia="宋体" w:cs="宋体"/>
                <w:color w:val="auto"/>
                <w:sz w:val="21"/>
                <w:szCs w:val="21"/>
                <w:highlight w:val="none"/>
              </w:rPr>
              <w:t>.离线投标工具将通过技术手段自动获取投标文件编制时使用的计算机硬件信息（包括计算机网卡MAC地址、CPU序列号和硬盘序列号），并在生成的投标文件中显示。获取的计算机硬件信息将仅用于本次评审过程，投标人应知悉并允许。</w:t>
            </w:r>
          </w:p>
          <w:p>
            <w:pPr>
              <w:pStyle w:val="17"/>
              <w:spacing w:before="120" w:beforeLines="50" w:afterLines="50"/>
              <w:ind w:left="0" w:leftChars="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投标人应做到，一是放开文件编制计算机的相关防护设置，以保证投标工具正常获取相关信息；二是避免将与投标无关的保密信息存放于投标用计算机中，避免相应保密信息的泄露。</w:t>
            </w:r>
          </w:p>
          <w:p>
            <w:pPr>
              <w:numPr>
                <w:ilvl w:val="0"/>
                <w:numId w:val="0"/>
              </w:numPr>
              <w:spacing w:before="120" w:beforeLines="50" w:afterLines="50"/>
              <w:ind w:left="0" w:leftChars="0"/>
              <w:rPr>
                <w:rFonts w:hint="eastAsia" w:ascii="宋体" w:hAnsi="宋体" w:eastAsia="宋体" w:cs="宋体"/>
                <w:b/>
                <w:bCs/>
                <w:color w:val="auto"/>
                <w:sz w:val="21"/>
                <w:szCs w:val="21"/>
                <w:highlight w:val="none"/>
              </w:rPr>
            </w:pPr>
            <w:r>
              <w:rPr>
                <w:rFonts w:hint="eastAsia" w:ascii="宋体" w:hAnsi="宋体" w:cs="宋体"/>
                <w:b/>
                <w:bCs/>
                <w:color w:val="auto"/>
                <w:sz w:val="21"/>
                <w:szCs w:val="21"/>
                <w:highlight w:val="none"/>
                <w:lang w:val="en-US" w:eastAsia="zh-CN"/>
              </w:rPr>
              <w:t>8.</w:t>
            </w:r>
            <w:r>
              <w:rPr>
                <w:rFonts w:hint="eastAsia" w:ascii="宋体" w:hAnsi="宋体" w:eastAsia="宋体" w:cs="宋体"/>
                <w:b/>
                <w:bCs/>
                <w:color w:val="auto"/>
                <w:sz w:val="21"/>
                <w:szCs w:val="21"/>
                <w:highlight w:val="none"/>
              </w:rPr>
              <w:t>投标人应如实按照第</w:t>
            </w:r>
            <w:r>
              <w:rPr>
                <w:rFonts w:hint="eastAsia" w:ascii="宋体" w:hAnsi="宋体" w:cs="宋体"/>
                <w:b/>
                <w:bCs/>
                <w:color w:val="auto"/>
                <w:sz w:val="21"/>
                <w:szCs w:val="21"/>
                <w:highlight w:val="none"/>
                <w:lang w:val="en-US" w:eastAsia="zh-CN"/>
              </w:rPr>
              <w:t>八</w:t>
            </w:r>
            <w:r>
              <w:rPr>
                <w:rFonts w:hint="eastAsia" w:ascii="宋体" w:hAnsi="宋体" w:eastAsia="宋体" w:cs="宋体"/>
                <w:b/>
                <w:bCs/>
                <w:color w:val="auto"/>
                <w:sz w:val="21"/>
                <w:szCs w:val="21"/>
                <w:highlight w:val="none"/>
              </w:rPr>
              <w:t>章投标文件格式（三）商务文件</w:t>
            </w:r>
            <w:r>
              <w:rPr>
                <w:rFonts w:hint="eastAsia" w:ascii="宋体" w:hAnsi="宋体" w:cs="宋体"/>
                <w:b/>
                <w:bCs/>
                <w:color w:val="auto"/>
                <w:sz w:val="21"/>
                <w:szCs w:val="21"/>
                <w:highlight w:val="none"/>
                <w:lang w:val="en-US" w:eastAsia="zh-CN"/>
              </w:rPr>
              <w:t>中</w:t>
            </w:r>
            <w:r>
              <w:rPr>
                <w:rFonts w:hint="eastAsia" w:ascii="宋体" w:hAnsi="宋体" w:eastAsia="宋体" w:cs="宋体"/>
                <w:b/>
                <w:bCs/>
                <w:color w:val="auto"/>
                <w:sz w:val="21"/>
                <w:szCs w:val="21"/>
                <w:highlight w:val="none"/>
              </w:rPr>
              <w:t>投标人与国家电网公司系统人员关系说明，提交其法人、出资人、高管中是否存在国家电网公司系统在职、离职、退休人员，以及上述人员亲属的情况说明。未提交说明的，将进行否决处理。</w:t>
            </w:r>
          </w:p>
          <w:p>
            <w:pPr>
              <w:adjustRightInd w:val="0"/>
              <w:snapToGrid w:val="0"/>
              <w:spacing w:after="120" w:afterLines="50"/>
              <w:ind w:firstLine="0" w:firstLineChars="0"/>
              <w:jc w:val="left"/>
              <w:rPr>
                <w:rFonts w:hint="eastAsia" w:ascii="宋体" w:hAnsi="宋体" w:eastAsia="宋体" w:cs="宋体"/>
                <w:color w:val="auto"/>
                <w:sz w:val="21"/>
                <w:szCs w:val="21"/>
                <w:highlight w:val="none"/>
                <w:lang w:val="zh-CN" w:bidi="zh-CN"/>
              </w:rPr>
            </w:pPr>
            <w:r>
              <w:rPr>
                <w:rFonts w:hint="eastAsia" w:ascii="宋体" w:hAnsi="宋体" w:cs="宋体"/>
                <w:color w:val="auto"/>
                <w:sz w:val="21"/>
                <w:szCs w:val="21"/>
                <w:highlight w:val="none"/>
                <w:lang w:val="en-US" w:bidi="zh-CN"/>
              </w:rPr>
              <w:t>9</w:t>
            </w:r>
            <w:r>
              <w:rPr>
                <w:rFonts w:hint="eastAsia" w:ascii="宋体" w:hAnsi="宋体" w:eastAsia="宋体" w:cs="宋体"/>
                <w:color w:val="auto"/>
                <w:sz w:val="21"/>
                <w:szCs w:val="21"/>
                <w:highlight w:val="none"/>
                <w:lang w:val="zh-CN" w:bidi="zh-CN"/>
              </w:rPr>
              <w:t>.为保证评标委员会推荐的中标候选人（含外购外协供应商）具有履约能力，招标人有权对推荐的中标候选人（含外购外协供应商）的投标信息真实性和是否具有投标产品的生产能力进行核实，经核实不具备生产投标产品所需的生产能力的，取消中标资格。对不配合核实工作或经核实提供虚假投标信息的，取消中标资格，并纳入供应商不良行为处理。</w:t>
            </w:r>
          </w:p>
          <w:p>
            <w:pPr>
              <w:adjustRightInd w:val="0"/>
              <w:snapToGrid w:val="0"/>
              <w:ind w:firstLine="422" w:firstLineChars="200"/>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若投标人被推荐为中标候选人且提交的保证金为银行保函，推荐的中标候选人需在推荐中标候选人公示期间将银行保函原件邮寄至招标代理机构。如原件与投标保证金扫描件不一致，或在公示期间未按要求提交的，招标人有权取消其中标资格。邮寄信息详见下表。</w:t>
            </w:r>
          </w:p>
          <w:tbl>
            <w:tblPr>
              <w:tblStyle w:val="19"/>
              <w:tblW w:w="0" w:type="auto"/>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768"/>
              <w:gridCol w:w="1191"/>
              <w:gridCol w:w="3711"/>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670" w:type="dxa"/>
                  <w:gridSpan w:val="3"/>
                  <w:noWrap w:val="0"/>
                  <w:vAlign w:val="top"/>
                </w:tcPr>
                <w:p>
                  <w:pPr>
                    <w:adjustRightInd w:val="0"/>
                    <w:spacing w:line="276"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银行保函原件邮寄信息</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PrEx>
              <w:trPr>
                <w:jc w:val="center"/>
              </w:trPr>
              <w:tc>
                <w:tcPr>
                  <w:tcW w:w="768" w:type="dxa"/>
                  <w:noWrap w:val="0"/>
                  <w:vAlign w:val="top"/>
                </w:tcPr>
                <w:p>
                  <w:pPr>
                    <w:adjustRightInd w:val="0"/>
                    <w:spacing w:line="276" w:lineRule="auto"/>
                    <w:jc w:val="center"/>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p>
              </w:tc>
              <w:tc>
                <w:tcPr>
                  <w:tcW w:w="119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邮寄地址</w:t>
                  </w:r>
                </w:p>
              </w:tc>
              <w:tc>
                <w:tcPr>
                  <w:tcW w:w="3711" w:type="dxa"/>
                  <w:noWrap w:val="0"/>
                  <w:vAlign w:val="top"/>
                </w:tcPr>
                <w:p>
                  <w:pPr>
                    <w:adjustRightInd w:val="0"/>
                    <w:spacing w:line="276"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北京市西城区六铺炕街5号国网物资有限公司</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PrEx>
              <w:trPr>
                <w:jc w:val="center"/>
              </w:trPr>
              <w:tc>
                <w:tcPr>
                  <w:tcW w:w="768" w:type="dxa"/>
                  <w:noWrap w:val="0"/>
                  <w:vAlign w:val="top"/>
                </w:tcPr>
                <w:p>
                  <w:pPr>
                    <w:adjustRightInd w:val="0"/>
                    <w:spacing w:line="276" w:lineRule="auto"/>
                    <w:jc w:val="center"/>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2</w:t>
                  </w:r>
                </w:p>
              </w:tc>
              <w:tc>
                <w:tcPr>
                  <w:tcW w:w="119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邮寄编码</w:t>
                  </w:r>
                </w:p>
              </w:tc>
              <w:tc>
                <w:tcPr>
                  <w:tcW w:w="371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100120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68" w:type="dxa"/>
                  <w:noWrap w:val="0"/>
                  <w:vAlign w:val="top"/>
                </w:tcPr>
                <w:p>
                  <w:pPr>
                    <w:adjustRightInd w:val="0"/>
                    <w:spacing w:line="276" w:lineRule="auto"/>
                    <w:jc w:val="center"/>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3</w:t>
                  </w:r>
                </w:p>
              </w:tc>
              <w:tc>
                <w:tcPr>
                  <w:tcW w:w="119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邮寄电话</w:t>
                  </w:r>
                </w:p>
              </w:tc>
              <w:tc>
                <w:tcPr>
                  <w:tcW w:w="371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4008180899-4</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768" w:type="dxa"/>
                  <w:noWrap w:val="0"/>
                  <w:vAlign w:val="top"/>
                </w:tcPr>
                <w:p>
                  <w:pPr>
                    <w:adjustRightInd w:val="0"/>
                    <w:spacing w:line="276" w:lineRule="auto"/>
                    <w:jc w:val="center"/>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4</w:t>
                  </w:r>
                </w:p>
              </w:tc>
              <w:tc>
                <w:tcPr>
                  <w:tcW w:w="119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收件人</w:t>
                  </w:r>
                </w:p>
              </w:tc>
              <w:tc>
                <w:tcPr>
                  <w:tcW w:w="3711" w:type="dxa"/>
                  <w:noWrap w:val="0"/>
                  <w:vAlign w:val="top"/>
                </w:tcPr>
                <w:p>
                  <w:pPr>
                    <w:adjustRightInd w:val="0"/>
                    <w:spacing w:line="276" w:lineRule="auto"/>
                    <w:jc w:val="left"/>
                    <w:textAlignment w:val="baseline"/>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财务资产部（收）</w:t>
                  </w:r>
                </w:p>
              </w:tc>
            </w:tr>
          </w:tbl>
          <w:p>
            <w:pPr>
              <w:pStyle w:val="18"/>
              <w:spacing w:before="120" w:beforeLines="50" w:after="120" w:afterLines="50"/>
              <w:ind w:left="0"/>
              <w:jc w:val="left"/>
              <w:rPr>
                <w:rFonts w:hint="eastAsia" w:ascii="宋体" w:hAnsi="宋体" w:eastAsia="宋体" w:cs="宋体"/>
                <w:color w:val="auto"/>
                <w:sz w:val="21"/>
                <w:szCs w:val="21"/>
                <w:highlight w:val="none"/>
              </w:rPr>
            </w:pPr>
            <w:r>
              <w:rPr>
                <w:rFonts w:hint="eastAsia" w:ascii="宋体" w:hAnsi="宋体" w:cs="宋体"/>
                <w:color w:val="auto"/>
                <w:sz w:val="21"/>
                <w:szCs w:val="21"/>
                <w:highlight w:val="none"/>
                <w:lang w:val="en-US" w:eastAsia="zh-CN"/>
              </w:rPr>
              <w:t>10</w:t>
            </w:r>
            <w:r>
              <w:rPr>
                <w:rFonts w:hint="eastAsia" w:ascii="宋体" w:hAnsi="宋体" w:eastAsia="宋体" w:cs="宋体"/>
                <w:color w:val="auto"/>
                <w:sz w:val="21"/>
                <w:szCs w:val="21"/>
                <w:highlight w:val="none"/>
              </w:rPr>
              <w:t>.电子投标文件（上传招标人招投标交易平台信息系统）编制要求：</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（1）按招标人招投标交易平台信息系统操作要求进行上传。投标人单个标包内上传的电子投标文件容量不能超过：商务文件10M，价格文件30M，技术文件60M。</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（2）需分别完成价格文件、商务文件、技术文件的电子签章，投标工具默认盖章至文件首页，其中，第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章投标文件格式中明确标明签字或盖章的文件，应打印并进行线下签字或盖章，然后以图片格式插入编制的文件中。</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投标文件的签署应能通过招标人招投标交易平台信息系统投标工具的校验。第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章投标文件格式中提供了格式文件的，投标人应按格式进行编制。对上述格式文件进行实质性修改或未按格式进行签署的文件，视为无效文件。</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（3）投标人可参考如下制作和压缩方式缩小投标文件容量：</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1)投标人按照第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章投标文件格式规定的目录仅提交必需的文件。</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2)无需证明材料的投标部分，尽可能使用文字编辑，避免扫描图片。</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3)优先使用黑白图片，分辨率为1024*768，更大尺寸图纸按比例适量增加。</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4)图片压缩按照分辨率为150ppi/96ppi进行普通画质压缩，辅助使用OFFICE批量压缩工具。</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5)投标人按照压缩建议生成的文件以满足屏幕清晰阅读即可，8-10张A4纸张大小图片应控制大小至1M以内。</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6)对于图片类文件，可使用压缩软件进行压缩后插入WORD中上传系统，WORD中插入页面方向应为纵向。</w:t>
            </w:r>
          </w:p>
          <w:p>
            <w:pPr>
              <w:adjustRightInd w:val="0"/>
              <w:snapToGrid w:val="0"/>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7)可编辑文件应保存为docx或xlsx格式。</w:t>
            </w:r>
          </w:p>
          <w:p>
            <w:pPr>
              <w:adjustRightInd w:val="0"/>
              <w:snapToGrid w:val="0"/>
              <w:spacing w:before="120" w:beforeLines="50" w:after="120" w:afterLines="5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cs="宋体"/>
                <w:color w:val="auto"/>
                <w:sz w:val="21"/>
                <w:szCs w:val="21"/>
                <w:highlight w:val="none"/>
                <w:lang w:val="en-US" w:eastAsia="zh-CN"/>
              </w:rPr>
              <w:t>1</w:t>
            </w:r>
            <w:r>
              <w:rPr>
                <w:rFonts w:hint="eastAsia" w:ascii="宋体" w:hAnsi="宋体" w:eastAsia="宋体" w:cs="宋体"/>
                <w:color w:val="auto"/>
                <w:sz w:val="21"/>
                <w:szCs w:val="21"/>
                <w:highlight w:val="none"/>
              </w:rPr>
              <w:t>.网盘文件（如有）按以下要求上传：</w:t>
            </w:r>
          </w:p>
          <w:p>
            <w:pPr>
              <w:adjustRightInd w:val="0"/>
              <w:snapToGrid w:val="0"/>
              <w:spacing w:before="120" w:beforeLines="50" w:after="120" w:afterLines="5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1）技术补充文件以分包为单位，商务补充文件以分标为单位，</w:t>
            </w:r>
            <w:r>
              <w:rPr>
                <w:rFonts w:hint="eastAsia" w:ascii="宋体" w:hAnsi="宋体" w:eastAsia="宋体" w:cs="宋体"/>
                <w:b/>
                <w:bCs/>
                <w:color w:val="auto"/>
                <w:sz w:val="21"/>
                <w:szCs w:val="21"/>
                <w:highlight w:val="none"/>
              </w:rPr>
              <w:t>分别打包</w:t>
            </w:r>
            <w:r>
              <w:rPr>
                <w:rFonts w:hint="eastAsia" w:ascii="宋体" w:hAnsi="宋体" w:eastAsia="宋体" w:cs="宋体"/>
                <w:color w:val="auto"/>
                <w:sz w:val="21"/>
                <w:szCs w:val="21"/>
                <w:highlight w:val="none"/>
              </w:rPr>
              <w:t>成一个压缩文件（压缩包仅支持zip格式），批量勾选所投标包加密提交。压缩包内目录结构参照第</w:t>
            </w:r>
            <w:r>
              <w:rPr>
                <w:rFonts w:hint="eastAsia" w:ascii="宋体" w:hAnsi="宋体" w:eastAsia="宋体" w:cs="宋体"/>
                <w:color w:val="auto"/>
                <w:sz w:val="21"/>
                <w:szCs w:val="21"/>
                <w:highlight w:val="none"/>
                <w:lang w:val="en-US" w:eastAsia="zh-CN"/>
              </w:rPr>
              <w:t>八</w:t>
            </w:r>
            <w:r>
              <w:rPr>
                <w:rFonts w:hint="eastAsia" w:ascii="宋体" w:hAnsi="宋体" w:eastAsia="宋体" w:cs="宋体"/>
                <w:color w:val="auto"/>
                <w:sz w:val="21"/>
                <w:szCs w:val="21"/>
                <w:highlight w:val="none"/>
              </w:rPr>
              <w:t>章投标文件格式目录进行编制。</w:t>
            </w:r>
          </w:p>
          <w:p>
            <w:pPr>
              <w:adjustRightInd w:val="0"/>
              <w:snapToGrid w:val="0"/>
              <w:spacing w:before="120" w:beforeLines="50" w:after="120" w:afterLines="5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2）加密后的单个文件大小须小于1G。请各投标人在保证内容清晰识别的前提下，优化压缩方式或精简文件，将大小控制在范围内。</w:t>
            </w:r>
          </w:p>
          <w:p>
            <w:pPr>
              <w:pStyle w:val="17"/>
              <w:spacing w:before="120" w:beforeLines="50" w:afterLines="50"/>
              <w:ind w:left="0" w:leftChars="0" w:firstLine="0"/>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对于网盘内不可读取的文件将不作评审；对于网盘投标文件提交不完整的后果由投标人自行承担。招投标交易平台信息系统上的电子投标文件与网盘文件内容不一致时以招投标交易平台信息系统上的内容为准。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087" w:type="dxa"/>
            <w:vAlign w:val="center"/>
          </w:tcPr>
          <w:p>
            <w:pPr>
              <w:snapToGrid w:val="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11</w:t>
            </w:r>
          </w:p>
        </w:tc>
        <w:tc>
          <w:tcPr>
            <w:tcW w:w="1092" w:type="dxa"/>
            <w:vAlign w:val="center"/>
          </w:tcPr>
          <w:p>
            <w:pPr>
              <w:adjustRightInd w:val="0"/>
              <w:snapToGrid w:val="0"/>
              <w:spacing w:line="312" w:lineRule="atLeast"/>
              <w:jc w:val="center"/>
              <w:textAlignment w:val="baseline"/>
              <w:rPr>
                <w:rFonts w:hint="eastAsia" w:ascii="宋体" w:hAnsi="宋体" w:eastAsia="宋体" w:cs="宋体"/>
                <w:color w:val="auto"/>
                <w:kern w:val="2"/>
                <w:sz w:val="21"/>
                <w:szCs w:val="21"/>
                <w:highlight w:val="none"/>
                <w:lang w:val="en-US" w:eastAsia="en-US" w:bidi="ar-SA"/>
              </w:rPr>
            </w:pPr>
            <w:r>
              <w:rPr>
                <w:rFonts w:hint="eastAsia" w:ascii="宋体" w:hAnsi="宋体" w:eastAsia="宋体" w:cs="宋体"/>
                <w:color w:val="auto"/>
                <w:sz w:val="21"/>
                <w:szCs w:val="21"/>
                <w:highlight w:val="none"/>
              </w:rPr>
              <w:t>需要补充的其他内容</w:t>
            </w:r>
          </w:p>
        </w:tc>
        <w:tc>
          <w:tcPr>
            <w:tcW w:w="7035" w:type="dxa"/>
            <w:vAlign w:val="center"/>
          </w:tcPr>
          <w:p>
            <w:pPr>
              <w:adjustRightInd/>
              <w:snapToGrid/>
              <w:jc w:val="both"/>
              <w:rPr>
                <w:rFonts w:hint="eastAsia"/>
                <w:color w:val="auto"/>
                <w:highlight w:val="none"/>
              </w:rPr>
            </w:pPr>
            <w:r>
              <w:rPr>
                <w:rFonts w:hint="eastAsia"/>
                <w:color w:val="auto"/>
                <w:highlight w:val="none"/>
              </w:rPr>
              <w:t>1.投标人失信情况以评标委员会于开标当日在“信用中国”网站（网址：www.creditchina.gov.cn）查询结果为准。联合体投标的，对所有成员方进行失信记录查询。</w:t>
            </w:r>
          </w:p>
          <w:p>
            <w:pPr>
              <w:adjustRightInd/>
              <w:snapToGrid/>
              <w:jc w:val="both"/>
              <w:rPr>
                <w:rFonts w:hint="default" w:ascii="Calibri" w:hAnsi="Calibri" w:eastAsia="宋体" w:cs="Times New Roman"/>
                <w:color w:val="auto"/>
                <w:sz w:val="21"/>
                <w:szCs w:val="24"/>
                <w:highlight w:val="none"/>
              </w:rPr>
            </w:pPr>
            <w:r>
              <w:rPr>
                <w:rFonts w:hint="eastAsia"/>
                <w:color w:val="auto"/>
                <w:highlight w:val="none"/>
              </w:rPr>
              <w:t>2.投标人应按招标文件格式要求出具项目负责人未兼任的</w:t>
            </w:r>
            <w:r>
              <w:rPr>
                <w:rFonts w:hint="default" w:ascii="Calibri" w:hAnsi="Calibri" w:eastAsia="宋体" w:cs="Times New Roman"/>
                <w:color w:val="auto"/>
                <w:sz w:val="21"/>
                <w:szCs w:val="24"/>
                <w:highlight w:val="none"/>
              </w:rPr>
              <w:t>《项目关键人员配置承诺函》</w:t>
            </w:r>
            <w:r>
              <w:rPr>
                <w:rFonts w:hint="eastAsia"/>
                <w:color w:val="auto"/>
                <w:highlight w:val="none"/>
              </w:rPr>
              <w:t>并编入商务投标文件中（格式详见第</w:t>
            </w:r>
            <w:r>
              <w:rPr>
                <w:rFonts w:hint="eastAsia"/>
                <w:color w:val="auto"/>
                <w:highlight w:val="none"/>
                <w:lang w:val="en-US" w:eastAsia="zh-CN"/>
              </w:rPr>
              <w:t>八</w:t>
            </w:r>
            <w:r>
              <w:rPr>
                <w:rFonts w:hint="eastAsia"/>
                <w:color w:val="auto"/>
                <w:highlight w:val="none"/>
              </w:rPr>
              <w:t>章投标文件格式），</w:t>
            </w:r>
            <w:r>
              <w:rPr>
                <w:rFonts w:hint="default" w:ascii="Calibri" w:hAnsi="Calibri" w:eastAsia="宋体" w:cs="Times New Roman"/>
                <w:color w:val="auto"/>
                <w:sz w:val="21"/>
                <w:szCs w:val="24"/>
                <w:highlight w:val="none"/>
              </w:rPr>
              <w:t>未出具的或未按格式出具的所投标包作否决处理。</w:t>
            </w:r>
          </w:p>
          <w:p>
            <w:pPr>
              <w:adjustRightInd/>
              <w:snapToGrid/>
              <w:jc w:val="both"/>
              <w:rPr>
                <w:rFonts w:hint="eastAsia"/>
                <w:color w:val="auto"/>
                <w:highlight w:val="none"/>
              </w:rPr>
            </w:pPr>
            <w:r>
              <w:rPr>
                <w:rFonts w:hint="eastAsia"/>
                <w:color w:val="auto"/>
                <w:highlight w:val="none"/>
              </w:rPr>
              <w:t>3.自2023年7月1日起，招标人为国家电网有限公司的特高压招标采购项目执行投标报价异常一致情况监控预警，对</w:t>
            </w:r>
            <w:r>
              <w:rPr>
                <w:rFonts w:hint="eastAsia"/>
                <w:b/>
                <w:bCs/>
                <w:color w:val="auto"/>
                <w:highlight w:val="none"/>
              </w:rPr>
              <w:t>同一投标人组合出现</w:t>
            </w:r>
            <w:r>
              <w:rPr>
                <w:rFonts w:hint="default" w:ascii="Calibri" w:hAnsi="Calibri" w:eastAsia="宋体" w:cs="Times New Roman"/>
                <w:b/>
                <w:bCs/>
                <w:color w:val="auto"/>
                <w:sz w:val="21"/>
                <w:szCs w:val="24"/>
                <w:highlight w:val="none"/>
              </w:rPr>
              <w:t>同一标包投标总价完全一致</w:t>
            </w:r>
            <w:r>
              <w:rPr>
                <w:rFonts w:hint="eastAsia"/>
                <w:color w:val="auto"/>
                <w:highlight w:val="none"/>
              </w:rPr>
              <w:t>的情况进行统计并累加，当达到一定监控指标时，</w:t>
            </w:r>
            <w:r>
              <w:rPr>
                <w:rFonts w:hint="default" w:ascii="Calibri" w:hAnsi="Calibri" w:eastAsia="宋体" w:cs="Times New Roman"/>
                <w:b/>
                <w:bCs/>
                <w:color w:val="auto"/>
                <w:sz w:val="21"/>
                <w:szCs w:val="24"/>
                <w:highlight w:val="none"/>
              </w:rPr>
              <w:t>对相应投标人组合进行扣减商务分</w:t>
            </w:r>
            <w:r>
              <w:rPr>
                <w:rFonts w:hint="eastAsia"/>
                <w:color w:val="auto"/>
                <w:highlight w:val="none"/>
              </w:rPr>
              <w:t>，具体规则如下：</w:t>
            </w:r>
          </w:p>
          <w:p>
            <w:pPr>
              <w:adjustRightInd/>
              <w:snapToGrid/>
              <w:jc w:val="both"/>
              <w:rPr>
                <w:rFonts w:hint="eastAsia"/>
                <w:color w:val="auto"/>
                <w:highlight w:val="none"/>
              </w:rPr>
            </w:pPr>
            <w:r>
              <w:rPr>
                <w:rFonts w:hint="eastAsia"/>
                <w:color w:val="auto"/>
                <w:highlight w:val="none"/>
              </w:rPr>
              <w:t>对于满足以下任一条件的投标人组合：①价格一致情况累计出现3包次及以上；②连续2个批次出现价格一致情况。处理方式：该投标人组合中的各方在当批该组合出现价格一致情况的分标中扣减商务分，扣减分值为每出现一包次价格一致情况扣5分（计算该组合累计包次），封顶20分。</w:t>
            </w:r>
          </w:p>
          <w:p>
            <w:pPr>
              <w:adjustRightInd/>
              <w:snapToGrid/>
              <w:jc w:val="both"/>
              <w:rPr>
                <w:rFonts w:hint="eastAsia"/>
                <w:color w:val="auto"/>
                <w:highlight w:val="none"/>
              </w:rPr>
            </w:pPr>
            <w:r>
              <w:rPr>
                <w:rFonts w:hint="eastAsia"/>
                <w:color w:val="auto"/>
                <w:highlight w:val="none"/>
              </w:rPr>
              <w:t>备注：</w:t>
            </w:r>
          </w:p>
          <w:p>
            <w:pPr>
              <w:adjustRightInd/>
              <w:snapToGrid/>
              <w:jc w:val="both"/>
              <w:rPr>
                <w:rFonts w:hint="eastAsia"/>
                <w:color w:val="auto"/>
                <w:highlight w:val="none"/>
              </w:rPr>
            </w:pPr>
            <w:r>
              <w:rPr>
                <w:rFonts w:hint="eastAsia"/>
                <w:color w:val="auto"/>
                <w:highlight w:val="none"/>
              </w:rPr>
              <w:t>①“投标人组合”：任意2家及以上投标人构成1个投标人组合；</w:t>
            </w:r>
          </w:p>
          <w:p>
            <w:pPr>
              <w:adjustRightInd/>
              <w:snapToGrid/>
              <w:jc w:val="both"/>
              <w:rPr>
                <w:rFonts w:hint="eastAsia"/>
                <w:color w:val="auto"/>
                <w:highlight w:val="none"/>
              </w:rPr>
            </w:pPr>
            <w:r>
              <w:rPr>
                <w:rFonts w:hint="eastAsia"/>
                <w:color w:val="auto"/>
                <w:highlight w:val="none"/>
              </w:rPr>
              <w:t>②“价格一致情况”：不同投标人针对同一标包的投标总价完全一致；</w:t>
            </w:r>
          </w:p>
          <w:p>
            <w:pPr>
              <w:adjustRightInd/>
              <w:snapToGrid/>
              <w:jc w:val="both"/>
              <w:rPr>
                <w:rFonts w:hint="eastAsia"/>
                <w:color w:val="auto"/>
                <w:highlight w:val="none"/>
              </w:rPr>
            </w:pPr>
            <w:r>
              <w:rPr>
                <w:rFonts w:hint="eastAsia"/>
                <w:color w:val="auto"/>
                <w:highlight w:val="none"/>
              </w:rPr>
              <w:t>③“连续X个批次”：开标日期为同一日的特高压项目视为1个批次。对于同一投标人组合，开标日期不同且中间该组合未同时投标其他特高压项目的批次视为该组合的“连续X个批次”。例：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709"/>
              <w:gridCol w:w="850"/>
              <w:gridCol w:w="707"/>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top"/>
                </w:tcPr>
                <w:p>
                  <w:pPr>
                    <w:adjustRightInd/>
                    <w:snapToGrid/>
                    <w:jc w:val="both"/>
                    <w:rPr>
                      <w:rFonts w:hint="eastAsia"/>
                      <w:color w:val="auto"/>
                      <w:highlight w:val="none"/>
                    </w:rPr>
                  </w:pPr>
                </w:p>
              </w:tc>
              <w:tc>
                <w:tcPr>
                  <w:tcW w:w="709" w:type="dxa"/>
                  <w:noWrap w:val="0"/>
                  <w:vAlign w:val="top"/>
                </w:tcPr>
                <w:p>
                  <w:pPr>
                    <w:adjustRightInd/>
                    <w:snapToGrid/>
                    <w:jc w:val="both"/>
                    <w:rPr>
                      <w:rFonts w:hint="eastAsia"/>
                      <w:color w:val="auto"/>
                      <w:highlight w:val="none"/>
                    </w:rPr>
                  </w:pPr>
                  <w:r>
                    <w:rPr>
                      <w:rFonts w:hint="eastAsia"/>
                      <w:color w:val="auto"/>
                      <w:highlight w:val="none"/>
                    </w:rPr>
                    <w:t>批次A</w:t>
                  </w:r>
                </w:p>
              </w:tc>
              <w:tc>
                <w:tcPr>
                  <w:tcW w:w="850" w:type="dxa"/>
                  <w:noWrap w:val="0"/>
                  <w:vAlign w:val="top"/>
                </w:tcPr>
                <w:p>
                  <w:pPr>
                    <w:adjustRightInd/>
                    <w:snapToGrid/>
                    <w:jc w:val="both"/>
                    <w:rPr>
                      <w:rFonts w:hint="eastAsia"/>
                      <w:color w:val="auto"/>
                      <w:highlight w:val="none"/>
                    </w:rPr>
                  </w:pPr>
                  <w:r>
                    <w:rPr>
                      <w:rFonts w:hint="eastAsia"/>
                      <w:color w:val="auto"/>
                      <w:highlight w:val="none"/>
                    </w:rPr>
                    <w:t>批次B</w:t>
                  </w:r>
                </w:p>
              </w:tc>
              <w:tc>
                <w:tcPr>
                  <w:tcW w:w="707" w:type="dxa"/>
                  <w:noWrap w:val="0"/>
                  <w:vAlign w:val="top"/>
                </w:tcPr>
                <w:p>
                  <w:pPr>
                    <w:adjustRightInd/>
                    <w:snapToGrid/>
                    <w:jc w:val="both"/>
                    <w:rPr>
                      <w:rFonts w:hint="eastAsia"/>
                      <w:color w:val="auto"/>
                      <w:highlight w:val="none"/>
                    </w:rPr>
                  </w:pPr>
                  <w:r>
                    <w:rPr>
                      <w:rFonts w:hint="eastAsia"/>
                      <w:color w:val="auto"/>
                      <w:highlight w:val="none"/>
                    </w:rPr>
                    <w:t>批次C</w:t>
                  </w:r>
                </w:p>
              </w:tc>
              <w:tc>
                <w:tcPr>
                  <w:tcW w:w="2060" w:type="dxa"/>
                  <w:noWrap w:val="0"/>
                  <w:vAlign w:val="center"/>
                </w:tcPr>
                <w:p>
                  <w:pPr>
                    <w:adjustRightInd/>
                    <w:snapToGrid/>
                    <w:jc w:val="both"/>
                    <w:rPr>
                      <w:rFonts w:hint="eastAsia"/>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top"/>
                </w:tcPr>
                <w:p>
                  <w:pPr>
                    <w:adjustRightInd/>
                    <w:snapToGrid/>
                    <w:jc w:val="both"/>
                    <w:rPr>
                      <w:rFonts w:hint="eastAsia"/>
                      <w:color w:val="auto"/>
                      <w:highlight w:val="none"/>
                    </w:rPr>
                  </w:pPr>
                  <w:r>
                    <w:rPr>
                      <w:rFonts w:hint="eastAsia"/>
                      <w:color w:val="auto"/>
                      <w:highlight w:val="none"/>
                    </w:rPr>
                    <w:t>投标人1</w:t>
                  </w:r>
                </w:p>
              </w:tc>
              <w:tc>
                <w:tcPr>
                  <w:tcW w:w="709" w:type="dxa"/>
                  <w:noWrap w:val="0"/>
                  <w:vAlign w:val="top"/>
                </w:tcPr>
                <w:p>
                  <w:pPr>
                    <w:adjustRightInd/>
                    <w:snapToGrid/>
                    <w:jc w:val="both"/>
                    <w:rPr>
                      <w:rFonts w:hint="eastAsia"/>
                      <w:color w:val="auto"/>
                      <w:highlight w:val="none"/>
                    </w:rPr>
                  </w:pPr>
                  <w:r>
                    <w:rPr>
                      <w:rFonts w:hint="eastAsia"/>
                      <w:color w:val="auto"/>
                      <w:highlight w:val="none"/>
                    </w:rPr>
                    <w:t>投标</w:t>
                  </w:r>
                </w:p>
              </w:tc>
              <w:tc>
                <w:tcPr>
                  <w:tcW w:w="850" w:type="dxa"/>
                  <w:noWrap w:val="0"/>
                  <w:vAlign w:val="top"/>
                </w:tcPr>
                <w:p>
                  <w:pPr>
                    <w:adjustRightInd/>
                    <w:snapToGrid/>
                    <w:jc w:val="both"/>
                    <w:rPr>
                      <w:rFonts w:hint="eastAsia"/>
                      <w:color w:val="auto"/>
                      <w:highlight w:val="none"/>
                    </w:rPr>
                  </w:pPr>
                  <w:r>
                    <w:rPr>
                      <w:rFonts w:hint="eastAsia"/>
                      <w:color w:val="auto"/>
                      <w:highlight w:val="none"/>
                    </w:rPr>
                    <w:t>投标</w:t>
                  </w:r>
                </w:p>
              </w:tc>
              <w:tc>
                <w:tcPr>
                  <w:tcW w:w="707" w:type="dxa"/>
                  <w:noWrap w:val="0"/>
                  <w:vAlign w:val="top"/>
                </w:tcPr>
                <w:p>
                  <w:pPr>
                    <w:adjustRightInd/>
                    <w:snapToGrid/>
                    <w:jc w:val="both"/>
                    <w:rPr>
                      <w:rFonts w:hint="eastAsia"/>
                      <w:color w:val="auto"/>
                      <w:highlight w:val="none"/>
                    </w:rPr>
                  </w:pPr>
                  <w:r>
                    <w:rPr>
                      <w:rFonts w:hint="eastAsia"/>
                      <w:color w:val="auto"/>
                      <w:highlight w:val="none"/>
                    </w:rPr>
                    <w:t>投标</w:t>
                  </w:r>
                </w:p>
              </w:tc>
              <w:tc>
                <w:tcPr>
                  <w:tcW w:w="2060" w:type="dxa"/>
                  <w:vMerge w:val="restart"/>
                  <w:noWrap w:val="0"/>
                  <w:vAlign w:val="top"/>
                </w:tcPr>
                <w:p>
                  <w:pPr>
                    <w:adjustRightInd/>
                    <w:snapToGrid/>
                    <w:jc w:val="both"/>
                    <w:rPr>
                      <w:rFonts w:hint="eastAsia"/>
                      <w:color w:val="auto"/>
                      <w:highlight w:val="none"/>
                    </w:rPr>
                  </w:pPr>
                  <w:r>
                    <w:rPr>
                      <w:rFonts w:hint="eastAsia"/>
                      <w:color w:val="auto"/>
                      <w:highlight w:val="none"/>
                    </w:rPr>
                    <w:t>对于投标人1&amp;2，批次A、C为连续2个批次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 w:type="dxa"/>
                  <w:noWrap w:val="0"/>
                  <w:vAlign w:val="top"/>
                </w:tcPr>
                <w:p>
                  <w:pPr>
                    <w:adjustRightInd/>
                    <w:snapToGrid/>
                    <w:jc w:val="both"/>
                    <w:rPr>
                      <w:rFonts w:hint="eastAsia"/>
                      <w:color w:val="auto"/>
                      <w:highlight w:val="none"/>
                    </w:rPr>
                  </w:pPr>
                  <w:r>
                    <w:rPr>
                      <w:rFonts w:hint="eastAsia"/>
                      <w:color w:val="auto"/>
                      <w:highlight w:val="none"/>
                    </w:rPr>
                    <w:t>投标人2</w:t>
                  </w:r>
                </w:p>
              </w:tc>
              <w:tc>
                <w:tcPr>
                  <w:tcW w:w="709" w:type="dxa"/>
                  <w:noWrap w:val="0"/>
                  <w:vAlign w:val="top"/>
                </w:tcPr>
                <w:p>
                  <w:pPr>
                    <w:adjustRightInd/>
                    <w:snapToGrid/>
                    <w:jc w:val="both"/>
                    <w:rPr>
                      <w:rFonts w:hint="eastAsia"/>
                      <w:color w:val="auto"/>
                      <w:highlight w:val="none"/>
                    </w:rPr>
                  </w:pPr>
                  <w:r>
                    <w:rPr>
                      <w:rFonts w:hint="eastAsia"/>
                      <w:color w:val="auto"/>
                      <w:highlight w:val="none"/>
                    </w:rPr>
                    <w:t>投标</w:t>
                  </w:r>
                </w:p>
              </w:tc>
              <w:tc>
                <w:tcPr>
                  <w:tcW w:w="850" w:type="dxa"/>
                  <w:noWrap w:val="0"/>
                  <w:vAlign w:val="top"/>
                </w:tcPr>
                <w:p>
                  <w:pPr>
                    <w:adjustRightInd/>
                    <w:snapToGrid/>
                    <w:jc w:val="both"/>
                    <w:rPr>
                      <w:rFonts w:hint="eastAsia"/>
                      <w:color w:val="auto"/>
                      <w:highlight w:val="none"/>
                    </w:rPr>
                  </w:pPr>
                  <w:r>
                    <w:rPr>
                      <w:rFonts w:hint="eastAsia"/>
                      <w:color w:val="auto"/>
                      <w:highlight w:val="none"/>
                    </w:rPr>
                    <w:t>未投标</w:t>
                  </w:r>
                </w:p>
              </w:tc>
              <w:tc>
                <w:tcPr>
                  <w:tcW w:w="707" w:type="dxa"/>
                  <w:noWrap w:val="0"/>
                  <w:vAlign w:val="top"/>
                </w:tcPr>
                <w:p>
                  <w:pPr>
                    <w:adjustRightInd/>
                    <w:snapToGrid/>
                    <w:jc w:val="both"/>
                    <w:rPr>
                      <w:rFonts w:hint="eastAsia"/>
                      <w:color w:val="auto"/>
                      <w:highlight w:val="none"/>
                    </w:rPr>
                  </w:pPr>
                  <w:r>
                    <w:rPr>
                      <w:rFonts w:hint="eastAsia"/>
                      <w:color w:val="auto"/>
                      <w:highlight w:val="none"/>
                    </w:rPr>
                    <w:t>投标</w:t>
                  </w:r>
                </w:p>
              </w:tc>
              <w:tc>
                <w:tcPr>
                  <w:tcW w:w="2060" w:type="dxa"/>
                  <w:vMerge w:val="continue"/>
                  <w:noWrap w:val="0"/>
                  <w:vAlign w:val="top"/>
                </w:tcPr>
                <w:p>
                  <w:pPr>
                    <w:adjustRightInd/>
                    <w:snapToGrid/>
                    <w:jc w:val="both"/>
                    <w:rPr>
                      <w:rFonts w:hint="eastAsia"/>
                      <w:color w:val="auto"/>
                      <w:highlight w:val="none"/>
                    </w:rPr>
                  </w:pPr>
                </w:p>
              </w:tc>
            </w:tr>
          </w:tbl>
          <w:p>
            <w:pPr>
              <w:numPr>
                <w:ilvl w:val="-1"/>
                <w:numId w:val="0"/>
              </w:numPr>
              <w:adjustRightInd/>
              <w:snapToGrid/>
              <w:ind w:firstLine="0" w:firstLineChars="0"/>
              <w:jc w:val="both"/>
              <w:rPr>
                <w:rFonts w:hint="eastAsia"/>
                <w:color w:val="auto"/>
                <w:highlight w:val="none"/>
                <w:lang w:val="en-US" w:eastAsia="zh-CN"/>
              </w:rPr>
            </w:pPr>
            <w:r>
              <w:rPr>
                <w:rFonts w:hint="eastAsia"/>
                <w:color w:val="auto"/>
                <w:highlight w:val="none"/>
                <w:lang w:val="en-US" w:eastAsia="zh-CN"/>
              </w:rPr>
              <w:t>4.以下情况视为实质不符：</w:t>
            </w:r>
          </w:p>
          <w:p>
            <w:pPr>
              <w:ind w:firstLine="0"/>
              <w:rPr>
                <w:rFonts w:hint="eastAsia"/>
                <w:color w:val="auto"/>
                <w:highlight w:val="none"/>
              </w:rPr>
            </w:pPr>
            <w:r>
              <w:rPr>
                <w:rFonts w:hint="eastAsia"/>
                <w:color w:val="auto"/>
                <w:highlight w:val="none"/>
              </w:rPr>
              <w:t>（1）</w:t>
            </w:r>
            <w:r>
              <w:rPr>
                <w:rFonts w:hint="eastAsia"/>
                <w:color w:val="auto"/>
                <w:highlight w:val="none"/>
              </w:rPr>
              <w:t>对于本批次的</w:t>
            </w:r>
            <w:r>
              <w:rPr>
                <w:rFonts w:hint="eastAsia"/>
                <w:color w:val="auto"/>
                <w:highlight w:val="none"/>
              </w:rPr>
              <w:t>换流站土建施工</w:t>
            </w:r>
            <w:r>
              <w:rPr>
                <w:rFonts w:hint="eastAsia"/>
                <w:color w:val="auto"/>
                <w:highlight w:val="none"/>
                <w:lang w:eastAsia="zh-CN"/>
              </w:rPr>
              <w:t>、</w:t>
            </w:r>
            <w:r>
              <w:rPr>
                <w:rFonts w:hint="eastAsia"/>
                <w:color w:val="auto"/>
                <w:highlight w:val="none"/>
              </w:rPr>
              <w:t>变电站土建及电气安装施工</w:t>
            </w:r>
            <w:r>
              <w:rPr>
                <w:rFonts w:hint="eastAsia"/>
                <w:color w:val="auto"/>
                <w:highlight w:val="none"/>
                <w:lang w:eastAsia="zh-CN"/>
              </w:rPr>
              <w:t>、</w:t>
            </w:r>
            <w:r>
              <w:rPr>
                <w:rFonts w:hint="eastAsia"/>
                <w:color w:val="auto"/>
                <w:highlight w:val="none"/>
              </w:rPr>
              <w:t>变电站桩基施工</w:t>
            </w:r>
            <w:r>
              <w:rPr>
                <w:rFonts w:hint="eastAsia"/>
                <w:color w:val="auto"/>
                <w:highlight w:val="none"/>
              </w:rPr>
              <w:t>中，如出现同一投标人在不同分标中拟任项目经理为同一人的，否决对应的所有相关包。</w:t>
            </w:r>
          </w:p>
          <w:p>
            <w:pPr>
              <w:pStyle w:val="5"/>
              <w:ind w:firstLine="0"/>
              <w:rPr>
                <w:rFonts w:hint="default"/>
                <w:color w:val="auto"/>
                <w:highlight w:val="none"/>
                <w:lang w:eastAsia="zh-CN"/>
              </w:rPr>
            </w:pPr>
            <w:r>
              <w:rPr>
                <w:rFonts w:hint="default" w:ascii="Calibri" w:hAnsi="Calibri" w:eastAsia="宋体" w:cs="Times New Roman"/>
                <w:b w:val="0"/>
                <w:bCs w:val="0"/>
                <w:i w:val="0"/>
                <w:iCs w:val="0"/>
                <w:color w:val="auto"/>
                <w:sz w:val="21"/>
                <w:szCs w:val="24"/>
                <w:highlight w:val="none"/>
                <w:lang w:eastAsia="zh-CN"/>
              </w:rPr>
              <w:t>（</w:t>
            </w:r>
            <w:r>
              <w:rPr>
                <w:rFonts w:hint="eastAsia" w:ascii="Calibri" w:hAnsi="Calibri" w:eastAsia="宋体" w:cs="Times New Roman"/>
                <w:b w:val="0"/>
                <w:bCs w:val="0"/>
                <w:i w:val="0"/>
                <w:iCs w:val="0"/>
                <w:color w:val="auto"/>
                <w:sz w:val="21"/>
                <w:szCs w:val="24"/>
                <w:highlight w:val="none"/>
                <w:lang w:val="en-US" w:eastAsia="zh-CN"/>
              </w:rPr>
              <w:t>2</w:t>
            </w:r>
            <w:r>
              <w:rPr>
                <w:rFonts w:hint="default" w:ascii="Calibri" w:hAnsi="Calibri" w:eastAsia="宋体" w:cs="Times New Roman"/>
                <w:b w:val="0"/>
                <w:bCs w:val="0"/>
                <w:i w:val="0"/>
                <w:iCs w:val="0"/>
                <w:color w:val="auto"/>
                <w:sz w:val="21"/>
                <w:szCs w:val="24"/>
                <w:highlight w:val="none"/>
                <w:lang w:eastAsia="zh-CN"/>
              </w:rPr>
              <w:t>）</w:t>
            </w:r>
            <w:r>
              <w:rPr>
                <w:rFonts w:hint="default" w:ascii="Calibri" w:hAnsi="Calibri" w:eastAsia="宋体" w:cs="Times New Roman"/>
                <w:b w:val="0"/>
                <w:bCs w:val="0"/>
                <w:color w:val="auto"/>
                <w:sz w:val="21"/>
                <w:szCs w:val="24"/>
                <w:highlight w:val="none"/>
              </w:rPr>
              <w:t>对于</w:t>
            </w:r>
            <w:r>
              <w:rPr>
                <w:rFonts w:hint="default"/>
                <w:color w:val="auto"/>
                <w:highlight w:val="none"/>
                <w:u w:val="none"/>
              </w:rPr>
              <w:t>换流站土建施工</w:t>
            </w:r>
            <w:r>
              <w:rPr>
                <w:rFonts w:hint="default" w:ascii="Calibri" w:hAnsi="Calibri" w:eastAsia="宋体" w:cs="Times New Roman"/>
                <w:b w:val="0"/>
                <w:bCs w:val="0"/>
                <w:color w:val="auto"/>
                <w:sz w:val="21"/>
                <w:szCs w:val="24"/>
                <w:highlight w:val="none"/>
              </w:rPr>
              <w:t>分标，如出现同一投标人</w:t>
            </w:r>
            <w:r>
              <w:rPr>
                <w:rFonts w:hint="default" w:ascii="Calibri" w:hAnsi="Calibri" w:eastAsia="宋体" w:cs="Times New Roman"/>
                <w:b w:val="0"/>
                <w:bCs w:val="0"/>
                <w:color w:val="auto"/>
                <w:sz w:val="21"/>
                <w:szCs w:val="24"/>
                <w:highlight w:val="none"/>
                <w:u w:val="none"/>
              </w:rPr>
              <w:t>在</w:t>
            </w:r>
            <w:r>
              <w:rPr>
                <w:rFonts w:hint="default" w:eastAsia="宋体" w:cs="Times New Roman"/>
                <w:i w:val="0"/>
                <w:iCs w:val="0"/>
                <w:color w:val="auto"/>
                <w:kern w:val="2"/>
                <w:sz w:val="21"/>
                <w:szCs w:val="24"/>
                <w:highlight w:val="none"/>
                <w:u w:val="none"/>
                <w:lang w:val="en-US" w:eastAsia="zh-CN" w:bidi="ar"/>
              </w:rPr>
              <w:t>包1-</w:t>
            </w:r>
            <w:r>
              <w:rPr>
                <w:rFonts w:hint="eastAsia" w:eastAsia="宋体" w:cs="Times New Roman"/>
                <w:i w:val="0"/>
                <w:iCs w:val="0"/>
                <w:color w:val="auto"/>
                <w:kern w:val="2"/>
                <w:sz w:val="21"/>
                <w:szCs w:val="24"/>
                <w:highlight w:val="none"/>
                <w:u w:val="none"/>
                <w:lang w:val="en-US" w:eastAsia="zh-CN" w:bidi="ar"/>
              </w:rPr>
              <w:t>6</w:t>
            </w:r>
            <w:r>
              <w:rPr>
                <w:rFonts w:hint="default" w:ascii="Calibri" w:hAnsi="Calibri" w:eastAsia="宋体" w:cs="Times New Roman"/>
                <w:b w:val="0"/>
                <w:bCs w:val="0"/>
                <w:color w:val="auto"/>
                <w:sz w:val="21"/>
                <w:szCs w:val="24"/>
                <w:highlight w:val="none"/>
              </w:rPr>
              <w:t>中拟任项目经理与</w:t>
            </w:r>
            <w:r>
              <w:rPr>
                <w:rFonts w:hint="default" w:eastAsia="宋体" w:cs="Times New Roman"/>
                <w:i w:val="0"/>
                <w:iCs w:val="0"/>
                <w:color w:val="auto"/>
                <w:kern w:val="2"/>
                <w:sz w:val="21"/>
                <w:szCs w:val="24"/>
                <w:highlight w:val="none"/>
                <w:u w:val="none"/>
                <w:lang w:val="en-US" w:eastAsia="zh-CN" w:bidi="ar"/>
              </w:rPr>
              <w:t>包</w:t>
            </w:r>
            <w:r>
              <w:rPr>
                <w:rFonts w:hint="eastAsia" w:eastAsia="宋体" w:cs="Times New Roman"/>
                <w:i w:val="0"/>
                <w:iCs w:val="0"/>
                <w:color w:val="auto"/>
                <w:kern w:val="2"/>
                <w:sz w:val="21"/>
                <w:szCs w:val="24"/>
                <w:highlight w:val="none"/>
                <w:u w:val="none"/>
                <w:lang w:val="en-US" w:eastAsia="zh-CN" w:bidi="ar"/>
              </w:rPr>
              <w:t>7-8</w:t>
            </w:r>
            <w:r>
              <w:rPr>
                <w:rFonts w:hint="default" w:ascii="Calibri" w:hAnsi="Calibri" w:eastAsia="宋体" w:cs="Times New Roman"/>
                <w:b w:val="0"/>
                <w:bCs w:val="0"/>
                <w:color w:val="auto"/>
                <w:sz w:val="21"/>
                <w:szCs w:val="24"/>
                <w:highlight w:val="none"/>
                <w:u w:val="none"/>
              </w:rPr>
              <w:t>中</w:t>
            </w:r>
            <w:r>
              <w:rPr>
                <w:rFonts w:hint="default" w:ascii="Calibri" w:hAnsi="Calibri" w:eastAsia="宋体" w:cs="Times New Roman"/>
                <w:b w:val="0"/>
                <w:bCs w:val="0"/>
                <w:color w:val="auto"/>
                <w:sz w:val="21"/>
                <w:szCs w:val="24"/>
                <w:highlight w:val="none"/>
              </w:rPr>
              <w:t>为同一人的，否决对应的所有相关包。</w:t>
            </w:r>
          </w:p>
          <w:p>
            <w:pPr>
              <w:keepNext w:val="0"/>
              <w:keepLines w:val="0"/>
              <w:pageBreakBefore w:val="0"/>
              <w:widowControl w:val="0"/>
              <w:kinsoku/>
              <w:wordWrap/>
              <w:overflowPunct/>
              <w:topLinePunct w:val="0"/>
              <w:autoSpaceDE/>
              <w:autoSpaceDN/>
              <w:bidi w:val="0"/>
              <w:spacing w:after="0"/>
              <w:ind w:left="0" w:leftChars="0" w:firstLineChars="0"/>
              <w:jc w:val="both"/>
              <w:textAlignment w:val="auto"/>
              <w:rPr>
                <w:rFonts w:hint="default"/>
                <w:color w:val="auto"/>
                <w:highlight w:val="none"/>
                <w:lang w:val="en-US" w:eastAsia="zh-CN"/>
              </w:rPr>
            </w:pPr>
            <w:r>
              <w:rPr>
                <w:rFonts w:hint="eastAsia"/>
                <w:color w:val="auto"/>
                <w:highlight w:val="none"/>
                <w:lang w:val="en-US" w:eastAsia="zh-CN"/>
              </w:rPr>
              <w:t>5.</w:t>
            </w:r>
            <w:r>
              <w:rPr>
                <w:rFonts w:hint="eastAsia"/>
                <w:color w:val="auto"/>
                <w:highlight w:val="none"/>
              </w:rPr>
              <w:t>投标人不得直接或通过社会关系人员以打招呼、恐吓、威逼利诱等方式围猎评标专家及招标采购相关从业人员，评委会将依据有关线索在评审中对应扣分。</w:t>
            </w:r>
          </w:p>
        </w:tc>
      </w:tr>
    </w:tbl>
    <w:p>
      <w:pPr>
        <w:spacing w:before="120" w:beforeLines="50" w:after="120" w:afterLines="50"/>
        <w:outlineLvl w:val="1"/>
        <w:rPr>
          <w:rFonts w:ascii="黑体" w:hAnsi="黑体" w:eastAsia="黑体" w:cs="黑体"/>
          <w:b/>
          <w:color w:val="auto"/>
          <w:sz w:val="24"/>
          <w:highlight w:val="none"/>
        </w:rPr>
        <w:sectPr>
          <w:headerReference r:id="rId9" w:type="default"/>
          <w:footerReference r:id="rId10" w:type="default"/>
          <w:pgSz w:w="11906" w:h="16838"/>
          <w:pgMar w:top="1440" w:right="1440" w:bottom="1440" w:left="1440" w:header="851" w:footer="992" w:gutter="0"/>
          <w:cols w:space="720" w:num="1"/>
          <w:docGrid w:linePitch="319" w:charSpace="0"/>
        </w:sectPr>
      </w:pPr>
    </w:p>
    <w:p>
      <w:pPr>
        <w:spacing w:before="120" w:beforeLines="50" w:after="120" w:afterLines="50"/>
        <w:outlineLvl w:val="9"/>
        <w:rPr>
          <w:rFonts w:hint="eastAsia" w:ascii="黑体" w:hAnsi="黑体" w:eastAsia="黑体" w:cs="黑体"/>
          <w:b/>
          <w:color w:val="auto"/>
          <w:sz w:val="24"/>
          <w:highlight w:val="none"/>
        </w:rPr>
      </w:pPr>
      <w:r>
        <w:rPr>
          <w:rFonts w:hint="eastAsia" w:ascii="黑体" w:hAnsi="黑体" w:eastAsia="黑体" w:cs="黑体"/>
          <w:b/>
          <w:color w:val="auto"/>
          <w:sz w:val="24"/>
          <w:highlight w:val="none"/>
        </w:rPr>
        <w:t>投标人须知前附表之附表一</w:t>
      </w:r>
    </w:p>
    <w:p>
      <w:pPr>
        <w:pStyle w:val="5"/>
        <w:ind w:firstLine="0"/>
        <w:rPr>
          <w:rFonts w:ascii="宋体" w:hAnsi="宋体" w:cs="宋体"/>
          <w:b/>
          <w:bCs/>
          <w:strike/>
          <w:dstrike w:val="0"/>
          <w:color w:val="auto"/>
          <w:sz w:val="24"/>
          <w:szCs w:val="24"/>
          <w:highlight w:val="none"/>
        </w:rPr>
      </w:pPr>
      <w:bookmarkStart w:id="61" w:name="_Toc152045529"/>
      <w:bookmarkStart w:id="62" w:name="_Toc144974497"/>
      <w:bookmarkStart w:id="63" w:name="_Toc179632546"/>
      <w:bookmarkStart w:id="64" w:name="_Toc152042305"/>
      <w:r>
        <w:rPr>
          <w:rFonts w:hint="eastAsia" w:ascii="宋体" w:hAnsi="宋体" w:cs="宋体"/>
          <w:b/>
          <w:bCs/>
          <w:color w:val="auto"/>
          <w:sz w:val="24"/>
          <w:szCs w:val="24"/>
          <w:highlight w:val="none"/>
        </w:rPr>
        <w:t>一、</w:t>
      </w:r>
      <w:r>
        <w:rPr>
          <w:rFonts w:hint="eastAsia" w:ascii="宋体" w:hAnsi="宋体" w:cs="宋体"/>
          <w:b/>
          <w:bCs/>
          <w:color w:val="auto"/>
          <w:sz w:val="24"/>
          <w:szCs w:val="24"/>
          <w:highlight w:val="none"/>
          <w:lang w:eastAsia="zh-CN"/>
        </w:rPr>
        <w:t>最高限价</w:t>
      </w:r>
      <w:r>
        <w:rPr>
          <w:rFonts w:hint="eastAsia" w:ascii="宋体" w:hAnsi="宋体" w:cs="宋体"/>
          <w:b/>
          <w:bCs/>
          <w:color w:val="auto"/>
          <w:sz w:val="24"/>
          <w:szCs w:val="24"/>
          <w:highlight w:val="none"/>
          <w:lang w:val="en-US" w:eastAsia="zh-CN"/>
        </w:rPr>
        <w:t>详见招标公告</w:t>
      </w:r>
    </w:p>
    <w:p>
      <w:pPr>
        <w:pStyle w:val="5"/>
        <w:numPr>
          <w:ilvl w:val="255"/>
          <w:numId w:val="0"/>
        </w:numPr>
        <w:rPr>
          <w:rFonts w:ascii="宋体" w:hAnsi="宋体" w:cs="宋体"/>
          <w:b/>
          <w:bCs/>
          <w:strike/>
          <w:dstrike w:val="0"/>
          <w:color w:val="auto"/>
          <w:sz w:val="24"/>
          <w:szCs w:val="24"/>
          <w:highlight w:val="none"/>
        </w:rPr>
      </w:pPr>
      <w:r>
        <w:rPr>
          <w:rFonts w:hint="eastAsia" w:ascii="宋体" w:hAnsi="宋体" w:cs="宋体"/>
          <w:b/>
          <w:bCs/>
          <w:color w:val="auto"/>
          <w:sz w:val="24"/>
          <w:szCs w:val="24"/>
          <w:highlight w:val="none"/>
        </w:rPr>
        <w:t>二、投标保证金</w:t>
      </w:r>
      <w:r>
        <w:rPr>
          <w:rFonts w:hint="eastAsia" w:ascii="宋体" w:hAnsi="宋体" w:cs="宋体"/>
          <w:b/>
          <w:bCs/>
          <w:color w:val="auto"/>
          <w:sz w:val="24"/>
          <w:szCs w:val="24"/>
          <w:highlight w:val="none"/>
          <w:lang w:val="en-US" w:eastAsia="zh-CN"/>
        </w:rPr>
        <w:t>详见应提交保证金一览表</w:t>
      </w:r>
    </w:p>
    <w:p>
      <w:pPr>
        <w:pStyle w:val="17"/>
        <w:rPr>
          <w:color w:val="auto"/>
          <w:highlight w:val="none"/>
        </w:rPr>
        <w:sectPr>
          <w:pgSz w:w="11906" w:h="16838"/>
          <w:pgMar w:top="1440" w:right="1440" w:bottom="1440" w:left="1440" w:header="851" w:footer="992" w:gutter="0"/>
          <w:cols w:space="720" w:num="1"/>
          <w:docGrid w:linePitch="319" w:charSpace="0"/>
        </w:sectPr>
      </w:pPr>
    </w:p>
    <w:p>
      <w:pPr>
        <w:pStyle w:val="32"/>
        <w:spacing w:before="240" w:beforeLines="100" w:after="120" w:afterLines="50"/>
        <w:rPr>
          <w:rFonts w:ascii="黑体" w:hAnsi="黑体" w:cs="黑体"/>
          <w:b/>
          <w:bCs/>
          <w:color w:val="auto"/>
          <w:sz w:val="24"/>
          <w:szCs w:val="24"/>
          <w:highlight w:val="none"/>
        </w:rPr>
      </w:pPr>
      <w:bookmarkStart w:id="65" w:name="_Toc129618841"/>
      <w:r>
        <w:rPr>
          <w:rFonts w:ascii="黑体" w:hAnsi="黑体" w:cs="黑体"/>
          <w:b/>
          <w:bCs/>
          <w:color w:val="auto"/>
          <w:sz w:val="24"/>
          <w:szCs w:val="24"/>
          <w:highlight w:val="none"/>
        </w:rPr>
        <w:t xml:space="preserve">1. </w:t>
      </w:r>
      <w:r>
        <w:rPr>
          <w:rFonts w:hint="eastAsia" w:ascii="黑体" w:hAnsi="黑体" w:cs="黑体"/>
          <w:b/>
          <w:bCs/>
          <w:color w:val="auto"/>
          <w:sz w:val="24"/>
          <w:szCs w:val="24"/>
          <w:highlight w:val="none"/>
        </w:rPr>
        <w:t>总则</w:t>
      </w:r>
      <w:bookmarkEnd w:id="61"/>
      <w:bookmarkEnd w:id="62"/>
      <w:bookmarkEnd w:id="63"/>
      <w:bookmarkEnd w:id="64"/>
      <w:bookmarkEnd w:id="65"/>
    </w:p>
    <w:p>
      <w:pPr>
        <w:pStyle w:val="33"/>
        <w:tabs>
          <w:tab w:val="left" w:pos="2620"/>
        </w:tabs>
        <w:spacing w:before="120" w:beforeLines="50" w:after="120" w:afterLines="50"/>
        <w:rPr>
          <w:rFonts w:ascii="黑体" w:hAnsi="黑体" w:cs="黑体"/>
          <w:b/>
          <w:bCs/>
          <w:color w:val="auto"/>
          <w:sz w:val="21"/>
          <w:szCs w:val="21"/>
          <w:highlight w:val="none"/>
        </w:rPr>
      </w:pPr>
      <w:bookmarkStart w:id="66" w:name="_Toc152042306"/>
      <w:bookmarkStart w:id="67" w:name="_Toc179632547"/>
      <w:bookmarkStart w:id="68" w:name="_Toc129618842"/>
      <w:bookmarkStart w:id="69" w:name="_Toc144974498"/>
      <w:bookmarkStart w:id="70" w:name="_Toc152045530"/>
      <w:r>
        <w:rPr>
          <w:rFonts w:ascii="黑体" w:hAnsi="黑体" w:cs="黑体"/>
          <w:b/>
          <w:bCs/>
          <w:color w:val="auto"/>
          <w:sz w:val="21"/>
          <w:szCs w:val="21"/>
          <w:highlight w:val="none"/>
        </w:rPr>
        <w:t xml:space="preserve">1.1 </w:t>
      </w:r>
      <w:r>
        <w:rPr>
          <w:rFonts w:hint="eastAsia" w:ascii="黑体" w:hAnsi="黑体" w:cs="黑体"/>
          <w:b/>
          <w:bCs/>
          <w:color w:val="auto"/>
          <w:sz w:val="21"/>
          <w:szCs w:val="21"/>
          <w:highlight w:val="none"/>
        </w:rPr>
        <w:t>项目概况</w:t>
      </w:r>
      <w:bookmarkEnd w:id="66"/>
      <w:bookmarkEnd w:id="67"/>
      <w:bookmarkEnd w:id="68"/>
      <w:bookmarkEnd w:id="69"/>
      <w:bookmarkEnd w:id="70"/>
    </w:p>
    <w:p>
      <w:pPr>
        <w:spacing w:line="400" w:lineRule="exact"/>
        <w:ind w:firstLine="420" w:firstLineChars="200"/>
        <w:rPr>
          <w:rFonts w:ascii="宋体" w:hAnsi="宋体" w:cs="宋体"/>
          <w:color w:val="auto"/>
          <w:highlight w:val="none"/>
        </w:rPr>
      </w:pPr>
      <w:r>
        <w:rPr>
          <w:rFonts w:ascii="宋体" w:hAnsi="宋体" w:cs="宋体"/>
          <w:color w:val="auto"/>
          <w:highlight w:val="none"/>
        </w:rPr>
        <w:t>1.1.1</w:t>
      </w:r>
      <w:r>
        <w:rPr>
          <w:rFonts w:hint="eastAsia" w:ascii="宋体" w:hAnsi="宋体" w:cs="宋体"/>
          <w:color w:val="auto"/>
          <w:highlight w:val="none"/>
        </w:rPr>
        <w:t>根据《中华人民共和国招标投标法》等有关法律、法规和规章的规定，本招标项目已具备招标条件，现对本标段施工进行招标。</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1.1.2 </w:t>
      </w:r>
      <w:r>
        <w:rPr>
          <w:rFonts w:hint="eastAsia" w:ascii="宋体" w:hAnsi="宋体" w:cs="宋体"/>
          <w:color w:val="auto"/>
          <w:highlight w:val="none"/>
        </w:rPr>
        <w:t>本招标项目招标人：见投标人须知前附表。</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1.1.3 </w:t>
      </w:r>
      <w:r>
        <w:rPr>
          <w:rFonts w:hint="eastAsia" w:ascii="宋体" w:hAnsi="宋体" w:cs="宋体"/>
          <w:color w:val="auto"/>
          <w:highlight w:val="none"/>
        </w:rPr>
        <w:t>本标段招标代理机构：见投标人须知前附表。</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1.1.4 </w:t>
      </w:r>
      <w:r>
        <w:rPr>
          <w:rFonts w:hint="eastAsia" w:ascii="宋体" w:hAnsi="宋体" w:cs="宋体"/>
          <w:color w:val="auto"/>
          <w:highlight w:val="none"/>
        </w:rPr>
        <w:t>本招标项目名称：见投标人须知前附表。</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1.1.5 </w:t>
      </w:r>
      <w:r>
        <w:rPr>
          <w:rFonts w:hint="eastAsia" w:ascii="宋体" w:hAnsi="宋体" w:cs="宋体"/>
          <w:color w:val="auto"/>
          <w:highlight w:val="none"/>
        </w:rPr>
        <w:t>本标段建设地点：见投标人须知前附表。</w:t>
      </w:r>
    </w:p>
    <w:p>
      <w:pPr>
        <w:pStyle w:val="33"/>
        <w:tabs>
          <w:tab w:val="left" w:pos="2620"/>
        </w:tabs>
        <w:spacing w:before="120" w:beforeLines="50" w:after="120" w:afterLines="50"/>
        <w:rPr>
          <w:rFonts w:ascii="黑体" w:hAnsi="黑体" w:cs="黑体"/>
          <w:b/>
          <w:bCs/>
          <w:color w:val="auto"/>
          <w:sz w:val="21"/>
          <w:szCs w:val="21"/>
          <w:highlight w:val="none"/>
        </w:rPr>
      </w:pPr>
      <w:bookmarkStart w:id="71" w:name="_Toc152045531"/>
      <w:bookmarkStart w:id="72" w:name="_Toc144974499"/>
      <w:bookmarkStart w:id="73" w:name="_Toc179632548"/>
      <w:bookmarkStart w:id="74" w:name="_Toc129618843"/>
      <w:bookmarkStart w:id="75" w:name="_Toc152042307"/>
      <w:r>
        <w:rPr>
          <w:rFonts w:ascii="黑体" w:hAnsi="黑体" w:cs="黑体"/>
          <w:b/>
          <w:bCs/>
          <w:color w:val="auto"/>
          <w:sz w:val="21"/>
          <w:szCs w:val="21"/>
          <w:highlight w:val="none"/>
        </w:rPr>
        <w:t xml:space="preserve">1.2 </w:t>
      </w:r>
      <w:r>
        <w:rPr>
          <w:rFonts w:hint="eastAsia" w:ascii="黑体" w:hAnsi="黑体" w:cs="黑体"/>
          <w:b/>
          <w:bCs/>
          <w:color w:val="auto"/>
          <w:sz w:val="21"/>
          <w:szCs w:val="21"/>
          <w:highlight w:val="none"/>
        </w:rPr>
        <w:t>资金来源和落实情况</w:t>
      </w:r>
      <w:bookmarkEnd w:id="71"/>
      <w:bookmarkEnd w:id="72"/>
      <w:bookmarkEnd w:id="73"/>
      <w:bookmarkEnd w:id="74"/>
      <w:bookmarkEnd w:id="75"/>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1.2.1 </w:t>
      </w:r>
      <w:r>
        <w:rPr>
          <w:rFonts w:hint="eastAsia" w:ascii="宋体" w:hAnsi="宋体" w:cs="宋体"/>
          <w:color w:val="auto"/>
          <w:highlight w:val="none"/>
        </w:rPr>
        <w:t>本招标项目的资金来源：见投标人须知前附表。</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1.2.2 </w:t>
      </w:r>
      <w:r>
        <w:rPr>
          <w:rFonts w:hint="eastAsia" w:ascii="宋体" w:hAnsi="宋体" w:cs="宋体"/>
          <w:color w:val="auto"/>
          <w:highlight w:val="none"/>
        </w:rPr>
        <w:t>本招标项目的出资比例：见投标人须知前附表。</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1.2.3 </w:t>
      </w:r>
      <w:r>
        <w:rPr>
          <w:rFonts w:hint="eastAsia" w:ascii="宋体" w:hAnsi="宋体" w:cs="宋体"/>
          <w:color w:val="auto"/>
          <w:highlight w:val="none"/>
        </w:rPr>
        <w:t>本招标项目的资金落实情况：见投标人须知前附表。</w:t>
      </w:r>
    </w:p>
    <w:p>
      <w:pPr>
        <w:pStyle w:val="33"/>
        <w:tabs>
          <w:tab w:val="left" w:pos="2620"/>
        </w:tabs>
        <w:rPr>
          <w:rFonts w:ascii="黑体" w:hAnsi="黑体" w:cs="黑体"/>
          <w:b/>
          <w:bCs/>
          <w:color w:val="auto"/>
          <w:sz w:val="21"/>
          <w:szCs w:val="21"/>
          <w:highlight w:val="none"/>
        </w:rPr>
      </w:pPr>
      <w:bookmarkStart w:id="76" w:name="_Toc152045532"/>
      <w:bookmarkStart w:id="77" w:name="_Toc152042308"/>
      <w:bookmarkStart w:id="78" w:name="_Toc179632549"/>
      <w:bookmarkStart w:id="79" w:name="_Toc129618844"/>
      <w:bookmarkStart w:id="80" w:name="_Toc144974500"/>
      <w:r>
        <w:rPr>
          <w:rFonts w:ascii="黑体" w:hAnsi="黑体" w:cs="黑体"/>
          <w:b/>
          <w:bCs/>
          <w:color w:val="auto"/>
          <w:sz w:val="21"/>
          <w:szCs w:val="21"/>
          <w:highlight w:val="none"/>
        </w:rPr>
        <w:t xml:space="preserve">1.3 </w:t>
      </w:r>
      <w:r>
        <w:rPr>
          <w:rFonts w:hint="eastAsia" w:ascii="黑体" w:hAnsi="黑体" w:cs="黑体"/>
          <w:b/>
          <w:bCs/>
          <w:color w:val="auto"/>
          <w:sz w:val="21"/>
          <w:szCs w:val="21"/>
          <w:highlight w:val="none"/>
        </w:rPr>
        <w:t>招标范围、计划工期和质量要求</w:t>
      </w:r>
      <w:bookmarkEnd w:id="76"/>
      <w:bookmarkEnd w:id="77"/>
      <w:bookmarkEnd w:id="78"/>
      <w:bookmarkEnd w:id="79"/>
      <w:bookmarkEnd w:id="80"/>
    </w:p>
    <w:p>
      <w:pPr>
        <w:spacing w:line="400" w:lineRule="exact"/>
        <w:ind w:firstLine="420" w:firstLineChars="200"/>
        <w:rPr>
          <w:rFonts w:ascii="宋体" w:hAnsi="宋体" w:cs="宋体"/>
          <w:color w:val="auto"/>
          <w:highlight w:val="none"/>
        </w:rPr>
      </w:pPr>
      <w:r>
        <w:rPr>
          <w:rFonts w:hint="default" w:ascii="宋体" w:hAnsi="宋体" w:cs="宋体"/>
          <w:color w:val="auto"/>
          <w:highlight w:val="none"/>
        </w:rPr>
        <w:t>1.3.1 本次招标范围：见投标人须知前附表。</w:t>
      </w:r>
    </w:p>
    <w:p>
      <w:pPr>
        <w:spacing w:line="400" w:lineRule="exact"/>
        <w:ind w:firstLine="420" w:firstLineChars="200"/>
        <w:rPr>
          <w:rFonts w:ascii="宋体" w:hAnsi="宋体" w:cs="宋体"/>
          <w:color w:val="auto"/>
          <w:highlight w:val="none"/>
        </w:rPr>
      </w:pPr>
      <w:r>
        <w:rPr>
          <w:rFonts w:hint="default" w:ascii="宋体" w:hAnsi="宋体" w:cs="宋体"/>
          <w:color w:val="auto"/>
          <w:highlight w:val="none"/>
        </w:rPr>
        <w:t>1.3.2 本标段的计划工期：见投标人须知前附表。</w:t>
      </w:r>
    </w:p>
    <w:p>
      <w:pPr>
        <w:spacing w:line="400" w:lineRule="exact"/>
        <w:ind w:firstLine="420" w:firstLineChars="200"/>
        <w:rPr>
          <w:rFonts w:ascii="宋体" w:hAnsi="宋体" w:cs="宋体"/>
          <w:color w:val="auto"/>
          <w:highlight w:val="none"/>
        </w:rPr>
      </w:pPr>
      <w:r>
        <w:rPr>
          <w:rFonts w:hint="default" w:ascii="宋体" w:hAnsi="宋体" w:cs="宋体"/>
          <w:color w:val="auto"/>
          <w:highlight w:val="none"/>
        </w:rPr>
        <w:t>1.3.3 本标段的质量要求：见投标人须知前附表。</w:t>
      </w:r>
    </w:p>
    <w:p>
      <w:pPr>
        <w:pStyle w:val="33"/>
        <w:tabs>
          <w:tab w:val="left" w:pos="2620"/>
        </w:tabs>
        <w:spacing w:before="120" w:beforeLines="50" w:after="120" w:afterLines="50"/>
        <w:rPr>
          <w:rFonts w:ascii="黑体" w:hAnsi="黑体" w:cs="黑体"/>
          <w:b/>
          <w:bCs/>
          <w:color w:val="auto"/>
          <w:sz w:val="21"/>
          <w:szCs w:val="21"/>
          <w:highlight w:val="none"/>
        </w:rPr>
      </w:pPr>
      <w:bookmarkStart w:id="81" w:name="_Toc129618845"/>
      <w:bookmarkStart w:id="82" w:name="_Toc179632551"/>
      <w:bookmarkStart w:id="83" w:name="_Toc152042310"/>
      <w:bookmarkStart w:id="84" w:name="_Toc152045534"/>
      <w:bookmarkStart w:id="85" w:name="_Toc144974502"/>
      <w:r>
        <w:rPr>
          <w:rFonts w:ascii="黑体" w:hAnsi="黑体" w:cs="黑体"/>
          <w:b/>
          <w:bCs/>
          <w:color w:val="auto"/>
          <w:sz w:val="21"/>
          <w:szCs w:val="21"/>
          <w:highlight w:val="none"/>
        </w:rPr>
        <w:t xml:space="preserve">1.4 </w:t>
      </w:r>
      <w:r>
        <w:rPr>
          <w:rFonts w:hint="eastAsia" w:ascii="黑体" w:hAnsi="黑体" w:cs="黑体"/>
          <w:b/>
          <w:bCs/>
          <w:color w:val="auto"/>
          <w:sz w:val="21"/>
          <w:szCs w:val="21"/>
          <w:highlight w:val="none"/>
        </w:rPr>
        <w:t>投标人资格要求</w:t>
      </w:r>
      <w:bookmarkEnd w:id="81"/>
      <w:bookmarkEnd w:id="82"/>
      <w:bookmarkEnd w:id="83"/>
      <w:bookmarkEnd w:id="84"/>
      <w:bookmarkEnd w:id="85"/>
    </w:p>
    <w:p>
      <w:pPr>
        <w:spacing w:line="400" w:lineRule="exact"/>
        <w:ind w:firstLine="420" w:firstLineChars="200"/>
        <w:rPr>
          <w:rFonts w:ascii="宋体" w:hAnsi="宋体" w:cs="宋体"/>
          <w:color w:val="auto"/>
          <w:highlight w:val="none"/>
        </w:rPr>
      </w:pPr>
      <w:r>
        <w:rPr>
          <w:rFonts w:ascii="宋体" w:hAnsi="宋体" w:cs="宋体"/>
          <w:color w:val="auto"/>
          <w:highlight w:val="none"/>
        </w:rPr>
        <w:t>1.4.1</w:t>
      </w:r>
      <w:r>
        <w:rPr>
          <w:rFonts w:hint="eastAsia" w:ascii="宋体" w:hAnsi="宋体" w:cs="宋体"/>
          <w:color w:val="auto"/>
          <w:highlight w:val="none"/>
        </w:rPr>
        <w:t>投标人应具备承担本标段施工的资质条件、能力和信誉。</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1</w:t>
      </w:r>
      <w:r>
        <w:rPr>
          <w:rFonts w:hint="eastAsia" w:ascii="宋体" w:hAnsi="宋体" w:cs="宋体"/>
          <w:color w:val="auto"/>
          <w:highlight w:val="none"/>
        </w:rPr>
        <w:t>）资质条件：见投标人须知前附表；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2</w:t>
      </w:r>
      <w:r>
        <w:rPr>
          <w:rFonts w:hint="eastAsia" w:ascii="宋体" w:hAnsi="宋体" w:cs="宋体"/>
          <w:color w:val="auto"/>
          <w:highlight w:val="none"/>
        </w:rPr>
        <w:t>）财务要求：见投标人须知前附表；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3</w:t>
      </w:r>
      <w:r>
        <w:rPr>
          <w:rFonts w:hint="eastAsia" w:ascii="宋体" w:hAnsi="宋体" w:cs="宋体"/>
          <w:color w:val="auto"/>
          <w:highlight w:val="none"/>
        </w:rPr>
        <w:t>）业绩要求：见投标人须知前附表；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4</w:t>
      </w:r>
      <w:r>
        <w:rPr>
          <w:rFonts w:hint="eastAsia" w:ascii="宋体" w:hAnsi="宋体" w:cs="宋体"/>
          <w:color w:val="auto"/>
          <w:highlight w:val="none"/>
        </w:rPr>
        <w:t>）信誉要求：见投标人须知前附表</w:t>
      </w:r>
      <w:r>
        <w:rPr>
          <w:rFonts w:ascii="宋体" w:hAnsi="宋体" w:cs="宋体"/>
          <w:color w:val="auto"/>
          <w:highlight w:val="none"/>
        </w:rPr>
        <w:t>;</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5</w:t>
      </w:r>
      <w:r>
        <w:rPr>
          <w:rFonts w:hint="eastAsia" w:ascii="宋体" w:hAnsi="宋体" w:cs="宋体"/>
          <w:color w:val="auto"/>
          <w:highlight w:val="none"/>
        </w:rPr>
        <w:t>）项目经理资格：见投标人须知前附表；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6</w:t>
      </w:r>
      <w:r>
        <w:rPr>
          <w:rFonts w:hint="eastAsia" w:ascii="宋体" w:hAnsi="宋体" w:cs="宋体"/>
          <w:color w:val="auto"/>
          <w:highlight w:val="none"/>
        </w:rPr>
        <w:t>）其他要求：见投标人须知前附表。</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1.4.2 </w:t>
      </w:r>
      <w:r>
        <w:rPr>
          <w:rFonts w:hint="eastAsia" w:ascii="宋体" w:hAnsi="宋体" w:cs="宋体"/>
          <w:color w:val="auto"/>
          <w:highlight w:val="none"/>
        </w:rPr>
        <w:t>投标人须知前附表规定接受联合体投标的，除应符合本章第</w:t>
      </w:r>
      <w:r>
        <w:rPr>
          <w:rFonts w:ascii="宋体" w:hAnsi="宋体" w:cs="宋体"/>
          <w:color w:val="auto"/>
          <w:highlight w:val="none"/>
        </w:rPr>
        <w:t>1.4.1</w:t>
      </w:r>
      <w:r>
        <w:rPr>
          <w:rFonts w:hint="eastAsia" w:ascii="宋体" w:hAnsi="宋体" w:cs="宋体"/>
          <w:color w:val="auto"/>
          <w:highlight w:val="none"/>
        </w:rPr>
        <w:t>项和投标人须知前附表的要求外，还应遵守以下规定：</w:t>
      </w:r>
      <w:r>
        <w:rPr>
          <w:rFonts w:ascii="宋体" w:hAnsi="宋体" w:cs="宋体"/>
          <w:color w:val="auto"/>
          <w:highlight w:val="none"/>
        </w:rPr>
        <w:t xml:space="preserve"> </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1</w:t>
      </w:r>
      <w:r>
        <w:rPr>
          <w:rFonts w:hint="eastAsia" w:ascii="宋体" w:hAnsi="宋体" w:cs="宋体"/>
          <w:color w:val="auto"/>
          <w:highlight w:val="none"/>
        </w:rPr>
        <w:t>）联合体各方应按招标文件提供的格式签订联合体协议书，明确联合体牵头人和各方权利义务；</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2</w:t>
      </w:r>
      <w:r>
        <w:rPr>
          <w:rFonts w:hint="eastAsia" w:ascii="宋体" w:hAnsi="宋体" w:cs="宋体"/>
          <w:color w:val="auto"/>
          <w:highlight w:val="none"/>
        </w:rPr>
        <w:t>）由同一专业的单位组成的联合体，按照资质等级较低的单位确定资质等级；</w:t>
      </w:r>
      <w:r>
        <w:rPr>
          <w:rFonts w:ascii="宋体" w:hAnsi="宋体" w:cs="宋体"/>
          <w:color w:val="auto"/>
          <w:highlight w:val="none"/>
        </w:rPr>
        <w:t xml:space="preserve"> </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3</w:t>
      </w:r>
      <w:r>
        <w:rPr>
          <w:rFonts w:hint="eastAsia" w:ascii="宋体" w:hAnsi="宋体" w:cs="宋体"/>
          <w:color w:val="auto"/>
          <w:highlight w:val="none"/>
        </w:rPr>
        <w:t>）联合体各方不得再以自己名义单独或参加其他联合体在同一标段中投标。</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1.4.3 </w:t>
      </w:r>
      <w:r>
        <w:rPr>
          <w:rFonts w:hint="eastAsia" w:ascii="宋体" w:hAnsi="宋体" w:cs="宋体"/>
          <w:color w:val="auto"/>
          <w:highlight w:val="none"/>
        </w:rPr>
        <w:t>投标人不得存在下列情形之一：</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1</w:t>
      </w:r>
      <w:r>
        <w:rPr>
          <w:rFonts w:hint="eastAsia" w:ascii="宋体" w:hAnsi="宋体" w:cs="宋体"/>
          <w:color w:val="auto"/>
          <w:highlight w:val="none"/>
        </w:rPr>
        <w:t>）为招标人不具有独立法人资格的附属机构（单位）；</w:t>
      </w:r>
      <w:r>
        <w:rPr>
          <w:rFonts w:ascii="宋体" w:hAnsi="宋体" w:cs="宋体"/>
          <w:color w:val="auto"/>
          <w:highlight w:val="none"/>
        </w:rPr>
        <w:t xml:space="preserve"> </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2</w:t>
      </w:r>
      <w:r>
        <w:rPr>
          <w:rFonts w:hint="eastAsia" w:ascii="宋体" w:hAnsi="宋体" w:cs="宋体"/>
          <w:color w:val="auto"/>
          <w:highlight w:val="none"/>
        </w:rPr>
        <w:t>）为本标段前期准备提供设计或咨询服务的，但设计施工总承包的除外；</w:t>
      </w:r>
      <w:r>
        <w:rPr>
          <w:rFonts w:ascii="宋体" w:hAnsi="宋体" w:cs="宋体"/>
          <w:color w:val="auto"/>
          <w:highlight w:val="none"/>
        </w:rPr>
        <w:t xml:space="preserve"> </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3</w:t>
      </w:r>
      <w:r>
        <w:rPr>
          <w:rFonts w:hint="eastAsia" w:ascii="宋体" w:hAnsi="宋体" w:cs="宋体"/>
          <w:color w:val="auto"/>
          <w:highlight w:val="none"/>
        </w:rPr>
        <w:t>）为本标段的监理人；</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w:t>
      </w:r>
      <w:r>
        <w:rPr>
          <w:rFonts w:ascii="宋体" w:hAnsi="宋体" w:cs="宋体"/>
          <w:color w:val="auto"/>
          <w:highlight w:val="none"/>
        </w:rPr>
        <w:t>4</w:t>
      </w:r>
      <w:r>
        <w:rPr>
          <w:rFonts w:hint="eastAsia" w:ascii="宋体" w:hAnsi="宋体" w:cs="宋体"/>
          <w:color w:val="auto"/>
          <w:highlight w:val="none"/>
        </w:rPr>
        <w:t>）为本标段的代建人；</w:t>
      </w:r>
      <w:r>
        <w:rPr>
          <w:rFonts w:ascii="宋体" w:hAnsi="宋体" w:cs="宋体"/>
          <w:color w:val="auto"/>
          <w:highlight w:val="none"/>
        </w:rPr>
        <w:t xml:space="preserve">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（5）为本标段提供招标代理服务的；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（6）与本标段的监理人或代建人或招标代理机构同为一个法定代表人（单位负责人）的；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（7）与本标段的监理人或代建人或招标代理机构相互控股或参股的；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（8）与本标段的监理人或代建人或招标代理机构相互任职或工作的；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（9）被责令停业的；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（10）被暂停或取消投标资格的；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（11）财产被接管或冻结的；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（12）在最近三年内有骗取中标或严重违约或重大工程质量问题的。</w:t>
      </w:r>
    </w:p>
    <w:p>
      <w:pPr>
        <w:pStyle w:val="33"/>
        <w:tabs>
          <w:tab w:val="left" w:pos="2620"/>
        </w:tabs>
        <w:spacing w:before="120" w:beforeLines="50" w:after="120" w:afterLines="50"/>
        <w:rPr>
          <w:rFonts w:ascii="黑体" w:hAnsi="黑体" w:cs="黑体"/>
          <w:b/>
          <w:bCs/>
          <w:color w:val="auto"/>
          <w:sz w:val="21"/>
          <w:szCs w:val="21"/>
          <w:highlight w:val="none"/>
        </w:rPr>
      </w:pPr>
      <w:bookmarkStart w:id="86" w:name="_Toc152042311"/>
      <w:bookmarkStart w:id="87" w:name="_Toc179632552"/>
      <w:bookmarkStart w:id="88" w:name="_Toc152045535"/>
      <w:bookmarkStart w:id="89" w:name="_Toc144974503"/>
      <w:bookmarkStart w:id="90" w:name="_Toc129618846"/>
      <w:r>
        <w:rPr>
          <w:rFonts w:ascii="黑体" w:hAnsi="黑体" w:cs="黑体"/>
          <w:b/>
          <w:bCs/>
          <w:color w:val="auto"/>
          <w:sz w:val="21"/>
          <w:szCs w:val="21"/>
          <w:highlight w:val="none"/>
        </w:rPr>
        <w:t xml:space="preserve">1.5 </w:t>
      </w:r>
      <w:r>
        <w:rPr>
          <w:rFonts w:hint="eastAsia" w:ascii="黑体" w:hAnsi="黑体" w:cs="黑体"/>
          <w:b/>
          <w:bCs/>
          <w:color w:val="auto"/>
          <w:sz w:val="21"/>
          <w:szCs w:val="21"/>
          <w:highlight w:val="none"/>
        </w:rPr>
        <w:t>费用承担</w:t>
      </w:r>
      <w:bookmarkEnd w:id="86"/>
      <w:bookmarkEnd w:id="87"/>
      <w:bookmarkEnd w:id="88"/>
      <w:bookmarkEnd w:id="89"/>
      <w:bookmarkEnd w:id="90"/>
    </w:p>
    <w:p>
      <w:pPr>
        <w:spacing w:line="400" w:lineRule="exact"/>
        <w:ind w:firstLine="420" w:firstLineChars="200"/>
        <w:rPr>
          <w:color w:val="auto"/>
          <w:highlight w:val="none"/>
        </w:rPr>
      </w:pPr>
      <w:r>
        <w:rPr>
          <w:rFonts w:hint="eastAsia"/>
          <w:color w:val="auto"/>
          <w:highlight w:val="none"/>
        </w:rPr>
        <w:t>投标人准备和参加投标活动发生的费用自理。</w:t>
      </w:r>
    </w:p>
    <w:p>
      <w:pPr>
        <w:pStyle w:val="33"/>
        <w:tabs>
          <w:tab w:val="left" w:pos="2620"/>
        </w:tabs>
        <w:spacing w:before="120" w:beforeLines="50" w:after="120" w:afterLines="50"/>
        <w:rPr>
          <w:rFonts w:ascii="黑体" w:hAnsi="黑体" w:cs="黑体"/>
          <w:b/>
          <w:bCs/>
          <w:color w:val="auto"/>
          <w:sz w:val="21"/>
          <w:szCs w:val="21"/>
          <w:highlight w:val="none"/>
        </w:rPr>
      </w:pPr>
      <w:bookmarkStart w:id="91" w:name="_Toc179632553"/>
      <w:bookmarkStart w:id="92" w:name="_Toc152042312"/>
      <w:bookmarkStart w:id="93" w:name="_Toc152045536"/>
      <w:bookmarkStart w:id="94" w:name="_Toc129618847"/>
      <w:bookmarkStart w:id="95" w:name="_Toc144974504"/>
      <w:r>
        <w:rPr>
          <w:rFonts w:ascii="黑体" w:hAnsi="黑体" w:cs="黑体"/>
          <w:b/>
          <w:bCs/>
          <w:color w:val="auto"/>
          <w:sz w:val="21"/>
          <w:szCs w:val="21"/>
          <w:highlight w:val="none"/>
        </w:rPr>
        <w:t xml:space="preserve">1.6 </w:t>
      </w:r>
      <w:r>
        <w:rPr>
          <w:rFonts w:hint="eastAsia" w:ascii="黑体" w:hAnsi="黑体" w:cs="黑体"/>
          <w:b/>
          <w:bCs/>
          <w:color w:val="auto"/>
          <w:sz w:val="21"/>
          <w:szCs w:val="21"/>
          <w:highlight w:val="none"/>
        </w:rPr>
        <w:t>保密</w:t>
      </w:r>
      <w:bookmarkEnd w:id="91"/>
      <w:bookmarkEnd w:id="92"/>
      <w:bookmarkEnd w:id="93"/>
      <w:bookmarkEnd w:id="94"/>
      <w:bookmarkEnd w:id="95"/>
    </w:p>
    <w:p>
      <w:pPr>
        <w:spacing w:line="400" w:lineRule="exact"/>
        <w:ind w:firstLine="420" w:firstLineChars="200"/>
        <w:rPr>
          <w:color w:val="auto"/>
          <w:highlight w:val="none"/>
        </w:rPr>
      </w:pPr>
      <w:r>
        <w:rPr>
          <w:rFonts w:hint="eastAsia"/>
          <w:color w:val="auto"/>
          <w:highlight w:val="none"/>
        </w:rPr>
        <w:t xml:space="preserve">参与招标投标活动的各方应对招标文件和投标文件中的商业和技术等秘密保密，违者应对由此造成的后果承担法律责任。 </w:t>
      </w:r>
    </w:p>
    <w:p>
      <w:pPr>
        <w:pStyle w:val="33"/>
        <w:tabs>
          <w:tab w:val="left" w:pos="2620"/>
        </w:tabs>
        <w:spacing w:before="120" w:beforeLines="50" w:after="120" w:afterLines="50"/>
        <w:rPr>
          <w:rFonts w:ascii="黑体" w:hAnsi="黑体" w:cs="黑体"/>
          <w:b/>
          <w:bCs/>
          <w:color w:val="auto"/>
          <w:sz w:val="21"/>
          <w:szCs w:val="21"/>
          <w:highlight w:val="none"/>
        </w:rPr>
      </w:pPr>
      <w:bookmarkStart w:id="96" w:name="_Toc144974505"/>
      <w:bookmarkStart w:id="97" w:name="_Toc179632554"/>
      <w:bookmarkStart w:id="98" w:name="_Toc152042313"/>
      <w:bookmarkStart w:id="99" w:name="_Toc152045537"/>
      <w:bookmarkStart w:id="100" w:name="_Toc129618848"/>
      <w:r>
        <w:rPr>
          <w:rFonts w:ascii="黑体" w:hAnsi="黑体" w:cs="黑体"/>
          <w:b/>
          <w:bCs/>
          <w:color w:val="auto"/>
          <w:sz w:val="21"/>
          <w:szCs w:val="21"/>
          <w:highlight w:val="none"/>
        </w:rPr>
        <w:t xml:space="preserve">1.7 </w:t>
      </w:r>
      <w:r>
        <w:rPr>
          <w:rFonts w:hint="eastAsia" w:ascii="黑体" w:hAnsi="黑体" w:cs="黑体"/>
          <w:b/>
          <w:bCs/>
          <w:color w:val="auto"/>
          <w:sz w:val="21"/>
          <w:szCs w:val="21"/>
          <w:highlight w:val="none"/>
        </w:rPr>
        <w:t>语言</w:t>
      </w:r>
      <w:bookmarkEnd w:id="96"/>
      <w:r>
        <w:rPr>
          <w:rFonts w:hint="eastAsia" w:ascii="黑体" w:hAnsi="黑体" w:cs="黑体"/>
          <w:b/>
          <w:bCs/>
          <w:color w:val="auto"/>
          <w:sz w:val="21"/>
          <w:szCs w:val="21"/>
          <w:highlight w:val="none"/>
        </w:rPr>
        <w:t>文字</w:t>
      </w:r>
      <w:bookmarkEnd w:id="97"/>
      <w:bookmarkEnd w:id="98"/>
      <w:bookmarkEnd w:id="99"/>
      <w:bookmarkEnd w:id="100"/>
    </w:p>
    <w:p>
      <w:pPr>
        <w:spacing w:line="400" w:lineRule="exact"/>
        <w:ind w:firstLine="420" w:firstLineChars="200"/>
        <w:rPr>
          <w:color w:val="auto"/>
          <w:highlight w:val="none"/>
        </w:rPr>
      </w:pPr>
      <w:r>
        <w:rPr>
          <w:rFonts w:hint="eastAsia"/>
          <w:color w:val="auto"/>
          <w:highlight w:val="none"/>
        </w:rPr>
        <w:t>除专用术语外，与招标投标有关的语言均使用中文。必要时专用术语应附有中文注释。</w:t>
      </w:r>
    </w:p>
    <w:p>
      <w:pPr>
        <w:pStyle w:val="33"/>
        <w:tabs>
          <w:tab w:val="left" w:pos="2620"/>
        </w:tabs>
        <w:spacing w:before="120" w:beforeLines="50" w:after="120" w:afterLines="50"/>
        <w:rPr>
          <w:rFonts w:ascii="黑体" w:hAnsi="黑体" w:cs="黑体"/>
          <w:b/>
          <w:bCs/>
          <w:color w:val="auto"/>
          <w:sz w:val="21"/>
          <w:szCs w:val="21"/>
          <w:highlight w:val="none"/>
        </w:rPr>
      </w:pPr>
      <w:bookmarkStart w:id="101" w:name="_Toc152042314"/>
      <w:bookmarkStart w:id="102" w:name="_Toc152045538"/>
      <w:bookmarkStart w:id="103" w:name="_Toc179632555"/>
      <w:bookmarkStart w:id="104" w:name="_Toc129618849"/>
      <w:bookmarkStart w:id="105" w:name="_Toc144974506"/>
      <w:r>
        <w:rPr>
          <w:rFonts w:ascii="黑体" w:hAnsi="黑体" w:cs="黑体"/>
          <w:b/>
          <w:bCs/>
          <w:color w:val="auto"/>
          <w:sz w:val="21"/>
          <w:szCs w:val="21"/>
          <w:highlight w:val="none"/>
        </w:rPr>
        <w:t xml:space="preserve">1.8 </w:t>
      </w:r>
      <w:r>
        <w:rPr>
          <w:rFonts w:hint="eastAsia" w:ascii="黑体" w:hAnsi="黑体" w:cs="黑体"/>
          <w:b/>
          <w:bCs/>
          <w:color w:val="auto"/>
          <w:sz w:val="21"/>
          <w:szCs w:val="21"/>
          <w:highlight w:val="none"/>
        </w:rPr>
        <w:t>计量单位</w:t>
      </w:r>
      <w:bookmarkEnd w:id="101"/>
      <w:bookmarkEnd w:id="102"/>
      <w:bookmarkEnd w:id="103"/>
      <w:bookmarkEnd w:id="104"/>
      <w:bookmarkEnd w:id="105"/>
    </w:p>
    <w:p>
      <w:pPr>
        <w:spacing w:line="400" w:lineRule="exact"/>
        <w:ind w:firstLine="420" w:firstLineChars="200"/>
        <w:rPr>
          <w:color w:val="auto"/>
          <w:highlight w:val="none"/>
        </w:rPr>
      </w:pPr>
      <w:r>
        <w:rPr>
          <w:rFonts w:hint="eastAsia"/>
          <w:color w:val="auto"/>
          <w:highlight w:val="none"/>
        </w:rPr>
        <w:t>所有计量均采用中华人民共和国法定计量单位。</w:t>
      </w:r>
    </w:p>
    <w:p>
      <w:pPr>
        <w:pStyle w:val="33"/>
        <w:tabs>
          <w:tab w:val="left" w:pos="2620"/>
        </w:tabs>
        <w:spacing w:before="120" w:beforeLines="50" w:after="120" w:afterLines="50"/>
        <w:rPr>
          <w:rFonts w:ascii="黑体" w:hAnsi="黑体" w:cs="黑体"/>
          <w:b/>
          <w:bCs/>
          <w:color w:val="auto"/>
          <w:sz w:val="21"/>
          <w:szCs w:val="21"/>
          <w:highlight w:val="none"/>
        </w:rPr>
      </w:pPr>
      <w:bookmarkStart w:id="106" w:name="_Toc179632556"/>
      <w:bookmarkStart w:id="107" w:name="_Toc152042315"/>
      <w:bookmarkStart w:id="108" w:name="_Toc129618850"/>
      <w:bookmarkStart w:id="109" w:name="_Toc144974507"/>
      <w:bookmarkStart w:id="110" w:name="_Toc152045539"/>
      <w:r>
        <w:rPr>
          <w:rFonts w:ascii="黑体" w:hAnsi="黑体" w:cs="黑体"/>
          <w:b/>
          <w:bCs/>
          <w:color w:val="auto"/>
          <w:sz w:val="21"/>
          <w:szCs w:val="21"/>
          <w:highlight w:val="none"/>
        </w:rPr>
        <w:t xml:space="preserve">1.9 </w:t>
      </w:r>
      <w:r>
        <w:rPr>
          <w:rFonts w:hint="eastAsia" w:ascii="黑体" w:hAnsi="黑体" w:cs="黑体"/>
          <w:b/>
          <w:bCs/>
          <w:color w:val="auto"/>
          <w:sz w:val="21"/>
          <w:szCs w:val="21"/>
          <w:highlight w:val="none"/>
        </w:rPr>
        <w:t>踏勘现场</w:t>
      </w:r>
      <w:bookmarkEnd w:id="106"/>
      <w:bookmarkEnd w:id="107"/>
      <w:bookmarkEnd w:id="108"/>
      <w:bookmarkEnd w:id="109"/>
      <w:bookmarkEnd w:id="110"/>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1.9.1 </w:t>
      </w:r>
      <w:r>
        <w:rPr>
          <w:rFonts w:hint="eastAsia" w:ascii="宋体" w:hAnsi="宋体" w:cs="宋体"/>
          <w:color w:val="auto"/>
          <w:highlight w:val="none"/>
        </w:rPr>
        <w:t>投标人须知前附表规定组织踏勘现场的，招标人按投标人须知前附表规定的时间、地点组织投标人踏勘项目现场。</w:t>
      </w:r>
      <w:r>
        <w:rPr>
          <w:rFonts w:ascii="宋体" w:hAnsi="宋体" w:cs="宋体"/>
          <w:color w:val="auto"/>
          <w:highlight w:val="none"/>
        </w:rPr>
        <w:t xml:space="preserve"> </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1.9.2 </w:t>
      </w:r>
      <w:r>
        <w:rPr>
          <w:rFonts w:hint="eastAsia" w:ascii="宋体" w:hAnsi="宋体" w:cs="宋体"/>
          <w:color w:val="auto"/>
          <w:highlight w:val="none"/>
        </w:rPr>
        <w:t>投标人踏勘现场发生的费用自理。</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1.9.3 </w:t>
      </w:r>
      <w:r>
        <w:rPr>
          <w:rFonts w:hint="eastAsia" w:ascii="宋体" w:hAnsi="宋体" w:cs="宋体"/>
          <w:color w:val="auto"/>
          <w:highlight w:val="none"/>
        </w:rPr>
        <w:t>除招标人的原因外，投标人自行负责在踏勘现场中所发生的人员伤亡和财产损失。</w:t>
      </w:r>
    </w:p>
    <w:p>
      <w:pPr>
        <w:spacing w:line="400" w:lineRule="exact"/>
        <w:ind w:firstLine="420" w:firstLineChars="200"/>
        <w:rPr>
          <w:rFonts w:ascii="宋体" w:hAnsi="宋体" w:cs="宋体"/>
          <w:color w:val="auto"/>
          <w:highlight w:val="none"/>
        </w:rPr>
      </w:pPr>
      <w:r>
        <w:rPr>
          <w:rFonts w:ascii="宋体" w:hAnsi="宋体" w:cs="宋体"/>
          <w:color w:val="auto"/>
          <w:highlight w:val="none"/>
        </w:rPr>
        <w:t xml:space="preserve">1.9.4 </w:t>
      </w:r>
      <w:r>
        <w:rPr>
          <w:rFonts w:hint="eastAsia" w:ascii="宋体" w:hAnsi="宋体" w:cs="宋体"/>
          <w:color w:val="auto"/>
          <w:highlight w:val="none"/>
        </w:rPr>
        <w:t>招标人在踏勘现场中介绍的工程场地和相关的周边环境情况，供投标人在编制投标文件时参考，招标人不对投标人据此作出的判断和决策负责。</w:t>
      </w:r>
    </w:p>
    <w:p>
      <w:pPr>
        <w:pStyle w:val="33"/>
        <w:tabs>
          <w:tab w:val="left" w:pos="2620"/>
        </w:tabs>
        <w:spacing w:before="120" w:beforeLines="50" w:after="120" w:afterLines="50"/>
        <w:rPr>
          <w:rFonts w:ascii="黑体" w:hAnsi="黑体" w:cs="黑体"/>
          <w:b/>
          <w:bCs/>
          <w:color w:val="auto"/>
          <w:sz w:val="21"/>
          <w:szCs w:val="21"/>
          <w:highlight w:val="none"/>
        </w:rPr>
      </w:pPr>
      <w:bookmarkStart w:id="111" w:name="_Toc144974508"/>
      <w:bookmarkStart w:id="112" w:name="_Toc129618851"/>
      <w:bookmarkStart w:id="113" w:name="_Toc152042316"/>
      <w:bookmarkStart w:id="114" w:name="_Toc152045540"/>
      <w:bookmarkStart w:id="115" w:name="_Toc179632557"/>
      <w:r>
        <w:rPr>
          <w:rFonts w:ascii="黑体" w:hAnsi="黑体" w:cs="黑体"/>
          <w:b/>
          <w:bCs/>
          <w:color w:val="auto"/>
          <w:sz w:val="21"/>
          <w:szCs w:val="21"/>
          <w:highlight w:val="none"/>
        </w:rPr>
        <w:t xml:space="preserve">1.10 </w:t>
      </w:r>
      <w:r>
        <w:rPr>
          <w:rFonts w:hint="eastAsia" w:ascii="黑体" w:hAnsi="黑体" w:cs="黑体"/>
          <w:b/>
          <w:bCs/>
          <w:color w:val="auto"/>
          <w:sz w:val="21"/>
          <w:szCs w:val="21"/>
          <w:highlight w:val="none"/>
        </w:rPr>
        <w:t>投标预备会</w:t>
      </w:r>
      <w:bookmarkEnd w:id="111"/>
      <w:bookmarkEnd w:id="112"/>
      <w:bookmarkEnd w:id="113"/>
      <w:bookmarkEnd w:id="114"/>
      <w:bookmarkEnd w:id="115"/>
    </w:p>
    <w:p>
      <w:pPr>
        <w:spacing w:line="400" w:lineRule="exact"/>
        <w:ind w:firstLine="420" w:firstLineChars="200"/>
        <w:rPr>
          <w:rFonts w:ascii="宋体" w:hAnsi="宋体" w:cs="宋体"/>
          <w:color w:val="auto"/>
          <w:highlight w:val="none"/>
        </w:rPr>
      </w:pPr>
      <w:r>
        <w:rPr>
          <w:rFonts w:hint="default" w:ascii="宋体" w:hAnsi="宋体" w:cs="宋体"/>
          <w:color w:val="auto"/>
          <w:highlight w:val="none"/>
        </w:rPr>
        <w:t>1.10.1 投标人须知前附表规定召开投标预备会的，招标人按投标人须知前附表规定的时间和地点召开投标预备会，澄清投标人提出的问题。</w:t>
      </w:r>
    </w:p>
    <w:p>
      <w:pPr>
        <w:spacing w:line="400" w:lineRule="exact"/>
        <w:ind w:firstLine="420" w:firstLineChars="200"/>
        <w:rPr>
          <w:rFonts w:ascii="宋体" w:hAnsi="宋体" w:cs="宋体"/>
          <w:color w:val="auto"/>
          <w:highlight w:val="none"/>
        </w:rPr>
      </w:pPr>
      <w:r>
        <w:rPr>
          <w:rFonts w:hint="default" w:ascii="宋体" w:hAnsi="宋体" w:cs="宋体"/>
          <w:color w:val="auto"/>
          <w:highlight w:val="none"/>
        </w:rPr>
        <w:t>1.10.2 投标人应在投标人须知前附表规定的时间前，以书面形式将提出的问题送达招标人，以便招标人在会议期间澄清。</w:t>
      </w:r>
    </w:p>
    <w:p>
      <w:pPr>
        <w:spacing w:line="400" w:lineRule="exact"/>
        <w:ind w:firstLine="420" w:firstLineChars="200"/>
        <w:rPr>
          <w:rFonts w:ascii="宋体" w:hAnsi="宋体" w:cs="宋体"/>
          <w:color w:val="auto"/>
          <w:highlight w:val="none"/>
        </w:rPr>
      </w:pPr>
      <w:r>
        <w:rPr>
          <w:rFonts w:hint="default" w:ascii="宋体" w:hAnsi="宋体" w:cs="宋体"/>
          <w:color w:val="auto"/>
          <w:highlight w:val="none"/>
        </w:rPr>
        <w:t>1.10.3 投标预备会后，招标人在投标人须知前附表规定的时间内，将对投标人所提问题的澄清，以书面方式通知所有购买招标文件的投标人。该澄清内容为招标文件的组成部分。</w:t>
      </w:r>
    </w:p>
    <w:p>
      <w:pPr>
        <w:pStyle w:val="33"/>
        <w:tabs>
          <w:tab w:val="left" w:pos="2620"/>
        </w:tabs>
        <w:spacing w:before="120" w:beforeLines="50" w:after="120" w:afterLines="50"/>
        <w:rPr>
          <w:rFonts w:ascii="黑体" w:hAnsi="黑体" w:cs="黑体"/>
          <w:b/>
          <w:bCs/>
          <w:color w:val="auto"/>
          <w:sz w:val="21"/>
          <w:szCs w:val="21"/>
          <w:highlight w:val="none"/>
        </w:rPr>
      </w:pPr>
      <w:bookmarkStart w:id="116" w:name="_Toc152042317"/>
      <w:bookmarkStart w:id="117" w:name="_Toc129618852"/>
      <w:bookmarkStart w:id="118" w:name="_Toc144974509"/>
      <w:bookmarkStart w:id="119" w:name="_Toc152045541"/>
      <w:bookmarkStart w:id="120" w:name="_Toc179632558"/>
      <w:r>
        <w:rPr>
          <w:rFonts w:ascii="黑体" w:hAnsi="黑体" w:cs="黑体"/>
          <w:b/>
          <w:bCs/>
          <w:color w:val="auto"/>
          <w:sz w:val="21"/>
          <w:szCs w:val="21"/>
          <w:highlight w:val="none"/>
        </w:rPr>
        <w:t xml:space="preserve">1.11 </w:t>
      </w:r>
      <w:r>
        <w:rPr>
          <w:rFonts w:hint="eastAsia" w:ascii="黑体" w:hAnsi="黑体" w:cs="黑体"/>
          <w:b/>
          <w:bCs/>
          <w:color w:val="auto"/>
          <w:sz w:val="21"/>
          <w:szCs w:val="21"/>
          <w:highlight w:val="none"/>
        </w:rPr>
        <w:t>分包</w:t>
      </w:r>
      <w:bookmarkEnd w:id="116"/>
      <w:bookmarkEnd w:id="117"/>
      <w:bookmarkEnd w:id="118"/>
      <w:bookmarkEnd w:id="119"/>
      <w:bookmarkEnd w:id="120"/>
    </w:p>
    <w:p>
      <w:pPr>
        <w:spacing w:line="400" w:lineRule="exact"/>
        <w:ind w:firstLine="420" w:firstLineChars="200"/>
        <w:rPr>
          <w:color w:val="auto"/>
          <w:highlight w:val="none"/>
        </w:rPr>
      </w:pPr>
      <w:r>
        <w:rPr>
          <w:rFonts w:hint="eastAsia"/>
          <w:color w:val="auto"/>
          <w:highlight w:val="none"/>
        </w:rPr>
        <w:t>投标人拟在中标后将中标项目的部分非主体、非关键性工作进行分包的，应符合投标人须知前附表规定的分包内容、分包金额和接受分包的第三人资质要求等限制性条件。</w:t>
      </w:r>
    </w:p>
    <w:p>
      <w:pPr>
        <w:pStyle w:val="33"/>
        <w:tabs>
          <w:tab w:val="left" w:pos="2620"/>
        </w:tabs>
        <w:rPr>
          <w:rFonts w:ascii="黑体" w:hAnsi="黑体" w:cs="黑体"/>
          <w:b/>
          <w:bCs/>
          <w:color w:val="auto"/>
          <w:sz w:val="21"/>
          <w:szCs w:val="21"/>
          <w:highlight w:val="none"/>
        </w:rPr>
      </w:pPr>
      <w:bookmarkStart w:id="121" w:name="_Toc129618853"/>
      <w:bookmarkStart w:id="122" w:name="_Toc179632559"/>
      <w:r>
        <w:rPr>
          <w:rFonts w:ascii="黑体" w:hAnsi="黑体" w:cs="黑体"/>
          <w:b/>
          <w:bCs/>
          <w:color w:val="auto"/>
          <w:sz w:val="21"/>
          <w:szCs w:val="21"/>
          <w:highlight w:val="none"/>
        </w:rPr>
        <w:t xml:space="preserve">1.12 </w:t>
      </w:r>
      <w:r>
        <w:rPr>
          <w:rFonts w:hint="eastAsia" w:ascii="黑体" w:hAnsi="黑体" w:cs="黑体"/>
          <w:b/>
          <w:bCs/>
          <w:color w:val="auto"/>
          <w:sz w:val="21"/>
          <w:szCs w:val="21"/>
          <w:highlight w:val="none"/>
        </w:rPr>
        <w:t>偏离</w:t>
      </w:r>
      <w:bookmarkEnd w:id="121"/>
      <w:bookmarkEnd w:id="122"/>
    </w:p>
    <w:p>
      <w:pPr>
        <w:spacing w:line="400" w:lineRule="exact"/>
        <w:ind w:firstLine="420" w:firstLineChars="200"/>
        <w:rPr>
          <w:color w:val="auto"/>
          <w:highlight w:val="none"/>
        </w:rPr>
      </w:pPr>
      <w:r>
        <w:rPr>
          <w:rFonts w:hint="eastAsia"/>
          <w:color w:val="auto"/>
          <w:highlight w:val="none"/>
        </w:rPr>
        <w:t>投标人须知前附表允许投标文件偏离招标文件某些要求的，偏离应当符合招标文件规定的偏离范围和幅度。</w:t>
      </w:r>
    </w:p>
    <w:p>
      <w:pPr>
        <w:pStyle w:val="32"/>
        <w:spacing w:before="240" w:beforeLines="100" w:after="120" w:afterLines="50"/>
        <w:rPr>
          <w:rFonts w:ascii="黑体" w:hAnsi="黑体" w:cs="黑体"/>
          <w:b/>
          <w:bCs/>
          <w:color w:val="auto"/>
          <w:sz w:val="24"/>
          <w:szCs w:val="24"/>
          <w:highlight w:val="none"/>
        </w:rPr>
      </w:pPr>
      <w:bookmarkStart w:id="123" w:name="_Toc152045542"/>
      <w:bookmarkStart w:id="124" w:name="_Toc179632560"/>
      <w:bookmarkStart w:id="125" w:name="_Toc152042318"/>
      <w:bookmarkStart w:id="126" w:name="_Toc144974510"/>
      <w:bookmarkStart w:id="127" w:name="_Toc129618854"/>
      <w:r>
        <w:rPr>
          <w:rFonts w:ascii="黑体" w:hAnsi="黑体" w:cs="黑体"/>
          <w:b/>
          <w:bCs/>
          <w:color w:val="auto"/>
          <w:sz w:val="24"/>
          <w:szCs w:val="24"/>
          <w:highlight w:val="none"/>
        </w:rPr>
        <w:t xml:space="preserve">2. </w:t>
      </w:r>
      <w:r>
        <w:rPr>
          <w:rFonts w:hint="eastAsia" w:ascii="黑体" w:hAnsi="黑体" w:cs="黑体"/>
          <w:b/>
          <w:bCs/>
          <w:color w:val="auto"/>
          <w:sz w:val="24"/>
          <w:szCs w:val="24"/>
          <w:highlight w:val="none"/>
        </w:rPr>
        <w:t>招标文件</w:t>
      </w:r>
      <w:bookmarkEnd w:id="123"/>
      <w:bookmarkEnd w:id="124"/>
      <w:bookmarkEnd w:id="125"/>
      <w:bookmarkEnd w:id="126"/>
      <w:bookmarkEnd w:id="127"/>
    </w:p>
    <w:p>
      <w:pPr>
        <w:pStyle w:val="33"/>
        <w:tabs>
          <w:tab w:val="left" w:pos="2620"/>
        </w:tabs>
        <w:spacing w:before="120" w:beforeLines="50" w:after="120" w:afterLines="50"/>
        <w:rPr>
          <w:rFonts w:ascii="黑体" w:hAnsi="黑体" w:cs="黑体"/>
          <w:b/>
          <w:bCs/>
          <w:color w:val="auto"/>
          <w:sz w:val="21"/>
          <w:szCs w:val="21"/>
          <w:highlight w:val="none"/>
        </w:rPr>
      </w:pPr>
      <w:bookmarkStart w:id="128" w:name="_Toc152042319"/>
      <w:bookmarkStart w:id="129" w:name="_Toc152045543"/>
      <w:bookmarkStart w:id="130" w:name="_Toc144974511"/>
      <w:bookmarkStart w:id="131" w:name="_Toc129618855"/>
      <w:bookmarkStart w:id="132" w:name="_Toc179632561"/>
      <w:r>
        <w:rPr>
          <w:rFonts w:ascii="黑体" w:hAnsi="黑体" w:cs="黑体"/>
          <w:b/>
          <w:bCs/>
          <w:color w:val="auto"/>
          <w:sz w:val="21"/>
          <w:szCs w:val="21"/>
          <w:highlight w:val="none"/>
        </w:rPr>
        <w:t xml:space="preserve">2.1 </w:t>
      </w:r>
      <w:r>
        <w:rPr>
          <w:rFonts w:hint="eastAsia" w:ascii="黑体" w:hAnsi="黑体" w:cs="黑体"/>
          <w:b/>
          <w:bCs/>
          <w:color w:val="auto"/>
          <w:sz w:val="21"/>
          <w:szCs w:val="21"/>
          <w:highlight w:val="none"/>
        </w:rPr>
        <w:t>招标文件的组成</w:t>
      </w:r>
      <w:bookmarkEnd w:id="128"/>
      <w:bookmarkEnd w:id="129"/>
      <w:bookmarkEnd w:id="130"/>
      <w:bookmarkEnd w:id="131"/>
      <w:bookmarkEnd w:id="132"/>
    </w:p>
    <w:p>
      <w:pPr>
        <w:spacing w:line="400" w:lineRule="exact"/>
        <w:rPr>
          <w:color w:val="auto"/>
          <w:highlight w:val="none"/>
        </w:rPr>
      </w:pPr>
      <w:r>
        <w:rPr>
          <w:rFonts w:hint="eastAsia"/>
          <w:color w:val="auto"/>
          <w:highlight w:val="none"/>
          <w:lang w:val="en-US" w:eastAsia="zh-CN"/>
        </w:rPr>
        <w:t xml:space="preserve">  </w:t>
      </w:r>
      <w:r>
        <w:rPr>
          <w:rFonts w:hint="eastAsia"/>
          <w:color w:val="auto"/>
          <w:highlight w:val="none"/>
        </w:rPr>
        <w:t>本招标文件包括：</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（1）招标公告（或投标邀请书）；</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（2）投标人须知；</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（3）评标办法；</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（4）合同条款及格式；</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（5）工程量清单；</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（6）图纸；</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（7）技术标准和要求；</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（8）投标文件格式；</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（9）投标人须知前附表规定的其他材料。</w:t>
      </w:r>
    </w:p>
    <w:p>
      <w:pPr>
        <w:spacing w:line="400" w:lineRule="exact"/>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根据本章第1.10款、第2.2款和第2.3款对招标文件所作的澄清、修改，构成招标文件的组成部分。</w:t>
      </w:r>
    </w:p>
    <w:p>
      <w:pPr>
        <w:pStyle w:val="33"/>
        <w:tabs>
          <w:tab w:val="left" w:pos="2620"/>
        </w:tabs>
        <w:spacing w:before="120" w:beforeLines="50" w:after="120" w:afterLines="50"/>
        <w:rPr>
          <w:rFonts w:ascii="黑体" w:hAnsi="黑体" w:cs="黑体"/>
          <w:b/>
          <w:bCs/>
          <w:color w:val="auto"/>
          <w:sz w:val="21"/>
          <w:szCs w:val="21"/>
          <w:highlight w:val="none"/>
        </w:rPr>
      </w:pPr>
      <w:bookmarkStart w:id="133" w:name="_Toc179632562"/>
      <w:bookmarkStart w:id="134" w:name="_Toc152042320"/>
      <w:bookmarkStart w:id="135" w:name="_Toc129618856"/>
      <w:bookmarkStart w:id="136" w:name="_Toc144974512"/>
      <w:bookmarkStart w:id="137" w:name="_Toc152045544"/>
      <w:r>
        <w:rPr>
          <w:rFonts w:ascii="黑体" w:hAnsi="黑体" w:cs="黑体"/>
          <w:b/>
          <w:bCs/>
          <w:color w:val="auto"/>
          <w:sz w:val="21"/>
          <w:szCs w:val="21"/>
          <w:highlight w:val="none"/>
        </w:rPr>
        <w:t xml:space="preserve">2.2 </w:t>
      </w:r>
      <w:r>
        <w:rPr>
          <w:rFonts w:hint="eastAsia" w:ascii="黑体" w:hAnsi="黑体" w:cs="黑体"/>
          <w:b/>
          <w:bCs/>
          <w:color w:val="auto"/>
          <w:sz w:val="21"/>
          <w:szCs w:val="21"/>
          <w:highlight w:val="none"/>
        </w:rPr>
        <w:t>招标文件的澄清</w:t>
      </w:r>
      <w:bookmarkEnd w:id="133"/>
      <w:bookmarkEnd w:id="134"/>
      <w:bookmarkEnd w:id="135"/>
      <w:bookmarkEnd w:id="136"/>
      <w:bookmarkEnd w:id="137"/>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2.2.1投标人应仔细阅读和检查招标文件的全部内容。</w:t>
      </w:r>
      <w:r>
        <w:rPr>
          <w:rFonts w:hint="eastAsia" w:ascii="宋体" w:hAnsi="宋体" w:cs="宋体"/>
          <w:color w:val="auto"/>
          <w:szCs w:val="24"/>
          <w:highlight w:val="none"/>
        </w:rPr>
        <w:t>如发现缺页或附件不全，应及时向招标人提出，以便补齐。</w:t>
      </w:r>
      <w:r>
        <w:rPr>
          <w:rFonts w:hint="eastAsia" w:ascii="宋体" w:hAnsi="宋体" w:cs="宋体"/>
          <w:color w:val="auto"/>
          <w:highlight w:val="none"/>
        </w:rPr>
        <w:t>如有疑问，应在投标人须知前附表规定的时间前以书面形式（包括信函、电报、传真等可以有形地表现所载内容的形式，下同），要求招标人对招标文件予以澄清。</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2.2.2 招标文件的澄清将在投标人须知前附表规定的投标截止时间15天前以书面形式发给所有购买招标文件的投标人，但不指明澄清问题的来源。如果澄清发出的时间距投标截止时间不足15天，相应延长投标截止时间。</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2.2.3 投标人在收到澄清后，应在投标人须知前附表规定的时间内以书面形式通知招标人，确认已收到该澄清。</w:t>
      </w:r>
    </w:p>
    <w:p>
      <w:pPr>
        <w:pStyle w:val="33"/>
        <w:tabs>
          <w:tab w:val="left" w:pos="2620"/>
        </w:tabs>
        <w:spacing w:before="120" w:beforeLines="50" w:after="120" w:afterLines="50"/>
        <w:rPr>
          <w:rFonts w:ascii="黑体" w:hAnsi="黑体" w:cs="黑体"/>
          <w:b/>
          <w:bCs/>
          <w:color w:val="auto"/>
          <w:sz w:val="21"/>
          <w:szCs w:val="21"/>
          <w:highlight w:val="none"/>
        </w:rPr>
      </w:pPr>
      <w:bookmarkStart w:id="138" w:name="_Toc152042321"/>
      <w:bookmarkStart w:id="139" w:name="_Toc144974513"/>
      <w:bookmarkStart w:id="140" w:name="_Toc129618857"/>
      <w:bookmarkStart w:id="141" w:name="_Toc152045545"/>
      <w:bookmarkStart w:id="142" w:name="_Toc179632563"/>
      <w:r>
        <w:rPr>
          <w:rFonts w:ascii="黑体" w:hAnsi="黑体" w:cs="黑体"/>
          <w:b/>
          <w:bCs/>
          <w:color w:val="auto"/>
          <w:sz w:val="21"/>
          <w:szCs w:val="21"/>
          <w:highlight w:val="none"/>
        </w:rPr>
        <w:t xml:space="preserve">2.3 </w:t>
      </w:r>
      <w:r>
        <w:rPr>
          <w:rFonts w:hint="eastAsia" w:ascii="黑体" w:hAnsi="黑体" w:cs="黑体"/>
          <w:b/>
          <w:bCs/>
          <w:color w:val="auto"/>
          <w:sz w:val="21"/>
          <w:szCs w:val="21"/>
          <w:highlight w:val="none"/>
        </w:rPr>
        <w:t>招标文件的修改</w:t>
      </w:r>
      <w:bookmarkEnd w:id="138"/>
      <w:bookmarkEnd w:id="139"/>
      <w:bookmarkEnd w:id="140"/>
      <w:bookmarkEnd w:id="141"/>
      <w:bookmarkEnd w:id="14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2.3.1 在投标截止时间15天前，招标人可以书面形式修改招标文件，并通知所有已购买招标文件的投标人。如果修改招标文件的时间距投标截止时间不足15天，相应延长投标截止时间。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2.3.2 投标人收到修改内容后，应在投标人须知前附表规定的时间内以书面形式通知招标人，确认已收到该修改。</w:t>
      </w:r>
    </w:p>
    <w:p>
      <w:pPr>
        <w:pStyle w:val="32"/>
        <w:spacing w:before="240" w:beforeLines="100" w:after="120" w:afterLines="50"/>
        <w:rPr>
          <w:rFonts w:ascii="黑体" w:hAnsi="黑体" w:cs="黑体"/>
          <w:b/>
          <w:bCs/>
          <w:color w:val="auto"/>
          <w:sz w:val="24"/>
          <w:szCs w:val="24"/>
          <w:highlight w:val="none"/>
        </w:rPr>
      </w:pPr>
      <w:bookmarkStart w:id="143" w:name="_Toc129618858"/>
      <w:bookmarkStart w:id="144" w:name="_Toc179632564"/>
      <w:bookmarkStart w:id="145" w:name="_Toc152042322"/>
      <w:bookmarkStart w:id="146" w:name="_Toc152045546"/>
      <w:bookmarkStart w:id="147" w:name="_Toc144974514"/>
      <w:r>
        <w:rPr>
          <w:rFonts w:ascii="黑体" w:hAnsi="黑体" w:cs="黑体"/>
          <w:b/>
          <w:bCs/>
          <w:color w:val="auto"/>
          <w:sz w:val="24"/>
          <w:szCs w:val="24"/>
          <w:highlight w:val="none"/>
        </w:rPr>
        <w:t xml:space="preserve">3. </w:t>
      </w:r>
      <w:r>
        <w:rPr>
          <w:rFonts w:hint="eastAsia" w:ascii="黑体" w:hAnsi="黑体" w:cs="黑体"/>
          <w:b/>
          <w:bCs/>
          <w:color w:val="auto"/>
          <w:sz w:val="24"/>
          <w:szCs w:val="24"/>
          <w:highlight w:val="none"/>
        </w:rPr>
        <w:t>投标文件</w:t>
      </w:r>
      <w:bookmarkEnd w:id="143"/>
      <w:bookmarkEnd w:id="144"/>
      <w:bookmarkEnd w:id="145"/>
      <w:bookmarkEnd w:id="146"/>
      <w:bookmarkEnd w:id="147"/>
    </w:p>
    <w:p>
      <w:pPr>
        <w:pStyle w:val="33"/>
        <w:tabs>
          <w:tab w:val="left" w:pos="2620"/>
        </w:tabs>
        <w:spacing w:before="120" w:beforeLines="50" w:after="120" w:afterLines="50"/>
        <w:rPr>
          <w:rFonts w:hint="eastAsia" w:ascii="宋体" w:hAnsi="宋体" w:cs="宋体"/>
          <w:color w:val="auto"/>
          <w:highlight w:val="none"/>
        </w:rPr>
      </w:pPr>
      <w:bookmarkStart w:id="148" w:name="_Toc179632565"/>
      <w:bookmarkStart w:id="149" w:name="_Toc152045547"/>
      <w:bookmarkStart w:id="150" w:name="_Toc129618859"/>
      <w:bookmarkStart w:id="151" w:name="_Toc152042323"/>
      <w:bookmarkStart w:id="152" w:name="_Toc144974515"/>
      <w:r>
        <w:rPr>
          <w:rFonts w:ascii="黑体" w:hAnsi="黑体" w:cs="黑体"/>
          <w:b/>
          <w:bCs/>
          <w:color w:val="auto"/>
          <w:sz w:val="21"/>
          <w:szCs w:val="21"/>
          <w:highlight w:val="none"/>
        </w:rPr>
        <w:t xml:space="preserve">3.1 </w:t>
      </w:r>
      <w:r>
        <w:rPr>
          <w:rFonts w:hint="eastAsia" w:ascii="黑体" w:hAnsi="黑体" w:cs="黑体"/>
          <w:b/>
          <w:bCs/>
          <w:color w:val="auto"/>
          <w:sz w:val="21"/>
          <w:szCs w:val="21"/>
          <w:highlight w:val="none"/>
        </w:rPr>
        <w:t>投标文件的组成</w:t>
      </w:r>
      <w:bookmarkEnd w:id="148"/>
      <w:bookmarkEnd w:id="149"/>
      <w:bookmarkEnd w:id="150"/>
      <w:bookmarkEnd w:id="151"/>
      <w:bookmarkEnd w:id="15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3.1.1投标文件应包括下列内容：</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（1）投标函及投标函附录；</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（2）法定代表人（单位负责人）身份证明或附有法定代表人（单位负责人）身份证明的授权委托书；</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（3）联合体协议书；</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（4）投标保证金；</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（5）已标价工程量清单；</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（6）施工组织设计；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（7）项目管理机构；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（8）拟分包项目情况表；</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（9）资格审查资料；</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（10）投标人须知前附表规定的其他材料。</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3.1.2 投标人须知前附表规定不接受联合体投标的，或投标人没有组成联合体的，投标文件不包括本章第3.1.1（3）目所指的联合体协议书。 </w:t>
      </w:r>
    </w:p>
    <w:p>
      <w:pPr>
        <w:pStyle w:val="33"/>
        <w:tabs>
          <w:tab w:val="left" w:pos="2620"/>
        </w:tabs>
        <w:spacing w:before="120" w:beforeLines="50" w:after="120" w:afterLines="50"/>
        <w:rPr>
          <w:rFonts w:ascii="黑体" w:hAnsi="黑体" w:cs="黑体"/>
          <w:b/>
          <w:bCs/>
          <w:color w:val="auto"/>
          <w:sz w:val="21"/>
          <w:szCs w:val="21"/>
          <w:highlight w:val="none"/>
        </w:rPr>
      </w:pPr>
      <w:bookmarkStart w:id="153" w:name="_Toc129618860"/>
      <w:bookmarkStart w:id="154" w:name="_Toc179632566"/>
      <w:bookmarkStart w:id="155" w:name="_Toc152045548"/>
      <w:bookmarkStart w:id="156" w:name="_Toc144974516"/>
      <w:bookmarkStart w:id="157" w:name="_Toc152042324"/>
      <w:r>
        <w:rPr>
          <w:rFonts w:ascii="黑体" w:hAnsi="黑体" w:cs="黑体"/>
          <w:b/>
          <w:bCs/>
          <w:color w:val="auto"/>
          <w:sz w:val="21"/>
          <w:szCs w:val="21"/>
          <w:highlight w:val="none"/>
        </w:rPr>
        <w:t xml:space="preserve">3.2 </w:t>
      </w:r>
      <w:r>
        <w:rPr>
          <w:rFonts w:hint="eastAsia" w:ascii="黑体" w:hAnsi="黑体" w:cs="黑体"/>
          <w:b/>
          <w:bCs/>
          <w:color w:val="auto"/>
          <w:sz w:val="21"/>
          <w:szCs w:val="21"/>
          <w:highlight w:val="none"/>
        </w:rPr>
        <w:t>投标报价</w:t>
      </w:r>
      <w:bookmarkEnd w:id="153"/>
      <w:bookmarkEnd w:id="154"/>
      <w:bookmarkEnd w:id="155"/>
      <w:bookmarkEnd w:id="156"/>
      <w:bookmarkEnd w:id="157"/>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3.2.1 投标人应按“工程量清单”的要求填写相应表格。</w:t>
      </w:r>
    </w:p>
    <w:p>
      <w:pPr>
        <w:spacing w:line="400" w:lineRule="exact"/>
        <w:ind w:firstLine="420" w:firstLineChars="200"/>
        <w:rPr>
          <w:rFonts w:hint="eastAsia" w:ascii="宋体" w:hAnsi="宋体" w:eastAsia="宋体" w:cs="宋体"/>
          <w:color w:val="auto"/>
          <w:highlight w:val="none"/>
          <w:lang w:eastAsia="zh-CN"/>
        </w:rPr>
      </w:pPr>
      <w:r>
        <w:rPr>
          <w:rFonts w:hint="eastAsia" w:ascii="宋体" w:hAnsi="宋体" w:cs="宋体"/>
          <w:color w:val="auto"/>
          <w:highlight w:val="none"/>
        </w:rPr>
        <w:t>3.2.2 投标人在投标截止时间前修改投标函中的投标总报价，应同时修改“工程量清单”中的相应报价。此修改须符合本章第4.3款的有关要求。</w:t>
      </w:r>
      <w:r>
        <w:rPr>
          <w:rFonts w:hint="eastAsia" w:ascii="宋体" w:hAnsi="宋体" w:cs="宋体"/>
          <w:color w:val="auto"/>
          <w:highlight w:val="none"/>
          <w:lang w:eastAsia="zh-CN"/>
        </w:rPr>
        <w:t xml:space="preserve">  </w:t>
      </w:r>
    </w:p>
    <w:p>
      <w:pPr>
        <w:pStyle w:val="33"/>
        <w:tabs>
          <w:tab w:val="left" w:pos="2620"/>
        </w:tabs>
        <w:spacing w:before="120" w:beforeLines="50" w:after="120" w:afterLines="50"/>
        <w:rPr>
          <w:rFonts w:ascii="黑体" w:hAnsi="黑体" w:cs="黑体"/>
          <w:b/>
          <w:bCs/>
          <w:color w:val="auto"/>
          <w:sz w:val="21"/>
          <w:szCs w:val="21"/>
          <w:highlight w:val="none"/>
        </w:rPr>
      </w:pPr>
      <w:bookmarkStart w:id="158" w:name="_Toc152045549"/>
      <w:bookmarkStart w:id="159" w:name="_Toc179632567"/>
      <w:bookmarkStart w:id="160" w:name="_Toc129618861"/>
      <w:bookmarkStart w:id="161" w:name="_Toc144974517"/>
      <w:bookmarkStart w:id="162" w:name="_Toc152042325"/>
      <w:r>
        <w:rPr>
          <w:rFonts w:ascii="黑体" w:hAnsi="黑体" w:cs="黑体"/>
          <w:b/>
          <w:bCs/>
          <w:color w:val="auto"/>
          <w:sz w:val="21"/>
          <w:szCs w:val="21"/>
          <w:highlight w:val="none"/>
        </w:rPr>
        <w:t xml:space="preserve">3.3 </w:t>
      </w:r>
      <w:r>
        <w:rPr>
          <w:rFonts w:hint="eastAsia" w:ascii="黑体" w:hAnsi="黑体" w:cs="黑体"/>
          <w:b/>
          <w:bCs/>
          <w:color w:val="auto"/>
          <w:sz w:val="21"/>
          <w:szCs w:val="21"/>
          <w:highlight w:val="none"/>
        </w:rPr>
        <w:t>投标有效期</w:t>
      </w:r>
      <w:bookmarkEnd w:id="158"/>
      <w:bookmarkEnd w:id="159"/>
      <w:bookmarkEnd w:id="160"/>
      <w:bookmarkEnd w:id="161"/>
      <w:bookmarkEnd w:id="16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3.3.1 在投标人须知前附表规定的投标有效期内，投标人不得要求撤销或修改其投标文件。</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3.3.2出现特殊情况需要延长投标有效期的，招标人以书面形式通知所有投标人延长投标有效期。投标人同意延长的，应相应延长其投标保证金的有效期，但不得要求或被允许修改或撤销其投标文件；投标人拒绝延长的，其投标失效，但投标人有权收回其投标保证金。 </w:t>
      </w:r>
    </w:p>
    <w:p>
      <w:pPr>
        <w:pStyle w:val="33"/>
        <w:tabs>
          <w:tab w:val="left" w:pos="2620"/>
        </w:tabs>
        <w:spacing w:before="120" w:beforeLines="50" w:after="120" w:afterLines="50"/>
        <w:rPr>
          <w:rFonts w:ascii="黑体" w:hAnsi="黑体" w:cs="黑体"/>
          <w:b/>
          <w:bCs/>
          <w:color w:val="auto"/>
          <w:sz w:val="21"/>
          <w:szCs w:val="21"/>
          <w:highlight w:val="none"/>
        </w:rPr>
      </w:pPr>
      <w:bookmarkStart w:id="163" w:name="_Toc129618862"/>
      <w:bookmarkStart w:id="164" w:name="_Toc144974518"/>
      <w:bookmarkStart w:id="165" w:name="_Toc152042326"/>
      <w:bookmarkStart w:id="166" w:name="_Toc179632568"/>
      <w:bookmarkStart w:id="167" w:name="_Toc152045550"/>
      <w:r>
        <w:rPr>
          <w:rFonts w:ascii="黑体" w:hAnsi="黑体" w:cs="黑体"/>
          <w:b/>
          <w:bCs/>
          <w:color w:val="auto"/>
          <w:sz w:val="21"/>
          <w:szCs w:val="21"/>
          <w:highlight w:val="none"/>
        </w:rPr>
        <w:t xml:space="preserve">3.4 </w:t>
      </w:r>
      <w:r>
        <w:rPr>
          <w:rFonts w:hint="eastAsia" w:ascii="黑体" w:hAnsi="黑体" w:cs="黑体"/>
          <w:b/>
          <w:bCs/>
          <w:color w:val="auto"/>
          <w:sz w:val="21"/>
          <w:szCs w:val="21"/>
          <w:highlight w:val="none"/>
        </w:rPr>
        <w:t>投标保证金</w:t>
      </w:r>
      <w:bookmarkEnd w:id="163"/>
      <w:bookmarkEnd w:id="164"/>
      <w:bookmarkEnd w:id="165"/>
      <w:bookmarkEnd w:id="166"/>
      <w:bookmarkEnd w:id="167"/>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3.4.1 投标人在递交投标文件的同时，应按投标人须知前附表规定的金额、担保形式和第</w:t>
      </w:r>
      <w:r>
        <w:rPr>
          <w:rFonts w:hint="eastAsia" w:ascii="宋体" w:hAnsi="宋体" w:cs="宋体"/>
          <w:color w:val="auto"/>
          <w:highlight w:val="none"/>
          <w:lang w:val="en-US" w:eastAsia="zh-CN"/>
        </w:rPr>
        <w:t>八</w:t>
      </w:r>
      <w:r>
        <w:rPr>
          <w:rFonts w:hint="eastAsia" w:ascii="宋体" w:hAnsi="宋体" w:cs="宋体"/>
          <w:color w:val="auto"/>
          <w:highlight w:val="none"/>
        </w:rPr>
        <w:t>章“投标文件格式”规定的投标保证金格式递交投标保证金，并作为其投标文件的组成部分。联合体投标的，其投标保证金由牵头人递交，并应符合投标人须知前附表的规定。</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3.4.2 投标人不按本章第3.4.1项要求提交投标保证金的，其投标文件作否决处理。</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3.4.3 招标人与中标人签订合同后5个工作日内，向未中标的投标人和中标人退还投标保证金。</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3.4.4 有下列情形之一的，投标保证金将不予退还：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（1）投标人在规定的投标有效期内撤销或修改其投标文件；</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（2）中标人在收到中标通知书后，无正当理由拒签合同协议书或未按招标文件规定提交履约担保。</w:t>
      </w:r>
    </w:p>
    <w:p>
      <w:pPr>
        <w:pStyle w:val="33"/>
        <w:tabs>
          <w:tab w:val="left" w:pos="2620"/>
        </w:tabs>
        <w:spacing w:before="120" w:beforeLines="50" w:after="120" w:afterLines="50"/>
        <w:rPr>
          <w:rFonts w:ascii="黑体" w:hAnsi="黑体" w:cs="黑体"/>
          <w:b/>
          <w:bCs/>
          <w:color w:val="auto"/>
          <w:sz w:val="21"/>
          <w:szCs w:val="21"/>
          <w:highlight w:val="none"/>
        </w:rPr>
      </w:pPr>
      <w:bookmarkStart w:id="168" w:name="_Toc144974520"/>
      <w:bookmarkStart w:id="169" w:name="_Toc129618863"/>
      <w:bookmarkStart w:id="170" w:name="_Toc152045552"/>
      <w:bookmarkStart w:id="171" w:name="_Toc152042328"/>
      <w:bookmarkStart w:id="172" w:name="_Toc179632570"/>
      <w:r>
        <w:rPr>
          <w:rFonts w:ascii="黑体" w:hAnsi="黑体" w:cs="黑体"/>
          <w:b/>
          <w:bCs/>
          <w:color w:val="auto"/>
          <w:sz w:val="21"/>
          <w:szCs w:val="21"/>
          <w:highlight w:val="none"/>
        </w:rPr>
        <w:t xml:space="preserve">3.5 </w:t>
      </w:r>
      <w:r>
        <w:rPr>
          <w:rFonts w:hint="eastAsia" w:ascii="黑体" w:hAnsi="黑体" w:cs="黑体"/>
          <w:b/>
          <w:bCs/>
          <w:color w:val="auto"/>
          <w:sz w:val="21"/>
          <w:szCs w:val="21"/>
          <w:highlight w:val="none"/>
        </w:rPr>
        <w:t>资格审查资料</w:t>
      </w:r>
      <w:bookmarkEnd w:id="168"/>
      <w:bookmarkEnd w:id="169"/>
      <w:bookmarkEnd w:id="170"/>
      <w:bookmarkEnd w:id="171"/>
      <w:bookmarkEnd w:id="17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3.5.1 “投标人基本情况表”应附投标人营业执照副本及其年检合格的证明材料、资质证书副本和安全生产许可证等材料的复印件。</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3.5.2 “近年财务状况表”应附经会计师事务所或审计机构审计的财务会计报表，包括资产负债表、现金流量表、利润表和财务情况说明书的复印件，具体年份要求见投标人须知前附表。</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3.5.3 “近年完成的类似项目情况表”应附中标通知书和（或）合同协议书、工程接收证书（工程竣工验收证书）的复印件，具体年份要求见投标人须知前附表。每张表格只填写一个项目，并标明序号。</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3.5.4 “正在施工和新承接的项目情况表”应附中标通知书和（或）合同协议书复印件。每张表格只填写一个项目，并标明序号。</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3.5.5 “近年发生的诉讼及仲裁情况”应说明相关情况，并附法院或仲裁机构作出的判决、裁决等有关法律文书复印件，具体年份要求见投标人须知前附表。</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3.5.6 投标人须知前附表规定接受联合体投标的，本章第3.5.1项至第3.5.5项规定的表格和资料应包括联合体各方相关情况。</w:t>
      </w:r>
    </w:p>
    <w:p>
      <w:pPr>
        <w:pStyle w:val="33"/>
        <w:tabs>
          <w:tab w:val="left" w:pos="2620"/>
        </w:tabs>
        <w:spacing w:before="120" w:beforeLines="50" w:after="120" w:afterLines="50"/>
        <w:rPr>
          <w:rFonts w:ascii="黑体" w:hAnsi="黑体" w:cs="黑体"/>
          <w:b/>
          <w:bCs/>
          <w:color w:val="auto"/>
          <w:sz w:val="21"/>
          <w:szCs w:val="21"/>
          <w:highlight w:val="none"/>
        </w:rPr>
      </w:pPr>
      <w:bookmarkStart w:id="173" w:name="_Toc129618864"/>
      <w:bookmarkStart w:id="174" w:name="_Toc144974521"/>
      <w:bookmarkStart w:id="175" w:name="_Toc179632571"/>
      <w:bookmarkStart w:id="176" w:name="_Toc152045553"/>
      <w:bookmarkStart w:id="177" w:name="_Toc152042329"/>
      <w:r>
        <w:rPr>
          <w:rFonts w:ascii="黑体" w:hAnsi="黑体" w:cs="黑体"/>
          <w:b/>
          <w:bCs/>
          <w:color w:val="auto"/>
          <w:sz w:val="21"/>
          <w:szCs w:val="21"/>
          <w:highlight w:val="none"/>
        </w:rPr>
        <w:t xml:space="preserve">3.6 </w:t>
      </w:r>
      <w:r>
        <w:rPr>
          <w:rFonts w:hint="eastAsia" w:ascii="黑体" w:hAnsi="黑体" w:cs="黑体"/>
          <w:b/>
          <w:bCs/>
          <w:color w:val="auto"/>
          <w:sz w:val="21"/>
          <w:szCs w:val="21"/>
          <w:highlight w:val="none"/>
        </w:rPr>
        <w:t>备选投标方案</w:t>
      </w:r>
      <w:bookmarkEnd w:id="173"/>
      <w:bookmarkEnd w:id="174"/>
      <w:bookmarkEnd w:id="175"/>
      <w:bookmarkEnd w:id="176"/>
      <w:bookmarkEnd w:id="177"/>
    </w:p>
    <w:p>
      <w:pPr>
        <w:spacing w:line="400" w:lineRule="exact"/>
        <w:ind w:firstLine="420" w:firstLineChars="200"/>
        <w:rPr>
          <w:color w:val="auto"/>
          <w:highlight w:val="none"/>
        </w:rPr>
      </w:pPr>
      <w:r>
        <w:rPr>
          <w:rFonts w:hint="eastAsia"/>
          <w:color w:val="auto"/>
          <w:highlight w:val="none"/>
        </w:rPr>
        <w:t>除投标人须知前附表另有规定外，投标人不得递交备选投标方案。允许投标人递交备选投标方案的，只有中标人所递交的备选投标方案方可予以考虑。评标委员会认为中标人的备选投标方案优于其按照招标文件要求编制的投标方案的，招标人可以接受该备选投标方案。</w:t>
      </w:r>
    </w:p>
    <w:p>
      <w:pPr>
        <w:pStyle w:val="33"/>
        <w:tabs>
          <w:tab w:val="left" w:pos="2620"/>
        </w:tabs>
        <w:spacing w:before="120" w:beforeLines="50" w:after="120" w:afterLines="50"/>
        <w:rPr>
          <w:rFonts w:ascii="黑体" w:hAnsi="黑体" w:cs="黑体"/>
          <w:b/>
          <w:bCs/>
          <w:color w:val="auto"/>
          <w:sz w:val="21"/>
          <w:szCs w:val="21"/>
          <w:highlight w:val="none"/>
        </w:rPr>
      </w:pPr>
      <w:bookmarkStart w:id="178" w:name="_Toc152045554"/>
      <w:bookmarkStart w:id="179" w:name="_Toc152042330"/>
      <w:bookmarkStart w:id="180" w:name="_Toc179632572"/>
      <w:bookmarkStart w:id="181" w:name="_Toc129618865"/>
      <w:bookmarkStart w:id="182" w:name="_Toc144974522"/>
      <w:r>
        <w:rPr>
          <w:rFonts w:ascii="黑体" w:hAnsi="黑体" w:cs="黑体"/>
          <w:b/>
          <w:bCs/>
          <w:color w:val="auto"/>
          <w:sz w:val="21"/>
          <w:szCs w:val="21"/>
          <w:highlight w:val="none"/>
        </w:rPr>
        <w:t xml:space="preserve">3.7 </w:t>
      </w:r>
      <w:r>
        <w:rPr>
          <w:rFonts w:hint="eastAsia" w:ascii="黑体" w:hAnsi="黑体" w:cs="黑体"/>
          <w:b/>
          <w:bCs/>
          <w:color w:val="auto"/>
          <w:sz w:val="21"/>
          <w:szCs w:val="21"/>
          <w:highlight w:val="none"/>
        </w:rPr>
        <w:t>投标文件的编制</w:t>
      </w:r>
      <w:bookmarkEnd w:id="178"/>
      <w:bookmarkEnd w:id="179"/>
      <w:bookmarkEnd w:id="180"/>
      <w:bookmarkEnd w:id="181"/>
      <w:bookmarkEnd w:id="18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3.7.1投标文件应按第</w:t>
      </w:r>
      <w:r>
        <w:rPr>
          <w:rFonts w:hint="eastAsia" w:ascii="宋体" w:hAnsi="宋体" w:cs="宋体"/>
          <w:color w:val="auto"/>
          <w:highlight w:val="none"/>
          <w:lang w:val="en-US" w:eastAsia="zh-CN"/>
        </w:rPr>
        <w:t>八</w:t>
      </w:r>
      <w:r>
        <w:rPr>
          <w:rFonts w:hint="eastAsia" w:ascii="宋体" w:hAnsi="宋体" w:cs="宋体"/>
          <w:color w:val="auto"/>
          <w:highlight w:val="none"/>
        </w:rPr>
        <w:t>章“投标文件格式”进行编写，如有必要，可以增加附页，作为投标文件的组成部分。其中，投标函附录在满足招标文件实质性要求的基础上，可以提出比招标文件要求更有利于招标人的承诺。</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3.7.2 投标文件应当对招标文件有关工期、投标有效期、质量要求、技术标准和要求、招标范围等实质性内容作出响应。</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3.7.3投标文件应用不褪色的材料书写或打印，并由投标人的法定代表人（单位负责人）或其委托代理人签字或盖单位章。委托代理人签字的，投标文件应附法定代表人（单位负责人）签署的授权委托书。投标文件应尽量避免涂改、行间插字或删除。如果出现上述情况，改动之处应加盖单位章或由投标人的法定代表人（单位负责人）或其授权的代理人签字确认。签字或盖章的具体要求见投标人须知前附表。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3.7.4 投标文件正本一份, 副本份数见投标人须知前附表。正本和副本的封面上应清楚地标记“正本”或“副本”的字样。当副本和正本不一致时，以正本为准。</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3.7.5 投标文件的正本与副本应分别装订成册，并编制目录，具体装订要求见投标人须知前附表规定。</w:t>
      </w:r>
    </w:p>
    <w:p>
      <w:pPr>
        <w:pStyle w:val="32"/>
        <w:spacing w:before="240" w:beforeLines="100" w:after="120" w:afterLines="50"/>
        <w:rPr>
          <w:rFonts w:ascii="黑体" w:hAnsi="黑体" w:cs="黑体"/>
          <w:b/>
          <w:bCs/>
          <w:color w:val="auto"/>
          <w:sz w:val="24"/>
          <w:szCs w:val="24"/>
          <w:highlight w:val="none"/>
        </w:rPr>
      </w:pPr>
      <w:bookmarkStart w:id="183" w:name="_Toc144974523"/>
      <w:bookmarkStart w:id="184" w:name="_Toc179632573"/>
      <w:bookmarkStart w:id="185" w:name="_Toc152045555"/>
      <w:bookmarkStart w:id="186" w:name="_Toc129618866"/>
      <w:bookmarkStart w:id="187" w:name="_Toc152042331"/>
      <w:r>
        <w:rPr>
          <w:rFonts w:ascii="黑体" w:hAnsi="黑体" w:cs="黑体"/>
          <w:b/>
          <w:bCs/>
          <w:color w:val="auto"/>
          <w:sz w:val="24"/>
          <w:szCs w:val="24"/>
          <w:highlight w:val="none"/>
        </w:rPr>
        <w:t xml:space="preserve">4. </w:t>
      </w:r>
      <w:r>
        <w:rPr>
          <w:rFonts w:hint="eastAsia" w:ascii="黑体" w:hAnsi="黑体" w:cs="黑体"/>
          <w:b/>
          <w:bCs/>
          <w:color w:val="auto"/>
          <w:sz w:val="24"/>
          <w:szCs w:val="24"/>
          <w:highlight w:val="none"/>
        </w:rPr>
        <w:t>投标</w:t>
      </w:r>
      <w:bookmarkEnd w:id="183"/>
      <w:bookmarkEnd w:id="184"/>
      <w:bookmarkEnd w:id="185"/>
      <w:bookmarkEnd w:id="186"/>
      <w:bookmarkEnd w:id="187"/>
    </w:p>
    <w:p>
      <w:pPr>
        <w:pStyle w:val="33"/>
        <w:tabs>
          <w:tab w:val="left" w:pos="2620"/>
        </w:tabs>
        <w:spacing w:before="120" w:beforeLines="50" w:after="120" w:afterLines="50"/>
        <w:rPr>
          <w:rFonts w:ascii="黑体" w:hAnsi="黑体" w:cs="黑体"/>
          <w:b/>
          <w:bCs/>
          <w:color w:val="auto"/>
          <w:sz w:val="21"/>
          <w:szCs w:val="21"/>
          <w:highlight w:val="none"/>
        </w:rPr>
      </w:pPr>
      <w:bookmarkStart w:id="188" w:name="_Toc152045556"/>
      <w:bookmarkStart w:id="189" w:name="_Toc129618867"/>
      <w:bookmarkStart w:id="190" w:name="_Toc179632574"/>
      <w:bookmarkStart w:id="191" w:name="_Toc144974524"/>
      <w:bookmarkStart w:id="192" w:name="_Toc152042332"/>
      <w:r>
        <w:rPr>
          <w:rFonts w:ascii="黑体" w:hAnsi="黑体" w:cs="黑体"/>
          <w:b/>
          <w:bCs/>
          <w:color w:val="auto"/>
          <w:sz w:val="21"/>
          <w:szCs w:val="21"/>
          <w:highlight w:val="none"/>
        </w:rPr>
        <w:t xml:space="preserve">4.1 </w:t>
      </w:r>
      <w:r>
        <w:rPr>
          <w:rFonts w:hint="eastAsia" w:ascii="黑体" w:hAnsi="黑体" w:cs="黑体"/>
          <w:b/>
          <w:bCs/>
          <w:color w:val="auto"/>
          <w:sz w:val="21"/>
          <w:szCs w:val="21"/>
          <w:highlight w:val="none"/>
        </w:rPr>
        <w:t>投标文件的密封和标记</w:t>
      </w:r>
      <w:bookmarkEnd w:id="188"/>
      <w:bookmarkEnd w:id="189"/>
      <w:bookmarkEnd w:id="190"/>
      <w:bookmarkEnd w:id="191"/>
      <w:bookmarkEnd w:id="19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4.1.1投标文件的正本与副本应分开包装，加贴封条，并在封套的封口处加盖投标人单位章。</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4.1.2 投标文件的封套上应清楚地标记“正本”或“副本”字样，封套上应写明的其他内容见投标人须知前附表。</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4.1.3 未按本章第4.1.1项或第4.1.2项要求密封和加写标记的投标文件，招标人不予受理。</w:t>
      </w:r>
    </w:p>
    <w:p>
      <w:pPr>
        <w:pStyle w:val="33"/>
        <w:tabs>
          <w:tab w:val="left" w:pos="2620"/>
        </w:tabs>
        <w:spacing w:before="120" w:beforeLines="50" w:after="120" w:afterLines="50"/>
        <w:rPr>
          <w:rFonts w:ascii="黑体" w:hAnsi="黑体" w:cs="黑体"/>
          <w:b/>
          <w:bCs/>
          <w:color w:val="auto"/>
          <w:sz w:val="21"/>
          <w:szCs w:val="21"/>
          <w:highlight w:val="none"/>
        </w:rPr>
      </w:pPr>
      <w:bookmarkStart w:id="193" w:name="_Toc152042333"/>
      <w:bookmarkStart w:id="194" w:name="_Toc144974525"/>
      <w:bookmarkStart w:id="195" w:name="_Toc179632575"/>
      <w:bookmarkStart w:id="196" w:name="_Toc129618868"/>
      <w:bookmarkStart w:id="197" w:name="_Toc152045557"/>
      <w:r>
        <w:rPr>
          <w:rFonts w:ascii="黑体" w:hAnsi="黑体" w:cs="黑体"/>
          <w:b/>
          <w:bCs/>
          <w:color w:val="auto"/>
          <w:sz w:val="21"/>
          <w:szCs w:val="21"/>
          <w:highlight w:val="none"/>
        </w:rPr>
        <w:t xml:space="preserve">4.2 </w:t>
      </w:r>
      <w:r>
        <w:rPr>
          <w:rFonts w:hint="eastAsia" w:ascii="黑体" w:hAnsi="黑体" w:cs="黑体"/>
          <w:b/>
          <w:bCs/>
          <w:color w:val="auto"/>
          <w:sz w:val="21"/>
          <w:szCs w:val="21"/>
          <w:highlight w:val="none"/>
        </w:rPr>
        <w:t>投标文件的递交</w:t>
      </w:r>
      <w:bookmarkEnd w:id="193"/>
      <w:bookmarkEnd w:id="194"/>
      <w:bookmarkEnd w:id="195"/>
      <w:bookmarkEnd w:id="196"/>
      <w:bookmarkEnd w:id="197"/>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4.2.1 投标人应在本章第2.2.2项规定的投标截止时间前递交投标文件。</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4.2.2 投标人递交投标文件的地点：见投标人须知前附表。</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4.2.3 除投标人须知前附表另有规定外，投标人所递交的投标文件不予退还。</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4.2.4 招标人收到投标文件后，向投标人出具签收凭证。</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4.2.5 逾期送达的或者未送达指定地点的投标文件，招标人不予受理。</w:t>
      </w:r>
    </w:p>
    <w:p>
      <w:pPr>
        <w:pStyle w:val="33"/>
        <w:tabs>
          <w:tab w:val="left" w:pos="2620"/>
        </w:tabs>
        <w:spacing w:before="120" w:beforeLines="50" w:after="120" w:afterLines="50"/>
        <w:rPr>
          <w:rFonts w:ascii="黑体" w:hAnsi="黑体" w:cs="黑体"/>
          <w:b/>
          <w:bCs/>
          <w:color w:val="auto"/>
          <w:sz w:val="21"/>
          <w:szCs w:val="21"/>
          <w:highlight w:val="none"/>
        </w:rPr>
      </w:pPr>
      <w:bookmarkStart w:id="198" w:name="_Toc152042334"/>
      <w:bookmarkStart w:id="199" w:name="_Toc144974526"/>
      <w:bookmarkStart w:id="200" w:name="_Toc129618869"/>
      <w:bookmarkStart w:id="201" w:name="_Toc179632576"/>
      <w:bookmarkStart w:id="202" w:name="_Toc152045558"/>
      <w:r>
        <w:rPr>
          <w:rFonts w:ascii="黑体" w:hAnsi="黑体" w:cs="黑体"/>
          <w:b/>
          <w:bCs/>
          <w:color w:val="auto"/>
          <w:sz w:val="21"/>
          <w:szCs w:val="21"/>
          <w:highlight w:val="none"/>
        </w:rPr>
        <w:t xml:space="preserve">4.3 </w:t>
      </w:r>
      <w:r>
        <w:rPr>
          <w:rFonts w:hint="eastAsia" w:ascii="黑体" w:hAnsi="黑体" w:cs="黑体"/>
          <w:b/>
          <w:bCs/>
          <w:color w:val="auto"/>
          <w:sz w:val="21"/>
          <w:szCs w:val="21"/>
          <w:highlight w:val="none"/>
        </w:rPr>
        <w:t>投标文件的修改与撤回</w:t>
      </w:r>
      <w:bookmarkEnd w:id="198"/>
      <w:bookmarkEnd w:id="199"/>
      <w:bookmarkEnd w:id="200"/>
      <w:bookmarkEnd w:id="201"/>
      <w:bookmarkEnd w:id="20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4.3.1 在本章第2.2.2项规定的投标截止时间前，投标人可以修改或撤回已递交的投标文件，但应以书面形式通知招标人。</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4.3.2 投标人修改或撤回已递交投标文件的书面通知应按照本章第3.7.3项的要求签字或盖章。招标人收到书面通知后，向投标人出具签收凭证。</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4.3.3 修改的内容为投标文件的组成部分。修改的投标文件应按照本章第3条、第4条规定进行编制、密封、标记和递交，并标明“修改”字样。</w:t>
      </w:r>
    </w:p>
    <w:p>
      <w:pPr>
        <w:pStyle w:val="32"/>
        <w:spacing w:before="240" w:beforeLines="100" w:after="120" w:afterLines="50"/>
        <w:rPr>
          <w:rFonts w:ascii="黑体" w:hAnsi="黑体" w:cs="黑体"/>
          <w:b/>
          <w:bCs/>
          <w:color w:val="auto"/>
          <w:sz w:val="24"/>
          <w:szCs w:val="24"/>
          <w:highlight w:val="none"/>
        </w:rPr>
      </w:pPr>
      <w:bookmarkStart w:id="203" w:name="_Toc179632577"/>
      <w:bookmarkStart w:id="204" w:name="_Toc129618870"/>
      <w:bookmarkStart w:id="205" w:name="_Toc152042335"/>
      <w:bookmarkStart w:id="206" w:name="_Toc144974527"/>
      <w:bookmarkStart w:id="207" w:name="_Toc152045559"/>
      <w:r>
        <w:rPr>
          <w:rFonts w:ascii="黑体" w:hAnsi="黑体" w:cs="黑体"/>
          <w:b/>
          <w:bCs/>
          <w:color w:val="auto"/>
          <w:sz w:val="24"/>
          <w:szCs w:val="24"/>
          <w:highlight w:val="none"/>
        </w:rPr>
        <w:t xml:space="preserve">5. </w:t>
      </w:r>
      <w:r>
        <w:rPr>
          <w:rFonts w:hint="eastAsia" w:ascii="黑体" w:hAnsi="黑体" w:cs="黑体"/>
          <w:b/>
          <w:bCs/>
          <w:color w:val="auto"/>
          <w:sz w:val="24"/>
          <w:szCs w:val="24"/>
          <w:highlight w:val="none"/>
        </w:rPr>
        <w:t>开标</w:t>
      </w:r>
      <w:bookmarkEnd w:id="203"/>
      <w:bookmarkEnd w:id="204"/>
      <w:bookmarkEnd w:id="205"/>
      <w:bookmarkEnd w:id="206"/>
      <w:bookmarkEnd w:id="207"/>
    </w:p>
    <w:p>
      <w:pPr>
        <w:pStyle w:val="33"/>
        <w:tabs>
          <w:tab w:val="left" w:pos="2620"/>
        </w:tabs>
        <w:spacing w:before="120" w:beforeLines="50" w:after="120" w:afterLines="50"/>
        <w:rPr>
          <w:rFonts w:ascii="黑体" w:hAnsi="黑体" w:cs="黑体"/>
          <w:b/>
          <w:bCs/>
          <w:color w:val="auto"/>
          <w:sz w:val="21"/>
          <w:szCs w:val="21"/>
          <w:highlight w:val="none"/>
        </w:rPr>
      </w:pPr>
      <w:bookmarkStart w:id="208" w:name="_Toc129618871"/>
      <w:bookmarkStart w:id="209" w:name="_Toc152045560"/>
      <w:bookmarkStart w:id="210" w:name="_Toc144974528"/>
      <w:bookmarkStart w:id="211" w:name="_Toc179632578"/>
      <w:bookmarkStart w:id="212" w:name="_Toc152042336"/>
      <w:r>
        <w:rPr>
          <w:rFonts w:ascii="黑体" w:hAnsi="黑体" w:cs="黑体"/>
          <w:b/>
          <w:bCs/>
          <w:color w:val="auto"/>
          <w:sz w:val="21"/>
          <w:szCs w:val="21"/>
          <w:highlight w:val="none"/>
        </w:rPr>
        <w:t xml:space="preserve">5.1 </w:t>
      </w:r>
      <w:r>
        <w:rPr>
          <w:rFonts w:hint="eastAsia" w:ascii="黑体" w:hAnsi="黑体" w:cs="黑体"/>
          <w:b/>
          <w:bCs/>
          <w:color w:val="auto"/>
          <w:sz w:val="21"/>
          <w:szCs w:val="21"/>
          <w:highlight w:val="none"/>
        </w:rPr>
        <w:t>开标时间和地点</w:t>
      </w:r>
      <w:bookmarkEnd w:id="208"/>
      <w:bookmarkEnd w:id="209"/>
      <w:bookmarkEnd w:id="210"/>
      <w:bookmarkEnd w:id="211"/>
      <w:bookmarkEnd w:id="212"/>
    </w:p>
    <w:p>
      <w:pPr>
        <w:spacing w:line="400" w:lineRule="exact"/>
        <w:ind w:firstLine="420" w:firstLineChars="200"/>
        <w:rPr>
          <w:color w:val="auto"/>
          <w:highlight w:val="none"/>
        </w:rPr>
      </w:pPr>
      <w:r>
        <w:rPr>
          <w:rFonts w:hint="eastAsia"/>
          <w:color w:val="auto"/>
          <w:highlight w:val="none"/>
        </w:rPr>
        <w:t>招标人在本章第</w:t>
      </w:r>
      <w:r>
        <w:rPr>
          <w:rFonts w:hint="eastAsia" w:ascii="宋体" w:hAnsi="宋体" w:eastAsia="宋体" w:cs="宋体"/>
          <w:color w:val="auto"/>
          <w:highlight w:val="none"/>
        </w:rPr>
        <w:t>2.2.2</w:t>
      </w:r>
      <w:r>
        <w:rPr>
          <w:rFonts w:hint="eastAsia"/>
          <w:color w:val="auto"/>
          <w:highlight w:val="none"/>
        </w:rPr>
        <w:t>项规定的投标截止时间（开标时间）和投标人须知前附表规定的地点公开开标，并邀请所有投标人的法定代表人（单位负责人）或其委托代理人准时参加。</w:t>
      </w:r>
    </w:p>
    <w:p>
      <w:pPr>
        <w:pStyle w:val="33"/>
        <w:tabs>
          <w:tab w:val="left" w:pos="2620"/>
        </w:tabs>
        <w:spacing w:before="120" w:beforeLines="50" w:after="120" w:afterLines="50"/>
        <w:rPr>
          <w:rFonts w:ascii="黑体" w:hAnsi="黑体" w:cs="黑体"/>
          <w:b/>
          <w:bCs/>
          <w:color w:val="auto"/>
          <w:sz w:val="21"/>
          <w:szCs w:val="21"/>
          <w:highlight w:val="none"/>
        </w:rPr>
      </w:pPr>
      <w:bookmarkStart w:id="213" w:name="_Toc179632579"/>
      <w:bookmarkStart w:id="214" w:name="_Toc129618872"/>
      <w:bookmarkStart w:id="215" w:name="_Toc152042337"/>
      <w:bookmarkStart w:id="216" w:name="_Toc152045561"/>
      <w:bookmarkStart w:id="217" w:name="_Toc144974529"/>
      <w:r>
        <w:rPr>
          <w:rFonts w:ascii="黑体" w:hAnsi="黑体" w:cs="黑体"/>
          <w:b/>
          <w:bCs/>
          <w:color w:val="auto"/>
          <w:sz w:val="21"/>
          <w:szCs w:val="21"/>
          <w:highlight w:val="none"/>
        </w:rPr>
        <w:t xml:space="preserve">5.2 </w:t>
      </w:r>
      <w:r>
        <w:rPr>
          <w:rFonts w:hint="eastAsia" w:ascii="黑体" w:hAnsi="黑体" w:cs="黑体"/>
          <w:b/>
          <w:bCs/>
          <w:color w:val="auto"/>
          <w:sz w:val="21"/>
          <w:szCs w:val="21"/>
          <w:highlight w:val="none"/>
        </w:rPr>
        <w:t>开标程序</w:t>
      </w:r>
      <w:bookmarkEnd w:id="213"/>
      <w:bookmarkEnd w:id="214"/>
      <w:bookmarkEnd w:id="215"/>
      <w:bookmarkEnd w:id="216"/>
      <w:bookmarkEnd w:id="217"/>
    </w:p>
    <w:p>
      <w:pPr>
        <w:spacing w:line="400" w:lineRule="exact"/>
        <w:ind w:firstLine="420" w:firstLineChars="200"/>
        <w:rPr>
          <w:color w:val="auto"/>
          <w:highlight w:val="none"/>
        </w:rPr>
      </w:pPr>
      <w:r>
        <w:rPr>
          <w:rFonts w:hint="eastAsia"/>
          <w:color w:val="auto"/>
          <w:highlight w:val="none"/>
        </w:rPr>
        <w:t>主持人按下列程序进行开标：</w:t>
      </w:r>
    </w:p>
    <w:p>
      <w:pPr>
        <w:spacing w:line="400" w:lineRule="exact"/>
        <w:ind w:firstLine="359" w:firstLineChars="171"/>
        <w:rPr>
          <w:color w:val="auto"/>
          <w:highlight w:val="none"/>
        </w:rPr>
      </w:pPr>
      <w:r>
        <w:rPr>
          <w:rFonts w:hint="eastAsia"/>
          <w:color w:val="auto"/>
          <w:highlight w:val="none"/>
        </w:rPr>
        <w:t>（1）宣布开标纪律；</w:t>
      </w:r>
    </w:p>
    <w:p>
      <w:pPr>
        <w:spacing w:line="400" w:lineRule="exact"/>
        <w:ind w:firstLine="359" w:firstLineChars="171"/>
        <w:rPr>
          <w:color w:val="auto"/>
          <w:highlight w:val="none"/>
        </w:rPr>
      </w:pPr>
      <w:r>
        <w:rPr>
          <w:rFonts w:hint="eastAsia"/>
          <w:color w:val="auto"/>
          <w:highlight w:val="none"/>
        </w:rPr>
        <w:t>（2）公布在投标截止时间前递交投标文件的投标人名称，并点名确认投标人是否派人到场；</w:t>
      </w:r>
    </w:p>
    <w:p>
      <w:pPr>
        <w:spacing w:line="400" w:lineRule="exact"/>
        <w:ind w:firstLine="359" w:firstLineChars="171"/>
        <w:rPr>
          <w:color w:val="auto"/>
          <w:highlight w:val="none"/>
        </w:rPr>
      </w:pPr>
      <w:r>
        <w:rPr>
          <w:rFonts w:hint="eastAsia"/>
          <w:color w:val="auto"/>
          <w:highlight w:val="none"/>
        </w:rPr>
        <w:t>（3）宣布开标人、唱标人、记录人、监标人等有关人员姓名；</w:t>
      </w:r>
    </w:p>
    <w:p>
      <w:pPr>
        <w:spacing w:line="400" w:lineRule="exact"/>
        <w:ind w:firstLine="359" w:firstLineChars="171"/>
        <w:rPr>
          <w:color w:val="auto"/>
          <w:highlight w:val="none"/>
        </w:rPr>
      </w:pPr>
      <w:r>
        <w:rPr>
          <w:rFonts w:hint="eastAsia"/>
          <w:color w:val="auto"/>
          <w:highlight w:val="none"/>
        </w:rPr>
        <w:t>（4）按照投标人须知前附表规定检查投标文件的密封情况；</w:t>
      </w:r>
    </w:p>
    <w:p>
      <w:pPr>
        <w:spacing w:line="400" w:lineRule="exact"/>
        <w:ind w:firstLine="359" w:firstLineChars="171"/>
        <w:rPr>
          <w:color w:val="auto"/>
          <w:highlight w:val="none"/>
        </w:rPr>
      </w:pPr>
      <w:r>
        <w:rPr>
          <w:rFonts w:hint="eastAsia"/>
          <w:color w:val="auto"/>
          <w:highlight w:val="none"/>
        </w:rPr>
        <w:t xml:space="preserve">（5）按照投标人须知前附表的规定确定并宣布投标文件开标顺序； </w:t>
      </w:r>
    </w:p>
    <w:p>
      <w:pPr>
        <w:spacing w:line="400" w:lineRule="exact"/>
        <w:ind w:firstLine="359" w:firstLineChars="171"/>
        <w:rPr>
          <w:color w:val="auto"/>
          <w:highlight w:val="none"/>
        </w:rPr>
      </w:pPr>
      <w:r>
        <w:rPr>
          <w:rFonts w:hint="eastAsia"/>
          <w:color w:val="auto"/>
          <w:highlight w:val="none"/>
        </w:rPr>
        <w:t>（</w:t>
      </w:r>
      <w:r>
        <w:rPr>
          <w:rFonts w:hint="eastAsia"/>
          <w:color w:val="auto"/>
          <w:highlight w:val="none"/>
          <w:lang w:val="en-US" w:eastAsia="zh-CN"/>
        </w:rPr>
        <w:t>6</w:t>
      </w:r>
      <w:r>
        <w:rPr>
          <w:rFonts w:hint="eastAsia"/>
          <w:color w:val="auto"/>
          <w:highlight w:val="none"/>
        </w:rPr>
        <w:t>）按照宣布的开标顺序当众开标，公布投标人名称、标段名称、投标保证金的递交情况、投标报价、质量目标、工期及其他内容，并记录在案；</w:t>
      </w:r>
    </w:p>
    <w:p>
      <w:pPr>
        <w:spacing w:line="400" w:lineRule="exact"/>
        <w:ind w:firstLine="359" w:firstLineChars="171"/>
        <w:rPr>
          <w:color w:val="auto"/>
          <w:highlight w:val="none"/>
        </w:rPr>
      </w:pPr>
      <w:r>
        <w:rPr>
          <w:rFonts w:hint="eastAsia"/>
          <w:color w:val="auto"/>
          <w:highlight w:val="none"/>
        </w:rPr>
        <w:t>（</w:t>
      </w:r>
      <w:r>
        <w:rPr>
          <w:rFonts w:hint="eastAsia"/>
          <w:color w:val="auto"/>
          <w:highlight w:val="none"/>
          <w:lang w:val="en-US" w:eastAsia="zh-CN"/>
        </w:rPr>
        <w:t>7</w:t>
      </w:r>
      <w:r>
        <w:rPr>
          <w:rFonts w:hint="eastAsia"/>
          <w:color w:val="auto"/>
          <w:highlight w:val="none"/>
        </w:rPr>
        <w:t>）投标人代表、招标人代表、监标人、记录人等有关人员在开标记录上签字确认；</w:t>
      </w:r>
    </w:p>
    <w:p>
      <w:pPr>
        <w:spacing w:line="400" w:lineRule="exact"/>
        <w:ind w:firstLine="359" w:firstLineChars="171"/>
        <w:rPr>
          <w:color w:val="auto"/>
          <w:highlight w:val="none"/>
        </w:rPr>
      </w:pPr>
      <w:r>
        <w:rPr>
          <w:rFonts w:hint="eastAsia"/>
          <w:color w:val="auto"/>
          <w:highlight w:val="none"/>
        </w:rPr>
        <w:t>（</w:t>
      </w:r>
      <w:r>
        <w:rPr>
          <w:rFonts w:hint="eastAsia"/>
          <w:color w:val="auto"/>
          <w:highlight w:val="none"/>
          <w:lang w:val="en-US" w:eastAsia="zh-CN"/>
        </w:rPr>
        <w:t>8</w:t>
      </w:r>
      <w:r>
        <w:rPr>
          <w:rFonts w:hint="eastAsia"/>
          <w:color w:val="auto"/>
          <w:highlight w:val="none"/>
        </w:rPr>
        <w:t>）开标结束。</w:t>
      </w:r>
    </w:p>
    <w:p>
      <w:pPr>
        <w:pStyle w:val="32"/>
        <w:spacing w:before="240" w:beforeLines="100" w:after="120" w:afterLines="50"/>
        <w:rPr>
          <w:rFonts w:ascii="黑体" w:hAnsi="黑体" w:cs="黑体"/>
          <w:b/>
          <w:bCs/>
          <w:color w:val="auto"/>
          <w:sz w:val="24"/>
          <w:szCs w:val="24"/>
          <w:highlight w:val="none"/>
        </w:rPr>
      </w:pPr>
      <w:bookmarkStart w:id="218" w:name="_Toc152042338"/>
      <w:bookmarkStart w:id="219" w:name="_Toc179632580"/>
      <w:bookmarkStart w:id="220" w:name="_Toc144974530"/>
      <w:bookmarkStart w:id="221" w:name="_Toc129618873"/>
      <w:bookmarkStart w:id="222" w:name="_Toc152045562"/>
      <w:r>
        <w:rPr>
          <w:rFonts w:ascii="黑体" w:hAnsi="黑体" w:cs="黑体"/>
          <w:b/>
          <w:bCs/>
          <w:color w:val="auto"/>
          <w:sz w:val="24"/>
          <w:szCs w:val="24"/>
          <w:highlight w:val="none"/>
        </w:rPr>
        <w:t xml:space="preserve">6. </w:t>
      </w:r>
      <w:r>
        <w:rPr>
          <w:rFonts w:hint="eastAsia" w:ascii="黑体" w:hAnsi="黑体" w:cs="黑体"/>
          <w:b/>
          <w:bCs/>
          <w:color w:val="auto"/>
          <w:sz w:val="24"/>
          <w:szCs w:val="24"/>
          <w:highlight w:val="none"/>
        </w:rPr>
        <w:t>评标</w:t>
      </w:r>
      <w:bookmarkEnd w:id="218"/>
      <w:bookmarkEnd w:id="219"/>
      <w:bookmarkEnd w:id="220"/>
      <w:bookmarkEnd w:id="221"/>
      <w:bookmarkEnd w:id="222"/>
    </w:p>
    <w:p>
      <w:pPr>
        <w:pStyle w:val="33"/>
        <w:tabs>
          <w:tab w:val="left" w:pos="2620"/>
        </w:tabs>
        <w:spacing w:before="120" w:beforeLines="50" w:after="120" w:afterLines="50"/>
        <w:rPr>
          <w:rFonts w:ascii="黑体" w:hAnsi="黑体" w:cs="黑体"/>
          <w:b/>
          <w:bCs/>
          <w:color w:val="auto"/>
          <w:sz w:val="21"/>
          <w:szCs w:val="21"/>
          <w:highlight w:val="none"/>
        </w:rPr>
      </w:pPr>
      <w:bookmarkStart w:id="223" w:name="_Toc144974531"/>
      <w:bookmarkStart w:id="224" w:name="_Toc152045563"/>
      <w:bookmarkStart w:id="225" w:name="_Toc129618874"/>
      <w:bookmarkStart w:id="226" w:name="_Toc152042339"/>
      <w:bookmarkStart w:id="227" w:name="_Toc179632581"/>
      <w:r>
        <w:rPr>
          <w:rFonts w:ascii="黑体" w:hAnsi="黑体" w:cs="黑体"/>
          <w:b/>
          <w:bCs/>
          <w:color w:val="auto"/>
          <w:sz w:val="21"/>
          <w:szCs w:val="21"/>
          <w:highlight w:val="none"/>
        </w:rPr>
        <w:t xml:space="preserve">6.1 </w:t>
      </w:r>
      <w:r>
        <w:rPr>
          <w:rFonts w:hint="eastAsia" w:ascii="黑体" w:hAnsi="黑体" w:cs="黑体"/>
          <w:b/>
          <w:bCs/>
          <w:color w:val="auto"/>
          <w:sz w:val="21"/>
          <w:szCs w:val="21"/>
          <w:highlight w:val="none"/>
        </w:rPr>
        <w:t>评标委员会</w:t>
      </w:r>
      <w:bookmarkEnd w:id="223"/>
      <w:bookmarkEnd w:id="224"/>
      <w:bookmarkEnd w:id="225"/>
      <w:bookmarkEnd w:id="226"/>
      <w:bookmarkEnd w:id="227"/>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6.1.2 评标委员会成员有下列情形之一的，应当回避：</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（1）招标人或投标人的主要负责人的近亲属；</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（2）项目主管部门或者行政监督部门的人员；</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（3）与投标人有经济利益关系，可能影响对投标公正评审的；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（4）曾因在招标、评标以及其他与招标投标有关活动中从事违法行为而受过行政处罚或刑事处罚的。</w:t>
      </w:r>
    </w:p>
    <w:p>
      <w:pPr>
        <w:pStyle w:val="33"/>
        <w:tabs>
          <w:tab w:val="left" w:pos="2620"/>
        </w:tabs>
        <w:spacing w:before="120" w:beforeLines="50" w:after="120" w:afterLines="50"/>
        <w:rPr>
          <w:color w:val="auto"/>
          <w:highlight w:val="none"/>
        </w:rPr>
      </w:pPr>
      <w:bookmarkStart w:id="228" w:name="_Toc129618875"/>
      <w:bookmarkStart w:id="229" w:name="_Toc152042340"/>
      <w:bookmarkStart w:id="230" w:name="_Toc179632582"/>
      <w:bookmarkStart w:id="231" w:name="_Toc152045564"/>
      <w:bookmarkStart w:id="232" w:name="_Toc144974532"/>
      <w:r>
        <w:rPr>
          <w:rFonts w:ascii="黑体" w:hAnsi="黑体" w:cs="黑体"/>
          <w:b/>
          <w:bCs/>
          <w:color w:val="auto"/>
          <w:sz w:val="21"/>
          <w:szCs w:val="21"/>
          <w:highlight w:val="none"/>
        </w:rPr>
        <w:t xml:space="preserve">6.2 </w:t>
      </w:r>
      <w:r>
        <w:rPr>
          <w:rFonts w:hint="eastAsia" w:ascii="黑体" w:hAnsi="黑体" w:cs="黑体"/>
          <w:b/>
          <w:bCs/>
          <w:color w:val="auto"/>
          <w:sz w:val="21"/>
          <w:szCs w:val="21"/>
          <w:highlight w:val="none"/>
        </w:rPr>
        <w:t>评标原则</w:t>
      </w:r>
      <w:bookmarkEnd w:id="228"/>
      <w:bookmarkEnd w:id="229"/>
      <w:bookmarkEnd w:id="230"/>
      <w:bookmarkEnd w:id="231"/>
      <w:bookmarkEnd w:id="232"/>
      <w:r>
        <w:rPr>
          <w:color w:val="auto"/>
          <w:highlight w:val="none"/>
        </w:rPr>
        <w:tab/>
      </w:r>
    </w:p>
    <w:p>
      <w:pPr>
        <w:spacing w:line="400" w:lineRule="exact"/>
        <w:ind w:firstLine="420" w:firstLineChars="200"/>
        <w:rPr>
          <w:color w:val="auto"/>
          <w:highlight w:val="none"/>
        </w:rPr>
      </w:pPr>
      <w:r>
        <w:rPr>
          <w:rFonts w:hint="eastAsia"/>
          <w:color w:val="auto"/>
          <w:highlight w:val="none"/>
        </w:rPr>
        <w:t>评标活动遵循公平、公正、科学和择优的原则。</w:t>
      </w:r>
    </w:p>
    <w:p>
      <w:pPr>
        <w:pStyle w:val="33"/>
        <w:spacing w:before="120" w:beforeLines="50" w:after="120" w:afterLines="50"/>
        <w:rPr>
          <w:rFonts w:ascii="黑体" w:hAnsi="黑体" w:cs="黑体"/>
          <w:b/>
          <w:bCs/>
          <w:color w:val="auto"/>
          <w:sz w:val="21"/>
          <w:szCs w:val="21"/>
          <w:highlight w:val="none"/>
        </w:rPr>
      </w:pPr>
      <w:bookmarkStart w:id="233" w:name="_Toc152042341"/>
      <w:bookmarkStart w:id="234" w:name="_Toc152045565"/>
      <w:bookmarkStart w:id="235" w:name="_Toc129618876"/>
      <w:bookmarkStart w:id="236" w:name="_Toc179632583"/>
      <w:bookmarkStart w:id="237" w:name="_Toc144974533"/>
      <w:r>
        <w:rPr>
          <w:rFonts w:ascii="黑体" w:hAnsi="黑体" w:cs="黑体"/>
          <w:b/>
          <w:bCs/>
          <w:color w:val="auto"/>
          <w:sz w:val="21"/>
          <w:szCs w:val="21"/>
          <w:highlight w:val="none"/>
        </w:rPr>
        <w:t xml:space="preserve">6.3 </w:t>
      </w:r>
      <w:r>
        <w:rPr>
          <w:rFonts w:hint="eastAsia" w:ascii="黑体" w:hAnsi="黑体" w:cs="黑体"/>
          <w:b/>
          <w:bCs/>
          <w:color w:val="auto"/>
          <w:sz w:val="21"/>
          <w:szCs w:val="21"/>
          <w:highlight w:val="none"/>
        </w:rPr>
        <w:t>评标</w:t>
      </w:r>
      <w:bookmarkEnd w:id="233"/>
      <w:bookmarkEnd w:id="234"/>
      <w:bookmarkEnd w:id="235"/>
      <w:bookmarkEnd w:id="236"/>
      <w:bookmarkEnd w:id="237"/>
    </w:p>
    <w:p>
      <w:pPr>
        <w:spacing w:line="400" w:lineRule="exact"/>
        <w:ind w:firstLine="420" w:firstLineChars="200"/>
        <w:rPr>
          <w:color w:val="auto"/>
          <w:highlight w:val="none"/>
        </w:rPr>
      </w:pPr>
      <w:r>
        <w:rPr>
          <w:rFonts w:hint="eastAsia"/>
          <w:color w:val="auto"/>
          <w:highlight w:val="none"/>
        </w:rPr>
        <w:t>评标委员会按照第三章“评标办法”规定的方法、评审因素、标准和程序对投标文件进行评审。第三章“评标办法”没有规定的方法、评审因素和标准，不作为评标依据。</w:t>
      </w:r>
    </w:p>
    <w:p>
      <w:pPr>
        <w:pStyle w:val="32"/>
        <w:spacing w:before="240" w:beforeLines="100" w:after="120" w:afterLines="50"/>
        <w:rPr>
          <w:rFonts w:ascii="黑体" w:hAnsi="黑体" w:cs="黑体"/>
          <w:b/>
          <w:bCs/>
          <w:color w:val="auto"/>
          <w:sz w:val="24"/>
          <w:szCs w:val="24"/>
          <w:highlight w:val="none"/>
        </w:rPr>
      </w:pPr>
      <w:bookmarkStart w:id="238" w:name="_Toc129618877"/>
      <w:bookmarkStart w:id="239" w:name="_Toc179632584"/>
      <w:bookmarkStart w:id="240" w:name="_Toc152045566"/>
      <w:bookmarkStart w:id="241" w:name="_Toc144974534"/>
      <w:bookmarkStart w:id="242" w:name="_Toc152042342"/>
      <w:r>
        <w:rPr>
          <w:rFonts w:ascii="黑体" w:hAnsi="黑体" w:cs="黑体"/>
          <w:b/>
          <w:bCs/>
          <w:color w:val="auto"/>
          <w:sz w:val="24"/>
          <w:szCs w:val="24"/>
          <w:highlight w:val="none"/>
        </w:rPr>
        <w:t xml:space="preserve">7. </w:t>
      </w:r>
      <w:r>
        <w:rPr>
          <w:rFonts w:hint="eastAsia" w:ascii="黑体" w:hAnsi="黑体" w:cs="黑体"/>
          <w:b/>
          <w:bCs/>
          <w:color w:val="auto"/>
          <w:sz w:val="24"/>
          <w:szCs w:val="24"/>
          <w:highlight w:val="none"/>
        </w:rPr>
        <w:t>合同授予</w:t>
      </w:r>
      <w:bookmarkEnd w:id="238"/>
      <w:bookmarkEnd w:id="239"/>
      <w:bookmarkEnd w:id="240"/>
      <w:bookmarkEnd w:id="241"/>
      <w:bookmarkEnd w:id="242"/>
    </w:p>
    <w:p>
      <w:pPr>
        <w:pStyle w:val="33"/>
        <w:spacing w:before="120" w:beforeLines="50" w:after="120" w:afterLines="50"/>
        <w:rPr>
          <w:rFonts w:ascii="黑体" w:hAnsi="黑体" w:cs="黑体"/>
          <w:b/>
          <w:bCs/>
          <w:color w:val="auto"/>
          <w:sz w:val="21"/>
          <w:szCs w:val="21"/>
          <w:highlight w:val="none"/>
        </w:rPr>
      </w:pPr>
      <w:bookmarkStart w:id="243" w:name="_Toc129618878"/>
      <w:bookmarkStart w:id="244" w:name="_Toc179632585"/>
      <w:bookmarkStart w:id="245" w:name="_Toc152042343"/>
      <w:bookmarkStart w:id="246" w:name="_Toc152045567"/>
      <w:bookmarkStart w:id="247" w:name="_Toc144974535"/>
      <w:r>
        <w:rPr>
          <w:rFonts w:ascii="黑体" w:hAnsi="黑体" w:cs="黑体"/>
          <w:b/>
          <w:bCs/>
          <w:color w:val="auto"/>
          <w:sz w:val="21"/>
          <w:szCs w:val="21"/>
          <w:highlight w:val="none"/>
        </w:rPr>
        <w:t xml:space="preserve">7.1 </w:t>
      </w:r>
      <w:r>
        <w:rPr>
          <w:rFonts w:hint="eastAsia" w:ascii="黑体" w:hAnsi="黑体" w:cs="黑体"/>
          <w:b/>
          <w:bCs/>
          <w:color w:val="auto"/>
          <w:sz w:val="21"/>
          <w:szCs w:val="21"/>
          <w:highlight w:val="none"/>
        </w:rPr>
        <w:t>定标方式</w:t>
      </w:r>
      <w:bookmarkEnd w:id="243"/>
      <w:bookmarkEnd w:id="244"/>
      <w:bookmarkEnd w:id="245"/>
      <w:bookmarkEnd w:id="246"/>
      <w:bookmarkEnd w:id="247"/>
    </w:p>
    <w:p>
      <w:pPr>
        <w:spacing w:line="400" w:lineRule="exact"/>
        <w:ind w:firstLine="420" w:firstLineChars="200"/>
        <w:rPr>
          <w:color w:val="auto"/>
          <w:highlight w:val="none"/>
        </w:rPr>
      </w:pPr>
      <w:r>
        <w:rPr>
          <w:rFonts w:hint="eastAsia"/>
          <w:color w:val="auto"/>
          <w:highlight w:val="none"/>
        </w:rPr>
        <w:t>除投标人须知前附表规定评标委员会直接确定中标人外，招标人依据评标委员会推荐的中标候选人确定中标人，评标委员会推荐中标候选人的人数见投标人须知前附表。</w:t>
      </w:r>
    </w:p>
    <w:p>
      <w:pPr>
        <w:pStyle w:val="33"/>
        <w:spacing w:before="120" w:beforeLines="50" w:after="120" w:afterLines="50"/>
        <w:rPr>
          <w:rFonts w:ascii="黑体" w:hAnsi="黑体" w:cs="黑体"/>
          <w:b/>
          <w:bCs/>
          <w:color w:val="auto"/>
          <w:sz w:val="21"/>
          <w:szCs w:val="21"/>
          <w:highlight w:val="none"/>
        </w:rPr>
      </w:pPr>
      <w:bookmarkStart w:id="248" w:name="_Toc179632586"/>
      <w:bookmarkStart w:id="249" w:name="_Toc129618879"/>
      <w:bookmarkStart w:id="250" w:name="_Toc152045568"/>
      <w:bookmarkStart w:id="251" w:name="_Toc152042344"/>
      <w:bookmarkStart w:id="252" w:name="_Toc144974536"/>
      <w:r>
        <w:rPr>
          <w:rFonts w:ascii="黑体" w:hAnsi="黑体" w:cs="黑体"/>
          <w:b/>
          <w:bCs/>
          <w:color w:val="auto"/>
          <w:sz w:val="21"/>
          <w:szCs w:val="21"/>
          <w:highlight w:val="none"/>
        </w:rPr>
        <w:t>7.2 中标候选人公示</w:t>
      </w:r>
    </w:p>
    <w:p>
      <w:pPr>
        <w:ind w:firstLine="420" w:firstLineChars="200"/>
        <w:rPr>
          <w:rFonts w:ascii="宋体" w:hAnsi="宋体" w:cs="宋体"/>
          <w:color w:val="auto"/>
          <w:szCs w:val="21"/>
          <w:highlight w:val="none"/>
        </w:rPr>
      </w:pPr>
      <w:r>
        <w:rPr>
          <w:rFonts w:ascii="宋体" w:hAnsi="宋体" w:cs="宋体"/>
          <w:color w:val="auto"/>
          <w:szCs w:val="21"/>
          <w:highlight w:val="none"/>
        </w:rPr>
        <w:t>招标人在投标人须知前附表规定的媒介公示中标候选人。</w:t>
      </w:r>
    </w:p>
    <w:p>
      <w:pPr>
        <w:pStyle w:val="33"/>
        <w:spacing w:before="120" w:beforeLines="50" w:after="120" w:afterLines="50"/>
        <w:rPr>
          <w:rFonts w:ascii="黑体" w:hAnsi="黑体" w:cs="黑体"/>
          <w:b/>
          <w:bCs/>
          <w:color w:val="auto"/>
          <w:sz w:val="21"/>
          <w:szCs w:val="21"/>
          <w:highlight w:val="none"/>
        </w:rPr>
      </w:pPr>
      <w:r>
        <w:rPr>
          <w:rFonts w:ascii="黑体" w:hAnsi="黑体" w:cs="黑体"/>
          <w:b/>
          <w:bCs/>
          <w:color w:val="auto"/>
          <w:sz w:val="21"/>
          <w:szCs w:val="21"/>
          <w:highlight w:val="none"/>
        </w:rPr>
        <w:t>7.</w:t>
      </w:r>
      <w:r>
        <w:rPr>
          <w:rFonts w:hint="eastAsia" w:ascii="黑体" w:hAnsi="黑体" w:cs="黑体"/>
          <w:b/>
          <w:bCs/>
          <w:color w:val="auto"/>
          <w:sz w:val="21"/>
          <w:szCs w:val="21"/>
          <w:highlight w:val="none"/>
        </w:rPr>
        <w:t>3</w:t>
      </w:r>
      <w:r>
        <w:rPr>
          <w:rFonts w:ascii="黑体" w:hAnsi="黑体" w:cs="黑体"/>
          <w:b/>
          <w:bCs/>
          <w:color w:val="auto"/>
          <w:sz w:val="21"/>
          <w:szCs w:val="21"/>
          <w:highlight w:val="none"/>
        </w:rPr>
        <w:t xml:space="preserve"> </w:t>
      </w:r>
      <w:r>
        <w:rPr>
          <w:rFonts w:hint="eastAsia" w:ascii="黑体" w:hAnsi="黑体" w:cs="黑体"/>
          <w:b/>
          <w:bCs/>
          <w:color w:val="auto"/>
          <w:sz w:val="21"/>
          <w:szCs w:val="21"/>
          <w:highlight w:val="none"/>
        </w:rPr>
        <w:t>中标通知</w:t>
      </w:r>
      <w:bookmarkEnd w:id="248"/>
      <w:bookmarkEnd w:id="249"/>
      <w:bookmarkEnd w:id="250"/>
      <w:bookmarkEnd w:id="251"/>
      <w:bookmarkEnd w:id="252"/>
    </w:p>
    <w:p>
      <w:pPr>
        <w:spacing w:line="400" w:lineRule="exact"/>
        <w:ind w:firstLine="420" w:firstLineChars="200"/>
        <w:rPr>
          <w:color w:val="auto"/>
          <w:highlight w:val="none"/>
        </w:rPr>
      </w:pPr>
      <w:r>
        <w:rPr>
          <w:rFonts w:hint="eastAsia"/>
          <w:color w:val="auto"/>
          <w:highlight w:val="none"/>
        </w:rPr>
        <w:t>在本章第</w:t>
      </w:r>
      <w:r>
        <w:rPr>
          <w:rFonts w:hint="eastAsia" w:ascii="宋体" w:hAnsi="宋体" w:eastAsia="宋体" w:cs="宋体"/>
          <w:color w:val="auto"/>
          <w:highlight w:val="none"/>
        </w:rPr>
        <w:t>3.3</w:t>
      </w:r>
      <w:r>
        <w:rPr>
          <w:rFonts w:hint="eastAsia"/>
          <w:color w:val="auto"/>
          <w:highlight w:val="none"/>
        </w:rPr>
        <w:t>款规定的投标有效期内，招标人以书面形式向中标人发出中标通知书，同时将中标结果通知未中标的投标人。</w:t>
      </w:r>
    </w:p>
    <w:p>
      <w:pPr>
        <w:pStyle w:val="33"/>
        <w:spacing w:before="120" w:beforeLines="50" w:after="120" w:afterLines="50"/>
        <w:rPr>
          <w:rFonts w:ascii="黑体" w:hAnsi="黑体" w:cs="黑体"/>
          <w:b/>
          <w:bCs/>
          <w:color w:val="auto"/>
          <w:sz w:val="21"/>
          <w:szCs w:val="21"/>
          <w:highlight w:val="none"/>
        </w:rPr>
      </w:pPr>
      <w:bookmarkStart w:id="253" w:name="_Toc144974537"/>
      <w:bookmarkStart w:id="254" w:name="_Toc129618880"/>
      <w:bookmarkStart w:id="255" w:name="_Toc152042345"/>
      <w:bookmarkStart w:id="256" w:name="_Toc152045569"/>
      <w:bookmarkStart w:id="257" w:name="_Toc179632587"/>
      <w:r>
        <w:rPr>
          <w:rFonts w:ascii="黑体" w:hAnsi="黑体" w:cs="黑体"/>
          <w:b/>
          <w:bCs/>
          <w:color w:val="auto"/>
          <w:sz w:val="21"/>
          <w:szCs w:val="21"/>
          <w:highlight w:val="none"/>
        </w:rPr>
        <w:t>7.</w:t>
      </w:r>
      <w:r>
        <w:rPr>
          <w:rFonts w:hint="eastAsia" w:ascii="黑体" w:hAnsi="黑体" w:cs="黑体"/>
          <w:b/>
          <w:bCs/>
          <w:color w:val="auto"/>
          <w:sz w:val="21"/>
          <w:szCs w:val="21"/>
          <w:highlight w:val="none"/>
        </w:rPr>
        <w:t>4</w:t>
      </w:r>
      <w:r>
        <w:rPr>
          <w:rFonts w:ascii="黑体" w:hAnsi="黑体" w:cs="黑体"/>
          <w:b/>
          <w:bCs/>
          <w:color w:val="auto"/>
          <w:sz w:val="21"/>
          <w:szCs w:val="21"/>
          <w:highlight w:val="none"/>
        </w:rPr>
        <w:t xml:space="preserve"> </w:t>
      </w:r>
      <w:r>
        <w:rPr>
          <w:rFonts w:hint="eastAsia" w:ascii="黑体" w:hAnsi="黑体" w:cs="黑体"/>
          <w:b/>
          <w:bCs/>
          <w:color w:val="auto"/>
          <w:sz w:val="21"/>
          <w:szCs w:val="21"/>
          <w:highlight w:val="none"/>
        </w:rPr>
        <w:t>履约担保</w:t>
      </w:r>
      <w:bookmarkEnd w:id="253"/>
      <w:bookmarkEnd w:id="254"/>
      <w:bookmarkEnd w:id="255"/>
      <w:bookmarkEnd w:id="256"/>
      <w:bookmarkEnd w:id="257"/>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7.4.1在签订合同前，中标人应按投标人须知前附表规定的金额、担保形式和招标文件第四章“合同条款及格式”规定的履约担保格式向招标人提交履约担保。联合体中标的，其履约担保由牵头人递交，并应符合投标人须知前附表规定的金额、担保形式和招标文件第四章“合同条款及格式”规定的履约担保格式要求。</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7.4.2 中标人不能按本章第7.3.1项要求提交履约担保的，视为放弃中标，其投标保证金不予退还，给招标人造成的损失超过投标保证金数额的，中标人还应当对超过部分予以赔偿。</w:t>
      </w:r>
    </w:p>
    <w:p>
      <w:pPr>
        <w:pStyle w:val="33"/>
        <w:spacing w:before="120" w:beforeLines="50" w:after="120" w:afterLines="50"/>
        <w:rPr>
          <w:rFonts w:ascii="黑体" w:hAnsi="黑体" w:cs="黑体"/>
          <w:b/>
          <w:bCs/>
          <w:color w:val="auto"/>
          <w:sz w:val="21"/>
          <w:szCs w:val="21"/>
          <w:highlight w:val="none"/>
        </w:rPr>
      </w:pPr>
      <w:bookmarkStart w:id="258" w:name="_Toc129618881"/>
      <w:bookmarkStart w:id="259" w:name="_Toc144974538"/>
      <w:bookmarkStart w:id="260" w:name="_Toc152045570"/>
      <w:bookmarkStart w:id="261" w:name="_Toc179632588"/>
      <w:bookmarkStart w:id="262" w:name="_Toc152042346"/>
      <w:r>
        <w:rPr>
          <w:rFonts w:ascii="黑体" w:hAnsi="黑体" w:cs="黑体"/>
          <w:b/>
          <w:bCs/>
          <w:color w:val="auto"/>
          <w:sz w:val="21"/>
          <w:szCs w:val="21"/>
          <w:highlight w:val="none"/>
        </w:rPr>
        <w:t>7.</w:t>
      </w:r>
      <w:r>
        <w:rPr>
          <w:rFonts w:hint="eastAsia" w:ascii="黑体" w:hAnsi="黑体" w:cs="黑体"/>
          <w:b/>
          <w:bCs/>
          <w:color w:val="auto"/>
          <w:sz w:val="21"/>
          <w:szCs w:val="21"/>
          <w:highlight w:val="none"/>
        </w:rPr>
        <w:t>5</w:t>
      </w:r>
      <w:r>
        <w:rPr>
          <w:rFonts w:ascii="黑体" w:hAnsi="黑体" w:cs="黑体"/>
          <w:b/>
          <w:bCs/>
          <w:color w:val="auto"/>
          <w:sz w:val="21"/>
          <w:szCs w:val="21"/>
          <w:highlight w:val="none"/>
        </w:rPr>
        <w:t xml:space="preserve"> </w:t>
      </w:r>
      <w:r>
        <w:rPr>
          <w:rFonts w:hint="eastAsia" w:ascii="黑体" w:hAnsi="黑体" w:cs="黑体"/>
          <w:b/>
          <w:bCs/>
          <w:color w:val="auto"/>
          <w:sz w:val="21"/>
          <w:szCs w:val="21"/>
          <w:highlight w:val="none"/>
        </w:rPr>
        <w:t>签订合同</w:t>
      </w:r>
      <w:bookmarkEnd w:id="258"/>
      <w:bookmarkEnd w:id="259"/>
      <w:bookmarkEnd w:id="260"/>
      <w:bookmarkEnd w:id="261"/>
      <w:bookmarkEnd w:id="26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7.5.1招标人和中标人应当自中标通知书发出之日起30天内，根据招标文件和中标人的投标文件订立书面合同。中标人无正当理由拒签合同的，招标人取消其中标资格，其投标保证金不予退还；给招标人造成的损失超过投标保证金数额的，中标人还应当对超过部分予以赔偿。 </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 xml:space="preserve">7.5.2 发出中标通知书后，招标人无正当理由拒签合同的，招标人向中标人退还投标保证金；给中标人造成损失的，还应当赔偿损失。 </w:t>
      </w:r>
    </w:p>
    <w:p>
      <w:pPr>
        <w:pStyle w:val="32"/>
        <w:spacing w:before="240" w:beforeLines="100" w:after="120" w:afterLines="50"/>
        <w:rPr>
          <w:rFonts w:ascii="黑体" w:hAnsi="黑体" w:cs="黑体"/>
          <w:b/>
          <w:bCs/>
          <w:color w:val="auto"/>
          <w:sz w:val="24"/>
          <w:szCs w:val="24"/>
          <w:highlight w:val="none"/>
        </w:rPr>
      </w:pPr>
      <w:bookmarkStart w:id="263" w:name="_Toc129618882"/>
      <w:bookmarkStart w:id="264" w:name="_Toc179632589"/>
      <w:bookmarkStart w:id="265" w:name="_Toc144974539"/>
      <w:bookmarkStart w:id="266" w:name="_Toc152045571"/>
      <w:bookmarkStart w:id="267" w:name="_Toc152042347"/>
      <w:r>
        <w:rPr>
          <w:rFonts w:ascii="黑体" w:hAnsi="黑体" w:cs="黑体"/>
          <w:b/>
          <w:bCs/>
          <w:color w:val="auto"/>
          <w:sz w:val="24"/>
          <w:szCs w:val="24"/>
          <w:highlight w:val="none"/>
        </w:rPr>
        <w:t xml:space="preserve">8. </w:t>
      </w:r>
      <w:r>
        <w:rPr>
          <w:rFonts w:hint="eastAsia" w:ascii="黑体" w:hAnsi="黑体" w:cs="黑体"/>
          <w:b/>
          <w:bCs/>
          <w:color w:val="auto"/>
          <w:sz w:val="24"/>
          <w:szCs w:val="24"/>
          <w:highlight w:val="none"/>
        </w:rPr>
        <w:t>重新招标和不再招标</w:t>
      </w:r>
      <w:bookmarkEnd w:id="263"/>
      <w:bookmarkEnd w:id="264"/>
      <w:bookmarkEnd w:id="265"/>
      <w:bookmarkEnd w:id="266"/>
      <w:bookmarkEnd w:id="267"/>
    </w:p>
    <w:p>
      <w:pPr>
        <w:pStyle w:val="33"/>
        <w:spacing w:before="120" w:beforeLines="50" w:after="120" w:afterLines="50"/>
        <w:rPr>
          <w:rFonts w:ascii="黑体" w:hAnsi="黑体" w:cs="黑体"/>
          <w:b/>
          <w:bCs/>
          <w:color w:val="auto"/>
          <w:sz w:val="21"/>
          <w:szCs w:val="21"/>
          <w:highlight w:val="none"/>
        </w:rPr>
      </w:pPr>
      <w:bookmarkStart w:id="268" w:name="_Toc152042348"/>
      <w:bookmarkStart w:id="269" w:name="_Toc144974540"/>
      <w:bookmarkStart w:id="270" w:name="_Toc179632590"/>
      <w:bookmarkStart w:id="271" w:name="_Toc152045572"/>
      <w:bookmarkStart w:id="272" w:name="_Toc129618883"/>
      <w:r>
        <w:rPr>
          <w:rFonts w:ascii="黑体" w:hAnsi="黑体" w:cs="黑体"/>
          <w:b/>
          <w:bCs/>
          <w:color w:val="auto"/>
          <w:sz w:val="21"/>
          <w:szCs w:val="21"/>
          <w:highlight w:val="none"/>
        </w:rPr>
        <w:t xml:space="preserve">8.1 </w:t>
      </w:r>
      <w:r>
        <w:rPr>
          <w:rFonts w:hint="eastAsia" w:ascii="黑体" w:hAnsi="黑体" w:cs="黑体"/>
          <w:b/>
          <w:bCs/>
          <w:color w:val="auto"/>
          <w:sz w:val="21"/>
          <w:szCs w:val="21"/>
          <w:highlight w:val="none"/>
        </w:rPr>
        <w:t>重新招标</w:t>
      </w:r>
      <w:bookmarkEnd w:id="268"/>
      <w:bookmarkEnd w:id="269"/>
      <w:bookmarkEnd w:id="270"/>
      <w:bookmarkEnd w:id="271"/>
      <w:bookmarkEnd w:id="272"/>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有下列情形之一的，招标人将重新招标：</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（1）投标截止时间止，投标人少于3个的；</w:t>
      </w:r>
    </w:p>
    <w:p>
      <w:pPr>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（2）经评标委员会评审后否决所有投标的。</w:t>
      </w:r>
    </w:p>
    <w:p>
      <w:pPr>
        <w:pStyle w:val="33"/>
        <w:spacing w:before="120" w:beforeLines="50" w:after="120" w:afterLines="50"/>
        <w:rPr>
          <w:rFonts w:ascii="黑体" w:hAnsi="黑体" w:cs="黑体"/>
          <w:b/>
          <w:bCs/>
          <w:color w:val="auto"/>
          <w:sz w:val="21"/>
          <w:szCs w:val="21"/>
          <w:highlight w:val="none"/>
        </w:rPr>
      </w:pPr>
      <w:bookmarkStart w:id="273" w:name="_Toc129618884"/>
      <w:bookmarkStart w:id="274" w:name="_Toc152042349"/>
      <w:bookmarkStart w:id="275" w:name="_Toc144974541"/>
      <w:bookmarkStart w:id="276" w:name="_Toc179632591"/>
      <w:bookmarkStart w:id="277" w:name="_Toc152045573"/>
      <w:r>
        <w:rPr>
          <w:rFonts w:ascii="黑体" w:hAnsi="黑体" w:cs="黑体"/>
          <w:b/>
          <w:bCs/>
          <w:color w:val="auto"/>
          <w:sz w:val="21"/>
          <w:szCs w:val="21"/>
          <w:highlight w:val="none"/>
        </w:rPr>
        <w:t xml:space="preserve">8.2 </w:t>
      </w:r>
      <w:r>
        <w:rPr>
          <w:rFonts w:hint="eastAsia" w:ascii="黑体" w:hAnsi="黑体" w:cs="黑体"/>
          <w:b/>
          <w:bCs/>
          <w:color w:val="auto"/>
          <w:sz w:val="21"/>
          <w:szCs w:val="21"/>
          <w:highlight w:val="none"/>
        </w:rPr>
        <w:t>不再招标</w:t>
      </w:r>
      <w:bookmarkEnd w:id="273"/>
      <w:bookmarkEnd w:id="274"/>
      <w:bookmarkEnd w:id="275"/>
      <w:bookmarkEnd w:id="276"/>
      <w:bookmarkEnd w:id="277"/>
    </w:p>
    <w:p>
      <w:pPr>
        <w:spacing w:line="400" w:lineRule="exact"/>
        <w:ind w:firstLine="420" w:firstLineChars="200"/>
        <w:rPr>
          <w:color w:val="auto"/>
          <w:highlight w:val="none"/>
        </w:rPr>
      </w:pPr>
      <w:r>
        <w:rPr>
          <w:rFonts w:hint="eastAsia"/>
          <w:color w:val="auto"/>
          <w:highlight w:val="none"/>
        </w:rPr>
        <w:t>重新招标后投标人仍少</w:t>
      </w:r>
      <w:r>
        <w:rPr>
          <w:rFonts w:hint="eastAsia" w:ascii="宋体" w:hAnsi="宋体" w:eastAsia="宋体" w:cs="宋体"/>
          <w:color w:val="auto"/>
          <w:highlight w:val="none"/>
        </w:rPr>
        <w:t>于3个</w:t>
      </w:r>
      <w:r>
        <w:rPr>
          <w:rFonts w:hint="eastAsia"/>
          <w:color w:val="auto"/>
          <w:highlight w:val="none"/>
        </w:rPr>
        <w:t>或者所有投标被否决的，属于必须审批或核准的工程建设项目，经原审批或核准部门批准后不再进行招标。</w:t>
      </w:r>
    </w:p>
    <w:p>
      <w:pPr>
        <w:pStyle w:val="32"/>
        <w:spacing w:before="240" w:beforeLines="100" w:after="120" w:afterLines="50"/>
        <w:rPr>
          <w:rFonts w:ascii="黑体" w:hAnsi="黑体" w:cs="黑体"/>
          <w:b/>
          <w:bCs/>
          <w:color w:val="auto"/>
          <w:sz w:val="24"/>
          <w:szCs w:val="24"/>
          <w:highlight w:val="none"/>
        </w:rPr>
      </w:pPr>
      <w:bookmarkStart w:id="278" w:name="_Toc179632592"/>
      <w:bookmarkStart w:id="279" w:name="_Toc152042350"/>
      <w:bookmarkStart w:id="280" w:name="_Toc144974542"/>
      <w:bookmarkStart w:id="281" w:name="_Toc152045574"/>
      <w:bookmarkStart w:id="282" w:name="_Toc129618885"/>
      <w:r>
        <w:rPr>
          <w:rFonts w:ascii="黑体" w:hAnsi="黑体" w:cs="黑体"/>
          <w:b/>
          <w:bCs/>
          <w:color w:val="auto"/>
          <w:sz w:val="24"/>
          <w:szCs w:val="24"/>
          <w:highlight w:val="none"/>
        </w:rPr>
        <w:t xml:space="preserve">9. </w:t>
      </w:r>
      <w:r>
        <w:rPr>
          <w:rFonts w:hint="eastAsia" w:ascii="黑体" w:hAnsi="黑体" w:cs="黑体"/>
          <w:b/>
          <w:bCs/>
          <w:color w:val="auto"/>
          <w:sz w:val="24"/>
          <w:szCs w:val="24"/>
          <w:highlight w:val="none"/>
        </w:rPr>
        <w:t>纪律和监督</w:t>
      </w:r>
      <w:bookmarkEnd w:id="278"/>
      <w:bookmarkEnd w:id="279"/>
      <w:bookmarkEnd w:id="280"/>
      <w:bookmarkEnd w:id="281"/>
      <w:bookmarkEnd w:id="282"/>
    </w:p>
    <w:p>
      <w:pPr>
        <w:pStyle w:val="33"/>
        <w:spacing w:before="120" w:beforeLines="50" w:after="120" w:afterLines="50"/>
        <w:rPr>
          <w:rFonts w:ascii="黑体" w:hAnsi="黑体" w:cs="黑体"/>
          <w:b/>
          <w:bCs/>
          <w:color w:val="auto"/>
          <w:sz w:val="21"/>
          <w:szCs w:val="21"/>
          <w:highlight w:val="none"/>
        </w:rPr>
      </w:pPr>
      <w:bookmarkStart w:id="283" w:name="_Toc152045575"/>
      <w:bookmarkStart w:id="284" w:name="_Toc179632593"/>
      <w:bookmarkStart w:id="285" w:name="_Toc129618886"/>
      <w:bookmarkStart w:id="286" w:name="_Toc152042351"/>
      <w:bookmarkStart w:id="287" w:name="_Toc144974543"/>
      <w:r>
        <w:rPr>
          <w:rFonts w:ascii="黑体" w:hAnsi="黑体" w:cs="黑体"/>
          <w:b/>
          <w:bCs/>
          <w:color w:val="auto"/>
          <w:sz w:val="21"/>
          <w:szCs w:val="21"/>
          <w:highlight w:val="none"/>
        </w:rPr>
        <w:t xml:space="preserve">9.1 </w:t>
      </w:r>
      <w:r>
        <w:rPr>
          <w:rFonts w:hint="eastAsia" w:ascii="黑体" w:hAnsi="黑体" w:cs="黑体"/>
          <w:b/>
          <w:bCs/>
          <w:color w:val="auto"/>
          <w:sz w:val="21"/>
          <w:szCs w:val="21"/>
          <w:highlight w:val="none"/>
        </w:rPr>
        <w:t>对招标人的纪律要求</w:t>
      </w:r>
      <w:bookmarkEnd w:id="283"/>
      <w:bookmarkEnd w:id="284"/>
      <w:bookmarkEnd w:id="285"/>
      <w:bookmarkEnd w:id="286"/>
      <w:bookmarkEnd w:id="287"/>
    </w:p>
    <w:p>
      <w:pPr>
        <w:spacing w:line="400" w:lineRule="exact"/>
        <w:ind w:firstLine="420" w:firstLineChars="200"/>
        <w:rPr>
          <w:color w:val="auto"/>
          <w:highlight w:val="none"/>
        </w:rPr>
      </w:pPr>
      <w:r>
        <w:rPr>
          <w:rFonts w:hint="eastAsia"/>
          <w:color w:val="auto"/>
          <w:highlight w:val="none"/>
        </w:rPr>
        <w:t>招标人不得泄漏招标投标活动中应当保密的情况和资料，不得与投标人串通损害国家利益、社会公共利益或者他人合法权益。</w:t>
      </w:r>
    </w:p>
    <w:p>
      <w:pPr>
        <w:pStyle w:val="33"/>
        <w:spacing w:before="120" w:beforeLines="50" w:after="120" w:afterLines="50"/>
        <w:rPr>
          <w:rFonts w:ascii="黑体" w:hAnsi="黑体" w:cs="黑体"/>
          <w:b/>
          <w:bCs/>
          <w:color w:val="auto"/>
          <w:sz w:val="21"/>
          <w:szCs w:val="21"/>
          <w:highlight w:val="none"/>
        </w:rPr>
      </w:pPr>
      <w:bookmarkStart w:id="288" w:name="_Toc129618887"/>
      <w:bookmarkStart w:id="289" w:name="_Toc152045576"/>
      <w:bookmarkStart w:id="290" w:name="_Toc179632594"/>
      <w:bookmarkStart w:id="291" w:name="_Toc152042352"/>
      <w:bookmarkStart w:id="292" w:name="_Toc144974544"/>
      <w:r>
        <w:rPr>
          <w:rFonts w:ascii="黑体" w:hAnsi="黑体" w:cs="黑体"/>
          <w:b/>
          <w:bCs/>
          <w:color w:val="auto"/>
          <w:sz w:val="21"/>
          <w:szCs w:val="21"/>
          <w:highlight w:val="none"/>
        </w:rPr>
        <w:t xml:space="preserve">9.2 </w:t>
      </w:r>
      <w:r>
        <w:rPr>
          <w:rFonts w:hint="eastAsia" w:ascii="黑体" w:hAnsi="黑体" w:cs="黑体"/>
          <w:b/>
          <w:bCs/>
          <w:color w:val="auto"/>
          <w:sz w:val="21"/>
          <w:szCs w:val="21"/>
          <w:highlight w:val="none"/>
        </w:rPr>
        <w:t>对投标人的纪律要求</w:t>
      </w:r>
      <w:bookmarkEnd w:id="288"/>
      <w:bookmarkEnd w:id="289"/>
      <w:bookmarkEnd w:id="290"/>
      <w:bookmarkEnd w:id="291"/>
      <w:bookmarkEnd w:id="292"/>
    </w:p>
    <w:p>
      <w:pPr>
        <w:spacing w:line="400" w:lineRule="exact"/>
        <w:ind w:firstLine="420" w:firstLineChars="200"/>
        <w:rPr>
          <w:color w:val="auto"/>
          <w:highlight w:val="none"/>
        </w:rPr>
      </w:pPr>
      <w:r>
        <w:rPr>
          <w:rFonts w:hint="eastAsia"/>
          <w:color w:val="auto"/>
          <w:highlight w:val="none"/>
        </w:rPr>
        <w:t>投标人不得相互串通投标或者与招标人串通投标，不得向招标人或者评标委员会成员行贿谋取中标，不得以他人名义投标或者以其他方式弄虚作假骗取中标；投标人不得以任何方式干扰、影响评标工作。</w:t>
      </w:r>
    </w:p>
    <w:p>
      <w:pPr>
        <w:pStyle w:val="33"/>
        <w:spacing w:before="120" w:beforeLines="50" w:after="120" w:afterLines="50"/>
        <w:rPr>
          <w:rFonts w:ascii="黑体" w:hAnsi="黑体" w:cs="黑体"/>
          <w:b/>
          <w:bCs/>
          <w:color w:val="auto"/>
          <w:sz w:val="21"/>
          <w:szCs w:val="21"/>
          <w:highlight w:val="none"/>
        </w:rPr>
      </w:pPr>
      <w:bookmarkStart w:id="293" w:name="_Toc152042353"/>
      <w:bookmarkStart w:id="294" w:name="_Toc179632595"/>
      <w:bookmarkStart w:id="295" w:name="_Toc129618888"/>
      <w:bookmarkStart w:id="296" w:name="_Toc152045577"/>
      <w:bookmarkStart w:id="297" w:name="_Toc144974545"/>
      <w:r>
        <w:rPr>
          <w:rFonts w:ascii="黑体" w:hAnsi="黑体" w:cs="黑体"/>
          <w:b/>
          <w:bCs/>
          <w:color w:val="auto"/>
          <w:sz w:val="21"/>
          <w:szCs w:val="21"/>
          <w:highlight w:val="none"/>
        </w:rPr>
        <w:t xml:space="preserve">9.3 </w:t>
      </w:r>
      <w:r>
        <w:rPr>
          <w:rFonts w:hint="eastAsia" w:ascii="黑体" w:hAnsi="黑体" w:cs="黑体"/>
          <w:b/>
          <w:bCs/>
          <w:color w:val="auto"/>
          <w:sz w:val="21"/>
          <w:szCs w:val="21"/>
          <w:highlight w:val="none"/>
        </w:rPr>
        <w:t>对评标委员会成员的纪律要求</w:t>
      </w:r>
      <w:bookmarkEnd w:id="293"/>
      <w:bookmarkEnd w:id="294"/>
      <w:bookmarkEnd w:id="295"/>
      <w:bookmarkEnd w:id="296"/>
      <w:bookmarkEnd w:id="297"/>
    </w:p>
    <w:p>
      <w:pPr>
        <w:spacing w:line="400" w:lineRule="exact"/>
        <w:ind w:firstLine="420" w:firstLineChars="200"/>
        <w:rPr>
          <w:color w:val="auto"/>
          <w:highlight w:val="none"/>
        </w:rPr>
      </w:pPr>
      <w:r>
        <w:rPr>
          <w:rFonts w:hint="eastAsia"/>
          <w:color w:val="auto"/>
          <w:highlight w:val="none"/>
        </w:rPr>
        <w:t>评标委员会成员不得收受他人的财物或者其他好处，不得向他人透漏对投标文件的评审和比较、中标候选人的推荐情况以及评标有关的其他情况。在评标活动中，评标委员会成员不得擅离职守，影响评标程序正常进行，不得使用第三章“评标办法”没有规定的评审因素和标准进行评标。</w:t>
      </w:r>
    </w:p>
    <w:p>
      <w:pPr>
        <w:pStyle w:val="33"/>
        <w:spacing w:before="120" w:beforeLines="50" w:after="120" w:afterLines="50"/>
        <w:rPr>
          <w:rFonts w:ascii="黑体" w:hAnsi="黑体" w:cs="黑体"/>
          <w:b/>
          <w:bCs/>
          <w:color w:val="auto"/>
          <w:sz w:val="21"/>
          <w:szCs w:val="21"/>
          <w:highlight w:val="none"/>
        </w:rPr>
      </w:pPr>
      <w:bookmarkStart w:id="298" w:name="_Toc129618889"/>
      <w:bookmarkStart w:id="299" w:name="_Toc152042354"/>
      <w:bookmarkStart w:id="300" w:name="_Toc152045578"/>
      <w:bookmarkStart w:id="301" w:name="_Toc179632596"/>
      <w:bookmarkStart w:id="302" w:name="_Toc144974546"/>
      <w:r>
        <w:rPr>
          <w:rFonts w:ascii="黑体" w:hAnsi="黑体" w:cs="黑体"/>
          <w:b/>
          <w:bCs/>
          <w:color w:val="auto"/>
          <w:sz w:val="21"/>
          <w:szCs w:val="21"/>
          <w:highlight w:val="none"/>
        </w:rPr>
        <w:t xml:space="preserve">9.4 </w:t>
      </w:r>
      <w:r>
        <w:rPr>
          <w:rFonts w:hint="eastAsia" w:ascii="黑体" w:hAnsi="黑体" w:cs="黑体"/>
          <w:b/>
          <w:bCs/>
          <w:color w:val="auto"/>
          <w:sz w:val="21"/>
          <w:szCs w:val="21"/>
          <w:highlight w:val="none"/>
        </w:rPr>
        <w:t>对与评标活动有关的工作人员的纪律要求</w:t>
      </w:r>
      <w:bookmarkEnd w:id="298"/>
      <w:bookmarkEnd w:id="299"/>
      <w:bookmarkEnd w:id="300"/>
      <w:bookmarkEnd w:id="301"/>
    </w:p>
    <w:p>
      <w:pPr>
        <w:spacing w:line="400" w:lineRule="exact"/>
        <w:ind w:firstLine="420" w:firstLineChars="200"/>
        <w:rPr>
          <w:color w:val="auto"/>
          <w:highlight w:val="none"/>
        </w:rPr>
      </w:pPr>
      <w:bookmarkStart w:id="303" w:name="_Toc152042355"/>
      <w:r>
        <w:rPr>
          <w:rFonts w:hint="eastAsia"/>
          <w:color w:val="auto"/>
          <w:highlight w:val="none"/>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bookmarkEnd w:id="303"/>
    </w:p>
    <w:p>
      <w:pPr>
        <w:pStyle w:val="33"/>
        <w:spacing w:before="120" w:beforeLines="50" w:after="120" w:afterLines="50"/>
        <w:rPr>
          <w:rFonts w:ascii="黑体" w:hAnsi="黑体" w:cs="黑体"/>
          <w:b/>
          <w:bCs/>
          <w:color w:val="auto"/>
          <w:sz w:val="21"/>
          <w:szCs w:val="21"/>
          <w:highlight w:val="none"/>
        </w:rPr>
      </w:pPr>
      <w:bookmarkStart w:id="304" w:name="_Toc152045579"/>
      <w:bookmarkStart w:id="305" w:name="_Toc129618890"/>
      <w:bookmarkStart w:id="306" w:name="_Toc152042356"/>
      <w:bookmarkStart w:id="307" w:name="_Toc179632597"/>
      <w:r>
        <w:rPr>
          <w:rFonts w:ascii="黑体" w:hAnsi="黑体" w:cs="黑体"/>
          <w:b/>
          <w:bCs/>
          <w:color w:val="auto"/>
          <w:sz w:val="21"/>
          <w:szCs w:val="21"/>
          <w:highlight w:val="none"/>
        </w:rPr>
        <w:t xml:space="preserve">9.5 </w:t>
      </w:r>
      <w:r>
        <w:rPr>
          <w:rFonts w:hint="eastAsia" w:ascii="黑体" w:hAnsi="黑体" w:cs="黑体"/>
          <w:b/>
          <w:bCs/>
          <w:color w:val="auto"/>
          <w:sz w:val="21"/>
          <w:szCs w:val="21"/>
          <w:highlight w:val="none"/>
        </w:rPr>
        <w:t>投诉</w:t>
      </w:r>
      <w:bookmarkEnd w:id="302"/>
      <w:bookmarkEnd w:id="304"/>
      <w:bookmarkEnd w:id="305"/>
      <w:bookmarkEnd w:id="306"/>
      <w:bookmarkEnd w:id="307"/>
    </w:p>
    <w:p>
      <w:pPr>
        <w:spacing w:line="400" w:lineRule="exact"/>
        <w:ind w:firstLine="420" w:firstLineChars="200"/>
        <w:rPr>
          <w:color w:val="auto"/>
          <w:highlight w:val="none"/>
        </w:rPr>
      </w:pPr>
      <w:r>
        <w:rPr>
          <w:rFonts w:hint="eastAsia"/>
          <w:color w:val="auto"/>
          <w:highlight w:val="none"/>
        </w:rPr>
        <w:t>投标人和其他利害关系人认为本次招标活动违反法律、法规和规章规定的，有权向有关行政监督部门投诉。</w:t>
      </w:r>
    </w:p>
    <w:p>
      <w:pPr>
        <w:pStyle w:val="32"/>
        <w:spacing w:before="240" w:beforeLines="100" w:after="120" w:afterLines="50"/>
        <w:rPr>
          <w:rFonts w:ascii="黑体" w:hAnsi="黑体" w:cs="黑体"/>
          <w:b/>
          <w:bCs/>
          <w:color w:val="auto"/>
          <w:sz w:val="24"/>
          <w:szCs w:val="24"/>
          <w:highlight w:val="none"/>
        </w:rPr>
      </w:pPr>
      <w:bookmarkStart w:id="308" w:name="_Toc179632598"/>
      <w:bookmarkStart w:id="309" w:name="_Toc152042357"/>
      <w:bookmarkStart w:id="310" w:name="_Toc144974547"/>
      <w:bookmarkStart w:id="311" w:name="_Toc129618891"/>
      <w:bookmarkStart w:id="312" w:name="_Toc152045580"/>
      <w:r>
        <w:rPr>
          <w:rFonts w:ascii="黑体" w:hAnsi="黑体" w:cs="黑体"/>
          <w:b/>
          <w:bCs/>
          <w:color w:val="auto"/>
          <w:sz w:val="24"/>
          <w:szCs w:val="24"/>
          <w:highlight w:val="none"/>
        </w:rPr>
        <w:t xml:space="preserve">10. </w:t>
      </w:r>
      <w:r>
        <w:rPr>
          <w:rFonts w:hint="eastAsia" w:ascii="黑体" w:hAnsi="黑体" w:cs="黑体"/>
          <w:b/>
          <w:bCs/>
          <w:color w:val="auto"/>
          <w:sz w:val="24"/>
          <w:szCs w:val="24"/>
          <w:highlight w:val="none"/>
        </w:rPr>
        <w:t>需要补充的其他内容</w:t>
      </w:r>
      <w:bookmarkEnd w:id="308"/>
      <w:bookmarkEnd w:id="309"/>
      <w:bookmarkEnd w:id="310"/>
      <w:bookmarkEnd w:id="311"/>
      <w:bookmarkEnd w:id="312"/>
    </w:p>
    <w:p>
      <w:pPr>
        <w:spacing w:line="400" w:lineRule="exact"/>
        <w:ind w:firstLine="420" w:firstLineChars="200"/>
        <w:rPr>
          <w:color w:val="auto"/>
          <w:highlight w:val="none"/>
        </w:rPr>
      </w:pPr>
      <w:r>
        <w:rPr>
          <w:rFonts w:hint="eastAsia"/>
          <w:color w:val="auto"/>
          <w:highlight w:val="none"/>
        </w:rPr>
        <w:t>需要补充的其他内容：见投标人须知前附表。</w:t>
      </w:r>
    </w:p>
    <w:p>
      <w:pPr>
        <w:pStyle w:val="34"/>
        <w:spacing w:line="400" w:lineRule="exact"/>
        <w:outlineLvl w:val="9"/>
        <w:rPr>
          <w:rFonts w:ascii="黑体" w:eastAsia="黑体"/>
          <w:b w:val="0"/>
          <w:color w:val="auto"/>
          <w:kern w:val="2"/>
          <w:szCs w:val="24"/>
          <w:highlight w:val="none"/>
        </w:rPr>
      </w:pPr>
      <w:bookmarkStart w:id="313" w:name="_Toc12276"/>
      <w:bookmarkStart w:id="314" w:name="_Toc11953"/>
      <w:bookmarkStart w:id="315" w:name="_Toc12931"/>
      <w:r>
        <w:rPr>
          <w:rFonts w:hint="eastAsia" w:ascii="黑体" w:eastAsia="黑体"/>
          <w:b w:val="0"/>
          <w:color w:val="auto"/>
          <w:kern w:val="2"/>
          <w:szCs w:val="24"/>
          <w:highlight w:val="none"/>
        </w:rPr>
        <w:br w:type="page"/>
      </w:r>
      <w:bookmarkStart w:id="316" w:name="_Toc129618892"/>
      <w:r>
        <w:rPr>
          <w:rFonts w:hint="eastAsia" w:ascii="黑体" w:eastAsia="黑体"/>
          <w:bCs w:val="0"/>
          <w:color w:val="auto"/>
          <w:kern w:val="2"/>
          <w:szCs w:val="24"/>
          <w:highlight w:val="none"/>
        </w:rPr>
        <w:t>附件一：问题澄清通知</w:t>
      </w:r>
      <w:bookmarkEnd w:id="316"/>
    </w:p>
    <w:p>
      <w:pPr>
        <w:snapToGrid w:val="0"/>
        <w:rPr>
          <w:rFonts w:eastAsia="Times New Roman"/>
          <w:color w:val="auto"/>
          <w:highlight w:val="none"/>
        </w:rPr>
      </w:pPr>
    </w:p>
    <w:p>
      <w:pPr>
        <w:snapToGrid w:val="0"/>
        <w:spacing w:line="400" w:lineRule="exact"/>
        <w:rPr>
          <w:rFonts w:ascii="宋体" w:hAnsi="宋体" w:cs="宋体"/>
          <w:color w:val="auto"/>
          <w:highlight w:val="none"/>
        </w:rPr>
      </w:pPr>
      <w:r>
        <w:rPr>
          <w:rFonts w:hint="eastAsia" w:ascii="宋体" w:hAnsi="宋体" w:cs="宋体"/>
          <w:color w:val="auto"/>
          <w:highlight w:val="none"/>
        </w:rPr>
        <w:t>致：（投标人名称）</w:t>
      </w:r>
    </w:p>
    <w:p>
      <w:pPr>
        <w:snapToGrid w:val="0"/>
        <w:spacing w:line="400" w:lineRule="exact"/>
        <w:rPr>
          <w:rFonts w:ascii="宋体" w:hAnsi="宋体" w:cs="宋体"/>
          <w:color w:val="auto"/>
          <w:highlight w:val="none"/>
        </w:rPr>
      </w:pPr>
    </w:p>
    <w:p>
      <w:pPr>
        <w:adjustRightInd w:val="0"/>
        <w:snapToGrid w:val="0"/>
        <w:jc w:val="center"/>
        <w:rPr>
          <w:rFonts w:ascii="黑体" w:eastAsia="黑体"/>
          <w:b/>
          <w:color w:val="auto"/>
          <w:sz w:val="28"/>
          <w:szCs w:val="28"/>
          <w:highlight w:val="none"/>
        </w:rPr>
      </w:pPr>
      <w:r>
        <w:rPr>
          <w:rFonts w:hint="eastAsia" w:ascii="黑体" w:eastAsia="黑体"/>
          <w:b/>
          <w:color w:val="auto"/>
          <w:sz w:val="28"/>
          <w:szCs w:val="28"/>
          <w:highlight w:val="none"/>
        </w:rPr>
        <w:t>XX项目招标采购</w:t>
      </w:r>
    </w:p>
    <w:p>
      <w:pPr>
        <w:adjustRightInd w:val="0"/>
        <w:snapToGrid w:val="0"/>
        <w:jc w:val="center"/>
        <w:rPr>
          <w:rFonts w:ascii="黑体" w:eastAsia="黑体"/>
          <w:b/>
          <w:color w:val="auto"/>
          <w:sz w:val="28"/>
          <w:szCs w:val="28"/>
          <w:highlight w:val="none"/>
        </w:rPr>
      </w:pPr>
      <w:r>
        <w:rPr>
          <w:rFonts w:hint="eastAsia" w:ascii="黑体" w:eastAsia="黑体"/>
          <w:b/>
          <w:color w:val="auto"/>
          <w:sz w:val="28"/>
          <w:szCs w:val="28"/>
          <w:highlight w:val="none"/>
        </w:rPr>
        <w:t>（招标编号：XX）</w:t>
      </w:r>
    </w:p>
    <w:p>
      <w:pPr>
        <w:snapToGrid w:val="0"/>
        <w:spacing w:line="400" w:lineRule="exact"/>
        <w:jc w:val="center"/>
        <w:rPr>
          <w:rFonts w:ascii="宋体" w:hAnsi="宋体" w:cs="宋体"/>
          <w:color w:val="auto"/>
          <w:highlight w:val="none"/>
        </w:rPr>
      </w:pPr>
      <w:r>
        <w:rPr>
          <w:rFonts w:hint="eastAsia" w:eastAsia="黑体"/>
          <w:b/>
          <w:color w:val="auto"/>
          <w:sz w:val="28"/>
          <w:highlight w:val="none"/>
        </w:rPr>
        <w:t>第XX号 XX澄清</w:t>
      </w:r>
    </w:p>
    <w:p>
      <w:pPr>
        <w:snapToGrid w:val="0"/>
        <w:spacing w:line="400" w:lineRule="exact"/>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（项目名称）评标委员会，对你方的投标文件进行了仔细的审查，现需你方对下列问题予以澄清。请各投标人在收到此澄清单后，线下编辑澄清回复内容后，通过</w:t>
      </w:r>
      <w:r>
        <w:rPr>
          <w:rFonts w:hint="eastAsia" w:ascii="宋体" w:hAnsi="宋体" w:cs="宋体"/>
          <w:color w:val="auto"/>
          <w:highlight w:val="none"/>
          <w:lang w:eastAsia="zh-CN"/>
        </w:rPr>
        <w:t>招标人招投标交易平台信息系统</w:t>
      </w:r>
      <w:r>
        <w:rPr>
          <w:rFonts w:hint="eastAsia" w:ascii="宋体" w:hAnsi="宋体" w:cs="宋体"/>
          <w:color w:val="auto"/>
          <w:highlight w:val="none"/>
        </w:rPr>
        <w:t xml:space="preserve">对该澄清单进行回复。 </w:t>
      </w:r>
    </w:p>
    <w:p>
      <w:pPr>
        <w:snapToGrid w:val="0"/>
        <w:spacing w:line="400" w:lineRule="exact"/>
        <w:ind w:firstLine="420"/>
        <w:rPr>
          <w:rFonts w:ascii="宋体" w:hAnsi="宋体" w:cs="宋体"/>
          <w:color w:val="auto"/>
          <w:highlight w:val="none"/>
        </w:rPr>
      </w:pPr>
      <w:r>
        <w:rPr>
          <w:rFonts w:ascii="宋体" w:hAnsi="宋体" w:cs="宋体"/>
          <w:color w:val="auto"/>
          <w:highlight w:val="none"/>
        </w:rPr>
        <w:t>1．</w:t>
      </w:r>
    </w:p>
    <w:p>
      <w:pPr>
        <w:snapToGrid w:val="0"/>
        <w:spacing w:line="400" w:lineRule="exact"/>
        <w:ind w:firstLine="420"/>
        <w:rPr>
          <w:rFonts w:ascii="宋体" w:hAnsi="宋体" w:cs="宋体"/>
          <w:color w:val="auto"/>
          <w:highlight w:val="none"/>
        </w:rPr>
      </w:pPr>
      <w:r>
        <w:rPr>
          <w:rFonts w:ascii="宋体" w:hAnsi="宋体" w:cs="宋体"/>
          <w:color w:val="auto"/>
          <w:highlight w:val="none"/>
        </w:rPr>
        <w:t>2．</w:t>
      </w: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w:t>
      </w:r>
    </w:p>
    <w:p>
      <w:pPr>
        <w:snapToGrid w:val="0"/>
        <w:spacing w:line="400" w:lineRule="exact"/>
        <w:ind w:firstLine="420"/>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请将上述问题的澄清、说明或补正于年月日时前通过招标人招投标交易平台信息系统上传，任何迟到的回复将被视为无效。</w:t>
      </w:r>
    </w:p>
    <w:p>
      <w:pPr>
        <w:snapToGrid w:val="0"/>
        <w:spacing w:line="400" w:lineRule="exact"/>
        <w:ind w:firstLine="420"/>
        <w:rPr>
          <w:rFonts w:ascii="宋体" w:hAnsi="宋体" w:cs="宋体"/>
          <w:color w:val="auto"/>
          <w:highlight w:val="none"/>
        </w:rPr>
      </w:pPr>
    </w:p>
    <w:p>
      <w:pPr>
        <w:snapToGrid w:val="0"/>
        <w:ind w:firstLine="420"/>
        <w:jc w:val="right"/>
        <w:rPr>
          <w:rFonts w:ascii="宋体" w:hAnsi="宋体" w:cs="宋体"/>
          <w:color w:val="auto"/>
          <w:highlight w:val="none"/>
        </w:rPr>
      </w:pPr>
    </w:p>
    <w:p>
      <w:pPr>
        <w:snapToGrid w:val="0"/>
        <w:ind w:firstLine="420"/>
        <w:jc w:val="right"/>
        <w:rPr>
          <w:rFonts w:ascii="宋体" w:hAnsi="宋体" w:cs="宋体"/>
          <w:color w:val="auto"/>
          <w:highlight w:val="none"/>
        </w:rPr>
      </w:pPr>
    </w:p>
    <w:p>
      <w:pPr>
        <w:snapToGrid w:val="0"/>
        <w:ind w:firstLine="420"/>
        <w:jc w:val="right"/>
        <w:rPr>
          <w:rFonts w:ascii="宋体" w:hAnsi="宋体" w:cs="宋体"/>
          <w:color w:val="auto"/>
          <w:highlight w:val="none"/>
        </w:rPr>
      </w:pPr>
      <w:r>
        <w:rPr>
          <w:rFonts w:hint="eastAsia" w:ascii="宋体" w:hAnsi="宋体" w:cs="宋体"/>
          <w:color w:val="auto"/>
          <w:highlight w:val="none"/>
        </w:rPr>
        <w:t>（项目名称）评标委员会</w:t>
      </w:r>
    </w:p>
    <w:p>
      <w:pPr>
        <w:wordWrap w:val="0"/>
        <w:snapToGrid w:val="0"/>
        <w:ind w:firstLine="6615" w:firstLineChars="3150"/>
        <w:jc w:val="right"/>
        <w:rPr>
          <w:rFonts w:ascii="宋体" w:hAnsi="宋体" w:cs="宋体"/>
          <w:color w:val="auto"/>
          <w:highlight w:val="none"/>
        </w:rPr>
        <w:sectPr>
          <w:pgSz w:w="11906" w:h="16838"/>
          <w:pgMar w:top="1440" w:right="1440" w:bottom="1440" w:left="1440" w:header="0" w:footer="841" w:gutter="0"/>
          <w:cols w:space="720" w:num="1"/>
          <w:docGrid w:linePitch="312" w:charSpace="0"/>
        </w:sectPr>
      </w:pPr>
      <w:r>
        <w:rPr>
          <w:rFonts w:hint="eastAsia" w:ascii="宋体" w:hAnsi="宋体" w:cs="宋体"/>
          <w:color w:val="auto"/>
          <w:highlight w:val="none"/>
        </w:rPr>
        <w:t>日期：年月日</w:t>
      </w:r>
    </w:p>
    <w:p>
      <w:pPr>
        <w:pStyle w:val="34"/>
        <w:spacing w:line="400" w:lineRule="exact"/>
        <w:outlineLvl w:val="9"/>
        <w:rPr>
          <w:rFonts w:ascii="黑体" w:eastAsia="黑体"/>
          <w:bCs w:val="0"/>
          <w:color w:val="auto"/>
          <w:kern w:val="2"/>
          <w:szCs w:val="24"/>
          <w:highlight w:val="none"/>
        </w:rPr>
      </w:pPr>
      <w:bookmarkStart w:id="317" w:name="_bookmark77"/>
      <w:bookmarkEnd w:id="317"/>
      <w:bookmarkStart w:id="318" w:name="_Toc129618893"/>
      <w:r>
        <w:rPr>
          <w:rFonts w:hint="eastAsia" w:ascii="黑体" w:eastAsia="黑体"/>
          <w:bCs w:val="0"/>
          <w:color w:val="auto"/>
          <w:kern w:val="2"/>
          <w:szCs w:val="24"/>
          <w:highlight w:val="none"/>
        </w:rPr>
        <w:t>附件二：问题的澄清</w:t>
      </w:r>
      <w:bookmarkEnd w:id="318"/>
    </w:p>
    <w:p>
      <w:pPr>
        <w:snapToGrid w:val="0"/>
        <w:spacing w:line="400" w:lineRule="exact"/>
        <w:jc w:val="center"/>
        <w:rPr>
          <w:rFonts w:eastAsia="黑体"/>
          <w:b/>
          <w:color w:val="auto"/>
          <w:sz w:val="28"/>
          <w:highlight w:val="none"/>
        </w:rPr>
      </w:pPr>
      <w:r>
        <w:rPr>
          <w:rFonts w:hint="eastAsia" w:eastAsia="黑体"/>
          <w:b/>
          <w:color w:val="auto"/>
          <w:sz w:val="28"/>
          <w:highlight w:val="none"/>
        </w:rPr>
        <w:t>问题的澄清</w:t>
      </w:r>
    </w:p>
    <w:p>
      <w:pPr>
        <w:snapToGrid w:val="0"/>
        <w:jc w:val="center"/>
        <w:rPr>
          <w:rFonts w:ascii="黑体" w:eastAsia="黑体"/>
          <w:color w:val="auto"/>
          <w:sz w:val="24"/>
          <w:highlight w:val="none"/>
        </w:rPr>
      </w:pPr>
    </w:p>
    <w:p>
      <w:pPr>
        <w:snapToGrid w:val="0"/>
        <w:spacing w:line="400" w:lineRule="exact"/>
        <w:rPr>
          <w:rFonts w:ascii="宋体" w:hAnsi="宋体" w:cs="宋体"/>
          <w:color w:val="auto"/>
          <w:highlight w:val="none"/>
        </w:rPr>
      </w:pPr>
      <w:r>
        <w:rPr>
          <w:rFonts w:hint="eastAsia" w:ascii="宋体" w:hAnsi="宋体" w:cs="宋体"/>
          <w:color w:val="auto"/>
          <w:highlight w:val="none"/>
        </w:rPr>
        <w:t>（项目名称）评标委员会：</w:t>
      </w:r>
    </w:p>
    <w:p>
      <w:pPr>
        <w:snapToGrid w:val="0"/>
        <w:spacing w:line="400" w:lineRule="exact"/>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第XX号 XX澄清已收悉，现澄清、说明或补正如下：</w:t>
      </w:r>
    </w:p>
    <w:p>
      <w:pPr>
        <w:snapToGrid w:val="0"/>
        <w:spacing w:line="400" w:lineRule="exact"/>
        <w:ind w:firstLine="420"/>
        <w:rPr>
          <w:rFonts w:ascii="宋体" w:hAnsi="宋体" w:cs="宋体"/>
          <w:color w:val="auto"/>
          <w:highlight w:val="none"/>
        </w:rPr>
      </w:pPr>
      <w:r>
        <w:rPr>
          <w:rFonts w:ascii="宋体" w:hAnsi="宋体" w:cs="宋体"/>
          <w:color w:val="auto"/>
          <w:highlight w:val="none"/>
        </w:rPr>
        <w:t>1．</w:t>
      </w:r>
    </w:p>
    <w:p>
      <w:pPr>
        <w:snapToGrid w:val="0"/>
        <w:spacing w:line="400" w:lineRule="exact"/>
        <w:ind w:firstLine="420"/>
        <w:rPr>
          <w:rFonts w:ascii="宋体" w:hAnsi="宋体" w:cs="宋体"/>
          <w:color w:val="auto"/>
          <w:highlight w:val="none"/>
        </w:rPr>
      </w:pPr>
      <w:r>
        <w:rPr>
          <w:rFonts w:ascii="宋体" w:hAnsi="宋体" w:cs="宋体"/>
          <w:color w:val="auto"/>
          <w:highlight w:val="none"/>
        </w:rPr>
        <w:t>2．</w:t>
      </w: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w:t>
      </w:r>
    </w:p>
    <w:p>
      <w:pPr>
        <w:snapToGrid w:val="0"/>
        <w:spacing w:line="400" w:lineRule="exact"/>
        <w:ind w:firstLine="420"/>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上述问题澄清、说明或补正，不改变我方投标文件的实质性内容，构成我方投标文件的组成部分。</w:t>
      </w:r>
    </w:p>
    <w:p>
      <w:pPr>
        <w:snapToGrid w:val="0"/>
        <w:spacing w:line="400" w:lineRule="exact"/>
        <w:ind w:firstLine="420"/>
        <w:rPr>
          <w:rFonts w:ascii="宋体" w:hAnsi="宋体" w:cs="宋体"/>
          <w:color w:val="auto"/>
          <w:highlight w:val="none"/>
        </w:rPr>
      </w:pPr>
    </w:p>
    <w:p>
      <w:pPr>
        <w:wordWrap w:val="0"/>
        <w:snapToGrid w:val="0"/>
        <w:ind w:firstLine="420"/>
        <w:jc w:val="right"/>
        <w:rPr>
          <w:rFonts w:ascii="宋体" w:hAnsi="宋体" w:cs="宋体"/>
          <w:color w:val="auto"/>
          <w:highlight w:val="none"/>
        </w:rPr>
      </w:pPr>
      <w:r>
        <w:rPr>
          <w:rFonts w:hint="eastAsia" w:ascii="宋体" w:hAnsi="宋体" w:cs="宋体"/>
          <w:color w:val="auto"/>
          <w:highlight w:val="none"/>
        </w:rPr>
        <w:t>投标人：</w:t>
      </w:r>
    </w:p>
    <w:p>
      <w:pPr>
        <w:snapToGrid w:val="0"/>
        <w:ind w:firstLine="420"/>
        <w:jc w:val="right"/>
        <w:rPr>
          <w:rFonts w:ascii="宋体" w:hAnsi="宋体" w:cs="宋体"/>
          <w:color w:val="auto"/>
          <w:highlight w:val="none"/>
        </w:rPr>
      </w:pPr>
    </w:p>
    <w:p>
      <w:pPr>
        <w:snapToGrid w:val="0"/>
        <w:ind w:firstLine="420"/>
        <w:jc w:val="right"/>
        <w:rPr>
          <w:rFonts w:ascii="宋体" w:hAnsi="宋体" w:cs="宋体"/>
          <w:color w:val="auto"/>
          <w:highlight w:val="none"/>
        </w:rPr>
      </w:pPr>
    </w:p>
    <w:p>
      <w:pPr>
        <w:snapToGrid w:val="0"/>
        <w:ind w:firstLine="4200" w:firstLineChars="2000"/>
        <w:rPr>
          <w:rFonts w:ascii="宋体" w:hAnsi="宋体" w:cs="宋体"/>
          <w:color w:val="auto"/>
          <w:highlight w:val="none"/>
        </w:rPr>
      </w:pPr>
      <w:r>
        <w:rPr>
          <w:rFonts w:ascii="宋体" w:hAnsi="宋体" w:cs="宋体"/>
          <w:color w:val="auto"/>
          <w:highlight w:val="none"/>
        </w:rPr>
        <w:t xml:space="preserve">                           日期：</w:t>
      </w:r>
      <w:r>
        <w:rPr>
          <w:rFonts w:hint="eastAsia" w:ascii="宋体" w:hAnsi="宋体" w:cs="宋体"/>
          <w:color w:val="auto"/>
          <w:highlight w:val="none"/>
        </w:rPr>
        <w:t>年月日</w:t>
      </w:r>
    </w:p>
    <w:p>
      <w:pPr>
        <w:pStyle w:val="8"/>
        <w:tabs>
          <w:tab w:val="left" w:pos="6734"/>
          <w:tab w:val="left" w:pos="7783"/>
          <w:tab w:val="left" w:pos="8833"/>
        </w:tabs>
        <w:spacing w:before="72"/>
        <w:rPr>
          <w:color w:val="auto"/>
          <w:highlight w:val="none"/>
        </w:rPr>
      </w:pPr>
    </w:p>
    <w:p>
      <w:pPr>
        <w:pStyle w:val="34"/>
        <w:widowControl/>
        <w:spacing w:line="400" w:lineRule="exact"/>
        <w:jc w:val="left"/>
        <w:outlineLvl w:val="9"/>
        <w:rPr>
          <w:rFonts w:ascii="黑体" w:eastAsia="黑体"/>
          <w:color w:val="auto"/>
          <w:highlight w:val="none"/>
        </w:rPr>
      </w:pPr>
      <w:r>
        <w:rPr>
          <w:rFonts w:ascii="黑体" w:eastAsia="黑体"/>
          <w:color w:val="auto"/>
          <w:highlight w:val="none"/>
        </w:rPr>
        <w:br w:type="page"/>
      </w:r>
      <w:bookmarkStart w:id="319" w:name="_Toc129618894"/>
      <w:r>
        <w:rPr>
          <w:rFonts w:hint="eastAsia" w:ascii="黑体" w:eastAsia="黑体"/>
          <w:bCs w:val="0"/>
          <w:color w:val="auto"/>
          <w:kern w:val="2"/>
          <w:szCs w:val="24"/>
          <w:highlight w:val="none"/>
        </w:rPr>
        <w:t>附件三：异议单格式</w:t>
      </w:r>
      <w:bookmarkEnd w:id="313"/>
      <w:bookmarkEnd w:id="314"/>
      <w:bookmarkEnd w:id="315"/>
      <w:bookmarkEnd w:id="319"/>
    </w:p>
    <w:p>
      <w:pPr>
        <w:spacing w:line="400" w:lineRule="exact"/>
        <w:rPr>
          <w:color w:val="auto"/>
          <w:highlight w:val="none"/>
        </w:rPr>
      </w:pPr>
    </w:p>
    <w:p>
      <w:pPr>
        <w:adjustRightInd w:val="0"/>
        <w:snapToGrid w:val="0"/>
        <w:spacing w:line="400" w:lineRule="exact"/>
        <w:jc w:val="center"/>
        <w:rPr>
          <w:rFonts w:ascii="黑体" w:eastAsia="黑体"/>
          <w:b/>
          <w:color w:val="auto"/>
          <w:sz w:val="28"/>
          <w:szCs w:val="28"/>
          <w:highlight w:val="none"/>
        </w:rPr>
      </w:pPr>
      <w:bookmarkStart w:id="320" w:name="_Toc11432"/>
      <w:r>
        <w:rPr>
          <w:rFonts w:hint="eastAsia" w:ascii="黑体" w:eastAsia="黑体"/>
          <w:b/>
          <w:color w:val="auto"/>
          <w:sz w:val="28"/>
          <w:szCs w:val="28"/>
          <w:highlight w:val="none"/>
        </w:rPr>
        <w:t>招标文件异议单</w:t>
      </w:r>
      <w:bookmarkEnd w:id="320"/>
    </w:p>
    <w:p>
      <w:pPr>
        <w:adjustRightInd w:val="0"/>
        <w:snapToGrid w:val="0"/>
        <w:jc w:val="center"/>
        <w:rPr>
          <w:rFonts w:eastAsia="黑体"/>
          <w:b/>
          <w:color w:val="auto"/>
          <w:sz w:val="30"/>
          <w:szCs w:val="30"/>
          <w:highlight w:val="none"/>
        </w:rPr>
      </w:pPr>
    </w:p>
    <w:tbl>
      <w:tblPr>
        <w:tblStyle w:val="19"/>
        <w:tblW w:w="97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3"/>
        <w:gridCol w:w="5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4523" w:type="dxa"/>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项目名称：</w:t>
            </w:r>
          </w:p>
        </w:tc>
        <w:tc>
          <w:tcPr>
            <w:tcW w:w="5241" w:type="dxa"/>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0" w:hRule="atLeast"/>
          <w:jc w:val="center"/>
        </w:trPr>
        <w:tc>
          <w:tcPr>
            <w:tcW w:w="4523" w:type="dxa"/>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异议人名称：</w:t>
            </w:r>
          </w:p>
          <w:p>
            <w:pPr>
              <w:spacing w:line="360" w:lineRule="auto"/>
              <w:jc w:val="left"/>
              <w:rPr>
                <w:rFonts w:ascii="宋体" w:hAnsi="宋体" w:cs="宋体"/>
                <w:b/>
                <w:color w:val="auto"/>
                <w:szCs w:val="21"/>
                <w:highlight w:val="none"/>
              </w:rPr>
            </w:pPr>
          </w:p>
        </w:tc>
        <w:tc>
          <w:tcPr>
            <w:tcW w:w="5241" w:type="dxa"/>
            <w:vAlign w:val="center"/>
          </w:tcPr>
          <w:p>
            <w:pPr>
              <w:spacing w:line="360" w:lineRule="auto"/>
              <w:ind w:left="1265" w:hanging="1265" w:hangingChars="600"/>
              <w:jc w:val="left"/>
              <w:rPr>
                <w:rFonts w:ascii="宋体" w:hAnsi="宋体" w:cs="宋体"/>
                <w:b/>
                <w:color w:val="auto"/>
                <w:szCs w:val="21"/>
                <w:highlight w:val="none"/>
              </w:rPr>
            </w:pPr>
            <w:r>
              <w:rPr>
                <w:rFonts w:hint="eastAsia" w:ascii="宋体" w:hAnsi="宋体" w:cs="宋体"/>
                <w:b/>
                <w:color w:val="auto"/>
                <w:szCs w:val="21"/>
                <w:highlight w:val="none"/>
              </w:rPr>
              <w:t>异议人类型：</w:t>
            </w:r>
          </w:p>
          <w:p>
            <w:pPr>
              <w:spacing w:line="360" w:lineRule="auto"/>
              <w:ind w:left="1260" w:hanging="1260" w:hangingChars="600"/>
              <w:jc w:val="left"/>
              <w:rPr>
                <w:rFonts w:ascii="宋体" w:hAnsi="宋体" w:cs="宋体"/>
                <w:color w:val="auto"/>
                <w:szCs w:val="21"/>
                <w:highlight w:val="none"/>
              </w:rPr>
            </w:pPr>
            <w:r>
              <w:rPr>
                <w:rFonts w:hint="eastAsia" w:ascii="宋体" w:hAnsi="宋体" w:cs="宋体"/>
                <w:color w:val="auto"/>
                <w:szCs w:val="21"/>
                <w:highlight w:val="none"/>
              </w:rPr>
              <w:t>□潜在投标人□其他利害关系人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9" w:hRule="atLeast"/>
          <w:jc w:val="center"/>
        </w:trPr>
        <w:tc>
          <w:tcPr>
            <w:tcW w:w="9764" w:type="dxa"/>
            <w:gridSpan w:val="2"/>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联系人：电话：</w:t>
            </w:r>
          </w:p>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传真：电子邮件：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1" w:hRule="atLeast"/>
          <w:jc w:val="center"/>
        </w:trPr>
        <w:tc>
          <w:tcPr>
            <w:tcW w:w="9764" w:type="dxa"/>
            <w:gridSpan w:val="2"/>
          </w:tcPr>
          <w:p>
            <w:pPr>
              <w:rPr>
                <w:rFonts w:ascii="宋体" w:hAnsi="宋体" w:cs="宋体"/>
                <w:b/>
                <w:color w:val="auto"/>
                <w:szCs w:val="21"/>
                <w:highlight w:val="none"/>
              </w:rPr>
            </w:pPr>
            <w:r>
              <w:rPr>
                <w:rFonts w:hint="eastAsia" w:ascii="宋体" w:hAnsi="宋体" w:cs="宋体"/>
                <w:b/>
                <w:color w:val="auto"/>
                <w:szCs w:val="21"/>
                <w:highlight w:val="none"/>
              </w:rPr>
              <w:t>异议内容：</w:t>
            </w:r>
          </w:p>
          <w:p>
            <w:pPr>
              <w:keepNext/>
              <w:keepLines/>
              <w:spacing w:before="260" w:after="260" w:line="413" w:lineRule="auto"/>
              <w:rPr>
                <w:rFonts w:ascii="宋体" w:hAnsi="宋体" w:cs="宋体"/>
                <w:b/>
                <w:color w:val="auto"/>
                <w:szCs w:val="21"/>
                <w:highlight w:val="none"/>
              </w:rPr>
            </w:pPr>
          </w:p>
          <w:p>
            <w:pPr>
              <w:keepNext/>
              <w:keepLines/>
              <w:spacing w:before="260" w:after="260" w:line="413" w:lineRule="auto"/>
              <w:rPr>
                <w:rFonts w:ascii="宋体" w:hAnsi="宋体" w:cs="宋体"/>
                <w:b/>
                <w:color w:val="auto"/>
                <w:szCs w:val="21"/>
                <w:highlight w:val="none"/>
              </w:rPr>
            </w:pPr>
          </w:p>
          <w:p>
            <w:pPr>
              <w:keepNext/>
              <w:keepLines/>
              <w:spacing w:before="260" w:after="260" w:line="413" w:lineRule="auto"/>
              <w:rPr>
                <w:rFonts w:ascii="宋体" w:hAnsi="宋体" w:cs="宋体"/>
                <w:b/>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Cs/>
                <w:color w:val="auto"/>
                <w:szCs w:val="21"/>
                <w:highlight w:val="none"/>
              </w:rPr>
            </w:pPr>
          </w:p>
          <w:p>
            <w:pPr>
              <w:wordWrap w:val="0"/>
              <w:spacing w:line="360" w:lineRule="auto"/>
              <w:ind w:right="1080"/>
              <w:jc w:val="right"/>
              <w:rPr>
                <w:rFonts w:ascii="宋体" w:hAnsi="宋体" w:cs="宋体"/>
                <w:bCs/>
                <w:color w:val="auto"/>
                <w:szCs w:val="21"/>
                <w:highlight w:val="none"/>
              </w:rPr>
            </w:pPr>
            <w:r>
              <w:rPr>
                <w:rFonts w:hint="eastAsia" w:ascii="宋体" w:hAnsi="宋体" w:cs="宋体"/>
                <w:bCs/>
                <w:color w:val="auto"/>
                <w:szCs w:val="21"/>
                <w:highlight w:val="none"/>
              </w:rPr>
              <w:t>异议人</w:t>
            </w:r>
            <w:r>
              <w:rPr>
                <w:rFonts w:hint="eastAsia" w:ascii="宋体" w:hAnsi="宋体" w:cs="宋体"/>
                <w:color w:val="auto"/>
                <w:kern w:val="0"/>
                <w:szCs w:val="21"/>
                <w:highlight w:val="none"/>
              </w:rPr>
              <w:t>法定代表人（单位负责人）或授权代表</w:t>
            </w:r>
            <w:r>
              <w:rPr>
                <w:rFonts w:hint="eastAsia" w:ascii="宋体" w:hAnsi="宋体" w:cs="宋体"/>
                <w:bCs/>
                <w:color w:val="auto"/>
                <w:szCs w:val="21"/>
                <w:highlight w:val="none"/>
              </w:rPr>
              <w:t>签字：</w:t>
            </w:r>
          </w:p>
          <w:p>
            <w:pPr>
              <w:wordWrap w:val="0"/>
              <w:spacing w:line="360" w:lineRule="auto"/>
              <w:ind w:right="1080" w:firstLine="6090" w:firstLineChars="2900"/>
              <w:rPr>
                <w:rFonts w:ascii="宋体" w:hAnsi="宋体" w:cs="宋体"/>
                <w:bCs/>
                <w:color w:val="auto"/>
                <w:szCs w:val="21"/>
                <w:highlight w:val="none"/>
              </w:rPr>
            </w:pPr>
            <w:r>
              <w:rPr>
                <w:rFonts w:hint="eastAsia" w:ascii="宋体" w:hAnsi="宋体" w:cs="宋体"/>
                <w:bCs/>
                <w:color w:val="auto"/>
                <w:szCs w:val="21"/>
                <w:highlight w:val="none"/>
              </w:rPr>
              <w:t>异议人盖章：</w:t>
            </w:r>
          </w:p>
          <w:p>
            <w:pPr>
              <w:wordWrap w:val="0"/>
              <w:spacing w:line="360" w:lineRule="auto"/>
              <w:ind w:right="1080"/>
              <w:rPr>
                <w:rFonts w:ascii="宋体" w:hAnsi="宋体" w:cs="宋体"/>
                <w:b/>
                <w:bCs/>
                <w:color w:val="auto"/>
                <w:szCs w:val="21"/>
                <w:highlight w:val="none"/>
              </w:rPr>
            </w:pPr>
            <w:r>
              <w:rPr>
                <w:rFonts w:hint="eastAsia" w:ascii="宋体" w:hAnsi="宋体" w:cs="宋体"/>
                <w:bCs/>
                <w:color w:val="auto"/>
                <w:szCs w:val="21"/>
                <w:highlight w:val="none"/>
              </w:rPr>
              <w:t xml:space="preserve">                                                                日期：</w:t>
            </w:r>
          </w:p>
        </w:tc>
      </w:tr>
    </w:tbl>
    <w:p>
      <w:pPr>
        <w:widowControl/>
        <w:jc w:val="center"/>
        <w:rPr>
          <w:rFonts w:ascii="黑体" w:eastAsia="黑体"/>
          <w:b/>
          <w:color w:val="auto"/>
          <w:sz w:val="28"/>
          <w:szCs w:val="28"/>
          <w:highlight w:val="none"/>
        </w:rPr>
      </w:pPr>
      <w:r>
        <w:rPr>
          <w:color w:val="auto"/>
          <w:highlight w:val="none"/>
        </w:rPr>
        <w:br w:type="page"/>
      </w:r>
      <w:bookmarkStart w:id="321" w:name="_Toc17457"/>
      <w:r>
        <w:rPr>
          <w:rFonts w:hint="eastAsia" w:ascii="黑体" w:eastAsia="黑体"/>
          <w:b/>
          <w:color w:val="auto"/>
          <w:sz w:val="28"/>
          <w:szCs w:val="28"/>
          <w:highlight w:val="none"/>
        </w:rPr>
        <w:t>开标异议单</w:t>
      </w:r>
      <w:bookmarkEnd w:id="321"/>
    </w:p>
    <w:p>
      <w:pPr>
        <w:widowControl/>
        <w:adjustRightInd w:val="0"/>
        <w:snapToGrid w:val="0"/>
        <w:jc w:val="center"/>
        <w:rPr>
          <w:rFonts w:ascii="黑体" w:hAnsi="宋体" w:eastAsia="黑体"/>
          <w:color w:val="auto"/>
          <w:highlight w:val="none"/>
        </w:rPr>
      </w:pPr>
    </w:p>
    <w:tbl>
      <w:tblPr>
        <w:tblStyle w:val="19"/>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4002"/>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4621" w:type="dxa"/>
            <w:gridSpan w:val="2"/>
            <w:tcBorders>
              <w:top w:val="single" w:color="auto" w:sz="4" w:space="0"/>
              <w:left w:val="single" w:color="auto" w:sz="4" w:space="0"/>
              <w:bottom w:val="single" w:color="auto" w:sz="4" w:space="0"/>
              <w:right w:val="single" w:color="auto" w:sz="4" w:space="0"/>
            </w:tcBorders>
            <w:vAlign w:val="center"/>
          </w:tcPr>
          <w:p>
            <w:pPr>
              <w:ind w:firstLine="48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项目名称：</w:t>
            </w:r>
          </w:p>
        </w:tc>
        <w:tc>
          <w:tcPr>
            <w:tcW w:w="4621" w:type="dxa"/>
            <w:tcBorders>
              <w:top w:val="single" w:color="auto" w:sz="4" w:space="0"/>
              <w:left w:val="single" w:color="auto" w:sz="4" w:space="0"/>
              <w:bottom w:val="single" w:color="auto" w:sz="4" w:space="0"/>
              <w:right w:val="single" w:color="auto" w:sz="4" w:space="0"/>
            </w:tcBorders>
            <w:vAlign w:val="center"/>
          </w:tcPr>
          <w:p>
            <w:pPr>
              <w:ind w:firstLine="48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ind w:firstLine="48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投标人名称：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ind w:firstLine="482"/>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联系人：                            电话：</w:t>
            </w:r>
          </w:p>
          <w:p>
            <w:pPr>
              <w:ind w:firstLine="482"/>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电子邮箱：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ind w:firstLine="48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异议受理场所：</w:t>
            </w:r>
            <w:r>
              <w:rPr>
                <w:rFonts w:hint="eastAsia" w:ascii="宋体" w:hAnsi="宋体" w:eastAsia="宋体" w:cs="宋体"/>
                <w:color w:val="auto"/>
                <w:sz w:val="21"/>
                <w:szCs w:val="21"/>
                <w:highlight w:val="none"/>
              </w:rPr>
              <w:t>□开标现场               □非开标现场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7"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ind w:firstLine="48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异议内容：</w:t>
            </w:r>
          </w:p>
          <w:p>
            <w:pPr>
              <w:pStyle w:val="17"/>
              <w:rPr>
                <w:rFonts w:hint="eastAsia" w:ascii="宋体" w:hAnsi="宋体" w:eastAsia="宋体" w:cs="宋体"/>
                <w:b/>
                <w:color w:val="auto"/>
                <w:sz w:val="21"/>
                <w:szCs w:val="21"/>
                <w:highlight w:val="none"/>
              </w:rPr>
            </w:pPr>
          </w:p>
          <w:p>
            <w:pPr>
              <w:pStyle w:val="17"/>
              <w:rPr>
                <w:rFonts w:hint="eastAsia" w:ascii="宋体" w:hAnsi="宋体" w:eastAsia="宋体" w:cs="宋体"/>
                <w:b/>
                <w:color w:val="auto"/>
                <w:sz w:val="21"/>
                <w:szCs w:val="21"/>
                <w:highlight w:val="none"/>
              </w:rPr>
            </w:pPr>
          </w:p>
          <w:p>
            <w:pPr>
              <w:pStyle w:val="17"/>
              <w:rPr>
                <w:rFonts w:hint="eastAsia" w:ascii="宋体" w:hAnsi="宋体" w:eastAsia="宋体" w:cs="宋体"/>
                <w:b/>
                <w:color w:val="auto"/>
                <w:sz w:val="21"/>
                <w:szCs w:val="21"/>
                <w:highlight w:val="none"/>
              </w:rPr>
            </w:pPr>
          </w:p>
          <w:p>
            <w:pPr>
              <w:pStyle w:val="17"/>
              <w:rPr>
                <w:rFonts w:hint="eastAsia" w:ascii="宋体" w:hAnsi="宋体" w:eastAsia="宋体" w:cs="宋体"/>
                <w:b/>
                <w:color w:val="auto"/>
                <w:sz w:val="21"/>
                <w:szCs w:val="21"/>
                <w:highlight w:val="none"/>
              </w:rPr>
            </w:pPr>
          </w:p>
          <w:p>
            <w:pPr>
              <w:ind w:firstLine="482"/>
              <w:rPr>
                <w:rFonts w:hint="eastAsia" w:ascii="宋体" w:hAnsi="宋体" w:eastAsia="宋体" w:cs="宋体"/>
                <w:b/>
                <w:color w:val="auto"/>
                <w:sz w:val="21"/>
                <w:szCs w:val="21"/>
                <w:highlight w:val="none"/>
              </w:rPr>
            </w:pPr>
          </w:p>
          <w:p>
            <w:pPr>
              <w:ind w:firstLine="482"/>
              <w:rPr>
                <w:rFonts w:hint="eastAsia" w:ascii="宋体" w:hAnsi="宋体" w:eastAsia="宋体" w:cs="宋体"/>
                <w:b/>
                <w:color w:val="auto"/>
                <w:sz w:val="21"/>
                <w:szCs w:val="21"/>
                <w:highlight w:val="none"/>
              </w:rPr>
            </w:pPr>
          </w:p>
          <w:p>
            <w:pPr>
              <w:ind w:firstLine="480"/>
              <w:rPr>
                <w:rFonts w:hint="eastAsia" w:ascii="宋体" w:hAnsi="宋体" w:eastAsia="宋体" w:cs="宋体"/>
                <w:bCs/>
                <w:color w:val="auto"/>
                <w:sz w:val="21"/>
                <w:szCs w:val="21"/>
                <w:highlight w:val="none"/>
              </w:rPr>
            </w:pPr>
            <w:r>
              <w:rPr>
                <w:rFonts w:hint="eastAsia" w:ascii="宋体" w:hAnsi="宋体" w:eastAsia="宋体" w:cs="宋体"/>
                <w:color w:val="auto"/>
                <w:sz w:val="21"/>
                <w:szCs w:val="21"/>
                <w:highlight w:val="none"/>
              </w:rPr>
              <w:t xml:space="preserve">                          投标人法定代表人（单位负责人）或授权代表签字：</w:t>
            </w:r>
          </w:p>
          <w:p>
            <w:pPr>
              <w:ind w:firstLine="480"/>
              <w:jc w:val="center"/>
              <w:rPr>
                <w:rFonts w:hint="eastAsia" w:ascii="宋体" w:hAnsi="宋体" w:eastAsia="宋体" w:cs="宋体"/>
                <w:bCs/>
                <w:color w:val="auto"/>
                <w:sz w:val="21"/>
                <w:szCs w:val="21"/>
                <w:highlight w:val="none"/>
              </w:rPr>
            </w:pPr>
            <w:r>
              <w:rPr>
                <w:rFonts w:hint="eastAsia" w:ascii="宋体" w:hAnsi="宋体" w:eastAsia="宋体" w:cs="宋体"/>
                <w:bCs/>
                <w:color w:val="auto"/>
                <w:sz w:val="21"/>
                <w:szCs w:val="21"/>
                <w:highlight w:val="none"/>
              </w:rPr>
              <w:t xml:space="preserve">                                 投标人盖章：</w:t>
            </w:r>
          </w:p>
          <w:p>
            <w:pPr>
              <w:ind w:firstLine="480"/>
              <w:jc w:val="center"/>
              <w:rPr>
                <w:rFonts w:hint="eastAsia" w:ascii="宋体" w:hAnsi="宋体" w:eastAsia="宋体" w:cs="宋体"/>
                <w:b/>
                <w:color w:val="auto"/>
                <w:sz w:val="21"/>
                <w:szCs w:val="21"/>
                <w:highlight w:val="none"/>
              </w:rPr>
            </w:pPr>
            <w:r>
              <w:rPr>
                <w:rFonts w:hint="eastAsia" w:ascii="宋体" w:hAnsi="宋体" w:eastAsia="宋体" w:cs="宋体"/>
                <w:bCs/>
                <w:color w:val="auto"/>
                <w:sz w:val="21"/>
                <w:szCs w:val="21"/>
                <w:highlight w:val="none"/>
              </w:rPr>
              <w:t xml:space="preserve">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242" w:type="dxa"/>
            <w:gridSpan w:val="3"/>
            <w:tcBorders>
              <w:top w:val="single" w:color="auto" w:sz="4" w:space="0"/>
              <w:left w:val="single" w:color="auto" w:sz="4" w:space="0"/>
              <w:bottom w:val="single" w:color="auto" w:sz="4" w:space="0"/>
              <w:right w:val="single" w:color="auto" w:sz="4" w:space="0"/>
            </w:tcBorders>
          </w:tcPr>
          <w:p>
            <w:pPr>
              <w:ind w:firstLine="48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答复：</w:t>
            </w:r>
          </w:p>
          <w:p>
            <w:pPr>
              <w:ind w:firstLine="482"/>
              <w:rPr>
                <w:rFonts w:hint="eastAsia" w:ascii="宋体" w:hAnsi="宋体" w:eastAsia="宋体" w:cs="宋体"/>
                <w:b/>
                <w:color w:val="auto"/>
                <w:sz w:val="21"/>
                <w:szCs w:val="21"/>
                <w:highlight w:val="none"/>
              </w:rPr>
            </w:pPr>
          </w:p>
          <w:p>
            <w:pPr>
              <w:ind w:firstLine="482"/>
              <w:rPr>
                <w:rFonts w:hint="eastAsia" w:ascii="宋体" w:hAnsi="宋体" w:eastAsia="宋体" w:cs="宋体"/>
                <w:b/>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ind w:firstLine="480"/>
              <w:rPr>
                <w:rFonts w:hint="eastAsia" w:ascii="宋体" w:hAnsi="宋体" w:eastAsia="宋体" w:cs="宋体"/>
                <w:bCs/>
                <w:color w:val="auto"/>
                <w:sz w:val="21"/>
                <w:szCs w:val="21"/>
                <w:highlight w:val="none"/>
              </w:rPr>
            </w:pPr>
            <w:r>
              <w:rPr>
                <w:rFonts w:hint="eastAsia" w:ascii="宋体" w:hAnsi="宋体" w:eastAsia="宋体" w:cs="宋体"/>
                <w:bCs/>
                <w:color w:val="auto"/>
                <w:sz w:val="21"/>
                <w:szCs w:val="21"/>
                <w:highlight w:val="none"/>
              </w:rPr>
              <w:t xml:space="preserve">异议受理工作人员签字：                开标现场监察人员签字：            </w:t>
            </w:r>
          </w:p>
          <w:p>
            <w:pPr>
              <w:ind w:firstLine="480"/>
              <w:rPr>
                <w:rFonts w:hint="eastAsia" w:ascii="宋体" w:hAnsi="宋体" w:eastAsia="宋体" w:cs="宋体"/>
                <w:b/>
                <w:color w:val="auto"/>
                <w:sz w:val="21"/>
                <w:szCs w:val="21"/>
                <w:highlight w:val="none"/>
              </w:rPr>
            </w:pPr>
            <w:r>
              <w:rPr>
                <w:rFonts w:hint="eastAsia" w:ascii="宋体" w:hAnsi="宋体" w:eastAsia="宋体" w:cs="宋体"/>
                <w:bCs/>
                <w:color w:val="auto"/>
                <w:sz w:val="21"/>
                <w:szCs w:val="21"/>
                <w:highlight w:val="none"/>
              </w:rPr>
              <w:t>招标人代表签字或盖章：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9" w:type="dxa"/>
            <w:tcBorders>
              <w:top w:val="single" w:color="auto" w:sz="4" w:space="0"/>
              <w:left w:val="single" w:color="auto" w:sz="4" w:space="0"/>
              <w:bottom w:val="single" w:color="auto" w:sz="4" w:space="0"/>
              <w:right w:val="single" w:color="auto" w:sz="4" w:space="0"/>
            </w:tcBorders>
            <w:vAlign w:val="center"/>
          </w:tcPr>
          <w:p>
            <w:pPr>
              <w:widowControl/>
              <w:snapToGrid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受理说明</w:t>
            </w:r>
          </w:p>
        </w:tc>
        <w:tc>
          <w:tcPr>
            <w:tcW w:w="8623" w:type="dxa"/>
            <w:gridSpan w:val="2"/>
            <w:tcBorders>
              <w:top w:val="single" w:color="auto" w:sz="4" w:space="0"/>
              <w:left w:val="single" w:color="auto" w:sz="4" w:space="0"/>
              <w:bottom w:val="single" w:color="auto" w:sz="4" w:space="0"/>
              <w:right w:val="single" w:color="auto" w:sz="4" w:space="0"/>
            </w:tcBorders>
            <w:vAlign w:val="center"/>
          </w:tcPr>
          <w:p>
            <w:pPr>
              <w:widowControl/>
              <w:snapToGrid w:val="0"/>
              <w:ind w:firstLine="48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参加现场开标的，投标人如有异议，应当场提出并按本表格式填写。</w:t>
            </w:r>
          </w:p>
          <w:p>
            <w:pPr>
              <w:widowControl/>
              <w:snapToGrid w:val="0"/>
              <w:ind w:firstLine="48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未参加现场开标的，投标人如有异议，应按本表格式填写，并在开标结束时间后1个小时内发送至指定电子邮箱，电子邮箱见招标公告。</w:t>
            </w:r>
          </w:p>
        </w:tc>
      </w:tr>
    </w:tbl>
    <w:p>
      <w:pPr>
        <w:adjustRightInd w:val="0"/>
        <w:snapToGrid w:val="0"/>
        <w:spacing w:line="400" w:lineRule="exact"/>
        <w:jc w:val="center"/>
        <w:rPr>
          <w:rFonts w:ascii="黑体" w:eastAsia="黑体"/>
          <w:b/>
          <w:color w:val="auto"/>
          <w:sz w:val="28"/>
          <w:szCs w:val="28"/>
          <w:highlight w:val="none"/>
        </w:rPr>
        <w:sectPr>
          <w:pgSz w:w="11906" w:h="16838"/>
          <w:pgMar w:top="1440" w:right="1440" w:bottom="1440" w:left="1440" w:header="851" w:footer="992" w:gutter="0"/>
          <w:cols w:space="720" w:num="1"/>
          <w:docGrid w:linePitch="312" w:charSpace="0"/>
        </w:sectPr>
      </w:pPr>
    </w:p>
    <w:p>
      <w:pPr>
        <w:adjustRightInd w:val="0"/>
        <w:snapToGrid w:val="0"/>
        <w:spacing w:line="400" w:lineRule="exact"/>
        <w:jc w:val="center"/>
        <w:rPr>
          <w:rFonts w:ascii="黑体" w:eastAsia="黑体"/>
          <w:b/>
          <w:color w:val="auto"/>
          <w:sz w:val="28"/>
          <w:szCs w:val="28"/>
          <w:highlight w:val="none"/>
        </w:rPr>
      </w:pPr>
      <w:bookmarkStart w:id="322" w:name="_Toc31773"/>
      <w:r>
        <w:rPr>
          <w:rFonts w:hint="eastAsia" w:ascii="黑体" w:eastAsia="黑体"/>
          <w:b/>
          <w:color w:val="auto"/>
          <w:sz w:val="28"/>
          <w:szCs w:val="28"/>
          <w:highlight w:val="none"/>
        </w:rPr>
        <w:t>评标结果异议单</w:t>
      </w:r>
      <w:bookmarkEnd w:id="322"/>
    </w:p>
    <w:p>
      <w:pPr>
        <w:adjustRightInd w:val="0"/>
        <w:snapToGrid w:val="0"/>
        <w:spacing w:line="400" w:lineRule="exact"/>
        <w:jc w:val="center"/>
        <w:rPr>
          <w:rFonts w:ascii="黑体" w:eastAsia="黑体"/>
          <w:b/>
          <w:color w:val="auto"/>
          <w:sz w:val="28"/>
          <w:szCs w:val="28"/>
          <w:highlight w:val="none"/>
        </w:rPr>
      </w:pPr>
    </w:p>
    <w:tbl>
      <w:tblPr>
        <w:tblStyle w:val="19"/>
        <w:tblW w:w="10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0"/>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2" w:hRule="atLeast"/>
          <w:jc w:val="center"/>
        </w:trPr>
        <w:tc>
          <w:tcPr>
            <w:tcW w:w="4990" w:type="dxa"/>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项目名称：</w:t>
            </w:r>
          </w:p>
        </w:tc>
        <w:tc>
          <w:tcPr>
            <w:tcW w:w="5040" w:type="dxa"/>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4990" w:type="dxa"/>
          </w:tcPr>
          <w:p>
            <w:pPr>
              <w:spacing w:line="360" w:lineRule="auto"/>
              <w:jc w:val="left"/>
              <w:rPr>
                <w:rFonts w:ascii="宋体" w:hAnsi="宋体"/>
                <w:b/>
                <w:color w:val="auto"/>
                <w:szCs w:val="21"/>
                <w:highlight w:val="none"/>
              </w:rPr>
            </w:pPr>
            <w:r>
              <w:rPr>
                <w:rFonts w:hint="eastAsia" w:ascii="宋体" w:hAnsi="宋体"/>
                <w:b/>
                <w:color w:val="auto"/>
                <w:szCs w:val="21"/>
                <w:highlight w:val="none"/>
              </w:rPr>
              <w:t>异议人名称：</w:t>
            </w:r>
          </w:p>
        </w:tc>
        <w:tc>
          <w:tcPr>
            <w:tcW w:w="5040" w:type="dxa"/>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异议人类型：</w:t>
            </w:r>
          </w:p>
          <w:p>
            <w:pPr>
              <w:spacing w:line="360" w:lineRule="auto"/>
              <w:jc w:val="left"/>
              <w:rPr>
                <w:rFonts w:ascii="宋体" w:hAnsi="宋体"/>
                <w:color w:val="auto"/>
                <w:szCs w:val="21"/>
                <w:highlight w:val="none"/>
              </w:rPr>
            </w:pPr>
            <w:r>
              <w:rPr>
                <w:rFonts w:hint="eastAsia" w:ascii="宋体" w:hAnsi="宋体"/>
                <w:color w:val="auto"/>
                <w:szCs w:val="21"/>
                <w:highlight w:val="none"/>
              </w:rPr>
              <w:t>□投标人□其他利害关系人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9" w:hRule="atLeast"/>
          <w:jc w:val="center"/>
        </w:trPr>
        <w:tc>
          <w:tcPr>
            <w:tcW w:w="10030" w:type="dxa"/>
            <w:gridSpan w:val="2"/>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联系人：电话：</w:t>
            </w:r>
          </w:p>
          <w:p>
            <w:pPr>
              <w:spacing w:line="360" w:lineRule="auto"/>
              <w:jc w:val="left"/>
              <w:rPr>
                <w:rFonts w:ascii="宋体" w:hAnsi="宋体"/>
                <w:b/>
                <w:color w:val="auto"/>
                <w:szCs w:val="21"/>
                <w:highlight w:val="none"/>
              </w:rPr>
            </w:pPr>
            <w:r>
              <w:rPr>
                <w:rFonts w:hint="eastAsia" w:ascii="宋体" w:hAnsi="宋体"/>
                <w:b/>
                <w:color w:val="auto"/>
                <w:szCs w:val="21"/>
                <w:highlight w:val="none"/>
              </w:rPr>
              <w:t>传真：电子邮件：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5" w:hRule="atLeast"/>
          <w:jc w:val="center"/>
        </w:trPr>
        <w:tc>
          <w:tcPr>
            <w:tcW w:w="10030" w:type="dxa"/>
            <w:gridSpan w:val="2"/>
          </w:tcPr>
          <w:p>
            <w:pPr>
              <w:widowControl/>
              <w:spacing w:line="400" w:lineRule="exact"/>
              <w:rPr>
                <w:rFonts w:hint="eastAsia" w:ascii="宋体" w:hAnsi="宋体"/>
                <w:b/>
                <w:color w:val="auto"/>
                <w:szCs w:val="21"/>
                <w:highlight w:val="none"/>
              </w:rPr>
            </w:pPr>
            <w:r>
              <w:rPr>
                <w:rFonts w:hint="eastAsia" w:ascii="宋体" w:hAnsi="宋体"/>
                <w:b/>
                <w:color w:val="auto"/>
                <w:szCs w:val="21"/>
                <w:highlight w:val="none"/>
              </w:rPr>
              <w:t>异议内容：</w:t>
            </w:r>
          </w:p>
          <w:p>
            <w:pPr>
              <w:widowControl/>
              <w:spacing w:line="400" w:lineRule="exact"/>
              <w:rPr>
                <w:rFonts w:hint="eastAsia" w:ascii="宋体" w:hAnsi="宋体"/>
                <w:b w:val="0"/>
                <w:bCs/>
                <w:color w:val="auto"/>
                <w:szCs w:val="21"/>
                <w:highlight w:val="none"/>
              </w:rPr>
            </w:pPr>
            <w:r>
              <w:rPr>
                <w:rFonts w:hint="eastAsia" w:ascii="宋体" w:hAnsi="宋体"/>
                <w:b w:val="0"/>
                <w:bCs/>
                <w:color w:val="auto"/>
                <w:szCs w:val="21"/>
                <w:highlight w:val="none"/>
              </w:rPr>
              <w:t>具体明确的异议事项与异议事项相关的请求：</w:t>
            </w:r>
          </w:p>
          <w:p>
            <w:pPr>
              <w:widowControl/>
              <w:spacing w:line="400" w:lineRule="exact"/>
              <w:rPr>
                <w:rFonts w:hint="eastAsia" w:ascii="宋体" w:hAnsi="宋体"/>
                <w:b w:val="0"/>
                <w:bCs/>
                <w:color w:val="auto"/>
                <w:szCs w:val="21"/>
                <w:highlight w:val="none"/>
              </w:rPr>
            </w:pPr>
          </w:p>
          <w:p>
            <w:pPr>
              <w:widowControl/>
              <w:spacing w:line="400" w:lineRule="exact"/>
              <w:rPr>
                <w:rFonts w:hint="eastAsia" w:ascii="宋体" w:hAnsi="宋体"/>
                <w:b w:val="0"/>
                <w:bCs/>
                <w:color w:val="auto"/>
                <w:szCs w:val="21"/>
                <w:highlight w:val="none"/>
              </w:rPr>
            </w:pPr>
          </w:p>
          <w:p>
            <w:pPr>
              <w:widowControl/>
              <w:spacing w:line="400" w:lineRule="exact"/>
              <w:rPr>
                <w:rFonts w:hint="eastAsia" w:ascii="宋体" w:hAnsi="宋体"/>
                <w:b w:val="0"/>
                <w:bCs/>
                <w:color w:val="auto"/>
                <w:szCs w:val="21"/>
                <w:highlight w:val="none"/>
              </w:rPr>
            </w:pPr>
            <w:r>
              <w:rPr>
                <w:rFonts w:hint="eastAsia" w:ascii="宋体" w:hAnsi="宋体"/>
                <w:b w:val="0"/>
                <w:bCs/>
                <w:color w:val="auto"/>
                <w:szCs w:val="21"/>
                <w:highlight w:val="none"/>
              </w:rPr>
              <w:t>事实依据：</w:t>
            </w:r>
          </w:p>
          <w:p>
            <w:pPr>
              <w:widowControl/>
              <w:spacing w:line="400" w:lineRule="exact"/>
              <w:rPr>
                <w:rFonts w:hint="eastAsia" w:ascii="宋体" w:hAnsi="宋体"/>
                <w:b w:val="0"/>
                <w:bCs/>
                <w:color w:val="auto"/>
                <w:szCs w:val="21"/>
                <w:highlight w:val="none"/>
              </w:rPr>
            </w:pPr>
          </w:p>
          <w:p>
            <w:pPr>
              <w:widowControl/>
              <w:spacing w:line="400" w:lineRule="exact"/>
              <w:rPr>
                <w:rFonts w:hint="eastAsia" w:ascii="宋体" w:hAnsi="宋体"/>
                <w:b w:val="0"/>
                <w:bCs/>
                <w:color w:val="auto"/>
                <w:szCs w:val="21"/>
                <w:highlight w:val="none"/>
              </w:rPr>
            </w:pPr>
          </w:p>
          <w:p>
            <w:pPr>
              <w:widowControl/>
              <w:spacing w:line="400" w:lineRule="exact"/>
              <w:rPr>
                <w:rFonts w:hint="eastAsia" w:ascii="宋体" w:hAnsi="宋体"/>
                <w:b w:val="0"/>
                <w:bCs/>
                <w:color w:val="auto"/>
                <w:szCs w:val="21"/>
                <w:highlight w:val="none"/>
              </w:rPr>
            </w:pPr>
            <w:r>
              <w:rPr>
                <w:rFonts w:hint="eastAsia" w:ascii="宋体" w:hAnsi="宋体"/>
                <w:b w:val="0"/>
                <w:bCs/>
                <w:color w:val="auto"/>
                <w:szCs w:val="21"/>
                <w:highlight w:val="none"/>
              </w:rPr>
              <w:t>必要的法律依据：</w:t>
            </w: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wordWrap w:val="0"/>
              <w:spacing w:line="360" w:lineRule="auto"/>
              <w:ind w:right="1080" w:firstLine="4200" w:firstLineChars="2000"/>
              <w:rPr>
                <w:rFonts w:ascii="宋体" w:hAnsi="宋体"/>
                <w:bCs/>
                <w:color w:val="auto"/>
                <w:szCs w:val="21"/>
                <w:highlight w:val="none"/>
              </w:rPr>
            </w:pPr>
            <w:r>
              <w:rPr>
                <w:rFonts w:hint="eastAsia" w:ascii="宋体" w:hAnsi="宋体"/>
                <w:bCs/>
                <w:color w:val="auto"/>
                <w:szCs w:val="21"/>
                <w:highlight w:val="none"/>
              </w:rPr>
              <w:t>异议人</w:t>
            </w:r>
            <w:r>
              <w:rPr>
                <w:rFonts w:hint="eastAsia" w:ascii="宋体" w:hAnsi="宋体" w:cs="方正仿宋_GBK"/>
                <w:color w:val="auto"/>
                <w:kern w:val="0"/>
                <w:szCs w:val="21"/>
                <w:highlight w:val="none"/>
              </w:rPr>
              <w:t>法定代表人（单位负责人）或授权代表</w:t>
            </w:r>
            <w:r>
              <w:rPr>
                <w:rFonts w:hint="eastAsia" w:ascii="宋体" w:hAnsi="宋体"/>
                <w:bCs/>
                <w:color w:val="auto"/>
                <w:szCs w:val="21"/>
                <w:highlight w:val="none"/>
              </w:rPr>
              <w:t>签字：</w:t>
            </w:r>
          </w:p>
          <w:p>
            <w:pPr>
              <w:wordWrap w:val="0"/>
              <w:spacing w:line="360" w:lineRule="auto"/>
              <w:ind w:right="1080" w:firstLine="6300" w:firstLineChars="3000"/>
              <w:rPr>
                <w:rFonts w:ascii="宋体" w:hAnsi="宋体"/>
                <w:bCs/>
                <w:color w:val="auto"/>
                <w:szCs w:val="21"/>
                <w:highlight w:val="none"/>
              </w:rPr>
            </w:pPr>
            <w:r>
              <w:rPr>
                <w:rFonts w:hint="eastAsia" w:ascii="宋体" w:hAnsi="宋体"/>
                <w:bCs/>
                <w:color w:val="auto"/>
                <w:szCs w:val="21"/>
                <w:highlight w:val="none"/>
              </w:rPr>
              <w:t>异议人盖章：</w:t>
            </w:r>
          </w:p>
          <w:p>
            <w:pPr>
              <w:widowControl/>
              <w:spacing w:line="400" w:lineRule="exact"/>
              <w:ind w:left="98" w:firstLine="420" w:firstLineChars="200"/>
              <w:rPr>
                <w:rFonts w:ascii="宋体" w:hAnsi="宋体"/>
                <w:b/>
                <w:color w:val="auto"/>
                <w:szCs w:val="21"/>
                <w:highlight w:val="none"/>
              </w:rPr>
            </w:pPr>
            <w:r>
              <w:rPr>
                <w:rFonts w:ascii="宋体" w:hAnsi="宋体"/>
                <w:bCs/>
                <w:color w:val="auto"/>
                <w:szCs w:val="21"/>
                <w:highlight w:val="none"/>
              </w:rPr>
              <w:t xml:space="preserve">                                                             日期：</w:t>
            </w:r>
          </w:p>
        </w:tc>
      </w:tr>
    </w:tbl>
    <w:p>
      <w:pPr>
        <w:pStyle w:val="8"/>
        <w:spacing w:before="299"/>
        <w:rPr>
          <w:color w:val="auto"/>
          <w:highlight w:val="none"/>
        </w:rPr>
      </w:pPr>
    </w:p>
    <w:p>
      <w:pPr>
        <w:widowControl/>
        <w:spacing w:line="400" w:lineRule="exact"/>
        <w:jc w:val="left"/>
        <w:rPr>
          <w:rFonts w:ascii="黑体" w:eastAsia="黑体"/>
          <w:color w:val="auto"/>
          <w:sz w:val="24"/>
          <w:highlight w:val="none"/>
        </w:rPr>
        <w:sectPr>
          <w:pgSz w:w="11906" w:h="16838"/>
          <w:pgMar w:top="1440" w:right="1440" w:bottom="1440" w:left="1440" w:header="851" w:footer="992" w:gutter="0"/>
          <w:cols w:space="720" w:num="1"/>
          <w:docGrid w:linePitch="312" w:charSpace="0"/>
        </w:sectPr>
      </w:pPr>
    </w:p>
    <w:p>
      <w:pPr>
        <w:pStyle w:val="2"/>
        <w:adjustRightInd w:val="0"/>
        <w:snapToGrid w:val="0"/>
        <w:spacing w:before="240" w:beforeLines="100" w:after="120" w:afterLines="50" w:line="400" w:lineRule="exact"/>
        <w:jc w:val="center"/>
        <w:rPr>
          <w:rFonts w:ascii="黑体" w:eastAsia="黑体"/>
          <w:color w:val="auto"/>
          <w:sz w:val="28"/>
          <w:szCs w:val="28"/>
          <w:highlight w:val="none"/>
        </w:rPr>
      </w:pPr>
      <w:bookmarkStart w:id="323" w:name="_Toc24469"/>
      <w:bookmarkStart w:id="324" w:name="_Toc500521531"/>
      <w:bookmarkStart w:id="325" w:name="_Toc62551553"/>
      <w:bookmarkStart w:id="326" w:name="_Toc17566"/>
      <w:bookmarkStart w:id="327" w:name="_Toc23800"/>
      <w:bookmarkStart w:id="328" w:name="_Toc496718841"/>
      <w:r>
        <w:rPr>
          <w:rFonts w:hint="eastAsia" w:ascii="黑体" w:eastAsia="黑体"/>
          <w:color w:val="auto"/>
          <w:sz w:val="28"/>
          <w:szCs w:val="28"/>
          <w:highlight w:val="none"/>
        </w:rPr>
        <w:t>第三章  评标办法（综合评估法）</w:t>
      </w:r>
      <w:bookmarkEnd w:id="323"/>
      <w:bookmarkEnd w:id="324"/>
      <w:bookmarkEnd w:id="325"/>
      <w:bookmarkEnd w:id="326"/>
      <w:bookmarkEnd w:id="327"/>
      <w:bookmarkEnd w:id="328"/>
    </w:p>
    <w:p>
      <w:pPr>
        <w:pStyle w:val="3"/>
        <w:spacing w:before="240" w:beforeLines="100" w:after="120" w:afterLines="50" w:line="400" w:lineRule="exact"/>
        <w:rPr>
          <w:rFonts w:ascii="黑体" w:hAnsi="黑体"/>
          <w:b w:val="0"/>
          <w:color w:val="auto"/>
          <w:sz w:val="24"/>
          <w:szCs w:val="24"/>
          <w:highlight w:val="none"/>
        </w:rPr>
      </w:pPr>
      <w:bookmarkStart w:id="329" w:name="_Toc500521532"/>
      <w:bookmarkStart w:id="330" w:name="_Toc129618895"/>
      <w:bookmarkStart w:id="331" w:name="_Toc24900"/>
      <w:bookmarkStart w:id="332" w:name="_Toc32747"/>
      <w:bookmarkStart w:id="333" w:name="_Toc1201"/>
      <w:bookmarkStart w:id="334" w:name="_Toc62551554"/>
      <w:r>
        <w:rPr>
          <w:rFonts w:hint="eastAsia" w:ascii="黑体" w:hAnsi="黑体"/>
          <w:b w:val="0"/>
          <w:color w:val="auto"/>
          <w:sz w:val="24"/>
          <w:szCs w:val="24"/>
          <w:highlight w:val="none"/>
        </w:rPr>
        <w:t>评标办法前附表</w:t>
      </w:r>
      <w:bookmarkEnd w:id="329"/>
      <w:r>
        <w:rPr>
          <w:rFonts w:hint="eastAsia" w:ascii="黑体" w:hAnsi="黑体"/>
          <w:b w:val="0"/>
          <w:color w:val="auto"/>
          <w:sz w:val="24"/>
          <w:szCs w:val="24"/>
          <w:highlight w:val="none"/>
        </w:rPr>
        <w:t>之一</w:t>
      </w:r>
      <w:bookmarkEnd w:id="330"/>
      <w:bookmarkEnd w:id="331"/>
      <w:bookmarkEnd w:id="332"/>
      <w:bookmarkEnd w:id="333"/>
      <w:bookmarkEnd w:id="334"/>
    </w:p>
    <w:tbl>
      <w:tblPr>
        <w:tblStyle w:val="19"/>
        <w:tblW w:w="84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
      <w:tblGrid>
        <w:gridCol w:w="1617"/>
        <w:gridCol w:w="1984"/>
        <w:gridCol w:w="48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blHeader/>
          <w:jc w:val="center"/>
        </w:trPr>
        <w:tc>
          <w:tcPr>
            <w:tcW w:w="1617" w:type="dxa"/>
            <w:vAlign w:val="center"/>
          </w:tcPr>
          <w:p>
            <w:pPr>
              <w:pStyle w:val="28"/>
              <w:ind w:right="668"/>
              <w:jc w:val="center"/>
              <w:rPr>
                <w:b/>
                <w:color w:val="auto"/>
                <w:sz w:val="21"/>
                <w:szCs w:val="21"/>
                <w:highlight w:val="none"/>
              </w:rPr>
            </w:pPr>
            <w:bookmarkStart w:id="335" w:name="_Toc246996243"/>
            <w:bookmarkStart w:id="336" w:name="_Toc246996986"/>
            <w:bookmarkStart w:id="337" w:name="_Toc247085758"/>
            <w:bookmarkStart w:id="338" w:name="_Toc296602488"/>
            <w:r>
              <w:rPr>
                <w:rFonts w:hint="eastAsia"/>
                <w:b/>
                <w:color w:val="auto"/>
                <w:sz w:val="21"/>
                <w:szCs w:val="21"/>
                <w:highlight w:val="none"/>
                <w:lang w:eastAsia="en-US"/>
              </w:rPr>
              <w:t>条款号</w:t>
            </w:r>
          </w:p>
        </w:tc>
        <w:tc>
          <w:tcPr>
            <w:tcW w:w="1984" w:type="dxa"/>
            <w:vAlign w:val="center"/>
          </w:tcPr>
          <w:p>
            <w:pPr>
              <w:pStyle w:val="28"/>
              <w:ind w:left="62" w:right="52"/>
              <w:jc w:val="center"/>
              <w:rPr>
                <w:b/>
                <w:color w:val="auto"/>
                <w:sz w:val="21"/>
                <w:szCs w:val="21"/>
                <w:highlight w:val="none"/>
              </w:rPr>
            </w:pPr>
            <w:r>
              <w:rPr>
                <w:rFonts w:hint="eastAsia"/>
                <w:b/>
                <w:color w:val="auto"/>
                <w:sz w:val="21"/>
                <w:szCs w:val="21"/>
                <w:highlight w:val="none"/>
                <w:lang w:eastAsia="en-US"/>
              </w:rPr>
              <w:t>评审因素</w:t>
            </w:r>
          </w:p>
        </w:tc>
        <w:tc>
          <w:tcPr>
            <w:tcW w:w="4825" w:type="dxa"/>
            <w:vAlign w:val="center"/>
          </w:tcPr>
          <w:p>
            <w:pPr>
              <w:pStyle w:val="28"/>
              <w:ind w:left="1900" w:right="1890"/>
              <w:jc w:val="center"/>
              <w:rPr>
                <w:b/>
                <w:color w:val="auto"/>
                <w:sz w:val="21"/>
                <w:szCs w:val="21"/>
                <w:highlight w:val="none"/>
              </w:rPr>
            </w:pPr>
            <w:r>
              <w:rPr>
                <w:rFonts w:hint="eastAsia"/>
                <w:b/>
                <w:color w:val="auto"/>
                <w:sz w:val="21"/>
                <w:szCs w:val="21"/>
                <w:highlight w:val="none"/>
                <w:lang w:eastAsia="en-US"/>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ascii="宋体" w:hAnsi="宋体"/>
                <w:color w:val="auto"/>
                <w:szCs w:val="21"/>
                <w:highlight w:val="none"/>
              </w:rPr>
              <w:t>1</w:t>
            </w:r>
          </w:p>
        </w:tc>
        <w:tc>
          <w:tcPr>
            <w:tcW w:w="1984" w:type="dxa"/>
            <w:vAlign w:val="center"/>
          </w:tcPr>
          <w:p>
            <w:pPr>
              <w:pStyle w:val="28"/>
              <w:spacing w:before="120" w:beforeLines="50" w:after="120" w:afterLines="50"/>
              <w:jc w:val="center"/>
              <w:rPr>
                <w:color w:val="auto"/>
                <w:sz w:val="21"/>
                <w:szCs w:val="21"/>
                <w:highlight w:val="none"/>
                <w:lang w:eastAsia="en-US"/>
              </w:rPr>
            </w:pPr>
            <w:r>
              <w:rPr>
                <w:color w:val="auto"/>
                <w:sz w:val="21"/>
                <w:szCs w:val="21"/>
                <w:highlight w:val="none"/>
                <w:lang w:eastAsia="en-US"/>
              </w:rPr>
              <w:t>中标候选人排序方法</w:t>
            </w:r>
          </w:p>
        </w:tc>
        <w:tc>
          <w:tcPr>
            <w:tcW w:w="4825" w:type="dxa"/>
            <w:vAlign w:val="center"/>
          </w:tcPr>
          <w:p>
            <w:pPr>
              <w:widowControl/>
              <w:snapToGrid w:val="0"/>
              <w:spacing w:before="120" w:beforeLines="50" w:after="120" w:afterLines="50"/>
              <w:rPr>
                <w:rFonts w:ascii="宋体" w:hAnsi="宋体" w:cs="宋体"/>
                <w:color w:val="auto"/>
                <w:highlight w:val="none"/>
              </w:rPr>
            </w:pPr>
            <w:r>
              <w:rPr>
                <w:rFonts w:hint="eastAsia" w:ascii="宋体" w:hAnsi="宋体" w:cs="宋体"/>
                <w:color w:val="auto"/>
                <w:highlight w:val="none"/>
              </w:rPr>
              <w:t>修改：</w:t>
            </w:r>
          </w:p>
          <w:p>
            <w:pPr>
              <w:keepNext/>
              <w:keepLines/>
              <w:topLinePunct/>
              <w:autoSpaceDE w:val="0"/>
              <w:autoSpaceDN w:val="0"/>
              <w:snapToGrid w:val="0"/>
              <w:spacing w:before="120" w:beforeLines="50" w:after="120" w:afterLines="50"/>
              <w:outlineLvl w:val="1"/>
              <w:rPr>
                <w:rFonts w:ascii="宋体" w:hAnsi="宋体"/>
                <w:color w:val="auto"/>
                <w:szCs w:val="21"/>
                <w:highlight w:val="none"/>
              </w:rPr>
            </w:pPr>
            <w:r>
              <w:rPr>
                <w:rFonts w:hint="eastAsia" w:ascii="宋体" w:hAnsi="宋体" w:cs="宋体"/>
                <w:color w:val="auto"/>
                <w:highlight w:val="none"/>
              </w:rPr>
              <w:t>综合评分相等时，以技术得分高的优先；技术得分也相等，以投标报价低的优先；技术得分和投标报价都相等的，由招标人确定。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pStyle w:val="28"/>
              <w:ind w:left="62" w:right="52"/>
              <w:jc w:val="center"/>
              <w:rPr>
                <w:color w:val="auto"/>
                <w:sz w:val="21"/>
                <w:szCs w:val="21"/>
                <w:highlight w:val="none"/>
              </w:rPr>
            </w:pPr>
            <w:r>
              <w:rPr>
                <w:rFonts w:hint="eastAsia"/>
                <w:color w:val="auto"/>
                <w:sz w:val="21"/>
                <w:szCs w:val="21"/>
                <w:highlight w:val="none"/>
                <w:lang w:val="en-US"/>
              </w:rPr>
              <w:t>2.1</w:t>
            </w:r>
          </w:p>
        </w:tc>
        <w:tc>
          <w:tcPr>
            <w:tcW w:w="1984" w:type="dxa"/>
            <w:vAlign w:val="center"/>
          </w:tcPr>
          <w:p>
            <w:pPr>
              <w:pStyle w:val="28"/>
              <w:spacing w:before="120" w:beforeLines="50" w:after="120" w:afterLines="50"/>
              <w:ind w:left="63" w:right="50"/>
              <w:jc w:val="center"/>
              <w:rPr>
                <w:color w:val="auto"/>
                <w:sz w:val="21"/>
                <w:szCs w:val="21"/>
                <w:highlight w:val="none"/>
                <w:lang w:eastAsia="en-US"/>
              </w:rPr>
            </w:pPr>
            <w:r>
              <w:rPr>
                <w:rFonts w:hint="eastAsia"/>
                <w:color w:val="auto"/>
                <w:sz w:val="21"/>
                <w:szCs w:val="21"/>
                <w:highlight w:val="none"/>
              </w:rPr>
              <w:t>初步评审标准</w:t>
            </w:r>
          </w:p>
        </w:tc>
        <w:tc>
          <w:tcPr>
            <w:tcW w:w="4825" w:type="dxa"/>
            <w:vAlign w:val="center"/>
          </w:tcPr>
          <w:p>
            <w:pPr>
              <w:keepNext/>
              <w:keepLines/>
              <w:topLinePunct/>
              <w:autoSpaceDE w:val="0"/>
              <w:autoSpaceDN w:val="0"/>
              <w:snapToGrid w:val="0"/>
              <w:spacing w:before="120" w:beforeLines="50" w:after="120" w:afterLines="50"/>
              <w:outlineLvl w:val="1"/>
              <w:rPr>
                <w:rFonts w:ascii="宋体" w:hAnsi="宋体"/>
                <w:color w:val="auto"/>
                <w:szCs w:val="21"/>
                <w:highlight w:val="none"/>
              </w:rPr>
            </w:pPr>
            <w:bookmarkStart w:id="339" w:name="_Toc129618897"/>
            <w:bookmarkStart w:id="340" w:name="_Toc62551556"/>
            <w:r>
              <w:rPr>
                <w:rFonts w:hint="eastAsia" w:ascii="宋体" w:hAnsi="宋体" w:cs="宋体"/>
                <w:color w:val="auto"/>
                <w:kern w:val="0"/>
                <w:szCs w:val="21"/>
                <w:highlight w:val="none"/>
                <w:lang w:val="zh-CN"/>
              </w:rPr>
              <w:t>见评标办法前附表之二：初步评审标准</w:t>
            </w:r>
            <w:bookmarkEnd w:id="339"/>
            <w:bookmarkEnd w:id="340"/>
            <w:r>
              <w:rPr>
                <w:rFonts w:hint="eastAsia" w:ascii="宋体" w:hAnsi="宋体" w:cs="宋体"/>
                <w:color w:val="auto"/>
                <w:kern w:val="0"/>
                <w:szCs w:val="21"/>
                <w:highlight w:val="none"/>
                <w:lang w:val="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ascii="宋体" w:hAnsi="宋体"/>
                <w:color w:val="auto"/>
                <w:szCs w:val="21"/>
                <w:highlight w:val="none"/>
              </w:rPr>
              <w:t>2.2.1</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lang w:eastAsia="en-US"/>
              </w:rPr>
            </w:pPr>
            <w:r>
              <w:rPr>
                <w:color w:val="auto"/>
                <w:sz w:val="21"/>
                <w:szCs w:val="21"/>
                <w:highlight w:val="none"/>
                <w:lang w:eastAsia="en-US"/>
              </w:rPr>
              <w:t>分值构成</w:t>
            </w:r>
          </w:p>
          <w:p>
            <w:pPr>
              <w:pStyle w:val="28"/>
              <w:spacing w:before="120" w:beforeLines="50" w:after="120" w:afterLines="50"/>
              <w:ind w:left="63"/>
              <w:jc w:val="center"/>
              <w:rPr>
                <w:color w:val="auto"/>
                <w:sz w:val="21"/>
                <w:szCs w:val="21"/>
                <w:highlight w:val="none"/>
                <w:lang w:eastAsia="en-US"/>
              </w:rPr>
            </w:pPr>
            <w:r>
              <w:rPr>
                <w:color w:val="auto"/>
                <w:sz w:val="21"/>
                <w:szCs w:val="21"/>
                <w:highlight w:val="none"/>
                <w:lang w:eastAsia="en-US"/>
              </w:rPr>
              <w:t>(总分100分)</w:t>
            </w:r>
          </w:p>
        </w:tc>
        <w:tc>
          <w:tcPr>
            <w:tcW w:w="4825" w:type="dxa"/>
            <w:tcBorders>
              <w:left w:val="single" w:color="auto" w:sz="4" w:space="0"/>
            </w:tcBorders>
            <w:vAlign w:val="center"/>
          </w:tcPr>
          <w:p>
            <w:pPr>
              <w:pStyle w:val="17"/>
              <w:snapToGrid w:val="0"/>
              <w:spacing w:before="120" w:beforeLines="50" w:afterLines="50"/>
              <w:ind w:left="0" w:leftChars="0" w:firstLine="0"/>
              <w:rPr>
                <w:rFonts w:ascii="宋体" w:hAnsi="宋体"/>
                <w:color w:val="auto"/>
                <w:szCs w:val="21"/>
                <w:highlight w:val="none"/>
              </w:rPr>
            </w:pPr>
            <w:bookmarkStart w:id="341" w:name="_Toc129618898"/>
            <w:r>
              <w:rPr>
                <w:rFonts w:hint="eastAsia" w:ascii="宋体" w:hAnsi="宋体" w:eastAsia="宋体" w:cs="宋体"/>
                <w:color w:val="auto"/>
                <w:kern w:val="0"/>
                <w:sz w:val="21"/>
                <w:szCs w:val="21"/>
                <w:highlight w:val="none"/>
                <w:lang w:val="zh-CN" w:eastAsia="zh-CN" w:bidi="ar-SA"/>
              </w:rPr>
              <w:t>分值构成详见评标办法前附表之六。</w:t>
            </w:r>
            <w:bookmarkEnd w:id="341"/>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ascii="宋体" w:hAnsi="宋体"/>
                <w:color w:val="auto"/>
                <w:szCs w:val="21"/>
                <w:highlight w:val="none"/>
              </w:rPr>
              <w:t>2.2.2</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lang w:eastAsia="en-US"/>
              </w:rPr>
            </w:pPr>
            <w:r>
              <w:rPr>
                <w:color w:val="auto"/>
                <w:sz w:val="21"/>
                <w:szCs w:val="21"/>
                <w:highlight w:val="none"/>
                <w:lang w:eastAsia="en-US"/>
              </w:rPr>
              <w:t>评标基准价计算方法</w:t>
            </w:r>
          </w:p>
        </w:tc>
        <w:tc>
          <w:tcPr>
            <w:tcW w:w="4825" w:type="dxa"/>
            <w:tcBorders>
              <w:left w:val="single" w:color="auto" w:sz="4" w:space="0"/>
            </w:tcBorders>
            <w:vAlign w:val="center"/>
          </w:tcPr>
          <w:p>
            <w:pPr>
              <w:pStyle w:val="28"/>
              <w:spacing w:before="120" w:beforeLines="50" w:after="120" w:afterLines="50"/>
              <w:rPr>
                <w:color w:val="auto"/>
                <w:sz w:val="21"/>
                <w:szCs w:val="21"/>
                <w:highlight w:val="none"/>
              </w:rPr>
            </w:pPr>
            <w:r>
              <w:rPr>
                <w:rFonts w:hint="eastAsia"/>
                <w:color w:val="auto"/>
                <w:sz w:val="21"/>
                <w:szCs w:val="21"/>
                <w:highlight w:val="none"/>
                <w:lang w:eastAsia="en-US"/>
              </w:rPr>
              <w:t>见本章2.2.4（3）</w:t>
            </w:r>
            <w:r>
              <w:rPr>
                <w:rFonts w:hint="eastAsia"/>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ascii="宋体" w:hAnsi="宋体"/>
                <w:color w:val="auto"/>
                <w:szCs w:val="21"/>
                <w:highlight w:val="none"/>
              </w:rPr>
              <w:t>2.2.3</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rPr>
            </w:pPr>
            <w:r>
              <w:rPr>
                <w:rFonts w:hint="eastAsia"/>
                <w:color w:val="auto"/>
                <w:sz w:val="21"/>
                <w:szCs w:val="21"/>
                <w:highlight w:val="none"/>
              </w:rPr>
              <w:t>投标</w:t>
            </w:r>
            <w:r>
              <w:rPr>
                <w:color w:val="auto"/>
                <w:sz w:val="21"/>
                <w:szCs w:val="21"/>
                <w:highlight w:val="none"/>
              </w:rPr>
              <w:t>报价的偏差率计算公式</w:t>
            </w:r>
          </w:p>
        </w:tc>
        <w:tc>
          <w:tcPr>
            <w:tcW w:w="4825" w:type="dxa"/>
            <w:tcBorders>
              <w:left w:val="single" w:color="auto" w:sz="4" w:space="0"/>
            </w:tcBorders>
            <w:vAlign w:val="center"/>
          </w:tcPr>
          <w:p>
            <w:pPr>
              <w:pStyle w:val="28"/>
              <w:spacing w:before="120" w:beforeLines="50" w:after="120" w:afterLines="50"/>
              <w:rPr>
                <w:color w:val="auto"/>
                <w:sz w:val="21"/>
                <w:szCs w:val="21"/>
                <w:highlight w:val="none"/>
              </w:rPr>
            </w:pPr>
            <w:r>
              <w:rPr>
                <w:rFonts w:hint="eastAsia"/>
                <w:color w:val="auto"/>
                <w:sz w:val="21"/>
                <w:szCs w:val="21"/>
                <w:highlight w:val="none"/>
                <w:lang w:eastAsia="en-US"/>
              </w:rPr>
              <w:t>不适用</w:t>
            </w:r>
            <w:r>
              <w:rPr>
                <w:rFonts w:hint="eastAsia"/>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hint="eastAsia" w:ascii="宋体" w:hAnsi="宋体"/>
                <w:color w:val="auto"/>
                <w:szCs w:val="21"/>
                <w:highlight w:val="none"/>
              </w:rPr>
              <w:t>2.2.4（1）</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rPr>
            </w:pPr>
            <w:r>
              <w:rPr>
                <w:rFonts w:hint="eastAsia"/>
                <w:color w:val="auto"/>
                <w:sz w:val="21"/>
                <w:szCs w:val="21"/>
                <w:highlight w:val="none"/>
              </w:rPr>
              <w:t>商务评分标准</w:t>
            </w:r>
          </w:p>
        </w:tc>
        <w:tc>
          <w:tcPr>
            <w:tcW w:w="4825" w:type="dxa"/>
            <w:tcBorders>
              <w:left w:val="single" w:color="auto" w:sz="4" w:space="0"/>
            </w:tcBorders>
            <w:vAlign w:val="center"/>
          </w:tcPr>
          <w:p>
            <w:pPr>
              <w:pStyle w:val="28"/>
              <w:spacing w:before="120" w:beforeLines="50" w:after="120" w:afterLines="50"/>
              <w:jc w:val="both"/>
              <w:rPr>
                <w:b/>
                <w:color w:val="auto"/>
                <w:sz w:val="21"/>
                <w:szCs w:val="21"/>
                <w:highlight w:val="none"/>
              </w:rPr>
            </w:pPr>
            <w:r>
              <w:rPr>
                <w:rFonts w:hint="eastAsia"/>
                <w:color w:val="auto"/>
                <w:sz w:val="21"/>
                <w:szCs w:val="21"/>
                <w:highlight w:val="none"/>
                <w:lang w:val="en-US"/>
              </w:rPr>
              <w:t>详见评标办法前附表之三。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hint="eastAsia" w:ascii="宋体" w:hAnsi="宋体"/>
                <w:color w:val="auto"/>
                <w:szCs w:val="21"/>
                <w:highlight w:val="none"/>
              </w:rPr>
              <w:t>2.2.4（2）</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lang w:eastAsia="en-US"/>
              </w:rPr>
            </w:pPr>
            <w:r>
              <w:rPr>
                <w:rFonts w:hint="eastAsia"/>
                <w:color w:val="auto"/>
                <w:sz w:val="21"/>
                <w:szCs w:val="21"/>
                <w:highlight w:val="none"/>
              </w:rPr>
              <w:t>技术评分标准</w:t>
            </w:r>
          </w:p>
        </w:tc>
        <w:tc>
          <w:tcPr>
            <w:tcW w:w="4825" w:type="dxa"/>
            <w:tcBorders>
              <w:left w:val="single" w:color="auto" w:sz="4" w:space="0"/>
            </w:tcBorders>
            <w:vAlign w:val="center"/>
          </w:tcPr>
          <w:p>
            <w:pPr>
              <w:pStyle w:val="28"/>
              <w:spacing w:before="120" w:beforeLines="50" w:after="120" w:afterLines="50"/>
              <w:jc w:val="both"/>
              <w:rPr>
                <w:b/>
                <w:color w:val="auto"/>
                <w:sz w:val="21"/>
                <w:szCs w:val="21"/>
                <w:highlight w:val="none"/>
              </w:rPr>
            </w:pPr>
            <w:r>
              <w:rPr>
                <w:rFonts w:hint="eastAsia"/>
                <w:color w:val="auto"/>
                <w:sz w:val="21"/>
                <w:szCs w:val="21"/>
                <w:highlight w:val="none"/>
                <w:lang w:val="en-US"/>
              </w:rPr>
              <w:t>详见评标办法前附表之四。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Merge w:val="restart"/>
            <w:vAlign w:val="center"/>
          </w:tcPr>
          <w:p>
            <w:pPr>
              <w:adjustRightInd w:val="0"/>
              <w:snapToGrid w:val="0"/>
              <w:jc w:val="center"/>
              <w:rPr>
                <w:rFonts w:ascii="宋体" w:hAnsi="宋体"/>
                <w:color w:val="auto"/>
                <w:szCs w:val="21"/>
                <w:highlight w:val="none"/>
              </w:rPr>
            </w:pPr>
            <w:r>
              <w:rPr>
                <w:rFonts w:hint="eastAsia" w:ascii="宋体" w:hAnsi="宋体"/>
                <w:color w:val="auto"/>
                <w:szCs w:val="21"/>
                <w:highlight w:val="none"/>
              </w:rPr>
              <w:t>2.2.4（3）</w:t>
            </w:r>
          </w:p>
        </w:tc>
        <w:tc>
          <w:tcPr>
            <w:tcW w:w="1984" w:type="dxa"/>
            <w:tcBorders>
              <w:right w:val="single" w:color="auto" w:sz="4" w:space="0"/>
            </w:tcBorders>
            <w:vAlign w:val="center"/>
          </w:tcPr>
          <w:p>
            <w:pPr>
              <w:snapToGrid w:val="0"/>
              <w:spacing w:before="120" w:beforeLines="50" w:after="120" w:afterLines="50" w:line="280" w:lineRule="exact"/>
              <w:jc w:val="center"/>
              <w:rPr>
                <w:rFonts w:ascii="宋体" w:hAnsi="宋体" w:cs="宋体"/>
                <w:color w:val="auto"/>
                <w:szCs w:val="21"/>
                <w:highlight w:val="none"/>
              </w:rPr>
            </w:pPr>
            <w:bookmarkStart w:id="342" w:name="_Hlk129967252"/>
            <w:r>
              <w:rPr>
                <w:rFonts w:ascii="宋体" w:hAnsi="宋体" w:cs="宋体"/>
                <w:color w:val="auto"/>
                <w:szCs w:val="21"/>
                <w:highlight w:val="none"/>
              </w:rPr>
              <w:t>价格评分标准</w:t>
            </w:r>
            <w:bookmarkEnd w:id="342"/>
          </w:p>
          <w:p>
            <w:pPr>
              <w:pStyle w:val="28"/>
              <w:spacing w:before="120" w:beforeLines="50" w:after="120" w:afterLines="50" w:line="280" w:lineRule="exact"/>
              <w:ind w:right="50"/>
              <w:jc w:val="center"/>
              <w:rPr>
                <w:color w:val="auto"/>
                <w:sz w:val="21"/>
                <w:szCs w:val="21"/>
                <w:highlight w:val="none"/>
              </w:rPr>
            </w:pPr>
            <w:r>
              <w:rPr>
                <w:rFonts w:hint="eastAsia"/>
                <w:color w:val="auto"/>
                <w:sz w:val="21"/>
                <w:szCs w:val="21"/>
                <w:highlight w:val="none"/>
              </w:rPr>
              <w:t>（价格计算公式）</w:t>
            </w:r>
          </w:p>
        </w:tc>
        <w:tc>
          <w:tcPr>
            <w:tcW w:w="4825" w:type="dxa"/>
            <w:tcBorders>
              <w:left w:val="single" w:color="auto" w:sz="4" w:space="0"/>
            </w:tcBorders>
            <w:vAlign w:val="center"/>
          </w:tcPr>
          <w:p>
            <w:pPr>
              <w:pStyle w:val="28"/>
              <w:spacing w:before="120" w:beforeLines="50" w:after="120" w:afterLines="50"/>
              <w:jc w:val="both"/>
              <w:rPr>
                <w:rFonts w:hint="eastAsia"/>
                <w:color w:val="auto"/>
                <w:sz w:val="21"/>
                <w:szCs w:val="21"/>
                <w:highlight w:val="none"/>
                <w:lang w:val="en-US"/>
              </w:rPr>
            </w:pPr>
            <w:r>
              <w:rPr>
                <w:rFonts w:hint="eastAsia"/>
                <w:color w:val="auto"/>
                <w:sz w:val="21"/>
                <w:szCs w:val="21"/>
                <w:highlight w:val="none"/>
                <w:lang w:val="en-US"/>
              </w:rPr>
              <w:t>价格部分评分计算公式详见评标办法前附表之五。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Merge w:val="continue"/>
            <w:vAlign w:val="center"/>
          </w:tcPr>
          <w:p>
            <w:pPr>
              <w:adjustRightInd w:val="0"/>
              <w:snapToGrid w:val="0"/>
              <w:jc w:val="center"/>
              <w:rPr>
                <w:rFonts w:ascii="宋体" w:hAnsi="宋体"/>
                <w:color w:val="auto"/>
                <w:szCs w:val="21"/>
                <w:highlight w:val="none"/>
              </w:rPr>
            </w:pPr>
          </w:p>
        </w:tc>
        <w:tc>
          <w:tcPr>
            <w:tcW w:w="1984" w:type="dxa"/>
            <w:tcBorders>
              <w:right w:val="single" w:color="auto" w:sz="4" w:space="0"/>
            </w:tcBorders>
            <w:vAlign w:val="center"/>
          </w:tcPr>
          <w:p>
            <w:pPr>
              <w:snapToGrid w:val="0"/>
              <w:spacing w:before="120" w:beforeLines="50" w:after="120" w:afterLines="50" w:line="280" w:lineRule="exact"/>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价格评分标准</w:t>
            </w:r>
          </w:p>
          <w:p>
            <w:pPr>
              <w:snapToGrid w:val="0"/>
              <w:spacing w:before="120" w:beforeLines="50" w:after="120" w:afterLines="50" w:line="280" w:lineRule="exact"/>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（价格修正）</w:t>
            </w:r>
          </w:p>
        </w:tc>
        <w:tc>
          <w:tcPr>
            <w:tcW w:w="4825" w:type="dxa"/>
            <w:tcBorders>
              <w:left w:val="single" w:color="auto" w:sz="4" w:space="0"/>
            </w:tcBorders>
            <w:vAlign w:val="center"/>
          </w:tcPr>
          <w:p>
            <w:pPr>
              <w:pStyle w:val="28"/>
              <w:spacing w:before="120" w:beforeLines="50" w:after="120" w:afterLines="5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strike w:val="0"/>
                <w:dstrike w:val="0"/>
                <w:color w:val="auto"/>
                <w:sz w:val="21"/>
                <w:szCs w:val="21"/>
                <w:highlight w:val="none"/>
                <w:lang w:val="en-US" w:eastAsia="zh-CN"/>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hint="eastAsia" w:ascii="宋体" w:hAnsi="宋体"/>
                <w:color w:val="auto"/>
                <w:szCs w:val="21"/>
                <w:highlight w:val="none"/>
              </w:rPr>
              <w:t>3.2.1</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rPr>
            </w:pPr>
            <w:r>
              <w:rPr>
                <w:rFonts w:hint="eastAsia"/>
                <w:color w:val="auto"/>
                <w:sz w:val="21"/>
                <w:szCs w:val="21"/>
                <w:highlight w:val="none"/>
              </w:rPr>
              <w:t>综合评估得分</w:t>
            </w:r>
          </w:p>
        </w:tc>
        <w:tc>
          <w:tcPr>
            <w:tcW w:w="4825" w:type="dxa"/>
            <w:tcBorders>
              <w:left w:val="single" w:color="auto" w:sz="4" w:space="0"/>
            </w:tcBorders>
            <w:vAlign w:val="center"/>
          </w:tcPr>
          <w:p>
            <w:pPr>
              <w:pStyle w:val="28"/>
              <w:spacing w:before="120" w:beforeLines="50" w:after="120" w:afterLines="50"/>
              <w:ind w:firstLine="0" w:firstLineChars="0"/>
              <w:rPr>
                <w:color w:val="auto"/>
                <w:sz w:val="21"/>
                <w:szCs w:val="21"/>
                <w:highlight w:val="none"/>
              </w:rPr>
            </w:pPr>
            <w:r>
              <w:rPr>
                <w:rFonts w:hint="eastAsia"/>
                <w:color w:val="auto"/>
                <w:sz w:val="21"/>
                <w:szCs w:val="21"/>
                <w:highlight w:val="none"/>
              </w:rPr>
              <w:t>修改为：</w:t>
            </w:r>
          </w:p>
          <w:p>
            <w:pPr>
              <w:spacing w:before="120" w:beforeLines="50" w:after="120" w:afterLines="50"/>
              <w:ind w:firstLine="0" w:firstLineChars="0"/>
              <w:rPr>
                <w:rFonts w:ascii="宋体" w:hAnsi="宋体" w:cs="宋体"/>
                <w:color w:val="auto"/>
                <w:szCs w:val="21"/>
                <w:highlight w:val="none"/>
              </w:rPr>
            </w:pPr>
            <w:r>
              <w:rPr>
                <w:rFonts w:ascii="宋体" w:hAnsi="宋体" w:cs="宋体"/>
                <w:color w:val="auto"/>
                <w:szCs w:val="21"/>
                <w:highlight w:val="none"/>
              </w:rPr>
              <w:t>评标委员会按本章第2.2款规定的量化因素和分值进行打分，并计算出综合评估得分。</w:t>
            </w:r>
          </w:p>
          <w:p>
            <w:pPr>
              <w:spacing w:before="120" w:beforeLines="50" w:after="120" w:afterLines="50"/>
              <w:ind w:firstLine="0" w:firstLineChars="0"/>
              <w:rPr>
                <w:rFonts w:ascii="宋体" w:hAnsi="宋体" w:cs="宋体"/>
                <w:color w:val="auto"/>
                <w:szCs w:val="21"/>
                <w:highlight w:val="none"/>
              </w:rPr>
            </w:pPr>
            <w:r>
              <w:rPr>
                <w:rFonts w:ascii="宋体" w:hAnsi="宋体" w:cs="宋体"/>
                <w:color w:val="auto"/>
                <w:szCs w:val="21"/>
                <w:highlight w:val="none"/>
              </w:rPr>
              <w:t>（1）按本章第2.2.4（1）目规定的评审因素和2.2.1（1）目规定的分值对商务计算出得分A；</w:t>
            </w:r>
          </w:p>
          <w:p>
            <w:pPr>
              <w:spacing w:before="120" w:beforeLines="50" w:after="120" w:afterLines="50"/>
              <w:ind w:firstLine="0" w:firstLineChars="0"/>
              <w:rPr>
                <w:rFonts w:ascii="宋体" w:hAnsi="宋体" w:cs="宋体"/>
                <w:color w:val="auto"/>
                <w:szCs w:val="21"/>
                <w:highlight w:val="none"/>
              </w:rPr>
            </w:pPr>
            <w:r>
              <w:rPr>
                <w:rFonts w:ascii="宋体" w:hAnsi="宋体" w:cs="宋体"/>
                <w:color w:val="auto"/>
                <w:szCs w:val="21"/>
                <w:highlight w:val="none"/>
              </w:rPr>
              <w:t>（2）按本章第2.2.4（2）目规定的评审因素和2.2.1（2）目规定的分值对技术计算出得分B；</w:t>
            </w:r>
          </w:p>
          <w:p>
            <w:pPr>
              <w:pStyle w:val="28"/>
              <w:spacing w:before="120" w:beforeLines="50" w:after="120" w:afterLines="50"/>
              <w:ind w:firstLine="0" w:firstLineChars="0"/>
              <w:jc w:val="both"/>
              <w:rPr>
                <w:color w:val="auto"/>
                <w:sz w:val="21"/>
                <w:szCs w:val="21"/>
                <w:highlight w:val="none"/>
              </w:rPr>
            </w:pPr>
            <w:r>
              <w:rPr>
                <w:color w:val="auto"/>
                <w:sz w:val="21"/>
                <w:szCs w:val="21"/>
                <w:highlight w:val="none"/>
              </w:rPr>
              <w:t>（3）按本章第2.2.4（3）目规定的评审因素和2.2.1（3）目规定的分值对价格计算出得分C。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pStyle w:val="28"/>
              <w:ind w:left="2"/>
              <w:jc w:val="center"/>
              <w:rPr>
                <w:color w:val="auto"/>
                <w:sz w:val="21"/>
                <w:szCs w:val="21"/>
                <w:highlight w:val="none"/>
                <w:lang w:eastAsia="en-US"/>
              </w:rPr>
            </w:pPr>
            <w:r>
              <w:rPr>
                <w:rFonts w:hint="eastAsia"/>
                <w:color w:val="auto"/>
                <w:sz w:val="21"/>
                <w:szCs w:val="21"/>
                <w:highlight w:val="none"/>
                <w:lang w:eastAsia="en-US"/>
              </w:rPr>
              <w:t>3.3.4</w:t>
            </w:r>
          </w:p>
          <w:p>
            <w:pPr>
              <w:adjustRightInd w:val="0"/>
              <w:snapToGrid w:val="0"/>
              <w:jc w:val="center"/>
              <w:rPr>
                <w:rFonts w:ascii="宋体" w:hAnsi="宋体"/>
                <w:color w:val="auto"/>
                <w:szCs w:val="21"/>
                <w:highlight w:val="none"/>
              </w:rPr>
            </w:pPr>
            <w:r>
              <w:rPr>
                <w:rFonts w:hint="eastAsia" w:ascii="宋体" w:hAnsi="宋体"/>
                <w:color w:val="auto"/>
                <w:szCs w:val="21"/>
                <w:highlight w:val="none"/>
                <w:lang w:eastAsia="en-US"/>
              </w:rPr>
              <w:t>（新增）</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rPr>
            </w:pPr>
            <w:r>
              <w:rPr>
                <w:color w:val="auto"/>
                <w:sz w:val="21"/>
                <w:szCs w:val="21"/>
                <w:highlight w:val="none"/>
              </w:rPr>
              <w:t>投标文件的澄清</w:t>
            </w:r>
            <w:r>
              <w:rPr>
                <w:rFonts w:hint="eastAsia"/>
                <w:color w:val="auto"/>
                <w:sz w:val="21"/>
                <w:szCs w:val="21"/>
                <w:highlight w:val="none"/>
              </w:rPr>
              <w:t>和补正</w:t>
            </w:r>
          </w:p>
        </w:tc>
        <w:tc>
          <w:tcPr>
            <w:tcW w:w="4825"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napToGrid w:val="0"/>
              <w:spacing w:before="0" w:beforeLines="0" w:after="0" w:afterLines="0"/>
              <w:ind w:firstLine="420" w:firstLineChars="200"/>
              <w:textAlignment w:val="auto"/>
              <w:rPr>
                <w:rFonts w:hint="eastAsia" w:ascii="宋体" w:hAnsi="宋体" w:eastAsia="宋体" w:cs="宋体"/>
                <w:color w:val="auto"/>
                <w:sz w:val="21"/>
                <w:szCs w:val="21"/>
                <w:highlight w:val="none"/>
                <w:lang w:val="en-US" w:eastAsia="zh-CN"/>
              </w:rPr>
            </w:pPr>
            <w:r>
              <w:rPr>
                <w:rFonts w:hint="eastAsia" w:ascii="宋体" w:hAnsi="宋体" w:cs="宋体"/>
                <w:color w:val="auto"/>
                <w:szCs w:val="21"/>
                <w:highlight w:val="none"/>
              </w:rPr>
              <w:t>在评标过程中，评标委员会应当通过书面形式要求投标人对可能低于成本或者影响履约的异常低价投标、投标活动异常关联的情形，作出必要的澄清、说明或补正。评标委员会可以通过书面形式要求投标人对投标文件异常一致的情形，作出必要的解释说明。对于评标委员会要求投标人对可能低于成本或者影响履约的异常低价投标作出必要的澄清、说明或补正的，投标人应提供项目具体成本测算与报价合理性相关的书面说明及必要证明材料，明确是否影响后续履约</w:t>
            </w:r>
            <w:r>
              <w:rPr>
                <w:rFonts w:hint="eastAsia" w:ascii="宋体" w:hAnsi="宋体" w:cs="宋体"/>
                <w:color w:val="auto"/>
                <w:szCs w:val="21"/>
                <w:highlight w:val="none"/>
                <w:lang w:eastAsia="zh-CN"/>
              </w:rPr>
              <w:t>。</w:t>
            </w:r>
          </w:p>
          <w:p>
            <w:pPr>
              <w:keepNext w:val="0"/>
              <w:keepLines w:val="0"/>
              <w:pageBreakBefore w:val="0"/>
              <w:widowControl w:val="0"/>
              <w:kinsoku/>
              <w:wordWrap/>
              <w:overflowPunct/>
              <w:topLinePunct w:val="0"/>
              <w:autoSpaceDE/>
              <w:autoSpaceDN/>
              <w:bidi w:val="0"/>
              <w:adjustRightInd/>
              <w:snapToGrid w:val="0"/>
              <w:spacing w:before="0" w:beforeLines="0" w:after="0" w:afterLines="0"/>
              <w:ind w:firstLine="420" w:firstLineChars="20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启动异常低价审查程序的</w:t>
            </w:r>
            <w:r>
              <w:rPr>
                <w:rFonts w:hint="eastAsia" w:ascii="宋体" w:hAnsi="宋体" w:cs="宋体"/>
                <w:color w:val="auto"/>
                <w:sz w:val="21"/>
                <w:szCs w:val="21"/>
                <w:highlight w:val="none"/>
                <w:lang w:val="en-US" w:eastAsia="zh-CN"/>
              </w:rPr>
              <w:t>任一</w:t>
            </w:r>
            <w:r>
              <w:rPr>
                <w:rFonts w:hint="eastAsia" w:ascii="宋体" w:hAnsi="宋体" w:eastAsia="宋体" w:cs="宋体"/>
                <w:color w:val="auto"/>
                <w:sz w:val="21"/>
                <w:szCs w:val="21"/>
                <w:highlight w:val="none"/>
                <w:lang w:val="en-US" w:eastAsia="zh-CN"/>
              </w:rPr>
              <w:t>情形规定如下：（1）投标报价低于剔除“报价超限、报价为零、多个报价、货币单位、违反税法”否决后的包投标报价平均值的50%；（2）评</w:t>
            </w:r>
            <w:r>
              <w:rPr>
                <w:rFonts w:hint="eastAsia" w:ascii="宋体" w:hAnsi="宋体" w:cs="宋体"/>
                <w:color w:val="auto"/>
                <w:sz w:val="21"/>
                <w:szCs w:val="21"/>
                <w:highlight w:val="none"/>
                <w:lang w:val="en-US" w:eastAsia="zh-CN"/>
              </w:rPr>
              <w:t>标</w:t>
            </w:r>
            <w:r>
              <w:rPr>
                <w:rFonts w:hint="eastAsia" w:ascii="宋体" w:hAnsi="宋体" w:eastAsia="宋体" w:cs="宋体"/>
                <w:color w:val="auto"/>
                <w:sz w:val="21"/>
                <w:szCs w:val="21"/>
                <w:highlight w:val="none"/>
                <w:lang w:val="en-US" w:eastAsia="zh-CN"/>
              </w:rPr>
              <w:t xml:space="preserve">委员会认为供应商报价过低，有可能影响产品质量或者不能诚信履约的情形。 </w:t>
            </w:r>
          </w:p>
          <w:p>
            <w:pPr>
              <w:keepNext w:val="0"/>
              <w:keepLines w:val="0"/>
              <w:pageBreakBefore w:val="0"/>
              <w:widowControl w:val="0"/>
              <w:kinsoku/>
              <w:wordWrap/>
              <w:overflowPunct/>
              <w:topLinePunct w:val="0"/>
              <w:autoSpaceDE/>
              <w:autoSpaceDN/>
              <w:bidi w:val="0"/>
              <w:adjustRightInd/>
              <w:snapToGrid w:val="0"/>
              <w:spacing w:before="0" w:beforeLines="0" w:after="0" w:afterLines="0"/>
              <w:ind w:firstLine="420" w:firstLineChars="20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投标人未按评标委员会规定的内容或规定的时间回复澄清的，投标应予否决。</w:t>
            </w:r>
          </w:p>
          <w:p>
            <w:pPr>
              <w:keepNext w:val="0"/>
              <w:keepLines w:val="0"/>
              <w:pageBreakBefore w:val="0"/>
              <w:widowControl w:val="0"/>
              <w:kinsoku/>
              <w:wordWrap/>
              <w:overflowPunct/>
              <w:topLinePunct w:val="0"/>
              <w:autoSpaceDE/>
              <w:autoSpaceDN/>
              <w:bidi w:val="0"/>
              <w:adjustRightInd/>
              <w:snapToGrid w:val="0"/>
              <w:spacing w:before="0" w:beforeLines="0" w:after="0" w:afterLines="0"/>
              <w:ind w:firstLine="420" w:firstLineChars="200"/>
              <w:textAlignment w:val="auto"/>
              <w:rPr>
                <w:rFonts w:ascii="宋体" w:hAnsi="宋体"/>
                <w:color w:val="auto"/>
                <w:szCs w:val="21"/>
                <w:highlight w:val="none"/>
              </w:rPr>
            </w:pPr>
            <w:r>
              <w:rPr>
                <w:rFonts w:hint="eastAsia" w:ascii="宋体" w:hAnsi="宋体" w:eastAsia="宋体" w:cs="宋体"/>
                <w:color w:val="auto"/>
                <w:sz w:val="21"/>
                <w:szCs w:val="21"/>
                <w:highlight w:val="none"/>
              </w:rPr>
              <w:t>评标阶段的澄清，从发出到回复全程通过招投标交易平台信息系统完成。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pStyle w:val="28"/>
              <w:ind w:left="141"/>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lang w:eastAsia="en-US"/>
              </w:rPr>
              <w:t>3.4.3</w:t>
            </w:r>
          </w:p>
          <w:p>
            <w:pPr>
              <w:pStyle w:val="28"/>
              <w:ind w:left="141" w:leftChars="0"/>
              <w:jc w:val="center"/>
              <w:rPr>
                <w:rFonts w:hint="eastAsia" w:ascii="宋体" w:hAnsi="宋体" w:eastAsia="宋体" w:cs="宋体"/>
                <w:color w:val="auto"/>
                <w:kern w:val="0"/>
                <w:sz w:val="21"/>
                <w:szCs w:val="21"/>
                <w:highlight w:val="none"/>
                <w:lang w:val="zh-CN" w:eastAsia="en-US" w:bidi="ar-SA"/>
              </w:rPr>
            </w:pPr>
            <w:r>
              <w:rPr>
                <w:rFonts w:hint="eastAsia" w:ascii="宋体" w:hAnsi="宋体" w:eastAsia="宋体" w:cs="宋体"/>
                <w:color w:val="auto"/>
                <w:sz w:val="21"/>
                <w:szCs w:val="21"/>
                <w:highlight w:val="none"/>
                <w:lang w:eastAsia="en-US"/>
              </w:rPr>
              <w:t>（新增）</w:t>
            </w:r>
          </w:p>
        </w:tc>
        <w:tc>
          <w:tcPr>
            <w:tcW w:w="1984" w:type="dxa"/>
            <w:tcBorders>
              <w:right w:val="single" w:color="auto" w:sz="4" w:space="0"/>
            </w:tcBorders>
            <w:vAlign w:val="center"/>
          </w:tcPr>
          <w:p>
            <w:pPr>
              <w:pStyle w:val="28"/>
              <w:spacing w:before="120" w:beforeLines="50" w:after="120" w:afterLines="50"/>
              <w:ind w:left="62" w:leftChars="0" w:right="52" w:rightChars="0"/>
              <w:jc w:val="center"/>
              <w:rPr>
                <w:rFonts w:hint="eastAsia" w:ascii="宋体" w:hAnsi="宋体" w:eastAsia="宋体" w:cs="宋体"/>
                <w:color w:val="auto"/>
                <w:kern w:val="0"/>
                <w:sz w:val="21"/>
                <w:szCs w:val="21"/>
                <w:highlight w:val="none"/>
                <w:lang w:val="zh-CN" w:eastAsia="en-US" w:bidi="ar-SA"/>
              </w:rPr>
            </w:pPr>
            <w:r>
              <w:rPr>
                <w:rFonts w:hint="eastAsia" w:ascii="宋体" w:hAnsi="宋体" w:eastAsia="宋体" w:cs="宋体"/>
                <w:color w:val="auto"/>
                <w:sz w:val="21"/>
                <w:szCs w:val="21"/>
                <w:highlight w:val="none"/>
                <w:lang w:eastAsia="en-US"/>
              </w:rPr>
              <w:t>中标数量限制</w:t>
            </w:r>
          </w:p>
        </w:tc>
        <w:tc>
          <w:tcPr>
            <w:tcW w:w="4825" w:type="dxa"/>
            <w:tcBorders>
              <w:left w:val="single" w:color="auto" w:sz="4" w:space="0"/>
            </w:tcBorders>
            <w:vAlign w:val="top"/>
          </w:tcPr>
          <w:p>
            <w:pPr>
              <w:autoSpaceDE w:val="0"/>
              <w:autoSpaceDN w:val="0"/>
              <w:snapToGrid w:val="0"/>
              <w:ind w:firstLine="105" w:firstLineChars="5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招标人将根据投标人须知列出的标准确定中标候选人是否有能力合格地履行合同义务。授标将考虑投标人的财务状况和履约能力等方面，其基础是对投标人按照投标人须知规定提交的资格证明文件和其他招标人认为必要的、合适的资料进行综合评价，根据评标结果确定最终中标人，并履行合同。</w:t>
            </w:r>
          </w:p>
          <w:p>
            <w:pPr>
              <w:autoSpaceDE w:val="0"/>
              <w:autoSpaceDN w:val="0"/>
              <w:snapToGrid w:val="0"/>
              <w:ind w:firstLine="105" w:firstLineChars="50"/>
              <w:jc w:val="left"/>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2.</w:t>
            </w:r>
            <w:r>
              <w:rPr>
                <w:rFonts w:hint="eastAsia" w:ascii="宋体" w:hAnsi="宋体" w:eastAsia="宋体" w:cs="宋体"/>
                <w:color w:val="auto"/>
                <w:sz w:val="21"/>
                <w:szCs w:val="21"/>
                <w:highlight w:val="none"/>
              </w:rPr>
              <w:t>招标人根据包划分、潜在投标人数量及其资格能力和生产要素配置，在保证充分竞争的前提下，就同一投标人同时中标最多数量作出规定。</w:t>
            </w:r>
          </w:p>
          <w:p>
            <w:pPr>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限制中标：详见评标办法前附表之六</w:t>
            </w:r>
          </w:p>
          <w:p>
            <w:pPr>
              <w:snapToGrid w:val="0"/>
              <w:jc w:val="left"/>
              <w:rPr>
                <w:rFonts w:hint="eastAsia" w:ascii="宋体" w:hAnsi="宋体" w:eastAsia="宋体" w:cs="宋体"/>
                <w:b/>
                <w:color w:val="auto"/>
                <w:sz w:val="21"/>
                <w:szCs w:val="21"/>
                <w:highlight w:val="none"/>
              </w:rPr>
            </w:pPr>
          </w:p>
          <w:p>
            <w:pPr>
              <w:snapToGrid w:val="0"/>
              <w:jc w:val="left"/>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授标以分标为单位进行，招标人按轮次同时对同一分标内各包推荐中标。步骤如下：</w:t>
            </w:r>
          </w:p>
          <w:p>
            <w:pPr>
              <w:pStyle w:val="40"/>
              <w:autoSpaceDE w:val="0"/>
              <w:autoSpaceDN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（1）针对每包综合排序第一的投标人进行授标（包内综合评审得分位于最后两名的投标人（所有初步评审合格投标人不足三家，但评标委员会认为具有竞争性的除外），在该包不参与推荐中标）。</w:t>
            </w:r>
          </w:p>
          <w:p>
            <w:pPr>
              <w:pStyle w:val="40"/>
              <w:autoSpaceDE w:val="0"/>
              <w:autoSpaceDN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若同一投标人所投的多个包同时综合排序第一，根据投标金额由大到小依次排序。若出现多个包投标金额相同，则按照技术评审得分较高为优先。按投标金额由大到小依次预授该投标人标包，直至达到规定限制中标的包数。</w:t>
            </w:r>
          </w:p>
          <w:p>
            <w:pPr>
              <w:pStyle w:val="40"/>
              <w:autoSpaceDE w:val="0"/>
              <w:autoSpaceDN w:val="0"/>
              <w:snapToGri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（3）达到规定限制中标的投标人，在其余包只参加评审，不参加推荐中标，排序次之的投标人递补排序。</w:t>
            </w:r>
          </w:p>
          <w:p>
            <w:pPr>
              <w:pStyle w:val="7"/>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（4）如推荐的中标候选人放弃中标资格，可从该包评审总分前三名中依次重新推荐一名中标候选人，该投标人中标数量不受条款（1）、条款（2）、条款（3）限制。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jc w:val="center"/>
        </w:trPr>
        <w:tc>
          <w:tcPr>
            <w:tcW w:w="1617" w:type="dxa"/>
            <w:vAlign w:val="center"/>
          </w:tcPr>
          <w:p>
            <w:pPr>
              <w:adjustRightInd w:val="0"/>
              <w:snapToGrid w:val="0"/>
              <w:jc w:val="center"/>
              <w:rPr>
                <w:rFonts w:ascii="宋体" w:hAnsi="宋体"/>
                <w:color w:val="auto"/>
                <w:szCs w:val="21"/>
                <w:highlight w:val="none"/>
              </w:rPr>
            </w:pPr>
            <w:r>
              <w:rPr>
                <w:rFonts w:ascii="宋体" w:hAnsi="宋体"/>
                <w:color w:val="auto"/>
                <w:szCs w:val="21"/>
                <w:highlight w:val="none"/>
              </w:rPr>
              <w:t>3.4.</w:t>
            </w:r>
            <w:r>
              <w:rPr>
                <w:rFonts w:hint="eastAsia" w:ascii="宋体" w:hAnsi="宋体"/>
                <w:color w:val="auto"/>
                <w:szCs w:val="21"/>
                <w:highlight w:val="none"/>
              </w:rPr>
              <w:t>4</w:t>
            </w:r>
          </w:p>
          <w:p>
            <w:pPr>
              <w:pStyle w:val="28"/>
              <w:ind w:left="141"/>
              <w:jc w:val="center"/>
              <w:rPr>
                <w:color w:val="auto"/>
                <w:sz w:val="21"/>
                <w:szCs w:val="21"/>
                <w:highlight w:val="none"/>
                <w:lang w:eastAsia="en-US"/>
              </w:rPr>
            </w:pPr>
            <w:r>
              <w:rPr>
                <w:rFonts w:hint="eastAsia"/>
                <w:color w:val="auto"/>
                <w:szCs w:val="21"/>
                <w:highlight w:val="none"/>
              </w:rPr>
              <w:t>（新增）</w:t>
            </w:r>
          </w:p>
        </w:tc>
        <w:tc>
          <w:tcPr>
            <w:tcW w:w="1984" w:type="dxa"/>
            <w:tcBorders>
              <w:right w:val="single" w:color="auto" w:sz="4" w:space="0"/>
            </w:tcBorders>
            <w:vAlign w:val="center"/>
          </w:tcPr>
          <w:p>
            <w:pPr>
              <w:pStyle w:val="28"/>
              <w:spacing w:before="120" w:beforeLines="50" w:after="120" w:afterLines="50"/>
              <w:jc w:val="center"/>
              <w:rPr>
                <w:color w:val="auto"/>
                <w:sz w:val="21"/>
                <w:szCs w:val="21"/>
                <w:highlight w:val="none"/>
                <w:lang w:eastAsia="en-US"/>
              </w:rPr>
            </w:pPr>
            <w:r>
              <w:rPr>
                <w:rFonts w:hint="eastAsia"/>
                <w:color w:val="auto"/>
                <w:sz w:val="21"/>
                <w:szCs w:val="21"/>
                <w:highlight w:val="none"/>
                <w:lang w:eastAsia="en-US"/>
              </w:rPr>
              <w:t>未中标解释</w:t>
            </w:r>
          </w:p>
        </w:tc>
        <w:tc>
          <w:tcPr>
            <w:tcW w:w="4825" w:type="dxa"/>
            <w:tcBorders>
              <w:left w:val="single" w:color="auto" w:sz="4" w:space="0"/>
            </w:tcBorders>
          </w:tcPr>
          <w:p>
            <w:pPr>
              <w:snapToGrid w:val="0"/>
              <w:spacing w:before="120" w:beforeLines="50" w:after="120" w:afterLines="50"/>
              <w:rPr>
                <w:rFonts w:ascii="宋体" w:hAnsi="宋体" w:cs="宋体"/>
                <w:color w:val="auto"/>
                <w:highlight w:val="none"/>
              </w:rPr>
            </w:pPr>
            <w:r>
              <w:rPr>
                <w:rFonts w:hint="eastAsia" w:ascii="宋体" w:hAnsi="宋体"/>
                <w:color w:val="auto"/>
                <w:szCs w:val="21"/>
                <w:highlight w:val="none"/>
                <w:lang w:bidi="zh-CN"/>
              </w:rPr>
              <w:t>投标报价最低的投标人有不中标的可能。对未中标的原因，招标人、招标代理机构不予解释。</w:t>
            </w:r>
          </w:p>
        </w:tc>
      </w:tr>
      <w:bookmarkEnd w:id="335"/>
      <w:bookmarkEnd w:id="336"/>
      <w:bookmarkEnd w:id="337"/>
      <w:bookmarkEnd w:id="338"/>
    </w:tbl>
    <w:p>
      <w:pPr>
        <w:widowControl/>
        <w:jc w:val="left"/>
        <w:outlineLvl w:val="1"/>
        <w:rPr>
          <w:rFonts w:ascii="黑体" w:hAnsi="黑体" w:eastAsia="黑体"/>
          <w:b/>
          <w:color w:val="auto"/>
          <w:sz w:val="24"/>
          <w:highlight w:val="none"/>
        </w:rPr>
      </w:pPr>
      <w:r>
        <w:rPr>
          <w:color w:val="auto"/>
          <w:highlight w:val="none"/>
        </w:rPr>
        <w:br w:type="page"/>
      </w:r>
      <w:bookmarkStart w:id="343" w:name="_Toc2813"/>
      <w:bookmarkStart w:id="344" w:name="_Toc20149"/>
      <w:bookmarkStart w:id="345" w:name="_Toc1261"/>
      <w:bookmarkStart w:id="346" w:name="_Toc129618900"/>
      <w:r>
        <w:rPr>
          <w:rFonts w:ascii="黑体" w:hAnsi="黑体" w:eastAsia="黑体"/>
          <w:color w:val="auto"/>
          <w:sz w:val="24"/>
          <w:highlight w:val="none"/>
          <w:lang w:val="zh-CN"/>
        </w:rPr>
        <w:t>评标办法前附表</w:t>
      </w:r>
      <w:r>
        <w:rPr>
          <w:rFonts w:hint="eastAsia" w:ascii="黑体" w:hAnsi="黑体" w:eastAsia="黑体"/>
          <w:color w:val="auto"/>
          <w:sz w:val="24"/>
          <w:highlight w:val="none"/>
          <w:lang w:val="zh-CN"/>
        </w:rPr>
        <w:t>之二：</w:t>
      </w:r>
      <w:r>
        <w:rPr>
          <w:rFonts w:ascii="黑体" w:hAnsi="黑体" w:eastAsia="黑体"/>
          <w:color w:val="auto"/>
          <w:sz w:val="24"/>
          <w:highlight w:val="none"/>
          <w:lang w:val="zh-CN"/>
        </w:rPr>
        <w:t>初步评审标准</w:t>
      </w:r>
      <w:bookmarkEnd w:id="343"/>
      <w:bookmarkEnd w:id="344"/>
      <w:bookmarkEnd w:id="345"/>
      <w:bookmarkEnd w:id="346"/>
    </w:p>
    <w:p>
      <w:pPr>
        <w:spacing w:line="400" w:lineRule="exact"/>
        <w:ind w:firstLine="420" w:firstLineChars="200"/>
        <w:rPr>
          <w:rFonts w:ascii="宋体" w:hAnsi="宋体"/>
          <w:color w:val="auto"/>
          <w:szCs w:val="21"/>
          <w:highlight w:val="none"/>
          <w:lang w:val="zh-CN"/>
        </w:rPr>
      </w:pPr>
      <w:r>
        <w:rPr>
          <w:rFonts w:hint="eastAsia" w:ascii="宋体" w:hAnsi="宋体"/>
          <w:color w:val="auto"/>
          <w:szCs w:val="21"/>
          <w:highlight w:val="none"/>
          <w:lang w:val="zh-CN"/>
        </w:rPr>
        <w:t>1.本章2.1款初步评审标准见下表，包括2.1.1形式评审标准、2.1.2资格评审标准、2.1.3响应性评审标准。根据本章3.1.1、3.1.2、3.1.3款初步评审关于投标文件否决之规定，投标人或投标文件存在下表所列情形的，其投标将被否决。</w:t>
      </w:r>
    </w:p>
    <w:p>
      <w:pPr>
        <w:spacing w:line="400" w:lineRule="exact"/>
        <w:ind w:firstLine="420" w:firstLineChars="200"/>
        <w:rPr>
          <w:rFonts w:ascii="宋体" w:hAnsi="宋体"/>
          <w:color w:val="auto"/>
          <w:szCs w:val="21"/>
          <w:highlight w:val="none"/>
          <w:lang w:val="zh-CN"/>
        </w:rPr>
      </w:pPr>
      <w:r>
        <w:rPr>
          <w:rFonts w:hint="eastAsia" w:ascii="宋体" w:hAnsi="宋体"/>
          <w:color w:val="auto"/>
          <w:szCs w:val="21"/>
          <w:highlight w:val="none"/>
          <w:lang w:val="zh-CN"/>
        </w:rPr>
        <w:t>2.招标文件中的所有否决情形如下表所示。</w:t>
      </w:r>
    </w:p>
    <w:p>
      <w:pPr>
        <w:rPr>
          <w:b/>
          <w:bCs/>
          <w:color w:val="auto"/>
          <w:highlight w:val="none"/>
        </w:rPr>
      </w:pP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1221"/>
        <w:gridCol w:w="7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blHeader/>
        </w:trPr>
        <w:tc>
          <w:tcPr>
            <w:tcW w:w="538" w:type="pct"/>
            <w:shd w:val="clear" w:color="auto" w:fill="auto"/>
            <w:vAlign w:val="center"/>
          </w:tcPr>
          <w:p>
            <w:pPr>
              <w:widowControl/>
              <w:snapToGrid w:val="0"/>
              <w:jc w:val="center"/>
              <w:textAlignment w:val="center"/>
              <w:rPr>
                <w:rFonts w:ascii="宋体" w:hAnsi="宋体" w:cs="宋体"/>
                <w:b/>
                <w:bCs/>
                <w:color w:val="auto"/>
                <w:sz w:val="22"/>
                <w:szCs w:val="22"/>
                <w:highlight w:val="none"/>
              </w:rPr>
            </w:pPr>
            <w:r>
              <w:rPr>
                <w:rFonts w:hint="eastAsia" w:ascii="宋体" w:hAnsi="宋体" w:cs="宋体"/>
                <w:b/>
                <w:bCs/>
                <w:color w:val="auto"/>
                <w:kern w:val="0"/>
                <w:sz w:val="22"/>
                <w:szCs w:val="22"/>
                <w:highlight w:val="none"/>
                <w:lang w:bidi="ar"/>
              </w:rPr>
              <w:t>序号</w:t>
            </w:r>
          </w:p>
        </w:tc>
        <w:tc>
          <w:tcPr>
            <w:tcW w:w="661" w:type="pct"/>
            <w:shd w:val="clear" w:color="auto" w:fill="auto"/>
            <w:vAlign w:val="center"/>
          </w:tcPr>
          <w:p>
            <w:pPr>
              <w:widowControl/>
              <w:snapToGrid w:val="0"/>
              <w:jc w:val="center"/>
              <w:textAlignment w:val="center"/>
              <w:rPr>
                <w:rFonts w:ascii="宋体" w:hAnsi="宋体" w:cs="宋体"/>
                <w:b/>
                <w:bCs/>
                <w:color w:val="auto"/>
                <w:sz w:val="22"/>
                <w:szCs w:val="22"/>
                <w:highlight w:val="none"/>
              </w:rPr>
            </w:pPr>
            <w:r>
              <w:rPr>
                <w:rFonts w:hint="eastAsia" w:ascii="宋体" w:hAnsi="宋体" w:cs="宋体"/>
                <w:b/>
                <w:bCs/>
                <w:color w:val="auto"/>
                <w:kern w:val="0"/>
                <w:sz w:val="22"/>
                <w:szCs w:val="22"/>
                <w:highlight w:val="none"/>
                <w:lang w:bidi="ar"/>
              </w:rPr>
              <w:t>情形事项</w:t>
            </w:r>
          </w:p>
        </w:tc>
        <w:tc>
          <w:tcPr>
            <w:tcW w:w="3800" w:type="pct"/>
            <w:shd w:val="clear" w:color="auto" w:fill="auto"/>
            <w:vAlign w:val="center"/>
          </w:tcPr>
          <w:p>
            <w:pPr>
              <w:widowControl/>
              <w:snapToGrid w:val="0"/>
              <w:jc w:val="center"/>
              <w:textAlignment w:val="center"/>
              <w:rPr>
                <w:rFonts w:ascii="宋体" w:hAnsi="宋体" w:cs="宋体"/>
                <w:b/>
                <w:bCs/>
                <w:color w:val="auto"/>
                <w:sz w:val="22"/>
                <w:szCs w:val="22"/>
                <w:highlight w:val="none"/>
              </w:rPr>
            </w:pPr>
            <w:r>
              <w:rPr>
                <w:rFonts w:hint="eastAsia" w:ascii="宋体" w:hAnsi="宋体" w:cs="宋体"/>
                <w:b/>
                <w:bCs/>
                <w:color w:val="auto"/>
                <w:kern w:val="0"/>
                <w:sz w:val="22"/>
                <w:szCs w:val="22"/>
                <w:highlight w:val="none"/>
                <w:lang w:bidi="ar"/>
              </w:rPr>
              <w:t>具体规定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主体不符</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（1）为招标人不具备独立法人资格的附属机构（单位）；</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（2）为本标段（标包）提供招标代理服务的；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（3）联合体投标未提交联合投标协议的或提交联合体协议不符合招标文件要求的；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（4）法定代表人或单位负责人为同一人或者存在控股、管理关系的不同单位，参加同一包服务投标的；或被授权人为同一人的不同单位，在同一服务招标标包中同时投标的；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5）在同一输变电工程中，施工投标人与本标段前期准备设计或咨询服务的单位（设计施工总承包的除外）为同一单位，或有隶属关系,或法定代表人或单位负责人为同一人，或存在控股、管理关系的（仅适用于施工项目）；</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（6）与本招标项目的施工承包人以及建筑材料、建筑构配件和设备供应商有隶属关系或者其他利害关系（仅适用于监理项目）。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资格不符</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不满足本次招标文件要求的投标人资格条件的。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3</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资信不良</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（1）被责令停产停业、暂扣或者吊销许可证、暂扣或者吊销执照的；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（2）被招投标活动政府行政监督部门暂停、取消投标资格的；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（3）财产被接管、冻结、破产的以及财务状况不符合招标文件要求的。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4</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实质不符</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（1）投标人在商务/技术偏差表中提出招标人不能接受的条件或偏差的；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（2）投标人的投标函及附表或资格证明文件未提供或实质性不符合招标文件要求的；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（3）对招标文件中的工期/服务期、安全质量保证、违约责任、争议解决、履约担保等条款，实质性不响应的。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（4）投标人未提交或未按规定格式提交《项目关键人员配置承诺函》的。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（5）不符合招标文件实质性要求的投标文件。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5</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投标担保</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未按招标文件要求提交投标保证金的；以银行汇款形式提供的投标保证金未提供从投标人基本账户转出有效证明的（未提供有效证明是指未提供企业银行基本账户开户许可证复印件，且未提供投标人基本账户开户行通过账户管理系统打印的《基本存款账户信息》扫描件）；以投标保证保险形式提交的投标保证金，保单保费未从投标人基本账户转出或保单未体现保费是否由投标人基本账户支付的相关信息或未提供保单查询途径或提供的查询途径招标人无法查询的；以银行保函、投标保证保险形式提交的投标保证金不满足招标文件要求的（如对上述格式文件进行实质性修改或未按格式进行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6</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格式内容</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Style w:val="41"/>
                <w:rFonts w:hint="default"/>
                <w:color w:val="auto"/>
                <w:highlight w:val="none"/>
                <w:lang w:bidi="ar"/>
              </w:rPr>
              <w:t>投标文件未按招标文件规定的格式填写，内容不全或者关键字迹模糊无法辨认的。未按招标文件要求在招标人招投标交易平台信息系统制作并上传凭证单，或因投标人删除了系统文件导致凭证单索引的核实信息无法查看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7</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文件签署</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对格式文件进行实质性修改或未按格式进行签署的，如由委托代理人签字的，未附有效的法定代表人（单位负责人）授权委托书的（未提交法定代表人（单位负责人）授权委托书，或法定代表人（单位负责人）授权委托书未经投标单位盖章或法定代表人（单位负责人）签字（签名章）的）；（仅联合体投标时适用）</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（2）使用投标专用章未附有效的投标专用章与公章具有同等效力说明的；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（3）上传招标人招投标交易平台信息系统的电子投标文件无电子签章，或者电子签章无效的，或者电子签章名称与投标人不一致的。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投标期限</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投标有效期不满足招标文件要求的。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9</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逾期交付</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投标文件所承诺的工期/服务期不满足招标文件要求的，且招标人不能接受的。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10</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交付偏差</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（1）投标文件有重大缺漏项，投标范围与招标文件要求存在严重偏差的；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（2）投标文件技术标准和要求不符合“技术标准和要求”的实质性规定的；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（3）投标报价范围超过招标文件规定的。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11</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虚假投标</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文件响应与事实不符或虚假投标的（虚假投标包括但不限于投标人在其投标文件中提供虚假的资格证明文件、业绩证明文件、奖项、项目负责人信息、验收报告、故意修改招标文件明确列明的技术要求并对其进行响应等），或通过受让、租借、挂靠资质投标，伪造、变造资质、资格证书或者其他许可证件的，该投标人参与本次投标的所有标包将均被否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12</w:t>
            </w:r>
          </w:p>
        </w:tc>
        <w:tc>
          <w:tcPr>
            <w:tcW w:w="661" w:type="pct"/>
            <w:shd w:val="clear" w:color="auto" w:fill="FFFFFF" w:themeFill="background1"/>
            <w:vAlign w:val="center"/>
          </w:tcPr>
          <w:p>
            <w:pPr>
              <w:widowControl/>
              <w:snapToGrid w:val="0"/>
              <w:jc w:val="center"/>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复制文件</w:t>
            </w:r>
          </w:p>
        </w:tc>
        <w:tc>
          <w:tcPr>
            <w:tcW w:w="3800" w:type="pct"/>
            <w:shd w:val="clear" w:color="auto" w:fill="FFFFFF" w:themeFill="background1"/>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投标人整篇或者连续多处整段复制招标文件的技术规范书作为其技术投标文件一部分的。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13</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修改文件</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投标人在规定的投标有效期内主动要求修改或撤销其投标文件的。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14</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不良履约</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人刻意隐瞒招标公告安全质量条件所涉及的安全质量事故（安全质量事件），以及被业主单位投诉存在严重不良履约行为且经查证属实的，该投标人参与本次投标的所有包将均被否决。情形特别严重的，该投标人参与本次投标的所有包将均被否决，且该投标人在今后一段时间内参与国家电网有限公司及其所属单位招标活动的投标也将被否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15</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违法投标</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串通投标或视为串通投标或根据投诉举报经核实认定为串通投标或联合围标或有其他违法行为的，该投标人参与本次招标活动的所有标包将均被否决。同时招标人将依据《国家电网有限公司供应商关系管理办法》规定进行后续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16</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拒绝澄清</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不按评标委员会要求对投标文件进行澄清、说明或补正的。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17</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无效报价</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Style w:val="42"/>
                <w:rFonts w:hint="default"/>
                <w:color w:val="auto"/>
                <w:highlight w:val="none"/>
                <w:lang w:bidi="ar"/>
              </w:rPr>
              <w:t>（1）投标报价构成招标文件规定为无</w:t>
            </w:r>
            <w:r>
              <w:rPr>
                <w:rStyle w:val="41"/>
                <w:rFonts w:hint="default"/>
                <w:color w:val="auto"/>
                <w:highlight w:val="none"/>
                <w:lang w:bidi="ar"/>
              </w:rPr>
              <w:t>效报价的；</w:t>
            </w:r>
            <w:r>
              <w:rPr>
                <w:rStyle w:val="41"/>
                <w:rFonts w:hint="default"/>
                <w:color w:val="auto"/>
                <w:highlight w:val="none"/>
                <w:lang w:bidi="ar"/>
              </w:rPr>
              <w:br w:type="textWrapping"/>
            </w:r>
            <w:r>
              <w:rPr>
                <w:rStyle w:val="41"/>
                <w:rFonts w:hint="default"/>
                <w:color w:val="auto"/>
                <w:highlight w:val="none"/>
                <w:lang w:bidi="ar"/>
              </w:rPr>
              <w:t>（2）招标文件中明确规定了最高限价（包括分项限价），投标人的投标价格超过最高限价（包括分项限价）的；投标报价需要算术修正的，按照单价改正合价时超限价的；当以修正算术错误后的各分组工程量清单中的合计金额为准时，合计金额超限价；</w:t>
            </w:r>
            <w:r>
              <w:rPr>
                <w:rStyle w:val="42"/>
                <w:rFonts w:hint="default"/>
                <w:color w:val="auto"/>
                <w:highlight w:val="none"/>
                <w:lang w:bidi="ar"/>
              </w:rPr>
              <w:br w:type="textWrapping"/>
            </w:r>
            <w:r>
              <w:rPr>
                <w:rStyle w:val="42"/>
                <w:rFonts w:hint="default"/>
                <w:color w:val="auto"/>
                <w:highlight w:val="none"/>
                <w:lang w:bidi="ar"/>
              </w:rPr>
              <w:t>（3）投标人递交两份或多份内容不同的投标文件，或在一份投标文件中对同一标包有两个或多个报价，按招标文件规定提交备选投标方案的除外；</w:t>
            </w:r>
            <w:r>
              <w:rPr>
                <w:rStyle w:val="42"/>
                <w:rFonts w:hint="default"/>
                <w:color w:val="auto"/>
                <w:highlight w:val="none"/>
                <w:lang w:bidi="ar"/>
              </w:rPr>
              <w:br w:type="textWrapping"/>
            </w:r>
            <w:r>
              <w:rPr>
                <w:rStyle w:val="42"/>
                <w:rFonts w:hint="default"/>
                <w:color w:val="auto"/>
                <w:highlight w:val="none"/>
                <w:lang w:bidi="ar"/>
              </w:rPr>
              <w:t>（4）投标人未能在国家电网有限公司电子商务平</w:t>
            </w:r>
            <w:r>
              <w:rPr>
                <w:rStyle w:val="41"/>
                <w:rFonts w:hint="default"/>
                <w:color w:val="auto"/>
                <w:highlight w:val="none"/>
                <w:lang w:bidi="ar"/>
              </w:rPr>
              <w:t>台上提交投标报价的，或当众公示的开标一览表中不显示、显示为空白、乱码或非报价数值的</w:t>
            </w:r>
            <w:r>
              <w:rPr>
                <w:rStyle w:val="42"/>
                <w:rFonts w:hint="default"/>
                <w:color w:val="auto"/>
                <w:highlight w:val="none"/>
                <w:lang w:bidi="ar"/>
              </w:rPr>
              <w:t>投标报价；</w:t>
            </w:r>
            <w:r>
              <w:rPr>
                <w:rStyle w:val="42"/>
                <w:rFonts w:hint="default"/>
                <w:color w:val="auto"/>
                <w:highlight w:val="none"/>
                <w:lang w:bidi="ar"/>
              </w:rPr>
              <w:br w:type="textWrapping"/>
            </w:r>
            <w:r>
              <w:rPr>
                <w:rStyle w:val="41"/>
                <w:rFonts w:hint="default"/>
                <w:color w:val="auto"/>
                <w:highlight w:val="none"/>
                <w:lang w:bidi="ar"/>
              </w:rPr>
              <w:t>（5）投标人未通过国家电网有限公司电子商务平台上传已标价工程量清单的；</w:t>
            </w:r>
            <w:r>
              <w:rPr>
                <w:rStyle w:val="42"/>
                <w:rFonts w:hint="default"/>
                <w:color w:val="auto"/>
                <w:highlight w:val="none"/>
                <w:lang w:bidi="ar"/>
              </w:rPr>
              <w:br w:type="textWrapping"/>
            </w:r>
            <w:r>
              <w:rPr>
                <w:rStyle w:val="42"/>
                <w:rFonts w:hint="default"/>
                <w:color w:val="auto"/>
                <w:highlight w:val="none"/>
                <w:lang w:bidi="ar"/>
              </w:rPr>
              <w:t>（6）投标函附表中的报价与报价文件价格不一致的；</w:t>
            </w:r>
            <w:r>
              <w:rPr>
                <w:rStyle w:val="42"/>
                <w:rFonts w:hint="default"/>
                <w:color w:val="auto"/>
                <w:highlight w:val="none"/>
                <w:lang w:bidi="ar"/>
              </w:rPr>
              <w:br w:type="textWrapping"/>
            </w:r>
            <w:r>
              <w:rPr>
                <w:rStyle w:val="41"/>
                <w:rFonts w:hint="default"/>
                <w:color w:val="auto"/>
                <w:highlight w:val="none"/>
                <w:lang w:bidi="ar"/>
              </w:rPr>
              <w:t>（7）《投标函价格表》中"含税总价"填写"零"的；</w:t>
            </w:r>
            <w:r>
              <w:rPr>
                <w:rStyle w:val="41"/>
                <w:rFonts w:hint="default"/>
                <w:color w:val="auto"/>
                <w:highlight w:val="none"/>
                <w:lang w:bidi="ar"/>
              </w:rPr>
              <w:br w:type="textWrapping"/>
            </w:r>
            <w:r>
              <w:rPr>
                <w:rStyle w:val="41"/>
                <w:rFonts w:hint="default"/>
                <w:color w:val="auto"/>
                <w:highlight w:val="none"/>
                <w:lang w:bidi="ar"/>
              </w:rPr>
              <w:t>（8）招标文件文件中明确规定了分项限价，投标人未对分项进行报价的；对于《报价明细表》的任何漏项、删改、合并，以及明细与合价、总价（《投标函价格表》对应项目服务总价）不一致情形的。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18</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低价竞标</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投标报价低于成本，且投标人不能合理说明或者提供相关证明材料，评标委员会认定该投标人以低于成本报价竞标的。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19</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法定否决</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《中华人民共和国招标投标法》、《中华人民共和国招标投标法实施条例》、《工程建设项目施工招标投标办法》和《评标委员会和评标方法暂行规定》</w:t>
            </w:r>
            <w:r>
              <w:rPr>
                <w:rFonts w:hint="eastAsia" w:ascii="宋体" w:hAnsi="宋体" w:cs="宋体"/>
                <w:color w:val="auto"/>
                <w:kern w:val="0"/>
                <w:sz w:val="18"/>
                <w:szCs w:val="18"/>
                <w:highlight w:val="none"/>
                <w:lang w:eastAsia="zh-CN" w:bidi="ar"/>
              </w:rPr>
              <w:t>、</w:t>
            </w:r>
            <w:r>
              <w:rPr>
                <w:rFonts w:hint="eastAsia" w:ascii="宋体" w:hAnsi="宋体" w:cs="宋体"/>
                <w:color w:val="auto"/>
                <w:kern w:val="0"/>
                <w:sz w:val="18"/>
                <w:szCs w:val="18"/>
                <w:highlight w:val="none"/>
                <w:lang w:bidi="ar"/>
              </w:rPr>
              <w:t>《招标人主体责任履行指引》等法律法规规章规定的其他否决情形。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20</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货币单位</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投标价格出现数值与货币单位不对应，即出现了明显的百倍至万倍于正常水平的报价（如把“投标函价格表”中的“万元”当成“元”进行报价）。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21</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价格修正</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投标人不接受评标委员会依法所作的修正价格的。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22</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改变工程量清单</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人擅自更改工程量清单分部分项工程（包括工程量、暂估价、暂列金额、项目特征、计量单位）的；投标人擅自删除招标人采购材料设备表中的材料（设备）或擅自更改表中的型号规格、计量单位、单价的。（仅适用于施工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sz w:val="18"/>
                <w:szCs w:val="18"/>
                <w:highlight w:val="none"/>
              </w:rPr>
              <w:t>23</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未按国家税率税种报价</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不按国家法律法规规定填报增值税税率或征收率的。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24</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失信惩戒</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（1）投标人被人民法院列为失信被执行人的。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（2）投标人被政府主管部门认定存在严重违法失信行为的。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（3）投标人在国家企业信用信息公示系统中被列入“严重违法失信企业名单”，或被列入“经营异常名录信息”的；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（4）联合体投标的，联合体中任一方符合前述条件的。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25</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不良行为</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根据《国家电网有限公司供应商关系管理办法》的规定，若投标人</w:t>
            </w:r>
            <w:r>
              <w:rPr>
                <w:rFonts w:hint="default" w:ascii="宋体" w:hAnsi="宋体" w:cs="宋体"/>
                <w:color w:val="auto"/>
                <w:kern w:val="0"/>
                <w:sz w:val="18"/>
                <w:szCs w:val="18"/>
                <w:highlight w:val="none"/>
                <w:lang w:val="en-US" w:bidi="ar"/>
              </w:rPr>
              <w:t>被纳入不良行为处理（包括暂停中标资格和列入黑名单）且在处理有效期内的</w:t>
            </w:r>
            <w:r>
              <w:rPr>
                <w:rFonts w:hint="eastAsia" w:ascii="宋体" w:hAnsi="宋体" w:cs="宋体"/>
                <w:color w:val="auto"/>
                <w:kern w:val="0"/>
                <w:sz w:val="18"/>
                <w:szCs w:val="18"/>
                <w:highlight w:val="none"/>
                <w:lang w:bidi="ar"/>
              </w:rPr>
              <w:t>，或投标人存在触发《国家电网有限公司供应商关系管理办法》第六十三条重大问题“熔断机制”情形的。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26</w:t>
            </w:r>
          </w:p>
        </w:tc>
        <w:tc>
          <w:tcPr>
            <w:tcW w:w="661"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硬件信息</w:t>
            </w:r>
          </w:p>
        </w:tc>
        <w:tc>
          <w:tcPr>
            <w:tcW w:w="3800" w:type="pct"/>
            <w:shd w:val="clear" w:color="auto" w:fill="auto"/>
            <w:vAlign w:val="center"/>
          </w:tcPr>
          <w:p>
            <w:pPr>
              <w:widowControl/>
              <w:snapToGrid w:val="0"/>
              <w:jc w:val="left"/>
              <w:textAlignment w:val="center"/>
              <w:rPr>
                <w:rFonts w:ascii="宋体" w:hAnsi="宋体" w:cs="宋体"/>
                <w:color w:val="auto"/>
                <w:sz w:val="18"/>
                <w:szCs w:val="18"/>
                <w:highlight w:val="none"/>
              </w:rPr>
            </w:pPr>
            <w:r>
              <w:rPr>
                <w:rStyle w:val="42"/>
                <w:rFonts w:hint="default"/>
                <w:color w:val="auto"/>
                <w:highlight w:val="none"/>
                <w:lang w:bidi="ar"/>
              </w:rPr>
              <w:t>不同投标人针对同一标包的电子投标文件编制时的计算机硬件信息中存在一条及以上的计算机网卡</w:t>
            </w:r>
            <w:r>
              <w:rPr>
                <w:rStyle w:val="43"/>
                <w:color w:val="auto"/>
                <w:highlight w:val="none"/>
                <w:lang w:bidi="ar"/>
              </w:rPr>
              <w:t>MAC</w:t>
            </w:r>
            <w:r>
              <w:rPr>
                <w:rStyle w:val="42"/>
                <w:rFonts w:hint="default"/>
                <w:color w:val="auto"/>
                <w:highlight w:val="none"/>
                <w:lang w:bidi="ar"/>
              </w:rPr>
              <w:t>地址（如有）、</w:t>
            </w:r>
            <w:r>
              <w:rPr>
                <w:rStyle w:val="43"/>
                <w:color w:val="auto"/>
                <w:highlight w:val="none"/>
                <w:lang w:bidi="ar"/>
              </w:rPr>
              <w:t>CPU</w:t>
            </w:r>
            <w:r>
              <w:rPr>
                <w:rStyle w:val="42"/>
                <w:rFonts w:hint="default"/>
                <w:color w:val="auto"/>
                <w:highlight w:val="none"/>
                <w:lang w:bidi="ar"/>
              </w:rPr>
              <w:t>序列号和硬盘序列号均相同的。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27</w:t>
            </w:r>
          </w:p>
        </w:tc>
        <w:tc>
          <w:tcPr>
            <w:tcW w:w="661" w:type="pct"/>
            <w:shd w:val="clear" w:color="auto" w:fill="auto"/>
            <w:vAlign w:val="center"/>
          </w:tcPr>
          <w:p>
            <w:pPr>
              <w:widowControl/>
              <w:snapToGrid w:val="0"/>
              <w:jc w:val="center"/>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重大质量问题</w:t>
            </w:r>
          </w:p>
        </w:tc>
        <w:tc>
          <w:tcPr>
            <w:tcW w:w="3800" w:type="pct"/>
            <w:shd w:val="clear" w:color="auto" w:fill="auto"/>
            <w:vAlign w:val="center"/>
          </w:tcPr>
          <w:p>
            <w:pPr>
              <w:widowControl/>
              <w:snapToGrid w:val="0"/>
              <w:jc w:val="left"/>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本次投标截止日前三年内发生重大质量问题（以相关行业主管部门的行政处罚决定或司法机关出具的有关法律文书为准）。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28</w:t>
            </w:r>
          </w:p>
        </w:tc>
        <w:tc>
          <w:tcPr>
            <w:tcW w:w="661" w:type="pct"/>
            <w:shd w:val="clear" w:color="auto" w:fill="auto"/>
            <w:vAlign w:val="center"/>
          </w:tcPr>
          <w:p>
            <w:pPr>
              <w:widowControl/>
              <w:snapToGrid w:val="0"/>
              <w:jc w:val="center"/>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违规分包</w:t>
            </w:r>
          </w:p>
        </w:tc>
        <w:tc>
          <w:tcPr>
            <w:tcW w:w="3800" w:type="pct"/>
            <w:shd w:val="clear" w:color="auto" w:fill="auto"/>
            <w:vAlign w:val="center"/>
          </w:tcPr>
          <w:p>
            <w:pPr>
              <w:widowControl/>
              <w:snapToGrid w:val="0"/>
              <w:jc w:val="left"/>
              <w:textAlignment w:val="center"/>
              <w:rPr>
                <w:rFonts w:ascii="宋体" w:hAnsi="宋体" w:eastAsia="宋体" w:cs="宋体"/>
                <w:b/>
                <w:bCs/>
                <w:color w:val="auto"/>
                <w:kern w:val="2"/>
                <w:sz w:val="18"/>
                <w:szCs w:val="18"/>
                <w:highlight w:val="none"/>
                <w:lang w:val="en-US" w:eastAsia="zh-CN" w:bidi="ar-SA"/>
              </w:rPr>
            </w:pPr>
            <w:r>
              <w:rPr>
                <w:rStyle w:val="44"/>
                <w:rFonts w:hint="default"/>
                <w:color w:val="auto"/>
                <w:highlight w:val="none"/>
                <w:lang w:bidi="ar"/>
              </w:rPr>
              <w:t>仅适用于施工项目：</w:t>
            </w:r>
            <w:r>
              <w:rPr>
                <w:rStyle w:val="41"/>
                <w:rFonts w:hint="default"/>
                <w:color w:val="auto"/>
                <w:highlight w:val="none"/>
                <w:lang w:bidi="ar"/>
              </w:rPr>
              <w:br w:type="textWrapping"/>
            </w:r>
            <w:r>
              <w:rPr>
                <w:rStyle w:val="41"/>
                <w:rFonts w:hint="default"/>
                <w:color w:val="auto"/>
                <w:highlight w:val="none"/>
                <w:lang w:bidi="ar"/>
              </w:rPr>
              <w:t>1.投标人未在投标文件中对拟分包计划、方案等进行实质性响应的；</w:t>
            </w:r>
            <w:r>
              <w:rPr>
                <w:rStyle w:val="41"/>
                <w:rFonts w:hint="default"/>
                <w:color w:val="auto"/>
                <w:highlight w:val="none"/>
                <w:lang w:bidi="ar"/>
              </w:rPr>
              <w:br w:type="textWrapping"/>
            </w:r>
            <w:r>
              <w:rPr>
                <w:rStyle w:val="41"/>
                <w:rFonts w:hint="default"/>
                <w:color w:val="auto"/>
                <w:highlight w:val="none"/>
                <w:lang w:bidi="ar"/>
              </w:rPr>
              <w:t>2.投标人拟将工程主体、关键性工作进行分包的，或在投标文件中出现其他违反法律法规、国家电网有限公司相关规定进行转包、分包的情况的；</w:t>
            </w:r>
            <w:r>
              <w:rPr>
                <w:rStyle w:val="41"/>
                <w:rFonts w:hint="default"/>
                <w:color w:val="auto"/>
                <w:highlight w:val="none"/>
                <w:lang w:bidi="ar"/>
              </w:rPr>
              <w:br w:type="textWrapping"/>
            </w:r>
            <w:r>
              <w:rPr>
                <w:rStyle w:val="41"/>
                <w:rFonts w:hint="default"/>
                <w:color w:val="auto"/>
                <w:highlight w:val="none"/>
                <w:lang w:bidi="ar"/>
              </w:rPr>
              <w:t>3.中标人不得承接国家电网有限公司招标采购产品其他供应商的贴牌代工及任何分包（招标文件中允许外购外协的除外）、转包，否则将根据《国家电网有限公司供应商关系管理办法》进行相应处理。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538"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29</w:t>
            </w:r>
          </w:p>
        </w:tc>
        <w:tc>
          <w:tcPr>
            <w:tcW w:w="661" w:type="pct"/>
            <w:shd w:val="clear" w:color="auto" w:fill="auto"/>
            <w:vAlign w:val="center"/>
          </w:tcPr>
          <w:p>
            <w:pPr>
              <w:widowControl/>
              <w:snapToGrid w:val="0"/>
              <w:jc w:val="center"/>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其他事项</w:t>
            </w:r>
          </w:p>
        </w:tc>
        <w:tc>
          <w:tcPr>
            <w:tcW w:w="3800" w:type="pct"/>
            <w:shd w:val="clear" w:color="auto" w:fill="auto"/>
            <w:vAlign w:val="center"/>
          </w:tcPr>
          <w:p>
            <w:pPr>
              <w:widowControl/>
              <w:snapToGrid w:val="0"/>
              <w:jc w:val="left"/>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投标人或投标文件符合招标文件中规定否决投标的其他条款的。</w:t>
            </w:r>
          </w:p>
        </w:tc>
      </w:tr>
    </w:tbl>
    <w:p>
      <w:pPr>
        <w:pStyle w:val="17"/>
        <w:rPr>
          <w:color w:val="auto"/>
          <w:highlight w:val="none"/>
        </w:rPr>
        <w:sectPr>
          <w:pgSz w:w="11906" w:h="16838"/>
          <w:pgMar w:top="1440" w:right="1440" w:bottom="1440" w:left="1440" w:header="851" w:footer="992" w:gutter="0"/>
          <w:cols w:space="720" w:num="1"/>
          <w:docGrid w:linePitch="312" w:charSpace="0"/>
        </w:sectPr>
      </w:pPr>
    </w:p>
    <w:p>
      <w:pPr>
        <w:widowControl/>
        <w:spacing w:line="400" w:lineRule="exact"/>
        <w:jc w:val="left"/>
        <w:outlineLvl w:val="1"/>
        <w:rPr>
          <w:rFonts w:hint="eastAsia" w:ascii="黑体" w:hAnsi="黑体" w:eastAsia="黑体"/>
          <w:b/>
          <w:color w:val="auto"/>
          <w:kern w:val="0"/>
          <w:sz w:val="24"/>
          <w:highlight w:val="none"/>
          <w:lang w:val="zh-CN"/>
        </w:rPr>
      </w:pPr>
      <w:bookmarkStart w:id="347" w:name="_Toc500842892"/>
      <w:bookmarkStart w:id="348" w:name="_Toc129618901"/>
      <w:r>
        <w:rPr>
          <w:rFonts w:hint="eastAsia" w:ascii="黑体" w:hAnsi="黑体" w:eastAsia="黑体"/>
          <w:b/>
          <w:color w:val="auto"/>
          <w:kern w:val="0"/>
          <w:sz w:val="24"/>
          <w:highlight w:val="none"/>
          <w:lang w:val="zh-CN"/>
        </w:rPr>
        <w:t>评标办法前附表之三：商务评分标准</w:t>
      </w:r>
    </w:p>
    <w:p>
      <w:pPr>
        <w:topLinePunct/>
        <w:adjustRightInd w:val="0"/>
        <w:spacing w:line="360" w:lineRule="exact"/>
        <w:ind w:firstLine="420"/>
        <w:rPr>
          <w:rFonts w:hint="eastAsia"/>
          <w:b w:val="0"/>
          <w:bCs w:val="0"/>
          <w:color w:val="auto"/>
          <w:szCs w:val="20"/>
          <w:highlight w:val="none"/>
        </w:rPr>
      </w:pPr>
      <w:r>
        <w:rPr>
          <w:rFonts w:hint="eastAsia"/>
          <w:b w:val="0"/>
          <w:bCs w:val="0"/>
          <w:color w:val="auto"/>
          <w:szCs w:val="20"/>
          <w:highlight w:val="none"/>
        </w:rPr>
        <w:t>评标委员会将根据以下标准对通过初评的投标人进行商务评审。偏离全部专家评分第一次平均分±8%的评分将予以剔除，剩余专家评分进行第二次平均，得出的平均分值为相应投标的商务评审得分</w:t>
      </w:r>
      <w:r>
        <w:rPr>
          <w:rFonts w:hint="eastAsia"/>
          <w:b w:val="0"/>
          <w:bCs w:val="0"/>
          <w:color w:val="auto"/>
          <w:szCs w:val="20"/>
          <w:highlight w:val="none"/>
          <w:lang w:eastAsia="zh-CN"/>
        </w:rPr>
        <w:t>。</w:t>
      </w:r>
      <w:r>
        <w:rPr>
          <w:rFonts w:hint="eastAsia"/>
          <w:b w:val="0"/>
          <w:bCs w:val="0"/>
          <w:color w:val="auto"/>
          <w:szCs w:val="20"/>
          <w:highlight w:val="none"/>
        </w:rPr>
        <w:t>评审标准包括但不限于以下内容：</w:t>
      </w:r>
    </w:p>
    <w:p>
      <w:pPr>
        <w:pStyle w:val="5"/>
        <w:ind w:firstLine="0"/>
        <w:jc w:val="center"/>
        <w:rPr>
          <w:rFonts w:hint="eastAsia" w:ascii="仿宋_GB2312" w:hAnsi="黑体" w:eastAsia="仿宋_GB2312" w:cs="Times New Roman"/>
          <w:b/>
          <w:bCs/>
          <w:color w:val="auto"/>
          <w:sz w:val="28"/>
          <w:szCs w:val="28"/>
          <w:highlight w:val="none"/>
        </w:rPr>
      </w:pPr>
      <w:r>
        <w:rPr>
          <w:rFonts w:hint="eastAsia" w:ascii="仿宋_GB2312" w:hAnsi="黑体" w:eastAsia="仿宋_GB2312" w:cs="Times New Roman"/>
          <w:b/>
          <w:bCs/>
          <w:color w:val="auto"/>
          <w:sz w:val="28"/>
          <w:szCs w:val="28"/>
          <w:highlight w:val="none"/>
        </w:rPr>
        <w:t>商务评分标准</w:t>
      </w:r>
    </w:p>
    <w:p>
      <w:pPr>
        <w:pStyle w:val="5"/>
        <w:ind w:firstLine="0"/>
        <w:jc w:val="center"/>
        <w:rPr>
          <w:rFonts w:hint="default" w:ascii="仿宋_GB2312" w:hAnsi="黑体" w:eastAsia="仿宋_GB2312" w:cs="Times New Roman"/>
          <w:b/>
          <w:bCs/>
          <w:color w:val="auto"/>
          <w:sz w:val="28"/>
          <w:szCs w:val="28"/>
          <w:highlight w:val="none"/>
        </w:rPr>
      </w:pPr>
      <w:r>
        <w:rPr>
          <w:rFonts w:hint="eastAsia" w:ascii="仿宋_GB2312" w:hAnsi="黑体" w:eastAsia="仿宋_GB2312" w:cs="Times New Roman"/>
          <w:b/>
          <w:bCs/>
          <w:color w:val="auto"/>
          <w:sz w:val="28"/>
          <w:szCs w:val="28"/>
          <w:highlight w:val="none"/>
          <w:lang w:eastAsia="zh-CN"/>
        </w:rPr>
        <w:t>（</w:t>
      </w:r>
      <w:r>
        <w:rPr>
          <w:rFonts w:hint="eastAsia" w:ascii="仿宋_GB2312" w:hAnsi="黑体" w:eastAsia="仿宋_GB2312" w:cs="Times New Roman"/>
          <w:b/>
          <w:bCs/>
          <w:color w:val="auto"/>
          <w:sz w:val="28"/>
          <w:szCs w:val="28"/>
          <w:highlight w:val="none"/>
          <w:lang w:val="en-US" w:eastAsia="zh-CN"/>
        </w:rPr>
        <w:t>适用于施工类分标）</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948"/>
        <w:gridCol w:w="1426"/>
        <w:gridCol w:w="6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blHeader/>
          <w:jc w:val="center"/>
        </w:trPr>
        <w:tc>
          <w:tcPr>
            <w:tcW w:w="676"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序号</w:t>
            </w:r>
          </w:p>
        </w:tc>
        <w:tc>
          <w:tcPr>
            <w:tcW w:w="1440"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项目</w:t>
            </w:r>
          </w:p>
        </w:tc>
        <w:tc>
          <w:tcPr>
            <w:tcW w:w="2262"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评审内容及分值</w:t>
            </w:r>
          </w:p>
        </w:tc>
        <w:tc>
          <w:tcPr>
            <w:tcW w:w="10443"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restart"/>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color w:val="auto"/>
                <w:kern w:val="0"/>
                <w:sz w:val="21"/>
                <w:szCs w:val="21"/>
                <w:highlight w:val="none"/>
                <w:lang w:bidi="ar"/>
              </w:rPr>
              <w:t>1</w:t>
            </w:r>
          </w:p>
        </w:tc>
        <w:tc>
          <w:tcPr>
            <w:tcW w:w="1440" w:type="dxa"/>
            <w:vMerge w:val="restart"/>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企业实力</w:t>
            </w:r>
          </w:p>
          <w:p>
            <w:pPr>
              <w:rPr>
                <w:rFonts w:hint="eastAsia" w:ascii="宋体" w:hAnsi="宋体" w:eastAsia="宋体" w:cs="宋体"/>
                <w:color w:val="auto"/>
                <w:sz w:val="21"/>
                <w:szCs w:val="21"/>
                <w:highlight w:val="none"/>
              </w:rPr>
            </w:pPr>
            <w:r>
              <w:rPr>
                <w:rFonts w:hint="eastAsia" w:ascii="宋体" w:hAnsi="宋体" w:eastAsia="宋体" w:cs="宋体"/>
                <w:b/>
                <w:bCs/>
                <w:color w:val="auto"/>
                <w:kern w:val="0"/>
                <w:sz w:val="21"/>
                <w:szCs w:val="21"/>
                <w:highlight w:val="none"/>
              </w:rPr>
              <w:t>（33分）</w:t>
            </w:r>
          </w:p>
          <w:p>
            <w:pPr>
              <w:widowControl/>
              <w:jc w:val="center"/>
              <w:textAlignment w:val="center"/>
              <w:rPr>
                <w:rFonts w:hint="eastAsia" w:ascii="宋体" w:hAnsi="宋体" w:eastAsia="宋体" w:cs="宋体"/>
                <w:b/>
                <w:bCs/>
                <w:color w:val="auto"/>
                <w:sz w:val="21"/>
                <w:szCs w:val="21"/>
                <w:highlight w:val="none"/>
              </w:rPr>
            </w:pPr>
          </w:p>
        </w:tc>
        <w:tc>
          <w:tcPr>
            <w:tcW w:w="226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信誉评价（18分）</w:t>
            </w:r>
          </w:p>
        </w:tc>
        <w:tc>
          <w:tcPr>
            <w:tcW w:w="10443" w:type="dxa"/>
            <w:vAlign w:val="center"/>
          </w:tcPr>
          <w:p>
            <w:pPr>
              <w:widowControl/>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企业信誉及业主单位评价优秀。（18分）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企业信誉及业主单位评价良好。（16分）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企业信誉及业主单位评价一般。（14分）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sz w:val="21"/>
                <w:szCs w:val="21"/>
                <w:highlight w:val="none"/>
              </w:rPr>
            </w:pPr>
          </w:p>
        </w:tc>
        <w:tc>
          <w:tcPr>
            <w:tcW w:w="2262" w:type="dxa"/>
            <w:vAlign w:val="center"/>
          </w:tcPr>
          <w:p>
            <w:pPr>
              <w:adjustRightInd w:val="0"/>
              <w:snapToGrid w:val="0"/>
              <w:spacing w:before="66" w:after="66"/>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获奖（10分）</w:t>
            </w:r>
          </w:p>
        </w:tc>
        <w:tc>
          <w:tcPr>
            <w:tcW w:w="1044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获奖情况：</w:t>
            </w:r>
            <w:r>
              <w:rPr>
                <w:rFonts w:hint="eastAsia" w:ascii="宋体" w:hAnsi="宋体" w:eastAsia="宋体" w:cs="宋体"/>
                <w:color w:val="auto"/>
                <w:sz w:val="21"/>
                <w:szCs w:val="21"/>
                <w:highlight w:val="none"/>
                <w:lang w:bidi="ar"/>
              </w:rPr>
              <w:t>500kV及以上，或±400kV及以上</w:t>
            </w:r>
            <w:r>
              <w:rPr>
                <w:rFonts w:hint="eastAsia" w:ascii="宋体" w:hAnsi="宋体" w:eastAsia="宋体" w:cs="宋体"/>
                <w:color w:val="auto"/>
                <w:kern w:val="0"/>
                <w:sz w:val="21"/>
                <w:szCs w:val="21"/>
                <w:highlight w:val="none"/>
                <w:lang w:bidi="ar"/>
              </w:rPr>
              <w:t>同类工程在开标截止日前三年内每获国家级奖5分；每获省部级（行业级）奖2分。同一工程只计一次获奖，得满为止。（10分）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企业创新获奖（5分）</w:t>
            </w:r>
          </w:p>
        </w:tc>
        <w:tc>
          <w:tcPr>
            <w:tcW w:w="1044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投标截止日近3年企业取得过国家级科技创新成果的，得5分；</w:t>
            </w:r>
          </w:p>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投标截止日近3年企业取得过省级科技创新成果的，得3分；</w:t>
            </w:r>
          </w:p>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投标截止日近3年企业取得过其他级别创新成果的，得1分；</w:t>
            </w:r>
          </w:p>
          <w:p>
            <w:pP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投标截止日近3年企业未取得任何级别创新成果的，得0分。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2</w:t>
            </w:r>
          </w:p>
        </w:tc>
        <w:tc>
          <w:tcPr>
            <w:tcW w:w="1440" w:type="dxa"/>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报价评价</w:t>
            </w:r>
          </w:p>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（40分）</w:t>
            </w:r>
          </w:p>
        </w:tc>
        <w:tc>
          <w:tcPr>
            <w:tcW w:w="2262" w:type="dxa"/>
            <w:vAlign w:val="center"/>
          </w:tcPr>
          <w:p>
            <w:pPr>
              <w:widowControl/>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报价质量评价（40分）</w:t>
            </w:r>
          </w:p>
        </w:tc>
        <w:tc>
          <w:tcPr>
            <w:tcW w:w="10443" w:type="dxa"/>
            <w:vAlign w:val="center"/>
          </w:tcPr>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符合国家现行有关规定和招标文件规定，报价清晰、数据完整。（39-40分）</w:t>
            </w:r>
          </w:p>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符合国家现行有关规定和招标文件规定，报价较清晰、数据较完整。（37-38分）</w:t>
            </w:r>
          </w:p>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符合国家现行有关规定和招标文件规定，提供</w:t>
            </w:r>
            <w:r>
              <w:rPr>
                <w:rFonts w:hint="eastAsia" w:ascii="宋体" w:hAnsi="宋体" w:eastAsia="宋体" w:cs="宋体"/>
                <w:color w:val="auto"/>
                <w:sz w:val="21"/>
                <w:szCs w:val="21"/>
                <w:highlight w:val="none"/>
                <w:lang w:bidi="ar"/>
              </w:rPr>
              <w:t>报价及数据</w:t>
            </w:r>
            <w:r>
              <w:rPr>
                <w:rFonts w:hint="eastAsia" w:ascii="宋体" w:hAnsi="宋体" w:eastAsia="宋体" w:cs="宋体"/>
                <w:color w:val="auto"/>
                <w:sz w:val="21"/>
                <w:szCs w:val="21"/>
                <w:highlight w:val="none"/>
              </w:rPr>
              <w:t>。（36分）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676" w:type="dxa"/>
            <w:vMerge w:val="restart"/>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w:t>
            </w:r>
          </w:p>
        </w:tc>
        <w:tc>
          <w:tcPr>
            <w:tcW w:w="1440" w:type="dxa"/>
            <w:vMerge w:val="restart"/>
            <w:vAlign w:val="center"/>
          </w:tcPr>
          <w:p>
            <w:pPr>
              <w:widowControl/>
              <w:jc w:val="center"/>
              <w:textAlignment w:val="center"/>
              <w:rPr>
                <w:rFonts w:hint="eastAsia" w:ascii="宋体" w:hAnsi="宋体" w:eastAsia="宋体" w:cs="宋体"/>
                <w:b/>
                <w:bCs/>
                <w:color w:val="auto"/>
                <w:kern w:val="0"/>
                <w:sz w:val="21"/>
                <w:szCs w:val="21"/>
                <w:highlight w:val="none"/>
                <w:lang w:bidi="ar"/>
              </w:rPr>
            </w:pPr>
            <w:r>
              <w:rPr>
                <w:rFonts w:hint="eastAsia" w:ascii="宋体" w:hAnsi="宋体" w:eastAsia="宋体" w:cs="宋体"/>
                <w:b/>
                <w:bCs/>
                <w:color w:val="auto"/>
                <w:kern w:val="0"/>
                <w:sz w:val="21"/>
                <w:szCs w:val="21"/>
                <w:highlight w:val="none"/>
                <w:lang w:bidi="ar"/>
              </w:rPr>
              <w:t>综合评价</w:t>
            </w:r>
          </w:p>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（27分）</w:t>
            </w:r>
          </w:p>
        </w:tc>
        <w:tc>
          <w:tcPr>
            <w:tcW w:w="226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对招标文件的响应程度（20分）</w:t>
            </w:r>
          </w:p>
        </w:tc>
        <w:tc>
          <w:tcPr>
            <w:tcW w:w="10443" w:type="dxa"/>
            <w:vAlign w:val="center"/>
          </w:tcPr>
          <w:p>
            <w:pPr>
              <w:widowControl/>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完全响应：提交了完整的商务投标文件且整体情况优秀。（20分）</w:t>
            </w:r>
            <w:r>
              <w:rPr>
                <w:rFonts w:hint="eastAsia" w:ascii="宋体" w:hAnsi="宋体" w:eastAsia="宋体" w:cs="宋体"/>
                <w:color w:val="auto"/>
                <w:sz w:val="21"/>
                <w:szCs w:val="21"/>
                <w:highlight w:val="none"/>
              </w:rPr>
              <w:br w:type="textWrapping"/>
            </w:r>
            <w:r>
              <w:rPr>
                <w:rFonts w:hint="eastAsia" w:ascii="宋体" w:hAnsi="宋体" w:eastAsia="宋体" w:cs="宋体"/>
                <w:color w:val="auto"/>
                <w:sz w:val="21"/>
                <w:szCs w:val="21"/>
                <w:highlight w:val="none"/>
              </w:rPr>
              <w:t>基本响应：提交了基本完整的商务投标文件且整体情况较好。（19分）</w:t>
            </w:r>
            <w:r>
              <w:rPr>
                <w:rFonts w:hint="eastAsia" w:ascii="宋体" w:hAnsi="宋体" w:eastAsia="宋体" w:cs="宋体"/>
                <w:color w:val="auto"/>
                <w:sz w:val="21"/>
                <w:szCs w:val="21"/>
                <w:highlight w:val="none"/>
              </w:rPr>
              <w:br w:type="textWrapping"/>
            </w:r>
            <w:r>
              <w:rPr>
                <w:rFonts w:hint="eastAsia" w:ascii="宋体" w:hAnsi="宋体" w:eastAsia="宋体" w:cs="宋体"/>
                <w:color w:val="auto"/>
                <w:sz w:val="21"/>
                <w:szCs w:val="21"/>
                <w:highlight w:val="none"/>
              </w:rPr>
              <w:t>部分响应：提交的商务投标文件且整体情况一般。（18分）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绿色发展规划及管理体系认证</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（3分）</w:t>
            </w:r>
          </w:p>
        </w:tc>
        <w:tc>
          <w:tcPr>
            <w:tcW w:w="10443" w:type="dxa"/>
            <w:vAlign w:val="center"/>
          </w:tcPr>
          <w:p>
            <w:pPr>
              <w:widowControl/>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对绿色发展规划及管理体系认证情况进行评价：</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1.投标人建立绿色发展规划制度的得（0.5分）；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2.取得经国家认证认可监督管理委员会（CNCA）批准的认证机构认证通过的能源管理体系证书的得（1分），无得（0分）；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3.取得国家认证认可监督管理委员会（CNCA）批准的认证机构认证通过的质量管理体系、职业健康安全管理体系及环境管理体系证书3项的得（1.5分），取得2项的得（1分）,取得1项的得（0.5分）,未取得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环境影响评价</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（2分）</w:t>
            </w:r>
          </w:p>
        </w:tc>
        <w:tc>
          <w:tcPr>
            <w:tcW w:w="10443" w:type="dxa"/>
            <w:vAlign w:val="center"/>
          </w:tcPr>
          <w:p>
            <w:pPr>
              <w:widowControl/>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投标人三类环境影响报告进行评价，包括①通过企业官网、权威媒体、公共平台等途径发布的ESG（环境、社会和公司治理）报告，②由具有资质能力机构出具且经环保监管部门审核通过的环评/能评报告③由具有资质能力机构出具且经环保监管部门审核通过的废水/废气/废固报告。具有三类报告的得（2分）；具有一至两类报告的得（1分）；未取得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绿电绿证</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（2分）</w:t>
            </w:r>
          </w:p>
        </w:tc>
        <w:tc>
          <w:tcPr>
            <w:tcW w:w="10443" w:type="dxa"/>
            <w:vAlign w:val="center"/>
          </w:tcPr>
          <w:p>
            <w:pPr>
              <w:widowControl/>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对投标人取得绿色电力证书情况进行评价，取得证书或凭证的得（2分）；未取得的得（0分）。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restart"/>
            <w:noWrap/>
            <w:vAlign w:val="center"/>
          </w:tcPr>
          <w:p>
            <w:pPr>
              <w:widowControl/>
              <w:jc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4</w:t>
            </w:r>
          </w:p>
        </w:tc>
        <w:tc>
          <w:tcPr>
            <w:tcW w:w="1440" w:type="dxa"/>
            <w:vMerge w:val="restart"/>
            <w:vAlign w:val="center"/>
          </w:tcPr>
          <w:p>
            <w:pPr>
              <w:widowControl/>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bidi="ar"/>
              </w:rPr>
              <w:t>诚信评价</w:t>
            </w:r>
          </w:p>
        </w:tc>
        <w:tc>
          <w:tcPr>
            <w:tcW w:w="226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投标报价一致性（-20-0分）</w:t>
            </w:r>
          </w:p>
        </w:tc>
        <w:tc>
          <w:tcPr>
            <w:tcW w:w="1044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bidi="ar"/>
              </w:rPr>
              <w:t>对于满足以下任一条件的投标人组合：①本项目下累计出现3包次及以上投标总价完全一致；②连续2个及以上批次出现投标总价价格完全一致。处理方式：该投标人组合中的各方在当批该组合出现价格一致情况的分标中扣减商务分，扣减分值为每出现一包次价格一致情况扣5分（计算该组合累计包次），封顶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rPr>
                <w:rFonts w:hint="eastAsia" w:ascii="宋体" w:hAnsi="宋体" w:eastAsia="宋体" w:cs="宋体"/>
                <w:color w:val="auto"/>
                <w:kern w:val="0"/>
                <w:sz w:val="21"/>
                <w:szCs w:val="21"/>
                <w:highlight w:val="none"/>
              </w:rPr>
            </w:pPr>
          </w:p>
        </w:tc>
        <w:tc>
          <w:tcPr>
            <w:tcW w:w="1440" w:type="dxa"/>
            <w:vMerge w:val="continue"/>
            <w:vAlign w:val="center"/>
          </w:tcPr>
          <w:p>
            <w:pPr>
              <w:widowControl/>
              <w:jc w:val="center"/>
              <w:rPr>
                <w:rFonts w:hint="eastAsia" w:ascii="宋体" w:hAnsi="宋体" w:eastAsia="宋体" w:cs="宋体"/>
                <w:b/>
                <w:bCs/>
                <w:color w:val="auto"/>
                <w:sz w:val="21"/>
                <w:szCs w:val="21"/>
                <w:highlight w:val="none"/>
                <w:lang w:bidi="ar"/>
              </w:rPr>
            </w:pPr>
          </w:p>
        </w:tc>
        <w:tc>
          <w:tcPr>
            <w:tcW w:w="2262" w:type="dxa"/>
            <w:vMerge w:val="restart"/>
            <w:vAlign w:val="center"/>
          </w:tcPr>
          <w:p>
            <w:pPr>
              <w:widowControl/>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质量管理与保证（-30分）</w:t>
            </w:r>
          </w:p>
          <w:p>
            <w:pPr>
              <w:widowControl/>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（仅适用施工、监理分标）</w:t>
            </w:r>
          </w:p>
        </w:tc>
        <w:tc>
          <w:tcPr>
            <w:tcW w:w="1044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安全事故指标考核（15分）。一年内发生一般人身、设备及电网事故（四级人身、设备、电网安全事件），每次扣5分；二年内发生较大人身、设备及电网事故（三级人身、设备、电网安全事件），每次扣10分，</w:t>
            </w:r>
            <w:r>
              <w:rPr>
                <w:rFonts w:hint="eastAsia" w:ascii="宋体" w:hAnsi="宋体" w:eastAsia="宋体" w:cs="宋体"/>
                <w:color w:val="auto"/>
                <w:kern w:val="0"/>
                <w:sz w:val="21"/>
                <w:szCs w:val="21"/>
                <w:highlight w:val="none"/>
                <w:lang w:bidi="ar"/>
              </w:rPr>
              <w:t>封顶15分</w:t>
            </w:r>
            <w:r>
              <w:rPr>
                <w:rFonts w:hint="eastAsia" w:ascii="宋体" w:hAnsi="宋体" w:eastAsia="宋体" w:cs="宋体"/>
                <w:color w:val="auto"/>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rPr>
                <w:rFonts w:hint="eastAsia" w:ascii="宋体" w:hAnsi="宋体" w:eastAsia="宋体" w:cs="宋体"/>
                <w:color w:val="auto"/>
                <w:kern w:val="0"/>
                <w:sz w:val="21"/>
                <w:szCs w:val="21"/>
                <w:highlight w:val="none"/>
              </w:rPr>
            </w:pPr>
          </w:p>
        </w:tc>
        <w:tc>
          <w:tcPr>
            <w:tcW w:w="1440" w:type="dxa"/>
            <w:vMerge w:val="continue"/>
            <w:vAlign w:val="center"/>
          </w:tcPr>
          <w:p>
            <w:pPr>
              <w:widowControl/>
              <w:jc w:val="center"/>
              <w:rPr>
                <w:rFonts w:hint="eastAsia" w:ascii="宋体" w:hAnsi="宋体" w:eastAsia="宋体" w:cs="宋体"/>
                <w:b/>
                <w:bCs/>
                <w:color w:val="auto"/>
                <w:sz w:val="21"/>
                <w:szCs w:val="21"/>
                <w:highlight w:val="none"/>
                <w:lang w:bidi="ar"/>
              </w:rPr>
            </w:pPr>
          </w:p>
        </w:tc>
        <w:tc>
          <w:tcPr>
            <w:tcW w:w="2262"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044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质量事件指标考核（15分）。一年内发生一般质量事故（四级质量事件），每次扣5分；二年内发生较大质量事故（三级质量事件），扣10分，</w:t>
            </w:r>
            <w:r>
              <w:rPr>
                <w:rFonts w:hint="eastAsia" w:ascii="宋体" w:hAnsi="宋体" w:eastAsia="宋体" w:cs="宋体"/>
                <w:color w:val="auto"/>
                <w:kern w:val="0"/>
                <w:sz w:val="21"/>
                <w:szCs w:val="21"/>
                <w:highlight w:val="none"/>
                <w:lang w:bidi="ar"/>
              </w:rPr>
              <w:t>封顶15分</w:t>
            </w:r>
            <w:r>
              <w:rPr>
                <w:rFonts w:hint="eastAsia" w:ascii="宋体" w:hAnsi="宋体" w:eastAsia="宋体" w:cs="宋体"/>
                <w:color w:val="auto"/>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不良行为（-30-0）</w:t>
            </w:r>
          </w:p>
        </w:tc>
        <w:tc>
          <w:tcPr>
            <w:tcW w:w="10443" w:type="dxa"/>
            <w:vAlign w:val="center"/>
          </w:tcPr>
          <w:p>
            <w:pPr>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不存在《国家电网有限公司供应商关系管理办法》中规定的不良行为；或存在《国家电网有限公司供应商关系管理办法》中规定的不良行为，但最近一次受到供应商不良行为处理解除之日，距离投标截止日超过1年，不扣分；</w:t>
            </w:r>
          </w:p>
          <w:p>
            <w:pPr>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至本项目投标截止日，存在《国家电网有限公司供应商关系管理办法》中规定的不良行为，且最近一次受到供应商不良行为处理解除之日，距离投标截止日1年以内（含），扣减15分；其中，存在行贿行为的，扣减30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失信行为（-10-0）</w:t>
            </w:r>
          </w:p>
        </w:tc>
        <w:tc>
          <w:tcPr>
            <w:tcW w:w="10443" w:type="dxa"/>
            <w:vAlign w:val="center"/>
          </w:tcPr>
          <w:p>
            <w:pPr>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不存在失信行为相关行政处罚的【不扣分】；</w:t>
            </w:r>
          </w:p>
          <w:p>
            <w:pPr>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存在属质量、诚信问题以外的行政处罚，例如环境行政处罚，扣5分；</w:t>
            </w:r>
          </w:p>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存在属质量、诚信问题的行政处罚，且未纳入失信黑名单；扣10分。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违规行为（-20-0）</w:t>
            </w:r>
          </w:p>
        </w:tc>
        <w:tc>
          <w:tcPr>
            <w:tcW w:w="10443" w:type="dxa"/>
            <w:vAlign w:val="center"/>
          </w:tcPr>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投标截止日近一年内，经招标人查证核实，投标人存在可能影响招投标工作公正性行为的，扣20分；无上述行为的，不扣分。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26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负面事件影响评价（-50-0）</w:t>
            </w:r>
          </w:p>
        </w:tc>
        <w:tc>
          <w:tcPr>
            <w:tcW w:w="1044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投标人发生重大负面事件或其他情形造成不良社会影响；以及不当行为可能带来破坏市场公平竞争秩序风险，根据严重程度扣10-50分；</w:t>
            </w:r>
          </w:p>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无上述情形的，不扣分。</w:t>
            </w:r>
          </w:p>
        </w:tc>
      </w:tr>
    </w:tbl>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注：</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1. 同一工程获奖只计最高奖。</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2. 获奖时间以获奖证书颁发日期为准。</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3. 对于联合体投标，评分以牵头方为依据。</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4.</w:t>
      </w:r>
      <w:r>
        <w:rPr>
          <w:rFonts w:hint="eastAsia" w:ascii="宋体" w:hAnsi="宋体" w:eastAsia="宋体" w:cs="Times New Roman"/>
          <w:color w:val="auto"/>
          <w:szCs w:val="21"/>
          <w:highlight w:val="none"/>
        </w:rPr>
        <w:t>评分标准中“</w:t>
      </w:r>
      <w:r>
        <w:rPr>
          <w:rFonts w:hint="eastAsia" w:ascii="宋体" w:hAnsi="宋体" w:eastAsia="宋体" w:cs="宋体"/>
          <w:color w:val="auto"/>
          <w:sz w:val="21"/>
          <w:szCs w:val="21"/>
          <w:highlight w:val="none"/>
          <w:lang w:bidi="ar"/>
        </w:rPr>
        <w:t>投标截止日</w:t>
      </w:r>
      <w:r>
        <w:rPr>
          <w:rFonts w:hint="eastAsia" w:ascii="宋体" w:hAnsi="宋体" w:eastAsia="宋体" w:cs="Times New Roman"/>
          <w:color w:val="auto"/>
          <w:szCs w:val="21"/>
          <w:highlight w:val="none"/>
        </w:rPr>
        <w:t>近3年”是指“开标日（即投标截止时间当日）前3个自然年”。</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5.同类工程是指符合本次招标业绩要求范围的项目。新建变电工程业绩含：新建变电站（开关站）、新建换流站（柔直换流站）；新建线路工程业绩含：新建线路工程；扩建变电工程业绩仅含：扩建、更换变压器工程；改建线路工程业绩仅含：完整线路工程。</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 xml:space="preserve">6. </w:t>
      </w:r>
      <w:r>
        <w:rPr>
          <w:rFonts w:hint="eastAsia" w:ascii="宋体" w:hAnsi="宋体" w:eastAsia="宋体" w:cs="宋体"/>
          <w:color w:val="auto"/>
          <w:szCs w:val="21"/>
          <w:highlight w:val="none"/>
          <w:lang w:bidi="ar"/>
        </w:rPr>
        <w:t>获奖情况说明</w:t>
      </w:r>
      <w:r>
        <w:rPr>
          <w:rFonts w:hint="eastAsia" w:ascii="宋体" w:hAnsi="宋体" w:eastAsia="宋体"/>
          <w:color w:val="auto"/>
          <w:szCs w:val="21"/>
          <w:highlight w:val="none"/>
        </w:rPr>
        <w:t>：工程获奖奖项若未体现投标人单位，请提供参与此工程项目的证明材料，包括但不限于合同关键页（包括封面、合同协议书、签署页（含签署日期）等）。</w:t>
      </w:r>
      <w:r>
        <w:rPr>
          <w:rFonts w:hint="eastAsia" w:ascii="宋体" w:hAnsi="宋体" w:eastAsia="宋体" w:cs="宋体"/>
          <w:color w:val="auto"/>
          <w:szCs w:val="21"/>
          <w:highlight w:val="none"/>
          <w:lang w:bidi="ar"/>
        </w:rPr>
        <w:t>（</w:t>
      </w:r>
      <w:r>
        <w:rPr>
          <w:rFonts w:hint="eastAsia" w:ascii="宋体" w:hAnsi="宋体" w:eastAsia="宋体"/>
          <w:color w:val="auto"/>
          <w:szCs w:val="21"/>
          <w:highlight w:val="none"/>
        </w:rPr>
        <w:t>仅适用于水土保持监理服务、环境监理服务、环评水保分标</w:t>
      </w:r>
      <w:r>
        <w:rPr>
          <w:rFonts w:hint="eastAsia" w:ascii="宋体" w:hAnsi="宋体" w:eastAsia="宋体" w:cs="宋体"/>
          <w:color w:val="auto"/>
          <w:szCs w:val="21"/>
          <w:highlight w:val="none"/>
          <w:lang w:bidi="ar"/>
        </w:rPr>
        <w:t>）</w:t>
      </w:r>
    </w:p>
    <w:p>
      <w:pPr>
        <w:widowControl/>
        <w:adjustRightInd w:val="0"/>
        <w:snapToGrid w:val="0"/>
        <w:spacing w:line="300" w:lineRule="auto"/>
        <w:jc w:val="left"/>
        <w:rPr>
          <w:rFonts w:ascii="宋体" w:hAnsi="宋体" w:eastAsia="宋体"/>
          <w:color w:val="auto"/>
          <w:szCs w:val="21"/>
          <w:highlight w:val="none"/>
        </w:rPr>
      </w:pPr>
      <w:r>
        <w:rPr>
          <w:rFonts w:hint="eastAsia" w:ascii="宋体" w:hAnsi="宋体" w:eastAsia="宋体"/>
          <w:color w:val="auto"/>
          <w:szCs w:val="21"/>
          <w:highlight w:val="none"/>
        </w:rPr>
        <w:t>7.有效奖项及级别见下表：</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2418"/>
        <w:gridCol w:w="1075"/>
        <w:gridCol w:w="50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18"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序号</w:t>
            </w:r>
          </w:p>
        </w:tc>
        <w:tc>
          <w:tcPr>
            <w:tcW w:w="3708"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奖项</w:t>
            </w:r>
          </w:p>
        </w:tc>
        <w:tc>
          <w:tcPr>
            <w:tcW w:w="1578"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级别</w:t>
            </w:r>
          </w:p>
        </w:tc>
        <w:tc>
          <w:tcPr>
            <w:tcW w:w="7913"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审核单位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1</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国家优质工程奖</w:t>
            </w:r>
          </w:p>
        </w:tc>
        <w:tc>
          <w:tcPr>
            <w:tcW w:w="1578" w:type="dxa"/>
            <w:vMerge w:val="restart"/>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国家级</w:t>
            </w: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中国施工企业管理协会</w:t>
            </w:r>
            <w:r>
              <w:rPr>
                <w:rFonts w:ascii="Times New Roman" w:hAnsi="Times New Roman" w:eastAsia="宋体" w:cs="Arial"/>
                <w:color w:val="auto"/>
                <w:kern w:val="0"/>
                <w:szCs w:val="21"/>
                <w:highlight w:val="none"/>
              </w:rPr>
              <w:t>/</w:t>
            </w:r>
            <w:r>
              <w:rPr>
                <w:rFonts w:hint="eastAsia" w:ascii="Times New Roman" w:hAnsi="Times New Roman" w:eastAsia="宋体" w:cs="宋体"/>
                <w:color w:val="auto"/>
                <w:kern w:val="0"/>
                <w:szCs w:val="21"/>
                <w:highlight w:val="none"/>
              </w:rPr>
              <w:t>国家工程建设质量奖审定委员会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2</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国家科学技术进步奖</w:t>
            </w:r>
          </w:p>
        </w:tc>
        <w:tc>
          <w:tcPr>
            <w:tcW w:w="1578" w:type="dxa"/>
            <w:vMerge w:val="continue"/>
            <w:vAlign w:val="center"/>
          </w:tcPr>
          <w:p>
            <w:pPr>
              <w:widowControl/>
              <w:jc w:val="left"/>
              <w:rPr>
                <w:rFonts w:ascii="Times New Roman" w:hAnsi="Times New Roman" w:eastAsia="宋体" w:cs="宋体"/>
                <w:color w:val="auto"/>
                <w:kern w:val="0"/>
                <w:szCs w:val="21"/>
                <w:highlight w:val="none"/>
              </w:rPr>
            </w:pP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中华人民共和国国务院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3</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中国建设工程鲁班奖</w:t>
            </w:r>
          </w:p>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（国家优质工程）</w:t>
            </w:r>
          </w:p>
        </w:tc>
        <w:tc>
          <w:tcPr>
            <w:tcW w:w="1578" w:type="dxa"/>
            <w:vMerge w:val="continue"/>
            <w:vAlign w:val="center"/>
          </w:tcPr>
          <w:p>
            <w:pPr>
              <w:widowControl/>
              <w:jc w:val="left"/>
              <w:rPr>
                <w:rFonts w:ascii="Times New Roman" w:hAnsi="Times New Roman" w:eastAsia="宋体" w:cs="宋体"/>
                <w:color w:val="auto"/>
                <w:kern w:val="0"/>
                <w:szCs w:val="21"/>
                <w:highlight w:val="none"/>
              </w:rPr>
            </w:pP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中华人民共和国住房和城乡建设部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4</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b/>
                <w:bCs/>
                <w:color w:val="auto"/>
                <w:kern w:val="0"/>
                <w:szCs w:val="21"/>
                <w:highlight w:val="none"/>
              </w:rPr>
              <w:t>国家水土保持示范工程</w:t>
            </w:r>
          </w:p>
        </w:tc>
        <w:tc>
          <w:tcPr>
            <w:tcW w:w="1578" w:type="dxa"/>
            <w:vMerge w:val="continue"/>
            <w:vAlign w:val="center"/>
          </w:tcPr>
          <w:p>
            <w:pPr>
              <w:widowControl/>
              <w:jc w:val="left"/>
              <w:rPr>
                <w:rFonts w:ascii="Times New Roman" w:hAnsi="Times New Roman" w:eastAsia="宋体" w:cs="宋体"/>
                <w:color w:val="auto"/>
                <w:kern w:val="0"/>
                <w:szCs w:val="21"/>
                <w:highlight w:val="none"/>
              </w:rPr>
            </w:pP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b/>
                <w:bCs/>
                <w:color w:val="auto"/>
                <w:kern w:val="0"/>
                <w:szCs w:val="21"/>
                <w:highlight w:val="none"/>
              </w:rPr>
              <w:t>中华人民共和国水利部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5</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w:t>
            </w:r>
          </w:p>
        </w:tc>
        <w:tc>
          <w:tcPr>
            <w:tcW w:w="157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省级</w:t>
            </w: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省级住房和城乡建设建设部门等</w:t>
            </w:r>
          </w:p>
        </w:tc>
      </w:tr>
    </w:tbl>
    <w:p>
      <w:pPr>
        <w:rPr>
          <w:color w:val="auto"/>
          <w:highlight w:val="none"/>
          <w:lang w:val="zh-CN"/>
        </w:rPr>
      </w:pPr>
    </w:p>
    <w:p>
      <w:pPr>
        <w:rPr>
          <w:rFonts w:hint="eastAsia" w:ascii="黑体" w:hAnsi="黑体" w:eastAsia="黑体"/>
          <w:b/>
          <w:color w:val="auto"/>
          <w:kern w:val="0"/>
          <w:sz w:val="24"/>
          <w:highlight w:val="none"/>
          <w:lang w:val="zh-CN"/>
        </w:rPr>
      </w:pPr>
      <w:bookmarkStart w:id="349" w:name="_Toc500842893"/>
      <w:bookmarkStart w:id="350" w:name="_Toc129618902"/>
      <w:r>
        <w:rPr>
          <w:rFonts w:hint="eastAsia" w:ascii="黑体" w:hAnsi="黑体" w:eastAsia="黑体"/>
          <w:b/>
          <w:color w:val="auto"/>
          <w:kern w:val="0"/>
          <w:sz w:val="24"/>
          <w:highlight w:val="none"/>
          <w:lang w:val="zh-CN"/>
        </w:rPr>
        <w:br w:type="page"/>
      </w:r>
    </w:p>
    <w:p>
      <w:pPr>
        <w:widowControl/>
        <w:spacing w:line="400" w:lineRule="exact"/>
        <w:jc w:val="left"/>
        <w:outlineLvl w:val="1"/>
        <w:rPr>
          <w:rFonts w:hint="eastAsia" w:ascii="黑体" w:hAnsi="黑体" w:eastAsia="黑体"/>
          <w:b/>
          <w:color w:val="auto"/>
          <w:kern w:val="0"/>
          <w:sz w:val="24"/>
          <w:highlight w:val="none"/>
          <w:lang w:val="zh-CN"/>
        </w:rPr>
      </w:pPr>
      <w:r>
        <w:rPr>
          <w:rFonts w:hint="eastAsia" w:ascii="黑体" w:hAnsi="黑体" w:eastAsia="黑体"/>
          <w:b/>
          <w:color w:val="auto"/>
          <w:kern w:val="0"/>
          <w:sz w:val="24"/>
          <w:highlight w:val="none"/>
          <w:lang w:val="zh-CN"/>
        </w:rPr>
        <w:t>评标办法前附表之</w:t>
      </w:r>
      <w:bookmarkEnd w:id="349"/>
      <w:r>
        <w:rPr>
          <w:rFonts w:hint="eastAsia" w:ascii="黑体" w:hAnsi="黑体" w:eastAsia="黑体"/>
          <w:b/>
          <w:color w:val="auto"/>
          <w:kern w:val="0"/>
          <w:sz w:val="24"/>
          <w:highlight w:val="none"/>
        </w:rPr>
        <w:t>四</w:t>
      </w:r>
      <w:r>
        <w:rPr>
          <w:rFonts w:hint="eastAsia" w:ascii="黑体" w:hAnsi="黑体" w:eastAsia="黑体"/>
          <w:b/>
          <w:color w:val="auto"/>
          <w:kern w:val="0"/>
          <w:sz w:val="24"/>
          <w:highlight w:val="none"/>
          <w:lang w:val="zh-CN"/>
        </w:rPr>
        <w:t>：</w:t>
      </w:r>
      <w:r>
        <w:rPr>
          <w:rFonts w:ascii="黑体" w:hAnsi="黑体" w:eastAsia="黑体"/>
          <w:b/>
          <w:color w:val="auto"/>
          <w:kern w:val="0"/>
          <w:sz w:val="24"/>
          <w:highlight w:val="none"/>
          <w:lang w:val="zh-CN"/>
        </w:rPr>
        <w:t>技术</w:t>
      </w:r>
      <w:r>
        <w:rPr>
          <w:rFonts w:hint="eastAsia" w:ascii="黑体" w:hAnsi="黑体" w:eastAsia="黑体"/>
          <w:b/>
          <w:color w:val="auto"/>
          <w:kern w:val="0"/>
          <w:sz w:val="24"/>
          <w:highlight w:val="none"/>
          <w:lang w:val="zh-CN"/>
        </w:rPr>
        <w:t>评分标准</w:t>
      </w:r>
      <w:bookmarkEnd w:id="350"/>
    </w:p>
    <w:p>
      <w:pPr>
        <w:topLinePunct/>
        <w:adjustRightInd w:val="0"/>
        <w:spacing w:line="360" w:lineRule="exact"/>
        <w:ind w:firstLine="420"/>
        <w:rPr>
          <w:b w:val="0"/>
          <w:bCs w:val="0"/>
          <w:color w:val="auto"/>
          <w:szCs w:val="20"/>
          <w:highlight w:val="none"/>
        </w:rPr>
      </w:pPr>
      <w:r>
        <w:rPr>
          <w:b w:val="0"/>
          <w:bCs w:val="0"/>
          <w:color w:val="auto"/>
          <w:szCs w:val="20"/>
          <w:highlight w:val="none"/>
        </w:rPr>
        <w:t>评标委员会将根据以下标准对通过初评的投标人进行</w:t>
      </w:r>
      <w:r>
        <w:rPr>
          <w:rFonts w:hint="eastAsia"/>
          <w:b w:val="0"/>
          <w:bCs w:val="0"/>
          <w:color w:val="auto"/>
          <w:szCs w:val="20"/>
          <w:highlight w:val="none"/>
          <w:lang w:eastAsia="zh-CN"/>
        </w:rPr>
        <w:t>技术</w:t>
      </w:r>
      <w:r>
        <w:rPr>
          <w:b w:val="0"/>
          <w:bCs w:val="0"/>
          <w:color w:val="auto"/>
          <w:szCs w:val="20"/>
          <w:highlight w:val="none"/>
        </w:rPr>
        <w:t>评审。</w:t>
      </w:r>
      <w:r>
        <w:rPr>
          <w:rFonts w:hint="eastAsia"/>
          <w:b w:val="0"/>
          <w:bCs w:val="0"/>
          <w:color w:val="auto"/>
          <w:szCs w:val="20"/>
          <w:highlight w:val="none"/>
        </w:rPr>
        <w:t>偏离全部专家评分第一次平均分±8%的评分将予以剔除，剩余专家评分进行第二次平均，得出的平均分值为相应投标的</w:t>
      </w:r>
      <w:r>
        <w:rPr>
          <w:rFonts w:hint="eastAsia"/>
          <w:b w:val="0"/>
          <w:bCs w:val="0"/>
          <w:color w:val="auto"/>
          <w:szCs w:val="20"/>
          <w:highlight w:val="none"/>
          <w:lang w:eastAsia="zh-CN"/>
        </w:rPr>
        <w:t>技术</w:t>
      </w:r>
      <w:r>
        <w:rPr>
          <w:rFonts w:hint="eastAsia"/>
          <w:b w:val="0"/>
          <w:bCs w:val="0"/>
          <w:color w:val="auto"/>
          <w:szCs w:val="20"/>
          <w:highlight w:val="none"/>
        </w:rPr>
        <w:t>评审得分</w:t>
      </w:r>
      <w:r>
        <w:rPr>
          <w:rFonts w:hint="eastAsia"/>
          <w:b w:val="0"/>
          <w:bCs w:val="0"/>
          <w:color w:val="auto"/>
          <w:szCs w:val="20"/>
          <w:highlight w:val="none"/>
          <w:lang w:eastAsia="zh-CN"/>
        </w:rPr>
        <w:t>。</w:t>
      </w:r>
      <w:r>
        <w:rPr>
          <w:b w:val="0"/>
          <w:bCs w:val="0"/>
          <w:color w:val="auto"/>
          <w:szCs w:val="20"/>
          <w:highlight w:val="none"/>
        </w:rPr>
        <w:t>评审标准包括但不限于以下内容：</w:t>
      </w:r>
    </w:p>
    <w:p>
      <w:pPr>
        <w:pStyle w:val="17"/>
        <w:snapToGrid w:val="0"/>
        <w:spacing w:after="0" w:line="560" w:lineRule="exact"/>
        <w:ind w:firstLine="640" w:firstLineChars="200"/>
        <w:jc w:val="left"/>
        <w:rPr>
          <w:rFonts w:ascii="方正仿宋_GBK" w:hAnsi="方正仿宋_GBK" w:eastAsia="方正仿宋_GBK" w:cs="方正仿宋_GBK"/>
          <w:bCs/>
          <w:color w:val="auto"/>
          <w:sz w:val="32"/>
          <w:szCs w:val="32"/>
        </w:rPr>
      </w:pPr>
      <w:r>
        <w:rPr>
          <w:rFonts w:hint="eastAsia" w:ascii="方正仿宋_GBK" w:hAnsi="方正仿宋_GBK" w:eastAsia="方正仿宋_GBK" w:cs="方正仿宋_GBK"/>
          <w:bCs/>
          <w:color w:val="auto"/>
          <w:sz w:val="32"/>
          <w:szCs w:val="32"/>
        </w:rPr>
        <w:t>换流站土建施工</w:t>
      </w:r>
    </w:p>
    <w:tbl>
      <w:tblPr>
        <w:tblStyle w:val="1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
        <w:gridCol w:w="841"/>
        <w:gridCol w:w="1469"/>
        <w:gridCol w:w="6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4"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序号</w:t>
            </w:r>
          </w:p>
        </w:tc>
        <w:tc>
          <w:tcPr>
            <w:tcW w:w="453"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项目</w:t>
            </w:r>
          </w:p>
        </w:tc>
        <w:tc>
          <w:tcPr>
            <w:tcW w:w="791"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评审内容及分值</w:t>
            </w:r>
          </w:p>
        </w:tc>
        <w:tc>
          <w:tcPr>
            <w:tcW w:w="3420"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1</w:t>
            </w:r>
          </w:p>
        </w:tc>
        <w:tc>
          <w:tcPr>
            <w:tcW w:w="453" w:type="pct"/>
            <w:vMerge w:val="restart"/>
            <w:vAlign w:val="center"/>
          </w:tcPr>
          <w:p>
            <w:pPr>
              <w:widowControl/>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技术水平</w:t>
            </w:r>
            <w:r>
              <w:rPr>
                <w:rFonts w:hint="eastAsia" w:asciiTheme="minorEastAsia" w:hAnsiTheme="minorEastAsia" w:eastAsiaTheme="minorEastAsia" w:cstheme="minorEastAsia"/>
                <w:b/>
                <w:color w:val="auto"/>
                <w:kern w:val="0"/>
                <w:szCs w:val="21"/>
                <w:lang w:bidi="ar"/>
              </w:rPr>
              <w:br w:type="textWrapping"/>
            </w:r>
            <w:r>
              <w:rPr>
                <w:rFonts w:hint="eastAsia" w:asciiTheme="minorEastAsia" w:hAnsiTheme="minorEastAsia" w:eastAsiaTheme="minorEastAsia" w:cstheme="minorEastAsia"/>
                <w:b/>
                <w:color w:val="auto"/>
                <w:kern w:val="0"/>
                <w:szCs w:val="21"/>
                <w:lang w:bidi="ar"/>
              </w:rPr>
              <w:t>（35分）</w:t>
            </w:r>
          </w:p>
        </w:tc>
        <w:tc>
          <w:tcPr>
            <w:tcW w:w="791" w:type="pc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技术业绩（15分）</w:t>
            </w:r>
          </w:p>
        </w:tc>
        <w:tc>
          <w:tcPr>
            <w:tcW w:w="3420" w:type="pct"/>
            <w:vAlign w:val="center"/>
          </w:tcPr>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rPr>
              <w:t>开标前5年内：</w:t>
            </w:r>
          </w:p>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lang w:bidi="ar"/>
              </w:rPr>
              <w:t>1.换流站土建A包：</w:t>
            </w:r>
          </w:p>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lang w:bidi="ar"/>
              </w:rPr>
              <w:t>企业具有±800kV换流站土建A包业绩的，如有业绩得3分，如无得0分；</w:t>
            </w:r>
          </w:p>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lang w:bidi="ar"/>
              </w:rPr>
              <w:t>换流站土建B、C包：</w:t>
            </w:r>
          </w:p>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lang w:bidi="ar"/>
              </w:rPr>
              <w:t>企业具有±800kV换流站土建B包或±800kV换流站土建C包业绩的，如有业绩得3分，如无得0分；</w:t>
            </w:r>
          </w:p>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lang w:bidi="ar"/>
              </w:rPr>
              <w:t>2.（a）企业具有±800kV及以上换流站或1000kV变电站工程土建施工或600MW及以上火电机组主厂房土建施工业绩的，每项业绩得2分；</w:t>
            </w:r>
          </w:p>
          <w:p>
            <w:pPr>
              <w:pStyle w:val="13"/>
              <w:rPr>
                <w:rStyle w:val="56"/>
                <w:rFonts w:hint="default" w:asciiTheme="minorEastAsia" w:hAnsiTheme="minorEastAsia" w:eastAsiaTheme="minorEastAsia" w:cstheme="minorEastAsia"/>
                <w:color w:val="auto"/>
                <w:sz w:val="21"/>
                <w:szCs w:val="21"/>
                <w:lang w:bidi="ar"/>
              </w:rPr>
            </w:pPr>
            <w:r>
              <w:rPr>
                <w:rStyle w:val="56"/>
                <w:rFonts w:hint="default" w:asciiTheme="minorEastAsia" w:hAnsiTheme="minorEastAsia" w:eastAsiaTheme="minorEastAsia" w:cstheme="minorEastAsia"/>
                <w:color w:val="auto"/>
                <w:sz w:val="21"/>
                <w:szCs w:val="21"/>
                <w:lang w:bidi="ar"/>
              </w:rPr>
              <w:t>（b）企业具有±400kV及以上、±800kV以下换流站或500kV及以上、1000kV以下变电站工程土建施工业绩的，每项业绩得1分。</w:t>
            </w:r>
          </w:p>
          <w:p>
            <w:pPr>
              <w:pStyle w:val="13"/>
              <w:rPr>
                <w:rFonts w:asciiTheme="minorEastAsia" w:hAnsiTheme="minorEastAsia" w:eastAsiaTheme="minorEastAsia" w:cstheme="minorEastAsia"/>
                <w:color w:val="auto"/>
                <w:sz w:val="21"/>
                <w:szCs w:val="21"/>
              </w:rPr>
            </w:pPr>
            <w:r>
              <w:rPr>
                <w:rStyle w:val="56"/>
                <w:rFonts w:hint="default" w:asciiTheme="minorEastAsia" w:hAnsiTheme="minorEastAsia" w:eastAsiaTheme="minorEastAsia" w:cstheme="minorEastAsia"/>
                <w:color w:val="auto"/>
                <w:sz w:val="21"/>
                <w:szCs w:val="21"/>
                <w:lang w:bidi="ar"/>
              </w:rPr>
              <w:t>备注：条件a和b总得分不得超过12分。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工程实施条件分析（5分）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lang w:bidi="ar"/>
              </w:rPr>
              <w:t>工程概况与工程实施条件调查及分析（2分）：工程概况、工程性质、工程规模、工期要求、布置形式描述正确，工程涉及的主要单位、施工内容、施工依据。（论述齐全无错漏，2分；每1项论述不充分描述不合理，扣0.5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lang w:bidi="ar"/>
              </w:rPr>
              <w:t>对工程特点、难点的理解与把握（3分）（特点、难点理解分析描述正确说明详实，3分；每1项描述不充分，说明不详实，扣1分，扣完为止。）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Style w:val="47"/>
                <w:rFonts w:hint="default" w:asciiTheme="minorEastAsia" w:hAnsiTheme="minorEastAsia" w:eastAsiaTheme="minorEastAsia" w:cstheme="minorEastAsia"/>
                <w:bCs/>
                <w:color w:val="auto"/>
                <w:sz w:val="21"/>
                <w:szCs w:val="21"/>
                <w:lang w:bidi="ar"/>
              </w:rPr>
              <w:t>施工方案与资源配置</w:t>
            </w:r>
            <w:r>
              <w:rPr>
                <w:rStyle w:val="56"/>
                <w:rFonts w:hint="default" w:asciiTheme="minorEastAsia" w:hAnsiTheme="minorEastAsia" w:eastAsiaTheme="minorEastAsia" w:cstheme="minorEastAsia"/>
                <w:bCs/>
                <w:color w:val="auto"/>
                <w:sz w:val="21"/>
                <w:szCs w:val="21"/>
                <w:lang w:bidi="ar"/>
              </w:rPr>
              <w:t>（</w:t>
            </w:r>
            <w:r>
              <w:rPr>
                <w:rFonts w:hint="eastAsia" w:asciiTheme="minorEastAsia" w:hAnsiTheme="minorEastAsia" w:eastAsiaTheme="minorEastAsia" w:cstheme="minorEastAsia"/>
                <w:bCs/>
                <w:color w:val="auto"/>
                <w:kern w:val="0"/>
                <w:szCs w:val="21"/>
                <w:lang w:bidi="ar"/>
              </w:rPr>
              <w:t>11分</w:t>
            </w:r>
            <w:r>
              <w:rPr>
                <w:rStyle w:val="56"/>
                <w:rFonts w:hint="default" w:asciiTheme="minorEastAsia" w:hAnsiTheme="minorEastAsia" w:eastAsiaTheme="minorEastAsia" w:cstheme="minorEastAsia"/>
                <w:bCs/>
                <w:color w:val="auto"/>
                <w:sz w:val="21"/>
                <w:szCs w:val="21"/>
                <w:lang w:bidi="ar"/>
              </w:rPr>
              <w:t>）</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zCs w:val="21"/>
              </w:rPr>
            </w:pPr>
            <w:r>
              <w:rPr>
                <w:rStyle w:val="56"/>
                <w:rFonts w:hint="default" w:asciiTheme="minorEastAsia" w:hAnsiTheme="minorEastAsia" w:eastAsiaTheme="minorEastAsia" w:cstheme="minorEastAsia"/>
                <w:color w:val="auto"/>
                <w:sz w:val="21"/>
                <w:szCs w:val="21"/>
                <w:lang w:bidi="ar"/>
              </w:rPr>
              <w:t>施工方案（8分）</w:t>
            </w:r>
            <w:r>
              <w:rPr>
                <w:rStyle w:val="47"/>
                <w:rFonts w:hint="default" w:asciiTheme="minorEastAsia" w:hAnsiTheme="minorEastAsia" w:eastAsiaTheme="minorEastAsia" w:cstheme="minorEastAsia"/>
                <w:color w:val="auto"/>
                <w:sz w:val="21"/>
                <w:szCs w:val="21"/>
                <w:lang w:bidi="ar"/>
              </w:rPr>
              <w:t>（主要工序和特殊工序的施工方法选用合理、结合工程所在地分析针对性强，施工力量配置、材料准备、施工机具配置、进度计划满足要求、内容详实得</w:t>
            </w:r>
            <w:r>
              <w:rPr>
                <w:rStyle w:val="56"/>
                <w:rFonts w:hint="default" w:asciiTheme="minorEastAsia" w:hAnsiTheme="minorEastAsia" w:eastAsiaTheme="minorEastAsia" w:cstheme="minorEastAsia"/>
                <w:color w:val="auto"/>
                <w:sz w:val="21"/>
                <w:szCs w:val="21"/>
                <w:lang w:bidi="ar"/>
              </w:rPr>
              <w:t>8分</w:t>
            </w:r>
            <w:r>
              <w:rPr>
                <w:rStyle w:val="47"/>
                <w:rFonts w:hint="default" w:asciiTheme="minorEastAsia" w:hAnsiTheme="minorEastAsia" w:eastAsiaTheme="minorEastAsia" w:cstheme="minorEastAsia"/>
                <w:color w:val="auto"/>
                <w:sz w:val="21"/>
                <w:szCs w:val="21"/>
                <w:lang w:bidi="ar"/>
              </w:rPr>
              <w:t>，主要工序施工方法描述不详实、不合理扣2分，季节性施工、特殊施工未结合工程所在地分析扣2分，施工资源投入计划不满足进度计划及招标文件要求扣1分。）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jc w:val="left"/>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lang w:bidi="ar"/>
              </w:rPr>
              <w:t>施工机具配置及技术导向响应（3分）（未针对工程特点及承包范围编制全过程机械化施工方案扣1分，未提供施工设备表、工器具及试验检测仪器设备表扣1分，提供的机械、设备仪器信息不全、未结合实际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Style w:val="47"/>
                <w:rFonts w:hint="default" w:asciiTheme="minorEastAsia" w:hAnsiTheme="minorEastAsia" w:eastAsiaTheme="minorEastAsia" w:cstheme="minorEastAsia"/>
                <w:bCs/>
                <w:color w:val="auto"/>
                <w:sz w:val="21"/>
                <w:szCs w:val="21"/>
                <w:lang w:bidi="ar"/>
              </w:rPr>
              <w:t>工期与进度计划</w:t>
            </w:r>
            <w:r>
              <w:rPr>
                <w:rStyle w:val="56"/>
                <w:rFonts w:hint="default" w:asciiTheme="minorEastAsia" w:hAnsiTheme="minorEastAsia" w:eastAsiaTheme="minorEastAsia" w:cstheme="minorEastAsia"/>
                <w:bCs/>
                <w:color w:val="auto"/>
                <w:sz w:val="21"/>
                <w:szCs w:val="21"/>
                <w:lang w:bidi="ar"/>
              </w:rPr>
              <w:t>（4分）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目标与进度计划（2分）（有针对性提供工程目标、进度计划的，2分，所提供工程目标、进度计划不齐全，扣1分）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工程综合进度保证措施（2分）（有针对性提供进度保证措施内容，2分；所提供进度保证措施不齐全，扣1分。）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2</w:t>
            </w:r>
          </w:p>
        </w:tc>
        <w:tc>
          <w:tcPr>
            <w:tcW w:w="453" w:type="pct"/>
            <w:vMerge w:val="restart"/>
            <w:vAlign w:val="center"/>
          </w:tcPr>
          <w:p>
            <w:pPr>
              <w:widowControl/>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团队配置</w:t>
            </w:r>
            <w:r>
              <w:rPr>
                <w:rFonts w:hint="eastAsia" w:asciiTheme="minorEastAsia" w:hAnsiTheme="minorEastAsia" w:eastAsiaTheme="minorEastAsia" w:cstheme="minorEastAsia"/>
                <w:b/>
                <w:color w:val="auto"/>
                <w:kern w:val="0"/>
                <w:szCs w:val="21"/>
                <w:lang w:bidi="ar"/>
              </w:rPr>
              <w:br w:type="textWrapping"/>
            </w:r>
            <w:r>
              <w:rPr>
                <w:rFonts w:hint="eastAsia" w:asciiTheme="minorEastAsia" w:hAnsiTheme="minorEastAsia" w:eastAsiaTheme="minorEastAsia" w:cstheme="minorEastAsia"/>
                <w:b/>
                <w:color w:val="auto"/>
                <w:kern w:val="0"/>
                <w:szCs w:val="21"/>
                <w:lang w:bidi="ar"/>
              </w:rPr>
              <w:t>（15分）</w:t>
            </w:r>
          </w:p>
        </w:tc>
        <w:tc>
          <w:tcPr>
            <w:tcW w:w="791" w:type="pc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施工项目管理组织机构（12分）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Style w:val="56"/>
                <w:rFonts w:hint="default" w:asciiTheme="minorEastAsia" w:hAnsiTheme="minorEastAsia" w:eastAsiaTheme="minorEastAsia" w:cstheme="minorEastAsia"/>
                <w:color w:val="auto"/>
                <w:sz w:val="21"/>
                <w:szCs w:val="21"/>
                <w:lang w:bidi="ar"/>
              </w:rPr>
              <w:t>项目组织机构（2分）（机构职责齐全、人员配置高于招标文件要求，2分；机构职责齐全、人员配置齐全、满足招标文件要求，1分。）</w:t>
            </w:r>
            <w:r>
              <w:rPr>
                <w:rStyle w:val="47"/>
                <w:rFonts w:hint="default" w:asciiTheme="minorEastAsia" w:hAnsiTheme="minorEastAsia" w:eastAsiaTheme="minorEastAsia" w:cstheme="minorEastAsia"/>
                <w:color w:val="auto"/>
                <w:sz w:val="21"/>
                <w:szCs w:val="21"/>
                <w:lang w:bidi="ar"/>
              </w:rPr>
              <w:br w:type="textWrapping"/>
            </w:r>
            <w:r>
              <w:rPr>
                <w:rStyle w:val="47"/>
                <w:rFonts w:hint="default" w:asciiTheme="minorEastAsia" w:hAnsiTheme="minorEastAsia" w:eastAsiaTheme="minorEastAsia" w:cstheme="minorEastAsia"/>
                <w:color w:val="auto"/>
                <w:sz w:val="21"/>
                <w:szCs w:val="21"/>
                <w:lang w:bidi="ar"/>
              </w:rPr>
              <w:t>项目团队履责能力（10分）（可累计积分，最高10分）</w:t>
            </w:r>
            <w:r>
              <w:rPr>
                <w:rStyle w:val="47"/>
                <w:rFonts w:hint="default" w:asciiTheme="minorEastAsia" w:hAnsiTheme="minorEastAsia" w:eastAsiaTheme="minorEastAsia" w:cstheme="minorEastAsia"/>
                <w:color w:val="auto"/>
                <w:sz w:val="21"/>
                <w:szCs w:val="21"/>
                <w:lang w:bidi="ar"/>
              </w:rPr>
              <w:br w:type="textWrapping"/>
            </w:r>
            <w:r>
              <w:rPr>
                <w:rStyle w:val="47"/>
                <w:rFonts w:hint="default" w:asciiTheme="minorEastAsia" w:hAnsiTheme="minorEastAsia" w:eastAsiaTheme="minorEastAsia" w:cstheme="minorEastAsia"/>
                <w:color w:val="auto"/>
                <w:sz w:val="21"/>
                <w:szCs w:val="21"/>
                <w:lang w:bidi="ar"/>
              </w:rPr>
              <w:t>1）项目经理具有±800kV及以上换流站或1000kV变电站或</w:t>
            </w:r>
            <w:r>
              <w:rPr>
                <w:rStyle w:val="47"/>
                <w:rFonts w:hint="default" w:asciiTheme="minorEastAsia" w:hAnsiTheme="minorEastAsia" w:eastAsiaTheme="minorEastAsia" w:cstheme="minorEastAsia"/>
                <w:bCs/>
                <w:color w:val="auto"/>
                <w:sz w:val="21"/>
                <w:szCs w:val="21"/>
                <w:lang w:bidi="ar"/>
              </w:rPr>
              <w:t>600MW及以上火电机组主厂房</w:t>
            </w:r>
            <w:r>
              <w:rPr>
                <w:rStyle w:val="47"/>
                <w:rFonts w:hint="default" w:asciiTheme="minorEastAsia" w:hAnsiTheme="minorEastAsia" w:eastAsiaTheme="minorEastAsia" w:cstheme="minorEastAsia"/>
                <w:color w:val="auto"/>
                <w:sz w:val="21"/>
                <w:szCs w:val="21"/>
                <w:lang w:bidi="ar"/>
              </w:rPr>
              <w:t>自开工至工程竣工整个工程项目经理业绩，一级建造师证书所涉及专业与招标承包范围内容专业相符的，每项得5分；</w:t>
            </w:r>
            <w:r>
              <w:rPr>
                <w:rStyle w:val="47"/>
                <w:rFonts w:hint="default" w:asciiTheme="minorEastAsia" w:hAnsiTheme="minorEastAsia" w:eastAsiaTheme="minorEastAsia" w:cstheme="minorEastAsia"/>
                <w:color w:val="auto"/>
                <w:sz w:val="21"/>
                <w:szCs w:val="21"/>
                <w:lang w:bidi="ar"/>
              </w:rPr>
              <w:br w:type="textWrapping"/>
            </w:r>
            <w:r>
              <w:rPr>
                <w:rStyle w:val="47"/>
                <w:rFonts w:hint="default" w:asciiTheme="minorEastAsia" w:hAnsiTheme="minorEastAsia" w:eastAsiaTheme="minorEastAsia" w:cstheme="minorEastAsia"/>
                <w:color w:val="auto"/>
                <w:sz w:val="21"/>
                <w:szCs w:val="21"/>
                <w:lang w:bidi="ar"/>
              </w:rPr>
              <w:t>2）项目经理具有±800kV 及以上换流站或1000kV变电站或</w:t>
            </w:r>
            <w:r>
              <w:rPr>
                <w:rStyle w:val="47"/>
                <w:rFonts w:hint="default" w:asciiTheme="minorEastAsia" w:hAnsiTheme="minorEastAsia" w:eastAsiaTheme="minorEastAsia" w:cstheme="minorEastAsia"/>
                <w:bCs/>
                <w:color w:val="auto"/>
                <w:sz w:val="21"/>
                <w:szCs w:val="21"/>
                <w:lang w:bidi="ar"/>
              </w:rPr>
              <w:t>600MW及以上火电机组主厂房</w:t>
            </w:r>
            <w:r>
              <w:rPr>
                <w:rStyle w:val="47"/>
                <w:rFonts w:hint="default" w:asciiTheme="minorEastAsia" w:hAnsiTheme="minorEastAsia" w:eastAsiaTheme="minorEastAsia" w:cstheme="minorEastAsia"/>
                <w:color w:val="auto"/>
                <w:sz w:val="21"/>
                <w:szCs w:val="21"/>
                <w:lang w:bidi="ar"/>
              </w:rPr>
              <w:t>自开工至工程竣工整个工程项目副经理或项目总工业绩的，每项得4分；</w:t>
            </w:r>
            <w:r>
              <w:rPr>
                <w:rStyle w:val="47"/>
                <w:rFonts w:hint="default" w:asciiTheme="minorEastAsia" w:hAnsiTheme="minorEastAsia" w:eastAsiaTheme="minorEastAsia" w:cstheme="minorEastAsia"/>
                <w:color w:val="auto"/>
                <w:sz w:val="21"/>
                <w:szCs w:val="21"/>
                <w:lang w:bidi="ar"/>
              </w:rPr>
              <w:br w:type="textWrapping"/>
            </w:r>
            <w:r>
              <w:rPr>
                <w:rStyle w:val="47"/>
                <w:rFonts w:hint="default" w:asciiTheme="minorEastAsia" w:hAnsiTheme="minorEastAsia" w:eastAsiaTheme="minorEastAsia" w:cstheme="minorEastAsia"/>
                <w:color w:val="auto"/>
                <w:sz w:val="21"/>
                <w:szCs w:val="21"/>
                <w:lang w:bidi="ar"/>
              </w:rPr>
              <w:t>3）项目经理具有±400kV及以上、±800kV以下换流站或500kV及以上、1000kV以下变电站工程工程自开工至工程竣工整个工程项目经理（项目副经理或项目总工）业绩，每项得2分；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分包管理（3分）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分包计划与分包管理的措施（3分）（明确提出分包计划、分包类型、分包内容、分包金额及相应管理措施，3分；分包计划、范围、管理措施有漏项的，扣1分。）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3</w:t>
            </w:r>
          </w:p>
        </w:tc>
        <w:tc>
          <w:tcPr>
            <w:tcW w:w="453" w:type="pct"/>
            <w:vMerge w:val="restart"/>
            <w:vAlign w:val="center"/>
          </w:tcPr>
          <w:p>
            <w:pPr>
              <w:widowControl/>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安全质量控制</w:t>
            </w:r>
            <w:r>
              <w:rPr>
                <w:rFonts w:hint="eastAsia" w:asciiTheme="minorEastAsia" w:hAnsiTheme="minorEastAsia" w:eastAsiaTheme="minorEastAsia" w:cstheme="minorEastAsia"/>
                <w:b/>
                <w:color w:val="auto"/>
                <w:kern w:val="0"/>
                <w:szCs w:val="21"/>
                <w:lang w:bidi="ar"/>
              </w:rPr>
              <w:br w:type="textWrapping"/>
            </w:r>
            <w:r>
              <w:rPr>
                <w:rFonts w:hint="eastAsia" w:asciiTheme="minorEastAsia" w:hAnsiTheme="minorEastAsia" w:eastAsiaTheme="minorEastAsia" w:cstheme="minorEastAsia"/>
                <w:b/>
                <w:color w:val="auto"/>
                <w:kern w:val="0"/>
                <w:szCs w:val="21"/>
                <w:lang w:bidi="ar"/>
              </w:rPr>
              <w:t>（15分）</w:t>
            </w: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安全管控措施（5分）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安全管理组织机构、职责及管理制度（2分）</w:t>
            </w:r>
            <w:r>
              <w:rPr>
                <w:rFonts w:hint="eastAsia" w:asciiTheme="minorEastAsia" w:hAnsiTheme="minorEastAsia" w:eastAsiaTheme="minorEastAsia" w:cstheme="minorEastAsia"/>
                <w:color w:val="auto"/>
                <w:kern w:val="0"/>
                <w:szCs w:val="21"/>
                <w:lang w:bidi="ar"/>
              </w:rPr>
              <w:br w:type="textWrapping"/>
            </w:r>
            <w:r>
              <w:rPr>
                <w:rFonts w:hint="eastAsia" w:asciiTheme="minorEastAsia" w:hAnsiTheme="minorEastAsia" w:eastAsiaTheme="minorEastAsia" w:cstheme="minorEastAsia"/>
                <w:color w:val="auto"/>
                <w:kern w:val="0"/>
                <w:szCs w:val="21"/>
                <w:lang w:bidi="ar"/>
              </w:rPr>
              <w:t>（目标合理，机构健全，职责清晰，制度完备，2分，每1项论述不充分，扣1分。）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安全组织技术措施、实施方案、考核办法、管理方法（2分）</w:t>
            </w:r>
            <w:r>
              <w:rPr>
                <w:rFonts w:hint="eastAsia" w:asciiTheme="minorEastAsia" w:hAnsiTheme="minorEastAsia" w:eastAsiaTheme="minorEastAsia" w:cstheme="minorEastAsia"/>
                <w:color w:val="auto"/>
                <w:kern w:val="0"/>
                <w:szCs w:val="21"/>
                <w:lang w:bidi="ar"/>
              </w:rPr>
              <w:br w:type="textWrapping"/>
            </w:r>
            <w:r>
              <w:rPr>
                <w:rFonts w:hint="eastAsia" w:asciiTheme="minorEastAsia" w:hAnsiTheme="minorEastAsia" w:eastAsiaTheme="minorEastAsia" w:cstheme="minorEastAsia"/>
                <w:color w:val="auto"/>
                <w:kern w:val="0"/>
                <w:szCs w:val="21"/>
                <w:lang w:bidi="ar"/>
              </w:rPr>
              <w:t>（措施全面可靠、考核办法及管理办法完备，2分；每1项论述不充分，扣1分。）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重要施工方案及特殊施工工序的安全过程控制（1分）</w:t>
            </w:r>
            <w:r>
              <w:rPr>
                <w:rFonts w:hint="eastAsia" w:asciiTheme="minorEastAsia" w:hAnsiTheme="minorEastAsia" w:eastAsiaTheme="minorEastAsia" w:cstheme="minorEastAsia"/>
                <w:color w:val="auto"/>
                <w:kern w:val="0"/>
                <w:szCs w:val="21"/>
                <w:lang w:bidi="ar"/>
              </w:rPr>
              <w:br w:type="textWrapping"/>
            </w:r>
            <w:r>
              <w:rPr>
                <w:rFonts w:hint="eastAsia" w:asciiTheme="minorEastAsia" w:hAnsiTheme="minorEastAsia" w:eastAsiaTheme="minorEastAsia" w:cstheme="minorEastAsia"/>
                <w:color w:val="auto"/>
                <w:kern w:val="0"/>
                <w:szCs w:val="21"/>
                <w:lang w:bidi="ar"/>
              </w:rPr>
              <w:t>（编制专项安全过程控制措施，措施合理可靠，1分；每1项论述不充分，扣0.5分。）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质量管控措施（5分）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质量目标及管理体系（2分）</w:t>
            </w:r>
            <w:r>
              <w:rPr>
                <w:rFonts w:hint="eastAsia" w:asciiTheme="minorEastAsia" w:hAnsiTheme="minorEastAsia" w:eastAsiaTheme="minorEastAsia" w:cstheme="minorEastAsia"/>
                <w:color w:val="auto"/>
                <w:kern w:val="0"/>
                <w:szCs w:val="21"/>
                <w:lang w:bidi="ar"/>
              </w:rPr>
              <w:br w:type="textWrapping"/>
            </w:r>
            <w:r>
              <w:rPr>
                <w:rFonts w:hint="eastAsia" w:asciiTheme="minorEastAsia" w:hAnsiTheme="minorEastAsia" w:eastAsiaTheme="minorEastAsia" w:cstheme="minorEastAsia"/>
                <w:color w:val="auto"/>
                <w:kern w:val="0"/>
                <w:szCs w:val="21"/>
                <w:lang w:bidi="ar"/>
              </w:rPr>
              <w:t>（目标合理，机构健全，质量体系完善，措施有针对性得2分；目标合理，机构健全，质量体系较完善，措施有针对性得1分；目标不合理，机构不健全，管理组织机构不健全，质量体系不完善，措施无针对性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Style w:val="47"/>
                <w:rFonts w:hint="default" w:asciiTheme="minorEastAsia" w:hAnsiTheme="minorEastAsia" w:eastAsiaTheme="minorEastAsia" w:cstheme="minorEastAsia"/>
                <w:color w:val="auto"/>
                <w:sz w:val="21"/>
                <w:szCs w:val="21"/>
                <w:lang w:bidi="ar"/>
              </w:rPr>
              <w:t>针对性的质量控制措施与质量提升（1分）（质量管理措施齐全有效，有针对性得</w:t>
            </w:r>
            <w:r>
              <w:rPr>
                <w:rStyle w:val="46"/>
                <w:rFonts w:hint="default" w:asciiTheme="minorEastAsia" w:hAnsiTheme="minorEastAsia" w:eastAsiaTheme="minorEastAsia" w:cstheme="minorEastAsia"/>
                <w:color w:val="auto"/>
                <w:szCs w:val="21"/>
                <w:lang w:bidi="ar"/>
              </w:rPr>
              <w:t>1</w:t>
            </w:r>
            <w:r>
              <w:rPr>
                <w:rStyle w:val="47"/>
                <w:rFonts w:hint="default" w:asciiTheme="minorEastAsia" w:hAnsiTheme="minorEastAsia" w:eastAsiaTheme="minorEastAsia" w:cstheme="minorEastAsia"/>
                <w:color w:val="auto"/>
                <w:sz w:val="21"/>
                <w:szCs w:val="21"/>
                <w:lang w:bidi="ar"/>
              </w:rPr>
              <w:t>分；质量管理措施不齐全，针对性不强得0分。）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成品保护措施（1分）（成品保护措施编制不合理，针对性不强扣1分）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标准工艺应用（1分）（标准工艺应用计划编制不合理，针对性不强扣1分）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绿色施工方案</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（3分）</w:t>
            </w:r>
          </w:p>
        </w:tc>
        <w:tc>
          <w:tcPr>
            <w:tcW w:w="3420" w:type="pct"/>
            <w:vAlign w:val="center"/>
          </w:tcPr>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对建立绿色施工管理体系，制定绿色施工方案，在施工过程中统筹考虑环境保护措施，节能减排措施，节地与施工用地保护措施、绿色施工工艺等情况进行评价：</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优：科学、可行、针对性强得3分；</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良：合理、可行、细节待完善得2分；</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一般：欠合理，可行性较差，基本满足工程需要得1分。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环水保及文明施工措施（2分）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lang w:bidi="ar"/>
              </w:rPr>
              <w:t>针对性的环水保控制、文明施工措施（1分）（措施具体、针对性不强扣1分）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环境保护费、文明施工费等用途与计划（1分）（用途与计划不具体、针对性不强扣1分）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4</w:t>
            </w:r>
          </w:p>
        </w:tc>
        <w:tc>
          <w:tcPr>
            <w:tcW w:w="453" w:type="pct"/>
            <w:vMerge w:val="restart"/>
            <w:vAlign w:val="center"/>
          </w:tcPr>
          <w:p>
            <w:pPr>
              <w:widowControl/>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综合评价</w:t>
            </w:r>
            <w:r>
              <w:rPr>
                <w:rFonts w:hint="eastAsia" w:asciiTheme="minorEastAsia" w:hAnsiTheme="minorEastAsia" w:eastAsiaTheme="minorEastAsia" w:cstheme="minorEastAsia"/>
                <w:b/>
                <w:color w:val="auto"/>
                <w:kern w:val="0"/>
                <w:szCs w:val="21"/>
                <w:lang w:bidi="ar"/>
              </w:rPr>
              <w:br w:type="textWrapping"/>
            </w:r>
            <w:r>
              <w:rPr>
                <w:rFonts w:hint="eastAsia" w:asciiTheme="minorEastAsia" w:hAnsiTheme="minorEastAsia" w:eastAsiaTheme="minorEastAsia" w:cstheme="minorEastAsia"/>
                <w:b/>
                <w:color w:val="auto"/>
                <w:kern w:val="0"/>
                <w:szCs w:val="21"/>
                <w:lang w:bidi="ar"/>
              </w:rPr>
              <w:t>（10分）</w:t>
            </w:r>
          </w:p>
        </w:tc>
        <w:tc>
          <w:tcPr>
            <w:tcW w:w="791" w:type="pct"/>
            <w:vMerge w:val="restar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Style w:val="47"/>
                <w:rFonts w:hint="default" w:asciiTheme="minorEastAsia" w:hAnsiTheme="minorEastAsia" w:eastAsiaTheme="minorEastAsia" w:cstheme="minorEastAsia"/>
                <w:bCs/>
                <w:color w:val="auto"/>
                <w:sz w:val="21"/>
                <w:szCs w:val="21"/>
                <w:lang w:bidi="ar"/>
              </w:rPr>
              <w:t>综合管理</w:t>
            </w:r>
            <w:r>
              <w:rPr>
                <w:rStyle w:val="56"/>
                <w:rFonts w:hint="default" w:asciiTheme="minorEastAsia" w:hAnsiTheme="minorEastAsia" w:eastAsiaTheme="minorEastAsia" w:cstheme="minorEastAsia"/>
                <w:bCs/>
                <w:color w:val="auto"/>
                <w:sz w:val="21"/>
                <w:szCs w:val="21"/>
                <w:lang w:bidi="ar"/>
              </w:rPr>
              <w:t>（4分）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规范化开工（1分）（标准化开工清单及计划编制不具体、针对性不强扣1分）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施工管理体系（1分）（管理体系编制不具体、针对性不强扣1分）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施工科技创新（1分）（未编制五新技术、装配式技术、BIM技术应用内容，或编制针对性不详实、内容不具体扣1分）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lang w:bidi="ar"/>
              </w:rPr>
              <w:t>资料档案管理（1分）（措施具体，针对性强，1分）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jc w:val="center"/>
              <w:rPr>
                <w:rFonts w:asciiTheme="minorEastAsia" w:hAnsiTheme="minorEastAsia" w:eastAsiaTheme="minorEastAsia" w:cstheme="minorEastAsia"/>
                <w:color w:val="auto"/>
                <w:spacing w:val="10"/>
                <w:kern w:val="0"/>
                <w:szCs w:val="21"/>
              </w:rPr>
            </w:pPr>
          </w:p>
        </w:tc>
        <w:tc>
          <w:tcPr>
            <w:tcW w:w="791" w:type="pct"/>
            <w:vAlign w:val="center"/>
          </w:tcPr>
          <w:p>
            <w:pPr>
              <w:jc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整体评价（6分）</w:t>
            </w:r>
          </w:p>
        </w:tc>
        <w:tc>
          <w:tcPr>
            <w:tcW w:w="3420" w:type="pct"/>
            <w:vAlign w:val="center"/>
          </w:tcPr>
          <w:p/>
          <w:p>
            <w:pPr>
              <w:widowControl/>
              <w:adjustRightInd w:val="0"/>
              <w:snapToGrid w:val="0"/>
              <w:textAlignment w:val="center"/>
              <w:rPr>
                <w:rFonts w:asciiTheme="minorEastAsia" w:hAnsiTheme="minorEastAsia" w:eastAsiaTheme="minorEastAsia" w:cstheme="minorEastAsia"/>
                <w:color w:val="auto"/>
                <w:spacing w:val="10"/>
                <w:kern w:val="0"/>
                <w:szCs w:val="21"/>
              </w:rPr>
            </w:pPr>
            <w:r>
              <w:rPr>
                <w:rStyle w:val="56"/>
                <w:rFonts w:hint="default" w:asciiTheme="minorEastAsia" w:hAnsiTheme="minorEastAsia" w:eastAsiaTheme="minorEastAsia" w:cstheme="minorEastAsia"/>
                <w:color w:val="auto"/>
                <w:sz w:val="21"/>
                <w:szCs w:val="21"/>
                <w:lang w:bidi="ar"/>
              </w:rPr>
              <w:t>类似工程经验（</w:t>
            </w:r>
            <w:r>
              <w:rPr>
                <w:rStyle w:val="56"/>
                <w:rFonts w:hint="eastAsia" w:asciiTheme="minorEastAsia" w:hAnsiTheme="minorEastAsia" w:eastAsiaTheme="minorEastAsia" w:cstheme="minorEastAsia"/>
                <w:color w:val="auto"/>
                <w:sz w:val="21"/>
                <w:szCs w:val="21"/>
                <w:lang w:val="en-US" w:eastAsia="zh-CN" w:bidi="ar"/>
              </w:rPr>
              <w:t>6</w:t>
            </w:r>
            <w:r>
              <w:rPr>
                <w:rStyle w:val="56"/>
                <w:rFonts w:hint="default" w:asciiTheme="minorEastAsia" w:hAnsiTheme="minorEastAsia" w:eastAsiaTheme="minorEastAsia" w:cstheme="minorEastAsia"/>
                <w:color w:val="auto"/>
                <w:sz w:val="21"/>
                <w:szCs w:val="21"/>
                <w:lang w:bidi="ar"/>
              </w:rPr>
              <w:t>分）</w:t>
            </w:r>
            <w:r>
              <w:rPr>
                <w:rStyle w:val="47"/>
                <w:rFonts w:hint="default" w:asciiTheme="minorEastAsia" w:hAnsiTheme="minorEastAsia" w:eastAsiaTheme="minorEastAsia" w:cstheme="minorEastAsia"/>
                <w:color w:val="auto"/>
                <w:sz w:val="21"/>
                <w:szCs w:val="21"/>
                <w:lang w:bidi="ar"/>
              </w:rPr>
              <w:t>（提供建设环境、系统条件与所招标工程相同或接近的工程的中标通知书、合同签署页及封面、业主评价书面意见）经验丰富的得</w:t>
            </w:r>
            <w:r>
              <w:rPr>
                <w:rStyle w:val="47"/>
                <w:rFonts w:hint="default" w:asciiTheme="minorEastAsia" w:hAnsiTheme="minorEastAsia" w:eastAsiaTheme="minorEastAsia" w:cstheme="minorEastAsia"/>
                <w:color w:val="auto"/>
                <w:sz w:val="21"/>
                <w:szCs w:val="21"/>
              </w:rPr>
              <w:t>6-5分，经验一般的得4-3分；经验较少的得2-1分</w:t>
            </w:r>
            <w:r>
              <w:rPr>
                <w:rStyle w:val="47"/>
                <w:rFonts w:hint="eastAsia" w:asciiTheme="minorEastAsia" w:hAnsiTheme="minorEastAsia" w:eastAsiaTheme="minorEastAsia" w:cstheme="minorEastAsia"/>
                <w:color w:val="auto"/>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334" w:type="pc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5</w:t>
            </w:r>
          </w:p>
        </w:tc>
        <w:tc>
          <w:tcPr>
            <w:tcW w:w="453" w:type="pct"/>
            <w:vAlign w:val="center"/>
          </w:tcPr>
          <w:p>
            <w:pPr>
              <w:widowControl/>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color w:val="auto"/>
                <w:kern w:val="0"/>
                <w:szCs w:val="21"/>
                <w:lang w:bidi="ar"/>
              </w:rPr>
              <w:t>绩效评价</w:t>
            </w:r>
            <w:r>
              <w:rPr>
                <w:rFonts w:hint="eastAsia" w:asciiTheme="minorEastAsia" w:hAnsiTheme="minorEastAsia" w:eastAsiaTheme="minorEastAsia" w:cstheme="minorEastAsia"/>
                <w:b/>
                <w:color w:val="auto"/>
                <w:kern w:val="0"/>
                <w:szCs w:val="21"/>
                <w:lang w:bidi="ar"/>
              </w:rPr>
              <w:br w:type="textWrapping"/>
            </w:r>
            <w:r>
              <w:rPr>
                <w:rFonts w:hint="eastAsia" w:asciiTheme="minorEastAsia" w:hAnsiTheme="minorEastAsia" w:eastAsiaTheme="minorEastAsia" w:cstheme="minorEastAsia"/>
                <w:b/>
                <w:color w:val="auto"/>
                <w:kern w:val="0"/>
                <w:szCs w:val="21"/>
                <w:lang w:bidi="ar"/>
              </w:rPr>
              <w:t>（25分）</w:t>
            </w:r>
          </w:p>
        </w:tc>
        <w:tc>
          <w:tcPr>
            <w:tcW w:w="791" w:type="pct"/>
            <w:vAlign w:val="center"/>
          </w:tcPr>
          <w:p>
            <w:pPr>
              <w:widowControl/>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lang w:bidi="ar"/>
              </w:rPr>
              <w:t>绩效评价（25分）</w:t>
            </w:r>
          </w:p>
        </w:tc>
        <w:tc>
          <w:tcPr>
            <w:tcW w:w="3420" w:type="pct"/>
            <w:vAlign w:val="center"/>
          </w:tcPr>
          <w:p>
            <w:pPr>
              <w:widowControl/>
              <w:adjustRightInd w:val="0"/>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按综合绩效评价得分*0.25计算，对于无绩效评价的投标人，根据投标文件中资源实力等相关信息进行综合评价打分。（得分按四舍五入保留两位小数）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334" w:type="pct"/>
            <w:vAlign w:val="center"/>
          </w:tcPr>
          <w:p>
            <w:pPr>
              <w:widowControl/>
              <w:snapToGrid w:val="0"/>
              <w:jc w:val="center"/>
              <w:rPr>
                <w:rFonts w:ascii="宋体" w:hAnsi="宋体" w:eastAsia="宋体" w:cs="宋体"/>
                <w:color w:val="auto"/>
                <w:szCs w:val="21"/>
              </w:rPr>
            </w:pPr>
            <w:r>
              <w:rPr>
                <w:rFonts w:hint="eastAsia" w:ascii="宋体" w:hAnsi="宋体" w:eastAsia="宋体" w:cs="宋体"/>
                <w:b/>
                <w:bCs/>
                <w:color w:val="auto"/>
                <w:kern w:val="0"/>
                <w:szCs w:val="21"/>
              </w:rPr>
              <w:t>6</w:t>
            </w:r>
          </w:p>
        </w:tc>
        <w:tc>
          <w:tcPr>
            <w:tcW w:w="453" w:type="pct"/>
            <w:vAlign w:val="center"/>
          </w:tcPr>
          <w:p>
            <w:pPr>
              <w:widowControl/>
              <w:snapToGrid w:val="0"/>
              <w:jc w:val="center"/>
              <w:textAlignment w:val="center"/>
              <w:rPr>
                <w:rFonts w:ascii="宋体" w:hAnsi="宋体" w:eastAsia="宋体" w:cs="宋体"/>
                <w:color w:val="auto"/>
                <w:szCs w:val="21"/>
              </w:rPr>
            </w:pPr>
            <w:r>
              <w:rPr>
                <w:rFonts w:hint="eastAsia" w:ascii="宋体" w:hAnsi="宋体" w:eastAsia="宋体" w:cs="宋体"/>
                <w:b/>
                <w:bCs/>
                <w:color w:val="auto"/>
                <w:kern w:val="0"/>
                <w:szCs w:val="21"/>
              </w:rPr>
              <w:t>风险评价</w:t>
            </w:r>
          </w:p>
        </w:tc>
        <w:tc>
          <w:tcPr>
            <w:tcW w:w="791" w:type="pct"/>
            <w:vAlign w:val="center"/>
          </w:tcPr>
          <w:p>
            <w:pPr>
              <w:widowControl/>
              <w:snapToGrid w:val="0"/>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风险评价</w:t>
            </w:r>
          </w:p>
          <w:p>
            <w:pPr>
              <w:widowControl/>
              <w:snapToGrid w:val="0"/>
              <w:jc w:val="center"/>
              <w:textAlignment w:val="center"/>
              <w:rPr>
                <w:rFonts w:ascii="宋体" w:hAnsi="宋体" w:eastAsia="宋体" w:cs="宋体"/>
                <w:color w:val="auto"/>
                <w:szCs w:val="21"/>
              </w:rPr>
            </w:pPr>
            <w:r>
              <w:rPr>
                <w:rFonts w:hint="eastAsia" w:ascii="宋体" w:hAnsi="宋体" w:eastAsia="宋体" w:cs="宋体"/>
                <w:color w:val="auto"/>
                <w:kern w:val="0"/>
                <w:szCs w:val="21"/>
              </w:rPr>
              <w:t>（-20-0）</w:t>
            </w:r>
          </w:p>
        </w:tc>
        <w:tc>
          <w:tcPr>
            <w:tcW w:w="3420" w:type="pct"/>
            <w:vAlign w:val="center"/>
          </w:tcPr>
          <w:p>
            <w:pPr>
              <w:widowControl/>
              <w:snapToGrid w:val="0"/>
              <w:rPr>
                <w:rFonts w:ascii="宋体" w:hAnsi="宋体" w:eastAsia="宋体" w:cs="宋体"/>
                <w:color w:val="auto"/>
                <w:szCs w:val="21"/>
              </w:rPr>
            </w:pPr>
            <w:r>
              <w:rPr>
                <w:rFonts w:hint="eastAsia" w:ascii="宋体" w:hAnsi="宋体" w:eastAsia="宋体" w:cs="宋体"/>
                <w:color w:val="auto"/>
                <w:kern w:val="0"/>
                <w:szCs w:val="21"/>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rPr>
            </w:pPr>
            <w:r>
              <w:rPr>
                <w:rFonts w:hint="eastAsia" w:ascii="宋体" w:hAnsi="宋体" w:eastAsia="宋体" w:cs="宋体"/>
                <w:color w:val="auto"/>
                <w:kern w:val="0"/>
                <w:szCs w:val="21"/>
              </w:rPr>
              <w:t>无上述情形的，不扣分。</w:t>
            </w:r>
          </w:p>
        </w:tc>
      </w:tr>
    </w:tbl>
    <w:p>
      <w:pPr>
        <w:pStyle w:val="17"/>
        <w:snapToGrid w:val="0"/>
        <w:spacing w:after="0" w:line="560" w:lineRule="exact"/>
        <w:ind w:firstLine="640" w:firstLineChars="200"/>
        <w:jc w:val="left"/>
        <w:rPr>
          <w:rFonts w:ascii="方正仿宋_GBK" w:hAnsi="方正仿宋_GBK" w:eastAsia="方正仿宋_GBK" w:cs="方正仿宋_GBK"/>
          <w:bCs/>
          <w:color w:val="auto"/>
          <w:sz w:val="32"/>
          <w:szCs w:val="32"/>
        </w:rPr>
      </w:pPr>
      <w:r>
        <w:rPr>
          <w:rFonts w:hint="eastAsia" w:ascii="方正仿宋_GBK" w:hAnsi="方正仿宋_GBK" w:eastAsia="方正仿宋_GBK" w:cs="方正仿宋_GBK"/>
          <w:bCs/>
          <w:color w:val="auto"/>
          <w:sz w:val="32"/>
          <w:szCs w:val="32"/>
        </w:rPr>
        <w:t>变电站土建及电气安装施工</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
        <w:gridCol w:w="794"/>
        <w:gridCol w:w="1374"/>
        <w:gridCol w:w="6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序号</w:t>
            </w:r>
          </w:p>
        </w:tc>
        <w:tc>
          <w:tcPr>
            <w:tcW w:w="0" w:type="auto"/>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项目</w:t>
            </w:r>
          </w:p>
        </w:tc>
        <w:tc>
          <w:tcPr>
            <w:tcW w:w="0" w:type="auto"/>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评审内容及分值</w:t>
            </w:r>
          </w:p>
        </w:tc>
        <w:tc>
          <w:tcPr>
            <w:tcW w:w="0" w:type="auto"/>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1</w:t>
            </w:r>
          </w:p>
        </w:tc>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技术水平</w:t>
            </w:r>
            <w:r>
              <w:rPr>
                <w:rFonts w:hint="eastAsia" w:asciiTheme="minorEastAsia" w:hAnsiTheme="minorEastAsia" w:eastAsiaTheme="minorEastAsia" w:cstheme="minorEastAsia"/>
                <w:b/>
                <w:bCs/>
                <w:color w:val="auto"/>
                <w:kern w:val="0"/>
                <w:szCs w:val="21"/>
              </w:rPr>
              <w:br w:type="textWrapping"/>
            </w:r>
            <w:r>
              <w:rPr>
                <w:rFonts w:hint="eastAsia" w:asciiTheme="minorEastAsia" w:hAnsiTheme="minorEastAsia" w:eastAsiaTheme="minorEastAsia" w:cstheme="minorEastAsia"/>
                <w:b/>
                <w:bCs/>
                <w:color w:val="auto"/>
                <w:kern w:val="0"/>
                <w:szCs w:val="21"/>
              </w:rPr>
              <w:t>（35分）</w:t>
            </w:r>
          </w:p>
        </w:tc>
        <w:tc>
          <w:tcPr>
            <w:tcW w:w="0" w:type="auto"/>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技术业绩</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（15分）</w:t>
            </w:r>
          </w:p>
        </w:tc>
        <w:tc>
          <w:tcPr>
            <w:tcW w:w="0" w:type="auto"/>
            <w:vAlign w:val="center"/>
          </w:tcPr>
          <w:p>
            <w:pPr>
              <w:widowControl/>
              <w:snapToGrid w:val="0"/>
              <w:jc w:val="left"/>
              <w:textAlignment w:val="center"/>
              <w:rPr>
                <w:rStyle w:val="56"/>
                <w:rFonts w:hint="default" w:asciiTheme="minorEastAsia" w:hAnsiTheme="minorEastAsia" w:eastAsiaTheme="minorEastAsia" w:cstheme="minorEastAsia"/>
                <w:color w:val="auto"/>
                <w:sz w:val="21"/>
                <w:szCs w:val="21"/>
              </w:rPr>
            </w:pPr>
            <w:r>
              <w:rPr>
                <w:rStyle w:val="56"/>
                <w:rFonts w:hint="default" w:asciiTheme="minorEastAsia" w:hAnsiTheme="minorEastAsia" w:eastAsiaTheme="minorEastAsia" w:cstheme="minorEastAsia"/>
                <w:color w:val="auto"/>
                <w:sz w:val="21"/>
                <w:szCs w:val="21"/>
              </w:rPr>
              <w:t>开标前5年内：</w:t>
            </w:r>
            <w:r>
              <w:rPr>
                <w:rStyle w:val="56"/>
                <w:rFonts w:hint="default" w:asciiTheme="minorEastAsia" w:hAnsiTheme="minorEastAsia" w:eastAsiaTheme="minorEastAsia" w:cstheme="minorEastAsia"/>
                <w:color w:val="auto"/>
                <w:sz w:val="21"/>
                <w:szCs w:val="21"/>
              </w:rPr>
              <w:br w:type="textWrapping"/>
            </w:r>
            <w:r>
              <w:rPr>
                <w:rStyle w:val="56"/>
                <w:rFonts w:hint="default" w:asciiTheme="minorEastAsia" w:hAnsiTheme="minorEastAsia" w:eastAsiaTheme="minorEastAsia" w:cstheme="minorEastAsia"/>
                <w:color w:val="auto"/>
                <w:sz w:val="21"/>
                <w:szCs w:val="21"/>
              </w:rPr>
              <w:t>1.企业具有1000kV</w:t>
            </w:r>
            <w:r>
              <w:rPr>
                <w:rStyle w:val="57"/>
                <w:rFonts w:hint="default" w:asciiTheme="minorEastAsia" w:hAnsiTheme="minorEastAsia" w:eastAsiaTheme="minorEastAsia" w:cstheme="minorEastAsia"/>
                <w:color w:val="auto"/>
                <w:szCs w:val="21"/>
              </w:rPr>
              <w:t>变电站</w:t>
            </w:r>
            <w:r>
              <w:rPr>
                <w:rStyle w:val="56"/>
                <w:rFonts w:hint="default" w:asciiTheme="minorEastAsia" w:hAnsiTheme="minorEastAsia" w:eastAsiaTheme="minorEastAsia" w:cstheme="minorEastAsia"/>
                <w:color w:val="auto"/>
                <w:sz w:val="21"/>
                <w:szCs w:val="21"/>
              </w:rPr>
              <w:t>电气安装业绩的，得3分；如无得0分；</w:t>
            </w:r>
            <w:r>
              <w:rPr>
                <w:rStyle w:val="56"/>
                <w:rFonts w:hint="default" w:asciiTheme="minorEastAsia" w:hAnsiTheme="minorEastAsia" w:eastAsiaTheme="minorEastAsia" w:cstheme="minorEastAsia"/>
                <w:color w:val="auto"/>
                <w:sz w:val="21"/>
                <w:szCs w:val="21"/>
              </w:rPr>
              <w:br w:type="textWrapping"/>
            </w:r>
            <w:r>
              <w:rPr>
                <w:rStyle w:val="56"/>
                <w:rFonts w:hint="default" w:asciiTheme="minorEastAsia" w:hAnsiTheme="minorEastAsia" w:eastAsiaTheme="minorEastAsia" w:cstheme="minorEastAsia"/>
                <w:color w:val="auto"/>
                <w:sz w:val="21"/>
                <w:szCs w:val="21"/>
              </w:rPr>
              <w:t>2.（a）企业具有</w:t>
            </w:r>
            <w:r>
              <w:rPr>
                <w:rStyle w:val="45"/>
                <w:rFonts w:hint="default" w:asciiTheme="minorEastAsia" w:hAnsiTheme="minorEastAsia" w:eastAsiaTheme="minorEastAsia" w:cstheme="minorEastAsia"/>
                <w:color w:val="auto"/>
              </w:rPr>
              <w:t>±</w:t>
            </w:r>
            <w:r>
              <w:rPr>
                <w:rStyle w:val="56"/>
                <w:rFonts w:hint="default" w:asciiTheme="minorEastAsia" w:hAnsiTheme="minorEastAsia" w:eastAsiaTheme="minorEastAsia" w:cstheme="minorEastAsia"/>
                <w:color w:val="auto"/>
                <w:sz w:val="21"/>
                <w:szCs w:val="21"/>
              </w:rPr>
              <w:t>800kV及以上换流站或1000kV变电站工程电气安装业绩的，每项业绩得2分；</w:t>
            </w:r>
            <w:r>
              <w:rPr>
                <w:rStyle w:val="56"/>
                <w:rFonts w:hint="default" w:asciiTheme="minorEastAsia" w:hAnsiTheme="minorEastAsia" w:eastAsiaTheme="minorEastAsia" w:cstheme="minorEastAsia"/>
                <w:color w:val="auto"/>
                <w:sz w:val="21"/>
                <w:szCs w:val="21"/>
              </w:rPr>
              <w:br w:type="textWrapping"/>
            </w:r>
            <w:r>
              <w:rPr>
                <w:rStyle w:val="56"/>
                <w:rFonts w:hint="default" w:asciiTheme="minorEastAsia" w:hAnsiTheme="minorEastAsia" w:eastAsiaTheme="minorEastAsia" w:cstheme="minorEastAsia"/>
                <w:color w:val="auto"/>
                <w:sz w:val="21"/>
                <w:szCs w:val="21"/>
              </w:rPr>
              <w:t>（b）企业具有±400kV及以上、±800kV以下换流站或500kV及以上、1000kV以下变电站工程电气安装业绩的，每项业绩得1.5分。</w:t>
            </w:r>
          </w:p>
          <w:p>
            <w:pPr>
              <w:pStyle w:val="13"/>
              <w:rPr>
                <w:rFonts w:asciiTheme="minorEastAsia" w:hAnsiTheme="minorEastAsia" w:eastAsiaTheme="minorEastAsia" w:cstheme="minorEastAsia"/>
                <w:color w:val="auto"/>
                <w:sz w:val="21"/>
                <w:szCs w:val="21"/>
              </w:rPr>
            </w:pPr>
            <w:r>
              <w:rPr>
                <w:rStyle w:val="44"/>
                <w:rFonts w:hint="default" w:asciiTheme="minorEastAsia" w:hAnsiTheme="minorEastAsia" w:eastAsiaTheme="minorEastAsia" w:cstheme="minorEastAsia"/>
                <w:color w:val="auto"/>
                <w:sz w:val="21"/>
                <w:szCs w:val="21"/>
              </w:rPr>
              <w:t>备注：条件a和b总得分不得超过12分。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工程实施条件分析</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（5分）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工程概况与工程实施条件调查及分析（2分）：工程概况、工程性质、工程规模、工期要求、布置形式描述正确，工程涉及的主要单位、施工内容、施工依据。（论述齐全无错漏，2分；每1项论述不充分描述不合理，扣0.5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对工程特点、难点的理解与把握（3分）（特点、难点理解分析描述正确说明详实，3分；每1项描述不充分，说明不详实，扣1分，扣完为止。）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restart"/>
            <w:vAlign w:val="center"/>
          </w:tcPr>
          <w:p>
            <w:pPr>
              <w:widowControl/>
              <w:snapToGrid w:val="0"/>
              <w:jc w:val="center"/>
              <w:textAlignment w:val="center"/>
              <w:rPr>
                <w:rStyle w:val="47"/>
                <w:rFonts w:hint="default" w:asciiTheme="minorEastAsia" w:hAnsiTheme="minorEastAsia" w:eastAsiaTheme="minorEastAsia" w:cstheme="minorEastAsia"/>
                <w:bCs/>
                <w:color w:val="auto"/>
                <w:sz w:val="21"/>
                <w:szCs w:val="21"/>
              </w:rPr>
            </w:pPr>
            <w:r>
              <w:rPr>
                <w:rStyle w:val="47"/>
                <w:rFonts w:hint="default" w:asciiTheme="minorEastAsia" w:hAnsiTheme="minorEastAsia" w:eastAsiaTheme="minorEastAsia" w:cstheme="minorEastAsia"/>
                <w:bCs/>
                <w:color w:val="auto"/>
                <w:sz w:val="21"/>
                <w:szCs w:val="21"/>
              </w:rPr>
              <w:t>施工方案与资源配置</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Style w:val="56"/>
                <w:rFonts w:hint="default" w:asciiTheme="minorEastAsia" w:hAnsiTheme="minorEastAsia" w:eastAsiaTheme="minorEastAsia" w:cstheme="minorEastAsia"/>
                <w:bCs/>
                <w:color w:val="auto"/>
                <w:sz w:val="21"/>
                <w:szCs w:val="21"/>
              </w:rPr>
              <w:t>（</w:t>
            </w:r>
            <w:r>
              <w:rPr>
                <w:rFonts w:hint="eastAsia" w:asciiTheme="minorEastAsia" w:hAnsiTheme="minorEastAsia" w:eastAsiaTheme="minorEastAsia" w:cstheme="minorEastAsia"/>
                <w:bCs/>
                <w:color w:val="auto"/>
                <w:kern w:val="0"/>
                <w:szCs w:val="21"/>
              </w:rPr>
              <w:t>11分</w:t>
            </w:r>
            <w:r>
              <w:rPr>
                <w:rStyle w:val="56"/>
                <w:rFonts w:hint="default" w:asciiTheme="minorEastAsia" w:hAnsiTheme="minorEastAsia" w:eastAsiaTheme="minorEastAsia" w:cstheme="minorEastAsia"/>
                <w:bCs/>
                <w:color w:val="auto"/>
                <w:sz w:val="21"/>
                <w:szCs w:val="21"/>
              </w:rPr>
              <w:t>）</w:t>
            </w:r>
          </w:p>
        </w:tc>
        <w:tc>
          <w:tcPr>
            <w:tcW w:w="0" w:type="auto"/>
            <w:vAlign w:val="center"/>
          </w:tcPr>
          <w:p>
            <w:pPr>
              <w:widowControl/>
              <w:snapToGrid w:val="0"/>
              <w:jc w:val="left"/>
              <w:textAlignment w:val="center"/>
              <w:rPr>
                <w:rFonts w:asciiTheme="minorEastAsia" w:hAnsiTheme="minorEastAsia" w:eastAsiaTheme="minorEastAsia" w:cstheme="minorEastAsia"/>
                <w:color w:val="auto"/>
                <w:szCs w:val="21"/>
              </w:rPr>
            </w:pPr>
            <w:r>
              <w:rPr>
                <w:rStyle w:val="56"/>
                <w:rFonts w:hint="default" w:asciiTheme="minorEastAsia" w:hAnsiTheme="minorEastAsia" w:eastAsiaTheme="minorEastAsia" w:cstheme="minorEastAsia"/>
                <w:color w:val="auto"/>
                <w:sz w:val="21"/>
                <w:szCs w:val="21"/>
              </w:rPr>
              <w:t>施工方案（8分）</w:t>
            </w:r>
            <w:r>
              <w:rPr>
                <w:rStyle w:val="47"/>
                <w:rFonts w:hint="default" w:asciiTheme="minorEastAsia" w:hAnsiTheme="minorEastAsia" w:eastAsiaTheme="minorEastAsia" w:cstheme="minorEastAsia"/>
                <w:color w:val="auto"/>
                <w:sz w:val="21"/>
                <w:szCs w:val="21"/>
              </w:rPr>
              <w:t>（主要工序和特殊工序的施工方法选用合理、结合工程所在地分析针对性强，施工力量配置、材料准备、施工机具配置、进度计划满足要求、内容详实得</w:t>
            </w:r>
            <w:r>
              <w:rPr>
                <w:rStyle w:val="56"/>
                <w:rFonts w:hint="default" w:asciiTheme="minorEastAsia" w:hAnsiTheme="minorEastAsia" w:eastAsiaTheme="minorEastAsia" w:cstheme="minorEastAsia"/>
                <w:color w:val="auto"/>
                <w:sz w:val="21"/>
                <w:szCs w:val="21"/>
              </w:rPr>
              <w:t>8分</w:t>
            </w:r>
            <w:r>
              <w:rPr>
                <w:rStyle w:val="47"/>
                <w:rFonts w:hint="default" w:asciiTheme="minorEastAsia" w:hAnsiTheme="minorEastAsia" w:eastAsiaTheme="minorEastAsia" w:cstheme="minorEastAsia"/>
                <w:color w:val="auto"/>
                <w:sz w:val="21"/>
                <w:szCs w:val="21"/>
              </w:rPr>
              <w:t>，主要工序施工方法描述不详实、不合理扣2分，季节性施工、特殊施工未结合工程所在地分析扣2分，施工资源投入计划不满足进度计划及招标文件要求扣1分。）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施工机具配置及技术导向响应（3分）（未针对工程特点及承包范围编制全过程机械化施工方案扣1分，未提供施工设备表、工器具及试验检测仪器设备表扣1分，提供的机械、设备仪器信息不全、未结合实际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restart"/>
            <w:vAlign w:val="center"/>
          </w:tcPr>
          <w:p>
            <w:pPr>
              <w:widowControl/>
              <w:snapToGrid w:val="0"/>
              <w:jc w:val="center"/>
              <w:textAlignment w:val="center"/>
              <w:rPr>
                <w:rStyle w:val="47"/>
                <w:rFonts w:hint="default" w:asciiTheme="minorEastAsia" w:hAnsiTheme="minorEastAsia" w:eastAsiaTheme="minorEastAsia" w:cstheme="minorEastAsia"/>
                <w:bCs/>
                <w:color w:val="auto"/>
                <w:sz w:val="21"/>
                <w:szCs w:val="21"/>
              </w:rPr>
            </w:pPr>
            <w:r>
              <w:rPr>
                <w:rStyle w:val="47"/>
                <w:rFonts w:hint="default" w:asciiTheme="minorEastAsia" w:hAnsiTheme="minorEastAsia" w:eastAsiaTheme="minorEastAsia" w:cstheme="minorEastAsia"/>
                <w:bCs/>
                <w:color w:val="auto"/>
                <w:sz w:val="21"/>
                <w:szCs w:val="21"/>
              </w:rPr>
              <w:t>工期与进度计划</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Style w:val="56"/>
                <w:rFonts w:hint="default" w:asciiTheme="minorEastAsia" w:hAnsiTheme="minorEastAsia" w:eastAsiaTheme="minorEastAsia" w:cstheme="minorEastAsia"/>
                <w:bCs/>
                <w:color w:val="auto"/>
                <w:sz w:val="21"/>
                <w:szCs w:val="21"/>
              </w:rPr>
              <w:t>（4分）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目标与进度计划（2分）（有针对性提供工程目标、进度计划的，2分，所提供工程目标、进度计划不齐全，扣1分）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工程综合进度保证措施（2分）（有针对性提供进度保证措施内容，2分；所提供进度保证措施不齐全，扣1分。）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2</w:t>
            </w:r>
          </w:p>
        </w:tc>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团队配置</w:t>
            </w:r>
            <w:r>
              <w:rPr>
                <w:rFonts w:hint="eastAsia" w:asciiTheme="minorEastAsia" w:hAnsiTheme="minorEastAsia" w:eastAsiaTheme="minorEastAsia" w:cstheme="minorEastAsia"/>
                <w:b/>
                <w:bCs/>
                <w:color w:val="auto"/>
                <w:kern w:val="0"/>
                <w:szCs w:val="21"/>
              </w:rPr>
              <w:br w:type="textWrapping"/>
            </w:r>
            <w:r>
              <w:rPr>
                <w:rFonts w:hint="eastAsia" w:asciiTheme="minorEastAsia" w:hAnsiTheme="minorEastAsia" w:eastAsiaTheme="minorEastAsia" w:cstheme="minorEastAsia"/>
                <w:b/>
                <w:bCs/>
                <w:color w:val="auto"/>
                <w:kern w:val="0"/>
                <w:szCs w:val="21"/>
              </w:rPr>
              <w:t>（15分）</w:t>
            </w:r>
          </w:p>
        </w:tc>
        <w:tc>
          <w:tcPr>
            <w:tcW w:w="0" w:type="auto"/>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施工项目管理组织机构</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（12分）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Style w:val="56"/>
                <w:rFonts w:hint="default" w:asciiTheme="minorEastAsia" w:hAnsiTheme="minorEastAsia" w:eastAsiaTheme="minorEastAsia" w:cstheme="minorEastAsia"/>
                <w:color w:val="auto"/>
                <w:sz w:val="21"/>
                <w:szCs w:val="21"/>
              </w:rPr>
              <w:t>项目组织机构（2分）（机构职责齐全、人员配置高于招标文件要求，2分；机构职责齐全、人员配置齐全、满足招标文件要求，1分。）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项目团队履责能力（10分）（按照以下规则累计积分，最高10分）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1）项目经理具有±800kV及以上换流站或1000kV变电站自开工至工程竣工整个工程项目经理业绩，一级建造师证书所涉及专业与招标承包范围内容专业相符的，每项得5分；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2）项目经理具有±800kV 及以上换流站或1000kV变电站自开工至工程竣工整个工程项目副经理或项目总工业绩的，每项得4分；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3）项目经理具有±400kV及以上、±800kV以下换流站或500kV及以上、1000kV以下变电站工程工程自开工至工程竣工整个工程项目经理（项目副经理或项目总工）业绩，每项得2分；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分包管理</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（3分）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分包计划与分包管理的措施（3分）（明确提出分包计划、分包类型、分包内容、分包金额及相应管理措施，3分；分包计划、范围、管理措施有漏项的，扣1分。）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3</w:t>
            </w:r>
          </w:p>
        </w:tc>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安全质量控制</w:t>
            </w:r>
            <w:r>
              <w:rPr>
                <w:rFonts w:hint="eastAsia" w:asciiTheme="minorEastAsia" w:hAnsiTheme="minorEastAsia" w:eastAsiaTheme="minorEastAsia" w:cstheme="minorEastAsia"/>
                <w:b/>
                <w:bCs/>
                <w:color w:val="auto"/>
                <w:kern w:val="0"/>
                <w:szCs w:val="21"/>
              </w:rPr>
              <w:br w:type="textWrapping"/>
            </w:r>
            <w:r>
              <w:rPr>
                <w:rFonts w:hint="eastAsia" w:asciiTheme="minorEastAsia" w:hAnsiTheme="minorEastAsia" w:eastAsiaTheme="minorEastAsia" w:cstheme="minorEastAsia"/>
                <w:b/>
                <w:bCs/>
                <w:color w:val="auto"/>
                <w:kern w:val="0"/>
                <w:szCs w:val="21"/>
              </w:rPr>
              <w:t>（15分）</w:t>
            </w:r>
          </w:p>
        </w:tc>
        <w:tc>
          <w:tcPr>
            <w:tcW w:w="0" w:type="auto"/>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安全管控措施</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（5分）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安全管理组织机构、职责及管理制度（2分）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（目标合理，机构健全，职责清晰，制度完备，2分，每1项论述不充分，扣1分。）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安全组织技术措施、实施方案、考核办法、管理方法（2分）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（措施全面可靠、考核办法及管理办法完备，2分；每1项论述不充分，扣1分。）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重要施工方案及特殊施工工序的安全过程控制（1分）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（编制专项安全过程控制措施，措施合理可靠，1分；每1项论述不充分，扣0.5分。）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质量管控措施</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（5分）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质量目标及管理体系（2分）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目标合理，机构健全，质量体系完善，措施有针对性得2分；目标合理，机构健全，质量体系较完善，措施有针对性得1分；目标不合理，机构不健全，管理组织机构不健全，质量体系不完善，措施无针对性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Style w:val="47"/>
                <w:rFonts w:hint="default" w:asciiTheme="minorEastAsia" w:hAnsiTheme="minorEastAsia" w:eastAsiaTheme="minorEastAsia" w:cstheme="minorEastAsia"/>
                <w:color w:val="auto"/>
                <w:sz w:val="21"/>
                <w:szCs w:val="21"/>
              </w:rPr>
              <w:t>针对性的质量控制措施与质量提升（1分）（质量管理措施齐全有效，有针对性得</w:t>
            </w:r>
            <w:r>
              <w:rPr>
                <w:rStyle w:val="46"/>
                <w:rFonts w:hint="default" w:asciiTheme="minorEastAsia" w:hAnsiTheme="minorEastAsia" w:eastAsiaTheme="minorEastAsia" w:cstheme="minorEastAsia"/>
                <w:color w:val="auto"/>
                <w:szCs w:val="21"/>
              </w:rPr>
              <w:t>1</w:t>
            </w:r>
            <w:r>
              <w:rPr>
                <w:rStyle w:val="47"/>
                <w:rFonts w:hint="default" w:asciiTheme="minorEastAsia" w:hAnsiTheme="minorEastAsia" w:eastAsiaTheme="minorEastAsia" w:cstheme="minorEastAsia"/>
                <w:color w:val="auto"/>
                <w:sz w:val="21"/>
                <w:szCs w:val="21"/>
              </w:rPr>
              <w:t>分；质量管理措施不齐全，针对性不强得0分。）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成品保护措施（1分）（成品保护措施编制不合理，针对性不强扣1分）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标准工艺应用（1分）（标准工艺应用计划编制不合理，针对性不强扣1分）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绿色施工方案</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（3分）</w:t>
            </w:r>
          </w:p>
        </w:tc>
        <w:tc>
          <w:tcPr>
            <w:tcW w:w="0" w:type="auto"/>
            <w:vAlign w:val="center"/>
          </w:tcPr>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对建立绿色施工管理体系，制定绿色施工方案，在施工过程中统筹考虑环境保护措施，节能减排措施，节地与施工用地保护措施、绿色施工工艺等情况进行评价：</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优：科学、可行、针对性强得3分；</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良：合理、可行、细节待完善得2分；</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一般：欠合理，可行性较差，基本满足工程需要得1分。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环水保及文明施工措施</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（2分）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针对性的环水保控制、文明施工措施（1分）（措施具体、针对性不强扣1分）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环境保护费、文明施工费等用途与计划（1分）（用途与计划不具体、针对性不强扣1分）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4</w:t>
            </w:r>
          </w:p>
        </w:tc>
        <w:tc>
          <w:tcPr>
            <w:tcW w:w="0" w:type="auto"/>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综合评价</w:t>
            </w:r>
            <w:r>
              <w:rPr>
                <w:rFonts w:hint="eastAsia" w:asciiTheme="minorEastAsia" w:hAnsiTheme="minorEastAsia" w:eastAsiaTheme="minorEastAsia" w:cstheme="minorEastAsia"/>
                <w:b/>
                <w:bCs/>
                <w:color w:val="auto"/>
                <w:kern w:val="0"/>
                <w:szCs w:val="21"/>
              </w:rPr>
              <w:br w:type="textWrapping"/>
            </w:r>
            <w:r>
              <w:rPr>
                <w:rFonts w:hint="eastAsia" w:asciiTheme="minorEastAsia" w:hAnsiTheme="minorEastAsia" w:eastAsiaTheme="minorEastAsia" w:cstheme="minorEastAsia"/>
                <w:b/>
                <w:bCs/>
                <w:color w:val="auto"/>
                <w:kern w:val="0"/>
                <w:szCs w:val="21"/>
              </w:rPr>
              <w:t>（10分）</w:t>
            </w:r>
          </w:p>
        </w:tc>
        <w:tc>
          <w:tcPr>
            <w:tcW w:w="0" w:type="auto"/>
            <w:vMerge w:val="restart"/>
            <w:vAlign w:val="center"/>
          </w:tcPr>
          <w:p>
            <w:pPr>
              <w:widowControl/>
              <w:snapToGrid w:val="0"/>
              <w:jc w:val="center"/>
              <w:textAlignment w:val="center"/>
              <w:rPr>
                <w:rStyle w:val="47"/>
                <w:rFonts w:hint="default" w:asciiTheme="minorEastAsia" w:hAnsiTheme="minorEastAsia" w:eastAsiaTheme="minorEastAsia" w:cstheme="minorEastAsia"/>
                <w:bCs/>
                <w:color w:val="auto"/>
                <w:sz w:val="21"/>
                <w:szCs w:val="21"/>
              </w:rPr>
            </w:pPr>
            <w:r>
              <w:rPr>
                <w:rStyle w:val="47"/>
                <w:rFonts w:hint="default" w:asciiTheme="minorEastAsia" w:hAnsiTheme="minorEastAsia" w:eastAsiaTheme="minorEastAsia" w:cstheme="minorEastAsia"/>
                <w:bCs/>
                <w:color w:val="auto"/>
                <w:sz w:val="21"/>
                <w:szCs w:val="21"/>
              </w:rPr>
              <w:t>综合管理</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Style w:val="56"/>
                <w:rFonts w:hint="default" w:asciiTheme="minorEastAsia" w:hAnsiTheme="minorEastAsia" w:eastAsiaTheme="minorEastAsia" w:cstheme="minorEastAsia"/>
                <w:bCs/>
                <w:color w:val="auto"/>
                <w:sz w:val="21"/>
                <w:szCs w:val="21"/>
              </w:rPr>
              <w:t>（4分）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规范化开工（1分）（标准化开工清单及计划编制不具体、针对性不强扣1分）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施工管理体系（1分）（管理体系编制不具体、针对性不强扣1分）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施工科技创新（1分）（未编制五新技术、装配式技术、BIM技术应用内容，或编制针对性不详实、内容不具体扣1分）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资料档案管理（1分）（措施具体，针对性强，1分）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0" w:type="auto"/>
            <w:vAlign w:val="center"/>
          </w:tcPr>
          <w:p>
            <w:pPr>
              <w:snapToGrid w:val="0"/>
              <w:jc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整体评价</w:t>
            </w:r>
          </w:p>
          <w:p>
            <w:pPr>
              <w:snapToGrid w:val="0"/>
              <w:jc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（6分）</w:t>
            </w:r>
          </w:p>
        </w:tc>
        <w:tc>
          <w:tcPr>
            <w:tcW w:w="0" w:type="auto"/>
            <w:vAlign w:val="center"/>
          </w:tcPr>
          <w:p/>
          <w:p>
            <w:pPr>
              <w:widowControl/>
              <w:snapToGrid w:val="0"/>
              <w:jc w:val="left"/>
              <w:textAlignment w:val="center"/>
              <w:rPr>
                <w:rFonts w:asciiTheme="minorEastAsia" w:hAnsiTheme="minorEastAsia" w:eastAsiaTheme="minorEastAsia" w:cstheme="minorEastAsia"/>
                <w:color w:val="auto"/>
                <w:spacing w:val="10"/>
                <w:kern w:val="0"/>
                <w:szCs w:val="21"/>
              </w:rPr>
            </w:pPr>
            <w:r>
              <w:rPr>
                <w:rStyle w:val="56"/>
                <w:rFonts w:hint="default" w:asciiTheme="minorEastAsia" w:hAnsiTheme="minorEastAsia" w:eastAsiaTheme="minorEastAsia" w:cstheme="minorEastAsia"/>
                <w:color w:val="auto"/>
                <w:sz w:val="21"/>
                <w:szCs w:val="21"/>
              </w:rPr>
              <w:t>类似工程经验（</w:t>
            </w:r>
            <w:r>
              <w:rPr>
                <w:rStyle w:val="56"/>
                <w:rFonts w:hint="eastAsia" w:asciiTheme="minorEastAsia" w:hAnsiTheme="minorEastAsia" w:eastAsiaTheme="minorEastAsia" w:cstheme="minorEastAsia"/>
                <w:color w:val="auto"/>
                <w:sz w:val="21"/>
                <w:szCs w:val="21"/>
                <w:lang w:val="en-US" w:eastAsia="zh-CN"/>
              </w:rPr>
              <w:t>6</w:t>
            </w:r>
            <w:r>
              <w:rPr>
                <w:rStyle w:val="56"/>
                <w:rFonts w:hint="default" w:asciiTheme="minorEastAsia" w:hAnsiTheme="minorEastAsia" w:eastAsiaTheme="minorEastAsia" w:cstheme="minorEastAsia"/>
                <w:color w:val="auto"/>
                <w:sz w:val="21"/>
                <w:szCs w:val="21"/>
              </w:rPr>
              <w:t>分）</w:t>
            </w:r>
            <w:r>
              <w:rPr>
                <w:rStyle w:val="47"/>
                <w:rFonts w:hint="default" w:asciiTheme="minorEastAsia" w:hAnsiTheme="minorEastAsia" w:eastAsiaTheme="minorEastAsia" w:cstheme="minorEastAsia"/>
                <w:color w:val="auto"/>
                <w:sz w:val="21"/>
                <w:szCs w:val="21"/>
              </w:rPr>
              <w:t>（提供建设环境、系统条件与所招标工程相同或接近的工程的中标通知书、合同签署页及封面、业主评价书面意见）经验丰富的得6-5分，经验一般的得4-3分；经验较少的得2-1分</w:t>
            </w:r>
            <w:r>
              <w:rPr>
                <w:rStyle w:val="47"/>
                <w:rFonts w:hint="eastAsia" w:asciiTheme="minorEastAsia" w:hAnsiTheme="minorEastAsia" w:eastAsiaTheme="minorEastAsia" w:cstheme="minorEastAsia"/>
                <w:color w:val="auto"/>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0" w:type="auto"/>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5</w:t>
            </w:r>
          </w:p>
        </w:tc>
        <w:tc>
          <w:tcPr>
            <w:tcW w:w="0" w:type="auto"/>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绩效评价</w:t>
            </w:r>
            <w:r>
              <w:rPr>
                <w:rFonts w:hint="eastAsia" w:asciiTheme="minorEastAsia" w:hAnsiTheme="minorEastAsia" w:eastAsiaTheme="minorEastAsia" w:cstheme="minorEastAsia"/>
                <w:b/>
                <w:bCs/>
                <w:color w:val="auto"/>
                <w:kern w:val="0"/>
                <w:szCs w:val="21"/>
              </w:rPr>
              <w:br w:type="textWrapping"/>
            </w:r>
            <w:r>
              <w:rPr>
                <w:rFonts w:hint="eastAsia" w:asciiTheme="minorEastAsia" w:hAnsiTheme="minorEastAsia" w:eastAsiaTheme="minorEastAsia" w:cstheme="minorEastAsia"/>
                <w:b/>
                <w:bCs/>
                <w:color w:val="auto"/>
                <w:kern w:val="0"/>
                <w:szCs w:val="21"/>
              </w:rPr>
              <w:t>（25分）</w:t>
            </w:r>
          </w:p>
        </w:tc>
        <w:tc>
          <w:tcPr>
            <w:tcW w:w="0" w:type="auto"/>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绩效评价</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（25分）</w:t>
            </w:r>
          </w:p>
        </w:tc>
        <w:tc>
          <w:tcPr>
            <w:tcW w:w="0" w:type="auto"/>
            <w:vAlign w:val="center"/>
          </w:tcPr>
          <w:p>
            <w:pPr>
              <w:widowControl/>
              <w:snapToGrid w:val="0"/>
              <w:jc w:val="left"/>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按综合绩效评价得分*0.25计算，对于无绩效评价的投标人，根据投标文件中资源实力等相关信息进行综合评价打分。（得分按四舍五入保留两位小数）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0" w:type="auto"/>
            <w:vAlign w:val="center"/>
          </w:tcPr>
          <w:p>
            <w:pPr>
              <w:widowControl/>
              <w:snapToGrid w:val="0"/>
              <w:jc w:val="center"/>
              <w:rPr>
                <w:rFonts w:ascii="宋体" w:hAnsi="宋体" w:eastAsia="宋体" w:cs="宋体"/>
                <w:color w:val="auto"/>
                <w:szCs w:val="21"/>
              </w:rPr>
            </w:pPr>
            <w:r>
              <w:rPr>
                <w:rFonts w:hint="eastAsia" w:ascii="宋体" w:hAnsi="宋体" w:eastAsia="宋体" w:cs="宋体"/>
                <w:b/>
                <w:bCs/>
                <w:color w:val="auto"/>
                <w:kern w:val="0"/>
                <w:szCs w:val="21"/>
              </w:rPr>
              <w:t>6</w:t>
            </w:r>
          </w:p>
        </w:tc>
        <w:tc>
          <w:tcPr>
            <w:tcW w:w="0" w:type="auto"/>
            <w:vAlign w:val="center"/>
          </w:tcPr>
          <w:p>
            <w:pPr>
              <w:widowControl/>
              <w:snapToGrid w:val="0"/>
              <w:jc w:val="center"/>
              <w:textAlignment w:val="center"/>
              <w:rPr>
                <w:rFonts w:ascii="宋体" w:hAnsi="宋体" w:eastAsia="宋体" w:cs="宋体"/>
                <w:color w:val="auto"/>
                <w:szCs w:val="21"/>
              </w:rPr>
            </w:pPr>
            <w:r>
              <w:rPr>
                <w:rFonts w:hint="eastAsia" w:ascii="宋体" w:hAnsi="宋体" w:eastAsia="宋体" w:cs="宋体"/>
                <w:b/>
                <w:bCs/>
                <w:color w:val="auto"/>
                <w:kern w:val="0"/>
                <w:szCs w:val="21"/>
              </w:rPr>
              <w:t>风险评价</w:t>
            </w:r>
          </w:p>
        </w:tc>
        <w:tc>
          <w:tcPr>
            <w:tcW w:w="0" w:type="auto"/>
            <w:vAlign w:val="center"/>
          </w:tcPr>
          <w:p>
            <w:pPr>
              <w:widowControl/>
              <w:snapToGrid w:val="0"/>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风险评价</w:t>
            </w:r>
          </w:p>
          <w:p>
            <w:pPr>
              <w:widowControl/>
              <w:snapToGrid w:val="0"/>
              <w:jc w:val="center"/>
              <w:textAlignment w:val="center"/>
              <w:rPr>
                <w:rFonts w:ascii="宋体" w:hAnsi="宋体" w:eastAsia="宋体" w:cs="宋体"/>
                <w:color w:val="auto"/>
                <w:szCs w:val="21"/>
              </w:rPr>
            </w:pPr>
            <w:r>
              <w:rPr>
                <w:rFonts w:hint="eastAsia" w:ascii="宋体" w:hAnsi="宋体" w:eastAsia="宋体" w:cs="宋体"/>
                <w:color w:val="auto"/>
                <w:kern w:val="0"/>
                <w:szCs w:val="21"/>
              </w:rPr>
              <w:t>（-20-0）</w:t>
            </w:r>
          </w:p>
        </w:tc>
        <w:tc>
          <w:tcPr>
            <w:tcW w:w="0" w:type="auto"/>
            <w:vAlign w:val="center"/>
          </w:tcPr>
          <w:p>
            <w:pPr>
              <w:widowControl/>
              <w:snapToGrid w:val="0"/>
              <w:rPr>
                <w:rFonts w:ascii="宋体" w:hAnsi="宋体" w:eastAsia="宋体" w:cs="宋体"/>
                <w:color w:val="auto"/>
                <w:szCs w:val="21"/>
              </w:rPr>
            </w:pPr>
            <w:r>
              <w:rPr>
                <w:rFonts w:hint="eastAsia" w:ascii="宋体" w:hAnsi="宋体" w:eastAsia="宋体" w:cs="宋体"/>
                <w:color w:val="auto"/>
                <w:kern w:val="0"/>
                <w:szCs w:val="21"/>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rPr>
            </w:pPr>
            <w:r>
              <w:rPr>
                <w:rFonts w:hint="eastAsia" w:ascii="宋体" w:hAnsi="宋体" w:eastAsia="宋体" w:cs="宋体"/>
                <w:color w:val="auto"/>
                <w:kern w:val="0"/>
                <w:szCs w:val="21"/>
              </w:rPr>
              <w:t>无上述情形的，不扣分。</w:t>
            </w:r>
          </w:p>
        </w:tc>
      </w:tr>
    </w:tbl>
    <w:p>
      <w:pPr>
        <w:pStyle w:val="17"/>
        <w:snapToGrid w:val="0"/>
        <w:spacing w:after="0" w:line="560" w:lineRule="exact"/>
        <w:ind w:firstLine="640" w:firstLineChars="200"/>
        <w:jc w:val="left"/>
        <w:rPr>
          <w:color w:val="auto"/>
        </w:rPr>
      </w:pPr>
      <w:r>
        <w:rPr>
          <w:rFonts w:hint="eastAsia" w:ascii="方正仿宋_GBK" w:hAnsi="方正仿宋_GBK" w:eastAsia="方正仿宋_GBK" w:cs="方正仿宋_GBK"/>
          <w:bCs/>
          <w:color w:val="auto"/>
          <w:sz w:val="32"/>
          <w:szCs w:val="32"/>
        </w:rPr>
        <w:t>变电站桩基施工</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
        <w:gridCol w:w="841"/>
        <w:gridCol w:w="1469"/>
        <w:gridCol w:w="6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序号</w:t>
            </w:r>
          </w:p>
        </w:tc>
        <w:tc>
          <w:tcPr>
            <w:tcW w:w="453"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项目</w:t>
            </w:r>
          </w:p>
        </w:tc>
        <w:tc>
          <w:tcPr>
            <w:tcW w:w="791"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评审内容及分值</w:t>
            </w:r>
          </w:p>
        </w:tc>
        <w:tc>
          <w:tcPr>
            <w:tcW w:w="3420" w:type="pct"/>
            <w:vAlign w:val="center"/>
          </w:tcPr>
          <w:p>
            <w:pPr>
              <w:widowControl/>
              <w:snapToGrid w:val="0"/>
              <w:spacing w:before="66" w:after="66"/>
              <w:jc w:val="center"/>
              <w:rPr>
                <w:rFonts w:asciiTheme="minorEastAsia" w:hAnsiTheme="minorEastAsia" w:eastAsiaTheme="minorEastAsia" w:cstheme="minorEastAsia"/>
                <w:b/>
                <w:color w:val="auto"/>
                <w:spacing w:val="10"/>
                <w:kern w:val="0"/>
                <w:szCs w:val="21"/>
              </w:rPr>
            </w:pPr>
            <w:r>
              <w:rPr>
                <w:rFonts w:hint="eastAsia" w:asciiTheme="minorEastAsia" w:hAnsiTheme="minorEastAsia" w:eastAsiaTheme="minorEastAsia" w:cstheme="minorEastAsia"/>
                <w:b/>
                <w:color w:val="auto"/>
                <w:spacing w:val="10"/>
                <w:kern w:val="0"/>
                <w:szCs w:val="21"/>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1</w:t>
            </w:r>
          </w:p>
        </w:tc>
        <w:tc>
          <w:tcPr>
            <w:tcW w:w="453"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技术水平</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（35分）</w:t>
            </w:r>
          </w:p>
        </w:tc>
        <w:tc>
          <w:tcPr>
            <w:tcW w:w="791" w:type="pc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技术业绩</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（15分）</w:t>
            </w:r>
          </w:p>
        </w:tc>
        <w:tc>
          <w:tcPr>
            <w:tcW w:w="3420" w:type="pct"/>
            <w:vAlign w:val="center"/>
          </w:tcPr>
          <w:p>
            <w:pPr>
              <w:widowControl/>
              <w:snapToGrid w:val="0"/>
              <w:textAlignment w:val="center"/>
              <w:rPr>
                <w:rStyle w:val="56"/>
                <w:rFonts w:hint="default" w:asciiTheme="minorEastAsia" w:hAnsiTheme="minorEastAsia" w:eastAsiaTheme="minorEastAsia" w:cstheme="minorEastAsia"/>
                <w:color w:val="auto"/>
                <w:sz w:val="21"/>
                <w:szCs w:val="21"/>
              </w:rPr>
            </w:pPr>
            <w:r>
              <w:rPr>
                <w:rStyle w:val="56"/>
                <w:rFonts w:hint="default" w:asciiTheme="minorEastAsia" w:hAnsiTheme="minorEastAsia" w:eastAsiaTheme="minorEastAsia" w:cstheme="minorEastAsia"/>
                <w:color w:val="auto"/>
                <w:sz w:val="21"/>
                <w:szCs w:val="21"/>
              </w:rPr>
              <w:t>开标前5年内：</w:t>
            </w:r>
            <w:r>
              <w:rPr>
                <w:rStyle w:val="56"/>
                <w:rFonts w:hint="default" w:asciiTheme="minorEastAsia" w:hAnsiTheme="minorEastAsia" w:eastAsiaTheme="minorEastAsia" w:cstheme="minorEastAsia"/>
                <w:color w:val="auto"/>
                <w:sz w:val="21"/>
                <w:szCs w:val="21"/>
              </w:rPr>
              <w:br w:type="textWrapping"/>
            </w:r>
            <w:r>
              <w:rPr>
                <w:rStyle w:val="56"/>
                <w:rFonts w:hint="default" w:asciiTheme="minorEastAsia" w:hAnsiTheme="minorEastAsia" w:eastAsiaTheme="minorEastAsia" w:cstheme="minorEastAsia"/>
                <w:color w:val="auto"/>
                <w:sz w:val="21"/>
                <w:szCs w:val="21"/>
              </w:rPr>
              <w:t>1.企业具有</w:t>
            </w:r>
            <w:r>
              <w:rPr>
                <w:rStyle w:val="45"/>
                <w:rFonts w:hint="default" w:asciiTheme="minorEastAsia" w:hAnsiTheme="minorEastAsia" w:eastAsiaTheme="minorEastAsia" w:cstheme="minorEastAsia"/>
                <w:color w:val="auto"/>
              </w:rPr>
              <w:t>±</w:t>
            </w:r>
            <w:r>
              <w:rPr>
                <w:rStyle w:val="56"/>
                <w:rFonts w:hint="default" w:asciiTheme="minorEastAsia" w:hAnsiTheme="minorEastAsia" w:eastAsiaTheme="minorEastAsia" w:cstheme="minorEastAsia"/>
                <w:color w:val="auto"/>
                <w:sz w:val="21"/>
                <w:szCs w:val="21"/>
              </w:rPr>
              <w:t>800kV及以上换流站或1000kV变电站工程桩基施工业绩的，如有业绩得3分；如无得0分；</w:t>
            </w:r>
          </w:p>
          <w:p>
            <w:pPr>
              <w:widowControl/>
              <w:snapToGrid w:val="0"/>
              <w:textAlignment w:val="center"/>
              <w:rPr>
                <w:rStyle w:val="56"/>
                <w:rFonts w:hint="default" w:asciiTheme="minorEastAsia" w:hAnsiTheme="minorEastAsia" w:eastAsiaTheme="minorEastAsia" w:cstheme="minorEastAsia"/>
                <w:color w:val="auto"/>
                <w:sz w:val="21"/>
                <w:szCs w:val="21"/>
              </w:rPr>
            </w:pPr>
            <w:r>
              <w:rPr>
                <w:rStyle w:val="56"/>
                <w:rFonts w:hint="default" w:asciiTheme="minorEastAsia" w:hAnsiTheme="minorEastAsia" w:eastAsiaTheme="minorEastAsia" w:cstheme="minorEastAsia"/>
                <w:color w:val="auto"/>
                <w:sz w:val="21"/>
                <w:szCs w:val="21"/>
              </w:rPr>
              <w:t>2.（a）企业具有</w:t>
            </w:r>
            <w:r>
              <w:rPr>
                <w:rStyle w:val="45"/>
                <w:rFonts w:hint="default" w:asciiTheme="minorEastAsia" w:hAnsiTheme="minorEastAsia" w:eastAsiaTheme="minorEastAsia" w:cstheme="minorEastAsia"/>
                <w:color w:val="auto"/>
              </w:rPr>
              <w:t>±</w:t>
            </w:r>
            <w:r>
              <w:rPr>
                <w:rStyle w:val="56"/>
                <w:rFonts w:hint="default" w:asciiTheme="minorEastAsia" w:hAnsiTheme="minorEastAsia" w:eastAsiaTheme="minorEastAsia" w:cstheme="minorEastAsia"/>
                <w:color w:val="auto"/>
                <w:sz w:val="21"/>
                <w:szCs w:val="21"/>
              </w:rPr>
              <w:t>800kV及以上换流站或1000kV变电站工程桩基施工业绩的，每项业绩得2分；</w:t>
            </w:r>
            <w:r>
              <w:rPr>
                <w:rStyle w:val="56"/>
                <w:rFonts w:hint="default" w:asciiTheme="minorEastAsia" w:hAnsiTheme="minorEastAsia" w:eastAsiaTheme="minorEastAsia" w:cstheme="minorEastAsia"/>
                <w:color w:val="auto"/>
                <w:sz w:val="21"/>
                <w:szCs w:val="21"/>
              </w:rPr>
              <w:br w:type="textWrapping"/>
            </w:r>
            <w:r>
              <w:rPr>
                <w:rStyle w:val="56"/>
                <w:rFonts w:hint="default" w:asciiTheme="minorEastAsia" w:hAnsiTheme="minorEastAsia" w:eastAsiaTheme="minorEastAsia" w:cstheme="minorEastAsia"/>
                <w:color w:val="auto"/>
                <w:sz w:val="21"/>
                <w:szCs w:val="21"/>
              </w:rPr>
              <w:t>（b）企业具有±400kV及以上、±800kV以下换流站或500kV及以上、1000kV以下变电站工程桩基施工业绩的，每项业绩得1.5分。</w:t>
            </w:r>
          </w:p>
          <w:p>
            <w:pPr>
              <w:widowControl/>
              <w:snapToGrid w:val="0"/>
              <w:textAlignment w:val="center"/>
              <w:rPr>
                <w:rFonts w:asciiTheme="minorEastAsia" w:hAnsiTheme="minorEastAsia" w:eastAsiaTheme="minorEastAsia" w:cstheme="minorEastAsia"/>
                <w:color w:val="auto"/>
                <w:szCs w:val="21"/>
              </w:rPr>
            </w:pPr>
            <w:r>
              <w:rPr>
                <w:rStyle w:val="44"/>
                <w:rFonts w:hint="default" w:asciiTheme="minorEastAsia" w:hAnsiTheme="minorEastAsia" w:eastAsiaTheme="minorEastAsia" w:cstheme="minorEastAsia"/>
                <w:color w:val="auto"/>
                <w:szCs w:val="21"/>
              </w:rPr>
              <w:t>备注：条件a和b总得分不得超过12分。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工程实施条件分析</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（5分）</w:t>
            </w:r>
          </w:p>
        </w:tc>
        <w:tc>
          <w:tcPr>
            <w:tcW w:w="3420" w:type="pct"/>
            <w:vAlign w:val="center"/>
          </w:tcPr>
          <w:p>
            <w:pPr>
              <w:widowControl/>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工程概况与工程实施条件调查及分析（2分）：工程概况、工程性质、工程规模、工期要求、布置形式描述正确，工程涉及的主要单位、施工内容、施工依据。（论述齐全无错漏，2分；每1项论述不充分描述不合理，扣0.5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对工程特点、难点的理解与把握（3分）（特点、难点理解分析描述正确说明详实，3分；每1项描述不充分，说明不详实，扣1分，扣完为止。）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Style w:val="47"/>
                <w:rFonts w:hint="default" w:asciiTheme="minorEastAsia" w:hAnsiTheme="minorEastAsia" w:eastAsiaTheme="minorEastAsia" w:cstheme="minorEastAsia"/>
                <w:bCs/>
                <w:color w:val="auto"/>
                <w:sz w:val="21"/>
                <w:szCs w:val="21"/>
              </w:rPr>
            </w:pPr>
            <w:r>
              <w:rPr>
                <w:rStyle w:val="47"/>
                <w:rFonts w:hint="default" w:asciiTheme="minorEastAsia" w:hAnsiTheme="minorEastAsia" w:eastAsiaTheme="minorEastAsia" w:cstheme="minorEastAsia"/>
                <w:bCs/>
                <w:color w:val="auto"/>
                <w:sz w:val="21"/>
                <w:szCs w:val="21"/>
              </w:rPr>
              <w:t>施工方案与资源配置</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Style w:val="56"/>
                <w:rFonts w:hint="default" w:asciiTheme="minorEastAsia" w:hAnsiTheme="minorEastAsia" w:eastAsiaTheme="minorEastAsia" w:cstheme="minorEastAsia"/>
                <w:bCs/>
                <w:color w:val="auto"/>
                <w:sz w:val="21"/>
                <w:szCs w:val="21"/>
              </w:rPr>
              <w:t>（</w:t>
            </w:r>
            <w:r>
              <w:rPr>
                <w:rFonts w:hint="eastAsia" w:asciiTheme="minorEastAsia" w:hAnsiTheme="minorEastAsia" w:eastAsiaTheme="minorEastAsia" w:cstheme="minorEastAsia"/>
                <w:bCs/>
                <w:color w:val="auto"/>
                <w:kern w:val="0"/>
                <w:szCs w:val="21"/>
              </w:rPr>
              <w:t>11分</w:t>
            </w:r>
            <w:r>
              <w:rPr>
                <w:rStyle w:val="56"/>
                <w:rFonts w:hint="default" w:asciiTheme="minorEastAsia" w:hAnsiTheme="minorEastAsia" w:eastAsiaTheme="minorEastAsia" w:cstheme="minorEastAsia"/>
                <w:bCs/>
                <w:color w:val="auto"/>
                <w:sz w:val="21"/>
                <w:szCs w:val="21"/>
              </w:rPr>
              <w:t>）</w:t>
            </w:r>
          </w:p>
        </w:tc>
        <w:tc>
          <w:tcPr>
            <w:tcW w:w="3420" w:type="pct"/>
            <w:vAlign w:val="center"/>
          </w:tcPr>
          <w:p>
            <w:pPr>
              <w:widowControl/>
              <w:snapToGrid w:val="0"/>
              <w:textAlignment w:val="center"/>
              <w:rPr>
                <w:rFonts w:asciiTheme="minorEastAsia" w:hAnsiTheme="minorEastAsia" w:eastAsiaTheme="minorEastAsia" w:cstheme="minorEastAsia"/>
                <w:color w:val="auto"/>
                <w:szCs w:val="21"/>
              </w:rPr>
            </w:pPr>
            <w:r>
              <w:rPr>
                <w:rStyle w:val="56"/>
                <w:rFonts w:hint="default" w:asciiTheme="minorEastAsia" w:hAnsiTheme="minorEastAsia" w:eastAsiaTheme="minorEastAsia" w:cstheme="minorEastAsia"/>
                <w:color w:val="auto"/>
                <w:sz w:val="21"/>
                <w:szCs w:val="21"/>
              </w:rPr>
              <w:t>施工方案（8分）</w:t>
            </w:r>
            <w:r>
              <w:rPr>
                <w:rStyle w:val="47"/>
                <w:rFonts w:hint="default" w:asciiTheme="minorEastAsia" w:hAnsiTheme="minorEastAsia" w:eastAsiaTheme="minorEastAsia" w:cstheme="minorEastAsia"/>
                <w:color w:val="auto"/>
                <w:sz w:val="21"/>
                <w:szCs w:val="21"/>
              </w:rPr>
              <w:t>（主要工序和特殊工序的施工方法选用合理、结合工程所在地分析针对性强，施工力量配置、材料准备、施工机具配置、进度计划满足要求、内容详实得</w:t>
            </w:r>
            <w:r>
              <w:rPr>
                <w:rStyle w:val="56"/>
                <w:rFonts w:hint="default" w:asciiTheme="minorEastAsia" w:hAnsiTheme="minorEastAsia" w:eastAsiaTheme="minorEastAsia" w:cstheme="minorEastAsia"/>
                <w:color w:val="auto"/>
                <w:sz w:val="21"/>
                <w:szCs w:val="21"/>
              </w:rPr>
              <w:t>8分</w:t>
            </w:r>
            <w:r>
              <w:rPr>
                <w:rStyle w:val="47"/>
                <w:rFonts w:hint="default" w:asciiTheme="minorEastAsia" w:hAnsiTheme="minorEastAsia" w:eastAsiaTheme="minorEastAsia" w:cstheme="minorEastAsia"/>
                <w:color w:val="auto"/>
                <w:sz w:val="21"/>
                <w:szCs w:val="21"/>
              </w:rPr>
              <w:t>，主要工序施工方法描述不详实、不合理扣2分，季节性施工、特殊施工未结合工程所在地分析扣2分，施工资源投入计划不满足进度计划及招标文件要求扣1分。）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施工机具配置及技术导向响应（3分）（未针对工程特点及承包范围编制全过程机械化施工方案扣1分，未提供施工设备表、工器具及试验检测仪器设备表扣1分，提供的机械、设备仪器信息不全、未结合实际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Style w:val="47"/>
                <w:rFonts w:hint="default" w:asciiTheme="minorEastAsia" w:hAnsiTheme="minorEastAsia" w:eastAsiaTheme="minorEastAsia" w:cstheme="minorEastAsia"/>
                <w:bCs/>
                <w:color w:val="auto"/>
                <w:sz w:val="21"/>
                <w:szCs w:val="21"/>
              </w:rPr>
            </w:pPr>
            <w:r>
              <w:rPr>
                <w:rStyle w:val="47"/>
                <w:rFonts w:hint="default" w:asciiTheme="minorEastAsia" w:hAnsiTheme="minorEastAsia" w:eastAsiaTheme="minorEastAsia" w:cstheme="minorEastAsia"/>
                <w:bCs/>
                <w:color w:val="auto"/>
                <w:sz w:val="21"/>
                <w:szCs w:val="21"/>
              </w:rPr>
              <w:t>工期与进度计划</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Style w:val="56"/>
                <w:rFonts w:hint="default" w:asciiTheme="minorEastAsia" w:hAnsiTheme="minorEastAsia" w:eastAsiaTheme="minorEastAsia" w:cstheme="minorEastAsia"/>
                <w:bCs/>
                <w:color w:val="auto"/>
                <w:sz w:val="21"/>
                <w:szCs w:val="21"/>
              </w:rPr>
              <w:t>（4分）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目标与进度计划（2分）（有针对性提供工程目标、进度计划的，2分，所提供工程目标、进度计划不齐全，扣1分）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工程综合进度保证措施（2分）（有针对性提供进度保证措施内容，2分；所提供进度保证措施不齐全，扣1分。）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2</w:t>
            </w:r>
          </w:p>
        </w:tc>
        <w:tc>
          <w:tcPr>
            <w:tcW w:w="453"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团队配置</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（15分）</w:t>
            </w:r>
          </w:p>
        </w:tc>
        <w:tc>
          <w:tcPr>
            <w:tcW w:w="791" w:type="pc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施工项目管理组织机构</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（12分）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Style w:val="56"/>
                <w:rFonts w:hint="default" w:asciiTheme="minorEastAsia" w:hAnsiTheme="minorEastAsia" w:eastAsiaTheme="minorEastAsia" w:cstheme="minorEastAsia"/>
                <w:color w:val="auto"/>
                <w:sz w:val="21"/>
                <w:szCs w:val="21"/>
              </w:rPr>
              <w:t>项目组织机构（2分）（机构职责齐全、人员配置高于招标文件要求，2分；机构职责齐全、人员配置齐全、满足招标文件要求，1分。）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项目团队履责能力（10分）（按照以下规则累计积分，最高10分）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1）项目经理具有800kV及以上换流站或1000kV变电站或</w:t>
            </w:r>
            <w:r>
              <w:rPr>
                <w:rFonts w:hint="eastAsia" w:asciiTheme="minorEastAsia" w:hAnsiTheme="minorEastAsia" w:eastAsiaTheme="minorEastAsia" w:cstheme="minorEastAsia"/>
                <w:color w:val="auto"/>
                <w:kern w:val="0"/>
                <w:szCs w:val="21"/>
              </w:rPr>
              <w:t>单台容量300MW及以上发电厂</w:t>
            </w:r>
            <w:r>
              <w:rPr>
                <w:rStyle w:val="47"/>
                <w:rFonts w:hint="default" w:asciiTheme="minorEastAsia" w:hAnsiTheme="minorEastAsia" w:eastAsiaTheme="minorEastAsia" w:cstheme="minorEastAsia"/>
                <w:color w:val="auto"/>
                <w:sz w:val="21"/>
                <w:szCs w:val="21"/>
              </w:rPr>
              <w:t>自开工至工程竣工整个工程项目经理业绩，一级建造师证书所涉及专业与招标承包范围内容专业相符的，每项得5分；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2）项目经理具有800kV 及以上换流站或1000kV变电站或</w:t>
            </w:r>
            <w:r>
              <w:rPr>
                <w:rFonts w:hint="eastAsia" w:asciiTheme="minorEastAsia" w:hAnsiTheme="minorEastAsia" w:eastAsiaTheme="minorEastAsia" w:cstheme="minorEastAsia"/>
                <w:color w:val="auto"/>
                <w:kern w:val="0"/>
                <w:szCs w:val="21"/>
              </w:rPr>
              <w:t>单台容量300MW及以上发电厂</w:t>
            </w:r>
            <w:r>
              <w:rPr>
                <w:rStyle w:val="47"/>
                <w:rFonts w:hint="default" w:asciiTheme="minorEastAsia" w:hAnsiTheme="minorEastAsia" w:eastAsiaTheme="minorEastAsia" w:cstheme="minorEastAsia"/>
                <w:color w:val="auto"/>
                <w:sz w:val="21"/>
                <w:szCs w:val="21"/>
              </w:rPr>
              <w:t>自开工至工程竣工整个工程项目副经理或项目总工业绩的，每项得4分；</w:t>
            </w:r>
            <w:r>
              <w:rPr>
                <w:rStyle w:val="47"/>
                <w:rFonts w:hint="default" w:asciiTheme="minorEastAsia" w:hAnsiTheme="minorEastAsia" w:eastAsiaTheme="minorEastAsia" w:cstheme="minorEastAsia"/>
                <w:color w:val="auto"/>
                <w:sz w:val="21"/>
                <w:szCs w:val="21"/>
              </w:rPr>
              <w:br w:type="textWrapping"/>
            </w:r>
            <w:r>
              <w:rPr>
                <w:rStyle w:val="47"/>
                <w:rFonts w:hint="default" w:asciiTheme="minorEastAsia" w:hAnsiTheme="minorEastAsia" w:eastAsiaTheme="minorEastAsia" w:cstheme="minorEastAsia"/>
                <w:color w:val="auto"/>
                <w:sz w:val="21"/>
                <w:szCs w:val="21"/>
              </w:rPr>
              <w:t>3）项目经理具有±400kV及以上、±800kV以下换流站或500kV及以上、1000kV以下变电站工程工程自开工至工程竣工整个工程项目经理（项目副经理或项目总工）业绩，每项得2分；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分包管理</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（3分）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分包计划与分包管理的措施（3分）（明确提出分包计划、分包类型、分包内容、分包金额及相应管理措施，3分；分包计划、范围、管理措施有漏项的，扣1分。）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3</w:t>
            </w:r>
          </w:p>
        </w:tc>
        <w:tc>
          <w:tcPr>
            <w:tcW w:w="453"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安全质量控制</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（15分）</w:t>
            </w:r>
          </w:p>
        </w:tc>
        <w:tc>
          <w:tcPr>
            <w:tcW w:w="791" w:type="pct"/>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安全管控措施</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（5分）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安全管理组织机构、职责及管理制度（2分）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（目标合理，机构健全，职责清晰，制度完备，2分，每1项论述不充分，扣1分。）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安全组织技术措施、实施方案、考核办法、管理方法（2分）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（措施全面可靠、考核办法及管理办法完备，2分；每1项论述不充分，扣1分。）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重要施工方案及特殊施工工序的安全过程控制（1分）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（编制专项安全过程控制措施，措施合理可靠，1分；每1项论述不充分，扣0.5分。）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质量管控措施</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（5分）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质量目标及管理体系（2分）</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目标合理，机构健全，质量体系完善，措施有针对性得2分；目标合理，机构健全，质量体系较完善，措施有针对性得1分；目标不合理，机构不健全，管理组织机构不健全，质量体系不完善，措施无针对性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Style w:val="47"/>
                <w:rFonts w:hint="default" w:asciiTheme="minorEastAsia" w:hAnsiTheme="minorEastAsia" w:eastAsiaTheme="minorEastAsia" w:cstheme="minorEastAsia"/>
                <w:color w:val="auto"/>
                <w:sz w:val="21"/>
                <w:szCs w:val="21"/>
              </w:rPr>
              <w:t>针对性的质量控制措施与质量提升（1分）（质量管理措施齐全有效，有针对性得</w:t>
            </w:r>
            <w:r>
              <w:rPr>
                <w:rStyle w:val="46"/>
                <w:rFonts w:hint="default" w:asciiTheme="minorEastAsia" w:hAnsiTheme="minorEastAsia" w:eastAsiaTheme="minorEastAsia" w:cstheme="minorEastAsia"/>
                <w:color w:val="auto"/>
                <w:szCs w:val="21"/>
              </w:rPr>
              <w:t>1</w:t>
            </w:r>
            <w:r>
              <w:rPr>
                <w:rStyle w:val="47"/>
                <w:rFonts w:hint="default" w:asciiTheme="minorEastAsia" w:hAnsiTheme="minorEastAsia" w:eastAsiaTheme="minorEastAsia" w:cstheme="minorEastAsia"/>
                <w:color w:val="auto"/>
                <w:sz w:val="21"/>
                <w:szCs w:val="21"/>
              </w:rPr>
              <w:t>分；质量管理措施不齐全，针对性不强得0分。）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成品保护措施（1分）（成品保护措施编制不合理，针对性不强扣1分）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标准工艺应用（1分）（标准工艺应用计划编制不合理，针对性不强扣1分）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绿色施工方案</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（3分）</w:t>
            </w:r>
          </w:p>
        </w:tc>
        <w:tc>
          <w:tcPr>
            <w:tcW w:w="3420" w:type="pct"/>
            <w:vAlign w:val="center"/>
          </w:tcPr>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对建立绿色施工管理体系，制定绿色施工方案，在施工过程中统筹考虑环境保护措施，节能减排措施，节地与施工用地保护措施、绿色施工工艺等情况进行评价：</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优：科学、可行、针对性强得3分；</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良：合理、可行、细节待完善得2分；</w:t>
            </w:r>
          </w:p>
          <w:p>
            <w:pPr>
              <w:pStyle w:val="5"/>
              <w:snapToGrid w:val="0"/>
              <w:ind w:firstLine="0"/>
              <w:jc w:val="left"/>
              <w:rPr>
                <w:rFonts w:hint="default" w:asciiTheme="minorEastAsia" w:hAnsiTheme="minorEastAsia" w:eastAsiaTheme="minorEastAsia" w:cstheme="minorEastAsia"/>
                <w:color w:val="auto"/>
                <w:szCs w:val="21"/>
              </w:rPr>
            </w:pPr>
            <w:r>
              <w:rPr>
                <w:rFonts w:hint="default" w:asciiTheme="minorEastAsia" w:hAnsiTheme="minorEastAsia" w:eastAsiaTheme="minorEastAsia" w:cstheme="minorEastAsia"/>
                <w:color w:val="auto"/>
                <w:szCs w:val="21"/>
              </w:rPr>
              <w:t>一般：欠合理，可行性较差，基本满足工程需要得1分。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restar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环水保及文明施工措施</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（2分）</w:t>
            </w:r>
          </w:p>
        </w:tc>
        <w:tc>
          <w:tcPr>
            <w:tcW w:w="3420" w:type="pct"/>
            <w:vAlign w:val="center"/>
          </w:tcPr>
          <w:p>
            <w:pPr>
              <w:widowControl/>
              <w:snapToGrid w:val="0"/>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针对性的环水保控制、文明施工措施（1分）（措施具体、针对性不强扣1分）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环境保护费、文明施工费等用途与计划（1分）（用途与计划不具体、针对性不强扣1分）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334"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4</w:t>
            </w:r>
          </w:p>
        </w:tc>
        <w:tc>
          <w:tcPr>
            <w:tcW w:w="453" w:type="pct"/>
            <w:vMerge w:val="restar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综合评价</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（10分）</w:t>
            </w:r>
          </w:p>
        </w:tc>
        <w:tc>
          <w:tcPr>
            <w:tcW w:w="791" w:type="pct"/>
            <w:vMerge w:val="restart"/>
            <w:vAlign w:val="center"/>
          </w:tcPr>
          <w:p>
            <w:pPr>
              <w:widowControl/>
              <w:snapToGrid w:val="0"/>
              <w:jc w:val="center"/>
              <w:textAlignment w:val="center"/>
              <w:rPr>
                <w:rStyle w:val="47"/>
                <w:rFonts w:hint="default" w:asciiTheme="minorEastAsia" w:hAnsiTheme="minorEastAsia" w:eastAsiaTheme="minorEastAsia" w:cstheme="minorEastAsia"/>
                <w:bCs/>
                <w:color w:val="auto"/>
                <w:sz w:val="21"/>
                <w:szCs w:val="21"/>
              </w:rPr>
            </w:pPr>
            <w:r>
              <w:rPr>
                <w:rStyle w:val="47"/>
                <w:rFonts w:hint="default" w:asciiTheme="minorEastAsia" w:hAnsiTheme="minorEastAsia" w:eastAsiaTheme="minorEastAsia" w:cstheme="minorEastAsia"/>
                <w:bCs/>
                <w:color w:val="auto"/>
                <w:sz w:val="21"/>
                <w:szCs w:val="21"/>
              </w:rPr>
              <w:t>综合管理</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Style w:val="56"/>
                <w:rFonts w:hint="default" w:asciiTheme="minorEastAsia" w:hAnsiTheme="minorEastAsia" w:eastAsiaTheme="minorEastAsia" w:cstheme="minorEastAsia"/>
                <w:bCs/>
                <w:color w:val="auto"/>
                <w:sz w:val="21"/>
                <w:szCs w:val="21"/>
              </w:rPr>
              <w:t>（4分）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规范化开工（1分）（标准化开工清单及计划编制不具体、针对性不强扣1分）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施工管理体系（1分）（管理体系编制不具体、针对性不强扣1分）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施工科技创新（1分）（未编制五新技术、装配式技术、BIM技术应用内容，或编制针对性不详实、内容不具体扣1分）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Merge w:val="continue"/>
            <w:vAlign w:val="center"/>
          </w:tcPr>
          <w:p>
            <w:pPr>
              <w:snapToGrid w:val="0"/>
              <w:jc w:val="center"/>
              <w:rPr>
                <w:rFonts w:asciiTheme="minorEastAsia" w:hAnsiTheme="minorEastAsia" w:eastAsiaTheme="minorEastAsia" w:cstheme="minorEastAsia"/>
                <w:bCs/>
                <w:color w:val="auto"/>
                <w:spacing w:val="10"/>
                <w:kern w:val="0"/>
                <w:szCs w:val="21"/>
              </w:rPr>
            </w:pP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资料档案管理（1分）（措施具体，针对性强，1分）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334"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453" w:type="pct"/>
            <w:vMerge w:val="continue"/>
            <w:vAlign w:val="center"/>
          </w:tcPr>
          <w:p>
            <w:pPr>
              <w:snapToGrid w:val="0"/>
              <w:jc w:val="center"/>
              <w:rPr>
                <w:rFonts w:asciiTheme="minorEastAsia" w:hAnsiTheme="minorEastAsia" w:eastAsiaTheme="minorEastAsia" w:cstheme="minorEastAsia"/>
                <w:color w:val="auto"/>
                <w:spacing w:val="10"/>
                <w:kern w:val="0"/>
                <w:szCs w:val="21"/>
              </w:rPr>
            </w:pPr>
          </w:p>
        </w:tc>
        <w:tc>
          <w:tcPr>
            <w:tcW w:w="791" w:type="pct"/>
            <w:vAlign w:val="center"/>
          </w:tcPr>
          <w:p>
            <w:pPr>
              <w:snapToGrid w:val="0"/>
              <w:jc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整体评价</w:t>
            </w:r>
          </w:p>
          <w:p>
            <w:pPr>
              <w:snapToGrid w:val="0"/>
              <w:jc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（6分）</w:t>
            </w:r>
          </w:p>
        </w:tc>
        <w:tc>
          <w:tcPr>
            <w:tcW w:w="3420" w:type="pct"/>
            <w:vAlign w:val="center"/>
          </w:tcPr>
          <w:p/>
          <w:p>
            <w:pPr>
              <w:widowControl/>
              <w:snapToGrid w:val="0"/>
              <w:textAlignment w:val="center"/>
              <w:rPr>
                <w:rFonts w:asciiTheme="minorEastAsia" w:hAnsiTheme="minorEastAsia" w:eastAsiaTheme="minorEastAsia" w:cstheme="minorEastAsia"/>
                <w:color w:val="auto"/>
                <w:spacing w:val="10"/>
                <w:kern w:val="0"/>
                <w:szCs w:val="21"/>
              </w:rPr>
            </w:pPr>
            <w:r>
              <w:rPr>
                <w:rStyle w:val="56"/>
                <w:rFonts w:hint="default" w:asciiTheme="minorEastAsia" w:hAnsiTheme="minorEastAsia" w:eastAsiaTheme="minorEastAsia" w:cstheme="minorEastAsia"/>
                <w:color w:val="auto"/>
                <w:sz w:val="21"/>
                <w:szCs w:val="21"/>
              </w:rPr>
              <w:t>类似工程经验（</w:t>
            </w:r>
            <w:r>
              <w:rPr>
                <w:rStyle w:val="56"/>
                <w:rFonts w:hint="eastAsia" w:asciiTheme="minorEastAsia" w:hAnsiTheme="minorEastAsia" w:eastAsiaTheme="minorEastAsia" w:cstheme="minorEastAsia"/>
                <w:color w:val="auto"/>
                <w:sz w:val="21"/>
                <w:szCs w:val="21"/>
                <w:lang w:val="en-US" w:eastAsia="zh-CN"/>
              </w:rPr>
              <w:t>6</w:t>
            </w:r>
            <w:r>
              <w:rPr>
                <w:rStyle w:val="56"/>
                <w:rFonts w:hint="default" w:asciiTheme="minorEastAsia" w:hAnsiTheme="minorEastAsia" w:eastAsiaTheme="minorEastAsia" w:cstheme="minorEastAsia"/>
                <w:color w:val="auto"/>
                <w:sz w:val="21"/>
                <w:szCs w:val="21"/>
              </w:rPr>
              <w:t>分）</w:t>
            </w:r>
            <w:r>
              <w:rPr>
                <w:rStyle w:val="47"/>
                <w:rFonts w:hint="default" w:asciiTheme="minorEastAsia" w:hAnsiTheme="minorEastAsia" w:eastAsiaTheme="minorEastAsia" w:cstheme="minorEastAsia"/>
                <w:color w:val="auto"/>
                <w:sz w:val="21"/>
                <w:szCs w:val="21"/>
              </w:rPr>
              <w:t>（提供建设环境、系统条件与所招标工程相同或接近的工程的中标通知书、合同签署页及封面、业主评价书面意见）经验丰富的得6-5分，经验一般的得4-3分；经验较少的得2-1分</w:t>
            </w:r>
            <w:r>
              <w:rPr>
                <w:rStyle w:val="47"/>
                <w:rFonts w:hint="eastAsia" w:asciiTheme="minorEastAsia" w:hAnsiTheme="minorEastAsia" w:eastAsiaTheme="minorEastAsia" w:cstheme="minorEastAsia"/>
                <w:color w:val="auto"/>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334" w:type="pc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b/>
                <w:bCs/>
                <w:color w:val="auto"/>
                <w:kern w:val="0"/>
                <w:szCs w:val="21"/>
              </w:rPr>
              <w:t>5</w:t>
            </w:r>
          </w:p>
        </w:tc>
        <w:tc>
          <w:tcPr>
            <w:tcW w:w="453" w:type="pct"/>
            <w:vAlign w:val="center"/>
          </w:tcPr>
          <w:p>
            <w:pPr>
              <w:widowControl/>
              <w:snapToGrid w:val="0"/>
              <w:jc w:val="center"/>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绩效评价</w:t>
            </w:r>
            <w:r>
              <w:rPr>
                <w:rFonts w:hint="eastAsia" w:asciiTheme="minorEastAsia" w:hAnsiTheme="minorEastAsia" w:eastAsiaTheme="minorEastAsia" w:cstheme="minorEastAsia"/>
                <w:color w:val="auto"/>
                <w:kern w:val="0"/>
                <w:szCs w:val="21"/>
              </w:rPr>
              <w:br w:type="textWrapping"/>
            </w:r>
            <w:r>
              <w:rPr>
                <w:rFonts w:hint="eastAsia" w:asciiTheme="minorEastAsia" w:hAnsiTheme="minorEastAsia" w:eastAsiaTheme="minorEastAsia" w:cstheme="minorEastAsia"/>
                <w:color w:val="auto"/>
                <w:kern w:val="0"/>
                <w:szCs w:val="21"/>
              </w:rPr>
              <w:t>（25分）</w:t>
            </w:r>
          </w:p>
        </w:tc>
        <w:tc>
          <w:tcPr>
            <w:tcW w:w="791" w:type="pct"/>
            <w:vAlign w:val="center"/>
          </w:tcPr>
          <w:p>
            <w:pPr>
              <w:widowControl/>
              <w:snapToGrid w:val="0"/>
              <w:jc w:val="center"/>
              <w:textAlignment w:val="center"/>
              <w:rPr>
                <w:rFonts w:asciiTheme="minorEastAsia" w:hAnsiTheme="minorEastAsia" w:eastAsiaTheme="minorEastAsia" w:cstheme="minorEastAsia"/>
                <w:bCs/>
                <w:color w:val="auto"/>
                <w:kern w:val="0"/>
                <w:szCs w:val="21"/>
              </w:rPr>
            </w:pPr>
            <w:r>
              <w:rPr>
                <w:rFonts w:hint="eastAsia" w:asciiTheme="minorEastAsia" w:hAnsiTheme="minorEastAsia" w:eastAsiaTheme="minorEastAsia" w:cstheme="minorEastAsia"/>
                <w:bCs/>
                <w:color w:val="auto"/>
                <w:kern w:val="0"/>
                <w:szCs w:val="21"/>
              </w:rPr>
              <w:t>绩效评价</w:t>
            </w:r>
          </w:p>
          <w:p>
            <w:pPr>
              <w:widowControl/>
              <w:snapToGrid w:val="0"/>
              <w:jc w:val="center"/>
              <w:textAlignment w:val="center"/>
              <w:rPr>
                <w:rFonts w:asciiTheme="minorEastAsia" w:hAnsiTheme="minorEastAsia" w:eastAsiaTheme="minorEastAsia" w:cstheme="minorEastAsia"/>
                <w:bCs/>
                <w:color w:val="auto"/>
                <w:spacing w:val="10"/>
                <w:kern w:val="0"/>
                <w:szCs w:val="21"/>
              </w:rPr>
            </w:pPr>
            <w:r>
              <w:rPr>
                <w:rFonts w:hint="eastAsia" w:asciiTheme="minorEastAsia" w:hAnsiTheme="minorEastAsia" w:eastAsiaTheme="minorEastAsia" w:cstheme="minorEastAsia"/>
                <w:bCs/>
                <w:color w:val="auto"/>
                <w:kern w:val="0"/>
                <w:szCs w:val="21"/>
              </w:rPr>
              <w:t>（25分）</w:t>
            </w:r>
          </w:p>
        </w:tc>
        <w:tc>
          <w:tcPr>
            <w:tcW w:w="3420" w:type="pct"/>
            <w:vAlign w:val="center"/>
          </w:tcPr>
          <w:p>
            <w:pPr>
              <w:widowControl/>
              <w:snapToGrid w:val="0"/>
              <w:textAlignment w:val="center"/>
              <w:rPr>
                <w:rFonts w:asciiTheme="minorEastAsia" w:hAnsiTheme="minorEastAsia" w:eastAsiaTheme="minorEastAsia" w:cstheme="minorEastAsia"/>
                <w:color w:val="auto"/>
                <w:spacing w:val="10"/>
                <w:kern w:val="0"/>
                <w:szCs w:val="21"/>
              </w:rPr>
            </w:pPr>
            <w:r>
              <w:rPr>
                <w:rFonts w:hint="eastAsia" w:asciiTheme="minorEastAsia" w:hAnsiTheme="minorEastAsia" w:eastAsiaTheme="minorEastAsia" w:cstheme="minorEastAsia"/>
                <w:color w:val="auto"/>
                <w:kern w:val="0"/>
                <w:szCs w:val="21"/>
              </w:rPr>
              <w:t>按综合绩效评价得分*0.25计算，对于无绩效评价的投标人，根据投标文件中资源实力等相关信息进行综合评价打分。（得分按四舍五入保留两位小数）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334" w:type="pct"/>
            <w:vAlign w:val="center"/>
          </w:tcPr>
          <w:p>
            <w:pPr>
              <w:widowControl/>
              <w:snapToGrid w:val="0"/>
              <w:jc w:val="center"/>
              <w:rPr>
                <w:rFonts w:ascii="宋体" w:hAnsi="宋体" w:eastAsia="宋体" w:cs="宋体"/>
                <w:color w:val="auto"/>
                <w:szCs w:val="21"/>
              </w:rPr>
            </w:pPr>
            <w:r>
              <w:rPr>
                <w:rFonts w:hint="eastAsia" w:ascii="宋体" w:hAnsi="宋体" w:eastAsia="宋体" w:cs="宋体"/>
                <w:b/>
                <w:bCs/>
                <w:color w:val="auto"/>
                <w:kern w:val="0"/>
                <w:szCs w:val="21"/>
              </w:rPr>
              <w:t>6</w:t>
            </w:r>
          </w:p>
        </w:tc>
        <w:tc>
          <w:tcPr>
            <w:tcW w:w="453" w:type="pct"/>
            <w:vAlign w:val="center"/>
          </w:tcPr>
          <w:p>
            <w:pPr>
              <w:widowControl/>
              <w:snapToGrid w:val="0"/>
              <w:jc w:val="center"/>
              <w:textAlignment w:val="center"/>
              <w:rPr>
                <w:rFonts w:ascii="宋体" w:hAnsi="宋体" w:eastAsia="宋体" w:cs="宋体"/>
                <w:color w:val="auto"/>
                <w:szCs w:val="21"/>
              </w:rPr>
            </w:pPr>
            <w:r>
              <w:rPr>
                <w:rFonts w:hint="eastAsia" w:ascii="宋体" w:hAnsi="宋体" w:eastAsia="宋体" w:cs="宋体"/>
                <w:b/>
                <w:bCs/>
                <w:color w:val="auto"/>
                <w:kern w:val="0"/>
                <w:szCs w:val="21"/>
              </w:rPr>
              <w:t>风险评价</w:t>
            </w:r>
          </w:p>
        </w:tc>
        <w:tc>
          <w:tcPr>
            <w:tcW w:w="791" w:type="pct"/>
            <w:vAlign w:val="center"/>
          </w:tcPr>
          <w:p>
            <w:pPr>
              <w:widowControl/>
              <w:snapToGrid w:val="0"/>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风险评价</w:t>
            </w:r>
          </w:p>
          <w:p>
            <w:pPr>
              <w:widowControl/>
              <w:snapToGrid w:val="0"/>
              <w:jc w:val="center"/>
              <w:textAlignment w:val="center"/>
              <w:rPr>
                <w:rFonts w:ascii="宋体" w:hAnsi="宋体" w:eastAsia="宋体" w:cs="宋体"/>
                <w:color w:val="auto"/>
                <w:szCs w:val="21"/>
              </w:rPr>
            </w:pPr>
            <w:r>
              <w:rPr>
                <w:rFonts w:hint="eastAsia" w:ascii="宋体" w:hAnsi="宋体" w:eastAsia="宋体" w:cs="宋体"/>
                <w:color w:val="auto"/>
                <w:kern w:val="0"/>
                <w:szCs w:val="21"/>
              </w:rPr>
              <w:t>（-20-0）</w:t>
            </w:r>
          </w:p>
        </w:tc>
        <w:tc>
          <w:tcPr>
            <w:tcW w:w="3420" w:type="pct"/>
            <w:vAlign w:val="center"/>
          </w:tcPr>
          <w:p>
            <w:pPr>
              <w:widowControl/>
              <w:snapToGrid w:val="0"/>
              <w:rPr>
                <w:rFonts w:ascii="宋体" w:hAnsi="宋体" w:eastAsia="宋体" w:cs="宋体"/>
                <w:color w:val="auto"/>
                <w:szCs w:val="21"/>
              </w:rPr>
            </w:pPr>
            <w:r>
              <w:rPr>
                <w:rFonts w:hint="eastAsia" w:ascii="宋体" w:hAnsi="宋体" w:eastAsia="宋体" w:cs="宋体"/>
                <w:color w:val="auto"/>
                <w:kern w:val="0"/>
                <w:szCs w:val="21"/>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rPr>
            </w:pPr>
            <w:r>
              <w:rPr>
                <w:rFonts w:hint="eastAsia" w:ascii="宋体" w:hAnsi="宋体" w:eastAsia="宋体" w:cs="宋体"/>
                <w:color w:val="auto"/>
                <w:kern w:val="0"/>
                <w:szCs w:val="21"/>
              </w:rPr>
              <w:t>无上述情形的，不扣分。</w:t>
            </w:r>
          </w:p>
        </w:tc>
      </w:tr>
    </w:tbl>
    <w:p>
      <w:pPr>
        <w:pStyle w:val="17"/>
        <w:snapToGrid w:val="0"/>
        <w:spacing w:after="0" w:line="560" w:lineRule="exact"/>
        <w:ind w:firstLine="640" w:firstLineChars="200"/>
        <w:jc w:val="left"/>
        <w:rPr>
          <w:rFonts w:ascii="方正仿宋_GBK" w:hAnsi="方正仿宋_GBK" w:eastAsia="方正仿宋_GBK" w:cs="方正仿宋_GBK"/>
          <w:bCs/>
          <w:color w:val="auto"/>
          <w:sz w:val="32"/>
          <w:szCs w:val="32"/>
          <w:highlight w:val="none"/>
        </w:rPr>
      </w:pPr>
      <w:r>
        <w:rPr>
          <w:rFonts w:hint="eastAsia" w:ascii="方正仿宋_GBK" w:hAnsi="方正仿宋_GBK" w:eastAsia="方正仿宋_GBK" w:cs="方正仿宋_GBK"/>
          <w:bCs/>
          <w:color w:val="auto"/>
          <w:sz w:val="32"/>
          <w:szCs w:val="32"/>
          <w:highlight w:val="none"/>
        </w:rPr>
        <w:t>光纤通信施工</w:t>
      </w:r>
    </w:p>
    <w:tbl>
      <w:tblPr>
        <w:tblStyle w:val="1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4"/>
        <w:gridCol w:w="726"/>
        <w:gridCol w:w="957"/>
        <w:gridCol w:w="71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82" w:hRule="atLeast"/>
          <w:tblHeader/>
          <w:jc w:val="center"/>
        </w:trPr>
        <w:tc>
          <w:tcPr>
            <w:tcW w:w="609" w:type="dxa"/>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序号</w:t>
            </w:r>
          </w:p>
        </w:tc>
        <w:tc>
          <w:tcPr>
            <w:tcW w:w="998" w:type="dxa"/>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项目</w:t>
            </w:r>
          </w:p>
        </w:tc>
        <w:tc>
          <w:tcPr>
            <w:tcW w:w="1368" w:type="dxa"/>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评审内容及分值</w:t>
            </w:r>
          </w:p>
        </w:tc>
        <w:tc>
          <w:tcPr>
            <w:tcW w:w="11245" w:type="dxa"/>
            <w:tcBorders>
              <w:tl2br w:val="nil"/>
              <w:tr2bl w:val="nil"/>
            </w:tcBorders>
            <w:vAlign w:val="center"/>
          </w:tcPr>
          <w:p>
            <w:pPr>
              <w:pStyle w:val="38"/>
              <w:adjustRightInd w:val="0"/>
              <w:snapToGrid w:val="0"/>
              <w:spacing w:line="580" w:lineRule="exact"/>
              <w:jc w:val="center"/>
              <w:rPr>
                <w:rFonts w:ascii="宋体" w:hAnsi="宋体" w:cs="宋体"/>
                <w:b/>
                <w:bCs/>
                <w:color w:val="auto"/>
                <w:sz w:val="21"/>
                <w:szCs w:val="21"/>
                <w:highlight w:val="none"/>
              </w:rPr>
            </w:pPr>
            <w:r>
              <w:rPr>
                <w:rFonts w:hint="eastAsia" w:ascii="宋体" w:hAnsi="宋体" w:cs="宋体"/>
                <w:b/>
                <w:bCs/>
                <w:color w:val="auto"/>
                <w:sz w:val="21"/>
                <w:szCs w:val="21"/>
                <w:highlight w:val="none"/>
                <w:lang w:bidi="ar"/>
              </w:rPr>
              <w:t>项目内容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58" w:hRule="atLeast"/>
          <w:jc w:val="center"/>
        </w:trPr>
        <w:tc>
          <w:tcPr>
            <w:tcW w:w="609"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1</w:t>
            </w:r>
          </w:p>
        </w:tc>
        <w:tc>
          <w:tcPr>
            <w:tcW w:w="99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技术水平</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（42分）</w:t>
            </w: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工程实施条件分析</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（4分）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工程概述（2分）。工程规模及工期、布置形式描述正确，工程涉及的主要单位、施工依据及内容。</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（论述齐全无错漏，2分；每一项论述不充分描述不合理，扣0.5分。）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35"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工程性质及特点分析，自然环境分析及现场调查情况说明（2分）。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（描述正确说明详实，2分；每一项描述不充分，说明不详实，扣0.5分。）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2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施工方案与资源配置</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（24分）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施工方案（16分）。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（施工方案合理、结合属地分析针对性强，进度计划满足工期要求得16分。未结合属地分析，扣6分；进度计划不满足工期要求，扣4分；未结合属地分析，扣4分；施工方案不详实合理，扣2分。）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9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施工机具配置及技术导向响应（8分）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（光纤通信施工）提供5台2M表，5套SDH分析仪，4套光源、高灵敏光功率计（动态范围70-90dB），4套光纤端面识别仪，8分，每少一台（套）扣1分，扣完为止。</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（光缆接续施工）提供4台动态范围在45dB及以上的光时域反射仪，以及10套及以上光纤熔接机，8分；提供的光时域反射仪动态范围不足45dB,高于40dB（含），每台扣0.5分；每少一台（套）扣1分，扣完为止。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937"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技术业绩</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（12分）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技术业绩（12分）</w:t>
            </w:r>
            <w:r>
              <w:rPr>
                <w:rFonts w:hint="eastAsia" w:ascii="宋体" w:hAnsi="宋体" w:eastAsia="宋体" w:cs="宋体"/>
                <w:color w:val="auto"/>
                <w:szCs w:val="21"/>
                <w:highlight w:val="none"/>
              </w:rPr>
              <w:br w:type="textWrapping"/>
            </w:r>
            <w:r>
              <w:rPr>
                <w:rFonts w:hint="eastAsia" w:ascii="宋体" w:hAnsi="宋体" w:eastAsia="宋体" w:cs="宋体"/>
                <w:color w:val="auto"/>
                <w:szCs w:val="21"/>
                <w:highlight w:val="none"/>
              </w:rPr>
              <w:t>（光纤通信施工）</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1．开标日前5年内，有1000kV或±800kV或±1100kV输变电工程电力通信工程施工业绩。每项业绩得3分；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2．开标日前5年内，有500kV或750kV交流输变电工程或±400kV及以上、±800kV以下直流输电工程通信工程施工业绩，或上述电压等级变电站、换流站、通信站，以及通信中心站的扩建或技改通信工程施工业绩，每项业绩得2分，最高10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以上条件1、2最高12分</w:t>
            </w:r>
            <w:r>
              <w:rPr>
                <w:rFonts w:hint="eastAsia" w:ascii="宋体" w:hAnsi="宋体" w:eastAsia="宋体" w:cs="宋体"/>
                <w:color w:val="auto"/>
                <w:szCs w:val="21"/>
                <w:highlight w:val="none"/>
              </w:rPr>
              <w:br w:type="textWrapping"/>
            </w:r>
            <w:r>
              <w:rPr>
                <w:rFonts w:hint="eastAsia" w:ascii="宋体" w:hAnsi="宋体" w:eastAsia="宋体" w:cs="宋体"/>
                <w:color w:val="auto"/>
                <w:szCs w:val="21"/>
                <w:highlight w:val="none"/>
              </w:rPr>
              <w:t>（光缆接续施工）</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1.开标日前5年内，有1000kV或±800kV或±1100kV新建输电线路工程OPGW测量与接续施工业绩。每项业绩得3分；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2.开标日前5年内，有500kV及以上、1000kV以下或±400kV及以上、±800kV以下新建输电线路工程的OPGW测量与接续施工业绩，业绩累计每200公里得2分，最高10分。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以上条件1、2最高12分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33"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分包管控措施</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（2分）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分包计划与分包范围（1分）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（无分包或分包计划和范围符合要求，1分；分包计划和范围不符合要求，0分。）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15"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强化分包管理的措施（1分）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（无分包或有明确分包管理方案，1分；不符合，0分。）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jc w:val="center"/>
        </w:trPr>
        <w:tc>
          <w:tcPr>
            <w:tcW w:w="609"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2</w:t>
            </w:r>
          </w:p>
        </w:tc>
        <w:tc>
          <w:tcPr>
            <w:tcW w:w="99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团队配置</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（19分）</w:t>
            </w: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项目管理总体策划</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（19分）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项目组织机构（3分）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（机构职责齐全，项目经理、技术负责人、安全员、技经专责、档案专责、劳资专责齐全，3分；每少一项扣0.5分，扣完为止。）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82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项目团队履责能力（10分）。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（光纤通信施工）项目经理具有两项及以上800kV及以上通信工程或通信中心站工程经验，积10分。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具有一项800kV及以上通信工程或通信中心站工程经验，积5分；每具有一项500kV工程施工经验，积3分；每具有一项500kV以下工程施工经验，积2分；每具有一项电网常规通信站工程施工经验，积1分；最高8分。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（光缆接续施工）项目经理具有两项及以上1000kV或±800kV或士1100kV OPGW测量与接续工程经验，积10分。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具有一项1000kV或±800kV或士1100kV OPGW测量与接续工程经验积，积5分；每具有一项500kV及以上、1000kV以下或±400kV及以上、±800kV以下新建输电线路工程的OPGW测量与接续工程施工经验，积2分；最高8分。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667"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施工力量组织（6分）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（光纤通信施工）具备组织3支及以上施工队伍6分，2支施工队伍4分，1支施工队伍2分。（施工队伍含工作负责人、安全员、技术员、质检员等作业层班组基本配置人员，提供身份信息及雇佣关系证明）</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光缆接续施工）具备组织5支及以上施工队伍6分，4支施工队伍4分，3支施工队伍2分，3支施工队伍以下0分。（含工作负责人、安全员、技术员、质检员、特种作业人员等作业层班组基本配置人员，提供身份信息、特种作业证及雇佣关系证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160" w:hRule="atLeast"/>
          <w:jc w:val="center"/>
        </w:trPr>
        <w:tc>
          <w:tcPr>
            <w:tcW w:w="609"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3</w:t>
            </w:r>
          </w:p>
        </w:tc>
        <w:tc>
          <w:tcPr>
            <w:tcW w:w="99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质量控制</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（14分）</w:t>
            </w: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安全管控措施</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（6分）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安全管理组织机构、职责及管理制度（2分）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（目标合理，机构健全，职责清晰，制度完备，2分；目标不合理，机构不健全，职责不清晰，制度不完备，0分。）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安全组织技术措施、实施方案、考核办法、管理方法（2分）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（措施全面可靠、考核办法及管理办法完备，2分；每一项论述不充分，扣1分。）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45"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重要施工方案及特殊施工工序的安全过程控制（2分）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（编制专项安全过程控制措施，措施合理可靠，2分；每一项论述不充分，扣1分。）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928"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质量管控措施</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（5分）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质量目标及管理体系（3分）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目标合理，机构健全，质量体系完善，措施有针对性，3分；目标合理，机构健全，质量体系较完善，措施有针对性，2分；目标合理，机构较健全，质量体系较完善，措施无针对性，1分；目标不合理，机构不健全，管理组织机构不健全，质量体系不完善，措施无针对性，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质量管理措施（2分）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（质量管理措施齐全有效，有针对性，2分；质量管理措施齐全有效，针对性不强，1分；质量管理措施不齐全，针对性不强，0分。）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31"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restart"/>
            <w:tcBorders>
              <w:tl2br w:val="nil"/>
              <w:tr2bl w:val="nil"/>
            </w:tcBorders>
            <w:vAlign w:val="center"/>
          </w:tcPr>
          <w:p>
            <w:pPr>
              <w:widowControl/>
              <w:snapToGrid w:val="0"/>
              <w:jc w:val="center"/>
              <w:textAlignment w:val="center"/>
              <w:rPr>
                <w:rFonts w:asciiTheme="minorEastAsia" w:hAnsiTheme="minorEastAsia" w:eastAsiaTheme="minorEastAsia" w:cstheme="minorEastAsia"/>
                <w:bCs/>
                <w:color w:val="auto"/>
                <w:kern w:val="0"/>
                <w:szCs w:val="21"/>
                <w:highlight w:val="none"/>
              </w:rPr>
            </w:pPr>
            <w:r>
              <w:rPr>
                <w:rFonts w:hint="eastAsia" w:asciiTheme="minorEastAsia" w:hAnsiTheme="minorEastAsia" w:eastAsiaTheme="minorEastAsia" w:cstheme="minorEastAsia"/>
                <w:bCs/>
                <w:color w:val="auto"/>
                <w:kern w:val="0"/>
                <w:szCs w:val="21"/>
                <w:highlight w:val="none"/>
              </w:rPr>
              <w:t>绿色施工方案</w:t>
            </w:r>
          </w:p>
          <w:p>
            <w:pPr>
              <w:widowControl/>
              <w:snapToGrid w:val="0"/>
              <w:jc w:val="center"/>
              <w:textAlignment w:val="center"/>
              <w:rPr>
                <w:rFonts w:ascii="宋体" w:hAnsi="宋体" w:eastAsia="宋体" w:cs="宋体"/>
                <w:color w:val="auto"/>
                <w:szCs w:val="21"/>
                <w:highlight w:val="none"/>
              </w:rPr>
            </w:pPr>
            <w:r>
              <w:rPr>
                <w:rFonts w:hint="eastAsia" w:asciiTheme="minorEastAsia" w:hAnsiTheme="minorEastAsia" w:eastAsiaTheme="minorEastAsia" w:cstheme="minorEastAsia"/>
                <w:bCs/>
                <w:color w:val="auto"/>
                <w:kern w:val="0"/>
                <w:szCs w:val="21"/>
                <w:highlight w:val="none"/>
              </w:rPr>
              <w:t>（3分）</w:t>
            </w:r>
          </w:p>
        </w:tc>
        <w:tc>
          <w:tcPr>
            <w:tcW w:w="11245" w:type="dxa"/>
            <w:tcBorders>
              <w:tl2br w:val="nil"/>
              <w:tr2bl w:val="nil"/>
            </w:tcBorders>
            <w:vAlign w:val="center"/>
          </w:tcPr>
          <w:p>
            <w:pPr>
              <w:pStyle w:val="5"/>
              <w:snapToGrid w:val="0"/>
              <w:ind w:firstLine="0"/>
              <w:jc w:val="left"/>
              <w:rPr>
                <w:rFonts w:hint="default" w:asciiTheme="minorEastAsia" w:hAnsiTheme="minorEastAsia" w:eastAsiaTheme="minorEastAsia" w:cstheme="minorEastAsia"/>
                <w:color w:val="auto"/>
                <w:szCs w:val="21"/>
                <w:highlight w:val="none"/>
              </w:rPr>
            </w:pPr>
            <w:r>
              <w:rPr>
                <w:rFonts w:hint="default" w:asciiTheme="minorEastAsia" w:hAnsiTheme="minorEastAsia" w:eastAsiaTheme="minorEastAsia" w:cstheme="minorEastAsia"/>
                <w:color w:val="auto"/>
                <w:szCs w:val="21"/>
                <w:highlight w:val="none"/>
              </w:rPr>
              <w:t>对建立绿色施工管理体系，制定绿色施工方案，在施工过程中统筹考虑环境保护措施，节能减排措施，节地与施工用地保护措施、绿色施工工艺等情况进行评价：</w:t>
            </w:r>
          </w:p>
          <w:p>
            <w:pPr>
              <w:pStyle w:val="5"/>
              <w:snapToGrid w:val="0"/>
              <w:ind w:firstLine="0"/>
              <w:jc w:val="left"/>
              <w:rPr>
                <w:rFonts w:hint="default" w:asciiTheme="minorEastAsia" w:hAnsiTheme="minorEastAsia" w:eastAsiaTheme="minorEastAsia" w:cstheme="minorEastAsia"/>
                <w:color w:val="auto"/>
                <w:szCs w:val="21"/>
                <w:highlight w:val="none"/>
              </w:rPr>
            </w:pPr>
            <w:r>
              <w:rPr>
                <w:rFonts w:hint="default" w:asciiTheme="minorEastAsia" w:hAnsiTheme="minorEastAsia" w:eastAsiaTheme="minorEastAsia" w:cstheme="minorEastAsia"/>
                <w:color w:val="auto"/>
                <w:szCs w:val="21"/>
                <w:highlight w:val="none"/>
              </w:rPr>
              <w:t>优：科学、可行、针对性强得3分；</w:t>
            </w:r>
          </w:p>
          <w:p>
            <w:pPr>
              <w:pStyle w:val="5"/>
              <w:snapToGrid w:val="0"/>
              <w:ind w:firstLine="0"/>
              <w:jc w:val="left"/>
              <w:rPr>
                <w:rFonts w:hint="default" w:asciiTheme="minorEastAsia" w:hAnsiTheme="minorEastAsia" w:eastAsiaTheme="minorEastAsia" w:cstheme="minorEastAsia"/>
                <w:color w:val="auto"/>
                <w:szCs w:val="21"/>
                <w:highlight w:val="none"/>
              </w:rPr>
            </w:pPr>
            <w:r>
              <w:rPr>
                <w:rFonts w:hint="default" w:asciiTheme="minorEastAsia" w:hAnsiTheme="minorEastAsia" w:eastAsiaTheme="minorEastAsia" w:cstheme="minorEastAsia"/>
                <w:color w:val="auto"/>
                <w:szCs w:val="21"/>
                <w:highlight w:val="none"/>
              </w:rPr>
              <w:t>良：合理、可行、细节待完善得2分；</w:t>
            </w:r>
          </w:p>
          <w:p>
            <w:pPr>
              <w:pStyle w:val="5"/>
              <w:snapToGrid w:val="0"/>
              <w:ind w:firstLine="0"/>
              <w:jc w:val="left"/>
              <w:rPr>
                <w:rFonts w:hint="default" w:ascii="宋体" w:hAnsi="宋体" w:cs="宋体"/>
                <w:color w:val="auto"/>
                <w:szCs w:val="21"/>
                <w:highlight w:val="none"/>
              </w:rPr>
            </w:pPr>
            <w:r>
              <w:rPr>
                <w:rFonts w:hint="default" w:asciiTheme="minorEastAsia" w:hAnsiTheme="minorEastAsia" w:eastAsiaTheme="minorEastAsia" w:cstheme="minorEastAsia"/>
                <w:color w:val="auto"/>
                <w:szCs w:val="21"/>
                <w:highlight w:val="none"/>
              </w:rPr>
              <w:t>一般：欠合理，可行性较差，基本满足工程需要得1分。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25" w:hRule="atLeast"/>
          <w:jc w:val="center"/>
        </w:trPr>
        <w:tc>
          <w:tcPr>
            <w:tcW w:w="609"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4</w:t>
            </w:r>
          </w:p>
        </w:tc>
        <w:tc>
          <w:tcPr>
            <w:tcW w:w="99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综合评价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（25分）</w:t>
            </w: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综合管理</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（3分）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施工进度保证措施（1分）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（措施具体，针对性强，1分；措施不详，针对不强，0分。）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施工科技创新（1分）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（计划明确，响应要求，措施有针对性，1分；计划较明确，响应要求，措施针对性不强，0分。）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9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资料档案管理（1分）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（措施具体，针对性强，1分；措施及针对性不强，0分。）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25"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整体评价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（2分）</w:t>
            </w: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投标重要信息简表真实准确（1分）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（投标重要信息简表真实准确，0.5分；重要信息错误扣1分，扣完为止。）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248"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1245" w:type="dxa"/>
            <w:tcBorders>
              <w:tl2br w:val="nil"/>
              <w:tr2bl w:val="nil"/>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全面响应招标文件要求等（1分）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（全面响应无漏项，0.5分；编制顺序不响应扣1分，漏项扣1分，扣完为止。）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0" w:hRule="atLeast"/>
          <w:jc w:val="center"/>
        </w:trPr>
        <w:tc>
          <w:tcPr>
            <w:tcW w:w="609"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998" w:type="dxa"/>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1368" w:type="dxa"/>
            <w:tcBorders>
              <w:tl2br w:val="nil"/>
              <w:tr2bl w:val="nil"/>
            </w:tcBorders>
            <w:vAlign w:val="center"/>
          </w:tcPr>
          <w:p>
            <w:pPr>
              <w:snapToGrid w:val="0"/>
              <w:jc w:val="center"/>
              <w:rPr>
                <w:rFonts w:ascii="宋体" w:hAnsi="宋体" w:eastAsia="宋体" w:cs="宋体"/>
                <w:color w:val="auto"/>
                <w:szCs w:val="21"/>
                <w:highlight w:val="none"/>
              </w:rPr>
            </w:pPr>
            <w:r>
              <w:rPr>
                <w:rFonts w:hint="eastAsia" w:ascii="宋体" w:hAnsi="宋体" w:eastAsia="宋体" w:cs="宋体"/>
                <w:color w:val="auto"/>
                <w:szCs w:val="21"/>
                <w:highlight w:val="none"/>
              </w:rPr>
              <w:t>绩效评价（20分）</w:t>
            </w:r>
          </w:p>
        </w:tc>
        <w:tc>
          <w:tcPr>
            <w:tcW w:w="11245" w:type="dxa"/>
            <w:tcBorders>
              <w:tl2br w:val="nil"/>
              <w:tr2bl w:val="nil"/>
            </w:tcBorders>
            <w:vAlign w:val="center"/>
          </w:tcPr>
          <w:p>
            <w:pPr>
              <w:snapToGrid w:val="0"/>
              <w:jc w:val="left"/>
              <w:rPr>
                <w:rFonts w:ascii="宋体" w:hAnsi="宋体" w:eastAsia="宋体" w:cs="宋体"/>
                <w:color w:val="auto"/>
                <w:szCs w:val="21"/>
                <w:highlight w:val="none"/>
              </w:rPr>
            </w:pPr>
            <w:r>
              <w:rPr>
                <w:rFonts w:hint="eastAsia" w:ascii="宋体" w:hAnsi="宋体" w:eastAsia="宋体" w:cs="宋体"/>
                <w:color w:val="auto"/>
                <w:szCs w:val="21"/>
                <w:highlight w:val="none"/>
              </w:rPr>
              <w:t>按绩效评价得分*0.20计算，对于无绩效评价的投标人，根据投标文件中资源实力等相关信息进行综合评价打分。（得分按四舍五入保留两位小数）</w:t>
            </w:r>
            <w:r>
              <w:rPr>
                <w:rFonts w:hint="eastAsia" w:asciiTheme="minorEastAsia" w:hAnsiTheme="minorEastAsia" w:eastAsiaTheme="minorEastAsia" w:cstheme="minorEastAsia"/>
                <w:color w:val="auto"/>
                <w:szCs w:val="21"/>
                <w:highlight w:val="none"/>
              </w:rPr>
              <w:t>未开展绩效评价阶段，绩效评价得分按100分计列。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0" w:hRule="atLeast"/>
          <w:jc w:val="center"/>
        </w:trPr>
        <w:tc>
          <w:tcPr>
            <w:tcW w:w="609" w:type="dxa"/>
            <w:tcBorders>
              <w:tl2br w:val="nil"/>
              <w:tr2bl w:val="nil"/>
            </w:tcBorders>
            <w:vAlign w:val="center"/>
          </w:tcPr>
          <w:p>
            <w:pPr>
              <w:widowControl/>
              <w:snapToGrid w:val="0"/>
              <w:jc w:val="center"/>
              <w:rPr>
                <w:rFonts w:ascii="宋体" w:hAnsi="宋体" w:eastAsia="宋体" w:cs="宋体"/>
                <w:color w:val="auto"/>
                <w:szCs w:val="21"/>
                <w:highlight w:val="none"/>
              </w:rPr>
            </w:pPr>
            <w:r>
              <w:rPr>
                <w:rFonts w:hint="eastAsia" w:ascii="宋体" w:hAnsi="宋体" w:eastAsia="宋体" w:cs="宋体"/>
                <w:b/>
                <w:bCs/>
                <w:color w:val="auto"/>
                <w:kern w:val="0"/>
                <w:szCs w:val="21"/>
                <w:highlight w:val="none"/>
              </w:rPr>
              <w:t>5</w:t>
            </w:r>
          </w:p>
        </w:tc>
        <w:tc>
          <w:tcPr>
            <w:tcW w:w="998" w:type="dxa"/>
            <w:tcBorders>
              <w:tl2br w:val="nil"/>
              <w:tr2bl w:val="nil"/>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b/>
                <w:bCs/>
                <w:color w:val="auto"/>
                <w:kern w:val="0"/>
                <w:szCs w:val="21"/>
                <w:highlight w:val="none"/>
              </w:rPr>
              <w:t>风险评价</w:t>
            </w:r>
          </w:p>
        </w:tc>
        <w:tc>
          <w:tcPr>
            <w:tcW w:w="1368" w:type="dxa"/>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（-20-0）</w:t>
            </w:r>
          </w:p>
        </w:tc>
        <w:tc>
          <w:tcPr>
            <w:tcW w:w="11245" w:type="dxa"/>
            <w:tcBorders>
              <w:tl2br w:val="nil"/>
              <w:tr2bl w:val="nil"/>
            </w:tcBorders>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无上述情形的，不扣分。</w:t>
            </w:r>
          </w:p>
        </w:tc>
      </w:tr>
    </w:tbl>
    <w:p>
      <w:pPr>
        <w:pStyle w:val="17"/>
        <w:snapToGrid w:val="0"/>
        <w:spacing w:after="0" w:line="560" w:lineRule="exact"/>
        <w:ind w:firstLine="640" w:firstLineChars="200"/>
        <w:jc w:val="left"/>
        <w:rPr>
          <w:rFonts w:ascii="方正仿宋_GBK" w:hAnsi="方正仿宋_GBK" w:eastAsia="方正仿宋_GBK" w:cs="方正仿宋_GBK"/>
          <w:bCs/>
          <w:color w:val="auto"/>
          <w:sz w:val="32"/>
          <w:szCs w:val="32"/>
          <w:highlight w:val="none"/>
        </w:rPr>
      </w:pPr>
    </w:p>
    <w:p>
      <w:pPr>
        <w:widowControl/>
        <w:spacing w:line="400" w:lineRule="exact"/>
        <w:jc w:val="left"/>
        <w:outlineLvl w:val="1"/>
        <w:rPr>
          <w:rFonts w:hint="eastAsia" w:ascii="黑体" w:hAnsi="黑体" w:eastAsia="黑体"/>
          <w:b/>
          <w:color w:val="auto"/>
          <w:kern w:val="0"/>
          <w:sz w:val="24"/>
          <w:highlight w:val="none"/>
          <w:lang w:val="zh-CN"/>
        </w:rPr>
      </w:pPr>
      <w:r>
        <w:rPr>
          <w:rFonts w:hint="eastAsia" w:ascii="黑体" w:hAnsi="黑体" w:eastAsia="黑体"/>
          <w:b/>
          <w:color w:val="auto"/>
          <w:kern w:val="0"/>
          <w:sz w:val="24"/>
          <w:highlight w:val="none"/>
          <w:lang w:val="zh-CN"/>
        </w:rPr>
        <w:t>评标办法前附表之</w:t>
      </w:r>
      <w:r>
        <w:rPr>
          <w:rFonts w:hint="eastAsia" w:ascii="黑体" w:hAnsi="黑体" w:eastAsia="黑体"/>
          <w:b/>
          <w:color w:val="auto"/>
          <w:kern w:val="0"/>
          <w:sz w:val="24"/>
          <w:highlight w:val="none"/>
        </w:rPr>
        <w:t>五</w:t>
      </w:r>
      <w:r>
        <w:rPr>
          <w:rFonts w:hint="eastAsia" w:ascii="黑体" w:hAnsi="黑体" w:eastAsia="黑体"/>
          <w:b/>
          <w:color w:val="auto"/>
          <w:kern w:val="0"/>
          <w:sz w:val="24"/>
          <w:highlight w:val="none"/>
          <w:lang w:val="zh-CN"/>
        </w:rPr>
        <w:t>：价格评分标准</w:t>
      </w:r>
    </w:p>
    <w:tbl>
      <w:tblPr>
        <w:tblStyle w:val="19"/>
        <w:tblW w:w="8522" w:type="dxa"/>
        <w:jc w:val="center"/>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Layout w:type="fixed"/>
        <w:tblCellMar>
          <w:top w:w="0" w:type="dxa"/>
          <w:left w:w="108" w:type="dxa"/>
          <w:bottom w:w="0" w:type="dxa"/>
          <w:right w:w="108" w:type="dxa"/>
        </w:tblCellMar>
      </w:tblPr>
      <w:tblGrid>
        <w:gridCol w:w="8522"/>
      </w:tblGrid>
      <w:tr>
        <w:tblPrEx>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CellMar>
            <w:top w:w="0" w:type="dxa"/>
            <w:left w:w="108" w:type="dxa"/>
            <w:bottom w:w="0" w:type="dxa"/>
            <w:right w:w="108" w:type="dxa"/>
          </w:tblCellMar>
        </w:tblPrEx>
        <w:trPr>
          <w:trHeight w:val="90" w:hRule="atLeast"/>
          <w:jc w:val="center"/>
        </w:trPr>
        <w:tc>
          <w:tcPr>
            <w:tcW w:w="8522" w:type="dxa"/>
            <w:tcBorders>
              <w:top w:val="double" w:color="000000" w:sz="4" w:space="0"/>
              <w:bottom w:val="single" w:color="000000" w:sz="4" w:space="0"/>
            </w:tcBorders>
            <w:vAlign w:val="center"/>
          </w:tcPr>
          <w:p>
            <w:pPr>
              <w:widowControl/>
              <w:rPr>
                <w:rFonts w:hint="eastAsia" w:ascii="宋体" w:hAnsi="宋体" w:eastAsia="宋体" w:cs="宋体"/>
                <w:b/>
                <w:bCs/>
                <w:color w:val="auto"/>
                <w:sz w:val="21"/>
                <w:szCs w:val="21"/>
                <w:highlight w:val="none"/>
              </w:rPr>
            </w:pPr>
            <w:r>
              <w:rPr>
                <w:rFonts w:hint="eastAsia" w:ascii="宋体" w:hAnsi="宋体" w:eastAsia="宋体" w:cs="宋体"/>
                <w:b/>
                <w:color w:val="auto"/>
                <w:sz w:val="21"/>
                <w:szCs w:val="21"/>
                <w:highlight w:val="none"/>
              </w:rPr>
              <w:t>2.2.4（3） 投标报价评分标准</w:t>
            </w:r>
          </w:p>
        </w:tc>
      </w:tr>
      <w:tr>
        <w:tblPrEx>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CellMar>
            <w:top w:w="0" w:type="dxa"/>
            <w:left w:w="108" w:type="dxa"/>
            <w:bottom w:w="0" w:type="dxa"/>
            <w:right w:w="108" w:type="dxa"/>
          </w:tblCellMar>
        </w:tblPrEx>
        <w:trPr>
          <w:trHeight w:val="90" w:hRule="atLeast"/>
          <w:jc w:val="center"/>
        </w:trPr>
        <w:tc>
          <w:tcPr>
            <w:tcW w:w="8522" w:type="dxa"/>
            <w:tcBorders>
              <w:top w:val="double" w:color="000000" w:sz="4" w:space="0"/>
              <w:bottom w:val="single" w:color="000000" w:sz="4" w:space="0"/>
            </w:tcBorders>
            <w:vAlign w:val="center"/>
          </w:tcPr>
          <w:p>
            <w:pPr>
              <w:autoSpaceDE w:val="0"/>
              <w:autoSpaceDN w:val="0"/>
              <w:adjustRightInd w:val="0"/>
              <w:snapToGrid w:val="0"/>
              <w:spacing w:line="312" w:lineRule="atLeast"/>
              <w:jc w:val="left"/>
              <w:textAlignment w:val="baseline"/>
              <w:rPr>
                <w:rFonts w:ascii="Times New Roman" w:hAnsi="Times New Roman"/>
                <w:color w:val="auto"/>
                <w:kern w:val="0"/>
                <w:sz w:val="18"/>
                <w:szCs w:val="18"/>
                <w:highlight w:val="none"/>
              </w:rPr>
            </w:pPr>
            <w:r>
              <w:rPr>
                <w:rFonts w:ascii="Times New Roman" w:hAnsi="Times New Roman"/>
                <w:color w:val="auto"/>
                <w:kern w:val="0"/>
                <w:sz w:val="18"/>
                <w:szCs w:val="18"/>
                <w:highlight w:val="none"/>
              </w:rPr>
              <w:t>1.</w:t>
            </w:r>
            <w:r>
              <w:rPr>
                <w:rFonts w:hint="eastAsia" w:ascii="Times New Roman" w:hAnsi="Times New Roman"/>
                <w:color w:val="auto"/>
                <w:kern w:val="0"/>
                <w:sz w:val="18"/>
                <w:szCs w:val="18"/>
                <w:highlight w:val="none"/>
              </w:rPr>
              <w:t>评标价格计算公式选择：</w:t>
            </w:r>
            <w:r>
              <w:rPr>
                <w:rFonts w:hint="eastAsia" w:ascii="Times New Roman" w:hAnsi="Times New Roman"/>
                <w:color w:val="auto"/>
                <w:sz w:val="18"/>
                <w:highlight w:val="none"/>
              </w:rPr>
              <w:t>详见附表六</w:t>
            </w:r>
          </w:p>
          <w:p>
            <w:pPr>
              <w:pStyle w:val="40"/>
              <w:topLinePunct/>
              <w:autoSpaceDE w:val="0"/>
              <w:autoSpaceDN w:val="0"/>
              <w:snapToGrid w:val="0"/>
              <w:spacing w:before="120" w:beforeLines="50"/>
              <w:jc w:val="left"/>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2.</w:t>
            </w:r>
            <w:r>
              <w:rPr>
                <w:rFonts w:ascii="Times New Roman" w:hAnsi="Times New Roman"/>
                <w:color w:val="auto"/>
                <w:sz w:val="18"/>
                <w:szCs w:val="18"/>
                <w:highlight w:val="none"/>
              </w:rPr>
              <w:t>评标价格计算公式描述</w:t>
            </w:r>
          </w:p>
          <w:p>
            <w:pPr>
              <w:pStyle w:val="40"/>
              <w:topLinePunct/>
              <w:autoSpaceDE w:val="0"/>
              <w:autoSpaceDN w:val="0"/>
              <w:snapToGrid w:val="0"/>
              <w:spacing w:before="120" w:beforeLines="50"/>
              <w:jc w:val="left"/>
              <w:rPr>
                <w:rFonts w:hint="default" w:ascii="Times New Roman" w:hAnsi="Times New Roman"/>
                <w:b/>
                <w:color w:val="auto"/>
                <w:sz w:val="18"/>
                <w:szCs w:val="18"/>
                <w:highlight w:val="none"/>
              </w:rPr>
            </w:pPr>
            <w:r>
              <w:rPr>
                <w:rFonts w:ascii="Times New Roman" w:hAnsi="Times New Roman"/>
                <w:b/>
                <w:color w:val="auto"/>
                <w:sz w:val="18"/>
                <w:szCs w:val="18"/>
                <w:highlight w:val="none"/>
              </w:rPr>
              <w:t>公式</w:t>
            </w:r>
            <w:r>
              <w:rPr>
                <w:rFonts w:hint="default" w:ascii="Times New Roman" w:hAnsi="Times New Roman"/>
                <w:b/>
                <w:color w:val="auto"/>
                <w:sz w:val="18"/>
                <w:szCs w:val="18"/>
                <w:highlight w:val="none"/>
              </w:rPr>
              <w:t>1</w:t>
            </w:r>
            <w:r>
              <w:rPr>
                <w:rFonts w:ascii="Times New Roman" w:hAnsi="Times New Roman"/>
                <w:b/>
                <w:color w:val="auto"/>
                <w:sz w:val="18"/>
                <w:szCs w:val="18"/>
                <w:highlight w:val="none"/>
              </w:rPr>
              <w:t>：最低评标价法（金额）</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价格得分</w:t>
            </w:r>
            <w:r>
              <w:rPr>
                <w:rFonts w:hint="default" w:ascii="Times New Roman" w:hAnsi="Times New Roman"/>
                <w:color w:val="auto"/>
                <w:sz w:val="18"/>
                <w:szCs w:val="18"/>
                <w:highlight w:val="none"/>
              </w:rPr>
              <w:t>=</w:t>
            </w:r>
            <w:r>
              <w:rPr>
                <w:rFonts w:ascii="Times New Roman" w:hAnsi="Times New Roman"/>
                <w:color w:val="auto"/>
                <w:sz w:val="18"/>
                <w:szCs w:val="18"/>
                <w:highlight w:val="none"/>
              </w:rPr>
              <w:t>（基准价</w:t>
            </w:r>
            <w:r>
              <w:rPr>
                <w:rFonts w:hint="default" w:ascii="Times New Roman" w:hAnsi="Times New Roman"/>
                <w:color w:val="auto"/>
                <w:sz w:val="18"/>
                <w:szCs w:val="18"/>
                <w:highlight w:val="none"/>
              </w:rPr>
              <w:t>/</w:t>
            </w:r>
            <w:r>
              <w:rPr>
                <w:rFonts w:ascii="Times New Roman" w:hAnsi="Times New Roman"/>
                <w:color w:val="auto"/>
                <w:sz w:val="18"/>
                <w:szCs w:val="18"/>
                <w:highlight w:val="none"/>
              </w:rPr>
              <w:t>投标人的评标价）×</w:t>
            </w:r>
            <w:r>
              <w:rPr>
                <w:rFonts w:hint="default" w:ascii="Times New Roman" w:hAnsi="Times New Roman"/>
                <w:color w:val="auto"/>
                <w:sz w:val="18"/>
                <w:szCs w:val="18"/>
                <w:highlight w:val="none"/>
              </w:rPr>
              <w:t>100</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基准价</w:t>
            </w:r>
            <w:r>
              <w:rPr>
                <w:rFonts w:hint="default" w:ascii="Times New Roman" w:hAnsi="Times New Roman"/>
                <w:color w:val="auto"/>
                <w:sz w:val="18"/>
                <w:szCs w:val="18"/>
                <w:highlight w:val="none"/>
              </w:rPr>
              <w:t>=</w:t>
            </w:r>
            <w:r>
              <w:rPr>
                <w:rFonts w:ascii="Times New Roman" w:hAnsi="Times New Roman"/>
                <w:color w:val="auto"/>
                <w:sz w:val="18"/>
                <w:szCs w:val="18"/>
                <w:highlight w:val="none"/>
              </w:rPr>
              <w:t>所评包或标段中所有通过商务、技术评审的合格投标人评标价中的最低价；</w:t>
            </w:r>
          </w:p>
          <w:p>
            <w:pPr>
              <w:pStyle w:val="40"/>
              <w:topLinePunct/>
              <w:autoSpaceDE w:val="0"/>
              <w:autoSpaceDN w:val="0"/>
              <w:snapToGrid w:val="0"/>
              <w:spacing w:before="120" w:beforeLines="50"/>
              <w:jc w:val="left"/>
              <w:rPr>
                <w:rFonts w:hint="default" w:ascii="Times New Roman" w:hAnsi="Times New Roman"/>
                <w:b/>
                <w:color w:val="auto"/>
                <w:sz w:val="18"/>
                <w:szCs w:val="18"/>
                <w:highlight w:val="none"/>
              </w:rPr>
            </w:pPr>
            <w:r>
              <w:rPr>
                <w:rFonts w:ascii="Times New Roman" w:hAnsi="Times New Roman"/>
                <w:b/>
                <w:color w:val="auto"/>
                <w:sz w:val="18"/>
                <w:szCs w:val="18"/>
                <w:highlight w:val="none"/>
              </w:rPr>
              <w:t>公式</w:t>
            </w:r>
            <w:r>
              <w:rPr>
                <w:rFonts w:hint="default" w:ascii="Times New Roman" w:hAnsi="Times New Roman"/>
                <w:b/>
                <w:color w:val="auto"/>
                <w:sz w:val="18"/>
                <w:szCs w:val="18"/>
                <w:highlight w:val="none"/>
              </w:rPr>
              <w:t>2</w:t>
            </w:r>
            <w:r>
              <w:rPr>
                <w:rFonts w:ascii="Times New Roman" w:hAnsi="Times New Roman"/>
                <w:b/>
                <w:color w:val="auto"/>
                <w:sz w:val="18"/>
                <w:szCs w:val="18"/>
                <w:highlight w:val="none"/>
              </w:rPr>
              <w:t>：最低评标价法（折扣比例）</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价格得分</w:t>
            </w:r>
            <w:r>
              <w:rPr>
                <w:rFonts w:hint="default" w:ascii="Times New Roman" w:hAnsi="Times New Roman"/>
                <w:color w:val="auto"/>
                <w:sz w:val="18"/>
                <w:szCs w:val="18"/>
                <w:highlight w:val="none"/>
              </w:rPr>
              <w:t>=</w:t>
            </w:r>
            <w:r>
              <w:rPr>
                <w:rFonts w:ascii="Times New Roman" w:hAnsi="Times New Roman"/>
                <w:color w:val="auto"/>
                <w:sz w:val="18"/>
                <w:szCs w:val="18"/>
                <w:highlight w:val="none"/>
              </w:rPr>
              <w:t>（基准值）</w:t>
            </w:r>
            <w:r>
              <w:rPr>
                <w:rFonts w:hint="default" w:ascii="Times New Roman" w:hAnsi="Times New Roman"/>
                <w:color w:val="auto"/>
                <w:sz w:val="18"/>
                <w:szCs w:val="18"/>
                <w:highlight w:val="none"/>
              </w:rPr>
              <w:t>/</w:t>
            </w:r>
            <w:r>
              <w:rPr>
                <w:rFonts w:ascii="Times New Roman" w:hAnsi="Times New Roman"/>
                <w:color w:val="auto"/>
                <w:sz w:val="18"/>
                <w:szCs w:val="18"/>
                <w:highlight w:val="none"/>
              </w:rPr>
              <w:t>（投标人的折扣比例）×</w:t>
            </w:r>
            <w:r>
              <w:rPr>
                <w:rFonts w:hint="default" w:ascii="Times New Roman" w:hAnsi="Times New Roman"/>
                <w:color w:val="auto"/>
                <w:sz w:val="18"/>
                <w:szCs w:val="18"/>
                <w:highlight w:val="none"/>
              </w:rPr>
              <w:t>100</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基准值</w:t>
            </w:r>
            <w:r>
              <w:rPr>
                <w:rFonts w:hint="default" w:ascii="Times New Roman" w:hAnsi="Times New Roman"/>
                <w:color w:val="auto"/>
                <w:sz w:val="18"/>
                <w:szCs w:val="18"/>
                <w:highlight w:val="none"/>
              </w:rPr>
              <w:t>=</w:t>
            </w:r>
            <w:r>
              <w:rPr>
                <w:rFonts w:ascii="Times New Roman" w:hAnsi="Times New Roman"/>
                <w:color w:val="auto"/>
                <w:sz w:val="18"/>
                <w:szCs w:val="18"/>
                <w:highlight w:val="none"/>
              </w:rPr>
              <w:t>所评包或标段中所有通过商务、技术评审的合格投标人折扣比例中的最低值。</w:t>
            </w:r>
          </w:p>
          <w:p>
            <w:pPr>
              <w:pStyle w:val="16"/>
              <w:spacing w:before="120" w:beforeAutospacing="0"/>
              <w:rPr>
                <w:color w:val="auto"/>
                <w:highlight w:val="none"/>
              </w:rPr>
            </w:pPr>
            <w:r>
              <w:rPr>
                <w:rFonts w:ascii="Times New Roman" w:hAnsi="Times New Roman"/>
                <w:b/>
                <w:color w:val="auto"/>
                <w:sz w:val="18"/>
                <w:szCs w:val="18"/>
                <w:highlight w:val="none"/>
              </w:rPr>
              <w:t>公式3</w:t>
            </w:r>
            <w:r>
              <w:rPr>
                <w:rFonts w:hint="eastAsia" w:cs="宋体"/>
                <w:b/>
                <w:color w:val="auto"/>
                <w:sz w:val="18"/>
                <w:szCs w:val="18"/>
                <w:highlight w:val="none"/>
              </w:rPr>
              <w:t>：算术平均值下浮法（金额）</w:t>
            </w:r>
          </w:p>
          <w:p>
            <w:pPr>
              <w:pStyle w:val="16"/>
              <w:adjustRightInd w:val="0"/>
              <w:snapToGrid w:val="0"/>
              <w:rPr>
                <w:color w:val="auto"/>
                <w:highlight w:val="none"/>
              </w:rPr>
            </w:pPr>
            <w:r>
              <w:rPr>
                <w:rFonts w:ascii="Times New Roman" w:hAnsi="Times New Roman"/>
                <w:color w:val="auto"/>
                <w:sz w:val="18"/>
                <w:szCs w:val="18"/>
                <w:highlight w:val="none"/>
              </w:rPr>
              <w:t>价格得分=100-100×n×|</w:t>
            </w:r>
            <w:r>
              <w:rPr>
                <w:rFonts w:hint="eastAsia" w:cs="宋体"/>
                <w:color w:val="auto"/>
                <w:sz w:val="18"/>
                <w:szCs w:val="18"/>
                <w:highlight w:val="none"/>
              </w:rPr>
              <w:t>基准价</w:t>
            </w:r>
            <w:r>
              <w:rPr>
                <w:rFonts w:ascii="Times New Roman" w:hAnsi="Times New Roman"/>
                <w:color w:val="auto"/>
                <w:sz w:val="18"/>
                <w:szCs w:val="18"/>
                <w:highlight w:val="none"/>
              </w:rPr>
              <w:t>-</w:t>
            </w:r>
            <w:r>
              <w:rPr>
                <w:rFonts w:hint="eastAsia" w:cs="宋体"/>
                <w:color w:val="auto"/>
                <w:sz w:val="18"/>
                <w:szCs w:val="18"/>
                <w:highlight w:val="none"/>
              </w:rPr>
              <w:t>投标人的评标价</w:t>
            </w:r>
            <w:r>
              <w:rPr>
                <w:rFonts w:ascii="Times New Roman" w:hAnsi="Times New Roman"/>
                <w:color w:val="auto"/>
                <w:sz w:val="18"/>
                <w:szCs w:val="18"/>
                <w:highlight w:val="none"/>
              </w:rPr>
              <w:t>|/</w:t>
            </w:r>
            <w:r>
              <w:rPr>
                <w:rFonts w:hint="eastAsia" w:cs="宋体"/>
                <w:color w:val="auto"/>
                <w:sz w:val="18"/>
                <w:szCs w:val="18"/>
                <w:highlight w:val="none"/>
              </w:rPr>
              <w:t>基准价</w:t>
            </w:r>
          </w:p>
          <w:p>
            <w:pPr>
              <w:pStyle w:val="16"/>
              <w:adjustRightInd w:val="0"/>
              <w:snapToGrid w:val="0"/>
              <w:rPr>
                <w:color w:val="auto"/>
                <w:highlight w:val="none"/>
              </w:rPr>
            </w:pPr>
            <w:r>
              <w:rPr>
                <w:rFonts w:ascii="Times New Roman" w:hAnsi="Times New Roman"/>
                <w:color w:val="auto"/>
                <w:sz w:val="18"/>
                <w:szCs w:val="18"/>
                <w:highlight w:val="none"/>
              </w:rPr>
              <w:t>当投标人的评标价≤</w:t>
            </w:r>
            <w:r>
              <w:rPr>
                <w:rFonts w:hint="eastAsia" w:cs="宋体"/>
                <w:color w:val="auto"/>
                <w:sz w:val="18"/>
                <w:szCs w:val="18"/>
                <w:highlight w:val="none"/>
              </w:rPr>
              <w:t>基准价，</w:t>
            </w:r>
            <w:r>
              <w:rPr>
                <w:rFonts w:ascii="Times New Roman" w:hAnsi="Times New Roman"/>
                <w:color w:val="auto"/>
                <w:sz w:val="18"/>
                <w:szCs w:val="18"/>
                <w:highlight w:val="none"/>
              </w:rPr>
              <w:t>n=1</w:t>
            </w:r>
            <w:r>
              <w:rPr>
                <w:rFonts w:hint="eastAsia" w:cs="宋体"/>
                <w:color w:val="auto"/>
                <w:sz w:val="18"/>
                <w:szCs w:val="18"/>
                <w:highlight w:val="none"/>
              </w:rPr>
              <w:t>；</w:t>
            </w:r>
          </w:p>
          <w:p>
            <w:pPr>
              <w:pStyle w:val="16"/>
              <w:adjustRightInd w:val="0"/>
              <w:snapToGrid w:val="0"/>
              <w:rPr>
                <w:color w:val="auto"/>
                <w:highlight w:val="none"/>
              </w:rPr>
            </w:pPr>
            <w:r>
              <w:rPr>
                <w:rFonts w:ascii="Times New Roman" w:hAnsi="Times New Roman"/>
                <w:color w:val="auto"/>
                <w:sz w:val="18"/>
                <w:szCs w:val="18"/>
                <w:highlight w:val="none"/>
              </w:rPr>
              <w:t>当投标人的评标价＞基准价，n=2</w:t>
            </w:r>
            <w:r>
              <w:rPr>
                <w:rFonts w:hint="eastAsia" w:cs="宋体"/>
                <w:color w:val="auto"/>
                <w:sz w:val="18"/>
                <w:szCs w:val="18"/>
                <w:highlight w:val="none"/>
              </w:rPr>
              <w:t>。</w:t>
            </w:r>
          </w:p>
          <w:p>
            <w:pPr>
              <w:pStyle w:val="16"/>
              <w:adjustRightInd w:val="0"/>
              <w:snapToGrid w:val="0"/>
              <w:rPr>
                <w:color w:val="auto"/>
                <w:highlight w:val="none"/>
              </w:rPr>
            </w:pPr>
            <w:r>
              <w:rPr>
                <w:rFonts w:ascii="Times New Roman" w:hAnsi="Times New Roman"/>
                <w:color w:val="auto"/>
                <w:sz w:val="18"/>
                <w:szCs w:val="18"/>
                <w:highlight w:val="none"/>
              </w:rPr>
              <w:t>基准价为所有通过技术、商务评审的合格投标人的评标价去掉部分高价和部分低价后（但不影响其参与价格分计算）的算术平均值乘以（</w:t>
            </w:r>
            <w:r>
              <w:rPr>
                <w:rFonts w:hint="eastAsia" w:cs="宋体"/>
                <w:color w:val="auto"/>
                <w:sz w:val="18"/>
                <w:szCs w:val="18"/>
                <w:highlight w:val="none"/>
              </w:rPr>
              <w:t>1-下浮系数</w:t>
            </w:r>
            <w:r>
              <w:rPr>
                <w:rFonts w:ascii="Times New Roman" w:hAnsi="Times New Roman"/>
                <w:color w:val="auto"/>
                <w:sz w:val="18"/>
                <w:szCs w:val="18"/>
                <w:highlight w:val="none"/>
              </w:rPr>
              <w:t>）。</w:t>
            </w:r>
          </w:p>
          <w:p>
            <w:pPr>
              <w:pStyle w:val="16"/>
              <w:adjustRightInd w:val="0"/>
              <w:snapToGrid w:val="0"/>
              <w:rPr>
                <w:color w:val="auto"/>
                <w:highlight w:val="none"/>
              </w:rPr>
            </w:pPr>
            <w:r>
              <w:rPr>
                <w:rFonts w:ascii="Times New Roman" w:hAnsi="Times New Roman"/>
                <w:color w:val="auto"/>
                <w:sz w:val="18"/>
                <w:szCs w:val="18"/>
                <w:highlight w:val="none"/>
              </w:rPr>
              <w:t>其中计算基准价时，需要去除的评标价情况如下：</w:t>
            </w:r>
          </w:p>
          <w:p>
            <w:pPr>
              <w:pStyle w:val="16"/>
              <w:adjustRightInd w:val="0"/>
              <w:snapToGrid w:val="0"/>
              <w:rPr>
                <w:color w:val="auto"/>
                <w:highlight w:val="none"/>
              </w:rPr>
            </w:pPr>
            <w:r>
              <w:rPr>
                <w:rFonts w:ascii="Times New Roman" w:hAnsi="Times New Roman"/>
                <w:color w:val="auto"/>
                <w:sz w:val="18"/>
                <w:szCs w:val="18"/>
                <w:highlight w:val="none"/>
              </w:rPr>
              <w:t>M</w:t>
            </w:r>
            <w:r>
              <w:rPr>
                <w:rFonts w:hint="eastAsia" w:cs="宋体"/>
                <w:color w:val="auto"/>
                <w:sz w:val="18"/>
                <w:szCs w:val="18"/>
                <w:highlight w:val="none"/>
              </w:rPr>
              <w:t>：为通过技术、商务评审的合格投标人数量</w:t>
            </w:r>
          </w:p>
          <w:p>
            <w:pPr>
              <w:pStyle w:val="16"/>
              <w:adjustRightInd w:val="0"/>
              <w:snapToGrid w:val="0"/>
              <w:rPr>
                <w:color w:val="auto"/>
                <w:highlight w:val="none"/>
              </w:rPr>
            </w:pPr>
            <w:r>
              <w:rPr>
                <w:rFonts w:ascii="Times New Roman" w:hAnsi="Times New Roman"/>
                <w:color w:val="auto"/>
                <w:sz w:val="18"/>
                <w:szCs w:val="18"/>
                <w:highlight w:val="none"/>
              </w:rPr>
              <w:t>M≤5</w:t>
            </w:r>
            <w:r>
              <w:rPr>
                <w:rFonts w:hint="eastAsia" w:cs="宋体"/>
                <w:color w:val="auto"/>
                <w:sz w:val="18"/>
                <w:szCs w:val="18"/>
                <w:highlight w:val="none"/>
              </w:rPr>
              <w:t>时，直接计算；</w:t>
            </w:r>
          </w:p>
          <w:p>
            <w:pPr>
              <w:pStyle w:val="16"/>
              <w:adjustRightInd w:val="0"/>
              <w:snapToGrid w:val="0"/>
              <w:rPr>
                <w:color w:val="auto"/>
                <w:highlight w:val="none"/>
              </w:rPr>
            </w:pPr>
            <w:r>
              <w:rPr>
                <w:rFonts w:ascii="Times New Roman" w:hAnsi="Times New Roman"/>
                <w:color w:val="auto"/>
                <w:sz w:val="18"/>
                <w:szCs w:val="18"/>
                <w:highlight w:val="none"/>
              </w:rPr>
              <w:t>M=6</w:t>
            </w:r>
            <w:r>
              <w:rPr>
                <w:rFonts w:hint="eastAsia" w:cs="宋体"/>
                <w:color w:val="auto"/>
                <w:sz w:val="18"/>
                <w:szCs w:val="18"/>
                <w:highlight w:val="none"/>
              </w:rPr>
              <w:t>时，去掉一个最高价；</w:t>
            </w:r>
          </w:p>
          <w:p>
            <w:pPr>
              <w:pStyle w:val="16"/>
              <w:adjustRightInd w:val="0"/>
              <w:snapToGrid w:val="0"/>
              <w:rPr>
                <w:color w:val="auto"/>
                <w:highlight w:val="none"/>
              </w:rPr>
            </w:pPr>
            <w:r>
              <w:rPr>
                <w:rFonts w:ascii="Times New Roman" w:hAnsi="Times New Roman"/>
                <w:color w:val="auto"/>
                <w:sz w:val="18"/>
                <w:szCs w:val="18"/>
                <w:highlight w:val="none"/>
              </w:rPr>
              <w:t>M≥7</w:t>
            </w:r>
            <w:r>
              <w:rPr>
                <w:rFonts w:hint="eastAsia" w:cs="宋体"/>
                <w:color w:val="auto"/>
                <w:sz w:val="18"/>
                <w:szCs w:val="18"/>
                <w:highlight w:val="none"/>
              </w:rPr>
              <w:t>时，去掉一个最高价、一个最低价。</w:t>
            </w:r>
          </w:p>
          <w:p>
            <w:pPr>
              <w:widowControl/>
              <w:jc w:val="left"/>
              <w:rPr>
                <w:rFonts w:ascii="Times New Roman" w:hAnsi="Times New Roman"/>
                <w:color w:val="auto"/>
                <w:highlight w:val="none"/>
              </w:rPr>
            </w:pPr>
            <w:r>
              <w:rPr>
                <w:rFonts w:ascii="Times New Roman" w:hAnsi="Times New Roman"/>
                <w:color w:val="auto"/>
                <w:kern w:val="0"/>
                <w:sz w:val="18"/>
                <w:szCs w:val="18"/>
                <w:highlight w:val="none"/>
                <w:lang w:bidi="ar"/>
              </w:rPr>
              <w:t>注：</w:t>
            </w:r>
          </w:p>
          <w:p>
            <w:pPr>
              <w:widowControl/>
              <w:jc w:val="left"/>
              <w:rPr>
                <w:rFonts w:ascii="Times New Roman" w:hAnsi="Times New Roman"/>
                <w:color w:val="auto"/>
                <w:highlight w:val="none"/>
              </w:rPr>
            </w:pPr>
            <w:r>
              <w:rPr>
                <w:rFonts w:ascii="Times New Roman" w:hAnsi="Times New Roman"/>
                <w:color w:val="auto"/>
                <w:kern w:val="0"/>
                <w:sz w:val="18"/>
                <w:szCs w:val="18"/>
                <w:highlight w:val="none"/>
                <w:lang w:bidi="ar"/>
              </w:rPr>
              <w:t>1.</w:t>
            </w:r>
            <w:r>
              <w:rPr>
                <w:rFonts w:hint="eastAsia" w:ascii="宋体" w:hAnsi="宋体" w:cs="宋体"/>
                <w:color w:val="auto"/>
                <w:kern w:val="0"/>
                <w:sz w:val="18"/>
                <w:szCs w:val="18"/>
                <w:highlight w:val="none"/>
                <w:lang w:bidi="ar"/>
              </w:rPr>
              <w:t>评标价：合格投标人的投标报价经算术错误修正后的价格。</w:t>
            </w:r>
          </w:p>
          <w:p>
            <w:pPr>
              <w:widowControl/>
              <w:jc w:val="left"/>
              <w:rPr>
                <w:rFonts w:ascii="Times New Roman" w:hAnsi="Times New Roman"/>
                <w:color w:val="auto"/>
                <w:highlight w:val="none"/>
              </w:rPr>
            </w:pPr>
            <w:r>
              <w:rPr>
                <w:rFonts w:ascii="Times New Roman" w:hAnsi="Times New Roman"/>
                <w:color w:val="auto"/>
                <w:kern w:val="0"/>
                <w:sz w:val="18"/>
                <w:szCs w:val="18"/>
                <w:highlight w:val="none"/>
                <w:lang w:bidi="ar"/>
              </w:rPr>
              <w:t>2.</w:t>
            </w:r>
            <w:r>
              <w:rPr>
                <w:rFonts w:hint="eastAsia" w:ascii="宋体" w:hAnsi="宋体" w:cs="宋体"/>
                <w:color w:val="auto"/>
                <w:kern w:val="0"/>
                <w:sz w:val="18"/>
                <w:szCs w:val="18"/>
                <w:highlight w:val="none"/>
                <w:lang w:bidi="ar"/>
              </w:rPr>
              <w:t>当计算出的价格部分得分</w:t>
            </w:r>
            <w:r>
              <w:rPr>
                <w:rFonts w:ascii="Times New Roman" w:hAnsi="Times New Roman"/>
                <w:color w:val="auto"/>
                <w:kern w:val="0"/>
                <w:sz w:val="18"/>
                <w:szCs w:val="18"/>
                <w:highlight w:val="none"/>
                <w:lang w:bidi="ar"/>
              </w:rPr>
              <w:t>＜0</w:t>
            </w:r>
            <w:r>
              <w:rPr>
                <w:rFonts w:hint="eastAsia" w:ascii="宋体" w:hAnsi="宋体" w:cs="宋体"/>
                <w:color w:val="auto"/>
                <w:kern w:val="0"/>
                <w:sz w:val="18"/>
                <w:szCs w:val="18"/>
                <w:highlight w:val="none"/>
                <w:lang w:bidi="ar"/>
              </w:rPr>
              <w:t>，按</w:t>
            </w:r>
            <w:r>
              <w:rPr>
                <w:rFonts w:ascii="Times New Roman" w:hAnsi="Times New Roman"/>
                <w:color w:val="auto"/>
                <w:kern w:val="0"/>
                <w:sz w:val="18"/>
                <w:szCs w:val="18"/>
                <w:highlight w:val="none"/>
                <w:lang w:bidi="ar"/>
              </w:rPr>
              <w:t>0</w:t>
            </w:r>
            <w:r>
              <w:rPr>
                <w:rFonts w:hint="eastAsia" w:ascii="宋体" w:hAnsi="宋体" w:cs="宋体"/>
                <w:color w:val="auto"/>
                <w:kern w:val="0"/>
                <w:sz w:val="18"/>
                <w:szCs w:val="18"/>
                <w:highlight w:val="none"/>
                <w:lang w:bidi="ar"/>
              </w:rPr>
              <w:t>分计。</w:t>
            </w:r>
          </w:p>
          <w:p>
            <w:pPr>
              <w:autoSpaceDE w:val="0"/>
              <w:autoSpaceDN w:val="0"/>
              <w:snapToGrid w:val="0"/>
              <w:jc w:val="left"/>
              <w:rPr>
                <w:rFonts w:ascii="Times New Roman" w:hAnsi="Times New Roman"/>
                <w:b/>
                <w:color w:val="auto"/>
                <w:kern w:val="0"/>
                <w:sz w:val="18"/>
                <w:szCs w:val="18"/>
                <w:highlight w:val="none"/>
              </w:rPr>
            </w:pPr>
          </w:p>
          <w:p>
            <w:pPr>
              <w:pStyle w:val="40"/>
              <w:autoSpaceDE w:val="0"/>
              <w:autoSpaceDN w:val="0"/>
              <w:snapToGrid w:val="0"/>
              <w:spacing w:before="120" w:beforeLines="50"/>
              <w:rPr>
                <w:rFonts w:hint="default" w:ascii="Times New Roman" w:hAnsi="Times New Roman"/>
                <w:b/>
                <w:color w:val="auto"/>
                <w:kern w:val="0"/>
                <w:sz w:val="18"/>
                <w:szCs w:val="22"/>
                <w:highlight w:val="none"/>
              </w:rPr>
            </w:pPr>
            <w:r>
              <w:rPr>
                <w:rFonts w:hint="default" w:ascii="Times New Roman" w:hAnsi="Times New Roman"/>
                <w:b/>
                <w:color w:val="auto"/>
                <w:kern w:val="0"/>
                <w:sz w:val="18"/>
                <w:szCs w:val="18"/>
                <w:highlight w:val="none"/>
              </w:rPr>
              <w:t>公式</w:t>
            </w:r>
            <w:r>
              <w:rPr>
                <w:rFonts w:ascii="Times New Roman" w:hAnsi="Times New Roman"/>
                <w:b/>
                <w:color w:val="auto"/>
                <w:kern w:val="0"/>
                <w:sz w:val="18"/>
                <w:szCs w:val="18"/>
                <w:highlight w:val="none"/>
              </w:rPr>
              <w:t>4</w:t>
            </w:r>
            <w:r>
              <w:rPr>
                <w:rFonts w:hint="default" w:ascii="Times New Roman" w:hAnsi="Times New Roman"/>
                <w:b/>
                <w:color w:val="auto"/>
                <w:kern w:val="0"/>
                <w:sz w:val="18"/>
                <w:szCs w:val="18"/>
                <w:highlight w:val="none"/>
              </w:rPr>
              <w:t>：算术平均值下浮法（</w:t>
            </w:r>
            <w:r>
              <w:rPr>
                <w:rFonts w:ascii="Times New Roman" w:hAnsi="Times New Roman"/>
                <w:b/>
                <w:color w:val="auto"/>
                <w:kern w:val="0"/>
                <w:sz w:val="18"/>
                <w:szCs w:val="18"/>
                <w:highlight w:val="none"/>
              </w:rPr>
              <w:t>基准价去同</w:t>
            </w:r>
            <w:r>
              <w:rPr>
                <w:rFonts w:hint="default" w:ascii="Times New Roman" w:hAnsi="Times New Roman"/>
                <w:b/>
                <w:color w:val="auto"/>
                <w:kern w:val="0"/>
                <w:sz w:val="18"/>
                <w:szCs w:val="18"/>
                <w:highlight w:val="none"/>
              </w:rPr>
              <w:t>）</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价格得分=100-100×n×|基准价-投标人的评标价|/基准价</w:t>
            </w:r>
          </w:p>
          <w:p>
            <w:pPr>
              <w:pStyle w:val="40"/>
              <w:numPr>
                <w:ilvl w:val="0"/>
                <w:numId w:val="0"/>
              </w:numPr>
              <w:topLinePunct/>
              <w:autoSpaceDE w:val="0"/>
              <w:autoSpaceDN w:val="0"/>
              <w:snapToGrid w:val="0"/>
              <w:rPr>
                <w:rFonts w:hint="eastAsia"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2"/>
                <w:sz w:val="18"/>
                <w:szCs w:val="18"/>
                <w:highlight w:val="none"/>
                <w:lang w:val="en-US" w:eastAsia="zh-CN" w:bidi="ar-SA"/>
              </w:rPr>
              <w:t>正向系数为评标价格计算公式中当投标人的评标价＞基准价时的</w:t>
            </w:r>
            <w:r>
              <w:rPr>
                <w:rFonts w:ascii="Times New Roman" w:hAnsi="Times New Roman" w:eastAsia="宋体" w:cs="Times New Roman"/>
                <w:color w:val="auto"/>
                <w:kern w:val="2"/>
                <w:sz w:val="18"/>
                <w:szCs w:val="18"/>
                <w:highlight w:val="none"/>
                <w:lang w:val="en-US" w:eastAsia="zh-CN" w:bidi="ar-SA"/>
              </w:rPr>
              <w:t>n</w:t>
            </w:r>
            <w:r>
              <w:rPr>
                <w:rFonts w:hint="eastAsia" w:ascii="Times New Roman" w:hAnsi="Times New Roman" w:eastAsia="宋体" w:cs="Times New Roman"/>
                <w:color w:val="auto"/>
                <w:kern w:val="2"/>
                <w:sz w:val="18"/>
                <w:szCs w:val="18"/>
                <w:highlight w:val="none"/>
                <w:lang w:val="en-US" w:eastAsia="zh-CN" w:bidi="ar-SA"/>
              </w:rPr>
              <w:t>值；</w:t>
            </w:r>
          </w:p>
          <w:p>
            <w:pPr>
              <w:pStyle w:val="40"/>
              <w:numPr>
                <w:ilvl w:val="0"/>
                <w:numId w:val="0"/>
              </w:numPr>
              <w:topLinePunct/>
              <w:autoSpaceDE w:val="0"/>
              <w:autoSpaceDN w:val="0"/>
              <w:snapToGrid w:val="0"/>
              <w:rPr>
                <w:rFonts w:hint="default" w:ascii="Times New Roman" w:hAnsi="Times New Roman"/>
                <w:color w:val="auto"/>
                <w:sz w:val="18"/>
                <w:szCs w:val="18"/>
                <w:highlight w:val="none"/>
              </w:rPr>
            </w:pPr>
            <w:r>
              <w:rPr>
                <w:rFonts w:hint="eastAsia" w:ascii="Times New Roman" w:hAnsi="Times New Roman" w:eastAsia="宋体" w:cs="Times New Roman"/>
                <w:color w:val="auto"/>
                <w:kern w:val="2"/>
                <w:sz w:val="18"/>
                <w:szCs w:val="18"/>
                <w:highlight w:val="none"/>
                <w:lang w:val="en-US" w:eastAsia="zh-CN" w:bidi="ar-SA"/>
              </w:rPr>
              <w:t>负向系数为评标价格计算公式中当投标人的评标价</w:t>
            </w:r>
            <w:r>
              <w:rPr>
                <w:rFonts w:ascii="Times New Roman" w:hAnsi="Times New Roman" w:eastAsia="宋体" w:cs="Times New Roman"/>
                <w:color w:val="auto"/>
                <w:kern w:val="2"/>
                <w:sz w:val="18"/>
                <w:szCs w:val="18"/>
                <w:highlight w:val="none"/>
                <w:lang w:val="en-US" w:eastAsia="zh-CN" w:bidi="ar-SA"/>
              </w:rPr>
              <w:t>≤</w:t>
            </w:r>
            <w:r>
              <w:rPr>
                <w:rFonts w:hint="eastAsia" w:ascii="Times New Roman" w:hAnsi="Times New Roman" w:eastAsia="宋体" w:cs="Times New Roman"/>
                <w:color w:val="auto"/>
                <w:kern w:val="2"/>
                <w:sz w:val="18"/>
                <w:szCs w:val="18"/>
                <w:highlight w:val="none"/>
                <w:lang w:val="en-US" w:eastAsia="zh-CN" w:bidi="ar-SA"/>
              </w:rPr>
              <w:t>基准价时的</w:t>
            </w:r>
            <w:r>
              <w:rPr>
                <w:rFonts w:ascii="Times New Roman" w:hAnsi="Times New Roman" w:eastAsia="宋体" w:cs="Times New Roman"/>
                <w:color w:val="auto"/>
                <w:kern w:val="2"/>
                <w:sz w:val="18"/>
                <w:szCs w:val="18"/>
                <w:highlight w:val="none"/>
                <w:lang w:val="en-US" w:eastAsia="zh-CN" w:bidi="ar-SA"/>
              </w:rPr>
              <w:t>n</w:t>
            </w:r>
            <w:r>
              <w:rPr>
                <w:rFonts w:hint="eastAsia" w:ascii="Times New Roman" w:hAnsi="Times New Roman" w:eastAsia="宋体" w:cs="Times New Roman"/>
                <w:color w:val="auto"/>
                <w:kern w:val="2"/>
                <w:sz w:val="18"/>
                <w:szCs w:val="18"/>
                <w:highlight w:val="none"/>
                <w:lang w:val="en-US" w:eastAsia="zh-CN" w:bidi="ar-SA"/>
              </w:rPr>
              <w:t>值。</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基准价为所有通过技术、商务评审的合格投标人的评标价先去掉部分“相同”报价后，再去掉部分高价和部分低价（均不影响其参与价格分计算）的算术平均值乘以（1-下浮系数）。</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需要去除的报价情况如下：</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对于两个及以上“相同”的投标报价（万元），只取其中的最低投标报价参与基准价计算。“相同”是指投标报价（万元）除以S，四舍五入取整后相同。</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S为“相同系数”：A0为所有通过技术、商务评审的合格投标人的评标价的算术平均值；</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A0＜100时，取S=1；</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100≤A0＜1000时，取S=5；</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1000≤A0时，取S=10。</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M： 为去掉部分“相同”报价后的评标价的数量。</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M≤5时，直接计算；</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M=6时，去掉一个最高价；</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M≥7时，去掉一个最高价、一个最低价。</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注：</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1.评标价：合格投标人的投标报价经算术错误修正后的价格。</w:t>
            </w:r>
          </w:p>
          <w:p>
            <w:pPr>
              <w:pStyle w:val="40"/>
              <w:topLinePunct/>
              <w:autoSpaceDE w:val="0"/>
              <w:autoSpaceDN w:val="0"/>
              <w:snapToGrid w:val="0"/>
              <w:rPr>
                <w:rFonts w:ascii="Times New Roman" w:hAnsi="Times New Roman"/>
                <w:color w:val="auto"/>
                <w:kern w:val="0"/>
                <w:sz w:val="18"/>
                <w:szCs w:val="18"/>
                <w:highlight w:val="none"/>
              </w:rPr>
            </w:pPr>
            <w:r>
              <w:rPr>
                <w:rFonts w:ascii="Times New Roman" w:hAnsi="Times New Roman"/>
                <w:color w:val="auto"/>
                <w:kern w:val="0"/>
                <w:sz w:val="18"/>
                <w:szCs w:val="18"/>
                <w:highlight w:val="none"/>
              </w:rPr>
              <w:t>2.当计算出的价格部分得分＜0，按0分计。</w:t>
            </w:r>
          </w:p>
          <w:p>
            <w:pPr>
              <w:pStyle w:val="40"/>
              <w:topLinePunct/>
              <w:autoSpaceDE w:val="0"/>
              <w:autoSpaceDN w:val="0"/>
              <w:snapToGrid w:val="0"/>
              <w:spacing w:before="120" w:beforeLines="50"/>
              <w:jc w:val="left"/>
              <w:rPr>
                <w:rFonts w:ascii="Times New Roman" w:hAnsi="Times New Roman"/>
                <w:b/>
                <w:color w:val="auto"/>
                <w:sz w:val="18"/>
                <w:szCs w:val="18"/>
                <w:highlight w:val="none"/>
              </w:rPr>
            </w:pPr>
          </w:p>
          <w:p>
            <w:pPr>
              <w:pStyle w:val="40"/>
              <w:topLinePunct/>
              <w:autoSpaceDE w:val="0"/>
              <w:autoSpaceDN w:val="0"/>
              <w:snapToGrid w:val="0"/>
              <w:spacing w:before="120" w:beforeLines="50"/>
              <w:jc w:val="left"/>
              <w:rPr>
                <w:rFonts w:hint="default" w:ascii="Times New Roman" w:hAnsi="Times New Roman"/>
                <w:b/>
                <w:color w:val="auto"/>
                <w:sz w:val="18"/>
                <w:szCs w:val="18"/>
                <w:highlight w:val="none"/>
              </w:rPr>
            </w:pPr>
            <w:r>
              <w:rPr>
                <w:rFonts w:ascii="Times New Roman" w:hAnsi="Times New Roman"/>
                <w:b/>
                <w:color w:val="auto"/>
                <w:sz w:val="18"/>
                <w:szCs w:val="18"/>
                <w:highlight w:val="none"/>
              </w:rPr>
              <w:t>公式5：算术平均值下浮法（折扣比例）</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价格得分</w:t>
            </w:r>
            <w:r>
              <w:rPr>
                <w:rFonts w:hint="default" w:ascii="Times New Roman" w:hAnsi="Times New Roman"/>
                <w:color w:val="auto"/>
                <w:sz w:val="18"/>
                <w:szCs w:val="18"/>
                <w:highlight w:val="none"/>
              </w:rPr>
              <w:t>=100-100×n×|</w:t>
            </w:r>
            <w:r>
              <w:rPr>
                <w:rFonts w:ascii="Times New Roman" w:hAnsi="Times New Roman"/>
                <w:color w:val="auto"/>
                <w:sz w:val="18"/>
                <w:szCs w:val="18"/>
                <w:highlight w:val="none"/>
              </w:rPr>
              <w:t>基准值</w:t>
            </w:r>
            <w:r>
              <w:rPr>
                <w:rFonts w:hint="default" w:ascii="Times New Roman" w:hAnsi="Times New Roman"/>
                <w:color w:val="auto"/>
                <w:sz w:val="18"/>
                <w:szCs w:val="18"/>
                <w:highlight w:val="none"/>
              </w:rPr>
              <w:t>-</w:t>
            </w:r>
            <w:r>
              <w:rPr>
                <w:rFonts w:ascii="Times New Roman" w:hAnsi="Times New Roman"/>
                <w:color w:val="auto"/>
                <w:sz w:val="18"/>
                <w:szCs w:val="18"/>
                <w:highlight w:val="none"/>
              </w:rPr>
              <w:t>投标人的折扣比例</w:t>
            </w:r>
            <w:r>
              <w:rPr>
                <w:rFonts w:hint="default" w:ascii="Times New Roman" w:hAnsi="Times New Roman"/>
                <w:color w:val="auto"/>
                <w:sz w:val="18"/>
                <w:szCs w:val="18"/>
                <w:highlight w:val="none"/>
              </w:rPr>
              <w:t>|/</w:t>
            </w:r>
            <w:r>
              <w:rPr>
                <w:rFonts w:ascii="Times New Roman" w:hAnsi="Times New Roman"/>
                <w:color w:val="auto"/>
                <w:sz w:val="18"/>
                <w:szCs w:val="18"/>
                <w:highlight w:val="none"/>
              </w:rPr>
              <w:t>基准值</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当投标人的折扣比例≤基准值，</w:t>
            </w:r>
            <w:r>
              <w:rPr>
                <w:rFonts w:hint="default" w:ascii="Times New Roman" w:hAnsi="Times New Roman"/>
                <w:color w:val="auto"/>
                <w:sz w:val="18"/>
                <w:szCs w:val="18"/>
                <w:highlight w:val="none"/>
              </w:rPr>
              <w:t>n=1</w:t>
            </w:r>
            <w:r>
              <w:rPr>
                <w:rFonts w:ascii="Times New Roman" w:hAnsi="Times New Roman"/>
                <w:color w:val="auto"/>
                <w:sz w:val="18"/>
                <w:szCs w:val="18"/>
                <w:highlight w:val="none"/>
              </w:rPr>
              <w:t>；</w:t>
            </w: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当投标人的折扣比例＞基准值，</w:t>
            </w:r>
            <w:r>
              <w:rPr>
                <w:rFonts w:hint="default" w:ascii="Times New Roman" w:hAnsi="Times New Roman"/>
                <w:color w:val="auto"/>
                <w:sz w:val="18"/>
                <w:szCs w:val="18"/>
                <w:highlight w:val="none"/>
              </w:rPr>
              <w:t>n=2</w:t>
            </w:r>
            <w:r>
              <w:rPr>
                <w:rFonts w:ascii="Times New Roman" w:hAnsi="Times New Roman"/>
                <w:color w:val="auto"/>
                <w:sz w:val="18"/>
                <w:szCs w:val="18"/>
                <w:highlight w:val="none"/>
              </w:rPr>
              <w:t>。</w:t>
            </w:r>
          </w:p>
          <w:p>
            <w:pPr>
              <w:pStyle w:val="40"/>
              <w:topLinePunct/>
              <w:autoSpaceDE w:val="0"/>
              <w:autoSpaceDN w:val="0"/>
              <w:snapToGrid w:val="0"/>
              <w:jc w:val="left"/>
              <w:rPr>
                <w:rFonts w:hint="default" w:ascii="Times New Roman" w:hAnsi="Times New Roman"/>
                <w:color w:val="auto"/>
                <w:sz w:val="18"/>
                <w:szCs w:val="18"/>
                <w:highlight w:val="none"/>
              </w:rPr>
            </w:pP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基准值为所有通过技术、商务评审的合格投标人的折扣比例去掉部分高值和部分低值后（但不影响其参与价格分计算）的算术平均值乘以（</w:t>
            </w:r>
            <w:r>
              <w:rPr>
                <w:rFonts w:hint="default" w:ascii="Times New Roman" w:hAnsi="Times New Roman"/>
                <w:color w:val="auto"/>
                <w:sz w:val="18"/>
                <w:szCs w:val="18"/>
                <w:highlight w:val="none"/>
              </w:rPr>
              <w:t>1+</w:t>
            </w:r>
            <w:r>
              <w:rPr>
                <w:rFonts w:ascii="Times New Roman" w:hAnsi="Times New Roman"/>
                <w:color w:val="auto"/>
                <w:sz w:val="18"/>
                <w:szCs w:val="18"/>
                <w:highlight w:val="none"/>
              </w:rPr>
              <w:t>下浮系数）</w:t>
            </w:r>
            <w:r>
              <w:rPr>
                <w:rFonts w:ascii="Times New Roman" w:hAnsi="Times New Roman"/>
                <w:color w:val="auto"/>
                <w:sz w:val="18"/>
                <w:highlight w:val="none"/>
              </w:rPr>
              <w:t>。</w:t>
            </w:r>
          </w:p>
          <w:p>
            <w:pPr>
              <w:pStyle w:val="40"/>
              <w:topLinePunct/>
              <w:autoSpaceDE w:val="0"/>
              <w:autoSpaceDN w:val="0"/>
              <w:snapToGrid w:val="0"/>
              <w:jc w:val="left"/>
              <w:rPr>
                <w:rFonts w:hint="default" w:ascii="Times New Roman" w:hAnsi="Times New Roman"/>
                <w:color w:val="auto"/>
                <w:sz w:val="18"/>
                <w:szCs w:val="18"/>
                <w:highlight w:val="none"/>
              </w:rPr>
            </w:pPr>
          </w:p>
          <w:p>
            <w:pPr>
              <w:pStyle w:val="40"/>
              <w:topLinePunct/>
              <w:autoSpaceDE w:val="0"/>
              <w:autoSpaceDN w:val="0"/>
              <w:snapToGrid w:val="0"/>
              <w:jc w:val="left"/>
              <w:rPr>
                <w:rFonts w:hint="default" w:ascii="Times New Roman" w:hAnsi="Times New Roman"/>
                <w:color w:val="auto"/>
                <w:sz w:val="18"/>
                <w:szCs w:val="18"/>
                <w:highlight w:val="none"/>
              </w:rPr>
            </w:pPr>
            <w:r>
              <w:rPr>
                <w:rFonts w:ascii="Times New Roman" w:hAnsi="Times New Roman"/>
                <w:color w:val="auto"/>
                <w:sz w:val="18"/>
                <w:szCs w:val="18"/>
                <w:highlight w:val="none"/>
              </w:rPr>
              <w:t>其中计算基准值时，需要去除的折扣比例情况如下：</w:t>
            </w:r>
          </w:p>
          <w:p>
            <w:pPr>
              <w:pStyle w:val="40"/>
              <w:topLinePunct/>
              <w:autoSpaceDE w:val="0"/>
              <w:autoSpaceDN w:val="0"/>
              <w:snapToGrid w:val="0"/>
              <w:jc w:val="left"/>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w:t>
            </w:r>
            <w:r>
              <w:rPr>
                <w:rFonts w:ascii="Times New Roman" w:hAnsi="Times New Roman"/>
                <w:color w:val="auto"/>
                <w:sz w:val="18"/>
                <w:szCs w:val="18"/>
                <w:highlight w:val="none"/>
              </w:rPr>
              <w:t>：为通过技术、商务评审的合格投标人数量</w:t>
            </w:r>
          </w:p>
          <w:p>
            <w:pPr>
              <w:pStyle w:val="40"/>
              <w:topLinePunct/>
              <w:autoSpaceDE w:val="0"/>
              <w:autoSpaceDN w:val="0"/>
              <w:snapToGrid w:val="0"/>
              <w:jc w:val="left"/>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M≤5</w:t>
            </w:r>
            <w:r>
              <w:rPr>
                <w:rFonts w:ascii="Times New Roman" w:hAnsi="Times New Roman"/>
                <w:color w:val="auto"/>
                <w:sz w:val="18"/>
                <w:szCs w:val="18"/>
                <w:highlight w:val="none"/>
              </w:rPr>
              <w:t>时，直接计算；</w:t>
            </w:r>
          </w:p>
          <w:p>
            <w:pPr>
              <w:pStyle w:val="40"/>
              <w:topLinePunct/>
              <w:autoSpaceDE w:val="0"/>
              <w:autoSpaceDN w:val="0"/>
              <w:snapToGrid w:val="0"/>
              <w:jc w:val="left"/>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M=6</w:t>
            </w:r>
            <w:r>
              <w:rPr>
                <w:rFonts w:ascii="Times New Roman" w:hAnsi="Times New Roman"/>
                <w:color w:val="auto"/>
                <w:sz w:val="18"/>
                <w:szCs w:val="18"/>
                <w:highlight w:val="none"/>
              </w:rPr>
              <w:t>时，去掉一个最高值；</w:t>
            </w:r>
          </w:p>
          <w:p>
            <w:pPr>
              <w:pStyle w:val="40"/>
              <w:topLinePunct/>
              <w:jc w:val="left"/>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M≥7</w:t>
            </w:r>
            <w:r>
              <w:rPr>
                <w:rFonts w:ascii="Times New Roman" w:hAnsi="Times New Roman"/>
                <w:color w:val="auto"/>
                <w:sz w:val="18"/>
                <w:szCs w:val="18"/>
                <w:highlight w:val="none"/>
              </w:rPr>
              <w:t>时，去掉一个最高值、一个最低值。</w:t>
            </w:r>
          </w:p>
          <w:p>
            <w:pPr>
              <w:pStyle w:val="17"/>
              <w:rPr>
                <w:rFonts w:hint="eastAsia"/>
                <w:color w:val="auto"/>
                <w:highlight w:val="none"/>
              </w:rPr>
            </w:pPr>
            <w:r>
              <w:rPr>
                <w:rFonts w:ascii="Times New Roman" w:hAnsi="Times New Roman"/>
                <w:color w:val="auto"/>
                <w:sz w:val="18"/>
                <w:szCs w:val="18"/>
                <w:highlight w:val="none"/>
              </w:rPr>
              <w:t>注：当计算出的价格部分得分＜</w:t>
            </w:r>
            <w:r>
              <w:rPr>
                <w:rFonts w:hint="default" w:ascii="Times New Roman" w:hAnsi="Times New Roman"/>
                <w:color w:val="auto"/>
                <w:sz w:val="18"/>
                <w:szCs w:val="18"/>
                <w:highlight w:val="none"/>
              </w:rPr>
              <w:t>0</w:t>
            </w:r>
            <w:r>
              <w:rPr>
                <w:rFonts w:ascii="Times New Roman" w:hAnsi="Times New Roman"/>
                <w:color w:val="auto"/>
                <w:sz w:val="18"/>
                <w:szCs w:val="18"/>
                <w:highlight w:val="none"/>
              </w:rPr>
              <w:t>，按</w:t>
            </w:r>
            <w:r>
              <w:rPr>
                <w:rFonts w:hint="default" w:ascii="Times New Roman" w:hAnsi="Times New Roman"/>
                <w:color w:val="auto"/>
                <w:sz w:val="18"/>
                <w:szCs w:val="18"/>
                <w:highlight w:val="none"/>
              </w:rPr>
              <w:t>0</w:t>
            </w:r>
            <w:r>
              <w:rPr>
                <w:rFonts w:ascii="Times New Roman" w:hAnsi="Times New Roman"/>
                <w:color w:val="auto"/>
                <w:sz w:val="18"/>
                <w:szCs w:val="18"/>
                <w:highlight w:val="none"/>
              </w:rPr>
              <w:t>分计。</w:t>
            </w:r>
          </w:p>
        </w:tc>
      </w:tr>
    </w:tbl>
    <w:p>
      <w:pPr>
        <w:pStyle w:val="17"/>
        <w:rPr>
          <w:color w:val="auto"/>
          <w:highlight w:val="none"/>
          <w:lang w:val="zh-CN"/>
        </w:rPr>
      </w:pPr>
    </w:p>
    <w:p>
      <w:pPr>
        <w:rPr>
          <w:rFonts w:ascii="黑体" w:hAnsi="黑体" w:eastAsia="黑体"/>
          <w:b/>
          <w:color w:val="auto"/>
          <w:kern w:val="0"/>
          <w:sz w:val="24"/>
          <w:highlight w:val="none"/>
          <w:lang w:val="zh-CN"/>
        </w:rPr>
      </w:pPr>
      <w:r>
        <w:rPr>
          <w:rFonts w:ascii="黑体" w:hAnsi="黑体" w:eastAsia="黑体"/>
          <w:b/>
          <w:color w:val="auto"/>
          <w:kern w:val="0"/>
          <w:sz w:val="24"/>
          <w:highlight w:val="none"/>
          <w:lang w:val="zh-CN"/>
        </w:rPr>
        <w:br w:type="page"/>
      </w:r>
    </w:p>
    <w:p>
      <w:pPr>
        <w:pStyle w:val="5"/>
        <w:ind w:firstLine="0"/>
        <w:rPr>
          <w:rFonts w:hint="eastAsia" w:ascii="宋体" w:hAnsi="宋体" w:eastAsia="宋体" w:cs="宋体"/>
          <w:color w:val="auto"/>
          <w:szCs w:val="21"/>
          <w:highlight w:val="none"/>
          <w:lang w:eastAsia="zh-CN"/>
        </w:rPr>
      </w:pPr>
      <w:r>
        <w:rPr>
          <w:rFonts w:ascii="黑体" w:hAnsi="黑体" w:eastAsia="黑体"/>
          <w:b/>
          <w:color w:val="auto"/>
          <w:kern w:val="0"/>
          <w:sz w:val="24"/>
          <w:highlight w:val="none"/>
          <w:lang w:val="zh-CN"/>
        </w:rPr>
        <w:t>评标办法前附表之</w:t>
      </w:r>
      <w:r>
        <w:rPr>
          <w:rFonts w:hint="eastAsia" w:ascii="黑体" w:hAnsi="黑体" w:eastAsia="黑体"/>
          <w:b/>
          <w:color w:val="auto"/>
          <w:kern w:val="0"/>
          <w:sz w:val="24"/>
          <w:highlight w:val="none"/>
          <w:lang w:val="zh-CN"/>
        </w:rPr>
        <w:t>六</w:t>
      </w:r>
    </w:p>
    <w:tbl>
      <w:tblPr>
        <w:tblStyle w:val="19"/>
        <w:tblW w:w="10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1758"/>
        <w:gridCol w:w="971"/>
        <w:gridCol w:w="945"/>
        <w:gridCol w:w="1212"/>
        <w:gridCol w:w="1287"/>
        <w:gridCol w:w="654"/>
        <w:gridCol w:w="673"/>
        <w:gridCol w:w="634"/>
        <w:gridCol w:w="17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blHeader/>
          <w:jc w:val="center"/>
        </w:trPr>
        <w:tc>
          <w:tcPr>
            <w:tcW w:w="510" w:type="dxa"/>
            <w:vMerge w:val="restart"/>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序号</w:t>
            </w:r>
          </w:p>
        </w:tc>
        <w:tc>
          <w:tcPr>
            <w:tcW w:w="1758" w:type="dxa"/>
            <w:vMerge w:val="restart"/>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工程名称</w:t>
            </w:r>
          </w:p>
        </w:tc>
        <w:tc>
          <w:tcPr>
            <w:tcW w:w="971" w:type="dxa"/>
            <w:vMerge w:val="restart"/>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b/>
                <w:bCs/>
                <w:color w:val="000000"/>
                <w:kern w:val="0"/>
                <w:sz w:val="18"/>
                <w:szCs w:val="18"/>
                <w:highlight w:val="none"/>
              </w:rPr>
            </w:pPr>
            <w:r>
              <w:rPr>
                <w:rFonts w:hint="eastAsia" w:ascii="宋体" w:hAnsi="宋体" w:eastAsia="宋体" w:cs="宋体"/>
                <w:b/>
                <w:bCs/>
                <w:color w:val="000000"/>
                <w:kern w:val="0"/>
                <w:sz w:val="18"/>
                <w:szCs w:val="18"/>
                <w:highlight w:val="none"/>
                <w:lang w:val="en-US" w:eastAsia="zh-CN" w:bidi="ar"/>
              </w:rPr>
              <w:t>分标</w:t>
            </w:r>
          </w:p>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名称</w:t>
            </w:r>
          </w:p>
        </w:tc>
        <w:tc>
          <w:tcPr>
            <w:tcW w:w="945" w:type="dxa"/>
            <w:vMerge w:val="restart"/>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b/>
                <w:bCs/>
                <w:color w:val="000000"/>
                <w:kern w:val="0"/>
                <w:sz w:val="18"/>
                <w:szCs w:val="18"/>
                <w:highlight w:val="none"/>
              </w:rPr>
            </w:pPr>
            <w:r>
              <w:rPr>
                <w:rFonts w:hint="eastAsia" w:ascii="宋体" w:hAnsi="宋体" w:eastAsia="宋体" w:cs="宋体"/>
                <w:b/>
                <w:bCs/>
                <w:color w:val="000000"/>
                <w:kern w:val="0"/>
                <w:sz w:val="18"/>
                <w:szCs w:val="18"/>
                <w:highlight w:val="none"/>
                <w:lang w:val="en-US" w:eastAsia="zh-CN" w:bidi="ar"/>
              </w:rPr>
              <w:t>权重设置</w:t>
            </w:r>
          </w:p>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技:商:价</w:t>
            </w:r>
          </w:p>
        </w:tc>
        <w:tc>
          <w:tcPr>
            <w:tcW w:w="3826" w:type="dxa"/>
            <w:gridSpan w:val="4"/>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rPr>
              <w:t>价格计分算法</w:t>
            </w:r>
          </w:p>
        </w:tc>
        <w:tc>
          <w:tcPr>
            <w:tcW w:w="2382" w:type="dxa"/>
            <w:gridSpan w:val="2"/>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rPr>
              <w:t>同时中标最多数量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blHeader/>
          <w:jc w:val="center"/>
        </w:trPr>
        <w:tc>
          <w:tcPr>
            <w:tcW w:w="510"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1758"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971"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945"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1212"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价格公式</w:t>
            </w: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下浮系数</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正向系数</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负向系数</w:t>
            </w:r>
          </w:p>
        </w:tc>
        <w:tc>
          <w:tcPr>
            <w:tcW w:w="63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总包数</w:t>
            </w: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限包数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color w:val="auto"/>
                <w:kern w:val="0"/>
                <w:sz w:val="18"/>
                <w:szCs w:val="18"/>
                <w:highlight w:val="none"/>
                <w:lang w:eastAsia="zh" w:bidi="ar"/>
              </w:rPr>
              <w:t>1</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eastAsia="宋体" w:cs="宋体"/>
                <w:color w:val="auto"/>
                <w:kern w:val="0"/>
                <w:sz w:val="18"/>
                <w:szCs w:val="18"/>
                <w:highlight w:val="none"/>
                <w:lang w:val="en-US" w:eastAsia="zh-CN" w:bidi="ar"/>
              </w:rPr>
              <w:t>陕西-河南、鲁苏背靠背</w:t>
            </w:r>
            <w:r>
              <w:rPr>
                <w:rFonts w:hint="eastAsia" w:ascii="宋体" w:hAnsi="宋体" w:eastAsia="宋体" w:cs="宋体"/>
                <w:color w:val="auto"/>
                <w:kern w:val="0"/>
                <w:sz w:val="18"/>
                <w:szCs w:val="18"/>
                <w:highlight w:val="none"/>
                <w:lang w:bidi="ar"/>
              </w:rPr>
              <w:t>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换流站土建施工</w:t>
            </w:r>
          </w:p>
        </w:tc>
        <w:tc>
          <w:tcPr>
            <w:tcW w:w="945"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restart"/>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算术平均值下浮法（基准价去同）</w:t>
            </w:r>
          </w:p>
        </w:tc>
        <w:tc>
          <w:tcPr>
            <w:tcW w:w="1287"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restart"/>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default" w:ascii="宋体" w:hAnsi="宋体" w:eastAsia="宋体" w:cs="宋体"/>
                <w:b/>
                <w:bCs/>
                <w:color w:val="000000"/>
                <w:kern w:val="0"/>
                <w:sz w:val="18"/>
                <w:szCs w:val="18"/>
                <w:highlight w:val="none"/>
                <w:lang w:val="en-US" w:eastAsia="zh-CN" w:bidi="ar"/>
              </w:rPr>
            </w:pPr>
            <w:r>
              <w:rPr>
                <w:rFonts w:hint="eastAsia" w:ascii="宋体" w:hAnsi="宋体" w:cs="宋体"/>
                <w:b w:val="0"/>
                <w:bCs w:val="0"/>
                <w:color w:val="000000"/>
                <w:kern w:val="0"/>
                <w:sz w:val="18"/>
                <w:szCs w:val="18"/>
                <w:highlight w:val="none"/>
                <w:lang w:val="en-US" w:eastAsia="zh-CN" w:bidi="ar"/>
              </w:rPr>
              <w:t>详见招标公告</w:t>
            </w:r>
          </w:p>
        </w:tc>
        <w:tc>
          <w:tcPr>
            <w:tcW w:w="174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eastAsia="宋体" w:cs="宋体"/>
                <w:b w:val="0"/>
                <w:bCs w:val="0"/>
                <w:color w:val="000000"/>
                <w:kern w:val="0"/>
                <w:sz w:val="18"/>
                <w:szCs w:val="18"/>
                <w:highlight w:val="none"/>
                <w:lang w:val="en-US" w:eastAsia="zh-CN" w:bidi="ar"/>
              </w:rPr>
              <w:t>包1-6限中1个，包7-包8限中1个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cs="宋体"/>
                <w:color w:val="auto"/>
                <w:kern w:val="0"/>
                <w:sz w:val="18"/>
                <w:szCs w:val="18"/>
                <w:highlight w:val="none"/>
                <w:lang w:val="en-US" w:eastAsia="zh-CN" w:bidi="ar"/>
              </w:rPr>
              <w:t>2</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i w:val="0"/>
                <w:iCs w:val="0"/>
                <w:color w:val="auto"/>
                <w:kern w:val="0"/>
                <w:sz w:val="18"/>
                <w:szCs w:val="18"/>
                <w:highlight w:val="none"/>
                <w:u w:val="none"/>
                <w:lang w:val="en-US" w:eastAsia="zh-CN" w:bidi="ar"/>
              </w:rPr>
              <w:t>变电站土建及电气安装施工</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b w:val="0"/>
                <w:bCs w:val="0"/>
                <w:color w:val="000000"/>
                <w:kern w:val="0"/>
                <w:sz w:val="18"/>
                <w:szCs w:val="18"/>
                <w:highlight w:val="none"/>
                <w:lang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b w:val="0"/>
                <w:bCs w:val="0"/>
                <w:color w:val="000000"/>
                <w:kern w:val="0"/>
                <w:sz w:val="18"/>
                <w:szCs w:val="18"/>
                <w:highlight w:val="none"/>
                <w:lang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3</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变电站桩基施工</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eastAsia="宋体" w:cs="宋体"/>
                <w:kern w:val="0"/>
                <w:sz w:val="18"/>
                <w:szCs w:val="18"/>
                <w:highlight w:val="none"/>
                <w:lang w:eastAsia="zh" w:bidi="ar"/>
              </w:rPr>
              <w:t>4</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陕西-河南、鲁苏背靠背、达拉特~蒙西工程、浙江环网工程、攀西特高压工程、招远核电送出工程、烟威（登州站升压）工程、甘肃～浙江</w:t>
            </w:r>
            <w:r>
              <w:rPr>
                <w:rFonts w:hint="eastAsia" w:ascii="宋体" w:hAnsi="宋体" w:cs="宋体"/>
                <w:color w:val="auto"/>
                <w:kern w:val="0"/>
                <w:sz w:val="18"/>
                <w:szCs w:val="18"/>
                <w:highlight w:val="none"/>
                <w:lang w:val="en-US" w:eastAsia="zh-CN" w:bidi="ar"/>
              </w:rPr>
              <w:t>芜湖</w:t>
            </w:r>
            <w:r>
              <w:rPr>
                <w:rFonts w:hint="eastAsia" w:ascii="宋体" w:hAnsi="宋体" w:eastAsia="宋体" w:cs="宋体"/>
                <w:color w:val="auto"/>
                <w:kern w:val="0"/>
                <w:sz w:val="18"/>
                <w:szCs w:val="18"/>
                <w:highlight w:val="none"/>
                <w:lang w:bidi="ar"/>
              </w:rPr>
              <w:t>GIL管廊</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光纤通信施工</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b w:val="0"/>
                <w:bCs w:val="0"/>
                <w:i w:val="0"/>
                <w:iCs w:val="0"/>
                <w:color w:val="auto"/>
                <w:sz w:val="18"/>
                <w:szCs w:val="18"/>
                <w:highlight w:val="none"/>
                <w:lang w:val="en-US" w:eastAsia="zh-CN"/>
              </w:rPr>
              <w:t>包1-包4限中1包，包5-包6限中1包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r>
              <w:rPr>
                <w:rFonts w:hint="eastAsia" w:ascii="宋体" w:hAnsi="宋体" w:cs="宋体"/>
                <w:kern w:val="0"/>
                <w:sz w:val="18"/>
                <w:szCs w:val="18"/>
                <w:highlight w:val="none"/>
                <w:lang w:val="en-US" w:eastAsia="zh-CN" w:bidi="ar"/>
              </w:rPr>
              <w:t>5</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变电站监理</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cs="宋体"/>
                <w:color w:val="000000"/>
                <w:kern w:val="0"/>
                <w:sz w:val="18"/>
                <w:szCs w:val="18"/>
                <w:highlight w:val="none"/>
                <w:lang w:val="en-US" w:eastAsia="zh-CN" w:bidi="ar"/>
              </w:rPr>
              <w:t>6</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陕西-河南、鲁苏背靠背、达拉特~蒙西工程、浙江环网工程、攀西特高压工程、招远核电送出工程、烟威（登州站升压）工程、甘肃～浙江</w:t>
            </w:r>
            <w:r>
              <w:rPr>
                <w:rFonts w:hint="eastAsia" w:ascii="宋体" w:hAnsi="宋体" w:cs="宋体"/>
                <w:color w:val="auto"/>
                <w:kern w:val="0"/>
                <w:sz w:val="18"/>
                <w:szCs w:val="18"/>
                <w:highlight w:val="none"/>
                <w:lang w:val="en-US" w:eastAsia="zh-CN" w:bidi="ar"/>
              </w:rPr>
              <w:t>芜湖</w:t>
            </w:r>
            <w:r>
              <w:rPr>
                <w:rFonts w:hint="eastAsia" w:ascii="宋体" w:hAnsi="宋体" w:eastAsia="宋体" w:cs="宋体"/>
                <w:color w:val="auto"/>
                <w:kern w:val="0"/>
                <w:sz w:val="18"/>
                <w:szCs w:val="18"/>
                <w:highlight w:val="none"/>
                <w:lang w:bidi="ar"/>
              </w:rPr>
              <w:t>GIL管廊</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通信监理</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default"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7</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val="en-US" w:eastAsia="zh" w:bidi="ar"/>
              </w:rPr>
            </w:pPr>
            <w:r>
              <w:rPr>
                <w:rFonts w:hint="eastAsia" w:ascii="宋体" w:hAnsi="宋体" w:eastAsia="宋体" w:cs="宋体"/>
                <w:color w:val="000000"/>
                <w:kern w:val="0"/>
                <w:sz w:val="18"/>
                <w:szCs w:val="18"/>
                <w:highlight w:val="none"/>
                <w:lang w:eastAsia="zh" w:bidi="ar"/>
              </w:rPr>
              <w:t>练塘扩、东吴扩、浙江环网、攀西、达拉特~蒙西、招远核电送出工程、烟威</w:t>
            </w:r>
            <w:r>
              <w:rPr>
                <w:rFonts w:hint="eastAsia" w:ascii="宋体" w:hAnsi="宋体" w:eastAsia="宋体" w:cs="宋体"/>
                <w:color w:val="000000"/>
                <w:kern w:val="0"/>
                <w:sz w:val="18"/>
                <w:szCs w:val="18"/>
                <w:highlight w:val="none"/>
                <w:lang w:eastAsia="zh-CN" w:bidi="ar"/>
              </w:rPr>
              <w:t>（</w:t>
            </w:r>
            <w:r>
              <w:rPr>
                <w:rFonts w:hint="eastAsia" w:ascii="宋体" w:hAnsi="宋体" w:eastAsia="宋体" w:cs="宋体"/>
                <w:color w:val="000000"/>
                <w:kern w:val="0"/>
                <w:sz w:val="18"/>
                <w:szCs w:val="18"/>
                <w:highlight w:val="none"/>
                <w:lang w:eastAsia="zh" w:bidi="ar"/>
              </w:rPr>
              <w:t>登州站升压）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 w:bidi="ar"/>
              </w:rPr>
            </w:pPr>
            <w:r>
              <w:rPr>
                <w:rFonts w:hint="eastAsia" w:ascii="宋体" w:hAnsi="宋体" w:eastAsia="宋体" w:cs="宋体"/>
                <w:i w:val="0"/>
                <w:iCs w:val="0"/>
                <w:color w:val="auto"/>
                <w:kern w:val="0"/>
                <w:sz w:val="18"/>
                <w:szCs w:val="18"/>
                <w:highlight w:val="none"/>
                <w:u w:val="none"/>
                <w:lang w:val="en-US" w:eastAsia="zh-CN" w:bidi="ar"/>
              </w:rPr>
              <w:t>结算审核</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color w:val="000000"/>
                <w:kern w:val="0"/>
                <w:sz w:val="18"/>
                <w:szCs w:val="18"/>
                <w:highlight w:val="none"/>
                <w:lang w:val="en-US" w:eastAsia="zh-CN"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default" w:ascii="宋体" w:hAnsi="宋体" w:eastAsia="宋体" w:cs="宋体"/>
                <w:color w:val="000000"/>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包1-包11限中1个</w:t>
            </w:r>
            <w:r>
              <w:rPr>
                <w:rFonts w:hint="eastAsia" w:ascii="宋体" w:hAnsi="宋体" w:eastAsia="宋体" w:cs="宋体"/>
                <w:kern w:val="0"/>
                <w:sz w:val="18"/>
                <w:szCs w:val="18"/>
                <w:highlight w:val="none"/>
                <w:lang w:eastAsia="zh-CN" w:bidi="ar"/>
              </w:rPr>
              <w:t>，</w:t>
            </w:r>
          </w:p>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bidi="ar"/>
              </w:rPr>
              <w:t>包12-包15限中1包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8</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eastAsia="zh"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设备监造</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9</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攀西、浙江环网、烟威（登州站升压）、招远核电送出、达拉特~蒙西、甘肃-浙江芜湖GIL管廊工程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系统调试</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autoSpaceDE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10</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川渝加强、</w:t>
            </w:r>
            <w:r>
              <w:rPr>
                <w:rFonts w:hint="eastAsia" w:ascii="宋体" w:hAnsi="宋体" w:eastAsia="宋体" w:cs="宋体"/>
                <w:kern w:val="2"/>
                <w:sz w:val="18"/>
                <w:szCs w:val="18"/>
                <w:highlight w:val="none"/>
                <w:lang w:eastAsia="zh"/>
              </w:rPr>
              <w:t>藏东南</w:t>
            </w:r>
            <w:r>
              <w:rPr>
                <w:rFonts w:hint="eastAsia" w:ascii="宋体" w:hAnsi="宋体" w:eastAsia="宋体" w:cs="宋体"/>
                <w:kern w:val="2"/>
                <w:sz w:val="18"/>
                <w:szCs w:val="18"/>
                <w:highlight w:val="none"/>
                <w:lang w:val="en-US" w:eastAsia="zh-CN"/>
              </w:rPr>
              <w:t>-</w:t>
            </w:r>
            <w:r>
              <w:rPr>
                <w:rFonts w:hint="eastAsia" w:ascii="宋体" w:hAnsi="宋体" w:eastAsia="宋体" w:cs="宋体"/>
                <w:kern w:val="2"/>
                <w:sz w:val="18"/>
                <w:szCs w:val="18"/>
                <w:highlight w:val="none"/>
                <w:lang w:eastAsia="zh"/>
              </w:rPr>
              <w:t>粤港澳</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科研</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11</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陕西-河南、鲁苏背靠背</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i w:val="0"/>
                <w:iCs w:val="0"/>
                <w:color w:val="auto"/>
                <w:kern w:val="0"/>
                <w:sz w:val="18"/>
                <w:szCs w:val="18"/>
                <w:highlight w:val="none"/>
                <w:u w:val="none"/>
                <w:lang w:val="en-US" w:eastAsia="zh" w:bidi="ar"/>
              </w:rPr>
            </w:pPr>
            <w:r>
              <w:rPr>
                <w:rFonts w:hint="eastAsia" w:ascii="宋体" w:hAnsi="宋体" w:eastAsia="宋体" w:cs="宋体"/>
                <w:i w:val="0"/>
                <w:iCs w:val="0"/>
                <w:color w:val="auto"/>
                <w:kern w:val="0"/>
                <w:sz w:val="18"/>
                <w:szCs w:val="18"/>
                <w:highlight w:val="none"/>
                <w:u w:val="none"/>
                <w:lang w:val="en-US" w:eastAsia="zh" w:bidi="ar"/>
              </w:rPr>
              <w:t>工程保险</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val="en-US" w:eastAsia="zh" w:bidi="ar"/>
              </w:rPr>
            </w:pPr>
          </w:p>
        </w:tc>
        <w:tc>
          <w:tcPr>
            <w:tcW w:w="1748" w:type="dxa"/>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限中1个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12</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陕西-河南、鲁苏背靠背</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i w:val="0"/>
                <w:iCs w:val="0"/>
                <w:color w:val="auto"/>
                <w:kern w:val="0"/>
                <w:sz w:val="18"/>
                <w:szCs w:val="18"/>
                <w:highlight w:val="none"/>
                <w:u w:val="none"/>
                <w:lang w:val="en-US" w:eastAsia="zh" w:bidi="ar"/>
              </w:rPr>
            </w:pPr>
            <w:r>
              <w:rPr>
                <w:rFonts w:hint="eastAsia" w:ascii="宋体" w:hAnsi="宋体" w:eastAsia="宋体" w:cs="宋体"/>
                <w:i w:val="0"/>
                <w:iCs w:val="0"/>
                <w:color w:val="auto"/>
                <w:kern w:val="0"/>
                <w:sz w:val="18"/>
                <w:szCs w:val="18"/>
                <w:highlight w:val="none"/>
                <w:u w:val="none"/>
                <w:lang w:val="en-US" w:eastAsia="zh" w:bidi="ar"/>
              </w:rPr>
              <w:t>决算审核</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val="en-US" w:eastAsia="zh" w:bidi="ar"/>
              </w:rPr>
            </w:pPr>
          </w:p>
        </w:tc>
        <w:tc>
          <w:tcPr>
            <w:tcW w:w="1748" w:type="dxa"/>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限中1个</w:t>
            </w:r>
          </w:p>
        </w:tc>
      </w:tr>
    </w:tbl>
    <w:p>
      <w:pPr>
        <w:pStyle w:val="2"/>
        <w:keepNext/>
        <w:keepLines/>
        <w:pageBreakBefore w:val="0"/>
        <w:widowControl w:val="0"/>
        <w:kinsoku/>
        <w:wordWrap/>
        <w:overflowPunct/>
        <w:topLinePunct/>
        <w:autoSpaceDE/>
        <w:autoSpaceDN/>
        <w:bidi w:val="0"/>
        <w:adjustRightInd/>
        <w:snapToGrid/>
        <w:spacing w:before="0" w:after="0" w:line="240" w:lineRule="auto"/>
        <w:jc w:val="left"/>
        <w:textAlignment w:val="auto"/>
        <w:rPr>
          <w:b w:val="0"/>
          <w:bCs w:val="0"/>
          <w:color w:val="auto"/>
          <w:sz w:val="24"/>
          <w:szCs w:val="24"/>
          <w:highlight w:val="none"/>
        </w:rPr>
      </w:pPr>
      <w:r>
        <w:rPr>
          <w:rFonts w:hint="eastAsia" w:ascii="Times New Roman" w:hAnsi="Times New Roman" w:eastAsia="宋体" w:cs="Times New Roman"/>
          <w:b w:val="0"/>
          <w:bCs w:val="0"/>
          <w:color w:val="auto"/>
          <w:kern w:val="2"/>
          <w:sz w:val="18"/>
          <w:szCs w:val="18"/>
          <w:highlight w:val="none"/>
          <w:lang w:val="en-US" w:eastAsia="zh-CN" w:bidi="ar-SA"/>
        </w:rPr>
        <w:t>注：</w:t>
      </w:r>
      <w:r>
        <w:rPr>
          <w:rFonts w:ascii="Times New Roman" w:hAnsi="Times New Roman" w:eastAsia="宋体" w:cs="Times New Roman"/>
          <w:b w:val="0"/>
          <w:bCs w:val="0"/>
          <w:color w:val="auto"/>
          <w:kern w:val="2"/>
          <w:sz w:val="18"/>
          <w:szCs w:val="18"/>
          <w:highlight w:val="none"/>
          <w:lang w:val="en-US" w:eastAsia="zh-CN" w:bidi="ar-SA"/>
        </w:rPr>
        <w:t>1.</w:t>
      </w:r>
      <w:r>
        <w:rPr>
          <w:rFonts w:hint="eastAsia" w:ascii="Times New Roman" w:hAnsi="Times New Roman" w:eastAsia="宋体" w:cs="Times New Roman"/>
          <w:b w:val="0"/>
          <w:bCs w:val="0"/>
          <w:color w:val="auto"/>
          <w:kern w:val="2"/>
          <w:sz w:val="18"/>
          <w:szCs w:val="18"/>
          <w:highlight w:val="none"/>
          <w:lang w:val="en-US" w:eastAsia="zh-CN" w:bidi="ar-SA"/>
        </w:rPr>
        <w:t>正向系数为评标价格计算公式中当投标人的评标价＞基准价时的</w:t>
      </w:r>
      <w:r>
        <w:rPr>
          <w:rFonts w:ascii="Times New Roman" w:hAnsi="Times New Roman" w:eastAsia="宋体" w:cs="Times New Roman"/>
          <w:b w:val="0"/>
          <w:bCs w:val="0"/>
          <w:color w:val="auto"/>
          <w:kern w:val="2"/>
          <w:sz w:val="18"/>
          <w:szCs w:val="18"/>
          <w:highlight w:val="none"/>
          <w:lang w:val="en-US" w:eastAsia="zh-CN" w:bidi="ar-SA"/>
        </w:rPr>
        <w:t>n</w:t>
      </w:r>
      <w:r>
        <w:rPr>
          <w:rFonts w:hint="eastAsia" w:ascii="Times New Roman" w:hAnsi="Times New Roman" w:eastAsia="宋体" w:cs="Times New Roman"/>
          <w:b w:val="0"/>
          <w:bCs w:val="0"/>
          <w:color w:val="auto"/>
          <w:kern w:val="2"/>
          <w:sz w:val="18"/>
          <w:szCs w:val="18"/>
          <w:highlight w:val="none"/>
          <w:lang w:val="en-US" w:eastAsia="zh-CN" w:bidi="ar-SA"/>
        </w:rPr>
        <w:t>值；负向系数为评标价格计算公式中当投标人的评标价</w:t>
      </w:r>
      <w:r>
        <w:rPr>
          <w:rFonts w:ascii="Times New Roman" w:hAnsi="Times New Roman" w:eastAsia="宋体" w:cs="Times New Roman"/>
          <w:b w:val="0"/>
          <w:bCs w:val="0"/>
          <w:color w:val="auto"/>
          <w:kern w:val="2"/>
          <w:sz w:val="18"/>
          <w:szCs w:val="18"/>
          <w:highlight w:val="none"/>
          <w:lang w:val="en-US" w:eastAsia="zh-CN" w:bidi="ar-SA"/>
        </w:rPr>
        <w:t>≤</w:t>
      </w:r>
      <w:r>
        <w:rPr>
          <w:rFonts w:hint="eastAsia" w:ascii="Times New Roman" w:hAnsi="Times New Roman" w:eastAsia="宋体" w:cs="Times New Roman"/>
          <w:b w:val="0"/>
          <w:bCs w:val="0"/>
          <w:color w:val="auto"/>
          <w:kern w:val="2"/>
          <w:sz w:val="18"/>
          <w:szCs w:val="18"/>
          <w:highlight w:val="none"/>
          <w:lang w:val="en-US" w:eastAsia="zh-CN" w:bidi="ar-SA"/>
        </w:rPr>
        <w:t>基准价时的</w:t>
      </w:r>
      <w:r>
        <w:rPr>
          <w:rFonts w:ascii="Times New Roman" w:hAnsi="Times New Roman" w:eastAsia="宋体" w:cs="Times New Roman"/>
          <w:b w:val="0"/>
          <w:bCs w:val="0"/>
          <w:color w:val="auto"/>
          <w:kern w:val="2"/>
          <w:sz w:val="18"/>
          <w:szCs w:val="18"/>
          <w:highlight w:val="none"/>
          <w:lang w:val="en-US" w:eastAsia="zh-CN" w:bidi="ar-SA"/>
        </w:rPr>
        <w:t>n</w:t>
      </w:r>
      <w:r>
        <w:rPr>
          <w:rFonts w:hint="eastAsia" w:ascii="Times New Roman" w:hAnsi="Times New Roman" w:eastAsia="宋体" w:cs="Times New Roman"/>
          <w:b w:val="0"/>
          <w:bCs w:val="0"/>
          <w:color w:val="auto"/>
          <w:kern w:val="2"/>
          <w:sz w:val="18"/>
          <w:szCs w:val="18"/>
          <w:highlight w:val="none"/>
          <w:lang w:val="en-US" w:eastAsia="zh-CN" w:bidi="ar-SA"/>
        </w:rPr>
        <w:t>值。</w:t>
      </w:r>
    </w:p>
    <w:p>
      <w:pPr>
        <w:spacing w:line="400" w:lineRule="exact"/>
        <w:rPr>
          <w:rFonts w:hint="eastAsia"/>
          <w:color w:val="auto"/>
          <w:szCs w:val="21"/>
          <w:highlight w:val="none"/>
        </w:rPr>
      </w:pPr>
    </w:p>
    <w:bookmarkEnd w:id="347"/>
    <w:bookmarkEnd w:id="348"/>
    <w:p>
      <w:pPr>
        <w:spacing w:before="240" w:beforeLines="100" w:after="120" w:afterLines="50" w:line="400" w:lineRule="exact"/>
        <w:rPr>
          <w:rFonts w:ascii="黑体" w:hAnsi="宋体" w:eastAsia="黑体"/>
          <w:b/>
          <w:bCs/>
          <w:color w:val="auto"/>
          <w:sz w:val="24"/>
          <w:highlight w:val="none"/>
          <w:lang w:val="zh-CN"/>
        </w:rPr>
      </w:pPr>
      <w:r>
        <w:rPr>
          <w:color w:val="auto"/>
          <w:szCs w:val="21"/>
          <w:highlight w:val="none"/>
        </w:rPr>
        <w:br w:type="page"/>
      </w:r>
      <w:bookmarkStart w:id="351" w:name="_Toc152045600"/>
      <w:bookmarkStart w:id="352" w:name="_Toc179632618"/>
      <w:bookmarkStart w:id="353" w:name="_Toc152042377"/>
      <w:bookmarkStart w:id="354" w:name="_Toc144974567"/>
      <w:r>
        <w:rPr>
          <w:rFonts w:hint="eastAsia" w:ascii="黑体" w:hAnsi="宋体" w:eastAsia="黑体"/>
          <w:b/>
          <w:bCs/>
          <w:color w:val="auto"/>
          <w:sz w:val="24"/>
          <w:highlight w:val="none"/>
          <w:lang w:val="zh-CN"/>
        </w:rPr>
        <w:t>1. 评标方法</w:t>
      </w:r>
      <w:bookmarkEnd w:id="351"/>
      <w:bookmarkEnd w:id="352"/>
      <w:bookmarkEnd w:id="353"/>
      <w:bookmarkEnd w:id="354"/>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本次评标采用综合评估法。评标委员会对满足招标文件实质性要求的投标文件，按照本章第</w:t>
      </w:r>
      <w:r>
        <w:rPr>
          <w:rFonts w:ascii="宋体" w:hAnsi="宋体" w:cs="宋体"/>
          <w:color w:val="auto"/>
          <w:highlight w:val="none"/>
        </w:rPr>
        <w:t>2.2款规定的评分标准进行打分，并按得分由高到低顺序推荐中标候选人，或根据招标人授权直接确定中标人，但投标报价低于其成本的除外。综合评分相等时，以投标报价低的优先；投标报价也相等的，由招标人自行确定。</w:t>
      </w:r>
    </w:p>
    <w:p>
      <w:pPr>
        <w:pStyle w:val="32"/>
        <w:spacing w:before="240" w:beforeLines="100" w:after="120" w:afterLines="50"/>
        <w:rPr>
          <w:rFonts w:ascii="黑体" w:hAnsi="宋体" w:cs="Times New Roman"/>
          <w:b/>
          <w:bCs/>
          <w:color w:val="auto"/>
          <w:sz w:val="24"/>
          <w:szCs w:val="24"/>
          <w:highlight w:val="none"/>
          <w:lang w:val="zh-CN"/>
        </w:rPr>
      </w:pPr>
      <w:bookmarkStart w:id="355" w:name="_Toc152045601"/>
      <w:bookmarkStart w:id="356" w:name="_Toc129618903"/>
      <w:bookmarkStart w:id="357" w:name="_Toc179632619"/>
      <w:bookmarkStart w:id="358" w:name="_Toc144974568"/>
      <w:bookmarkStart w:id="359" w:name="_Toc152042378"/>
      <w:r>
        <w:rPr>
          <w:rFonts w:hint="eastAsia" w:ascii="黑体" w:hAnsi="宋体" w:cs="Times New Roman"/>
          <w:b/>
          <w:bCs/>
          <w:color w:val="auto"/>
          <w:sz w:val="24"/>
          <w:szCs w:val="24"/>
          <w:highlight w:val="none"/>
          <w:lang w:val="zh-CN"/>
        </w:rPr>
        <w:t>2. 评审标准</w:t>
      </w:r>
      <w:bookmarkEnd w:id="355"/>
      <w:bookmarkEnd w:id="356"/>
      <w:bookmarkEnd w:id="357"/>
      <w:bookmarkEnd w:id="358"/>
      <w:bookmarkEnd w:id="359"/>
    </w:p>
    <w:p>
      <w:pPr>
        <w:pStyle w:val="4"/>
        <w:keepNext w:val="0"/>
        <w:keepLines w:val="0"/>
        <w:tabs>
          <w:tab w:val="left" w:pos="426"/>
        </w:tabs>
        <w:autoSpaceDE w:val="0"/>
        <w:autoSpaceDN w:val="0"/>
        <w:spacing w:before="120" w:beforeLines="50" w:after="120" w:afterLines="50" w:line="400" w:lineRule="exact"/>
        <w:rPr>
          <w:rFonts w:ascii="黑体" w:hAnsi="宋体" w:eastAsia="黑体"/>
          <w:bCs w:val="0"/>
          <w:color w:val="auto"/>
          <w:sz w:val="21"/>
          <w:szCs w:val="21"/>
          <w:highlight w:val="none"/>
          <w:lang w:val="zh-CN"/>
        </w:rPr>
      </w:pPr>
      <w:bookmarkStart w:id="360" w:name="_Toc152042379"/>
      <w:bookmarkStart w:id="361" w:name="_Toc129618904"/>
      <w:bookmarkStart w:id="362" w:name="_Toc144974569"/>
      <w:bookmarkStart w:id="363" w:name="_Toc179632620"/>
      <w:bookmarkStart w:id="364" w:name="_Toc152045602"/>
      <w:r>
        <w:rPr>
          <w:rFonts w:hint="eastAsia" w:ascii="黑体" w:hAnsi="宋体" w:eastAsia="黑体"/>
          <w:bCs w:val="0"/>
          <w:color w:val="auto"/>
          <w:sz w:val="21"/>
          <w:szCs w:val="21"/>
          <w:highlight w:val="none"/>
          <w:lang w:val="zh-CN"/>
        </w:rPr>
        <w:t>2.1 初步评审标准</w:t>
      </w:r>
      <w:bookmarkEnd w:id="360"/>
      <w:bookmarkEnd w:id="361"/>
      <w:bookmarkEnd w:id="362"/>
      <w:bookmarkEnd w:id="363"/>
      <w:bookmarkEnd w:id="364"/>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2.1.1 形式评审标准：见评标办法前附表。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2.1.2 资格评审标准：见评标办法前附表（适用于未进行资格预审的）。</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见资格预审文件第三章“资格审查办法”详细审查标准（适用于已进行资格预审的）。</w:t>
      </w:r>
    </w:p>
    <w:p>
      <w:pPr>
        <w:spacing w:line="400" w:lineRule="exact"/>
        <w:ind w:firstLine="420" w:firstLineChars="200"/>
        <w:rPr>
          <w:color w:val="auto"/>
          <w:highlight w:val="none"/>
        </w:rPr>
      </w:pPr>
      <w:r>
        <w:rPr>
          <w:rFonts w:hint="eastAsia" w:ascii="宋体" w:hAnsi="宋体" w:cs="宋体"/>
          <w:color w:val="auto"/>
          <w:highlight w:val="none"/>
        </w:rPr>
        <w:t>2.1.3 响应性评审标准：见评标办法前附表。</w:t>
      </w:r>
    </w:p>
    <w:p>
      <w:pPr>
        <w:pStyle w:val="33"/>
        <w:spacing w:before="120" w:beforeLines="50" w:after="120" w:afterLines="50"/>
        <w:rPr>
          <w:color w:val="auto"/>
          <w:highlight w:val="none"/>
        </w:rPr>
      </w:pPr>
      <w:bookmarkStart w:id="365" w:name="_Toc152045603"/>
      <w:bookmarkStart w:id="366" w:name="_Toc129618905"/>
      <w:bookmarkStart w:id="367" w:name="_Toc152042380"/>
      <w:bookmarkStart w:id="368" w:name="_Toc179632621"/>
      <w:bookmarkStart w:id="369" w:name="_Toc144974570"/>
      <w:r>
        <w:rPr>
          <w:rFonts w:hint="eastAsia" w:ascii="黑体" w:hAnsi="宋体" w:cs="Times New Roman"/>
          <w:b/>
          <w:color w:val="auto"/>
          <w:sz w:val="21"/>
          <w:szCs w:val="21"/>
          <w:highlight w:val="none"/>
          <w:lang w:val="zh-CN"/>
        </w:rPr>
        <w:t>2.2 分值构成与评分标准</w:t>
      </w:r>
      <w:bookmarkEnd w:id="365"/>
      <w:bookmarkEnd w:id="366"/>
      <w:bookmarkEnd w:id="367"/>
      <w:bookmarkEnd w:id="368"/>
      <w:bookmarkEnd w:id="369"/>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2.2.1 分值构成</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（1）商务评分标准：见评标办法前附表；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（2）技术评分标准：见评标办法前附表；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（3）投标报价：见评标办法前附表。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2.2.2 评标基准价计算</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评标基准价计算方法：见评标办法前附表。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2.2.3 投标报价的偏差率计算</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投标报价的偏差率计算公式：见评标办法前附表。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2.2.4 评分标准</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（1）商务评分标准：见评标办法前附表；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（2）技术评分标准：见评标办法前附表；</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（3）投标报价：见评标办法前附表。</w:t>
      </w:r>
    </w:p>
    <w:p>
      <w:pPr>
        <w:pStyle w:val="32"/>
        <w:spacing w:before="240" w:beforeLines="100" w:after="120" w:afterLines="50"/>
        <w:rPr>
          <w:rFonts w:ascii="黑体" w:hAnsi="宋体" w:cs="Times New Roman"/>
          <w:b/>
          <w:bCs/>
          <w:color w:val="auto"/>
          <w:sz w:val="24"/>
          <w:szCs w:val="24"/>
          <w:highlight w:val="none"/>
          <w:lang w:val="zh-CN"/>
        </w:rPr>
      </w:pPr>
      <w:bookmarkStart w:id="370" w:name="_Toc152042381"/>
      <w:bookmarkStart w:id="371" w:name="_Toc152045604"/>
      <w:bookmarkStart w:id="372" w:name="_Toc129618906"/>
      <w:bookmarkStart w:id="373" w:name="_Toc179632622"/>
      <w:bookmarkStart w:id="374" w:name="_Toc144974571"/>
      <w:r>
        <w:rPr>
          <w:rFonts w:hint="eastAsia" w:ascii="黑体" w:hAnsi="宋体" w:cs="Times New Roman"/>
          <w:b/>
          <w:bCs/>
          <w:color w:val="auto"/>
          <w:sz w:val="24"/>
          <w:szCs w:val="24"/>
          <w:highlight w:val="none"/>
          <w:lang w:val="zh-CN"/>
        </w:rPr>
        <w:t>3. 评标程序</w:t>
      </w:r>
      <w:bookmarkEnd w:id="370"/>
      <w:bookmarkEnd w:id="371"/>
      <w:bookmarkEnd w:id="372"/>
      <w:bookmarkEnd w:id="373"/>
      <w:bookmarkEnd w:id="374"/>
    </w:p>
    <w:p>
      <w:pPr>
        <w:pStyle w:val="33"/>
        <w:spacing w:before="120" w:beforeLines="50" w:after="120" w:afterLines="50"/>
        <w:rPr>
          <w:color w:val="auto"/>
          <w:highlight w:val="none"/>
        </w:rPr>
      </w:pPr>
      <w:bookmarkStart w:id="375" w:name="_Toc152045605"/>
      <w:bookmarkStart w:id="376" w:name="_Toc144974572"/>
      <w:bookmarkStart w:id="377" w:name="_Toc179632623"/>
      <w:bookmarkStart w:id="378" w:name="_Toc129618907"/>
      <w:bookmarkStart w:id="379" w:name="_Toc152042382"/>
      <w:r>
        <w:rPr>
          <w:rFonts w:hint="eastAsia" w:ascii="黑体" w:hAnsi="宋体" w:cs="Times New Roman"/>
          <w:b/>
          <w:color w:val="auto"/>
          <w:sz w:val="21"/>
          <w:szCs w:val="21"/>
          <w:highlight w:val="none"/>
          <w:lang w:val="zh-CN"/>
        </w:rPr>
        <w:t>3.1 初步评审</w:t>
      </w:r>
      <w:bookmarkEnd w:id="375"/>
      <w:bookmarkEnd w:id="376"/>
      <w:bookmarkEnd w:id="377"/>
      <w:bookmarkEnd w:id="378"/>
      <w:bookmarkEnd w:id="379"/>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3.1.1 评标委员会可以要求投标人提交第二章“投标人须知”第3.5.1项至第3.5.5项规定的有关证明和证件的原件，以便核验。评标委员会依据本章第2.1款规定的标准对投标文件进行初步评审。有一项不符合评审标准的，作否决处理。（适用于未进行资格预审的）</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3.1.1 评标委员会依据本章第2.1.1项、第2.1.3项规定的评审标准对投标文件进行初步评审。有一项不符合评审标准的，作否决处理。当投标人资格预审申请文件的内容发生重大变化时，评标委员会依据本章第2.1.2项规定的标准对其更新资料进行评审。（适用于已进行资格预审的）</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3.1.2 投标人有以下情形之一的，其投标作否决处理：</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（1）第二章“投标人须知”第1.4.3项规定的任何一种情形的；</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（2）串通投标或弄虚作假或有其他违法行为的；</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（3）不按评标委员会要求澄清、说明或补正的。</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3.1.3投标报价有算术错误的，评标委员会按以下原则对投标报价进行修正，修正的价格经投标人书面确认后具有约束力。投标人不接受修正价格的，其投标作否决处理。</w:t>
      </w:r>
    </w:p>
    <w:p>
      <w:pPr>
        <w:spacing w:line="400" w:lineRule="exact"/>
        <w:ind w:firstLine="420" w:firstLineChars="200"/>
        <w:rPr>
          <w:rFonts w:ascii="宋体" w:hAnsi="宋体" w:cs="宋体"/>
          <w:color w:val="auto"/>
          <w:highlight w:val="none"/>
        </w:rPr>
      </w:pPr>
      <w:bookmarkStart w:id="380" w:name="_Toc152042383"/>
      <w:r>
        <w:rPr>
          <w:rFonts w:hint="eastAsia" w:ascii="宋体" w:hAnsi="宋体" w:cs="宋体"/>
          <w:color w:val="auto"/>
          <w:highlight w:val="none"/>
        </w:rPr>
        <w:t>（1）投标文件中的大写金额与小写金额不一致的，以大写金额为准；</w:t>
      </w:r>
      <w:bookmarkEnd w:id="380"/>
    </w:p>
    <w:p>
      <w:pPr>
        <w:spacing w:line="400" w:lineRule="exact"/>
        <w:ind w:firstLine="420" w:firstLineChars="200"/>
        <w:rPr>
          <w:color w:val="auto"/>
          <w:highlight w:val="none"/>
        </w:rPr>
      </w:pPr>
      <w:r>
        <w:rPr>
          <w:rFonts w:hint="eastAsia" w:ascii="宋体" w:hAnsi="宋体" w:cs="宋体"/>
          <w:color w:val="auto"/>
          <w:highlight w:val="none"/>
        </w:rPr>
        <w:t>（2）总价金额与依据单价计算出的结果不一致的，以单价金额为准修正总价，但单价金额小数点有明显错误的除外。</w:t>
      </w:r>
    </w:p>
    <w:p>
      <w:pPr>
        <w:pStyle w:val="33"/>
        <w:spacing w:before="120" w:beforeLines="50" w:after="120" w:afterLines="50"/>
        <w:rPr>
          <w:color w:val="auto"/>
          <w:highlight w:val="none"/>
        </w:rPr>
      </w:pPr>
      <w:bookmarkStart w:id="381" w:name="_Toc129618908"/>
      <w:bookmarkStart w:id="382" w:name="_Toc179632624"/>
      <w:bookmarkStart w:id="383" w:name="_Toc152045606"/>
      <w:bookmarkStart w:id="384" w:name="_Toc144974573"/>
      <w:bookmarkStart w:id="385" w:name="_Toc152042384"/>
      <w:r>
        <w:rPr>
          <w:rFonts w:hint="eastAsia" w:ascii="黑体" w:hAnsi="宋体" w:cs="Times New Roman"/>
          <w:b/>
          <w:color w:val="auto"/>
          <w:sz w:val="21"/>
          <w:szCs w:val="21"/>
          <w:highlight w:val="none"/>
          <w:lang w:val="zh-CN"/>
        </w:rPr>
        <w:t>3.2 详细评审</w:t>
      </w:r>
      <w:bookmarkEnd w:id="381"/>
      <w:bookmarkEnd w:id="382"/>
      <w:bookmarkEnd w:id="383"/>
      <w:bookmarkEnd w:id="384"/>
      <w:bookmarkEnd w:id="385"/>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3.2.1 评标委员会按本章第2.2款规定的量化因素和分值进行打分，并计算出综合评估得分。</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（1）按本章第2.2.4（1）目规定的评审因素和分值对商务评分计算出得分A；</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（2）按本章第2.2.4（2）目规定的评审因素和分值对技术评分计算出得分B；</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（3）按本章第2.2.4（3）目规定的评审因素和分值对投标报价计算出得分C；</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3.2.2 评分分值计算保留小数点后两位，小数点后第三位“四舍五入”。</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3.2.3 投标人得分=A+B+C。</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3.2.4 评标委员会发现投标人的报价明显低于其他投标报价，使得其投标报价可能低于其个别成本的，应当要求该投标人作出书面说明并提供相应的证明材料。投标人不能合理说明或者不能提供相应证明材料的，由评标委员会认定该投标人以低于成本报价竞标，其投标作否决处理。</w:t>
      </w:r>
    </w:p>
    <w:p>
      <w:pPr>
        <w:pStyle w:val="33"/>
        <w:spacing w:before="120" w:beforeLines="50" w:after="120" w:afterLines="50"/>
        <w:rPr>
          <w:color w:val="auto"/>
          <w:highlight w:val="none"/>
        </w:rPr>
      </w:pPr>
      <w:bookmarkStart w:id="386" w:name="_Toc144974575"/>
      <w:bookmarkStart w:id="387" w:name="_Toc129618909"/>
      <w:bookmarkStart w:id="388" w:name="_Toc152042385"/>
      <w:bookmarkStart w:id="389" w:name="_Toc179632625"/>
      <w:bookmarkStart w:id="390" w:name="_Toc152045607"/>
      <w:r>
        <w:rPr>
          <w:rFonts w:hint="eastAsia" w:ascii="黑体" w:hAnsi="宋体" w:cs="Times New Roman"/>
          <w:b/>
          <w:color w:val="auto"/>
          <w:sz w:val="21"/>
          <w:szCs w:val="21"/>
          <w:highlight w:val="none"/>
          <w:lang w:val="zh-CN"/>
        </w:rPr>
        <w:t>3.3 投标文件的澄清</w:t>
      </w:r>
      <w:bookmarkEnd w:id="386"/>
      <w:r>
        <w:rPr>
          <w:rFonts w:hint="eastAsia" w:ascii="黑体" w:hAnsi="宋体" w:cs="Times New Roman"/>
          <w:b/>
          <w:color w:val="auto"/>
          <w:sz w:val="21"/>
          <w:szCs w:val="21"/>
          <w:highlight w:val="none"/>
          <w:lang w:val="zh-CN"/>
        </w:rPr>
        <w:t>和补正</w:t>
      </w:r>
      <w:bookmarkEnd w:id="387"/>
      <w:bookmarkEnd w:id="388"/>
      <w:bookmarkEnd w:id="389"/>
      <w:bookmarkEnd w:id="390"/>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3.3.1在评标过程中，评标委员会可以书面形式要求投标人对所提交投标文件中不明确的内容进行书面澄清或说明，或者对细微偏差进行补正。评标委员会不接受投标人主动提出的澄清、说明或补正。</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3.3.2 澄清、说明和补正不得改变投标文件的实质性内容（算术性错误修正的除外）。投标人的书面澄清、说明和补正属于投标文件的组成部分。</w:t>
      </w:r>
    </w:p>
    <w:p>
      <w:pPr>
        <w:spacing w:line="400" w:lineRule="exact"/>
        <w:ind w:firstLine="420" w:firstLineChars="200"/>
        <w:rPr>
          <w:color w:val="auto"/>
          <w:highlight w:val="none"/>
        </w:rPr>
      </w:pPr>
      <w:r>
        <w:rPr>
          <w:rFonts w:hint="eastAsia" w:ascii="宋体" w:hAnsi="宋体" w:cs="宋体"/>
          <w:color w:val="auto"/>
          <w:highlight w:val="none"/>
        </w:rPr>
        <w:t>3.3.3 评标委员会对投标人提交的澄清、说明或补正有疑问的，可以要求投标人进一步澄清、说明或补正，直至满足评标委员会的要求。</w:t>
      </w:r>
    </w:p>
    <w:p>
      <w:pPr>
        <w:pStyle w:val="33"/>
        <w:spacing w:before="120" w:beforeLines="50" w:after="120" w:afterLines="50"/>
        <w:rPr>
          <w:color w:val="auto"/>
          <w:highlight w:val="none"/>
        </w:rPr>
      </w:pPr>
      <w:bookmarkStart w:id="391" w:name="_Toc179632626"/>
      <w:bookmarkStart w:id="392" w:name="_Toc152045608"/>
      <w:bookmarkStart w:id="393" w:name="_Toc152042386"/>
      <w:bookmarkStart w:id="394" w:name="_Toc144974576"/>
      <w:bookmarkStart w:id="395" w:name="_Toc129618910"/>
      <w:r>
        <w:rPr>
          <w:rFonts w:hint="eastAsia" w:ascii="黑体" w:hAnsi="宋体" w:cs="Times New Roman"/>
          <w:b/>
          <w:color w:val="auto"/>
          <w:sz w:val="21"/>
          <w:szCs w:val="21"/>
          <w:highlight w:val="none"/>
          <w:lang w:val="zh-CN"/>
        </w:rPr>
        <w:t>3.4 评标结果</w:t>
      </w:r>
      <w:bookmarkEnd w:id="391"/>
      <w:bookmarkEnd w:id="392"/>
      <w:bookmarkEnd w:id="393"/>
      <w:bookmarkEnd w:id="394"/>
      <w:bookmarkEnd w:id="395"/>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3.4.1除第二章“投标人须知”前附表授权直接确定中标人外，评标委员会按照得分由高到低的顺序推荐中标候选人。</w:t>
      </w:r>
    </w:p>
    <w:p>
      <w:pPr>
        <w:spacing w:line="400" w:lineRule="exact"/>
        <w:ind w:firstLine="420" w:firstLineChars="200"/>
        <w:rPr>
          <w:color w:val="auto"/>
          <w:highlight w:val="none"/>
        </w:rPr>
      </w:pPr>
      <w:r>
        <w:rPr>
          <w:rFonts w:hint="eastAsia" w:ascii="宋体" w:hAnsi="宋体" w:cs="宋体"/>
          <w:color w:val="auto"/>
          <w:highlight w:val="none"/>
        </w:rPr>
        <w:t>3.4.2 评标委员会完成评标后，应当向招标人提交书面评标报告。</w:t>
      </w:r>
    </w:p>
    <w:p>
      <w:pPr>
        <w:adjustRightInd w:val="0"/>
        <w:snapToGrid w:val="0"/>
        <w:jc w:val="center"/>
        <w:outlineLvl w:val="0"/>
        <w:rPr>
          <w:rFonts w:ascii="黑体" w:eastAsia="黑体"/>
          <w:b/>
          <w:color w:val="auto"/>
          <w:sz w:val="28"/>
          <w:szCs w:val="28"/>
          <w:highlight w:val="none"/>
        </w:rPr>
      </w:pPr>
      <w:r>
        <w:rPr>
          <w:color w:val="auto"/>
          <w:highlight w:val="none"/>
        </w:rPr>
        <w:br w:type="page"/>
      </w:r>
      <w:bookmarkStart w:id="396" w:name="_Toc22413"/>
      <w:bookmarkStart w:id="397" w:name="_Toc3251"/>
      <w:bookmarkStart w:id="398" w:name="_Toc129618911"/>
      <w:bookmarkStart w:id="399" w:name="_Toc500521533"/>
      <w:bookmarkStart w:id="400" w:name="_Toc22364"/>
      <w:bookmarkStart w:id="401" w:name="_Toc62551562"/>
      <w:bookmarkStart w:id="402" w:name="_Toc496718845"/>
      <w:r>
        <w:rPr>
          <w:rFonts w:hint="eastAsia" w:ascii="黑体" w:eastAsia="黑体"/>
          <w:b/>
          <w:color w:val="auto"/>
          <w:sz w:val="28"/>
          <w:szCs w:val="28"/>
          <w:highlight w:val="none"/>
        </w:rPr>
        <w:t>第四章  合同条款及格式</w:t>
      </w:r>
      <w:bookmarkEnd w:id="396"/>
      <w:bookmarkEnd w:id="397"/>
      <w:bookmarkEnd w:id="398"/>
      <w:bookmarkEnd w:id="399"/>
      <w:bookmarkEnd w:id="400"/>
      <w:bookmarkEnd w:id="401"/>
      <w:bookmarkEnd w:id="402"/>
    </w:p>
    <w:p>
      <w:pPr>
        <w:rPr>
          <w:color w:val="auto"/>
          <w:highlight w:val="none"/>
        </w:rPr>
      </w:pPr>
    </w:p>
    <w:p>
      <w:pPr>
        <w:adjustRightInd w:val="0"/>
        <w:snapToGrid w:val="0"/>
        <w:jc w:val="center"/>
        <w:rPr>
          <w:rFonts w:ascii="黑体" w:eastAsia="黑体"/>
          <w:b/>
          <w:color w:val="auto"/>
          <w:sz w:val="28"/>
          <w:szCs w:val="28"/>
          <w:highlight w:val="none"/>
        </w:rPr>
      </w:pPr>
      <w:bookmarkStart w:id="403" w:name="_Toc31846"/>
      <w:bookmarkStart w:id="404" w:name="_Toc29190"/>
      <w:bookmarkStart w:id="405" w:name="_Toc29171"/>
      <w:r>
        <w:rPr>
          <w:rFonts w:hint="eastAsia" w:ascii="黑体" w:eastAsia="黑体"/>
          <w:b/>
          <w:color w:val="auto"/>
          <w:sz w:val="28"/>
          <w:szCs w:val="28"/>
          <w:highlight w:val="none"/>
        </w:rPr>
        <w:t>单独成册</w:t>
      </w:r>
      <w:bookmarkEnd w:id="403"/>
      <w:bookmarkEnd w:id="404"/>
      <w:bookmarkEnd w:id="405"/>
    </w:p>
    <w:p>
      <w:pPr>
        <w:pStyle w:val="5"/>
        <w:adjustRightInd w:val="0"/>
        <w:snapToGrid w:val="0"/>
        <w:ind w:firstLine="0"/>
        <w:jc w:val="center"/>
        <w:rPr>
          <w:rFonts w:ascii="黑体" w:eastAsia="黑体"/>
          <w:b/>
          <w:color w:val="auto"/>
          <w:sz w:val="28"/>
          <w:szCs w:val="28"/>
          <w:highlight w:val="none"/>
        </w:rPr>
      </w:pPr>
    </w:p>
    <w:p>
      <w:pPr>
        <w:jc w:val="center"/>
        <w:outlineLvl w:val="0"/>
        <w:rPr>
          <w:rFonts w:ascii="黑体" w:eastAsia="黑体"/>
          <w:b/>
          <w:color w:val="auto"/>
          <w:sz w:val="28"/>
          <w:szCs w:val="28"/>
          <w:highlight w:val="none"/>
        </w:rPr>
      </w:pPr>
      <w:r>
        <w:rPr>
          <w:color w:val="auto"/>
          <w:highlight w:val="none"/>
        </w:rPr>
        <w:br w:type="page"/>
      </w:r>
      <w:bookmarkStart w:id="406" w:name="_Toc129618912"/>
      <w:bookmarkStart w:id="407" w:name="_Toc144974834"/>
      <w:bookmarkStart w:id="408" w:name="_Toc500866774"/>
      <w:bookmarkStart w:id="409" w:name="_Toc152045772"/>
      <w:bookmarkStart w:id="410" w:name="_Toc152042554"/>
      <w:bookmarkStart w:id="411" w:name="_Toc14776"/>
      <w:bookmarkStart w:id="412" w:name="_Toc12901"/>
      <w:bookmarkStart w:id="413" w:name="_Toc18711"/>
      <w:bookmarkStart w:id="414" w:name="_Toc500521534"/>
      <w:bookmarkStart w:id="415" w:name="_Toc62551563"/>
      <w:r>
        <w:rPr>
          <w:rFonts w:hint="eastAsia" w:ascii="黑体" w:eastAsia="黑体"/>
          <w:b/>
          <w:color w:val="auto"/>
          <w:sz w:val="28"/>
          <w:szCs w:val="28"/>
          <w:highlight w:val="none"/>
        </w:rPr>
        <w:t>第五章  工程量清单</w:t>
      </w:r>
      <w:bookmarkEnd w:id="406"/>
      <w:bookmarkEnd w:id="407"/>
      <w:bookmarkEnd w:id="408"/>
      <w:bookmarkEnd w:id="409"/>
      <w:bookmarkEnd w:id="410"/>
    </w:p>
    <w:p>
      <w:pPr>
        <w:jc w:val="center"/>
        <w:rPr>
          <w:rFonts w:ascii="黑体" w:eastAsia="黑体"/>
          <w:b/>
          <w:color w:val="auto"/>
          <w:sz w:val="28"/>
          <w:szCs w:val="28"/>
          <w:highlight w:val="none"/>
        </w:rPr>
      </w:pPr>
    </w:p>
    <w:p>
      <w:pPr>
        <w:jc w:val="center"/>
        <w:rPr>
          <w:rFonts w:ascii="黑体" w:eastAsia="黑体"/>
          <w:b/>
          <w:color w:val="auto"/>
          <w:sz w:val="24"/>
          <w:highlight w:val="none"/>
        </w:rPr>
      </w:pPr>
      <w:r>
        <w:rPr>
          <w:rFonts w:hint="eastAsia" w:ascii="黑体" w:eastAsia="黑体"/>
          <w:b/>
          <w:color w:val="auto"/>
          <w:sz w:val="24"/>
          <w:highlight w:val="none"/>
        </w:rPr>
        <w:t>（</w:t>
      </w:r>
      <w:r>
        <w:rPr>
          <w:rFonts w:hint="eastAsia" w:ascii="黑体" w:eastAsia="黑体"/>
          <w:b/>
          <w:color w:val="auto"/>
          <w:sz w:val="24"/>
          <w:highlight w:val="none"/>
          <w:lang w:val="en-US" w:eastAsia="zh-CN"/>
        </w:rPr>
        <w:t>工程量清单及报价说明</w:t>
      </w:r>
      <w:r>
        <w:rPr>
          <w:rFonts w:hint="eastAsia" w:ascii="黑体" w:eastAsia="黑体"/>
          <w:b/>
          <w:color w:val="auto"/>
          <w:sz w:val="24"/>
          <w:highlight w:val="none"/>
        </w:rPr>
        <w:t>另附）</w:t>
      </w:r>
    </w:p>
    <w:p>
      <w:pPr>
        <w:widowControl/>
        <w:jc w:val="left"/>
        <w:rPr>
          <w:color w:val="auto"/>
          <w:sz w:val="20"/>
          <w:szCs w:val="20"/>
          <w:highlight w:val="none"/>
        </w:rPr>
      </w:pPr>
    </w:p>
    <w:p>
      <w:pPr>
        <w:jc w:val="center"/>
        <w:rPr>
          <w:rFonts w:ascii="黑体" w:eastAsia="黑体"/>
          <w:color w:val="auto"/>
          <w:sz w:val="28"/>
          <w:szCs w:val="28"/>
          <w:highlight w:val="none"/>
        </w:rPr>
      </w:pPr>
      <w:bookmarkStart w:id="416" w:name="_Toc152042571"/>
      <w:bookmarkStart w:id="417" w:name="_Toc129618913"/>
      <w:bookmarkStart w:id="418" w:name="_Toc152045782"/>
      <w:bookmarkStart w:id="419" w:name="_Toc144974851"/>
      <w:bookmarkStart w:id="420" w:name="_Toc500866775"/>
      <w:r>
        <w:rPr>
          <w:rFonts w:hint="eastAsia" w:ascii="黑体" w:eastAsia="黑体"/>
          <w:color w:val="auto"/>
          <w:sz w:val="28"/>
          <w:szCs w:val="28"/>
          <w:highlight w:val="none"/>
        </w:rPr>
        <w:br w:type="page"/>
      </w:r>
    </w:p>
    <w:p>
      <w:pPr>
        <w:pStyle w:val="2"/>
        <w:spacing w:line="240" w:lineRule="auto"/>
        <w:jc w:val="center"/>
        <w:rPr>
          <w:rFonts w:ascii="黑体" w:eastAsia="黑体"/>
          <w:color w:val="auto"/>
          <w:kern w:val="2"/>
          <w:sz w:val="28"/>
          <w:szCs w:val="28"/>
          <w:highlight w:val="none"/>
        </w:rPr>
      </w:pPr>
      <w:r>
        <w:rPr>
          <w:rFonts w:hint="eastAsia" w:ascii="黑体" w:eastAsia="黑体"/>
          <w:color w:val="auto"/>
          <w:kern w:val="2"/>
          <w:sz w:val="28"/>
          <w:szCs w:val="28"/>
          <w:highlight w:val="none"/>
        </w:rPr>
        <w:t>第六章  图纸</w:t>
      </w:r>
      <w:bookmarkEnd w:id="416"/>
      <w:bookmarkEnd w:id="417"/>
      <w:bookmarkEnd w:id="418"/>
      <w:bookmarkEnd w:id="419"/>
      <w:bookmarkEnd w:id="420"/>
    </w:p>
    <w:p>
      <w:pPr>
        <w:jc w:val="center"/>
        <w:rPr>
          <w:rFonts w:ascii="黑体" w:eastAsia="黑体"/>
          <w:color w:val="auto"/>
          <w:sz w:val="24"/>
          <w:highlight w:val="none"/>
        </w:rPr>
      </w:pPr>
      <w:r>
        <w:rPr>
          <w:rFonts w:hint="eastAsia" w:ascii="黑体" w:eastAsia="黑体"/>
          <w:color w:val="auto"/>
          <w:sz w:val="24"/>
          <w:highlight w:val="none"/>
        </w:rPr>
        <w:t>（另附）</w:t>
      </w:r>
    </w:p>
    <w:p>
      <w:pPr>
        <w:rPr>
          <w:color w:val="auto"/>
          <w:highlight w:val="none"/>
        </w:rPr>
      </w:pPr>
      <w:bookmarkStart w:id="421" w:name="_Toc152042574"/>
      <w:bookmarkStart w:id="422" w:name="_Toc152045785"/>
      <w:bookmarkStart w:id="423" w:name="_Toc144974854"/>
    </w:p>
    <w:p>
      <w:pPr>
        <w:jc w:val="center"/>
        <w:rPr>
          <w:rFonts w:ascii="黑体" w:eastAsia="黑体"/>
          <w:color w:val="auto"/>
          <w:sz w:val="28"/>
          <w:szCs w:val="28"/>
          <w:highlight w:val="none"/>
        </w:rPr>
      </w:pPr>
      <w:bookmarkStart w:id="424" w:name="_Toc129618914"/>
      <w:bookmarkStart w:id="425" w:name="_Toc500866778"/>
      <w:r>
        <w:rPr>
          <w:rFonts w:hint="eastAsia" w:ascii="黑体" w:eastAsia="黑体"/>
          <w:color w:val="auto"/>
          <w:sz w:val="28"/>
          <w:szCs w:val="28"/>
          <w:highlight w:val="none"/>
        </w:rPr>
        <w:br w:type="page"/>
      </w:r>
    </w:p>
    <w:p>
      <w:pPr>
        <w:pStyle w:val="2"/>
        <w:spacing w:line="240" w:lineRule="auto"/>
        <w:jc w:val="center"/>
        <w:rPr>
          <w:rFonts w:ascii="黑体" w:eastAsia="黑体"/>
          <w:color w:val="auto"/>
          <w:kern w:val="2"/>
          <w:sz w:val="28"/>
          <w:szCs w:val="28"/>
          <w:highlight w:val="none"/>
        </w:rPr>
      </w:pPr>
      <w:r>
        <w:rPr>
          <w:rFonts w:hint="eastAsia" w:ascii="黑体" w:eastAsia="黑体"/>
          <w:color w:val="auto"/>
          <w:kern w:val="2"/>
          <w:sz w:val="28"/>
          <w:szCs w:val="28"/>
          <w:highlight w:val="none"/>
        </w:rPr>
        <w:t>第七章  技术</w:t>
      </w:r>
      <w:bookmarkEnd w:id="421"/>
      <w:bookmarkEnd w:id="422"/>
      <w:bookmarkEnd w:id="423"/>
      <w:r>
        <w:rPr>
          <w:rFonts w:hint="eastAsia" w:ascii="黑体" w:eastAsia="黑体"/>
          <w:color w:val="auto"/>
          <w:kern w:val="2"/>
          <w:sz w:val="28"/>
          <w:szCs w:val="28"/>
          <w:highlight w:val="none"/>
        </w:rPr>
        <w:t>标准和要求</w:t>
      </w:r>
      <w:bookmarkEnd w:id="424"/>
      <w:bookmarkEnd w:id="425"/>
    </w:p>
    <w:p>
      <w:pPr>
        <w:adjustRightInd w:val="0"/>
        <w:snapToGrid w:val="0"/>
        <w:jc w:val="center"/>
        <w:rPr>
          <w:rFonts w:ascii="黑体" w:hAnsi="黑体" w:eastAsia="黑体"/>
          <w:b/>
          <w:bCs/>
          <w:color w:val="auto"/>
          <w:sz w:val="32"/>
          <w:highlight w:val="none"/>
        </w:rPr>
      </w:pPr>
      <w:r>
        <w:rPr>
          <w:rFonts w:hint="eastAsia" w:ascii="黑体" w:eastAsia="黑体"/>
          <w:color w:val="auto"/>
          <w:sz w:val="24"/>
          <w:highlight w:val="none"/>
        </w:rPr>
        <w:t>（技术规范书另附）</w:t>
      </w:r>
      <w:bookmarkEnd w:id="411"/>
      <w:bookmarkEnd w:id="412"/>
      <w:bookmarkEnd w:id="413"/>
      <w:bookmarkEnd w:id="414"/>
      <w:bookmarkEnd w:id="415"/>
    </w:p>
    <w:p>
      <w:pPr>
        <w:spacing w:line="360" w:lineRule="exact"/>
        <w:ind w:firstLine="480" w:firstLineChars="200"/>
        <w:rPr>
          <w:rFonts w:hint="eastAsia" w:ascii="黑体" w:hAnsi="黑体" w:eastAsia="黑体" w:cs="黑体"/>
          <w:color w:val="auto"/>
          <w:sz w:val="24"/>
          <w:szCs w:val="24"/>
          <w:highlight w:val="none"/>
        </w:rPr>
      </w:pPr>
      <w:bookmarkStart w:id="426" w:name="_Toc21185"/>
      <w:bookmarkStart w:id="427" w:name="_Toc62551564"/>
      <w:bookmarkStart w:id="428" w:name="_Toc500521535"/>
      <w:bookmarkStart w:id="429" w:name="_Toc2611"/>
      <w:bookmarkStart w:id="430" w:name="_Toc28252"/>
      <w:r>
        <w:rPr>
          <w:rFonts w:hint="eastAsia" w:ascii="黑体" w:hAnsi="黑体" w:eastAsia="黑体" w:cs="黑体"/>
          <w:color w:val="auto"/>
          <w:sz w:val="24"/>
          <w:szCs w:val="24"/>
          <w:highlight w:val="none"/>
        </w:rPr>
        <w:t>一、依据设计图纸和技术文件要求，本工程项目的材料、设备、施工必须达到现行国家、行业及国家电网有限公司有关法规、规范和技术规程的要求。</w:t>
      </w:r>
    </w:p>
    <w:p>
      <w:pPr>
        <w:spacing w:line="360" w:lineRule="exact"/>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二、根据工程要求，本工程下列项目材料、施工除必须达到以上标准外，还应满足下列标准要求见工程技术规范书与图纸（另附）。</w:t>
      </w:r>
    </w:p>
    <w:p>
      <w:pPr>
        <w:spacing w:line="360" w:lineRule="exact"/>
        <w:ind w:firstLine="480" w:firstLineChars="200"/>
        <w:rPr>
          <w:rFonts w:hint="eastAsia" w:ascii="黑体" w:hAnsi="黑体" w:eastAsia="黑体" w:cs="黑体"/>
          <w:color w:val="auto"/>
          <w:sz w:val="24"/>
          <w:szCs w:val="24"/>
          <w:highlight w:val="none"/>
        </w:rPr>
      </w:pPr>
      <w:r>
        <w:rPr>
          <w:rFonts w:hint="eastAsia" w:ascii="黑体" w:hAnsi="黑体" w:eastAsia="黑体" w:cs="黑体"/>
          <w:color w:val="auto"/>
          <w:sz w:val="24"/>
          <w:szCs w:val="24"/>
          <w:highlight w:val="none"/>
        </w:rPr>
        <w:t>三、对于输变电工程及线路工程，要根据《国家电网有限公司关于印发输电线路跨越重要输电通道建设管理规范（试行）等文件的通知》的规定，进行相应的专题研究（对于每处跨越高铁、高速、重要输电通道（交流500千伏及以上、直流），要进行专项跨越施工方案论证和可行性分析）。</w:t>
      </w:r>
    </w:p>
    <w:p>
      <w:pPr>
        <w:topLinePunct/>
        <w:spacing w:line="400" w:lineRule="exact"/>
        <w:ind w:firstLine="0" w:firstLineChars="0"/>
        <w:jc w:val="both"/>
        <w:outlineLvl w:val="0"/>
        <w:rPr>
          <w:rFonts w:hint="eastAsia" w:ascii="黑体" w:eastAsia="黑体"/>
          <w:b/>
          <w:color w:val="auto"/>
          <w:sz w:val="28"/>
          <w:szCs w:val="28"/>
          <w:highlight w:val="none"/>
        </w:rPr>
      </w:pPr>
    </w:p>
    <w:p>
      <w:pPr>
        <w:topLinePunct/>
        <w:spacing w:line="400" w:lineRule="exact"/>
        <w:ind w:firstLine="0" w:firstLineChars="0"/>
        <w:jc w:val="both"/>
        <w:outlineLvl w:val="0"/>
        <w:rPr>
          <w:rFonts w:hint="eastAsia" w:ascii="黑体" w:eastAsia="黑体"/>
          <w:b/>
          <w:color w:val="auto"/>
          <w:sz w:val="28"/>
          <w:szCs w:val="28"/>
          <w:highlight w:val="none"/>
        </w:rPr>
      </w:pPr>
    </w:p>
    <w:p>
      <w:pPr>
        <w:topLinePunct/>
        <w:spacing w:line="400" w:lineRule="exact"/>
        <w:ind w:firstLine="0" w:firstLineChars="0"/>
        <w:jc w:val="both"/>
        <w:outlineLvl w:val="0"/>
        <w:rPr>
          <w:rFonts w:hint="eastAsia" w:ascii="黑体" w:eastAsia="黑体"/>
          <w:b/>
          <w:color w:val="auto"/>
          <w:sz w:val="28"/>
          <w:szCs w:val="28"/>
          <w:highlight w:val="none"/>
        </w:rPr>
      </w:pPr>
    </w:p>
    <w:p>
      <w:pPr>
        <w:keepNext/>
        <w:keepLines/>
        <w:numPr>
          <w:ilvl w:val="-1"/>
          <w:numId w:val="0"/>
        </w:numPr>
        <w:snapToGrid w:val="0"/>
        <w:spacing w:before="192" w:beforeLines="80" w:after="192" w:afterLines="80"/>
        <w:ind w:left="0" w:firstLine="0"/>
        <w:jc w:val="center"/>
        <w:outlineLvl w:val="1"/>
        <w:rPr>
          <w:rFonts w:eastAsia="黑体"/>
          <w:color w:val="auto"/>
          <w:sz w:val="28"/>
          <w:highlight w:val="none"/>
        </w:rPr>
      </w:pPr>
      <w:r>
        <w:rPr>
          <w:rFonts w:hint="eastAsia" w:ascii="黑体" w:eastAsia="黑体"/>
          <w:b/>
          <w:color w:val="auto"/>
          <w:sz w:val="28"/>
          <w:szCs w:val="28"/>
          <w:highlight w:val="none"/>
        </w:rPr>
        <w:br w:type="page"/>
      </w:r>
      <w:bookmarkEnd w:id="426"/>
      <w:bookmarkEnd w:id="427"/>
      <w:bookmarkEnd w:id="428"/>
      <w:bookmarkEnd w:id="429"/>
      <w:bookmarkEnd w:id="430"/>
      <w:r>
        <w:rPr>
          <w:rFonts w:hint="eastAsia" w:ascii="黑体" w:eastAsia="黑体"/>
          <w:b/>
          <w:color w:val="auto"/>
          <w:sz w:val="28"/>
          <w:szCs w:val="28"/>
          <w:highlight w:val="none"/>
        </w:rPr>
        <w:t>第八章  投标文件格式</w:t>
      </w:r>
    </w:p>
    <w:p>
      <w:pPr>
        <w:keepNext/>
        <w:keepLines/>
        <w:numPr>
          <w:ilvl w:val="0"/>
          <w:numId w:val="3"/>
        </w:numPr>
        <w:snapToGrid w:val="0"/>
        <w:spacing w:before="192" w:beforeLines="80" w:after="192" w:afterLines="80"/>
        <w:jc w:val="left"/>
        <w:outlineLvl w:val="1"/>
        <w:rPr>
          <w:rFonts w:eastAsia="黑体"/>
          <w:color w:val="auto"/>
          <w:sz w:val="28"/>
          <w:highlight w:val="none"/>
        </w:rPr>
      </w:pPr>
      <w:r>
        <w:rPr>
          <w:rFonts w:eastAsia="黑体"/>
          <w:color w:val="auto"/>
          <w:sz w:val="28"/>
          <w:highlight w:val="none"/>
        </w:rPr>
        <w:t>投标文件组成</w:t>
      </w:r>
    </w:p>
    <w:p>
      <w:pPr>
        <w:keepNext w:val="0"/>
        <w:keepLines w:val="0"/>
        <w:pageBreakBefore w:val="0"/>
        <w:widowControl w:val="0"/>
        <w:tabs>
          <w:tab w:val="left" w:pos="312"/>
        </w:tabs>
        <w:kinsoku/>
        <w:wordWrap/>
        <w:overflowPunct/>
        <w:topLinePunct w:val="0"/>
        <w:autoSpaceDE/>
        <w:autoSpaceDN/>
        <w:bidi w:val="0"/>
        <w:adjustRightInd w:val="0"/>
        <w:snapToGrid w:val="0"/>
        <w:spacing w:line="420" w:lineRule="exact"/>
        <w:ind w:left="0" w:firstLine="420" w:firstLineChars="200"/>
        <w:jc w:val="left"/>
        <w:textAlignment w:val="auto"/>
        <w:rPr>
          <w:color w:val="auto"/>
          <w:szCs w:val="21"/>
          <w:highlight w:val="none"/>
        </w:rPr>
      </w:pPr>
      <w:r>
        <w:rPr>
          <w:color w:val="auto"/>
          <w:szCs w:val="21"/>
          <w:highlight w:val="none"/>
        </w:rPr>
        <w:t>投标文件应按照下表的文件顺序编制各投标文件，未按招标文件规定内容与格式编制的投标文件，将对投标人的投标结果产生不利影响。与招标投标评标无关的文件或材料，如招标文件要求年份以前以后的业绩等，</w:t>
      </w:r>
      <w:r>
        <w:rPr>
          <w:rFonts w:hint="eastAsia"/>
          <w:color w:val="auto"/>
          <w:szCs w:val="21"/>
          <w:highlight w:val="none"/>
          <w:lang w:eastAsia="zh-CN"/>
        </w:rPr>
        <w:t>不得编入投标文件，编入不作评审</w:t>
      </w:r>
      <w:r>
        <w:rPr>
          <w:color w:val="auto"/>
          <w:szCs w:val="21"/>
          <w:highlight w:val="none"/>
        </w:rPr>
        <w:t>。</w:t>
      </w:r>
      <w:bookmarkStart w:id="431" w:name="_Toc21011_WPSOffice_Level1"/>
      <w:bookmarkStart w:id="432" w:name="_Toc10482_WPSOffice_Level1"/>
      <w:bookmarkStart w:id="433" w:name="_Toc18861_WPSOffice_Level1"/>
    </w:p>
    <w:bookmarkEnd w:id="431"/>
    <w:bookmarkEnd w:id="432"/>
    <w:bookmarkEnd w:id="433"/>
    <w:p>
      <w:pPr>
        <w:tabs>
          <w:tab w:val="left" w:pos="312"/>
        </w:tabs>
        <w:topLinePunct w:val="0"/>
        <w:adjustRightInd w:val="0"/>
        <w:snapToGrid w:val="0"/>
        <w:spacing w:line="360" w:lineRule="auto"/>
        <w:ind w:left="420"/>
        <w:jc w:val="center"/>
        <w:rPr>
          <w:b/>
          <w:color w:val="auto"/>
          <w:szCs w:val="21"/>
          <w:highlight w:val="none"/>
        </w:rPr>
      </w:pPr>
    </w:p>
    <w:p>
      <w:pPr>
        <w:tabs>
          <w:tab w:val="left" w:pos="312"/>
        </w:tabs>
        <w:topLinePunct w:val="0"/>
        <w:adjustRightInd w:val="0"/>
        <w:snapToGrid w:val="0"/>
        <w:spacing w:line="360" w:lineRule="auto"/>
        <w:ind w:left="420"/>
        <w:jc w:val="center"/>
        <w:rPr>
          <w:b/>
          <w:color w:val="auto"/>
          <w:szCs w:val="21"/>
          <w:highlight w:val="none"/>
        </w:rPr>
      </w:pPr>
      <w:r>
        <w:rPr>
          <w:b/>
          <w:color w:val="auto"/>
          <w:szCs w:val="21"/>
          <w:highlight w:val="none"/>
        </w:rPr>
        <w:t>投标文件组成列表（电子单轨制）</w:t>
      </w:r>
    </w:p>
    <w:tbl>
      <w:tblPr>
        <w:tblStyle w:val="19"/>
        <w:tblW w:w="9286" w:type="dxa"/>
        <w:tblInd w:w="0" w:type="dxa"/>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Layout w:type="fixed"/>
        <w:tblCellMar>
          <w:top w:w="0" w:type="dxa"/>
          <w:left w:w="108" w:type="dxa"/>
          <w:bottom w:w="0" w:type="dxa"/>
          <w:right w:w="108" w:type="dxa"/>
        </w:tblCellMar>
      </w:tblPr>
      <w:tblGrid>
        <w:gridCol w:w="958"/>
        <w:gridCol w:w="3828"/>
        <w:gridCol w:w="992"/>
        <w:gridCol w:w="1001"/>
        <w:gridCol w:w="2507"/>
      </w:tblGrid>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478" w:hRule="atLeast"/>
          <w:tblHeader/>
        </w:trPr>
        <w:tc>
          <w:tcPr>
            <w:tcW w:w="958" w:type="dxa"/>
            <w:vMerge w:val="restart"/>
            <w:vAlign w:val="center"/>
          </w:tcPr>
          <w:p>
            <w:pPr>
              <w:widowControl/>
              <w:jc w:val="center"/>
              <w:rPr>
                <w:b/>
                <w:bCs/>
                <w:color w:val="auto"/>
                <w:kern w:val="0"/>
                <w:sz w:val="18"/>
                <w:szCs w:val="18"/>
                <w:highlight w:val="none"/>
              </w:rPr>
            </w:pPr>
            <w:r>
              <w:rPr>
                <w:b/>
                <w:bCs/>
                <w:color w:val="auto"/>
                <w:kern w:val="0"/>
                <w:sz w:val="18"/>
                <w:szCs w:val="18"/>
                <w:highlight w:val="none"/>
              </w:rPr>
              <w:t>序号</w:t>
            </w:r>
          </w:p>
        </w:tc>
        <w:tc>
          <w:tcPr>
            <w:tcW w:w="3828" w:type="dxa"/>
            <w:vMerge w:val="restart"/>
            <w:vAlign w:val="center"/>
          </w:tcPr>
          <w:p>
            <w:pPr>
              <w:widowControl/>
              <w:jc w:val="center"/>
              <w:rPr>
                <w:b/>
                <w:bCs/>
                <w:color w:val="auto"/>
                <w:kern w:val="0"/>
                <w:sz w:val="18"/>
                <w:szCs w:val="18"/>
                <w:highlight w:val="none"/>
              </w:rPr>
            </w:pPr>
            <w:r>
              <w:rPr>
                <w:b/>
                <w:bCs/>
                <w:color w:val="auto"/>
                <w:kern w:val="0"/>
                <w:sz w:val="18"/>
                <w:szCs w:val="18"/>
                <w:highlight w:val="none"/>
              </w:rPr>
              <w:t>名称</w:t>
            </w:r>
          </w:p>
        </w:tc>
        <w:tc>
          <w:tcPr>
            <w:tcW w:w="4500" w:type="dxa"/>
            <w:gridSpan w:val="3"/>
            <w:vAlign w:val="center"/>
          </w:tcPr>
          <w:p>
            <w:pPr>
              <w:widowControl/>
              <w:jc w:val="center"/>
              <w:rPr>
                <w:b/>
                <w:bCs/>
                <w:color w:val="auto"/>
                <w:kern w:val="0"/>
                <w:sz w:val="18"/>
                <w:szCs w:val="18"/>
                <w:highlight w:val="none"/>
              </w:rPr>
            </w:pPr>
            <w:r>
              <w:rPr>
                <w:b/>
                <w:bCs/>
                <w:color w:val="auto"/>
                <w:kern w:val="0"/>
                <w:sz w:val="18"/>
                <w:szCs w:val="18"/>
                <w:highlight w:val="none"/>
              </w:rPr>
              <w:t>电子文件介质渠道</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379" w:hRule="atLeast"/>
          <w:tblHeader/>
        </w:trPr>
        <w:tc>
          <w:tcPr>
            <w:tcW w:w="958" w:type="dxa"/>
            <w:vMerge w:val="continue"/>
            <w:vAlign w:val="center"/>
          </w:tcPr>
          <w:p>
            <w:pPr>
              <w:widowControl/>
              <w:jc w:val="center"/>
              <w:rPr>
                <w:b/>
                <w:bCs/>
                <w:color w:val="auto"/>
                <w:kern w:val="0"/>
                <w:sz w:val="18"/>
                <w:szCs w:val="18"/>
                <w:highlight w:val="none"/>
              </w:rPr>
            </w:pPr>
          </w:p>
        </w:tc>
        <w:tc>
          <w:tcPr>
            <w:tcW w:w="3828" w:type="dxa"/>
            <w:vMerge w:val="continue"/>
            <w:vAlign w:val="center"/>
          </w:tcPr>
          <w:p>
            <w:pPr>
              <w:widowControl/>
              <w:jc w:val="center"/>
              <w:rPr>
                <w:b/>
                <w:bCs/>
                <w:color w:val="auto"/>
                <w:kern w:val="0"/>
                <w:sz w:val="18"/>
                <w:szCs w:val="18"/>
                <w:highlight w:val="none"/>
              </w:rPr>
            </w:pPr>
          </w:p>
        </w:tc>
        <w:tc>
          <w:tcPr>
            <w:tcW w:w="992" w:type="dxa"/>
            <w:vAlign w:val="center"/>
          </w:tcPr>
          <w:p>
            <w:pPr>
              <w:autoSpaceDE w:val="0"/>
              <w:autoSpaceDN w:val="0"/>
              <w:adjustRightInd w:val="0"/>
              <w:snapToGrid w:val="0"/>
              <w:jc w:val="center"/>
              <w:rPr>
                <w:b/>
                <w:color w:val="auto"/>
                <w:sz w:val="18"/>
                <w:highlight w:val="none"/>
              </w:rPr>
            </w:pPr>
            <w:r>
              <w:rPr>
                <w:rFonts w:hint="eastAsia"/>
                <w:b/>
                <w:color w:val="auto"/>
                <w:sz w:val="18"/>
                <w:highlight w:val="none"/>
              </w:rPr>
              <w:t>网盘</w:t>
            </w:r>
          </w:p>
        </w:tc>
        <w:tc>
          <w:tcPr>
            <w:tcW w:w="1001" w:type="dxa"/>
            <w:vAlign w:val="center"/>
          </w:tcPr>
          <w:p>
            <w:pPr>
              <w:autoSpaceDE w:val="0"/>
              <w:autoSpaceDN w:val="0"/>
              <w:adjustRightInd w:val="0"/>
              <w:snapToGrid w:val="0"/>
              <w:jc w:val="center"/>
              <w:rPr>
                <w:b/>
                <w:color w:val="auto"/>
                <w:sz w:val="18"/>
                <w:highlight w:val="none"/>
              </w:rPr>
            </w:pPr>
            <w:r>
              <w:rPr>
                <w:b/>
                <w:color w:val="auto"/>
                <w:sz w:val="18"/>
                <w:highlight w:val="none"/>
              </w:rPr>
              <w:t>ECP</w:t>
            </w:r>
          </w:p>
        </w:tc>
        <w:tc>
          <w:tcPr>
            <w:tcW w:w="2507" w:type="dxa"/>
            <w:vAlign w:val="center"/>
          </w:tcPr>
          <w:p>
            <w:pPr>
              <w:autoSpaceDE w:val="0"/>
              <w:autoSpaceDN w:val="0"/>
              <w:adjustRightInd w:val="0"/>
              <w:snapToGrid w:val="0"/>
              <w:jc w:val="center"/>
              <w:rPr>
                <w:b/>
                <w:color w:val="auto"/>
                <w:sz w:val="18"/>
                <w:highlight w:val="none"/>
              </w:rPr>
            </w:pPr>
            <w:r>
              <w:rPr>
                <w:b/>
                <w:color w:val="auto"/>
                <w:sz w:val="18"/>
                <w:highlight w:val="none"/>
              </w:rPr>
              <w:t>ECP上传模块</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shd w:val="pct25" w:color="000000" w:fill="CCCCCC"/>
            <w:vAlign w:val="center"/>
          </w:tcPr>
          <w:p>
            <w:pPr>
              <w:widowControl/>
              <w:jc w:val="center"/>
              <w:rPr>
                <w:rFonts w:eastAsia="黑体"/>
                <w:b/>
                <w:bCs/>
                <w:color w:val="auto"/>
                <w:kern w:val="0"/>
                <w:sz w:val="24"/>
                <w:highlight w:val="none"/>
              </w:rPr>
            </w:pPr>
            <w:r>
              <w:rPr>
                <w:rFonts w:eastAsia="黑体"/>
                <w:b/>
                <w:bCs/>
                <w:color w:val="auto"/>
                <w:kern w:val="0"/>
                <w:sz w:val="24"/>
                <w:highlight w:val="none"/>
              </w:rPr>
              <w:t>（一）</w:t>
            </w:r>
          </w:p>
        </w:tc>
        <w:tc>
          <w:tcPr>
            <w:tcW w:w="8328" w:type="dxa"/>
            <w:gridSpan w:val="4"/>
            <w:shd w:val="pct25" w:color="000000" w:fill="CCCCCC"/>
            <w:vAlign w:val="center"/>
          </w:tcPr>
          <w:p>
            <w:pPr>
              <w:widowControl/>
              <w:jc w:val="left"/>
              <w:rPr>
                <w:rFonts w:eastAsia="黑体"/>
                <w:b/>
                <w:bCs/>
                <w:color w:val="auto"/>
                <w:kern w:val="0"/>
                <w:sz w:val="24"/>
                <w:highlight w:val="none"/>
              </w:rPr>
            </w:pPr>
            <w:r>
              <w:rPr>
                <w:rFonts w:eastAsia="黑体"/>
                <w:b/>
                <w:bCs/>
                <w:color w:val="auto"/>
                <w:kern w:val="0"/>
                <w:sz w:val="24"/>
                <w:highlight w:val="none"/>
              </w:rPr>
              <w:t>开标文件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432" w:hRule="atLeast"/>
        </w:trPr>
        <w:tc>
          <w:tcPr>
            <w:tcW w:w="958" w:type="dxa"/>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1</w:t>
            </w:r>
          </w:p>
        </w:tc>
        <w:tc>
          <w:tcPr>
            <w:tcW w:w="3828" w:type="dxa"/>
            <w:vAlign w:val="center"/>
          </w:tcPr>
          <w:p>
            <w:pPr>
              <w:widowControl/>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投标函及投标函附录（带二维码）</w:t>
            </w:r>
          </w:p>
        </w:tc>
        <w:tc>
          <w:tcPr>
            <w:tcW w:w="992" w:type="dxa"/>
            <w:vAlign w:val="center"/>
          </w:tcPr>
          <w:p>
            <w:pPr>
              <w:widowControl/>
              <w:jc w:val="center"/>
              <w:rPr>
                <w:rFonts w:ascii="宋体" w:hAnsi="宋体" w:cs="宋体" w:eastAsiaTheme="minorEastAsia"/>
                <w:color w:val="auto"/>
                <w:kern w:val="0"/>
                <w:sz w:val="18"/>
                <w:szCs w:val="18"/>
                <w:highlight w:val="none"/>
              </w:rPr>
            </w:pPr>
            <w:r>
              <w:rPr>
                <w:rFonts w:ascii="Times New Roman" w:hAnsi="Times New Roman"/>
                <w:color w:val="auto"/>
                <w:kern w:val="0"/>
                <w:sz w:val="18"/>
                <w:szCs w:val="18"/>
                <w:highlight w:val="none"/>
              </w:rPr>
              <w:t>×</w:t>
            </w:r>
          </w:p>
        </w:tc>
        <w:tc>
          <w:tcPr>
            <w:tcW w:w="1001" w:type="dxa"/>
            <w:vAlign w:val="center"/>
          </w:tcPr>
          <w:p>
            <w:pPr>
              <w:widowControl/>
              <w:jc w:val="center"/>
              <w:rPr>
                <w:rFonts w:ascii="宋体" w:hAnsi="宋体" w:cs="宋体" w:eastAsiaTheme="minorEastAsia"/>
                <w:color w:val="auto"/>
                <w:kern w:val="0"/>
                <w:sz w:val="18"/>
                <w:szCs w:val="18"/>
                <w:highlight w:val="none"/>
              </w:rPr>
            </w:pPr>
            <w:r>
              <w:rPr>
                <w:rFonts w:ascii="Times New Roman" w:hAnsi="Times New Roman"/>
                <w:color w:val="auto"/>
                <w:kern w:val="0"/>
                <w:sz w:val="18"/>
                <w:szCs w:val="18"/>
                <w:highlight w:val="none"/>
              </w:rPr>
              <w:t>√</w:t>
            </w:r>
          </w:p>
        </w:tc>
        <w:tc>
          <w:tcPr>
            <w:tcW w:w="2507" w:type="dxa"/>
            <w:vAlign w:val="center"/>
          </w:tcPr>
          <w:p>
            <w:pPr>
              <w:widowControl/>
              <w:jc w:val="center"/>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系统自动生成</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shd w:val="pct25" w:color="000000" w:fill="BFBFBF"/>
            <w:vAlign w:val="center"/>
          </w:tcPr>
          <w:p>
            <w:pPr>
              <w:widowControl/>
              <w:jc w:val="center"/>
              <w:rPr>
                <w:rFonts w:eastAsia="黑体"/>
                <w:b/>
                <w:bCs/>
                <w:color w:val="auto"/>
                <w:kern w:val="0"/>
                <w:sz w:val="24"/>
                <w:highlight w:val="none"/>
              </w:rPr>
            </w:pPr>
            <w:r>
              <w:rPr>
                <w:rFonts w:eastAsia="黑体"/>
                <w:b/>
                <w:bCs/>
                <w:color w:val="auto"/>
                <w:kern w:val="0"/>
                <w:sz w:val="24"/>
                <w:highlight w:val="none"/>
              </w:rPr>
              <w:t>（二）</w:t>
            </w:r>
          </w:p>
        </w:tc>
        <w:tc>
          <w:tcPr>
            <w:tcW w:w="8328" w:type="dxa"/>
            <w:gridSpan w:val="4"/>
            <w:shd w:val="pct25" w:color="000000" w:fill="BFBFBF"/>
            <w:vAlign w:val="center"/>
          </w:tcPr>
          <w:p>
            <w:pPr>
              <w:widowControl/>
              <w:jc w:val="left"/>
              <w:rPr>
                <w:rFonts w:eastAsia="黑体"/>
                <w:b/>
                <w:bCs/>
                <w:color w:val="auto"/>
                <w:kern w:val="0"/>
                <w:sz w:val="24"/>
                <w:highlight w:val="none"/>
              </w:rPr>
            </w:pPr>
            <w:r>
              <w:rPr>
                <w:rFonts w:eastAsia="黑体"/>
                <w:b/>
                <w:bCs/>
                <w:color w:val="auto"/>
                <w:kern w:val="0"/>
                <w:sz w:val="24"/>
                <w:highlight w:val="none"/>
              </w:rPr>
              <w:t>报价文件（30MB/包）</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470" w:hRule="atLeast"/>
        </w:trPr>
        <w:tc>
          <w:tcPr>
            <w:tcW w:w="958" w:type="dxa"/>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1</w:t>
            </w:r>
          </w:p>
        </w:tc>
        <w:tc>
          <w:tcPr>
            <w:tcW w:w="3828" w:type="dxa"/>
            <w:vAlign w:val="center"/>
          </w:tcPr>
          <w:p>
            <w:pPr>
              <w:widowControl/>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报价明细表</w:t>
            </w:r>
          </w:p>
        </w:tc>
        <w:tc>
          <w:tcPr>
            <w:tcW w:w="992" w:type="dxa"/>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w:t>
            </w:r>
          </w:p>
        </w:tc>
        <w:tc>
          <w:tcPr>
            <w:tcW w:w="1001" w:type="dxa"/>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w:t>
            </w:r>
          </w:p>
        </w:tc>
        <w:tc>
          <w:tcPr>
            <w:tcW w:w="2507" w:type="dxa"/>
            <w:vAlign w:val="center"/>
          </w:tcPr>
          <w:p>
            <w:pPr>
              <w:widowControl/>
              <w:jc w:val="center"/>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工程量清单</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shd w:val="pct25" w:color="000000" w:fill="BFBFBF"/>
            <w:vAlign w:val="center"/>
          </w:tcPr>
          <w:p>
            <w:pPr>
              <w:widowControl/>
              <w:jc w:val="center"/>
              <w:rPr>
                <w:rFonts w:eastAsia="黑体"/>
                <w:b/>
                <w:bCs/>
                <w:color w:val="auto"/>
                <w:kern w:val="0"/>
                <w:sz w:val="24"/>
                <w:highlight w:val="none"/>
              </w:rPr>
            </w:pPr>
            <w:r>
              <w:rPr>
                <w:rFonts w:eastAsia="黑体"/>
                <w:b/>
                <w:bCs/>
                <w:color w:val="auto"/>
                <w:kern w:val="0"/>
                <w:sz w:val="24"/>
                <w:highlight w:val="none"/>
              </w:rPr>
              <w:t>（三）</w:t>
            </w:r>
          </w:p>
        </w:tc>
        <w:tc>
          <w:tcPr>
            <w:tcW w:w="8328" w:type="dxa"/>
            <w:gridSpan w:val="4"/>
            <w:shd w:val="pct25" w:color="000000" w:fill="BFBFBF"/>
            <w:vAlign w:val="center"/>
          </w:tcPr>
          <w:p>
            <w:pPr>
              <w:widowControl/>
              <w:jc w:val="left"/>
              <w:rPr>
                <w:rFonts w:eastAsia="黑体"/>
                <w:b/>
                <w:bCs/>
                <w:color w:val="auto"/>
                <w:kern w:val="0"/>
                <w:sz w:val="24"/>
                <w:highlight w:val="none"/>
              </w:rPr>
            </w:pPr>
            <w:r>
              <w:rPr>
                <w:rFonts w:eastAsia="黑体"/>
                <w:b/>
                <w:bCs/>
                <w:color w:val="auto"/>
                <w:kern w:val="0"/>
                <w:sz w:val="24"/>
                <w:highlight w:val="none"/>
              </w:rPr>
              <w:t>商务文件（10MB/包）</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vAlign w:val="center"/>
          </w:tcPr>
          <w:p>
            <w:pPr>
              <w:widowControl/>
              <w:jc w:val="center"/>
              <w:rPr>
                <w:rFonts w:ascii="Times New Roman" w:hAnsi="Times New Roman" w:cstheme="minorBidi"/>
                <w:color w:val="auto"/>
                <w:kern w:val="0"/>
                <w:sz w:val="18"/>
                <w:szCs w:val="18"/>
                <w:highlight w:val="none"/>
              </w:rPr>
            </w:pPr>
            <w:r>
              <w:rPr>
                <w:rFonts w:hint="eastAsia" w:ascii="Times New Roman" w:hAnsi="Times New Roman"/>
                <w:color w:val="auto"/>
                <w:kern w:val="0"/>
                <w:sz w:val="18"/>
                <w:szCs w:val="18"/>
                <w:highlight w:val="none"/>
              </w:rPr>
              <w:t>1</w:t>
            </w:r>
          </w:p>
        </w:tc>
        <w:tc>
          <w:tcPr>
            <w:tcW w:w="3828" w:type="dxa"/>
            <w:vAlign w:val="center"/>
          </w:tcPr>
          <w:p>
            <w:pPr>
              <w:topLinePunct/>
              <w:autoSpaceDE w:val="0"/>
              <w:autoSpaceDN w:val="0"/>
              <w:adjustRightInd w:val="0"/>
              <w:snapToGrid w:val="0"/>
              <w:rPr>
                <w:rFonts w:ascii="Times New Roman" w:hAnsi="Times New Roman" w:cstheme="minorBidi"/>
                <w:color w:val="auto"/>
                <w:sz w:val="18"/>
                <w:szCs w:val="20"/>
                <w:highlight w:val="none"/>
              </w:rPr>
            </w:pPr>
            <w:r>
              <w:rPr>
                <w:rFonts w:hint="eastAsia" w:ascii="宋体" w:hAnsi="宋体" w:cs="宋体"/>
                <w:color w:val="auto"/>
                <w:kern w:val="0"/>
                <w:sz w:val="20"/>
                <w:szCs w:val="20"/>
                <w:highlight w:val="none"/>
                <w:lang w:bidi="ar"/>
              </w:rPr>
              <w:t>商务文件第一册（按要求标注页码）</w:t>
            </w:r>
          </w:p>
        </w:tc>
        <w:tc>
          <w:tcPr>
            <w:tcW w:w="992" w:type="dxa"/>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1001" w:type="dxa"/>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2507" w:type="dxa"/>
            <w:vAlign w:val="center"/>
          </w:tcPr>
          <w:p>
            <w:pPr>
              <w:topLinePunct/>
              <w:autoSpaceDE w:val="0"/>
              <w:autoSpaceDN w:val="0"/>
              <w:adjustRightInd w:val="0"/>
              <w:snapToGrid w:val="0"/>
              <w:jc w:val="center"/>
              <w:rPr>
                <w:rFonts w:ascii="Times New Roman" w:hAnsi="Times New Roman" w:cstheme="minorBidi"/>
                <w:color w:val="auto"/>
                <w:sz w:val="18"/>
                <w:szCs w:val="20"/>
                <w:highlight w:val="none"/>
              </w:rPr>
            </w:pPr>
            <w:r>
              <w:rPr>
                <w:rFonts w:hint="eastAsia" w:ascii="Times New Roman" w:hAnsi="Times New Roman"/>
                <w:color w:val="auto"/>
                <w:sz w:val="18"/>
                <w:szCs w:val="20"/>
                <w:highlight w:val="none"/>
              </w:rPr>
              <w:t>具体见商务指引文件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vAlign w:val="center"/>
          </w:tcPr>
          <w:p>
            <w:pPr>
              <w:widowControl/>
              <w:jc w:val="center"/>
              <w:rPr>
                <w:rFonts w:ascii="Times New Roman" w:hAnsi="Times New Roman" w:cstheme="minorBidi"/>
                <w:color w:val="auto"/>
                <w:kern w:val="0"/>
                <w:sz w:val="18"/>
                <w:szCs w:val="18"/>
                <w:highlight w:val="none"/>
              </w:rPr>
            </w:pPr>
            <w:r>
              <w:rPr>
                <w:rFonts w:hint="eastAsia" w:ascii="Times New Roman" w:hAnsi="Times New Roman"/>
                <w:color w:val="auto"/>
                <w:kern w:val="0"/>
                <w:sz w:val="18"/>
                <w:szCs w:val="18"/>
                <w:highlight w:val="none"/>
              </w:rPr>
              <w:t>2</w:t>
            </w:r>
          </w:p>
        </w:tc>
        <w:tc>
          <w:tcPr>
            <w:tcW w:w="3828" w:type="dxa"/>
            <w:vAlign w:val="center"/>
          </w:tcPr>
          <w:p>
            <w:pPr>
              <w:topLinePunct/>
              <w:autoSpaceDE w:val="0"/>
              <w:autoSpaceDN w:val="0"/>
              <w:adjustRightInd w:val="0"/>
              <w:snapToGrid w:val="0"/>
              <w:rPr>
                <w:rFonts w:ascii="Times New Roman" w:hAnsi="Times New Roman" w:eastAsiaTheme="minorEastAsia" w:cstheme="minorBidi"/>
                <w:color w:val="auto"/>
                <w:sz w:val="18"/>
                <w:szCs w:val="20"/>
                <w:highlight w:val="none"/>
              </w:rPr>
            </w:pPr>
            <w:r>
              <w:rPr>
                <w:rFonts w:hint="eastAsia" w:ascii="宋体" w:hAnsi="宋体" w:cs="宋体"/>
                <w:color w:val="auto"/>
                <w:kern w:val="0"/>
                <w:sz w:val="20"/>
                <w:szCs w:val="20"/>
                <w:highlight w:val="none"/>
                <w:lang w:bidi="ar"/>
              </w:rPr>
              <w:t>商务文件第二册（按要求标注页码）</w:t>
            </w:r>
          </w:p>
        </w:tc>
        <w:tc>
          <w:tcPr>
            <w:tcW w:w="992" w:type="dxa"/>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1001" w:type="dxa"/>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2507" w:type="dxa"/>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hint="eastAsia" w:ascii="Times New Roman" w:hAnsi="Times New Roman"/>
                <w:color w:val="auto"/>
                <w:sz w:val="18"/>
                <w:szCs w:val="20"/>
                <w:highlight w:val="none"/>
              </w:rPr>
              <w:t>具体见商务指引文件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shd w:val="pct25" w:color="000000" w:fill="BFBFBF"/>
            <w:vAlign w:val="center"/>
          </w:tcPr>
          <w:p>
            <w:pPr>
              <w:widowControl/>
              <w:jc w:val="center"/>
              <w:rPr>
                <w:rFonts w:eastAsia="黑体"/>
                <w:b/>
                <w:bCs/>
                <w:color w:val="auto"/>
                <w:kern w:val="0"/>
                <w:sz w:val="24"/>
                <w:highlight w:val="none"/>
              </w:rPr>
            </w:pPr>
            <w:r>
              <w:rPr>
                <w:rFonts w:eastAsia="黑体"/>
                <w:b/>
                <w:bCs/>
                <w:color w:val="auto"/>
                <w:kern w:val="0"/>
                <w:sz w:val="24"/>
                <w:highlight w:val="none"/>
              </w:rPr>
              <w:t>（四）</w:t>
            </w:r>
          </w:p>
        </w:tc>
        <w:tc>
          <w:tcPr>
            <w:tcW w:w="8328" w:type="dxa"/>
            <w:gridSpan w:val="4"/>
            <w:shd w:val="pct25" w:color="000000" w:fill="BFBFBF"/>
            <w:vAlign w:val="center"/>
          </w:tcPr>
          <w:p>
            <w:pPr>
              <w:widowControl/>
              <w:jc w:val="left"/>
              <w:rPr>
                <w:rFonts w:eastAsia="黑体"/>
                <w:b/>
                <w:bCs/>
                <w:color w:val="auto"/>
                <w:kern w:val="0"/>
                <w:sz w:val="24"/>
                <w:highlight w:val="none"/>
              </w:rPr>
            </w:pPr>
            <w:r>
              <w:rPr>
                <w:rFonts w:eastAsia="黑体"/>
                <w:b/>
                <w:bCs/>
                <w:color w:val="auto"/>
                <w:kern w:val="0"/>
                <w:sz w:val="24"/>
                <w:highlight w:val="none"/>
              </w:rPr>
              <w:t>技术文件（60MB/包）</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vAlign w:val="center"/>
          </w:tcPr>
          <w:p>
            <w:pPr>
              <w:widowControl/>
              <w:jc w:val="center"/>
              <w:rPr>
                <w:rFonts w:ascii="Times New Roman" w:hAnsi="Times New Roman" w:eastAsiaTheme="minorEastAsia" w:cstheme="minorBidi"/>
                <w:color w:val="auto"/>
                <w:kern w:val="0"/>
                <w:sz w:val="18"/>
                <w:szCs w:val="18"/>
                <w:highlight w:val="none"/>
              </w:rPr>
            </w:pPr>
            <w:r>
              <w:rPr>
                <w:rFonts w:hint="eastAsia" w:ascii="Times New Roman" w:hAnsi="Times New Roman"/>
                <w:color w:val="auto"/>
                <w:kern w:val="0"/>
                <w:sz w:val="18"/>
                <w:szCs w:val="18"/>
                <w:highlight w:val="none"/>
              </w:rPr>
              <w:t>1</w:t>
            </w:r>
          </w:p>
        </w:tc>
        <w:tc>
          <w:tcPr>
            <w:tcW w:w="3828" w:type="dxa"/>
            <w:vAlign w:val="center"/>
          </w:tcPr>
          <w:p>
            <w:pPr>
              <w:topLinePunct/>
              <w:autoSpaceDE w:val="0"/>
              <w:autoSpaceDN w:val="0"/>
              <w:adjustRightInd w:val="0"/>
              <w:snapToGrid w:val="0"/>
              <w:rPr>
                <w:rFonts w:ascii="Times New Roman" w:hAnsi="Times New Roman"/>
                <w:color w:val="auto"/>
                <w:sz w:val="18"/>
                <w:szCs w:val="20"/>
                <w:highlight w:val="none"/>
              </w:rPr>
            </w:pPr>
            <w:r>
              <w:rPr>
                <w:rFonts w:hint="eastAsia" w:ascii="宋体" w:hAnsi="宋体" w:cs="宋体"/>
                <w:color w:val="auto"/>
                <w:kern w:val="0"/>
                <w:sz w:val="20"/>
                <w:szCs w:val="20"/>
                <w:highlight w:val="none"/>
                <w:lang w:bidi="ar"/>
              </w:rPr>
              <w:t>技术文件第一册（按要求标注页码）</w:t>
            </w:r>
          </w:p>
        </w:tc>
        <w:tc>
          <w:tcPr>
            <w:tcW w:w="992" w:type="dxa"/>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ECP容量受限时可用</w:t>
            </w:r>
          </w:p>
        </w:tc>
        <w:tc>
          <w:tcPr>
            <w:tcW w:w="1001" w:type="dxa"/>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w:t>
            </w:r>
          </w:p>
        </w:tc>
        <w:tc>
          <w:tcPr>
            <w:tcW w:w="2507" w:type="dxa"/>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hint="eastAsia" w:ascii="Times New Roman" w:hAnsi="Times New Roman"/>
                <w:color w:val="auto"/>
                <w:sz w:val="18"/>
                <w:szCs w:val="20"/>
                <w:highlight w:val="none"/>
              </w:rPr>
              <w:t>具体见技术指引文件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58" w:type="dxa"/>
            <w:vAlign w:val="center"/>
          </w:tcPr>
          <w:p>
            <w:pPr>
              <w:widowControl/>
              <w:jc w:val="center"/>
              <w:rPr>
                <w:rFonts w:ascii="Times New Roman" w:hAnsi="Times New Roman" w:eastAsiaTheme="minorEastAsia" w:cstheme="minorBidi"/>
                <w:color w:val="auto"/>
                <w:kern w:val="0"/>
                <w:sz w:val="18"/>
                <w:szCs w:val="18"/>
                <w:highlight w:val="none"/>
              </w:rPr>
            </w:pPr>
            <w:r>
              <w:rPr>
                <w:rFonts w:hint="eastAsia" w:ascii="Times New Roman" w:hAnsi="Times New Roman"/>
                <w:color w:val="auto"/>
                <w:kern w:val="0"/>
                <w:sz w:val="18"/>
                <w:szCs w:val="18"/>
                <w:highlight w:val="none"/>
              </w:rPr>
              <w:t>2</w:t>
            </w:r>
          </w:p>
        </w:tc>
        <w:tc>
          <w:tcPr>
            <w:tcW w:w="3828" w:type="dxa"/>
            <w:vAlign w:val="center"/>
          </w:tcPr>
          <w:p>
            <w:pPr>
              <w:topLinePunct/>
              <w:autoSpaceDE w:val="0"/>
              <w:autoSpaceDN w:val="0"/>
              <w:adjustRightInd w:val="0"/>
              <w:snapToGrid w:val="0"/>
              <w:rPr>
                <w:rFonts w:ascii="Times New Roman" w:hAnsi="Times New Roman"/>
                <w:color w:val="auto"/>
                <w:sz w:val="18"/>
                <w:szCs w:val="20"/>
                <w:highlight w:val="none"/>
              </w:rPr>
            </w:pPr>
            <w:r>
              <w:rPr>
                <w:rFonts w:hint="eastAsia" w:ascii="宋体" w:hAnsi="宋体" w:cs="宋体"/>
                <w:color w:val="auto"/>
                <w:kern w:val="0"/>
                <w:sz w:val="20"/>
                <w:szCs w:val="20"/>
                <w:highlight w:val="none"/>
                <w:lang w:bidi="ar"/>
              </w:rPr>
              <w:t>技术文件第二册（按要求标注页码）</w:t>
            </w:r>
          </w:p>
        </w:tc>
        <w:tc>
          <w:tcPr>
            <w:tcW w:w="992" w:type="dxa"/>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ECP容量受限时可用</w:t>
            </w:r>
          </w:p>
        </w:tc>
        <w:tc>
          <w:tcPr>
            <w:tcW w:w="1001" w:type="dxa"/>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w:t>
            </w:r>
          </w:p>
        </w:tc>
        <w:tc>
          <w:tcPr>
            <w:tcW w:w="2507" w:type="dxa"/>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hint="eastAsia" w:ascii="Times New Roman" w:hAnsi="Times New Roman"/>
                <w:color w:val="auto"/>
                <w:sz w:val="18"/>
                <w:szCs w:val="20"/>
                <w:highlight w:val="none"/>
              </w:rPr>
              <w:t>具体见技术指引文件</w:t>
            </w:r>
          </w:p>
        </w:tc>
      </w:tr>
    </w:tbl>
    <w:p>
      <w:pPr>
        <w:pStyle w:val="18"/>
        <w:rPr>
          <w:b/>
          <w:color w:val="auto"/>
          <w:sz w:val="24"/>
          <w:szCs w:val="22"/>
          <w:highlight w:val="none"/>
        </w:rPr>
      </w:pPr>
    </w:p>
    <w:p>
      <w:pPr>
        <w:rPr>
          <w:rFonts w:eastAsia="黑体"/>
          <w:color w:val="auto"/>
          <w:sz w:val="28"/>
          <w:highlight w:val="none"/>
        </w:rPr>
      </w:pPr>
      <w:r>
        <w:rPr>
          <w:rFonts w:eastAsia="黑体"/>
          <w:color w:val="auto"/>
          <w:sz w:val="28"/>
          <w:highlight w:val="none"/>
        </w:rPr>
        <w:br w:type="page"/>
      </w:r>
    </w:p>
    <w:p>
      <w:pPr>
        <w:keepNext/>
        <w:keepLines/>
        <w:numPr>
          <w:ilvl w:val="0"/>
          <w:numId w:val="3"/>
        </w:numPr>
        <w:snapToGrid w:val="0"/>
        <w:spacing w:before="192" w:beforeLines="80" w:after="192" w:afterLines="80"/>
        <w:jc w:val="left"/>
        <w:outlineLvl w:val="1"/>
        <w:rPr>
          <w:rFonts w:eastAsia="黑体"/>
          <w:color w:val="auto"/>
          <w:sz w:val="28"/>
          <w:highlight w:val="none"/>
        </w:rPr>
      </w:pPr>
      <w:r>
        <w:rPr>
          <w:rFonts w:eastAsia="黑体"/>
          <w:color w:val="auto"/>
          <w:sz w:val="28"/>
          <w:highlight w:val="none"/>
        </w:rPr>
        <w:t>投标文件格式要求</w:t>
      </w:r>
    </w:p>
    <w:p>
      <w:pPr>
        <w:widowControl/>
        <w:numPr>
          <w:ilvl w:val="0"/>
          <w:numId w:val="4"/>
        </w:numPr>
        <w:jc w:val="left"/>
        <w:outlineLvl w:val="1"/>
        <w:rPr>
          <w:b/>
          <w:color w:val="auto"/>
          <w:sz w:val="24"/>
          <w:highlight w:val="none"/>
        </w:rPr>
      </w:pPr>
      <w:bookmarkStart w:id="434" w:name="_Toc12292_WPSOffice_Level1"/>
      <w:bookmarkStart w:id="435" w:name="_Toc32697_WPSOffice_Level1"/>
      <w:bookmarkStart w:id="436" w:name="_Toc10430_WPSOffice_Level1"/>
      <w:r>
        <w:rPr>
          <w:b/>
          <w:color w:val="auto"/>
          <w:sz w:val="24"/>
          <w:highlight w:val="none"/>
        </w:rPr>
        <w:t>开标文件（投标函及投标函附录）</w:t>
      </w:r>
    </w:p>
    <w:p>
      <w:pPr>
        <w:pStyle w:val="48"/>
        <w:jc w:val="right"/>
        <w:rPr>
          <w:rFonts w:ascii="Times New Roman" w:hAnsi="Times New Roman"/>
          <w:color w:val="auto"/>
          <w:sz w:val="18"/>
          <w:highlight w:val="none"/>
          <w:lang w:eastAsia="zh-CN"/>
        </w:rPr>
      </w:pPr>
      <w:r>
        <w:rPr>
          <w:rFonts w:ascii="Times New Roman" w:hAnsi="Times New Roman"/>
          <w:color w:val="auto"/>
          <w:highlight w:val="none"/>
        </w:rPr>
        <w:t>系统</w:t>
      </w:r>
      <w:r>
        <w:rPr>
          <w:rFonts w:ascii="Times New Roman" w:hAnsi="Times New Roman"/>
          <w:color w:val="auto"/>
          <w:highlight w:val="none"/>
          <w:lang w:eastAsia="zh-CN"/>
        </w:rPr>
        <w:t>二维码</w:t>
      </w:r>
    </w:p>
    <w:p>
      <w:pPr>
        <w:spacing w:line="480" w:lineRule="auto"/>
        <w:jc w:val="center"/>
        <w:rPr>
          <w:rFonts w:eastAsia="黑体"/>
          <w:color w:val="auto"/>
          <w:sz w:val="24"/>
          <w:highlight w:val="none"/>
        </w:rPr>
      </w:pPr>
    </w:p>
    <w:p>
      <w:pPr>
        <w:spacing w:line="400" w:lineRule="atLeast"/>
        <w:jc w:val="center"/>
        <w:rPr>
          <w:rFonts w:eastAsia="黑体"/>
          <w:b/>
          <w:color w:val="auto"/>
          <w:sz w:val="28"/>
          <w:szCs w:val="28"/>
          <w:highlight w:val="none"/>
        </w:rPr>
      </w:pPr>
      <w:r>
        <w:rPr>
          <w:rFonts w:hint="eastAsia" w:eastAsia="黑体"/>
          <w:b/>
          <w:color w:val="auto"/>
          <w:sz w:val="28"/>
          <w:szCs w:val="28"/>
          <w:highlight w:val="none"/>
        </w:rPr>
        <w:t>投标函</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致：招标人</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1.我方已仔细研究了招标编号：</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，项目名称：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，分标名称：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包名称：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招标文件的全部内容，愿以投标函</w:t>
      </w:r>
      <w:r>
        <w:rPr>
          <w:rFonts w:hint="eastAsia" w:ascii="宋体" w:hAnsi="宋体" w:cs="宋体"/>
          <w:color w:val="auto"/>
          <w:highlight w:val="none"/>
        </w:rPr>
        <w:t>附件</w:t>
      </w:r>
      <w:r>
        <w:rPr>
          <w:rFonts w:hint="eastAsia" w:ascii="宋体" w:hAnsi="宋体" w:cs="宋体"/>
          <w:color w:val="auto"/>
          <w:szCs w:val="21"/>
          <w:highlight w:val="none"/>
        </w:rPr>
        <w:t>所列报价，按合同约定完成招标文件规定的各项工作，质量标准达到招标文件要求。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2.我方承诺在投标有效期内不修改、撤销投标文件。</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3.随同本投标函提交投标保证金一份(如有)。</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4.本投标有效期满足招标文件要求。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5.如我方中标</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（1）我方承诺在收到中标通知书后，在中标通知书约定的期限内与招标文件规定的主体签订合同。</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（2）随同本投标函递交的投标函附表属于合同文件的组成部分。</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（3）我方承诺按照招标文件规定向招标文件规定的主体递交履约担保。</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（4）我方承诺在合同约定的期限内完成各项工作。</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（5）我方同意投标人须知关于不退还投标保证金的规定。</w:t>
      </w:r>
    </w:p>
    <w:p>
      <w:pPr>
        <w:widowControl/>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（6）我方承诺按照招标文件的规定和要求缴纳中标代理服务费。</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6.我方在此声明，所递交的投标文件及有关资料内容完整、真实和准确，且不存在招标文件第二章“投标人须知”第1.4.3项规定的任何一种情形。</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7.我方承诺除已写明的商务、技术偏差外，我方完全响应合同条款的各项规定。</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8.我方完全理解并郑重承诺遵守《供应商参与国家电网有限公司投标行为“十不准”》要求，“十不准”内容如下：</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（1）不准以任何形式通过“代理”、“中介”、“掮客”等不正当手段谋取中标。</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2）不准以任何名义和形式向国家电网有限公司招标采购相关从业人员本人、亲属（配偶、子女及其配偶）或其他特定关系人（以下统称公司招标采购相关从业人员）给予礼品礼金、消费卡劵、有价证劵等好处。（其中，招标采购相关从业人员，是指国家电网有限公司从事招标采购及相关工作的人员，主要包括招标采购管理部门人员、招标代理机构人员、招标采购评标专家、供应商关系管理人员、供应商绩效评价人员、物资质量监督人员、合同签约履约人员、物资供应及现场交接验收人员、采购标准编制人员、招标采购文件编制与审查人员、招标采购评审委员会人员、招标采购监督人员、法律保障人员、招标采购有关信息系统运维方人员等。亲属，依据国家电网有限公司规定，是指本人配偶、子女及其配偶。）</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（3）不准以任何名义为招标采购相关从业人员支付或报销应由其支付的费用。</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（4）不准直接或通过社会关系人员以打招呼、恐吓、威逼利诱等方式围猎公司招标采购相关从业人员，套取涉密或非公开信息。</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（5）不准私自接触招标采购相关从业人员，以及私自邀请其参观、考察、调研。</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（6）不准以任何方式与招标采购相关从业人员串通投标。</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（7）不准以任何方式与其他投标人围标、串通投标。</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（8）不准以任何理由恶意竞标、虚假应答、提供任何虚假信息或者证明文件，以及从事其他非正常投标行为。</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（9）不准采取捏造事实或者提供虚假投诉材料，恶意投诉、诋毁、排挤其他投标人，扰乱公平竞争招投标环境。</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（10）不准瞒报本企业法定代表人（单位负责人）、出资人、高管中存在国家电网有限公司系统在职、离职、退休人员，以及上述人员亲属（配偶、子女及其配偶）的情况。</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9.我方完全理解并郑重承诺如下：</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（1）同意并接受《国家电网有限公司供应商关系管理办法》的全部条款内容。</w:t>
      </w:r>
      <w:r>
        <w:rPr>
          <w:rFonts w:hint="eastAsia" w:ascii="宋体" w:hAnsi="宋体" w:cs="宋体"/>
          <w:color w:val="auto"/>
          <w:highlight w:val="none"/>
        </w:rPr>
        <w:t>在招标投标的全过程中，我方对所有投标文件的真实性负责，若在投标文件中发现虚假投标、围串标等涉及供应商不良行为处理的情形，我方将无条件承担相应责任，承诺不将责任推卸至标书制作、投标等具体工作人员。</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2）我方已自行在中国裁判文书网查询确认、并承诺，我方、公司法定代表人（单位负责人）、拟委任的项目负责人（如招标文件要求委任项目负责人），在本次投标截止日前三年时间内，均未有行贿犯罪行为。</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3）承诺践诺，履行产品质量主体责任。牢固树立“质量第一”意识，严格按照招标文件、投标响应、供货合同的约定，生产满足技术规范要求的合格产品，保证出厂设备质量。增强企业全员产品质量主体责任意识，建立健全质量责任制度，明确岗位职责，把质量责任落实到生产经营的每一个环节和每一名员工。</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4）诚信至上，坚持诚实守信依法经营。依法依规参与招投标和从事生产经营活动，坚决杜绝采用不正常手段从事非正常投标活动，坚决杜绝偷工减料、以次充好，坚决杜绝违规转分包，自觉抵制恶意低价竞标、虚假投标、联合串标、恶意违约等不诚信行为，自觉接受社会、用户的监督。</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5）严格管理，强化制造过程质量控制。推行先进质量管理方法，完善质量保证体系、标准化体系和检验检测体系，严格执行产品质量标准，从产品设计、原材料组部件采购、生产加工、包装、储存、运输等各个环节，实施全面的质量管控，不断提高产品质量。</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6）积极主动，大力提升售后服务水平。健全和完善产品质量追溯和售后服务制度，对不合格产品实行有效追溯、召回和处理，对违反规定或约定的行为，积极承担相应的责任。做好现场的技术支持，加强设备运行后的信息跟踪和售后服务，提升用户满意度。</w:t>
      </w:r>
    </w:p>
    <w:p>
      <w:pPr>
        <w:widowControl/>
        <w:spacing w:line="400" w:lineRule="exact"/>
        <w:ind w:firstLine="420" w:firstLineChars="200"/>
        <w:rPr>
          <w:rFonts w:ascii="宋体" w:hAnsi="宋体" w:cs="宋体"/>
          <w:color w:val="auto"/>
          <w:szCs w:val="22"/>
          <w:highlight w:val="none"/>
        </w:rPr>
      </w:pPr>
      <w:r>
        <w:rPr>
          <w:rFonts w:hint="eastAsia" w:ascii="宋体" w:hAnsi="宋体" w:cs="宋体"/>
          <w:color w:val="auto"/>
          <w:szCs w:val="22"/>
          <w:highlight w:val="none"/>
        </w:rPr>
        <w:t>（7）重视研发，不断增强自主创新能力。积极选用新工艺、新材料、新设备，积极发展环保型、节约型、高能效技术，采用国内外先进标准，不断提高技术研发水平，实施以质量诚信为核心内容的品牌发展战略，不断提升创新发展的核心竞争力。</w:t>
      </w:r>
    </w:p>
    <w:p>
      <w:pPr>
        <w:pStyle w:val="17"/>
        <w:widowControl/>
        <w:spacing w:line="400" w:lineRule="exact"/>
        <w:ind w:firstLineChars="200"/>
        <w:rPr>
          <w:rFonts w:ascii="宋体" w:hAnsi="宋体" w:cs="宋体"/>
          <w:color w:val="auto"/>
          <w:szCs w:val="22"/>
          <w:highlight w:val="none"/>
        </w:rPr>
      </w:pPr>
      <w:r>
        <w:rPr>
          <w:rFonts w:hint="eastAsia" w:ascii="宋体" w:hAnsi="宋体" w:cs="宋体"/>
          <w:color w:val="auto"/>
          <w:szCs w:val="22"/>
          <w:highlight w:val="none"/>
        </w:rPr>
        <w:t>（8）我方承诺，我方及外购外协供应商（如有）将充分配合国家电网有限公司开展供应商资质能力核实工作。如我方或外购外协供应商（如有）经核实不具备生产投标产品所需的生产能力，我方同意被取消中标资格；如我方或外购外协供应商（如有）未配合核实工作，或经核实发现提供了虚假投标信息，我方同意被取消中标资格，并接受被纳入供应商不良行为处理的后果。</w:t>
      </w:r>
    </w:p>
    <w:p>
      <w:pPr>
        <w:spacing w:line="400" w:lineRule="exact"/>
        <w:ind w:firstLine="420"/>
        <w:jc w:val="left"/>
        <w:rPr>
          <w:rFonts w:ascii="宋体" w:hAnsi="宋体" w:cs="宋体"/>
          <w:color w:val="auto"/>
          <w:highlight w:val="none"/>
        </w:rPr>
      </w:pPr>
      <w:r>
        <w:rPr>
          <w:rFonts w:hint="eastAsia" w:ascii="宋体" w:hAnsi="宋体" w:cs="宋体"/>
          <w:color w:val="auto"/>
          <w:szCs w:val="22"/>
          <w:highlight w:val="none"/>
        </w:rPr>
        <w:t>贵公司既可根据国家有关单位的判决、裁定等生效法律文书认定我公司是否违反承诺，也有权通过对贵公司相关人员的调查来认定我公司是否违反承诺。如违反以上承诺，我公司自愿接受贵公司依据有关规定对我公司的处理（包括但不限于拒绝我公司投标、取消中标资格以及终止合同等），给贵公司造成损失的，予以赔偿。</w:t>
      </w: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r>
        <w:rPr>
          <w:rFonts w:hint="eastAsia" w:ascii="宋体" w:hAnsi="宋体" w:cs="宋体"/>
          <w:color w:val="auto"/>
          <w:highlight w:val="none"/>
        </w:rPr>
        <w:t>与本投标有关的一切正式往来通讯请寄：</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投标人名称：</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地址：</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电话：</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授权代表姓名：</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授权代表职务：</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传真：</w:t>
      </w:r>
    </w:p>
    <w:p>
      <w:pPr>
        <w:spacing w:line="400" w:lineRule="exact"/>
        <w:jc w:val="right"/>
        <w:rPr>
          <w:rFonts w:ascii="宋体" w:hAnsi="宋体" w:cs="宋体"/>
          <w:color w:val="auto"/>
          <w:highlight w:val="none"/>
        </w:rPr>
      </w:pPr>
      <w:r>
        <w:rPr>
          <w:rFonts w:hint="eastAsia" w:ascii="宋体" w:hAnsi="宋体" w:cs="宋体"/>
          <w:color w:val="auto"/>
          <w:highlight w:val="none"/>
        </w:rPr>
        <w:t>邮编：</w:t>
      </w:r>
    </w:p>
    <w:p>
      <w:pPr>
        <w:spacing w:line="400" w:lineRule="exact"/>
        <w:jc w:val="right"/>
        <w:rPr>
          <w:color w:val="auto"/>
          <w:highlight w:val="none"/>
        </w:rPr>
      </w:pPr>
      <w:r>
        <w:rPr>
          <w:rFonts w:hint="eastAsia" w:ascii="宋体" w:hAnsi="宋体" w:cs="宋体"/>
          <w:color w:val="auto"/>
          <w:highlight w:val="none"/>
        </w:rPr>
        <w:t>日期：</w:t>
      </w:r>
    </w:p>
    <w:p>
      <w:pPr>
        <w:rPr>
          <w:color w:val="auto"/>
          <w:highlight w:val="none"/>
        </w:rPr>
      </w:pPr>
    </w:p>
    <w:p>
      <w:pPr>
        <w:rPr>
          <w:color w:val="auto"/>
          <w:szCs w:val="21"/>
          <w:highlight w:val="none"/>
        </w:rPr>
      </w:pPr>
    </w:p>
    <w:p>
      <w:pPr>
        <w:ind w:left="420"/>
        <w:rPr>
          <w:b/>
          <w:color w:val="auto"/>
          <w:szCs w:val="21"/>
          <w:highlight w:val="none"/>
        </w:rPr>
      </w:pPr>
      <w:r>
        <w:rPr>
          <w:rFonts w:hint="eastAsia"/>
          <w:b/>
          <w:color w:val="auto"/>
          <w:szCs w:val="21"/>
          <w:highlight w:val="none"/>
        </w:rPr>
        <w:t>附件：附表1投标函价格表</w:t>
      </w:r>
    </w:p>
    <w:p>
      <w:pPr>
        <w:ind w:left="420"/>
        <w:rPr>
          <w:b/>
          <w:color w:val="auto"/>
          <w:szCs w:val="21"/>
          <w:highlight w:val="none"/>
        </w:rPr>
      </w:pPr>
    </w:p>
    <w:p>
      <w:pPr>
        <w:ind w:left="420"/>
        <w:rPr>
          <w:color w:val="auto"/>
          <w:szCs w:val="21"/>
          <w:highlight w:val="none"/>
        </w:rPr>
      </w:pPr>
      <w:r>
        <w:rPr>
          <w:b/>
          <w:color w:val="auto"/>
          <w:szCs w:val="21"/>
          <w:highlight w:val="none"/>
        </w:rPr>
        <w:t>备注：投标函以电子商务平台自动生成并导出的内容为准。</w:t>
      </w:r>
      <w:r>
        <w:rPr>
          <w:b/>
          <w:color w:val="auto"/>
          <w:szCs w:val="21"/>
          <w:highlight w:val="none"/>
        </w:rPr>
        <w:br w:type="page"/>
      </w:r>
      <w:bookmarkEnd w:id="434"/>
      <w:bookmarkEnd w:id="435"/>
      <w:bookmarkEnd w:id="436"/>
      <w:r>
        <w:rPr>
          <w:color w:val="auto"/>
          <w:szCs w:val="21"/>
          <w:highlight w:val="none"/>
        </w:rPr>
        <w:t>附表1</w:t>
      </w:r>
    </w:p>
    <w:p>
      <w:pPr>
        <w:adjustRightInd w:val="0"/>
        <w:rPr>
          <w:rFonts w:eastAsia="仿宋_GB2312"/>
          <w:color w:val="auto"/>
          <w:szCs w:val="21"/>
          <w:highlight w:val="none"/>
        </w:rPr>
      </w:pPr>
    </w:p>
    <w:p>
      <w:pPr>
        <w:pStyle w:val="49"/>
        <w:rPr>
          <w:rFonts w:ascii="Times New Roman"/>
          <w:color w:val="auto"/>
          <w:highlight w:val="none"/>
        </w:rPr>
      </w:pPr>
      <w:r>
        <w:rPr>
          <w:rFonts w:ascii="Times New Roman"/>
          <w:color w:val="auto"/>
          <w:highlight w:val="none"/>
        </w:rPr>
        <w:t>投标函价格表</w:t>
      </w:r>
    </w:p>
    <w:p>
      <w:pPr>
        <w:tabs>
          <w:tab w:val="left" w:pos="7020"/>
          <w:tab w:val="left" w:pos="9000"/>
        </w:tabs>
        <w:adjustRightInd w:val="0"/>
        <w:ind w:firstLine="369"/>
        <w:rPr>
          <w:color w:val="auto"/>
          <w:sz w:val="18"/>
          <w:szCs w:val="18"/>
          <w:highlight w:val="none"/>
        </w:rPr>
      </w:pPr>
      <w:r>
        <w:rPr>
          <w:color w:val="auto"/>
          <w:sz w:val="18"/>
          <w:szCs w:val="18"/>
          <w:highlight w:val="none"/>
        </w:rPr>
        <w:t>招标编号：</w:t>
      </w:r>
      <w:r>
        <w:rPr>
          <w:color w:val="auto"/>
          <w:sz w:val="18"/>
          <w:szCs w:val="18"/>
          <w:highlight w:val="none"/>
          <w:u w:val="single"/>
        </w:rPr>
        <w:t>${招标编号}</w:t>
      </w:r>
    </w:p>
    <w:p>
      <w:pPr>
        <w:tabs>
          <w:tab w:val="left" w:pos="7020"/>
          <w:tab w:val="left" w:pos="9000"/>
        </w:tabs>
        <w:adjustRightInd w:val="0"/>
        <w:ind w:firstLine="369"/>
        <w:rPr>
          <w:color w:val="auto"/>
          <w:sz w:val="18"/>
          <w:szCs w:val="18"/>
          <w:highlight w:val="none"/>
        </w:rPr>
      </w:pPr>
      <w:r>
        <w:rPr>
          <w:color w:val="auto"/>
          <w:sz w:val="18"/>
          <w:szCs w:val="18"/>
          <w:highlight w:val="none"/>
        </w:rPr>
        <w:t>分标编号：</w:t>
      </w:r>
      <w:r>
        <w:rPr>
          <w:color w:val="auto"/>
          <w:sz w:val="18"/>
          <w:szCs w:val="18"/>
          <w:highlight w:val="none"/>
          <w:u w:val="single"/>
        </w:rPr>
        <w:t>${分标编号}</w:t>
      </w:r>
    </w:p>
    <w:p>
      <w:pPr>
        <w:tabs>
          <w:tab w:val="left" w:pos="7020"/>
          <w:tab w:val="left" w:pos="9000"/>
        </w:tabs>
        <w:adjustRightInd w:val="0"/>
        <w:ind w:firstLine="369"/>
        <w:rPr>
          <w:color w:val="auto"/>
          <w:sz w:val="18"/>
          <w:szCs w:val="18"/>
          <w:highlight w:val="none"/>
        </w:rPr>
      </w:pPr>
      <w:r>
        <w:rPr>
          <w:color w:val="auto"/>
          <w:sz w:val="18"/>
          <w:szCs w:val="18"/>
          <w:highlight w:val="none"/>
        </w:rPr>
        <w:t>包号：</w:t>
      </w:r>
      <w:r>
        <w:rPr>
          <w:color w:val="auto"/>
          <w:sz w:val="18"/>
          <w:szCs w:val="18"/>
          <w:highlight w:val="none"/>
          <w:u w:val="single"/>
        </w:rPr>
        <w:t>${包号}</w:t>
      </w:r>
    </w:p>
    <w:p>
      <w:pPr>
        <w:adjustRightInd w:val="0"/>
        <w:ind w:left="361" w:leftChars="172" w:firstLine="9" w:firstLineChars="5"/>
        <w:rPr>
          <w:color w:val="auto"/>
          <w:sz w:val="18"/>
          <w:szCs w:val="18"/>
          <w:highlight w:val="none"/>
          <w:u w:val="single"/>
        </w:rPr>
      </w:pPr>
      <w:r>
        <w:rPr>
          <w:color w:val="auto"/>
          <w:sz w:val="18"/>
          <w:szCs w:val="18"/>
          <w:highlight w:val="none"/>
        </w:rPr>
        <w:t>投标人：</w:t>
      </w:r>
      <w:r>
        <w:rPr>
          <w:color w:val="auto"/>
          <w:sz w:val="18"/>
          <w:szCs w:val="18"/>
          <w:highlight w:val="none"/>
          <w:u w:val="single"/>
        </w:rPr>
        <w:t>${投标人全称}</w:t>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货币：人民币</w:t>
      </w:r>
    </w:p>
    <w:tbl>
      <w:tblPr>
        <w:tblStyle w:val="1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3937"/>
        <w:gridCol w:w="3935"/>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noWrap w:val="0"/>
            <w:vAlign w:val="center"/>
          </w:tcPr>
          <w:p>
            <w:pPr>
              <w:tabs>
                <w:tab w:val="left" w:pos="7020"/>
                <w:tab w:val="left" w:pos="9000"/>
              </w:tabs>
              <w:adjustRightInd w:val="0"/>
              <w:snapToGrid w:val="0"/>
              <w:spacing w:before="60" w:after="60"/>
              <w:jc w:val="center"/>
              <w:rPr>
                <w:color w:val="auto"/>
                <w:sz w:val="18"/>
                <w:szCs w:val="21"/>
                <w:highlight w:val="none"/>
              </w:rPr>
            </w:pPr>
            <w:r>
              <w:rPr>
                <w:color w:val="auto"/>
                <w:sz w:val="18"/>
                <w:szCs w:val="21"/>
                <w:highlight w:val="none"/>
              </w:rPr>
              <w:t>包号</w:t>
            </w:r>
          </w:p>
        </w:tc>
        <w:tc>
          <w:tcPr>
            <w:tcW w:w="3937" w:type="dxa"/>
            <w:noWrap w:val="0"/>
            <w:vAlign w:val="center"/>
          </w:tcPr>
          <w:p>
            <w:pPr>
              <w:tabs>
                <w:tab w:val="left" w:pos="7020"/>
                <w:tab w:val="left" w:pos="9000"/>
              </w:tabs>
              <w:adjustRightInd w:val="0"/>
              <w:snapToGrid w:val="0"/>
              <w:spacing w:before="60" w:after="60"/>
              <w:jc w:val="center"/>
              <w:rPr>
                <w:color w:val="auto"/>
                <w:sz w:val="18"/>
                <w:szCs w:val="21"/>
                <w:highlight w:val="none"/>
              </w:rPr>
            </w:pPr>
            <w:r>
              <w:rPr>
                <w:color w:val="auto"/>
                <w:sz w:val="18"/>
                <w:szCs w:val="21"/>
                <w:highlight w:val="none"/>
              </w:rPr>
              <w:t>投标总价</w:t>
            </w:r>
          </w:p>
        </w:tc>
        <w:tc>
          <w:tcPr>
            <w:tcW w:w="3935" w:type="dxa"/>
            <w:noWrap w:val="0"/>
            <w:vAlign w:val="center"/>
          </w:tcPr>
          <w:p>
            <w:pPr>
              <w:tabs>
                <w:tab w:val="left" w:pos="7020"/>
                <w:tab w:val="left" w:pos="9000"/>
              </w:tabs>
              <w:adjustRightInd w:val="0"/>
              <w:snapToGrid w:val="0"/>
              <w:spacing w:before="60" w:after="60"/>
              <w:jc w:val="center"/>
              <w:rPr>
                <w:color w:val="auto"/>
                <w:sz w:val="18"/>
                <w:szCs w:val="21"/>
                <w:highlight w:val="none"/>
              </w:rPr>
            </w:pPr>
            <w:r>
              <w:rPr>
                <w:color w:val="auto"/>
                <w:sz w:val="18"/>
                <w:szCs w:val="21"/>
                <w:highlight w:val="none"/>
              </w:rPr>
              <w:t>折扣比例（％）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Merge w:val="restart"/>
            <w:noWrap w:val="0"/>
            <w:vAlign w:val="center"/>
          </w:tcPr>
          <w:p>
            <w:pPr>
              <w:pStyle w:val="12"/>
              <w:ind w:firstLine="420"/>
              <w:rPr>
                <w:rFonts w:ascii="Times New Roman" w:hAnsi="Times New Roman"/>
                <w:color w:val="auto"/>
                <w:highlight w:val="none"/>
              </w:rPr>
            </w:pPr>
            <w:r>
              <w:rPr>
                <w:rFonts w:ascii="Times New Roman" w:hAnsi="Times New Roman"/>
                <w:color w:val="auto"/>
                <w:highlight w:val="none"/>
              </w:rPr>
              <w:t>${包号}</w:t>
            </w:r>
          </w:p>
        </w:tc>
        <w:tc>
          <w:tcPr>
            <w:tcW w:w="3937" w:type="dxa"/>
            <w:noWrap w:val="0"/>
            <w:vAlign w:val="center"/>
          </w:tcPr>
          <w:p>
            <w:pPr>
              <w:tabs>
                <w:tab w:val="left" w:pos="7020"/>
                <w:tab w:val="left" w:pos="9000"/>
              </w:tabs>
              <w:adjustRightInd w:val="0"/>
              <w:snapToGrid w:val="0"/>
              <w:spacing w:before="60" w:after="60"/>
              <w:ind w:firstLine="360" w:firstLineChars="200"/>
              <w:rPr>
                <w:color w:val="auto"/>
                <w:sz w:val="18"/>
                <w:szCs w:val="21"/>
                <w:highlight w:val="none"/>
              </w:rPr>
            </w:pPr>
            <w:r>
              <w:rPr>
                <w:color w:val="auto"/>
                <w:sz w:val="18"/>
                <w:szCs w:val="21"/>
                <w:highlight w:val="none"/>
              </w:rPr>
              <w:t>金额（小写）：</w:t>
            </w:r>
          </w:p>
          <w:p>
            <w:pPr>
              <w:tabs>
                <w:tab w:val="left" w:pos="7020"/>
                <w:tab w:val="left" w:pos="9000"/>
              </w:tabs>
              <w:adjustRightInd w:val="0"/>
              <w:snapToGrid w:val="0"/>
              <w:spacing w:before="60" w:after="60"/>
              <w:rPr>
                <w:color w:val="auto"/>
                <w:sz w:val="18"/>
                <w:szCs w:val="21"/>
                <w:highlight w:val="none"/>
              </w:rPr>
            </w:pPr>
            <w:r>
              <w:rPr>
                <w:color w:val="auto"/>
                <w:sz w:val="18"/>
                <w:szCs w:val="21"/>
                <w:highlight w:val="none"/>
                <w:u w:val="single"/>
              </w:rPr>
              <w:t>${开标总价小写}</w:t>
            </w:r>
            <w:r>
              <w:rPr>
                <w:color w:val="auto"/>
                <w:sz w:val="18"/>
                <w:szCs w:val="21"/>
                <w:highlight w:val="none"/>
              </w:rPr>
              <w:t>万元</w:t>
            </w:r>
          </w:p>
        </w:tc>
        <w:tc>
          <w:tcPr>
            <w:tcW w:w="3935" w:type="dxa"/>
            <w:noWrap w:val="0"/>
            <w:vAlign w:val="center"/>
          </w:tcPr>
          <w:p>
            <w:pPr>
              <w:tabs>
                <w:tab w:val="left" w:pos="7020"/>
                <w:tab w:val="left" w:pos="9000"/>
              </w:tabs>
              <w:adjustRightInd w:val="0"/>
              <w:snapToGrid w:val="0"/>
              <w:spacing w:before="60" w:after="60"/>
              <w:ind w:firstLine="360" w:firstLineChars="200"/>
              <w:rPr>
                <w:color w:val="auto"/>
                <w:sz w:val="18"/>
                <w:szCs w:val="21"/>
                <w:highlight w:val="none"/>
              </w:rPr>
            </w:pPr>
            <w:r>
              <w:rPr>
                <w:color w:val="auto"/>
                <w:sz w:val="18"/>
                <w:szCs w:val="21"/>
                <w:highlight w:val="none"/>
              </w:rPr>
              <w:t>百分比：</w:t>
            </w:r>
          </w:p>
          <w:p>
            <w:pPr>
              <w:tabs>
                <w:tab w:val="left" w:pos="7020"/>
                <w:tab w:val="left" w:pos="9000"/>
              </w:tabs>
              <w:adjustRightInd w:val="0"/>
              <w:snapToGrid w:val="0"/>
              <w:spacing w:before="60" w:after="60"/>
              <w:ind w:firstLine="720" w:firstLineChars="400"/>
              <w:rPr>
                <w:color w:val="auto"/>
                <w:sz w:val="18"/>
                <w:szCs w:val="21"/>
                <w:highlight w:val="none"/>
              </w:rPr>
            </w:pPr>
            <w:r>
              <w:rPr>
                <w:color w:val="auto"/>
                <w:sz w:val="18"/>
                <w:szCs w:val="21"/>
                <w:highlight w:val="none"/>
                <w:u w:val="single"/>
              </w:rPr>
              <w:t>${折扣}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Merge w:val="continue"/>
            <w:noWrap w:val="0"/>
            <w:vAlign w:val="center"/>
          </w:tcPr>
          <w:p>
            <w:pPr>
              <w:pStyle w:val="12"/>
              <w:ind w:firstLine="420"/>
              <w:rPr>
                <w:rFonts w:ascii="Times New Roman" w:hAnsi="Times New Roman"/>
                <w:color w:val="auto"/>
                <w:highlight w:val="none"/>
              </w:rPr>
            </w:pPr>
          </w:p>
        </w:tc>
        <w:tc>
          <w:tcPr>
            <w:tcW w:w="3937" w:type="dxa"/>
            <w:noWrap w:val="0"/>
            <w:vAlign w:val="center"/>
          </w:tcPr>
          <w:p>
            <w:pPr>
              <w:tabs>
                <w:tab w:val="left" w:pos="7020"/>
                <w:tab w:val="left" w:pos="9000"/>
              </w:tabs>
              <w:adjustRightInd w:val="0"/>
              <w:snapToGrid w:val="0"/>
              <w:spacing w:before="60" w:after="60"/>
              <w:ind w:firstLine="360" w:firstLineChars="200"/>
              <w:rPr>
                <w:color w:val="auto"/>
                <w:sz w:val="18"/>
                <w:szCs w:val="21"/>
                <w:highlight w:val="none"/>
              </w:rPr>
            </w:pPr>
            <w:r>
              <w:rPr>
                <w:color w:val="auto"/>
                <w:sz w:val="18"/>
                <w:szCs w:val="21"/>
                <w:highlight w:val="none"/>
              </w:rPr>
              <w:t>大写：${开标总价大写}</w:t>
            </w:r>
          </w:p>
        </w:tc>
        <w:tc>
          <w:tcPr>
            <w:tcW w:w="3935" w:type="dxa"/>
            <w:noWrap w:val="0"/>
            <w:vAlign w:val="center"/>
          </w:tcPr>
          <w:p>
            <w:pPr>
              <w:tabs>
                <w:tab w:val="left" w:pos="7020"/>
                <w:tab w:val="left" w:pos="9000"/>
              </w:tabs>
              <w:adjustRightInd w:val="0"/>
              <w:snapToGrid w:val="0"/>
              <w:spacing w:before="60" w:after="60"/>
              <w:rPr>
                <w:color w:val="auto"/>
                <w:sz w:val="18"/>
                <w:szCs w:val="21"/>
                <w:highlight w:val="none"/>
              </w:rPr>
            </w:pPr>
          </w:p>
        </w:tc>
      </w:tr>
    </w:tbl>
    <w:p>
      <w:pPr>
        <w:adjustRightInd w:val="0"/>
        <w:ind w:firstLine="420"/>
        <w:rPr>
          <w:color w:val="auto"/>
          <w:szCs w:val="21"/>
          <w:highlight w:val="none"/>
        </w:rPr>
      </w:pPr>
    </w:p>
    <w:p>
      <w:pPr>
        <w:adjustRightInd w:val="0"/>
        <w:jc w:val="right"/>
        <w:rPr>
          <w:color w:val="auto"/>
          <w:szCs w:val="21"/>
          <w:highlight w:val="none"/>
        </w:rPr>
      </w:pPr>
      <w:r>
        <w:rPr>
          <w:color w:val="auto"/>
          <w:highlight w:val="none"/>
        </w:rPr>
        <w:t>法定代表人或其授权代表：（签字）</w:t>
      </w:r>
    </w:p>
    <w:p>
      <w:pPr>
        <w:adjustRightInd w:val="0"/>
        <w:ind w:left="6300" w:firstLine="420"/>
        <w:jc w:val="right"/>
        <w:rPr>
          <w:color w:val="auto"/>
          <w:szCs w:val="21"/>
          <w:highlight w:val="none"/>
        </w:rPr>
      </w:pPr>
      <w:r>
        <w:rPr>
          <w:color w:val="auto"/>
          <w:szCs w:val="21"/>
          <w:highlight w:val="none"/>
        </w:rPr>
        <w:t>（单位公章）</w:t>
      </w:r>
    </w:p>
    <w:p>
      <w:pPr>
        <w:rPr>
          <w:color w:val="auto"/>
          <w:highlight w:val="none"/>
        </w:rPr>
      </w:pPr>
    </w:p>
    <w:p>
      <w:pPr>
        <w:widowControl/>
        <w:jc w:val="left"/>
        <w:rPr>
          <w:b/>
          <w:strike/>
          <w:dstrike w:val="0"/>
          <w:color w:val="auto"/>
          <w:sz w:val="24"/>
          <w:highlight w:val="none"/>
        </w:rPr>
      </w:pPr>
      <w:r>
        <w:rPr>
          <w:b/>
          <w:strike/>
          <w:dstrike w:val="0"/>
          <w:color w:val="auto"/>
          <w:sz w:val="24"/>
          <w:highlight w:val="none"/>
        </w:rPr>
        <w:br w:type="page"/>
      </w:r>
    </w:p>
    <w:p>
      <w:pPr>
        <w:widowControl/>
        <w:numPr>
          <w:ilvl w:val="0"/>
          <w:numId w:val="4"/>
        </w:numPr>
        <w:ind w:left="0" w:leftChars="0" w:firstLine="0" w:firstLineChars="0"/>
        <w:jc w:val="left"/>
        <w:outlineLvl w:val="1"/>
        <w:rPr>
          <w:b/>
          <w:color w:val="auto"/>
          <w:sz w:val="24"/>
          <w:highlight w:val="none"/>
        </w:rPr>
      </w:pPr>
      <w:r>
        <w:rPr>
          <w:rFonts w:hint="eastAsia"/>
          <w:b/>
          <w:color w:val="auto"/>
          <w:sz w:val="24"/>
          <w:highlight w:val="none"/>
          <w:lang w:val="en-US" w:eastAsia="zh-CN"/>
        </w:rPr>
        <w:t>报价</w:t>
      </w:r>
      <w:r>
        <w:rPr>
          <w:b/>
          <w:color w:val="auto"/>
          <w:sz w:val="24"/>
          <w:highlight w:val="none"/>
        </w:rPr>
        <w:t>文件</w:t>
      </w:r>
      <w:r>
        <w:rPr>
          <w:rFonts w:hint="eastAsia"/>
          <w:b/>
          <w:color w:val="auto"/>
          <w:sz w:val="24"/>
          <w:highlight w:val="none"/>
          <w:lang w:eastAsia="zh-CN"/>
        </w:rPr>
        <w:t>（已标价工程量清单）</w:t>
      </w:r>
    </w:p>
    <w:p>
      <w:pPr>
        <w:widowControl/>
        <w:topLinePunct w:val="0"/>
        <w:snapToGrid w:val="0"/>
        <w:spacing w:line="360" w:lineRule="auto"/>
        <w:outlineLvl w:val="9"/>
        <w:rPr>
          <w:rFonts w:hint="eastAsia" w:ascii="Times New Roman" w:hAnsi="Times New Roman"/>
          <w:color w:val="auto"/>
          <w:kern w:val="0"/>
          <w:sz w:val="18"/>
          <w:szCs w:val="18"/>
          <w:highlight w:val="none"/>
          <w:lang w:bidi="ar"/>
        </w:rPr>
      </w:pPr>
    </w:p>
    <w:p>
      <w:pPr>
        <w:widowControl/>
        <w:jc w:val="left"/>
        <w:outlineLvl w:val="9"/>
        <w:rPr>
          <w:rFonts w:hint="eastAsia"/>
          <w:b/>
          <w:color w:val="auto"/>
          <w:sz w:val="24"/>
          <w:highlight w:val="none"/>
          <w:lang w:val="en-US" w:eastAsia="zh-CN"/>
        </w:rPr>
      </w:pPr>
      <w:r>
        <w:rPr>
          <w:rFonts w:hint="eastAsia"/>
          <w:b/>
          <w:color w:val="auto"/>
          <w:sz w:val="24"/>
          <w:highlight w:val="none"/>
          <w:lang w:val="en-US" w:eastAsia="zh-CN"/>
        </w:rPr>
        <w:br w:type="page"/>
      </w:r>
    </w:p>
    <w:p>
      <w:pPr>
        <w:widowControl/>
        <w:jc w:val="left"/>
        <w:outlineLvl w:val="1"/>
        <w:rPr>
          <w:rFonts w:hint="eastAsia"/>
          <w:b/>
          <w:color w:val="auto"/>
          <w:sz w:val="24"/>
          <w:highlight w:val="none"/>
          <w:lang w:val="en-US" w:eastAsia="zh-CN"/>
        </w:rPr>
      </w:pPr>
      <w:r>
        <w:rPr>
          <w:rFonts w:hint="eastAsia"/>
          <w:b/>
          <w:color w:val="auto"/>
          <w:sz w:val="24"/>
          <w:highlight w:val="none"/>
          <w:lang w:val="en-US" w:eastAsia="zh-CN"/>
        </w:rPr>
        <w:t>（三）商务指引文件</w:t>
      </w:r>
    </w:p>
    <w:p>
      <w:pPr>
        <w:pStyle w:val="18"/>
        <w:numPr>
          <w:ilvl w:val="0"/>
          <w:numId w:val="0"/>
        </w:numPr>
        <w:ind w:leftChars="0"/>
        <w:jc w:val="left"/>
        <w:outlineLvl w:val="2"/>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1.商务文件第一册</w:t>
      </w:r>
    </w:p>
    <w:p>
      <w:pPr>
        <w:jc w:val="center"/>
        <w:rPr>
          <w:rFonts w:ascii="方正仿宋_GBK" w:hAnsi="方正仿宋_GBK" w:eastAsia="方正仿宋_GBK" w:cs="方正仿宋_GBK"/>
          <w:b/>
          <w:bCs/>
          <w:color w:val="auto"/>
          <w:sz w:val="22"/>
          <w:szCs w:val="22"/>
          <w:highlight w:val="none"/>
        </w:rPr>
      </w:pPr>
      <w:r>
        <w:rPr>
          <w:rFonts w:hint="eastAsia" w:ascii="方正仿宋_GBK" w:hAnsi="方正仿宋_GBK" w:eastAsia="方正仿宋_GBK" w:cs="方正仿宋_GBK"/>
          <w:b/>
          <w:bCs/>
          <w:color w:val="auto"/>
          <w:sz w:val="22"/>
          <w:szCs w:val="22"/>
          <w:highlight w:val="none"/>
        </w:rPr>
        <w:t>目录</w:t>
      </w:r>
    </w:p>
    <w:p>
      <w:pPr>
        <w:ind w:firstLine="420" w:firstLineChars="200"/>
        <w:rPr>
          <w:b/>
          <w:bCs/>
          <w:color w:val="auto"/>
          <w:highlight w:val="none"/>
        </w:rPr>
      </w:pPr>
      <w:r>
        <w:rPr>
          <w:rFonts w:hint="eastAsia"/>
          <w:color w:val="auto"/>
          <w:highlight w:val="none"/>
        </w:rPr>
        <w:t>按照下表中</w:t>
      </w:r>
      <w:r>
        <w:rPr>
          <w:rFonts w:hint="eastAsia" w:ascii="宋体" w:hAnsi="宋体" w:cs="宋体"/>
          <w:color w:val="auto"/>
          <w:kern w:val="0"/>
          <w:szCs w:val="21"/>
          <w:highlight w:val="none"/>
          <w:lang w:bidi="ar"/>
        </w:rPr>
        <w:t>ECP上传路径上传文件，系统自动生成商务投标文件，中标人打印纸质版投标文件注意须包括目录内的完整内容。</w:t>
      </w:r>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3028"/>
        <w:gridCol w:w="2406"/>
        <w:gridCol w:w="2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63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296"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261"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商务偏差表</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1.商务偏差表</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ascii="宋体" w:hAnsi="宋体" w:cs="宋体"/>
                <w:color w:val="auto"/>
                <w:kern w:val="0"/>
                <w:sz w:val="20"/>
                <w:szCs w:val="20"/>
                <w:highlight w:val="none"/>
                <w:lang w:bidi="ar"/>
              </w:rPr>
              <w:t>批量维护商务部分-商务偏差表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sz w:val="20"/>
                <w:szCs w:val="20"/>
                <w:highlight w:val="none"/>
              </w:rPr>
              <w:t>法定代表人授权</w:t>
            </w:r>
          </w:p>
        </w:tc>
        <w:tc>
          <w:tcPr>
            <w:tcW w:w="163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sz w:val="20"/>
                <w:szCs w:val="20"/>
                <w:highlight w:val="none"/>
              </w:rPr>
              <w:t>2.法定代表人授权委托书（仅由委托代理人签署联合体协议书时适用），须附法定代表人身份证明</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b/>
                <w:bCs/>
                <w:color w:val="auto"/>
                <w:kern w:val="0"/>
                <w:sz w:val="20"/>
                <w:szCs w:val="20"/>
                <w:highlight w:val="none"/>
                <w:lang w:bidi="ar"/>
              </w:rPr>
            </w:pPr>
            <w:r>
              <w:rPr>
                <w:rFonts w:ascii="宋体" w:hAnsi="宋体" w:cs="宋体"/>
                <w:color w:val="auto"/>
                <w:kern w:val="0"/>
                <w:sz w:val="20"/>
                <w:szCs w:val="20"/>
                <w:highlight w:val="none"/>
                <w:lang w:bidi="ar"/>
              </w:rPr>
              <w:t>批量维护商务部分-法定代表人授权委托书</w:t>
            </w:r>
            <w:r>
              <w:rPr>
                <w:rFonts w:hint="eastAsia" w:ascii="宋体" w:hAnsi="宋体" w:cs="宋体"/>
                <w:color w:val="auto"/>
                <w:kern w:val="0"/>
                <w:sz w:val="20"/>
                <w:szCs w:val="20"/>
                <w:highlight w:val="none"/>
                <w:lang w:bidi="ar"/>
              </w:rPr>
              <w:t>（如有）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联合体投标</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3.联合体协议书</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color w:val="auto"/>
                <w:kern w:val="0"/>
                <w:sz w:val="20"/>
                <w:szCs w:val="20"/>
                <w:highlight w:val="none"/>
                <w:lang w:bidi="ar"/>
              </w:rPr>
              <w:t>联合体投标批量设置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与国家电网公司系统人员关系</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4.投标人与国家电网公司系统人员关系说明。</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color w:val="auto"/>
                <w:kern w:val="0"/>
                <w:sz w:val="20"/>
                <w:szCs w:val="20"/>
                <w:highlight w:val="none"/>
                <w:lang w:bidi="ar"/>
              </w:rPr>
              <w:t>商务部分（附加）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投标保证金</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5.投标保证金</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（1）投标保证金（年度保证金扫描件/电汇底联扫描件/保函正本扫描件/投标保证保险保单扫描件）</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（2）基本账户证明（企业基本账户开户许可证扫描件或由投标人基本账户开户银行通过账户管理系统打印的《基本存款账户信息》扫描件（如采用电汇、保险方式））</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（3）投标保证金明细表</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restar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b/>
                <w:bCs/>
                <w:color w:val="auto"/>
                <w:kern w:val="0"/>
                <w:szCs w:val="21"/>
                <w:highlight w:val="none"/>
                <w:lang w:bidi="ar"/>
              </w:rPr>
              <w:t>商务部分-补充文件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安全质量事故情况</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6.安全质量事故查询响应表</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企业资质</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7.企业资质情况</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满足招标公告“资质要求”中所列每条的证明材料，包括但不限于有效企业资质等级证书扫描件；</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项目关键人员配置承诺</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8. 项目关键人员配置承诺函</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企业信用信息公示报告</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9.企业信用信息公示报告</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eastAsia" w:ascii="宋体" w:hAnsi="宋体" w:cs="宋体"/>
          <w:i w:val="0"/>
          <w:iCs w:val="0"/>
          <w:color w:val="auto"/>
          <w:kern w:val="0"/>
          <w:sz w:val="20"/>
          <w:szCs w:val="20"/>
          <w:highlight w:val="none"/>
          <w:u w:val="none"/>
          <w:lang w:val="en-US" w:eastAsia="zh-CN" w:bidi="ar"/>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w:t>
      </w:r>
      <w:r>
        <w:rPr>
          <w:rFonts w:hint="eastAsia" w:ascii="宋体" w:hAnsi="宋体" w:eastAsia="宋体" w:cs="宋体"/>
          <w:i w:val="0"/>
          <w:iCs w:val="0"/>
          <w:color w:val="auto"/>
          <w:kern w:val="0"/>
          <w:sz w:val="20"/>
          <w:szCs w:val="20"/>
          <w:highlight w:val="none"/>
          <w:u w:val="none"/>
          <w:lang w:val="en-US" w:eastAsia="zh-CN" w:bidi="ar"/>
        </w:rPr>
        <w:t>.商务偏差表</w:t>
      </w:r>
    </w:p>
    <w:p>
      <w:pPr>
        <w:pStyle w:val="49"/>
        <w:spacing w:before="0"/>
        <w:rPr>
          <w:rFonts w:ascii="Times New Roman"/>
          <w:color w:val="auto"/>
          <w:highlight w:val="none"/>
        </w:rPr>
      </w:pPr>
      <w:r>
        <w:rPr>
          <w:rFonts w:ascii="Times New Roman"/>
          <w:color w:val="auto"/>
          <w:highlight w:val="none"/>
        </w:rPr>
        <w:t>商务偏差表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983"/>
        <w:gridCol w:w="2567"/>
        <w:gridCol w:w="2138"/>
        <w:gridCol w:w="2567"/>
        <w:gridCol w:w="1156"/>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序号</w:t>
            </w:r>
          </w:p>
        </w:tc>
        <w:tc>
          <w:tcPr>
            <w:tcW w:w="2567"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招标文件页号和条款号</w:t>
            </w:r>
          </w:p>
        </w:tc>
        <w:tc>
          <w:tcPr>
            <w:tcW w:w="2138"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招标文件的规定</w:t>
            </w:r>
          </w:p>
        </w:tc>
        <w:tc>
          <w:tcPr>
            <w:tcW w:w="2567"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投标文件与招标文件规定</w:t>
            </w:r>
            <w:r>
              <w:rPr>
                <w:rFonts w:eastAsia="黑体"/>
                <w:color w:val="auto"/>
                <w:sz w:val="18"/>
                <w:highlight w:val="none"/>
              </w:rPr>
              <w:br w:type="textWrapping"/>
            </w:r>
            <w:r>
              <w:rPr>
                <w:rFonts w:eastAsia="黑体"/>
                <w:color w:val="auto"/>
                <w:sz w:val="18"/>
                <w:highlight w:val="none"/>
              </w:rPr>
              <w:t>的偏差描述</w:t>
            </w:r>
          </w:p>
        </w:tc>
        <w:tc>
          <w:tcPr>
            <w:tcW w:w="1156"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备注</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adjustRightInd w:val="0"/>
              <w:snapToGrid w:val="0"/>
              <w:jc w:val="center"/>
              <w:rPr>
                <w:color w:val="auto"/>
                <w:sz w:val="18"/>
                <w:highlight w:val="none"/>
              </w:rPr>
            </w:pPr>
            <w:r>
              <w:rPr>
                <w:color w:val="auto"/>
                <w:sz w:val="18"/>
                <w:highlight w:val="none"/>
              </w:rPr>
              <w:t>1</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adjustRightInd w:val="0"/>
              <w:snapToGrid w:val="0"/>
              <w:ind w:firstLine="360" w:firstLineChars="200"/>
              <w:rPr>
                <w:color w:val="auto"/>
                <w:sz w:val="18"/>
                <w:highlight w:val="none"/>
              </w:rPr>
            </w:pPr>
            <w:r>
              <w:rPr>
                <w:color w:val="auto"/>
                <w:sz w:val="18"/>
                <w:highlight w:val="none"/>
              </w:rPr>
              <w:t>2</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bottom w:val="single" w:color="auto" w:sz="8" w:space="0"/>
            </w:tcBorders>
            <w:noWrap w:val="0"/>
            <w:vAlign w:val="center"/>
          </w:tcPr>
          <w:p>
            <w:pPr>
              <w:adjustRightInd w:val="0"/>
              <w:snapToGrid w:val="0"/>
              <w:ind w:firstLine="360" w:firstLineChars="200"/>
              <w:jc w:val="center"/>
              <w:rPr>
                <w:color w:val="auto"/>
                <w:sz w:val="18"/>
                <w:highlight w:val="none"/>
              </w:rPr>
            </w:pPr>
            <w:r>
              <w:rPr>
                <w:color w:val="auto"/>
                <w:sz w:val="18"/>
                <w:highlight w:val="none"/>
              </w:rPr>
              <w:t>…</w:t>
            </w: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2138" w:type="dxa"/>
            <w:tcBorders>
              <w:bottom w:val="single" w:color="auto" w:sz="8" w:space="0"/>
            </w:tcBorders>
            <w:noWrap w:val="0"/>
            <w:vAlign w:val="center"/>
          </w:tcPr>
          <w:p>
            <w:pPr>
              <w:adjustRightInd w:val="0"/>
              <w:snapToGrid w:val="0"/>
              <w:jc w:val="center"/>
              <w:rPr>
                <w:color w:val="auto"/>
                <w:sz w:val="18"/>
                <w:highlight w:val="none"/>
              </w:rPr>
            </w:pP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1156" w:type="dxa"/>
            <w:tcBorders>
              <w:bottom w:val="single" w:color="auto" w:sz="8" w:space="0"/>
            </w:tcBorders>
            <w:noWrap w:val="0"/>
            <w:vAlign w:val="center"/>
          </w:tcPr>
          <w:p>
            <w:pPr>
              <w:adjustRightInd w:val="0"/>
              <w:snapToGrid w:val="0"/>
              <w:jc w:val="center"/>
              <w:rPr>
                <w:color w:val="auto"/>
                <w:sz w:val="18"/>
                <w:highlight w:val="none"/>
              </w:rPr>
            </w:pPr>
          </w:p>
        </w:tc>
      </w:tr>
    </w:tbl>
    <w:p>
      <w:pPr>
        <w:pStyle w:val="17"/>
        <w:jc w:val="left"/>
        <w:rPr>
          <w:rFonts w:hint="eastAsia"/>
          <w:color w:val="auto"/>
          <w:highlight w:val="none"/>
          <w:lang w:val="en-US" w:eastAsia="zh-CN"/>
        </w:rPr>
      </w:pPr>
    </w:p>
    <w:p>
      <w:pP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br w:type="page"/>
      </w:r>
    </w:p>
    <w:p>
      <w:pPr>
        <w:keepNext w:val="0"/>
        <w:keepLines w:val="0"/>
        <w:widowControl/>
        <w:numPr>
          <w:ilvl w:val="0"/>
          <w:numId w:val="0"/>
        </w:numPr>
        <w:suppressLineNumbers w:val="0"/>
        <w:ind w:leftChars="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sz w:val="20"/>
          <w:szCs w:val="20"/>
          <w:highlight w:val="none"/>
          <w:u w:val="none"/>
          <w:lang w:val="en-US" w:eastAsia="zh-CN"/>
        </w:rPr>
        <w:t>2.</w:t>
      </w:r>
      <w:r>
        <w:rPr>
          <w:rFonts w:hint="eastAsia" w:ascii="宋体" w:hAnsi="宋体" w:eastAsia="宋体" w:cs="宋体"/>
          <w:i w:val="0"/>
          <w:iCs w:val="0"/>
          <w:color w:val="auto"/>
          <w:sz w:val="20"/>
          <w:szCs w:val="20"/>
          <w:highlight w:val="none"/>
          <w:u w:val="none"/>
        </w:rPr>
        <w:t>法定代表人授权委托书（仅由委托代理人签署联合体协议书时适用）</w:t>
      </w:r>
      <w:r>
        <w:rPr>
          <w:rFonts w:hint="eastAsia" w:ascii="宋体" w:hAnsi="宋体" w:eastAsia="宋体" w:cs="宋体"/>
          <w:i w:val="0"/>
          <w:iCs w:val="0"/>
          <w:color w:val="auto"/>
          <w:sz w:val="20"/>
          <w:szCs w:val="20"/>
          <w:highlight w:val="none"/>
          <w:u w:val="none"/>
          <w:lang w:eastAsia="zh-CN"/>
        </w:rPr>
        <w:t>，</w:t>
      </w:r>
      <w:r>
        <w:rPr>
          <w:rFonts w:hint="eastAsia" w:ascii="宋体" w:hAnsi="宋体" w:eastAsia="宋体" w:cs="宋体"/>
          <w:i w:val="0"/>
          <w:iCs w:val="0"/>
          <w:color w:val="auto"/>
          <w:sz w:val="20"/>
          <w:szCs w:val="20"/>
          <w:highlight w:val="none"/>
          <w:u w:val="none"/>
          <w:lang w:val="en-US" w:eastAsia="zh-CN"/>
        </w:rPr>
        <w:t>须附</w:t>
      </w:r>
      <w:r>
        <w:rPr>
          <w:rFonts w:hint="eastAsia" w:ascii="宋体" w:hAnsi="宋体" w:eastAsia="宋体" w:cs="宋体"/>
          <w:i w:val="0"/>
          <w:iCs w:val="0"/>
          <w:color w:val="auto"/>
          <w:sz w:val="20"/>
          <w:szCs w:val="20"/>
          <w:highlight w:val="none"/>
          <w:u w:val="none"/>
        </w:rPr>
        <w:t>法定代表人身份证明</w:t>
      </w:r>
    </w:p>
    <w:p>
      <w:pPr>
        <w:widowControl/>
        <w:jc w:val="center"/>
        <w:rPr>
          <w:color w:val="auto"/>
          <w:szCs w:val="21"/>
          <w:highlight w:val="none"/>
        </w:rPr>
      </w:pPr>
    </w:p>
    <w:p>
      <w:pPr>
        <w:widowControl/>
        <w:jc w:val="center"/>
        <w:rPr>
          <w:color w:val="auto"/>
          <w:szCs w:val="21"/>
          <w:highlight w:val="none"/>
        </w:rPr>
      </w:pPr>
    </w:p>
    <w:p>
      <w:pPr>
        <w:widowControl/>
        <w:jc w:val="center"/>
        <w:rPr>
          <w:rFonts w:eastAsia="黑体"/>
          <w:b/>
          <w:color w:val="auto"/>
          <w:szCs w:val="21"/>
          <w:highlight w:val="none"/>
        </w:rPr>
      </w:pPr>
      <w:r>
        <w:rPr>
          <w:rFonts w:eastAsia="黑体"/>
          <w:b/>
          <w:color w:val="auto"/>
          <w:sz w:val="32"/>
          <w:szCs w:val="32"/>
          <w:highlight w:val="none"/>
        </w:rPr>
        <w:t>法定代表人身份证明</w:t>
      </w:r>
    </w:p>
    <w:p>
      <w:pPr>
        <w:pStyle w:val="8"/>
        <w:rPr>
          <w:b/>
          <w:color w:val="auto"/>
          <w:sz w:val="32"/>
          <w:highlight w:val="none"/>
        </w:rPr>
      </w:pPr>
    </w:p>
    <w:p>
      <w:pPr>
        <w:pStyle w:val="8"/>
        <w:spacing w:before="3"/>
        <w:rPr>
          <w:b/>
          <w:color w:val="auto"/>
          <w:sz w:val="18"/>
          <w:highlight w:val="none"/>
        </w:rPr>
      </w:pPr>
    </w:p>
    <w:p>
      <w:pPr>
        <w:pStyle w:val="8"/>
        <w:tabs>
          <w:tab w:val="left" w:pos="4068"/>
        </w:tabs>
        <w:ind w:left="240"/>
        <w:rPr>
          <w:rFonts w:eastAsia="Times New Roman"/>
          <w:color w:val="auto"/>
          <w:highlight w:val="none"/>
        </w:rPr>
      </w:pPr>
      <w:r>
        <w:rPr>
          <w:color w:val="auto"/>
          <w:spacing w:val="-1"/>
          <w:highlight w:val="none"/>
        </w:rPr>
        <w:t>投</w:t>
      </w:r>
      <w:r>
        <w:rPr>
          <w:color w:val="auto"/>
          <w:highlight w:val="none"/>
        </w:rPr>
        <w:t>标</w:t>
      </w:r>
      <w:r>
        <w:rPr>
          <w:color w:val="auto"/>
          <w:spacing w:val="-3"/>
          <w:highlight w:val="none"/>
        </w:rPr>
        <w:t>人</w:t>
      </w:r>
      <w:r>
        <w:rPr>
          <w:color w:val="auto"/>
          <w:highlight w:val="none"/>
        </w:rPr>
        <w:t>名</w:t>
      </w:r>
      <w:r>
        <w:rPr>
          <w:color w:val="auto"/>
          <w:spacing w:val="-3"/>
          <w:highlight w:val="none"/>
        </w:rPr>
        <w:t>称</w:t>
      </w:r>
      <w:r>
        <w:rPr>
          <w:color w:val="auto"/>
          <w:highlight w:val="none"/>
        </w:rPr>
        <w:t>：</w:t>
      </w:r>
      <w:r>
        <w:rPr>
          <w:rFonts w:eastAsia="Times New Roman"/>
          <w:color w:val="auto"/>
          <w:highlight w:val="none"/>
          <w:u w:val="single"/>
        </w:rPr>
        <w:tab/>
      </w:r>
    </w:p>
    <w:p>
      <w:pPr>
        <w:pStyle w:val="8"/>
        <w:tabs>
          <w:tab w:val="left" w:pos="2552"/>
          <w:tab w:val="left" w:pos="4023"/>
          <w:tab w:val="left" w:pos="5492"/>
          <w:tab w:val="left" w:pos="7009"/>
        </w:tabs>
        <w:spacing w:before="170"/>
        <w:ind w:left="240"/>
        <w:rPr>
          <w:rFonts w:hint="eastAsia" w:eastAsia="宋体"/>
          <w:color w:val="auto"/>
          <w:highlight w:val="none"/>
          <w:lang w:val="en-US" w:eastAsia="zh-CN"/>
        </w:rPr>
      </w:pPr>
      <w:r>
        <w:rPr>
          <w:color w:val="auto"/>
          <w:highlight w:val="none"/>
        </w:rPr>
        <w:t>姓名</w:t>
      </w:r>
      <w:r>
        <w:rPr>
          <w:color w:val="auto"/>
          <w:spacing w:val="-3"/>
          <w:highlight w:val="none"/>
        </w:rPr>
        <w:t>：</w:t>
      </w:r>
      <w:r>
        <w:rPr>
          <w:color w:val="auto"/>
          <w:spacing w:val="-3"/>
          <w:highlight w:val="none"/>
          <w:u w:val="single"/>
        </w:rPr>
        <w:tab/>
      </w:r>
      <w:r>
        <w:rPr>
          <w:color w:val="auto"/>
          <w:highlight w:val="none"/>
        </w:rPr>
        <w:t>性别</w:t>
      </w:r>
      <w:r>
        <w:rPr>
          <w:color w:val="auto"/>
          <w:spacing w:val="-3"/>
          <w:highlight w:val="none"/>
        </w:rPr>
        <w:t>：</w:t>
      </w:r>
      <w:r>
        <w:rPr>
          <w:color w:val="auto"/>
          <w:spacing w:val="-3"/>
          <w:highlight w:val="none"/>
          <w:u w:val="single"/>
        </w:rPr>
        <w:tab/>
      </w:r>
      <w:r>
        <w:rPr>
          <w:color w:val="auto"/>
          <w:highlight w:val="none"/>
        </w:rPr>
        <w:t>年</w:t>
      </w:r>
      <w:r>
        <w:rPr>
          <w:color w:val="auto"/>
          <w:spacing w:val="-3"/>
          <w:highlight w:val="none"/>
        </w:rPr>
        <w:t>龄</w:t>
      </w:r>
      <w:r>
        <w:rPr>
          <w:color w:val="auto"/>
          <w:highlight w:val="none"/>
        </w:rPr>
        <w:t>：</w:t>
      </w:r>
      <w:r>
        <w:rPr>
          <w:color w:val="auto"/>
          <w:highlight w:val="none"/>
          <w:u w:val="single"/>
        </w:rPr>
        <w:tab/>
      </w:r>
      <w:r>
        <w:rPr>
          <w:color w:val="auto"/>
          <w:spacing w:val="-1"/>
          <w:highlight w:val="none"/>
        </w:rPr>
        <w:t>职</w:t>
      </w:r>
      <w:r>
        <w:rPr>
          <w:color w:val="auto"/>
          <w:spacing w:val="-3"/>
          <w:highlight w:val="none"/>
        </w:rPr>
        <w:t>务</w:t>
      </w:r>
      <w:r>
        <w:rPr>
          <w:color w:val="auto"/>
          <w:highlight w:val="none"/>
        </w:rPr>
        <w:t>：</w:t>
      </w:r>
      <w:r>
        <w:rPr>
          <w:rFonts w:eastAsia="Times New Roman"/>
          <w:color w:val="auto"/>
          <w:highlight w:val="none"/>
          <w:u w:val="single"/>
        </w:rPr>
        <w:tab/>
      </w:r>
      <w:r>
        <w:rPr>
          <w:rFonts w:hint="eastAsia"/>
          <w:color w:val="auto"/>
          <w:highlight w:val="none"/>
          <w:u w:val="none"/>
          <w:lang w:val="en-US" w:eastAsia="zh-CN"/>
        </w:rPr>
        <w:t>手机：</w:t>
      </w:r>
      <w:r>
        <w:rPr>
          <w:rFonts w:eastAsia="Times New Roman"/>
          <w:color w:val="auto"/>
          <w:highlight w:val="none"/>
          <w:u w:val="single"/>
        </w:rPr>
        <w:tab/>
      </w:r>
      <w:r>
        <w:rPr>
          <w:rFonts w:hint="eastAsia"/>
          <w:color w:val="auto"/>
          <w:highlight w:val="none"/>
          <w:u w:val="single"/>
          <w:lang w:val="en-US" w:eastAsia="zh-CN"/>
        </w:rPr>
        <w:t xml:space="preserve">      </w:t>
      </w:r>
    </w:p>
    <w:p>
      <w:pPr>
        <w:pStyle w:val="8"/>
        <w:tabs>
          <w:tab w:val="left" w:pos="2972"/>
        </w:tabs>
        <w:spacing w:before="173"/>
        <w:ind w:left="240"/>
        <w:rPr>
          <w:color w:val="auto"/>
          <w:highlight w:val="none"/>
        </w:rPr>
      </w:pPr>
      <w:r>
        <w:rPr>
          <w:color w:val="auto"/>
          <w:highlight w:val="none"/>
        </w:rPr>
        <w:t>系</w:t>
      </w:r>
      <w:r>
        <w:rPr>
          <w:color w:val="auto"/>
          <w:highlight w:val="none"/>
          <w:u w:val="single"/>
        </w:rPr>
        <w:tab/>
      </w:r>
      <w:r>
        <w:rPr>
          <w:color w:val="auto"/>
          <w:spacing w:val="-3"/>
          <w:highlight w:val="none"/>
        </w:rPr>
        <w:t>（</w:t>
      </w:r>
      <w:r>
        <w:rPr>
          <w:color w:val="auto"/>
          <w:highlight w:val="none"/>
        </w:rPr>
        <w:t>投</w:t>
      </w:r>
      <w:r>
        <w:rPr>
          <w:color w:val="auto"/>
          <w:spacing w:val="-3"/>
          <w:highlight w:val="none"/>
        </w:rPr>
        <w:t>标</w:t>
      </w:r>
      <w:r>
        <w:rPr>
          <w:color w:val="auto"/>
          <w:highlight w:val="none"/>
        </w:rPr>
        <w:t>人</w:t>
      </w:r>
      <w:r>
        <w:rPr>
          <w:color w:val="auto"/>
          <w:spacing w:val="-3"/>
          <w:highlight w:val="none"/>
        </w:rPr>
        <w:t>名</w:t>
      </w:r>
      <w:r>
        <w:rPr>
          <w:color w:val="auto"/>
          <w:highlight w:val="none"/>
        </w:rPr>
        <w:t>称</w:t>
      </w:r>
      <w:r>
        <w:rPr>
          <w:color w:val="auto"/>
          <w:spacing w:val="-3"/>
          <w:highlight w:val="none"/>
        </w:rPr>
        <w:t>）</w:t>
      </w:r>
      <w:r>
        <w:rPr>
          <w:color w:val="auto"/>
          <w:highlight w:val="none"/>
        </w:rPr>
        <w:t>的</w:t>
      </w:r>
      <w:r>
        <w:rPr>
          <w:color w:val="auto"/>
          <w:spacing w:val="-3"/>
          <w:highlight w:val="none"/>
        </w:rPr>
        <w:t>法定</w:t>
      </w:r>
      <w:r>
        <w:rPr>
          <w:color w:val="auto"/>
          <w:highlight w:val="none"/>
        </w:rPr>
        <w:t>代表</w:t>
      </w:r>
      <w:r>
        <w:rPr>
          <w:color w:val="auto"/>
          <w:spacing w:val="-3"/>
          <w:highlight w:val="none"/>
        </w:rPr>
        <w:t>人</w:t>
      </w:r>
      <w:r>
        <w:rPr>
          <w:color w:val="auto"/>
          <w:highlight w:val="none"/>
        </w:rPr>
        <w:t>。</w:t>
      </w:r>
    </w:p>
    <w:p>
      <w:pPr>
        <w:pStyle w:val="8"/>
        <w:spacing w:before="170"/>
        <w:ind w:left="660"/>
        <w:rPr>
          <w:color w:val="auto"/>
          <w:highlight w:val="none"/>
        </w:rPr>
      </w:pPr>
      <w:r>
        <w:rPr>
          <w:color w:val="auto"/>
          <w:highlight w:val="none"/>
        </w:rPr>
        <w:t>特此证明。</w:t>
      </w:r>
    </w:p>
    <w:p>
      <w:pPr>
        <w:pStyle w:val="8"/>
        <w:rPr>
          <w:color w:val="auto"/>
          <w:sz w:val="20"/>
          <w:highlight w:val="none"/>
        </w:rPr>
      </w:pPr>
    </w:p>
    <w:p>
      <w:pPr>
        <w:pStyle w:val="8"/>
        <w:spacing w:before="10"/>
        <w:rPr>
          <w:color w:val="auto"/>
          <w:sz w:val="27"/>
          <w:highlight w:val="none"/>
        </w:rPr>
      </w:pPr>
    </w:p>
    <w:p>
      <w:pPr>
        <w:pStyle w:val="8"/>
        <w:ind w:left="240"/>
        <w:rPr>
          <w:color w:val="auto"/>
          <w:highlight w:val="none"/>
        </w:rPr>
      </w:pPr>
      <w:r>
        <w:rPr>
          <w:color w:val="auto"/>
          <w:highlight w:val="none"/>
        </w:rPr>
        <w:t>附：法定代表人身份证扫描件。</w:t>
      </w:r>
    </w:p>
    <w:p>
      <w:pPr>
        <w:pStyle w:val="8"/>
        <w:rPr>
          <w:color w:val="auto"/>
          <w:sz w:val="20"/>
          <w:highlight w:val="none"/>
        </w:rPr>
      </w:pPr>
    </w:p>
    <w:p>
      <w:pPr>
        <w:pStyle w:val="8"/>
        <w:spacing w:before="7"/>
        <w:rPr>
          <w:color w:val="auto"/>
          <w:sz w:val="27"/>
          <w:highlight w:val="none"/>
        </w:rPr>
      </w:pPr>
    </w:p>
    <w:p>
      <w:pPr>
        <w:pStyle w:val="8"/>
        <w:rPr>
          <w:color w:val="auto"/>
          <w:sz w:val="20"/>
          <w:highlight w:val="none"/>
        </w:rPr>
      </w:pPr>
    </w:p>
    <w:p>
      <w:pPr>
        <w:rPr>
          <w:color w:val="auto"/>
          <w:highlight w:val="none"/>
        </w:rPr>
      </w:pPr>
    </w:p>
    <w:p>
      <w:pPr>
        <w:pStyle w:val="8"/>
        <w:rPr>
          <w:color w:val="auto"/>
          <w:sz w:val="20"/>
          <w:highlight w:val="none"/>
        </w:rPr>
      </w:pPr>
    </w:p>
    <w:p>
      <w:pPr>
        <w:pStyle w:val="8"/>
        <w:rPr>
          <w:color w:val="auto"/>
          <w:sz w:val="20"/>
          <w:highlight w:val="none"/>
        </w:rPr>
      </w:pPr>
    </w:p>
    <w:p>
      <w:pPr>
        <w:pStyle w:val="8"/>
        <w:spacing w:before="12"/>
        <w:rPr>
          <w:color w:val="auto"/>
          <w:sz w:val="15"/>
          <w:highlight w:val="none"/>
        </w:rPr>
      </w:pPr>
    </w:p>
    <w:p>
      <w:pPr>
        <w:pStyle w:val="8"/>
        <w:tabs>
          <w:tab w:val="left" w:pos="6661"/>
        </w:tabs>
        <w:spacing w:before="79"/>
        <w:ind w:left="4352"/>
        <w:rPr>
          <w:color w:val="auto"/>
          <w:highlight w:val="none"/>
        </w:rPr>
      </w:pPr>
      <w:r>
        <w:rPr>
          <w:color w:val="auto"/>
          <w:spacing w:val="-3"/>
          <w:highlight w:val="none"/>
        </w:rPr>
        <w:t>投</w:t>
      </w:r>
      <w:r>
        <w:rPr>
          <w:color w:val="auto"/>
          <w:highlight w:val="none"/>
        </w:rPr>
        <w:t>标</w:t>
      </w:r>
      <w:r>
        <w:rPr>
          <w:color w:val="auto"/>
          <w:spacing w:val="-3"/>
          <w:highlight w:val="none"/>
        </w:rPr>
        <w:t>人</w:t>
      </w:r>
      <w:r>
        <w:rPr>
          <w:color w:val="auto"/>
          <w:highlight w:val="none"/>
        </w:rPr>
        <w:t>：</w:t>
      </w:r>
      <w:r>
        <w:rPr>
          <w:color w:val="auto"/>
          <w:highlight w:val="none"/>
          <w:u w:val="single"/>
        </w:rPr>
        <w:tab/>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8"/>
        <w:rPr>
          <w:color w:val="auto"/>
          <w:sz w:val="20"/>
          <w:highlight w:val="none"/>
        </w:rPr>
      </w:pPr>
    </w:p>
    <w:p>
      <w:pPr>
        <w:pStyle w:val="8"/>
        <w:spacing w:before="1"/>
        <w:rPr>
          <w:color w:val="auto"/>
          <w:sz w:val="22"/>
          <w:highlight w:val="none"/>
        </w:rPr>
      </w:pPr>
    </w:p>
    <w:p>
      <w:pPr>
        <w:pStyle w:val="8"/>
        <w:tabs>
          <w:tab w:val="left" w:pos="5492"/>
          <w:tab w:val="left" w:pos="6332"/>
          <w:tab w:val="left" w:pos="7172"/>
        </w:tabs>
        <w:spacing w:before="72"/>
        <w:ind w:left="4861"/>
        <w:rPr>
          <w:color w:val="auto"/>
          <w:highlight w:val="none"/>
        </w:rPr>
      </w:pPr>
      <w:r>
        <w:rPr>
          <w:rFonts w:eastAsia="Times New Roman"/>
          <w:color w:val="auto"/>
          <w:highlight w:val="none"/>
          <w:u w:val="single"/>
        </w:rPr>
        <w:tab/>
      </w:r>
      <w:r>
        <w:rPr>
          <w:color w:val="auto"/>
          <w:highlight w:val="none"/>
        </w:rPr>
        <w:t>年</w:t>
      </w:r>
      <w:r>
        <w:rPr>
          <w:color w:val="auto"/>
          <w:highlight w:val="none"/>
          <w:u w:val="single"/>
        </w:rPr>
        <w:tab/>
      </w:r>
      <w:r>
        <w:rPr>
          <w:color w:val="auto"/>
          <w:highlight w:val="none"/>
        </w:rPr>
        <w:t>月</w:t>
      </w:r>
      <w:r>
        <w:rPr>
          <w:color w:val="auto"/>
          <w:highlight w:val="none"/>
          <w:u w:val="single"/>
        </w:rPr>
        <w:tab/>
      </w:r>
      <w:r>
        <w:rPr>
          <w:color w:val="auto"/>
          <w:highlight w:val="none"/>
        </w:rPr>
        <w:t>日</w:t>
      </w:r>
    </w:p>
    <w:p>
      <w:pPr>
        <w:widowControl/>
        <w:jc w:val="left"/>
        <w:rPr>
          <w:color w:val="auto"/>
          <w:highlight w:val="none"/>
        </w:rPr>
      </w:pPr>
      <w:r>
        <w:rPr>
          <w:color w:val="auto"/>
          <w:highlight w:val="none"/>
        </w:rPr>
        <w:br w:type="page"/>
      </w:r>
    </w:p>
    <w:p>
      <w:pPr>
        <w:pStyle w:val="8"/>
        <w:tabs>
          <w:tab w:val="left" w:pos="5492"/>
          <w:tab w:val="left" w:pos="6332"/>
          <w:tab w:val="left" w:pos="7172"/>
        </w:tabs>
        <w:spacing w:before="72"/>
        <w:jc w:val="left"/>
        <w:rPr>
          <w:color w:val="auto"/>
          <w:highlight w:val="none"/>
        </w:rPr>
      </w:pPr>
    </w:p>
    <w:p>
      <w:pPr>
        <w:widowControl/>
        <w:jc w:val="center"/>
        <w:rPr>
          <w:rFonts w:eastAsia="黑体"/>
          <w:b/>
          <w:color w:val="auto"/>
          <w:sz w:val="32"/>
          <w:szCs w:val="32"/>
          <w:highlight w:val="none"/>
        </w:rPr>
      </w:pPr>
      <w:r>
        <w:rPr>
          <w:rFonts w:eastAsia="黑体"/>
          <w:b/>
          <w:color w:val="auto"/>
          <w:sz w:val="32"/>
          <w:szCs w:val="32"/>
          <w:highlight w:val="none"/>
        </w:rPr>
        <w:t>授权委托书</w:t>
      </w:r>
      <w:r>
        <w:rPr>
          <w:rFonts w:eastAsia="黑体"/>
          <w:b/>
          <w:color w:val="auto"/>
          <w:sz w:val="24"/>
          <w:highlight w:val="none"/>
        </w:rPr>
        <w:t>（</w:t>
      </w:r>
      <w:r>
        <w:rPr>
          <w:rFonts w:hint="eastAsia"/>
          <w:b/>
          <w:bCs/>
          <w:color w:val="auto"/>
          <w:sz w:val="18"/>
          <w:highlight w:val="none"/>
          <w:lang w:val="en-US" w:eastAsia="zh-CN"/>
        </w:rPr>
        <w:t>仅由委托代理人签署联合体协议书时适用</w:t>
      </w:r>
      <w:r>
        <w:rPr>
          <w:rFonts w:eastAsia="黑体"/>
          <w:b/>
          <w:color w:val="auto"/>
          <w:sz w:val="24"/>
          <w:highlight w:val="none"/>
        </w:rPr>
        <w:t>）</w:t>
      </w:r>
    </w:p>
    <w:p>
      <w:pPr>
        <w:widowControl/>
        <w:jc w:val="center"/>
        <w:rPr>
          <w:rFonts w:eastAsia="黑体"/>
          <w:b/>
          <w:color w:val="auto"/>
          <w:sz w:val="32"/>
          <w:szCs w:val="32"/>
          <w:highlight w:val="none"/>
        </w:rPr>
      </w:pPr>
    </w:p>
    <w:p>
      <w:pPr>
        <w:widowControl/>
        <w:spacing w:line="360" w:lineRule="auto"/>
        <w:ind w:firstLine="416" w:firstLineChars="200"/>
        <w:jc w:val="left"/>
        <w:rPr>
          <w:color w:val="auto"/>
          <w:spacing w:val="-1"/>
          <w:highlight w:val="none"/>
        </w:rPr>
      </w:pPr>
    </w:p>
    <w:p>
      <w:pPr>
        <w:widowControl/>
        <w:spacing w:line="360" w:lineRule="auto"/>
        <w:ind w:firstLine="416" w:firstLineChars="200"/>
        <w:jc w:val="left"/>
        <w:rPr>
          <w:color w:val="auto"/>
          <w:spacing w:val="-1"/>
          <w:highlight w:val="none"/>
        </w:rPr>
      </w:pPr>
      <w:r>
        <w:rPr>
          <w:color w:val="auto"/>
          <w:spacing w:val="-1"/>
          <w:highlight w:val="none"/>
        </w:rPr>
        <w:t>本人（姓名）系（投标人名称）的法定代表人，现委托（姓名）为我方代理人。代理人根据授权，以我方名义签署、澄清确认、递交、撤回、修改招标项目投标文件、</w:t>
      </w:r>
      <w:r>
        <w:rPr>
          <w:rFonts w:hint="eastAsia"/>
          <w:color w:val="auto"/>
          <w:spacing w:val="-1"/>
          <w:highlight w:val="none"/>
        </w:rPr>
        <w:t>签署联合体协议</w:t>
      </w:r>
      <w:r>
        <w:rPr>
          <w:rFonts w:hint="eastAsia"/>
          <w:color w:val="auto"/>
          <w:spacing w:val="-1"/>
          <w:highlight w:val="none"/>
          <w:lang w:eastAsia="zh-CN"/>
        </w:rPr>
        <w:t>、</w:t>
      </w:r>
      <w:r>
        <w:rPr>
          <w:color w:val="auto"/>
          <w:spacing w:val="-1"/>
          <w:highlight w:val="none"/>
        </w:rPr>
        <w:t>签订合同和处理有关事宜，其法律后果由我方承担。</w:t>
      </w:r>
    </w:p>
    <w:p>
      <w:pPr>
        <w:widowControl/>
        <w:spacing w:line="360" w:lineRule="auto"/>
        <w:ind w:firstLine="832" w:firstLineChars="400"/>
        <w:jc w:val="left"/>
        <w:rPr>
          <w:color w:val="auto"/>
          <w:spacing w:val="-1"/>
          <w:highlight w:val="none"/>
        </w:rPr>
      </w:pPr>
      <w:r>
        <w:rPr>
          <w:color w:val="auto"/>
          <w:spacing w:val="-1"/>
          <w:highlight w:val="none"/>
        </w:rPr>
        <w:t>代理人无转委托权。</w:t>
      </w:r>
    </w:p>
    <w:p>
      <w:pPr>
        <w:pStyle w:val="8"/>
        <w:tabs>
          <w:tab w:val="left" w:pos="4068"/>
        </w:tabs>
        <w:ind w:left="240"/>
        <w:rPr>
          <w:color w:val="auto"/>
          <w:spacing w:val="-1"/>
          <w:highlight w:val="none"/>
        </w:rPr>
      </w:pPr>
    </w:p>
    <w:p>
      <w:pPr>
        <w:pStyle w:val="8"/>
        <w:tabs>
          <w:tab w:val="left" w:pos="4068"/>
        </w:tabs>
        <w:ind w:left="240"/>
        <w:rPr>
          <w:color w:val="auto"/>
          <w:spacing w:val="-1"/>
          <w:highlight w:val="none"/>
        </w:rPr>
      </w:pPr>
      <w:r>
        <w:rPr>
          <w:color w:val="auto"/>
          <w:spacing w:val="-1"/>
          <w:highlight w:val="none"/>
        </w:rPr>
        <w:t>附：法定代表人身份证扫描件及委托代理人身份证扫描件</w:t>
      </w:r>
    </w:p>
    <w:p>
      <w:pPr>
        <w:pStyle w:val="8"/>
        <w:tabs>
          <w:tab w:val="left" w:pos="4068"/>
        </w:tabs>
        <w:ind w:left="240"/>
        <w:rPr>
          <w:color w:val="auto"/>
          <w:spacing w:val="-1"/>
          <w:highlight w:val="none"/>
        </w:rPr>
      </w:pPr>
    </w:p>
    <w:p>
      <w:pPr>
        <w:pStyle w:val="8"/>
        <w:tabs>
          <w:tab w:val="left" w:pos="4068"/>
        </w:tabs>
        <w:ind w:left="240"/>
        <w:rPr>
          <w:color w:val="auto"/>
          <w:spacing w:val="-1"/>
          <w:highlight w:val="none"/>
        </w:rPr>
      </w:pPr>
    </w:p>
    <w:p>
      <w:pPr>
        <w:pStyle w:val="8"/>
        <w:tabs>
          <w:tab w:val="left" w:pos="4068"/>
        </w:tabs>
        <w:ind w:left="240"/>
        <w:rPr>
          <w:color w:val="auto"/>
          <w:spacing w:val="-1"/>
          <w:highlight w:val="none"/>
        </w:rPr>
      </w:pPr>
      <w:r>
        <w:rPr>
          <w:color w:val="auto"/>
          <w:spacing w:val="-1"/>
          <w:highlight w:val="none"/>
        </w:rPr>
        <w:t>注：本授权委托书需由投标人加盖单位公章并由其法定代表人和委托代理人签字。</w:t>
      </w:r>
    </w:p>
    <w:p>
      <w:pPr>
        <w:pStyle w:val="8"/>
        <w:tabs>
          <w:tab w:val="left" w:pos="4068"/>
        </w:tabs>
        <w:ind w:left="240"/>
        <w:rPr>
          <w:color w:val="auto"/>
          <w:spacing w:val="-1"/>
          <w:highlight w:val="none"/>
        </w:rPr>
      </w:pPr>
    </w:p>
    <w:p>
      <w:pPr>
        <w:pStyle w:val="8"/>
        <w:spacing w:before="10"/>
        <w:rPr>
          <w:color w:val="auto"/>
          <w:sz w:val="27"/>
          <w:highlight w:val="none"/>
        </w:rPr>
      </w:pPr>
    </w:p>
    <w:p>
      <w:pPr>
        <w:pStyle w:val="8"/>
        <w:tabs>
          <w:tab w:val="left" w:pos="3356"/>
          <w:tab w:val="left" w:pos="3776"/>
          <w:tab w:val="left" w:pos="7381"/>
        </w:tabs>
        <w:ind w:left="2411" w:leftChars="1148" w:firstLine="525" w:firstLineChars="250"/>
        <w:rPr>
          <w:color w:val="auto"/>
          <w:highlight w:val="none"/>
        </w:rPr>
      </w:pPr>
      <w:r>
        <w:rPr>
          <w:color w:val="auto"/>
          <w:highlight w:val="none"/>
        </w:rPr>
        <w:t>投标人</w:t>
      </w:r>
      <w:r>
        <w:rPr>
          <w:color w:val="auto"/>
          <w:spacing w:val="-3"/>
          <w:highlight w:val="none"/>
        </w:rPr>
        <w:t>：</w:t>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8"/>
        <w:spacing w:before="8"/>
        <w:rPr>
          <w:color w:val="auto"/>
          <w:highlight w:val="none"/>
        </w:rPr>
      </w:pPr>
    </w:p>
    <w:p>
      <w:pPr>
        <w:pStyle w:val="8"/>
        <w:tabs>
          <w:tab w:val="left" w:pos="6541"/>
        </w:tabs>
        <w:spacing w:before="79"/>
        <w:ind w:left="2931"/>
        <w:rPr>
          <w:color w:val="auto"/>
          <w:highlight w:val="none"/>
        </w:rPr>
      </w:pPr>
      <w:r>
        <w:rPr>
          <w:color w:val="auto"/>
          <w:highlight w:val="none"/>
        </w:rPr>
        <w:t>法定</w:t>
      </w:r>
      <w:r>
        <w:rPr>
          <w:color w:val="auto"/>
          <w:spacing w:val="-3"/>
          <w:highlight w:val="none"/>
        </w:rPr>
        <w:t>代</w:t>
      </w:r>
      <w:r>
        <w:rPr>
          <w:color w:val="auto"/>
          <w:highlight w:val="none"/>
        </w:rPr>
        <w:t>表</w:t>
      </w:r>
      <w:r>
        <w:rPr>
          <w:color w:val="auto"/>
          <w:spacing w:val="-3"/>
          <w:highlight w:val="none"/>
        </w:rPr>
        <w:t>人：</w:t>
      </w:r>
      <w:r>
        <w:rPr>
          <w:color w:val="auto"/>
          <w:spacing w:val="-3"/>
          <w:highlight w:val="none"/>
          <w:u w:val="single"/>
        </w:rPr>
        <w:tab/>
      </w:r>
      <w:r>
        <w:rPr>
          <w:color w:val="auto"/>
          <w:highlight w:val="none"/>
        </w:rPr>
        <w:t>（签</w:t>
      </w:r>
      <w:r>
        <w:rPr>
          <w:color w:val="auto"/>
          <w:spacing w:val="-3"/>
          <w:highlight w:val="none"/>
        </w:rPr>
        <w:t>字</w:t>
      </w:r>
      <w:r>
        <w:rPr>
          <w:color w:val="auto"/>
          <w:highlight w:val="none"/>
        </w:rPr>
        <w:t>）</w:t>
      </w:r>
    </w:p>
    <w:p>
      <w:pPr>
        <w:pStyle w:val="8"/>
        <w:spacing w:before="5"/>
        <w:rPr>
          <w:color w:val="auto"/>
          <w:highlight w:val="none"/>
        </w:rPr>
      </w:pPr>
    </w:p>
    <w:p>
      <w:pPr>
        <w:pStyle w:val="8"/>
        <w:tabs>
          <w:tab w:val="left" w:pos="8689"/>
        </w:tabs>
        <w:spacing w:before="79"/>
        <w:ind w:left="2933"/>
        <w:rPr>
          <w:color w:val="auto"/>
          <w:highlight w:val="none"/>
        </w:rPr>
      </w:pPr>
      <w:r>
        <w:rPr>
          <w:color w:val="auto"/>
          <w:highlight w:val="none"/>
        </w:rPr>
        <w:t>身份</w:t>
      </w:r>
      <w:r>
        <w:rPr>
          <w:color w:val="auto"/>
          <w:spacing w:val="-3"/>
          <w:highlight w:val="none"/>
        </w:rPr>
        <w:t>证</w:t>
      </w:r>
      <w:r>
        <w:rPr>
          <w:color w:val="auto"/>
          <w:highlight w:val="none"/>
        </w:rPr>
        <w:t>号</w:t>
      </w:r>
      <w:r>
        <w:rPr>
          <w:color w:val="auto"/>
          <w:spacing w:val="-3"/>
          <w:highlight w:val="none"/>
        </w:rPr>
        <w:t>码：</w:t>
      </w:r>
    </w:p>
    <w:p>
      <w:pPr>
        <w:pStyle w:val="8"/>
        <w:spacing w:before="4"/>
        <w:rPr>
          <w:color w:val="auto"/>
          <w:sz w:val="26"/>
          <w:highlight w:val="none"/>
        </w:rPr>
      </w:pPr>
    </w:p>
    <w:p>
      <w:pPr>
        <w:pStyle w:val="8"/>
        <w:tabs>
          <w:tab w:val="left" w:pos="7590"/>
        </w:tabs>
        <w:spacing w:before="79"/>
        <w:ind w:left="2933"/>
        <w:rPr>
          <w:color w:val="auto"/>
          <w:highlight w:val="none"/>
        </w:rPr>
      </w:pPr>
      <w:r>
        <w:rPr>
          <w:color w:val="auto"/>
          <w:highlight w:val="none"/>
        </w:rPr>
        <w:t>委托</w:t>
      </w:r>
      <w:r>
        <w:rPr>
          <w:color w:val="auto"/>
          <w:spacing w:val="-3"/>
          <w:highlight w:val="none"/>
        </w:rPr>
        <w:t>代</w:t>
      </w:r>
      <w:r>
        <w:rPr>
          <w:color w:val="auto"/>
          <w:highlight w:val="none"/>
        </w:rPr>
        <w:t>理</w:t>
      </w:r>
      <w:r>
        <w:rPr>
          <w:color w:val="auto"/>
          <w:spacing w:val="-3"/>
          <w:highlight w:val="none"/>
        </w:rPr>
        <w:t>人：</w:t>
      </w:r>
      <w:r>
        <w:rPr>
          <w:color w:val="auto"/>
          <w:highlight w:val="none"/>
        </w:rPr>
        <w:t>（签</w:t>
      </w:r>
      <w:r>
        <w:rPr>
          <w:color w:val="auto"/>
          <w:spacing w:val="-3"/>
          <w:highlight w:val="none"/>
        </w:rPr>
        <w:t>字</w:t>
      </w:r>
      <w:r>
        <w:rPr>
          <w:color w:val="auto"/>
          <w:highlight w:val="none"/>
        </w:rPr>
        <w:t>）</w:t>
      </w:r>
    </w:p>
    <w:p>
      <w:pPr>
        <w:pStyle w:val="8"/>
        <w:spacing w:before="8"/>
        <w:rPr>
          <w:color w:val="auto"/>
          <w:highlight w:val="none"/>
        </w:rPr>
      </w:pPr>
    </w:p>
    <w:p>
      <w:pPr>
        <w:pStyle w:val="8"/>
        <w:tabs>
          <w:tab w:val="left" w:pos="8689"/>
        </w:tabs>
        <w:spacing w:before="79"/>
        <w:ind w:left="2933"/>
        <w:rPr>
          <w:color w:val="auto"/>
          <w:highlight w:val="none"/>
        </w:rPr>
      </w:pPr>
      <w:r>
        <w:rPr>
          <w:color w:val="auto"/>
          <w:highlight w:val="none"/>
        </w:rPr>
        <w:t>身份</w:t>
      </w:r>
      <w:r>
        <w:rPr>
          <w:color w:val="auto"/>
          <w:spacing w:val="-3"/>
          <w:highlight w:val="none"/>
        </w:rPr>
        <w:t>证</w:t>
      </w:r>
      <w:r>
        <w:rPr>
          <w:color w:val="auto"/>
          <w:highlight w:val="none"/>
        </w:rPr>
        <w:t>号</w:t>
      </w:r>
      <w:r>
        <w:rPr>
          <w:color w:val="auto"/>
          <w:spacing w:val="-3"/>
          <w:highlight w:val="none"/>
        </w:rPr>
        <w:t>码：</w:t>
      </w:r>
    </w:p>
    <w:p>
      <w:pPr>
        <w:pStyle w:val="8"/>
        <w:rPr>
          <w:color w:val="auto"/>
          <w:sz w:val="20"/>
          <w:highlight w:val="none"/>
        </w:rPr>
      </w:pPr>
    </w:p>
    <w:p>
      <w:pPr>
        <w:pStyle w:val="8"/>
        <w:spacing w:before="1"/>
        <w:rPr>
          <w:color w:val="auto"/>
          <w:sz w:val="25"/>
          <w:highlight w:val="none"/>
        </w:rPr>
      </w:pPr>
    </w:p>
    <w:p>
      <w:pPr>
        <w:widowControl/>
        <w:wordWrap w:val="0"/>
        <w:jc w:val="right"/>
        <w:rPr>
          <w:b/>
          <w:color w:val="auto"/>
          <w:sz w:val="26"/>
          <w:highlight w:val="none"/>
        </w:rPr>
      </w:pPr>
      <w:r>
        <w:rPr>
          <w:rFonts w:eastAsia="Times New Roman"/>
          <w:color w:val="auto"/>
          <w:highlight w:val="none"/>
          <w:u w:val="single"/>
        </w:rPr>
        <w:tab/>
      </w:r>
      <w:r>
        <w:rPr>
          <w:color w:val="auto"/>
          <w:highlight w:val="none"/>
        </w:rPr>
        <w:t>年</w:t>
      </w:r>
      <w:r>
        <w:rPr>
          <w:color w:val="auto"/>
          <w:highlight w:val="none"/>
          <w:u w:val="single"/>
        </w:rPr>
        <w:tab/>
      </w:r>
      <w:r>
        <w:rPr>
          <w:color w:val="auto"/>
          <w:spacing w:val="-3"/>
          <w:highlight w:val="none"/>
        </w:rPr>
        <w:t>月</w:t>
      </w:r>
      <w:r>
        <w:rPr>
          <w:color w:val="auto"/>
          <w:spacing w:val="-3"/>
          <w:highlight w:val="none"/>
          <w:u w:val="single"/>
        </w:rPr>
        <w:tab/>
      </w:r>
      <w:r>
        <w:rPr>
          <w:color w:val="auto"/>
          <w:highlight w:val="none"/>
        </w:rPr>
        <w:t>日</w:t>
      </w:r>
    </w:p>
    <w:p>
      <w:pPr>
        <w:pStyle w:val="17"/>
        <w:numPr>
          <w:ilvl w:val="0"/>
          <w:numId w:val="0"/>
        </w:numPr>
        <w:ind w:leftChars="0"/>
        <w:rPr>
          <w:rFonts w:hint="eastAsia"/>
          <w:color w:val="auto"/>
          <w:highlight w:val="none"/>
          <w:lang w:val="en-US" w:eastAsia="zh-CN"/>
        </w:rPr>
      </w:pP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br w:type="page"/>
      </w: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3.联合体协议书</w:t>
      </w:r>
      <w:r>
        <w:rPr>
          <w:rFonts w:hint="eastAsia" w:ascii="宋体" w:hAnsi="宋体" w:cs="宋体"/>
          <w:i w:val="0"/>
          <w:iCs w:val="0"/>
          <w:color w:val="auto"/>
          <w:kern w:val="0"/>
          <w:sz w:val="20"/>
          <w:szCs w:val="20"/>
          <w:highlight w:val="none"/>
          <w:u w:val="none"/>
          <w:lang w:val="en-US" w:eastAsia="zh-CN" w:bidi="ar"/>
        </w:rPr>
        <w:t>（不适用）</w:t>
      </w:r>
    </w:p>
    <w:p>
      <w:pPr>
        <w:widowControl/>
        <w:jc w:val="center"/>
        <w:rPr>
          <w:rFonts w:eastAsia="黑体"/>
          <w:b/>
          <w:color w:val="auto"/>
          <w:sz w:val="32"/>
          <w:szCs w:val="32"/>
          <w:highlight w:val="none"/>
        </w:rPr>
      </w:pPr>
      <w:r>
        <w:rPr>
          <w:rFonts w:eastAsia="黑体"/>
          <w:b/>
          <w:color w:val="auto"/>
          <w:sz w:val="32"/>
          <w:szCs w:val="32"/>
          <w:highlight w:val="none"/>
        </w:rPr>
        <w:t>联合体协议书</w:t>
      </w:r>
    </w:p>
    <w:p>
      <w:pPr>
        <w:pStyle w:val="8"/>
        <w:tabs>
          <w:tab w:val="left" w:pos="2445"/>
        </w:tabs>
        <w:spacing w:before="172" w:line="276" w:lineRule="auto"/>
        <w:ind w:firstLine="659" w:firstLineChars="314"/>
        <w:rPr>
          <w:color w:val="auto"/>
          <w:highlight w:val="none"/>
        </w:rPr>
      </w:pPr>
      <w:r>
        <w:rPr>
          <w:rFonts w:eastAsia="Times New Roman"/>
          <w:color w:val="auto"/>
          <w:highlight w:val="none"/>
          <w:u w:val="single"/>
        </w:rPr>
        <w:tab/>
      </w:r>
      <w:r>
        <w:rPr>
          <w:color w:val="auto"/>
          <w:highlight w:val="none"/>
        </w:rPr>
        <w:t>（所</w:t>
      </w:r>
      <w:r>
        <w:rPr>
          <w:color w:val="auto"/>
          <w:spacing w:val="-3"/>
          <w:highlight w:val="none"/>
        </w:rPr>
        <w:t>有</w:t>
      </w:r>
      <w:r>
        <w:rPr>
          <w:color w:val="auto"/>
          <w:highlight w:val="none"/>
        </w:rPr>
        <w:t>成员单位名称）自愿组成</w:t>
      </w:r>
      <w:r>
        <w:rPr>
          <w:rFonts w:hint="eastAsia"/>
          <w:color w:val="auto"/>
          <w:highlight w:val="none"/>
          <w:lang w:val="en-US" w:eastAsia="zh-CN"/>
        </w:rPr>
        <w:t xml:space="preserve">    </w:t>
      </w:r>
      <w:r>
        <w:rPr>
          <w:color w:val="auto"/>
          <w:highlight w:val="none"/>
          <w:u w:val="single"/>
        </w:rPr>
        <w:tab/>
      </w:r>
      <w:r>
        <w:rPr>
          <w:color w:val="auto"/>
          <w:highlight w:val="none"/>
        </w:rPr>
        <w:t>（联合体名称）联合体，共同参加</w:t>
      </w:r>
      <w:r>
        <w:rPr>
          <w:color w:val="auto"/>
          <w:highlight w:val="none"/>
          <w:u w:val="single"/>
        </w:rPr>
        <w:tab/>
      </w:r>
      <w:r>
        <w:rPr>
          <w:color w:val="auto"/>
          <w:spacing w:val="-3"/>
          <w:highlight w:val="none"/>
        </w:rPr>
        <w:t>（</w:t>
      </w:r>
      <w:r>
        <w:rPr>
          <w:color w:val="auto"/>
          <w:highlight w:val="none"/>
        </w:rPr>
        <w:t>项目</w:t>
      </w:r>
      <w:r>
        <w:rPr>
          <w:color w:val="auto"/>
          <w:spacing w:val="-3"/>
          <w:highlight w:val="none"/>
        </w:rPr>
        <w:t>名</w:t>
      </w:r>
      <w:r>
        <w:rPr>
          <w:color w:val="auto"/>
          <w:highlight w:val="none"/>
        </w:rPr>
        <w:t>称）招</w:t>
      </w:r>
      <w:r>
        <w:rPr>
          <w:color w:val="auto"/>
          <w:spacing w:val="-3"/>
          <w:highlight w:val="none"/>
        </w:rPr>
        <w:t>标</w:t>
      </w:r>
      <w:r>
        <w:rPr>
          <w:color w:val="auto"/>
          <w:highlight w:val="none"/>
        </w:rPr>
        <w:t>项</w:t>
      </w:r>
      <w:r>
        <w:rPr>
          <w:color w:val="auto"/>
          <w:spacing w:val="-3"/>
          <w:highlight w:val="none"/>
        </w:rPr>
        <w:t>目</w:t>
      </w:r>
      <w:r>
        <w:rPr>
          <w:color w:val="auto"/>
          <w:highlight w:val="none"/>
        </w:rPr>
        <w:t>投标</w:t>
      </w:r>
      <w:r>
        <w:rPr>
          <w:color w:val="auto"/>
          <w:spacing w:val="-3"/>
          <w:highlight w:val="none"/>
        </w:rPr>
        <w:t>。</w:t>
      </w:r>
      <w:r>
        <w:rPr>
          <w:color w:val="auto"/>
          <w:highlight w:val="none"/>
        </w:rPr>
        <w:t>现</w:t>
      </w:r>
      <w:r>
        <w:rPr>
          <w:color w:val="auto"/>
          <w:spacing w:val="-3"/>
          <w:highlight w:val="none"/>
        </w:rPr>
        <w:t>就</w:t>
      </w:r>
      <w:r>
        <w:rPr>
          <w:color w:val="auto"/>
          <w:highlight w:val="none"/>
        </w:rPr>
        <w:t>联</w:t>
      </w:r>
      <w:r>
        <w:rPr>
          <w:color w:val="auto"/>
          <w:spacing w:val="-3"/>
          <w:highlight w:val="none"/>
        </w:rPr>
        <w:t>合</w:t>
      </w:r>
      <w:r>
        <w:rPr>
          <w:color w:val="auto"/>
          <w:highlight w:val="none"/>
        </w:rPr>
        <w:t>体投标事宜订立如下协议。</w:t>
      </w:r>
    </w:p>
    <w:p>
      <w:pPr>
        <w:pStyle w:val="8"/>
        <w:tabs>
          <w:tab w:val="left" w:pos="2445"/>
        </w:tabs>
        <w:spacing w:before="172" w:line="276" w:lineRule="auto"/>
        <w:ind w:firstLine="420" w:firstLineChars="200"/>
        <w:rPr>
          <w:color w:val="auto"/>
          <w:highlight w:val="none"/>
        </w:rPr>
      </w:pPr>
      <w:r>
        <w:rPr>
          <w:color w:val="auto"/>
          <w:highlight w:val="none"/>
        </w:rPr>
        <w:t xml:space="preserve">1. </w:t>
      </w:r>
      <w:r>
        <w:rPr>
          <w:rFonts w:eastAsia="Times New Roman"/>
          <w:color w:val="auto"/>
          <w:highlight w:val="none"/>
          <w:u w:val="single"/>
        </w:rPr>
        <w:tab/>
      </w:r>
      <w:r>
        <w:rPr>
          <w:color w:val="auto"/>
          <w:spacing w:val="-3"/>
          <w:highlight w:val="none"/>
        </w:rPr>
        <w:t>（</w:t>
      </w:r>
      <w:r>
        <w:rPr>
          <w:color w:val="auto"/>
          <w:highlight w:val="none"/>
        </w:rPr>
        <w:t>某成</w:t>
      </w:r>
      <w:r>
        <w:rPr>
          <w:color w:val="auto"/>
          <w:spacing w:val="-3"/>
          <w:highlight w:val="none"/>
        </w:rPr>
        <w:t>员</w:t>
      </w:r>
      <w:r>
        <w:rPr>
          <w:color w:val="auto"/>
          <w:highlight w:val="none"/>
        </w:rPr>
        <w:t>单</w:t>
      </w:r>
      <w:r>
        <w:rPr>
          <w:color w:val="auto"/>
          <w:spacing w:val="-3"/>
          <w:highlight w:val="none"/>
        </w:rPr>
        <w:t>位</w:t>
      </w:r>
      <w:r>
        <w:rPr>
          <w:color w:val="auto"/>
          <w:highlight w:val="none"/>
        </w:rPr>
        <w:t>名</w:t>
      </w:r>
      <w:r>
        <w:rPr>
          <w:color w:val="auto"/>
          <w:spacing w:val="-3"/>
          <w:highlight w:val="none"/>
        </w:rPr>
        <w:t>称</w:t>
      </w:r>
      <w:r>
        <w:rPr>
          <w:color w:val="auto"/>
          <w:highlight w:val="none"/>
        </w:rPr>
        <w:t>）</w:t>
      </w:r>
      <w:r>
        <w:rPr>
          <w:color w:val="auto"/>
          <w:spacing w:val="-3"/>
          <w:highlight w:val="none"/>
        </w:rPr>
        <w:t>为</w:t>
      </w:r>
      <w:r>
        <w:rPr>
          <w:color w:val="auto"/>
          <w:spacing w:val="-3"/>
          <w:highlight w:val="none"/>
          <w:u w:val="single"/>
        </w:rPr>
        <w:tab/>
      </w:r>
      <w:r>
        <w:rPr>
          <w:rFonts w:hint="eastAsia"/>
          <w:color w:val="auto"/>
          <w:spacing w:val="-3"/>
          <w:highlight w:val="none"/>
          <w:u w:val="single"/>
          <w:lang w:val="en-US" w:eastAsia="zh-CN"/>
        </w:rPr>
        <w:t xml:space="preserve">    </w:t>
      </w:r>
      <w:r>
        <w:rPr>
          <w:color w:val="auto"/>
          <w:spacing w:val="-3"/>
          <w:highlight w:val="none"/>
        </w:rPr>
        <w:t>（</w:t>
      </w:r>
      <w:r>
        <w:rPr>
          <w:color w:val="auto"/>
          <w:highlight w:val="none"/>
        </w:rPr>
        <w:t>联</w:t>
      </w:r>
      <w:r>
        <w:rPr>
          <w:color w:val="auto"/>
          <w:spacing w:val="-3"/>
          <w:highlight w:val="none"/>
        </w:rPr>
        <w:t>合</w:t>
      </w:r>
      <w:r>
        <w:rPr>
          <w:color w:val="auto"/>
          <w:highlight w:val="none"/>
        </w:rPr>
        <w:t>体</w:t>
      </w:r>
      <w:r>
        <w:rPr>
          <w:color w:val="auto"/>
          <w:spacing w:val="-3"/>
          <w:highlight w:val="none"/>
        </w:rPr>
        <w:t>名</w:t>
      </w:r>
      <w:r>
        <w:rPr>
          <w:color w:val="auto"/>
          <w:highlight w:val="none"/>
        </w:rPr>
        <w:t>称</w:t>
      </w:r>
      <w:r>
        <w:rPr>
          <w:color w:val="auto"/>
          <w:spacing w:val="-3"/>
          <w:highlight w:val="none"/>
        </w:rPr>
        <w:t>）</w:t>
      </w:r>
      <w:r>
        <w:rPr>
          <w:color w:val="auto"/>
          <w:highlight w:val="none"/>
        </w:rPr>
        <w:t>牵</w:t>
      </w:r>
      <w:r>
        <w:rPr>
          <w:color w:val="auto"/>
          <w:spacing w:val="-3"/>
          <w:highlight w:val="none"/>
        </w:rPr>
        <w:t>头人</w:t>
      </w:r>
      <w:r>
        <w:rPr>
          <w:color w:val="auto"/>
          <w:highlight w:val="none"/>
        </w:rPr>
        <w:t>。</w:t>
      </w:r>
    </w:p>
    <w:p>
      <w:pPr>
        <w:tabs>
          <w:tab w:val="left" w:pos="1770"/>
          <w:tab w:val="left" w:pos="2813"/>
          <w:tab w:val="left" w:pos="5754"/>
        </w:tabs>
        <w:autoSpaceDE w:val="0"/>
        <w:autoSpaceDN w:val="0"/>
        <w:spacing w:before="171" w:line="276" w:lineRule="auto"/>
        <w:ind w:firstLine="420" w:firstLineChars="200"/>
        <w:rPr>
          <w:color w:val="auto"/>
          <w:szCs w:val="22"/>
          <w:highlight w:val="none"/>
        </w:rPr>
      </w:pPr>
      <w:r>
        <w:rPr>
          <w:color w:val="auto"/>
          <w:szCs w:val="22"/>
          <w:highlight w:val="none"/>
        </w:rPr>
        <w:t>2. 联合体各成员授权牵头人代表联合体参加投标活动，签署文件，提交和接收相关的资料、信息及指示，进行合同谈判活动，负责合同实施阶段的组织和协调工作，以及处理与本招标项目有关的一切事宜。</w:t>
      </w:r>
      <w:r>
        <w:rPr>
          <w:rFonts w:hint="eastAsia" w:ascii="Times New Roman" w:hAnsi="Times New Roman"/>
          <w:color w:val="auto"/>
          <w:highlight w:val="none"/>
        </w:rPr>
        <w:t>联合体牵头人除承担项目组织、协调工作外，还应承担项目主体性工作内容。</w:t>
      </w:r>
    </w:p>
    <w:p>
      <w:pPr>
        <w:tabs>
          <w:tab w:val="left" w:pos="1770"/>
          <w:tab w:val="left" w:pos="2813"/>
          <w:tab w:val="left" w:pos="5754"/>
        </w:tabs>
        <w:autoSpaceDE w:val="0"/>
        <w:autoSpaceDN w:val="0"/>
        <w:spacing w:before="171" w:line="276" w:lineRule="auto"/>
        <w:ind w:firstLine="420" w:firstLineChars="200"/>
        <w:rPr>
          <w:color w:val="auto"/>
          <w:spacing w:val="-3"/>
          <w:highlight w:val="none"/>
        </w:rPr>
      </w:pPr>
      <w:r>
        <w:rPr>
          <w:color w:val="auto"/>
          <w:szCs w:val="22"/>
          <w:highlight w:val="none"/>
        </w:rPr>
        <w:t>3. 联合体牵头人在本项目中签署的一切文件和处理的一切事宜，联合体各成员均予以承认。联合体</w:t>
      </w:r>
      <w:r>
        <w:rPr>
          <w:color w:val="auto"/>
          <w:spacing w:val="-4"/>
          <w:highlight w:val="none"/>
        </w:rPr>
        <w:t>各成员将严格按照招标文件、投标文件和合同的要求全面履行义务，并向招标人承担连</w:t>
      </w:r>
      <w:r>
        <w:rPr>
          <w:color w:val="auto"/>
          <w:spacing w:val="-3"/>
          <w:highlight w:val="none"/>
        </w:rPr>
        <w:t>带责任。</w:t>
      </w:r>
    </w:p>
    <w:p>
      <w:pPr>
        <w:tabs>
          <w:tab w:val="left" w:pos="925"/>
          <w:tab w:val="left" w:pos="8881"/>
        </w:tabs>
        <w:autoSpaceDE w:val="0"/>
        <w:autoSpaceDN w:val="0"/>
        <w:spacing w:line="276" w:lineRule="auto"/>
        <w:ind w:firstLine="408" w:firstLineChars="200"/>
        <w:rPr>
          <w:color w:val="auto"/>
          <w:spacing w:val="-25"/>
          <w:highlight w:val="none"/>
        </w:rPr>
      </w:pPr>
      <w:r>
        <w:rPr>
          <w:color w:val="auto"/>
          <w:spacing w:val="-3"/>
          <w:highlight w:val="none"/>
        </w:rPr>
        <w:t>4. 联</w:t>
      </w:r>
      <w:r>
        <w:rPr>
          <w:color w:val="auto"/>
          <w:highlight w:val="none"/>
        </w:rPr>
        <w:t>合</w:t>
      </w:r>
      <w:r>
        <w:rPr>
          <w:color w:val="auto"/>
          <w:spacing w:val="-3"/>
          <w:highlight w:val="none"/>
        </w:rPr>
        <w:t>体</w:t>
      </w:r>
      <w:r>
        <w:rPr>
          <w:color w:val="auto"/>
          <w:highlight w:val="none"/>
        </w:rPr>
        <w:t>各</w:t>
      </w:r>
      <w:r>
        <w:rPr>
          <w:color w:val="auto"/>
          <w:spacing w:val="-3"/>
          <w:highlight w:val="none"/>
        </w:rPr>
        <w:t>成</w:t>
      </w:r>
      <w:r>
        <w:rPr>
          <w:color w:val="auto"/>
          <w:highlight w:val="none"/>
        </w:rPr>
        <w:t>员</w:t>
      </w:r>
      <w:r>
        <w:rPr>
          <w:color w:val="auto"/>
          <w:spacing w:val="-3"/>
          <w:highlight w:val="none"/>
        </w:rPr>
        <w:t>单</w:t>
      </w:r>
      <w:r>
        <w:rPr>
          <w:color w:val="auto"/>
          <w:highlight w:val="none"/>
        </w:rPr>
        <w:t>位</w:t>
      </w:r>
      <w:r>
        <w:rPr>
          <w:color w:val="auto"/>
          <w:spacing w:val="-3"/>
          <w:highlight w:val="none"/>
        </w:rPr>
        <w:t>内部</w:t>
      </w:r>
      <w:r>
        <w:rPr>
          <w:color w:val="auto"/>
          <w:highlight w:val="none"/>
        </w:rPr>
        <w:t>的职</w:t>
      </w:r>
      <w:r>
        <w:rPr>
          <w:color w:val="auto"/>
          <w:spacing w:val="-3"/>
          <w:highlight w:val="none"/>
        </w:rPr>
        <w:t>责</w:t>
      </w:r>
      <w:r>
        <w:rPr>
          <w:color w:val="auto"/>
          <w:highlight w:val="none"/>
        </w:rPr>
        <w:t>分</w:t>
      </w:r>
      <w:r>
        <w:rPr>
          <w:color w:val="auto"/>
          <w:spacing w:val="-3"/>
          <w:highlight w:val="none"/>
        </w:rPr>
        <w:t>工</w:t>
      </w:r>
      <w:r>
        <w:rPr>
          <w:color w:val="auto"/>
          <w:highlight w:val="none"/>
        </w:rPr>
        <w:t>如</w:t>
      </w:r>
      <w:r>
        <w:rPr>
          <w:color w:val="auto"/>
          <w:spacing w:val="-3"/>
          <w:highlight w:val="none"/>
        </w:rPr>
        <w:t>下</w:t>
      </w:r>
      <w:r>
        <w:rPr>
          <w:color w:val="auto"/>
          <w:spacing w:val="-25"/>
          <w:highlight w:val="none"/>
        </w:rPr>
        <w:t>：</w:t>
      </w:r>
    </w:p>
    <w:p>
      <w:pPr>
        <w:tabs>
          <w:tab w:val="left" w:pos="925"/>
          <w:tab w:val="left" w:pos="8881"/>
        </w:tabs>
        <w:autoSpaceDE w:val="0"/>
        <w:autoSpaceDN w:val="0"/>
        <w:spacing w:line="276" w:lineRule="auto"/>
        <w:ind w:firstLine="422" w:firstLineChars="200"/>
        <w:rPr>
          <w:rFonts w:hint="eastAsia"/>
          <w:b/>
          <w:bCs/>
          <w:color w:val="auto"/>
          <w:highlight w:val="none"/>
        </w:rPr>
      </w:pPr>
      <w:r>
        <w:rPr>
          <w:rFonts w:hint="eastAsia"/>
          <w:b/>
          <w:bCs/>
          <w:color w:val="auto"/>
          <w:highlight w:val="none"/>
        </w:rPr>
        <w:t>（请详细写明各成员职责分工，工程范围分工及界面分割，支付及履约等事项，特别注意招标公告资质，承担相应职责的成员单位应具备招标公告中要求的对应资质）</w:t>
      </w:r>
    </w:p>
    <w:p>
      <w:pPr>
        <w:tabs>
          <w:tab w:val="left" w:pos="925"/>
          <w:tab w:val="left" w:pos="8881"/>
        </w:tabs>
        <w:autoSpaceDE w:val="0"/>
        <w:autoSpaceDN w:val="0"/>
        <w:spacing w:line="276" w:lineRule="auto"/>
        <w:ind w:firstLine="420" w:firstLineChars="200"/>
        <w:rPr>
          <w:color w:val="auto"/>
          <w:spacing w:val="-3"/>
          <w:highlight w:val="none"/>
        </w:rPr>
      </w:pPr>
      <w:r>
        <w:rPr>
          <w:color w:val="auto"/>
          <w:highlight w:val="none"/>
        </w:rPr>
        <w:t xml:space="preserve">5. </w:t>
      </w:r>
      <w:r>
        <w:rPr>
          <w:color w:val="auto"/>
          <w:spacing w:val="-4"/>
          <w:highlight w:val="none"/>
        </w:rPr>
        <w:t>本协议书自所有成员单位法定代表人或其委托代理人签字或盖单位章之日起生效，合同</w:t>
      </w:r>
      <w:r>
        <w:rPr>
          <w:color w:val="auto"/>
          <w:spacing w:val="-3"/>
          <w:highlight w:val="none"/>
        </w:rPr>
        <w:t>履行完毕后自动失效。</w:t>
      </w:r>
    </w:p>
    <w:p>
      <w:pPr>
        <w:tabs>
          <w:tab w:val="left" w:pos="925"/>
          <w:tab w:val="left" w:pos="8881"/>
        </w:tabs>
        <w:autoSpaceDE w:val="0"/>
        <w:autoSpaceDN w:val="0"/>
        <w:spacing w:line="276" w:lineRule="auto"/>
        <w:ind w:firstLine="408" w:firstLineChars="200"/>
        <w:rPr>
          <w:color w:val="auto"/>
          <w:highlight w:val="none"/>
        </w:rPr>
      </w:pPr>
      <w:r>
        <w:rPr>
          <w:color w:val="auto"/>
          <w:spacing w:val="-3"/>
          <w:highlight w:val="none"/>
        </w:rPr>
        <w:t>6. 本</w:t>
      </w:r>
      <w:r>
        <w:rPr>
          <w:color w:val="auto"/>
          <w:highlight w:val="none"/>
        </w:rPr>
        <w:t>协</w:t>
      </w:r>
      <w:r>
        <w:rPr>
          <w:color w:val="auto"/>
          <w:spacing w:val="-3"/>
          <w:highlight w:val="none"/>
        </w:rPr>
        <w:t>议</w:t>
      </w:r>
      <w:r>
        <w:rPr>
          <w:color w:val="auto"/>
          <w:highlight w:val="none"/>
        </w:rPr>
        <w:t>一式</w:t>
      </w:r>
      <w:r>
        <w:rPr>
          <w:color w:val="auto"/>
          <w:spacing w:val="-3"/>
          <w:highlight w:val="none"/>
        </w:rPr>
        <w:t>份，</w:t>
      </w:r>
      <w:r>
        <w:rPr>
          <w:color w:val="auto"/>
          <w:highlight w:val="none"/>
        </w:rPr>
        <w:t>联合</w:t>
      </w:r>
      <w:r>
        <w:rPr>
          <w:color w:val="auto"/>
          <w:spacing w:val="-3"/>
          <w:highlight w:val="none"/>
        </w:rPr>
        <w:t>体</w:t>
      </w:r>
      <w:r>
        <w:rPr>
          <w:color w:val="auto"/>
          <w:highlight w:val="none"/>
        </w:rPr>
        <w:t>成</w:t>
      </w:r>
      <w:r>
        <w:rPr>
          <w:color w:val="auto"/>
          <w:spacing w:val="-3"/>
          <w:highlight w:val="none"/>
        </w:rPr>
        <w:t>员</w:t>
      </w:r>
      <w:r>
        <w:rPr>
          <w:color w:val="auto"/>
          <w:highlight w:val="none"/>
        </w:rPr>
        <w:t>和</w:t>
      </w:r>
      <w:r>
        <w:rPr>
          <w:color w:val="auto"/>
          <w:spacing w:val="-3"/>
          <w:highlight w:val="none"/>
        </w:rPr>
        <w:t>招</w:t>
      </w:r>
      <w:r>
        <w:rPr>
          <w:color w:val="auto"/>
          <w:highlight w:val="none"/>
        </w:rPr>
        <w:t>标</w:t>
      </w:r>
      <w:r>
        <w:rPr>
          <w:color w:val="auto"/>
          <w:spacing w:val="-3"/>
          <w:highlight w:val="none"/>
        </w:rPr>
        <w:t>人</w:t>
      </w:r>
      <w:r>
        <w:rPr>
          <w:color w:val="auto"/>
          <w:highlight w:val="none"/>
        </w:rPr>
        <w:t>各</w:t>
      </w:r>
      <w:r>
        <w:rPr>
          <w:color w:val="auto"/>
          <w:spacing w:val="-3"/>
          <w:highlight w:val="none"/>
        </w:rPr>
        <w:t>执</w:t>
      </w:r>
      <w:r>
        <w:rPr>
          <w:color w:val="auto"/>
          <w:highlight w:val="none"/>
        </w:rPr>
        <w:t>一份。</w:t>
      </w:r>
    </w:p>
    <w:p>
      <w:pPr>
        <w:tabs>
          <w:tab w:val="left" w:pos="925"/>
          <w:tab w:val="left" w:pos="8881"/>
        </w:tabs>
        <w:autoSpaceDE w:val="0"/>
        <w:autoSpaceDN w:val="0"/>
        <w:spacing w:line="276" w:lineRule="auto"/>
        <w:rPr>
          <w:color w:val="auto"/>
          <w:highlight w:val="none"/>
        </w:rPr>
      </w:pPr>
    </w:p>
    <w:p>
      <w:pPr>
        <w:tabs>
          <w:tab w:val="left" w:pos="925"/>
          <w:tab w:val="left" w:pos="8881"/>
        </w:tabs>
        <w:autoSpaceDE w:val="0"/>
        <w:autoSpaceDN w:val="0"/>
        <w:spacing w:line="276" w:lineRule="auto"/>
        <w:ind w:firstLine="420" w:firstLineChars="200"/>
        <w:rPr>
          <w:color w:val="auto"/>
          <w:highlight w:val="none"/>
        </w:rPr>
      </w:pPr>
      <w:r>
        <w:rPr>
          <w:color w:val="auto"/>
          <w:highlight w:val="none"/>
        </w:rPr>
        <w:t>注：本协议书由法定代表人签字的，应附法定代表人身份证明；由委托代理人签字的，应附授权委托书。</w:t>
      </w:r>
    </w:p>
    <w:p>
      <w:pPr>
        <w:pStyle w:val="8"/>
        <w:spacing w:before="7"/>
        <w:rPr>
          <w:color w:val="auto"/>
          <w:sz w:val="14"/>
          <w:highlight w:val="none"/>
        </w:rPr>
      </w:pPr>
    </w:p>
    <w:p>
      <w:pPr>
        <w:pStyle w:val="8"/>
        <w:tabs>
          <w:tab w:val="left" w:pos="7170"/>
        </w:tabs>
        <w:spacing w:before="1"/>
        <w:ind w:firstLine="659" w:firstLineChars="314"/>
        <w:jc w:val="right"/>
        <w:rPr>
          <w:color w:val="auto"/>
          <w:highlight w:val="none"/>
        </w:rPr>
      </w:pPr>
      <w:r>
        <w:rPr>
          <w:color w:val="auto"/>
          <w:highlight w:val="none"/>
        </w:rPr>
        <w:t>联合</w:t>
      </w:r>
      <w:r>
        <w:rPr>
          <w:color w:val="auto"/>
          <w:spacing w:val="-3"/>
          <w:highlight w:val="none"/>
        </w:rPr>
        <w:t>体</w:t>
      </w:r>
      <w:r>
        <w:rPr>
          <w:color w:val="auto"/>
          <w:highlight w:val="none"/>
        </w:rPr>
        <w:t>牵</w:t>
      </w:r>
      <w:r>
        <w:rPr>
          <w:color w:val="auto"/>
          <w:spacing w:val="-3"/>
          <w:highlight w:val="none"/>
        </w:rPr>
        <w:t>头</w:t>
      </w:r>
      <w:r>
        <w:rPr>
          <w:color w:val="auto"/>
          <w:highlight w:val="none"/>
        </w:rPr>
        <w:t>人</w:t>
      </w:r>
      <w:r>
        <w:rPr>
          <w:color w:val="auto"/>
          <w:spacing w:val="-3"/>
          <w:highlight w:val="none"/>
        </w:rPr>
        <w:t>名</w:t>
      </w:r>
      <w:r>
        <w:rPr>
          <w:color w:val="auto"/>
          <w:highlight w:val="none"/>
        </w:rPr>
        <w:t>称</w:t>
      </w:r>
      <w:r>
        <w:rPr>
          <w:color w:val="auto"/>
          <w:spacing w:val="-3"/>
          <w:highlight w:val="none"/>
        </w:rPr>
        <w:t>：</w:t>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8"/>
        <w:tabs>
          <w:tab w:val="left" w:pos="6541"/>
        </w:tabs>
        <w:spacing w:before="170"/>
        <w:ind w:right="210" w:firstLine="659" w:firstLineChars="314"/>
        <w:jc w:val="right"/>
        <w:rPr>
          <w:color w:val="auto"/>
          <w:highlight w:val="none"/>
        </w:rPr>
      </w:pPr>
      <w:r>
        <w:rPr>
          <w:color w:val="auto"/>
          <w:highlight w:val="none"/>
        </w:rPr>
        <w:t>法定</w:t>
      </w:r>
      <w:r>
        <w:rPr>
          <w:color w:val="auto"/>
          <w:spacing w:val="-3"/>
          <w:highlight w:val="none"/>
        </w:rPr>
        <w:t>代</w:t>
      </w:r>
      <w:r>
        <w:rPr>
          <w:color w:val="auto"/>
          <w:highlight w:val="none"/>
        </w:rPr>
        <w:t>表</w:t>
      </w:r>
      <w:r>
        <w:rPr>
          <w:color w:val="auto"/>
          <w:spacing w:val="-3"/>
          <w:highlight w:val="none"/>
        </w:rPr>
        <w:t>人</w:t>
      </w:r>
      <w:r>
        <w:rPr>
          <w:color w:val="auto"/>
          <w:highlight w:val="none"/>
        </w:rPr>
        <w:t>或</w:t>
      </w:r>
      <w:r>
        <w:rPr>
          <w:color w:val="auto"/>
          <w:spacing w:val="-3"/>
          <w:highlight w:val="none"/>
        </w:rPr>
        <w:t>其</w:t>
      </w:r>
      <w:r>
        <w:rPr>
          <w:color w:val="auto"/>
          <w:highlight w:val="none"/>
        </w:rPr>
        <w:t>委</w:t>
      </w:r>
      <w:r>
        <w:rPr>
          <w:color w:val="auto"/>
          <w:spacing w:val="-3"/>
          <w:highlight w:val="none"/>
        </w:rPr>
        <w:t>托</w:t>
      </w:r>
      <w:r>
        <w:rPr>
          <w:color w:val="auto"/>
          <w:highlight w:val="none"/>
        </w:rPr>
        <w:t>代</w:t>
      </w:r>
      <w:r>
        <w:rPr>
          <w:color w:val="auto"/>
          <w:spacing w:val="-3"/>
          <w:highlight w:val="none"/>
        </w:rPr>
        <w:t>理</w:t>
      </w:r>
      <w:r>
        <w:rPr>
          <w:color w:val="auto"/>
          <w:highlight w:val="none"/>
        </w:rPr>
        <w:t>人：（签</w:t>
      </w:r>
      <w:r>
        <w:rPr>
          <w:color w:val="auto"/>
          <w:spacing w:val="-3"/>
          <w:highlight w:val="none"/>
        </w:rPr>
        <w:t>字</w:t>
      </w:r>
      <w:r>
        <w:rPr>
          <w:color w:val="auto"/>
          <w:highlight w:val="none"/>
        </w:rPr>
        <w:t>）</w:t>
      </w:r>
    </w:p>
    <w:p>
      <w:pPr>
        <w:pStyle w:val="8"/>
        <w:spacing w:before="8"/>
        <w:ind w:firstLine="659" w:firstLineChars="314"/>
        <w:jc w:val="right"/>
        <w:rPr>
          <w:color w:val="auto"/>
          <w:highlight w:val="none"/>
        </w:rPr>
      </w:pPr>
    </w:p>
    <w:p>
      <w:pPr>
        <w:pStyle w:val="8"/>
        <w:tabs>
          <w:tab w:val="left" w:pos="7170"/>
        </w:tabs>
        <w:spacing w:before="79"/>
        <w:ind w:firstLine="659" w:firstLineChars="314"/>
        <w:jc w:val="right"/>
        <w:rPr>
          <w:color w:val="auto"/>
          <w:highlight w:val="none"/>
        </w:rPr>
      </w:pPr>
      <w:r>
        <w:rPr>
          <w:color w:val="auto"/>
          <w:highlight w:val="none"/>
        </w:rPr>
        <w:t>联合</w:t>
      </w:r>
      <w:r>
        <w:rPr>
          <w:color w:val="auto"/>
          <w:spacing w:val="-3"/>
          <w:highlight w:val="none"/>
        </w:rPr>
        <w:t>体</w:t>
      </w:r>
      <w:r>
        <w:rPr>
          <w:color w:val="auto"/>
          <w:highlight w:val="none"/>
        </w:rPr>
        <w:t>成</w:t>
      </w:r>
      <w:r>
        <w:rPr>
          <w:color w:val="auto"/>
          <w:spacing w:val="-3"/>
          <w:highlight w:val="none"/>
        </w:rPr>
        <w:t>员</w:t>
      </w:r>
      <w:r>
        <w:rPr>
          <w:color w:val="auto"/>
          <w:highlight w:val="none"/>
        </w:rPr>
        <w:t>名</w:t>
      </w:r>
      <w:r>
        <w:rPr>
          <w:color w:val="auto"/>
          <w:spacing w:val="-3"/>
          <w:highlight w:val="none"/>
        </w:rPr>
        <w:t>称</w:t>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8"/>
        <w:tabs>
          <w:tab w:val="left" w:pos="6327"/>
        </w:tabs>
        <w:spacing w:before="170"/>
        <w:ind w:right="210" w:firstLine="659" w:firstLineChars="314"/>
        <w:jc w:val="right"/>
        <w:rPr>
          <w:color w:val="auto"/>
          <w:highlight w:val="none"/>
        </w:rPr>
      </w:pPr>
      <w:r>
        <w:rPr>
          <w:color w:val="auto"/>
          <w:highlight w:val="none"/>
        </w:rPr>
        <w:t>法定</w:t>
      </w:r>
      <w:r>
        <w:rPr>
          <w:color w:val="auto"/>
          <w:spacing w:val="-3"/>
          <w:highlight w:val="none"/>
        </w:rPr>
        <w:t>代</w:t>
      </w:r>
      <w:r>
        <w:rPr>
          <w:color w:val="auto"/>
          <w:highlight w:val="none"/>
        </w:rPr>
        <w:t>表</w:t>
      </w:r>
      <w:r>
        <w:rPr>
          <w:color w:val="auto"/>
          <w:spacing w:val="-3"/>
          <w:highlight w:val="none"/>
        </w:rPr>
        <w:t>人</w:t>
      </w:r>
      <w:r>
        <w:rPr>
          <w:color w:val="auto"/>
          <w:highlight w:val="none"/>
        </w:rPr>
        <w:t>或</w:t>
      </w:r>
      <w:r>
        <w:rPr>
          <w:color w:val="auto"/>
          <w:spacing w:val="-3"/>
          <w:highlight w:val="none"/>
        </w:rPr>
        <w:t>其</w:t>
      </w:r>
      <w:r>
        <w:rPr>
          <w:color w:val="auto"/>
          <w:highlight w:val="none"/>
        </w:rPr>
        <w:t>委</w:t>
      </w:r>
      <w:r>
        <w:rPr>
          <w:color w:val="auto"/>
          <w:spacing w:val="-3"/>
          <w:highlight w:val="none"/>
        </w:rPr>
        <w:t>托</w:t>
      </w:r>
      <w:r>
        <w:rPr>
          <w:color w:val="auto"/>
          <w:highlight w:val="none"/>
        </w:rPr>
        <w:t>代</w:t>
      </w:r>
      <w:r>
        <w:rPr>
          <w:color w:val="auto"/>
          <w:spacing w:val="-3"/>
          <w:highlight w:val="none"/>
        </w:rPr>
        <w:t>理</w:t>
      </w:r>
      <w:r>
        <w:rPr>
          <w:color w:val="auto"/>
          <w:highlight w:val="none"/>
        </w:rPr>
        <w:t>人：（</w:t>
      </w:r>
      <w:r>
        <w:rPr>
          <w:color w:val="auto"/>
          <w:spacing w:val="-3"/>
          <w:highlight w:val="none"/>
        </w:rPr>
        <w:t>签</w:t>
      </w:r>
      <w:r>
        <w:rPr>
          <w:color w:val="auto"/>
          <w:highlight w:val="none"/>
        </w:rPr>
        <w:t>字）</w:t>
      </w:r>
    </w:p>
    <w:p>
      <w:pPr>
        <w:pStyle w:val="8"/>
        <w:spacing w:before="8"/>
        <w:ind w:firstLine="659" w:firstLineChars="314"/>
        <w:jc w:val="right"/>
        <w:rPr>
          <w:color w:val="auto"/>
          <w:highlight w:val="none"/>
        </w:rPr>
      </w:pPr>
    </w:p>
    <w:p>
      <w:pPr>
        <w:pStyle w:val="8"/>
        <w:spacing w:before="187"/>
        <w:ind w:firstLine="3486" w:firstLineChars="1660"/>
        <w:rPr>
          <w:color w:val="auto"/>
          <w:highlight w:val="none"/>
        </w:rPr>
      </w:pPr>
    </w:p>
    <w:p>
      <w:pPr>
        <w:widowControl/>
        <w:jc w:val="right"/>
        <w:rPr>
          <w:color w:val="auto"/>
          <w:highlight w:val="none"/>
        </w:rPr>
      </w:pPr>
      <w:r>
        <w:rPr>
          <w:color w:val="auto"/>
          <w:highlight w:val="none"/>
        </w:rPr>
        <w:t>年     月     日</w:t>
      </w:r>
    </w:p>
    <w:p>
      <w:pPr>
        <w:pStyle w:val="17"/>
        <w:rPr>
          <w:rFonts w:hint="eastAsia"/>
          <w:color w:val="auto"/>
          <w:highlight w:val="none"/>
        </w:rPr>
      </w:pP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br w:type="page"/>
      </w:r>
    </w:p>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4.投标人与国家电网公司系统人员关系说明</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highlight w:val="none"/>
        </w:rPr>
      </w:pPr>
      <w:r>
        <w:rPr>
          <w:rFonts w:eastAsiaTheme="minorEastAsia" w:cstheme="minorBidi"/>
          <w:color w:val="auto"/>
          <w:spacing w:val="-4"/>
          <w:highlight w:val="none"/>
        </w:rPr>
        <w:t>【1.不存在相关情形的适用】</w:t>
      </w:r>
      <w:r>
        <w:rPr>
          <w:rFonts w:asciiTheme="minorHAnsi" w:hAnsiTheme="minorHAnsi" w:eastAsiaTheme="minorEastAsia" w:cstheme="minorBidi"/>
          <w:color w:val="auto"/>
          <w:spacing w:val="-4"/>
          <w:highlight w:val="none"/>
        </w:rPr>
        <w:t>截至投标截止日，本企业法人、出资人、高管中，不存在国家电网公司系统在职、离职、退休人员及</w:t>
      </w:r>
      <w:r>
        <w:rPr>
          <w:rFonts w:eastAsiaTheme="minorEastAsia" w:cstheme="minorBidi"/>
          <w:color w:val="auto"/>
          <w:spacing w:val="-4"/>
          <w:highlight w:val="none"/>
        </w:rPr>
        <w:t>其</w:t>
      </w:r>
      <w:r>
        <w:rPr>
          <w:rFonts w:asciiTheme="minorHAnsi" w:hAnsiTheme="minorHAnsi" w:eastAsiaTheme="minorEastAsia" w:cstheme="minorBidi"/>
          <w:color w:val="auto"/>
          <w:spacing w:val="-4"/>
          <w:highlight w:val="none"/>
        </w:rPr>
        <w:t>亲属（配偶、子女及其配偶）担任职务、投资入股，或者从事、代理与原任职企业经营业务相关的经营活动。</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highlight w:val="none"/>
        </w:rPr>
      </w:pPr>
      <w:r>
        <w:rPr>
          <w:rFonts w:eastAsiaTheme="minorEastAsia" w:cstheme="minorBidi"/>
          <w:color w:val="auto"/>
          <w:spacing w:val="-4"/>
          <w:highlight w:val="none"/>
        </w:rPr>
        <w:t>（1）</w:t>
      </w:r>
      <w:r>
        <w:rPr>
          <w:rFonts w:asciiTheme="minorHAnsi" w:hAnsiTheme="minorHAnsi" w:eastAsiaTheme="minorEastAsia" w:cstheme="minorBidi"/>
          <w:color w:val="auto"/>
          <w:spacing w:val="-4"/>
          <w:highlight w:val="none"/>
        </w:rPr>
        <w:t>上传路径：投标工具-商务文件-选择分标-按钮“编辑”-页签“商务部分（附加）”-按钮“维护”</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highlight w:val="none"/>
        </w:rPr>
      </w:pPr>
      <w:r>
        <w:rPr>
          <w:rFonts w:eastAsiaTheme="minorEastAsia" w:cstheme="minorBidi"/>
          <w:color w:val="auto"/>
          <w:spacing w:val="-4"/>
          <w:highlight w:val="none"/>
        </w:rPr>
        <w:t>（2）</w:t>
      </w:r>
      <w:r>
        <w:rPr>
          <w:rFonts w:asciiTheme="minorHAnsi" w:hAnsiTheme="minorHAnsi" w:eastAsiaTheme="minorEastAsia" w:cstheme="minorBidi"/>
          <w:color w:val="auto"/>
          <w:spacing w:val="-4"/>
          <w:highlight w:val="none"/>
        </w:rPr>
        <w:t>格式要求：</w:t>
      </w:r>
      <w:r>
        <w:rPr>
          <w:rFonts w:eastAsiaTheme="minorEastAsia" w:cstheme="minorBidi"/>
          <w:color w:val="auto"/>
          <w:spacing w:val="-4"/>
          <w:highlight w:val="none"/>
        </w:rPr>
        <w:t>选择“不存在”，并上传说明，格式如上。</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highlight w:val="none"/>
        </w:rPr>
      </w:pPr>
      <w:r>
        <w:rPr>
          <w:rFonts w:eastAsiaTheme="minorEastAsia" w:cstheme="minorBidi"/>
          <w:color w:val="auto"/>
          <w:spacing w:val="-4"/>
          <w:highlight w:val="none"/>
        </w:rPr>
        <w:t>【2.存在相关情形的适用】</w:t>
      </w:r>
      <w:r>
        <w:rPr>
          <w:rFonts w:asciiTheme="minorHAnsi" w:hAnsiTheme="minorHAnsi" w:eastAsiaTheme="minorEastAsia" w:cstheme="minorBidi"/>
          <w:color w:val="auto"/>
          <w:spacing w:val="-4"/>
          <w:highlight w:val="none"/>
        </w:rPr>
        <w:t>截至投标截止日，本企业法人、出资人、高管中，存在国家电网公司系统在职、离职、退休人员及</w:t>
      </w:r>
      <w:r>
        <w:rPr>
          <w:rFonts w:eastAsiaTheme="minorEastAsia" w:cstheme="minorBidi"/>
          <w:color w:val="auto"/>
          <w:spacing w:val="-4"/>
          <w:highlight w:val="none"/>
        </w:rPr>
        <w:t>其</w:t>
      </w:r>
      <w:r>
        <w:rPr>
          <w:rFonts w:asciiTheme="minorHAnsi" w:hAnsiTheme="minorHAnsi" w:eastAsiaTheme="minorEastAsia" w:cstheme="minorBidi"/>
          <w:color w:val="auto"/>
          <w:spacing w:val="-4"/>
          <w:highlight w:val="none"/>
        </w:rPr>
        <w:t>亲属（配偶、子女及其配偶）担任职务、投资入股，或者从事、代理与原任职企业经营业务相关的经营活动。</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highlight w:val="none"/>
        </w:rPr>
      </w:pPr>
      <w:r>
        <w:rPr>
          <w:rFonts w:eastAsiaTheme="minorEastAsia" w:cstheme="minorBidi"/>
          <w:color w:val="auto"/>
          <w:spacing w:val="-4"/>
          <w:highlight w:val="none"/>
        </w:rPr>
        <w:t>（1）</w:t>
      </w:r>
      <w:r>
        <w:rPr>
          <w:rFonts w:asciiTheme="minorHAnsi" w:hAnsiTheme="minorHAnsi" w:eastAsiaTheme="minorEastAsia" w:cstheme="minorBidi"/>
          <w:color w:val="auto"/>
          <w:spacing w:val="-4"/>
          <w:highlight w:val="none"/>
        </w:rPr>
        <w:t>上传路径：投标工具-商务文件-选择分标-按钮“编辑”-页签“商务部分（附加）”-按钮“维护”</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highlight w:val="none"/>
        </w:rPr>
      </w:pPr>
      <w:r>
        <w:rPr>
          <w:rFonts w:eastAsiaTheme="minorEastAsia" w:cstheme="minorBidi"/>
          <w:color w:val="auto"/>
          <w:spacing w:val="-4"/>
          <w:highlight w:val="none"/>
        </w:rPr>
        <w:t>（2）</w:t>
      </w:r>
      <w:r>
        <w:rPr>
          <w:rFonts w:asciiTheme="minorHAnsi" w:hAnsiTheme="minorHAnsi" w:eastAsiaTheme="minorEastAsia" w:cstheme="minorBidi"/>
          <w:color w:val="auto"/>
          <w:spacing w:val="-4"/>
          <w:highlight w:val="none"/>
        </w:rPr>
        <w:t>格式要求：选择</w:t>
      </w:r>
      <w:r>
        <w:rPr>
          <w:rFonts w:eastAsiaTheme="minorEastAsia" w:cstheme="minorBidi"/>
          <w:color w:val="auto"/>
          <w:spacing w:val="-4"/>
          <w:highlight w:val="none"/>
        </w:rPr>
        <w:t>“</w:t>
      </w:r>
      <w:r>
        <w:rPr>
          <w:rFonts w:asciiTheme="minorHAnsi" w:hAnsiTheme="minorHAnsi" w:eastAsiaTheme="minorEastAsia" w:cstheme="minorBidi"/>
          <w:color w:val="auto"/>
          <w:spacing w:val="-4"/>
          <w:highlight w:val="none"/>
        </w:rPr>
        <w:t>存在</w:t>
      </w:r>
      <w:r>
        <w:rPr>
          <w:rFonts w:eastAsiaTheme="minorEastAsia" w:cstheme="minorBidi"/>
          <w:color w:val="auto"/>
          <w:spacing w:val="-4"/>
          <w:highlight w:val="none"/>
        </w:rPr>
        <w:t>”</w:t>
      </w:r>
      <w:r>
        <w:rPr>
          <w:rFonts w:asciiTheme="minorHAnsi" w:hAnsiTheme="minorHAnsi" w:eastAsiaTheme="minorEastAsia" w:cstheme="minorBidi"/>
          <w:color w:val="auto"/>
          <w:spacing w:val="-4"/>
          <w:highlight w:val="none"/>
        </w:rPr>
        <w:t>，并填写上传</w:t>
      </w:r>
      <w:r>
        <w:rPr>
          <w:rFonts w:eastAsiaTheme="minorEastAsia" w:cstheme="minorBidi"/>
          <w:color w:val="auto"/>
          <w:spacing w:val="-4"/>
          <w:highlight w:val="none"/>
        </w:rPr>
        <w:t>可编辑版EXCEL</w:t>
      </w:r>
      <w:r>
        <w:rPr>
          <w:rFonts w:asciiTheme="minorHAnsi" w:hAnsiTheme="minorHAnsi" w:eastAsiaTheme="minorEastAsia" w:cstheme="minorBidi"/>
          <w:color w:val="auto"/>
          <w:spacing w:val="-4"/>
          <w:highlight w:val="none"/>
        </w:rPr>
        <w:t>说明表</w:t>
      </w:r>
      <w:r>
        <w:rPr>
          <w:rFonts w:eastAsiaTheme="minorEastAsia" w:cstheme="minorBidi"/>
          <w:color w:val="auto"/>
          <w:spacing w:val="-4"/>
          <w:highlight w:val="none"/>
        </w:rPr>
        <w:t>（请勿保护工作表）</w:t>
      </w:r>
      <w:r>
        <w:rPr>
          <w:rFonts w:asciiTheme="minorHAnsi" w:hAnsiTheme="minorHAnsi" w:eastAsiaTheme="minorEastAsia" w:cstheme="minorBidi"/>
          <w:color w:val="auto"/>
          <w:spacing w:val="-4"/>
          <w:highlight w:val="none"/>
        </w:rPr>
        <w:t>，格式</w:t>
      </w:r>
      <w:r>
        <w:rPr>
          <w:rFonts w:eastAsiaTheme="minorEastAsia" w:cstheme="minorBidi"/>
          <w:color w:val="auto"/>
          <w:spacing w:val="-4"/>
          <w:highlight w:val="none"/>
        </w:rPr>
        <w:t>见</w:t>
      </w:r>
      <w:r>
        <w:rPr>
          <w:rFonts w:asciiTheme="minorHAnsi" w:hAnsiTheme="minorHAnsi" w:eastAsiaTheme="minorEastAsia" w:cstheme="minorBidi"/>
          <w:color w:val="auto"/>
          <w:spacing w:val="-4"/>
          <w:highlight w:val="none"/>
        </w:rPr>
        <w:t>如下</w:t>
      </w:r>
      <w:r>
        <w:rPr>
          <w:rFonts w:eastAsiaTheme="minorEastAsia" w:cstheme="minorBidi"/>
          <w:color w:val="auto"/>
          <w:spacing w:val="-4"/>
          <w:highlight w:val="none"/>
        </w:rPr>
        <w:t>压缩包文件</w:t>
      </w:r>
      <w:r>
        <w:rPr>
          <w:rFonts w:asciiTheme="minorHAnsi" w:hAnsiTheme="minorHAnsi" w:eastAsiaTheme="minorEastAsia" w:cstheme="minorBidi"/>
          <w:color w:val="auto"/>
          <w:spacing w:val="-4"/>
          <w:highlight w:val="none"/>
        </w:rPr>
        <w:t>：</w:t>
      </w:r>
    </w:p>
    <w:p>
      <w:pPr>
        <w:pStyle w:val="38"/>
        <w:widowControl w:val="0"/>
        <w:adjustRightInd w:val="0"/>
        <w:snapToGrid w:val="0"/>
        <w:spacing w:line="580" w:lineRule="atLeast"/>
        <w:ind w:firstLine="560" w:firstLineChars="200"/>
        <w:rPr>
          <w:rFonts w:ascii="Times New Roman" w:hAnsi="Times New Roman" w:eastAsia="仿宋_GB2312"/>
          <w:snapToGrid w:val="0"/>
          <w:color w:val="auto"/>
          <w:sz w:val="28"/>
          <w:szCs w:val="28"/>
          <w:highlight w:val="none"/>
        </w:rPr>
      </w:pPr>
      <w:r>
        <w:rPr>
          <w:rFonts w:hint="eastAsia" w:ascii="Times New Roman" w:hAnsi="Times New Roman" w:eastAsia="仿宋_GB2312"/>
          <w:snapToGrid w:val="0"/>
          <w:color w:val="auto"/>
          <w:sz w:val="28"/>
          <w:szCs w:val="28"/>
          <w:highlight w:val="none"/>
        </w:rPr>
        <w:object>
          <v:shape id="_x0000_i1026" o:spt="75" type="#_x0000_t75" style="height:28.6pt;width:143.95pt;" o:ole="t" filled="f" o:preferrelative="t" stroked="f" coordsize="21600,21600">
            <v:path/>
            <v:fill on="f" focussize="0,0"/>
            <v:stroke on="f"/>
            <v:imagedata r:id="rId19" o:title=""/>
            <o:lock v:ext="edit" aspectratio="t"/>
            <w10:wrap type="none"/>
            <w10:anchorlock/>
          </v:shape>
          <o:OLEObject Type="Embed" ProgID="Package" ShapeID="_x0000_i1026" DrawAspect="Content" ObjectID="_1468075726" r:id="rId18">
            <o:LockedField>false</o:LockedField>
          </o:OLEObject>
        </w:object>
      </w:r>
    </w:p>
    <w:p>
      <w:pPr>
        <w:pStyle w:val="38"/>
        <w:widowControl w:val="0"/>
        <w:adjustRightInd w:val="0"/>
        <w:snapToGrid w:val="0"/>
        <w:spacing w:line="580" w:lineRule="exact"/>
        <w:ind w:firstLine="606" w:firstLineChars="300"/>
        <w:rPr>
          <w:rFonts w:asciiTheme="minorHAnsi" w:hAnsiTheme="minorHAnsi" w:eastAsiaTheme="minorEastAsia" w:cstheme="minorBidi"/>
          <w:color w:val="auto"/>
          <w:spacing w:val="-4"/>
          <w:kern w:val="2"/>
          <w:szCs w:val="24"/>
          <w:highlight w:val="none"/>
        </w:rPr>
      </w:pPr>
      <w:r>
        <w:rPr>
          <w:rFonts w:eastAsiaTheme="minorEastAsia" w:cstheme="minorBidi"/>
          <w:color w:val="auto"/>
          <w:spacing w:val="-4"/>
          <w:kern w:val="2"/>
          <w:szCs w:val="24"/>
          <w:highlight w:val="none"/>
        </w:rPr>
        <w:t>（3）填写示例：</w:t>
      </w:r>
    </w:p>
    <w:tbl>
      <w:tblPr>
        <w:tblStyle w:val="19"/>
        <w:tblW w:w="4999" w:type="pct"/>
        <w:tblInd w:w="0" w:type="dxa"/>
        <w:tblLayout w:type="autofit"/>
        <w:tblCellMar>
          <w:top w:w="0" w:type="dxa"/>
          <w:left w:w="108" w:type="dxa"/>
          <w:bottom w:w="0" w:type="dxa"/>
          <w:right w:w="108" w:type="dxa"/>
        </w:tblCellMar>
      </w:tblPr>
      <w:tblGrid>
        <w:gridCol w:w="573"/>
        <w:gridCol w:w="574"/>
        <w:gridCol w:w="395"/>
        <w:gridCol w:w="574"/>
        <w:gridCol w:w="395"/>
        <w:gridCol w:w="574"/>
        <w:gridCol w:w="1200"/>
        <w:gridCol w:w="574"/>
        <w:gridCol w:w="395"/>
        <w:gridCol w:w="574"/>
        <w:gridCol w:w="1021"/>
        <w:gridCol w:w="395"/>
        <w:gridCol w:w="1245"/>
        <w:gridCol w:w="797"/>
      </w:tblGrid>
      <w:tr>
        <w:tblPrEx>
          <w:tblCellMar>
            <w:top w:w="0" w:type="dxa"/>
            <w:left w:w="108" w:type="dxa"/>
            <w:bottom w:w="0" w:type="dxa"/>
            <w:right w:w="108" w:type="dxa"/>
          </w:tblCellMar>
        </w:tblPrEx>
        <w:trPr>
          <w:trHeight w:val="290" w:hRule="atLeast"/>
        </w:trPr>
        <w:tc>
          <w:tcPr>
            <w:tcW w:w="342" w:type="pct"/>
            <w:vMerge w:val="restar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企业名称</w:t>
            </w:r>
          </w:p>
        </w:tc>
        <w:tc>
          <w:tcPr>
            <w:tcW w:w="2305"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本企业人员基本信息</w:t>
            </w:r>
          </w:p>
        </w:tc>
        <w:tc>
          <w:tcPr>
            <w:tcW w:w="2351"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国家电网公司系统人员基本信息</w:t>
            </w:r>
          </w:p>
        </w:tc>
      </w:tr>
      <w:tr>
        <w:tblPrEx>
          <w:tblCellMar>
            <w:top w:w="0" w:type="dxa"/>
            <w:left w:w="108" w:type="dxa"/>
            <w:bottom w:w="0" w:type="dxa"/>
            <w:right w:w="108" w:type="dxa"/>
          </w:tblCellMar>
        </w:tblPrEx>
        <w:trPr>
          <w:trHeight w:val="1134" w:hRule="atLeast"/>
        </w:trPr>
        <w:tc>
          <w:tcPr>
            <w:tcW w:w="342"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cs="宋体"/>
                <w:color w:val="auto"/>
                <w:kern w:val="0"/>
                <w:sz w:val="18"/>
                <w:szCs w:val="18"/>
                <w:highlight w:val="none"/>
              </w:rPr>
            </w:pP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人员姓名</w:t>
            </w: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性别</w:t>
            </w:r>
          </w:p>
        </w:tc>
        <w:tc>
          <w:tcPr>
            <w:tcW w:w="40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身份证号</w:t>
            </w:r>
          </w:p>
        </w:tc>
        <w:tc>
          <w:tcPr>
            <w:tcW w:w="34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职务</w:t>
            </w:r>
          </w:p>
        </w:tc>
        <w:tc>
          <w:tcPr>
            <w:tcW w:w="4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任职时间</w:t>
            </w:r>
          </w:p>
        </w:tc>
        <w:tc>
          <w:tcPr>
            <w:tcW w:w="50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与国网公司系统人员关系</w:t>
            </w:r>
          </w:p>
        </w:tc>
        <w:tc>
          <w:tcPr>
            <w:tcW w:w="243"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人员姓名</w:t>
            </w:r>
          </w:p>
        </w:tc>
        <w:tc>
          <w:tcPr>
            <w:tcW w:w="23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性别</w:t>
            </w:r>
          </w:p>
        </w:tc>
        <w:tc>
          <w:tcPr>
            <w:tcW w:w="30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身份证号</w:t>
            </w:r>
          </w:p>
        </w:tc>
        <w:tc>
          <w:tcPr>
            <w:tcW w:w="36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（曾）任职单位名称</w:t>
            </w:r>
          </w:p>
        </w:tc>
        <w:tc>
          <w:tcPr>
            <w:tcW w:w="34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职务</w:t>
            </w:r>
          </w:p>
        </w:tc>
        <w:tc>
          <w:tcPr>
            <w:tcW w:w="46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任职状态（在职/非在职）</w:t>
            </w:r>
          </w:p>
        </w:tc>
        <w:tc>
          <w:tcPr>
            <w:tcW w:w="38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离职/退休时间</w:t>
            </w:r>
          </w:p>
        </w:tc>
      </w:tr>
      <w:tr>
        <w:tblPrEx>
          <w:tblCellMar>
            <w:top w:w="0" w:type="dxa"/>
            <w:left w:w="108" w:type="dxa"/>
            <w:bottom w:w="0" w:type="dxa"/>
            <w:right w:w="108" w:type="dxa"/>
          </w:tblCellMar>
        </w:tblPrEx>
        <w:trPr>
          <w:trHeight w:val="585" w:hRule="atLeast"/>
        </w:trPr>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xxx公司</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张三</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男</w:t>
            </w:r>
          </w:p>
        </w:tc>
        <w:tc>
          <w:tcPr>
            <w:tcW w:w="401"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xxxxxxx</w:t>
            </w:r>
          </w:p>
        </w:tc>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董事长</w:t>
            </w:r>
          </w:p>
        </w:tc>
        <w:tc>
          <w:tcPr>
            <w:tcW w:w="45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202x.x.x至今</w:t>
            </w:r>
          </w:p>
        </w:tc>
        <w:tc>
          <w:tcPr>
            <w:tcW w:w="50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本人</w:t>
            </w:r>
          </w:p>
        </w:tc>
        <w:tc>
          <w:tcPr>
            <w:tcW w:w="2351" w:type="pct"/>
            <w:gridSpan w:val="7"/>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国家电网公司组织批准和委派行为</w:t>
            </w:r>
          </w:p>
        </w:tc>
      </w:tr>
      <w:tr>
        <w:tblPrEx>
          <w:tblCellMar>
            <w:top w:w="0" w:type="dxa"/>
            <w:left w:w="108" w:type="dxa"/>
            <w:bottom w:w="0" w:type="dxa"/>
            <w:right w:w="108" w:type="dxa"/>
          </w:tblCellMar>
        </w:tblPrEx>
        <w:trPr>
          <w:trHeight w:val="788" w:hRule="atLeast"/>
        </w:trPr>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xxx公司</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李四</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女</w:t>
            </w:r>
          </w:p>
        </w:tc>
        <w:tc>
          <w:tcPr>
            <w:tcW w:w="401"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xxxxxxx</w:t>
            </w:r>
          </w:p>
        </w:tc>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法人</w:t>
            </w:r>
          </w:p>
        </w:tc>
        <w:tc>
          <w:tcPr>
            <w:tcW w:w="45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202x.x.x至今</w:t>
            </w:r>
          </w:p>
        </w:tc>
        <w:tc>
          <w:tcPr>
            <w:tcW w:w="50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配偶</w:t>
            </w:r>
          </w:p>
        </w:tc>
        <w:tc>
          <w:tcPr>
            <w:tcW w:w="243"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王五</w:t>
            </w:r>
          </w:p>
        </w:tc>
        <w:tc>
          <w:tcPr>
            <w:tcW w:w="23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男</w:t>
            </w:r>
          </w:p>
        </w:tc>
        <w:tc>
          <w:tcPr>
            <w:tcW w:w="30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xxxxxxx</w:t>
            </w:r>
          </w:p>
        </w:tc>
        <w:tc>
          <w:tcPr>
            <w:tcW w:w="36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国网xxxx公司</w:t>
            </w:r>
          </w:p>
        </w:tc>
        <w:tc>
          <w:tcPr>
            <w:tcW w:w="34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xx部门主任</w:t>
            </w:r>
          </w:p>
        </w:tc>
        <w:tc>
          <w:tcPr>
            <w:tcW w:w="466"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非在职</w:t>
            </w:r>
          </w:p>
        </w:tc>
        <w:tc>
          <w:tcPr>
            <w:tcW w:w="38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2022.6.30退休</w:t>
            </w:r>
          </w:p>
        </w:tc>
      </w:tr>
      <w:tr>
        <w:tblPrEx>
          <w:tblCellMar>
            <w:top w:w="0" w:type="dxa"/>
            <w:left w:w="108" w:type="dxa"/>
            <w:bottom w:w="0" w:type="dxa"/>
            <w:right w:w="108" w:type="dxa"/>
          </w:tblCellMar>
        </w:tblPrEx>
        <w:trPr>
          <w:trHeight w:val="232" w:hRule="atLeast"/>
        </w:trPr>
        <w:tc>
          <w:tcPr>
            <w:tcW w:w="34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cs="宋体"/>
                <w:color w:val="auto"/>
                <w:kern w:val="0"/>
                <w:sz w:val="18"/>
                <w:szCs w:val="18"/>
                <w:highlight w:val="none"/>
              </w:rPr>
            </w:pP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40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4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4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50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243"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23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0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6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4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46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8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r>
      <w:tr>
        <w:tblPrEx>
          <w:tblCellMar>
            <w:top w:w="0" w:type="dxa"/>
            <w:left w:w="108" w:type="dxa"/>
            <w:bottom w:w="0" w:type="dxa"/>
            <w:right w:w="108" w:type="dxa"/>
          </w:tblCellMar>
        </w:tblPrEx>
        <w:trPr>
          <w:trHeight w:val="1763" w:hRule="atLeast"/>
        </w:trPr>
        <w:tc>
          <w:tcPr>
            <w:tcW w:w="5000" w:type="pct"/>
            <w:gridSpan w:val="14"/>
            <w:tcBorders>
              <w:top w:val="single" w:color="000000" w:sz="4" w:space="0"/>
              <w:left w:val="single" w:color="000000" w:sz="4" w:space="0"/>
              <w:bottom w:val="single" w:color="000000" w:sz="4" w:space="0"/>
              <w:right w:val="single" w:color="000000" w:sz="4" w:space="0"/>
            </w:tcBorders>
          </w:tcPr>
          <w:p>
            <w:pPr>
              <w:widowControl/>
              <w:rPr>
                <w:rFonts w:ascii="宋体" w:hAnsi="宋体" w:cs="宋体"/>
                <w:color w:val="auto"/>
                <w:kern w:val="0"/>
                <w:sz w:val="18"/>
                <w:szCs w:val="18"/>
                <w:highlight w:val="none"/>
              </w:rPr>
            </w:pPr>
            <w:r>
              <w:rPr>
                <w:rFonts w:hint="eastAsia" w:ascii="宋体" w:hAnsi="宋体" w:cs="宋体"/>
                <w:color w:val="auto"/>
                <w:kern w:val="0"/>
                <w:sz w:val="18"/>
                <w:szCs w:val="18"/>
                <w:highlight w:val="none"/>
              </w:rPr>
              <w:t>1.本表的人员只统计企业法人、出资人、高管涉及的具体情形。高管指公司的经理、副经理、财务负责人，上市公司董事会秘书等人员。</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2.与国网公司系统人员关系，应具体填写“本人”、“配偶”、“子女”、“子女配偶”。</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3.国家电网公司系统：包含国家电网有限公司及其所属单位。</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4.任职状态为非在职的，应填写离职或退休的具体时间。</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5.若属于“国家电网公司组织批准和委派行为”的情形，参考示例填写。其他情形正常填写。</w:t>
            </w:r>
          </w:p>
        </w:tc>
      </w:tr>
    </w:tbl>
    <w:p>
      <w:pPr>
        <w:pStyle w:val="17"/>
        <w:numPr>
          <w:ilvl w:val="0"/>
          <w:numId w:val="0"/>
        </w:numPr>
        <w:ind w:leftChars="0"/>
        <w:rPr>
          <w:rFonts w:hint="eastAsia"/>
          <w:color w:val="auto"/>
          <w:highlight w:val="none"/>
          <w:lang w:val="en-US" w:eastAsia="zh-CN"/>
        </w:rPr>
      </w:pP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br w:type="page"/>
      </w:r>
    </w:p>
    <w:p>
      <w:pPr>
        <w:keepNext w:val="0"/>
        <w:keepLines w:val="0"/>
        <w:widowControl/>
        <w:numPr>
          <w:ilvl w:val="0"/>
          <w:numId w:val="0"/>
        </w:numPr>
        <w:suppressLineNumbers w:val="0"/>
        <w:ind w:leftChars="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5.投标保证金</w:t>
      </w:r>
      <w:r>
        <w:rPr>
          <w:rFonts w:hint="eastAsia" w:ascii="宋体" w:hAnsi="宋体" w:eastAsia="宋体" w:cs="宋体"/>
          <w:i w:val="0"/>
          <w:iCs w:val="0"/>
          <w:color w:val="auto"/>
          <w:kern w:val="0"/>
          <w:sz w:val="20"/>
          <w:szCs w:val="20"/>
          <w:highlight w:val="none"/>
          <w:u w:val="none"/>
          <w:lang w:val="en-US" w:eastAsia="zh-CN" w:bidi="ar"/>
        </w:rPr>
        <w:br w:type="textWrapping"/>
      </w:r>
    </w:p>
    <w:p>
      <w:pPr>
        <w:widowControl/>
        <w:spacing w:line="480" w:lineRule="auto"/>
        <w:jc w:val="center"/>
        <w:rPr>
          <w:rFonts w:eastAsia="黑体"/>
          <w:color w:val="auto"/>
          <w:sz w:val="24"/>
          <w:highlight w:val="none"/>
        </w:rPr>
      </w:pPr>
      <w:r>
        <w:rPr>
          <w:rFonts w:hint="eastAsia" w:eastAsia="黑体"/>
          <w:color w:val="auto"/>
          <w:sz w:val="24"/>
          <w:highlight w:val="none"/>
        </w:rPr>
        <w:t>投标保证金银行保函</w:t>
      </w:r>
    </w:p>
    <w:p>
      <w:pPr>
        <w:widowControl/>
        <w:ind w:firstLine="420"/>
        <w:jc w:val="right"/>
        <w:rPr>
          <w:color w:val="auto"/>
          <w:highlight w:val="none"/>
        </w:rPr>
      </w:pPr>
      <w:r>
        <w:rPr>
          <w:color w:val="auto"/>
          <w:highlight w:val="none"/>
        </w:rPr>
        <w:t>开具日期：__________________</w:t>
      </w:r>
    </w:p>
    <w:p>
      <w:pPr>
        <w:widowControl/>
        <w:spacing w:line="360" w:lineRule="exact"/>
        <w:rPr>
          <w:color w:val="auto"/>
          <w:highlight w:val="none"/>
        </w:rPr>
      </w:pPr>
      <w:r>
        <w:rPr>
          <w:color w:val="auto"/>
          <w:highlight w:val="none"/>
        </w:rPr>
        <w:t>致：______________［招标代理机构］</w:t>
      </w:r>
    </w:p>
    <w:p>
      <w:pPr>
        <w:widowControl/>
        <w:spacing w:line="360" w:lineRule="exact"/>
        <w:ind w:firstLine="420"/>
        <w:rPr>
          <w:color w:val="auto"/>
          <w:highlight w:val="none"/>
        </w:rPr>
      </w:pPr>
      <w:r>
        <w:rPr>
          <w:color w:val="auto"/>
          <w:highlight w:val="none"/>
        </w:rPr>
        <w:t>本保函作为_______________［投标人名称］［以下简称“投标人”］对_______________［招标代理机构］［招标编号］的投标邀请提供_______________［工程名称］的</w:t>
      </w:r>
      <w:r>
        <w:rPr>
          <w:rFonts w:hint="eastAsia"/>
          <w:color w:val="auto"/>
          <w:highlight w:val="none"/>
        </w:rPr>
        <w:t>投标保证金银行保函</w:t>
      </w:r>
      <w:r>
        <w:rPr>
          <w:color w:val="auto"/>
          <w:highlight w:val="none"/>
        </w:rPr>
        <w:t>。</w:t>
      </w:r>
    </w:p>
    <w:p>
      <w:pPr>
        <w:widowControl/>
        <w:spacing w:line="360" w:lineRule="exact"/>
        <w:ind w:firstLine="420"/>
        <w:rPr>
          <w:color w:val="auto"/>
          <w:spacing w:val="-6"/>
          <w:highlight w:val="none"/>
        </w:rPr>
      </w:pPr>
      <w:r>
        <w:rPr>
          <w:color w:val="auto"/>
          <w:spacing w:val="-6"/>
          <w:highlight w:val="none"/>
        </w:rPr>
        <w:t>_______________［保函开具银行名称］无条件地、不可撤销地具结保证本行、其继承人和受让人，一旦收到贵方提出的就下述任何一种事实的书面通知，立即无追索地向贵方支付金额为［金额数和币种］保证金：</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（1）在提交投标文件截止时间后投标人撤销其投标文件的；</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（2）中标人拒绝按招标文件的规定和投标文件的承诺签订合同的；</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（3）中标人未按招标文件规定提交履约保证金的；</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（4）在提交投标文件截止时间后主动对投标文件提出实质性修改的；</w:t>
      </w:r>
    </w:p>
    <w:p>
      <w:pPr>
        <w:pStyle w:val="16"/>
        <w:tabs>
          <w:tab w:val="left" w:pos="0"/>
        </w:tabs>
        <w:spacing w:before="0" w:beforeAutospacing="0" w:after="0" w:afterAutospacing="0" w:line="360" w:lineRule="exact"/>
        <w:ind w:firstLine="420"/>
        <w:jc w:val="both"/>
        <w:rPr>
          <w:rFonts w:hint="eastAsia" w:ascii="Times New Roman" w:hAnsi="Times New Roman" w:eastAsia="宋体"/>
          <w:color w:val="auto"/>
          <w:kern w:val="2"/>
          <w:sz w:val="21"/>
          <w:highlight w:val="none"/>
          <w:lang w:eastAsia="zh-CN"/>
        </w:rPr>
      </w:pPr>
      <w:r>
        <w:rPr>
          <w:rFonts w:hint="eastAsia" w:ascii="Times New Roman" w:hAnsi="Times New Roman"/>
          <w:color w:val="auto"/>
          <w:kern w:val="2"/>
          <w:sz w:val="21"/>
          <w:highlight w:val="none"/>
        </w:rPr>
        <w:t>（5）投标人串通投标或有其他违法行为的</w:t>
      </w:r>
      <w:r>
        <w:rPr>
          <w:rFonts w:hint="eastAsia" w:ascii="Times New Roman" w:hAnsi="Times New Roman"/>
          <w:color w:val="auto"/>
          <w:kern w:val="2"/>
          <w:sz w:val="21"/>
          <w:highlight w:val="none"/>
          <w:lang w:eastAsia="zh-CN"/>
        </w:rPr>
        <w:t>；</w:t>
      </w:r>
    </w:p>
    <w:p>
      <w:pPr>
        <w:pStyle w:val="16"/>
        <w:tabs>
          <w:tab w:val="left" w:pos="0"/>
        </w:tabs>
        <w:spacing w:before="0" w:beforeAutospacing="0" w:after="0" w:afterAutospacing="0" w:line="360" w:lineRule="exact"/>
        <w:ind w:firstLine="420"/>
        <w:jc w:val="both"/>
        <w:rPr>
          <w:rFonts w:ascii="Times New Roman" w:hAnsi="Times New Roman"/>
          <w:color w:val="auto"/>
          <w:kern w:val="2"/>
          <w:sz w:val="21"/>
          <w:highlight w:val="none"/>
        </w:rPr>
      </w:pPr>
      <w:r>
        <w:rPr>
          <w:rFonts w:hint="eastAsia" w:ascii="Times New Roman" w:hAnsi="Times New Roman"/>
          <w:color w:val="auto"/>
          <w:kern w:val="2"/>
          <w:sz w:val="21"/>
          <w:highlight w:val="none"/>
        </w:rPr>
        <w:t>（6）法律法规及招标文件规定的其他应当不予退还投标保证金情形的</w:t>
      </w:r>
      <w:r>
        <w:rPr>
          <w:rFonts w:hint="eastAsia" w:ascii="Times New Roman" w:hAnsi="Times New Roman"/>
          <w:color w:val="auto"/>
          <w:kern w:val="2"/>
          <w:sz w:val="21"/>
          <w:highlight w:val="none"/>
          <w:lang w:eastAsia="zh-CN"/>
        </w:rPr>
        <w:t>。</w:t>
      </w:r>
    </w:p>
    <w:p>
      <w:pPr>
        <w:spacing w:line="360" w:lineRule="exact"/>
        <w:ind w:firstLine="420"/>
        <w:rPr>
          <w:color w:val="auto"/>
          <w:highlight w:val="none"/>
        </w:rPr>
      </w:pPr>
      <w:r>
        <w:rPr>
          <w:color w:val="auto"/>
          <w:highlight w:val="none"/>
        </w:rPr>
        <w:t>我行同时无条件、不可撤销地具结保证本行及其继承人和受让人，一旦收到贵方提出的中标人未在规定的期限内支付招标服务费的书面通知，我行立即无追索的、按实际应支付招标服务费金额向贵方支付保证金，最多不超过［本保函确定的金额数和币种］。</w:t>
      </w:r>
    </w:p>
    <w:p>
      <w:pPr>
        <w:widowControl/>
        <w:spacing w:line="360" w:lineRule="exact"/>
        <w:ind w:firstLine="420"/>
        <w:rPr>
          <w:color w:val="auto"/>
          <w:highlight w:val="none"/>
        </w:rPr>
      </w:pPr>
      <w:r>
        <w:rPr>
          <w:color w:val="auto"/>
          <w:highlight w:val="none"/>
        </w:rPr>
        <w:t>本保函自开标之日起</w:t>
      </w:r>
      <w:r>
        <w:rPr>
          <w:color w:val="auto"/>
          <w:highlight w:val="none"/>
          <w:u w:val="single"/>
        </w:rPr>
        <w:t>［］</w:t>
      </w:r>
      <w:r>
        <w:rPr>
          <w:color w:val="auto"/>
          <w:highlight w:val="none"/>
        </w:rPr>
        <w:t>日（日历日）内有效，并在贵方和投标人</w:t>
      </w:r>
      <w:r>
        <w:rPr>
          <w:rFonts w:hint="eastAsia"/>
          <w:color w:val="auto"/>
          <w:highlight w:val="none"/>
        </w:rPr>
        <w:t>书面</w:t>
      </w:r>
      <w:r>
        <w:rPr>
          <w:color w:val="auto"/>
          <w:highlight w:val="none"/>
        </w:rPr>
        <w:t>同意延长的有效期内保持有效。延长的有效期只需</w:t>
      </w:r>
      <w:r>
        <w:rPr>
          <w:rFonts w:hint="eastAsia"/>
          <w:color w:val="auto"/>
          <w:highlight w:val="none"/>
        </w:rPr>
        <w:t>书面</w:t>
      </w:r>
      <w:r>
        <w:rPr>
          <w:color w:val="auto"/>
          <w:highlight w:val="none"/>
        </w:rPr>
        <w:t>通知本行即可。</w:t>
      </w:r>
    </w:p>
    <w:p>
      <w:pPr>
        <w:widowControl/>
        <w:spacing w:line="360" w:lineRule="exact"/>
        <w:ind w:firstLine="420"/>
        <w:rPr>
          <w:color w:val="auto"/>
          <w:highlight w:val="none"/>
        </w:rPr>
      </w:pPr>
    </w:p>
    <w:p>
      <w:pPr>
        <w:tabs>
          <w:tab w:val="left" w:pos="7200"/>
        </w:tabs>
        <w:autoSpaceDE w:val="0"/>
        <w:autoSpaceDN w:val="0"/>
        <w:adjustRightInd w:val="0"/>
        <w:spacing w:line="360" w:lineRule="exact"/>
        <w:ind w:left="3060" w:leftChars="1457"/>
        <w:jc w:val="right"/>
        <w:rPr>
          <w:color w:val="auto"/>
          <w:highlight w:val="none"/>
          <w:u w:val="single"/>
        </w:rPr>
      </w:pPr>
      <w:r>
        <w:rPr>
          <w:color w:val="auto"/>
          <w:highlight w:val="none"/>
        </w:rPr>
        <w:t>出函银行名称（盖章）：</w:t>
      </w:r>
      <w:r>
        <w:rPr>
          <w:color w:val="auto"/>
          <w:highlight w:val="none"/>
          <w:u w:val="single"/>
        </w:rPr>
        <w:tab/>
      </w:r>
    </w:p>
    <w:p>
      <w:pPr>
        <w:tabs>
          <w:tab w:val="left" w:pos="7200"/>
        </w:tabs>
        <w:autoSpaceDE w:val="0"/>
        <w:autoSpaceDN w:val="0"/>
        <w:adjustRightInd w:val="0"/>
        <w:spacing w:line="360" w:lineRule="exact"/>
        <w:ind w:left="3060" w:leftChars="1457"/>
        <w:jc w:val="right"/>
        <w:rPr>
          <w:color w:val="auto"/>
          <w:highlight w:val="none"/>
          <w:u w:val="single"/>
        </w:rPr>
      </w:pPr>
      <w:r>
        <w:rPr>
          <w:color w:val="auto"/>
          <w:highlight w:val="none"/>
        </w:rPr>
        <w:t>负责人签字：</w:t>
      </w:r>
      <w:r>
        <w:rPr>
          <w:color w:val="auto"/>
          <w:highlight w:val="none"/>
          <w:u w:val="single"/>
        </w:rPr>
        <w:tab/>
      </w:r>
    </w:p>
    <w:p>
      <w:pPr>
        <w:spacing w:line="360" w:lineRule="exact"/>
        <w:ind w:right="420" w:firstLine="4935" w:firstLineChars="2350"/>
        <w:rPr>
          <w:color w:val="auto"/>
          <w:highlight w:val="none"/>
        </w:rPr>
      </w:pPr>
      <w:r>
        <w:rPr>
          <w:color w:val="auto"/>
          <w:highlight w:val="none"/>
        </w:rPr>
        <w:t>签发日期：</w:t>
      </w:r>
    </w:p>
    <w:p>
      <w:pPr>
        <w:widowControl/>
        <w:jc w:val="left"/>
        <w:rPr>
          <w:color w:val="auto"/>
          <w:highlight w:val="none"/>
        </w:rPr>
      </w:pPr>
      <w:r>
        <w:rPr>
          <w:color w:val="auto"/>
          <w:highlight w:val="none"/>
        </w:rPr>
        <w:br w:type="page"/>
      </w:r>
    </w:p>
    <w:p>
      <w:pPr>
        <w:widowControl/>
        <w:spacing w:line="480" w:lineRule="auto"/>
        <w:jc w:val="center"/>
        <w:rPr>
          <w:color w:val="auto"/>
          <w:highlight w:val="none"/>
        </w:rPr>
      </w:pPr>
    </w:p>
    <w:p>
      <w:pPr>
        <w:widowControl/>
        <w:spacing w:line="480" w:lineRule="auto"/>
        <w:jc w:val="center"/>
        <w:rPr>
          <w:rFonts w:eastAsia="黑体"/>
          <w:color w:val="auto"/>
          <w:sz w:val="24"/>
          <w:highlight w:val="none"/>
        </w:rPr>
      </w:pPr>
      <w:r>
        <w:rPr>
          <w:rFonts w:eastAsia="黑体"/>
          <w:color w:val="auto"/>
          <w:sz w:val="24"/>
          <w:highlight w:val="none"/>
        </w:rPr>
        <w:t>投标保证保险（责任要求）</w:t>
      </w:r>
    </w:p>
    <w:p>
      <w:pPr>
        <w:jc w:val="center"/>
        <w:rPr>
          <w:b/>
          <w:color w:val="auto"/>
          <w:sz w:val="24"/>
          <w:highlight w:val="none"/>
        </w:rPr>
      </w:pPr>
    </w:p>
    <w:p>
      <w:pPr>
        <w:ind w:firstLine="420" w:firstLineChars="200"/>
        <w:rPr>
          <w:color w:val="auto"/>
          <w:szCs w:val="21"/>
          <w:highlight w:val="none"/>
        </w:rPr>
      </w:pPr>
      <w:r>
        <w:rPr>
          <w:color w:val="auto"/>
          <w:szCs w:val="21"/>
          <w:highlight w:val="none"/>
          <w:lang w:bidi="ar"/>
        </w:rPr>
        <w:t>投标人自行选择保险公司投保，约定由保险公司承担所承保投标人投标违约行为的赔偿。投标人须将</w:t>
      </w:r>
      <w:r>
        <w:rPr>
          <w:rFonts w:hint="eastAsia"/>
          <w:color w:val="auto"/>
          <w:szCs w:val="21"/>
          <w:highlight w:val="none"/>
          <w:lang w:val="en-US" w:eastAsia="zh-CN" w:bidi="ar"/>
        </w:rPr>
        <w:t>保单</w:t>
      </w:r>
      <w:r>
        <w:rPr>
          <w:color w:val="auto"/>
          <w:szCs w:val="21"/>
          <w:highlight w:val="none"/>
          <w:lang w:bidi="ar"/>
        </w:rPr>
        <w:t>，递交给招标人，保单须包含以下内容或约定：</w:t>
      </w:r>
    </w:p>
    <w:p>
      <w:pPr>
        <w:rPr>
          <w:color w:val="auto"/>
          <w:szCs w:val="21"/>
          <w:highlight w:val="none"/>
        </w:rPr>
      </w:pPr>
      <w:r>
        <w:rPr>
          <w:b/>
          <w:color w:val="auto"/>
          <w:szCs w:val="21"/>
          <w:highlight w:val="none"/>
          <w:lang w:bidi="ar"/>
        </w:rPr>
        <w:t>一、保险险种：</w:t>
      </w:r>
      <w:r>
        <w:rPr>
          <w:color w:val="auto"/>
          <w:szCs w:val="21"/>
          <w:highlight w:val="none"/>
          <w:lang w:bidi="ar"/>
        </w:rPr>
        <w:t>投标保证保险</w:t>
      </w:r>
    </w:p>
    <w:p>
      <w:pPr>
        <w:rPr>
          <w:color w:val="auto"/>
          <w:szCs w:val="21"/>
          <w:highlight w:val="none"/>
        </w:rPr>
      </w:pPr>
      <w:r>
        <w:rPr>
          <w:b/>
          <w:color w:val="auto"/>
          <w:szCs w:val="21"/>
          <w:highlight w:val="none"/>
          <w:lang w:bidi="ar"/>
        </w:rPr>
        <w:t>二、被保险人</w:t>
      </w:r>
      <w:r>
        <w:rPr>
          <w:color w:val="auto"/>
          <w:szCs w:val="21"/>
          <w:highlight w:val="none"/>
          <w:lang w:bidi="ar"/>
        </w:rPr>
        <w:t>：国网物资有限公司</w:t>
      </w:r>
    </w:p>
    <w:p>
      <w:pPr>
        <w:rPr>
          <w:color w:val="auto"/>
          <w:szCs w:val="21"/>
          <w:highlight w:val="none"/>
        </w:rPr>
      </w:pPr>
      <w:r>
        <w:rPr>
          <w:b/>
          <w:color w:val="auto"/>
          <w:szCs w:val="21"/>
          <w:highlight w:val="none"/>
          <w:lang w:bidi="ar"/>
        </w:rPr>
        <w:t>三、保险金额</w:t>
      </w:r>
      <w:r>
        <w:rPr>
          <w:color w:val="auto"/>
          <w:szCs w:val="21"/>
          <w:highlight w:val="none"/>
          <w:lang w:bidi="ar"/>
        </w:rPr>
        <w:t>：应缴纳的投标保证金金额</w:t>
      </w:r>
    </w:p>
    <w:p>
      <w:pPr>
        <w:rPr>
          <w:color w:val="auto"/>
          <w:szCs w:val="21"/>
          <w:highlight w:val="none"/>
        </w:rPr>
      </w:pPr>
      <w:r>
        <w:rPr>
          <w:b/>
          <w:color w:val="auto"/>
          <w:szCs w:val="21"/>
          <w:highlight w:val="none"/>
          <w:lang w:bidi="ar"/>
        </w:rPr>
        <w:t>四、绝对免赔额：</w:t>
      </w:r>
      <w:r>
        <w:rPr>
          <w:color w:val="auto"/>
          <w:szCs w:val="21"/>
          <w:highlight w:val="none"/>
          <w:lang w:bidi="ar"/>
        </w:rPr>
        <w:t xml:space="preserve"> 0元</w:t>
      </w:r>
    </w:p>
    <w:p>
      <w:pPr>
        <w:rPr>
          <w:b/>
          <w:color w:val="auto"/>
          <w:szCs w:val="21"/>
          <w:highlight w:val="none"/>
        </w:rPr>
      </w:pPr>
      <w:r>
        <w:rPr>
          <w:b/>
          <w:color w:val="auto"/>
          <w:szCs w:val="21"/>
          <w:highlight w:val="none"/>
          <w:lang w:bidi="ar"/>
        </w:rPr>
        <w:t>五、保险期间：</w:t>
      </w:r>
    </w:p>
    <w:p>
      <w:pPr>
        <w:ind w:firstLine="420" w:firstLineChars="200"/>
        <w:rPr>
          <w:color w:val="auto"/>
          <w:szCs w:val="21"/>
          <w:highlight w:val="none"/>
        </w:rPr>
      </w:pPr>
      <w:r>
        <w:rPr>
          <w:color w:val="auto"/>
          <w:szCs w:val="21"/>
          <w:highlight w:val="none"/>
          <w:lang w:bidi="ar"/>
        </w:rPr>
        <w:t>【说明】保险期间须满足招标文件要求的投标有效期要求。</w:t>
      </w:r>
    </w:p>
    <w:p>
      <w:pPr>
        <w:keepNext w:val="0"/>
        <w:keepLines w:val="0"/>
        <w:widowControl/>
        <w:suppressLineNumbers w:val="0"/>
        <w:spacing w:before="0" w:beforeAutospacing="0" w:after="0" w:afterAutospacing="0"/>
        <w:ind w:right="0"/>
        <w:jc w:val="both"/>
        <w:rPr>
          <w:color w:val="auto"/>
          <w:highlight w:val="none"/>
          <w:lang w:val="en-US"/>
        </w:rPr>
      </w:pPr>
      <w:r>
        <w:rPr>
          <w:rFonts w:hint="eastAsia"/>
          <w:b/>
          <w:color w:val="auto"/>
          <w:szCs w:val="21"/>
          <w:highlight w:val="none"/>
          <w:lang w:val="en-US" w:eastAsia="zh-CN" w:bidi="ar"/>
        </w:rPr>
        <w:t>六、保单保费来源：</w:t>
      </w:r>
      <w:r>
        <w:rPr>
          <w:rFonts w:hint="eastAsia" w:ascii="Calibri" w:hAnsi="Calibri" w:eastAsia="宋体" w:cs="宋体"/>
          <w:color w:val="auto"/>
          <w:kern w:val="2"/>
          <w:sz w:val="21"/>
          <w:szCs w:val="24"/>
          <w:highlight w:val="none"/>
          <w:lang w:val="en-US" w:eastAsia="zh-CN" w:bidi="ar"/>
        </w:rPr>
        <w:t>保险公司必须核实保单保费是否从企业基本账户转出，请注明保单保费是否从投标人企业基本账户支付，未注明相关信息或注明保费未从投标人企业基本账户支付，视为提交的投标保证金无效。</w:t>
      </w:r>
    </w:p>
    <w:p>
      <w:pPr>
        <w:widowControl/>
        <w:jc w:val="left"/>
        <w:rPr>
          <w:b/>
          <w:color w:val="auto"/>
          <w:szCs w:val="21"/>
          <w:highlight w:val="none"/>
          <w:lang w:bidi="ar"/>
        </w:rPr>
      </w:pPr>
      <w:r>
        <w:rPr>
          <w:rFonts w:hint="eastAsia" w:ascii="Calibri" w:hAnsi="Calibri" w:eastAsia="宋体" w:cs="Times New Roman"/>
          <w:color w:val="auto"/>
          <w:kern w:val="2"/>
          <w:sz w:val="21"/>
          <w:szCs w:val="24"/>
          <w:highlight w:val="none"/>
          <w:lang w:val="en-US" w:eastAsia="zh-CN" w:bidi="ar"/>
        </w:rPr>
        <w:t>（样例：本保单保费是从投标人企业基本账户支付。）</w:t>
      </w:r>
    </w:p>
    <w:p>
      <w:pPr>
        <w:rPr>
          <w:color w:val="auto"/>
          <w:szCs w:val="21"/>
          <w:highlight w:val="none"/>
        </w:rPr>
      </w:pPr>
      <w:r>
        <w:rPr>
          <w:b/>
          <w:color w:val="auto"/>
          <w:szCs w:val="21"/>
          <w:highlight w:val="none"/>
          <w:lang w:bidi="ar"/>
        </w:rPr>
        <w:t>七、其他：</w:t>
      </w:r>
      <w:r>
        <w:rPr>
          <w:color w:val="auto"/>
          <w:szCs w:val="21"/>
          <w:highlight w:val="none"/>
          <w:lang w:bidi="ar"/>
        </w:rPr>
        <w:t>保单上必须注明招标项目名称和招标项目编号（年度保单除外）。</w:t>
      </w:r>
    </w:p>
    <w:p>
      <w:pPr>
        <w:rPr>
          <w:b/>
          <w:color w:val="auto"/>
          <w:szCs w:val="21"/>
          <w:highlight w:val="none"/>
        </w:rPr>
      </w:pPr>
      <w:r>
        <w:rPr>
          <w:rFonts w:hint="eastAsia"/>
          <w:b/>
          <w:color w:val="auto"/>
          <w:szCs w:val="21"/>
          <w:highlight w:val="none"/>
          <w:lang w:val="en-US" w:eastAsia="zh-CN" w:bidi="ar"/>
        </w:rPr>
        <w:t>八</w:t>
      </w:r>
      <w:r>
        <w:rPr>
          <w:b/>
          <w:color w:val="auto"/>
          <w:szCs w:val="21"/>
          <w:highlight w:val="none"/>
          <w:lang w:bidi="ar"/>
        </w:rPr>
        <w:t>、特别约定：</w:t>
      </w:r>
    </w:p>
    <w:p>
      <w:pPr>
        <w:ind w:firstLine="420" w:firstLineChars="200"/>
        <w:rPr>
          <w:color w:val="auto"/>
          <w:szCs w:val="21"/>
          <w:highlight w:val="none"/>
        </w:rPr>
      </w:pPr>
      <w:r>
        <w:rPr>
          <w:color w:val="auto"/>
          <w:szCs w:val="21"/>
          <w:highlight w:val="none"/>
          <w:lang w:bidi="ar"/>
        </w:rPr>
        <w:t>（一）按照招标文件的规定，下列情形也属于本保单承保范围：</w:t>
      </w:r>
    </w:p>
    <w:p>
      <w:pPr>
        <w:ind w:firstLine="420" w:firstLineChars="200"/>
        <w:rPr>
          <w:color w:val="auto"/>
          <w:szCs w:val="21"/>
          <w:highlight w:val="none"/>
        </w:rPr>
      </w:pPr>
      <w:r>
        <w:rPr>
          <w:color w:val="auto"/>
          <w:szCs w:val="21"/>
          <w:highlight w:val="none"/>
          <w:lang w:bidi="ar"/>
        </w:rPr>
        <w:t>1.投保人在投标截止时间后撤销其投标文件、或主动对投标文件提出实质性修改；</w:t>
      </w:r>
    </w:p>
    <w:p>
      <w:pPr>
        <w:ind w:firstLine="420" w:firstLineChars="200"/>
        <w:rPr>
          <w:color w:val="auto"/>
          <w:szCs w:val="21"/>
          <w:highlight w:val="none"/>
        </w:rPr>
      </w:pPr>
      <w:r>
        <w:rPr>
          <w:color w:val="auto"/>
          <w:szCs w:val="21"/>
          <w:highlight w:val="none"/>
          <w:lang w:bidi="ar"/>
        </w:rPr>
        <w:t>2.投保人接到中标通知后，拒绝按招标文件的规定和投标文件的承诺签订合同；</w:t>
      </w:r>
    </w:p>
    <w:p>
      <w:pPr>
        <w:ind w:firstLine="420" w:firstLineChars="200"/>
        <w:rPr>
          <w:color w:val="auto"/>
          <w:szCs w:val="21"/>
          <w:highlight w:val="none"/>
        </w:rPr>
      </w:pPr>
      <w:r>
        <w:rPr>
          <w:color w:val="auto"/>
          <w:szCs w:val="21"/>
          <w:highlight w:val="none"/>
          <w:lang w:bidi="ar"/>
        </w:rPr>
        <w:t>3.投保人中标后不按照招标文件要求交纳履约保证金；</w:t>
      </w:r>
    </w:p>
    <w:p>
      <w:pPr>
        <w:ind w:firstLine="420" w:firstLineChars="200"/>
        <w:rPr>
          <w:color w:val="auto"/>
          <w:szCs w:val="21"/>
          <w:highlight w:val="none"/>
        </w:rPr>
      </w:pPr>
      <w:r>
        <w:rPr>
          <w:color w:val="auto"/>
          <w:szCs w:val="21"/>
          <w:highlight w:val="none"/>
          <w:lang w:bidi="ar"/>
        </w:rPr>
        <w:t>4.投保人与其他投标人相互串通投标、投保人有弄虚作假或其他投标违法行为的；</w:t>
      </w:r>
    </w:p>
    <w:p>
      <w:pPr>
        <w:ind w:firstLine="420" w:firstLineChars="200"/>
        <w:rPr>
          <w:color w:val="auto"/>
          <w:szCs w:val="21"/>
          <w:highlight w:val="none"/>
        </w:rPr>
      </w:pPr>
      <w:r>
        <w:rPr>
          <w:color w:val="auto"/>
          <w:szCs w:val="21"/>
          <w:highlight w:val="none"/>
          <w:lang w:bidi="ar"/>
        </w:rPr>
        <w:t>5.法律法规及招标文件规定的其他应当不予退还投标保证金情形的；</w:t>
      </w:r>
    </w:p>
    <w:p>
      <w:pPr>
        <w:ind w:firstLine="420" w:firstLineChars="200"/>
        <w:rPr>
          <w:color w:val="auto"/>
          <w:szCs w:val="21"/>
          <w:highlight w:val="none"/>
        </w:rPr>
      </w:pPr>
      <w:r>
        <w:rPr>
          <w:color w:val="auto"/>
          <w:szCs w:val="21"/>
          <w:highlight w:val="none"/>
          <w:lang w:bidi="ar"/>
        </w:rPr>
        <w:t>6.投保人未按招标文件约定及规定时限向被保险人支付招标代理服务费的。</w:t>
      </w:r>
    </w:p>
    <w:p>
      <w:pPr>
        <w:ind w:firstLine="420" w:firstLineChars="200"/>
        <w:rPr>
          <w:color w:val="auto"/>
          <w:szCs w:val="21"/>
          <w:highlight w:val="none"/>
        </w:rPr>
      </w:pPr>
      <w:r>
        <w:rPr>
          <w:color w:val="auto"/>
          <w:szCs w:val="21"/>
          <w:highlight w:val="none"/>
          <w:lang w:bidi="ar"/>
        </w:rPr>
        <w:t>（二）按年度投保投标保证保险的，提交投标文件的截止日期在保险期间内的属于保险人承保范围；提交投标文件的截止日期不在保险期限内的，不属于保险人承保范围。</w:t>
      </w:r>
    </w:p>
    <w:p>
      <w:pPr>
        <w:ind w:firstLine="420" w:firstLineChars="200"/>
        <w:rPr>
          <w:color w:val="auto"/>
          <w:szCs w:val="21"/>
          <w:highlight w:val="none"/>
        </w:rPr>
      </w:pPr>
      <w:r>
        <w:rPr>
          <w:color w:val="auto"/>
          <w:szCs w:val="21"/>
          <w:highlight w:val="none"/>
          <w:lang w:bidi="ar"/>
        </w:rPr>
        <w:t>（三）保险起保日前，投保人可自行办理批改或退保；保险起保日后，投保人须提交经被保险人书面盖章同意的证明材料后，保险公司方能办理批改或退保，如保险公司未按本条规定办理批改或退保的，保险公司承担由此带来的一切赔偿责任。</w:t>
      </w:r>
    </w:p>
    <w:p>
      <w:pPr>
        <w:ind w:firstLine="420" w:firstLineChars="200"/>
        <w:rPr>
          <w:color w:val="auto"/>
          <w:szCs w:val="21"/>
          <w:highlight w:val="none"/>
        </w:rPr>
      </w:pPr>
      <w:r>
        <w:rPr>
          <w:color w:val="auto"/>
          <w:szCs w:val="21"/>
          <w:highlight w:val="none"/>
          <w:lang w:bidi="ar"/>
        </w:rPr>
        <w:t>（四）发生保险事故时，由被保险人向保险公司报案并提供索赔材料，保险公司应在一个月内、无条件的向被保险人支付赔款，赔款金额为出险标包的保险金额总额；当年发生的索赔案件，保险人须在本自然年度内赔付至被保险人并结案；若投保人未缴纳保费，保险公司不得以投保人未缴纳保费拒绝支付赔款。</w:t>
      </w:r>
    </w:p>
    <w:p>
      <w:pPr>
        <w:widowControl/>
        <w:jc w:val="left"/>
        <w:rPr>
          <w:color w:val="auto"/>
          <w:highlight w:val="none"/>
        </w:rPr>
      </w:pPr>
      <w:r>
        <w:rPr>
          <w:color w:val="auto"/>
          <w:szCs w:val="21"/>
          <w:highlight w:val="none"/>
          <w:lang w:bidi="ar"/>
        </w:rPr>
        <w:t xml:space="preserve">   （五）发生保险事故后，被保险人索赔时，仅需提供以下材料：1.《保险单》；2.《索赔申请书》；3.招标文件（仅需提供与保险索赔相关的部分）；4.投标文件（仅需提供与保险索赔相关的部分）；5.被保险人出具的保险事故发生的证明文件。</w:t>
      </w:r>
    </w:p>
    <w:p>
      <w:pPr>
        <w:widowControl/>
        <w:topLinePunct w:val="0"/>
        <w:jc w:val="center"/>
        <w:rPr>
          <w:color w:val="auto"/>
          <w:highlight w:val="none"/>
        </w:rPr>
      </w:pPr>
      <w:r>
        <w:rPr>
          <w:color w:val="auto"/>
          <w:highlight w:val="none"/>
        </w:rPr>
        <w:br w:type="page"/>
      </w:r>
    </w:p>
    <w:p>
      <w:pPr>
        <w:widowControl/>
        <w:topLinePunct w:val="0"/>
        <w:jc w:val="center"/>
        <w:rPr>
          <w:color w:val="auto"/>
          <w:highlight w:val="none"/>
        </w:rPr>
      </w:pPr>
    </w:p>
    <w:p>
      <w:pPr>
        <w:widowControl/>
        <w:topLinePunct w:val="0"/>
        <w:jc w:val="center"/>
        <w:rPr>
          <w:rFonts w:eastAsia="黑体"/>
          <w:color w:val="auto"/>
          <w:sz w:val="24"/>
          <w:highlight w:val="none"/>
        </w:rPr>
      </w:pPr>
      <w:r>
        <w:rPr>
          <w:rFonts w:eastAsia="黑体"/>
          <w:color w:val="auto"/>
          <w:sz w:val="24"/>
          <w:highlight w:val="none"/>
        </w:rPr>
        <w:t>基本账户证明</w:t>
      </w:r>
    </w:p>
    <w:p>
      <w:pPr>
        <w:spacing w:line="360" w:lineRule="exact"/>
        <w:jc w:val="center"/>
        <w:rPr>
          <w:b/>
          <w:color w:val="auto"/>
          <w:highlight w:val="none"/>
        </w:rPr>
      </w:pPr>
    </w:p>
    <w:p>
      <w:pPr>
        <w:jc w:val="center"/>
        <w:rPr>
          <w:color w:val="auto"/>
          <w:highlight w:val="none"/>
        </w:rPr>
      </w:pPr>
      <w:r>
        <w:rPr>
          <w:color w:val="auto"/>
          <w:highlight w:val="none"/>
        </w:rPr>
        <w:t>（此处粘帖企业基本账户开户许可证扫描件或由投标人基本账户开户银行通过账户管理系统打印的《基本存款账户信息》扫描件）</w:t>
      </w:r>
    </w:p>
    <w:p>
      <w:pPr>
        <w:jc w:val="center"/>
        <w:rPr>
          <w:color w:val="auto"/>
          <w:highlight w:val="none"/>
        </w:rPr>
      </w:pPr>
    </w:p>
    <w:p>
      <w:pPr>
        <w:jc w:val="center"/>
        <w:rPr>
          <w:color w:val="auto"/>
          <w:highlight w:val="none"/>
        </w:rPr>
      </w:pPr>
    </w:p>
    <w:p>
      <w:pPr>
        <w:adjustRightInd w:val="0"/>
        <w:snapToGrid w:val="0"/>
        <w:spacing w:line="400" w:lineRule="exact"/>
        <w:ind w:firstLine="420" w:firstLineChars="200"/>
        <w:rPr>
          <w:color w:val="auto"/>
          <w:szCs w:val="21"/>
          <w:highlight w:val="none"/>
        </w:rPr>
      </w:pPr>
    </w:p>
    <w:p>
      <w:pPr>
        <w:snapToGrid w:val="0"/>
        <w:spacing w:line="400" w:lineRule="exact"/>
        <w:ind w:firstLine="562" w:firstLineChars="200"/>
        <w:rPr>
          <w:rFonts w:eastAsia="黑体"/>
          <w:b/>
          <w:color w:val="auto"/>
          <w:sz w:val="28"/>
          <w:szCs w:val="28"/>
          <w:highlight w:val="none"/>
        </w:rPr>
      </w:pPr>
    </w:p>
    <w:p>
      <w:pPr>
        <w:widowControl/>
        <w:topLinePunct w:val="0"/>
        <w:jc w:val="left"/>
        <w:rPr>
          <w:color w:val="auto"/>
          <w:highlight w:val="none"/>
        </w:rPr>
      </w:pPr>
      <w:r>
        <w:rPr>
          <w:color w:val="auto"/>
          <w:highlight w:val="none"/>
        </w:rPr>
        <w:br w:type="page"/>
      </w:r>
    </w:p>
    <w:p>
      <w:pPr>
        <w:widowControl/>
        <w:jc w:val="left"/>
        <w:rPr>
          <w:color w:val="auto"/>
          <w:highlight w:val="none"/>
        </w:rPr>
      </w:pPr>
    </w:p>
    <w:p>
      <w:pPr>
        <w:widowControl/>
        <w:spacing w:line="480" w:lineRule="auto"/>
        <w:jc w:val="center"/>
        <w:rPr>
          <w:rFonts w:eastAsia="黑体"/>
          <w:color w:val="auto"/>
          <w:sz w:val="24"/>
          <w:highlight w:val="none"/>
        </w:rPr>
      </w:pPr>
      <w:r>
        <w:rPr>
          <w:rFonts w:eastAsia="黑体"/>
          <w:color w:val="auto"/>
          <w:sz w:val="24"/>
          <w:highlight w:val="none"/>
        </w:rPr>
        <w:t>投标保证金明细表（格式）</w:t>
      </w:r>
    </w:p>
    <w:p>
      <w:pPr>
        <w:rPr>
          <w:color w:val="auto"/>
          <w:highlight w:val="none"/>
        </w:rPr>
      </w:pPr>
    </w:p>
    <w:tbl>
      <w:tblPr>
        <w:tblStyle w:val="1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8"/>
        <w:gridCol w:w="1669"/>
        <w:gridCol w:w="1164"/>
        <w:gridCol w:w="2126"/>
        <w:gridCol w:w="2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top w:val="double" w:color="auto" w:sz="4" w:space="0"/>
              <w:left w:val="nil"/>
            </w:tcBorders>
            <w:noWrap w:val="0"/>
            <w:vAlign w:val="center"/>
          </w:tcPr>
          <w:p>
            <w:pPr>
              <w:widowControl/>
              <w:adjustRightInd w:val="0"/>
              <w:snapToGrid w:val="0"/>
              <w:jc w:val="center"/>
              <w:rPr>
                <w:b/>
                <w:color w:val="auto"/>
                <w:highlight w:val="none"/>
              </w:rPr>
            </w:pPr>
            <w:r>
              <w:rPr>
                <w:b/>
                <w:color w:val="auto"/>
                <w:highlight w:val="none"/>
              </w:rPr>
              <w:t>招标编号</w:t>
            </w:r>
          </w:p>
        </w:tc>
        <w:tc>
          <w:tcPr>
            <w:tcW w:w="1669" w:type="dxa"/>
            <w:tcBorders>
              <w:top w:val="double" w:color="auto" w:sz="4" w:space="0"/>
            </w:tcBorders>
            <w:noWrap w:val="0"/>
            <w:vAlign w:val="center"/>
          </w:tcPr>
          <w:p>
            <w:pPr>
              <w:widowControl/>
              <w:adjustRightInd w:val="0"/>
              <w:snapToGrid w:val="0"/>
              <w:jc w:val="center"/>
              <w:rPr>
                <w:b/>
                <w:color w:val="auto"/>
                <w:highlight w:val="none"/>
              </w:rPr>
            </w:pPr>
            <w:r>
              <w:rPr>
                <w:b/>
                <w:color w:val="auto"/>
                <w:highlight w:val="none"/>
              </w:rPr>
              <w:t>分标编号</w:t>
            </w:r>
          </w:p>
        </w:tc>
        <w:tc>
          <w:tcPr>
            <w:tcW w:w="1164" w:type="dxa"/>
            <w:tcBorders>
              <w:top w:val="double" w:color="auto" w:sz="4" w:space="0"/>
            </w:tcBorders>
            <w:noWrap w:val="0"/>
            <w:vAlign w:val="center"/>
          </w:tcPr>
          <w:p>
            <w:pPr>
              <w:widowControl/>
              <w:adjustRightInd w:val="0"/>
              <w:snapToGrid w:val="0"/>
              <w:jc w:val="center"/>
              <w:rPr>
                <w:b/>
                <w:color w:val="auto"/>
                <w:highlight w:val="none"/>
              </w:rPr>
            </w:pPr>
            <w:r>
              <w:rPr>
                <w:b/>
                <w:color w:val="auto"/>
                <w:highlight w:val="none"/>
              </w:rPr>
              <w:t>包号</w:t>
            </w:r>
          </w:p>
        </w:tc>
        <w:tc>
          <w:tcPr>
            <w:tcW w:w="2126" w:type="dxa"/>
            <w:tcBorders>
              <w:top w:val="double" w:color="auto" w:sz="4" w:space="0"/>
              <w:right w:val="nil"/>
            </w:tcBorders>
            <w:noWrap w:val="0"/>
            <w:vAlign w:val="center"/>
          </w:tcPr>
          <w:p>
            <w:pPr>
              <w:widowControl/>
              <w:adjustRightInd w:val="0"/>
              <w:snapToGrid w:val="0"/>
              <w:jc w:val="center"/>
              <w:rPr>
                <w:b/>
                <w:color w:val="auto"/>
                <w:highlight w:val="none"/>
              </w:rPr>
            </w:pPr>
            <w:r>
              <w:rPr>
                <w:b/>
                <w:color w:val="auto"/>
                <w:highlight w:val="none"/>
              </w:rPr>
              <w:t>保证金金额/保单承诺赔付金额</w:t>
            </w:r>
          </w:p>
          <w:p>
            <w:pPr>
              <w:widowControl/>
              <w:adjustRightInd w:val="0"/>
              <w:snapToGrid w:val="0"/>
              <w:jc w:val="center"/>
              <w:rPr>
                <w:b/>
                <w:color w:val="auto"/>
                <w:highlight w:val="none"/>
              </w:rPr>
            </w:pPr>
            <w:r>
              <w:rPr>
                <w:b/>
                <w:color w:val="auto"/>
                <w:highlight w:val="none"/>
              </w:rPr>
              <w:t>（万元）</w:t>
            </w:r>
          </w:p>
        </w:tc>
        <w:tc>
          <w:tcPr>
            <w:tcW w:w="2193" w:type="dxa"/>
            <w:tcBorders>
              <w:top w:val="double" w:color="auto" w:sz="4" w:space="0"/>
              <w:right w:val="nil"/>
            </w:tcBorders>
            <w:noWrap w:val="0"/>
            <w:vAlign w:val="center"/>
          </w:tcPr>
          <w:p>
            <w:pPr>
              <w:widowControl/>
              <w:adjustRightInd w:val="0"/>
              <w:snapToGrid w:val="0"/>
              <w:jc w:val="center"/>
              <w:rPr>
                <w:b/>
                <w:color w:val="auto"/>
                <w:highlight w:val="none"/>
              </w:rPr>
            </w:pPr>
            <w:r>
              <w:rPr>
                <w:b/>
                <w:color w:val="auto"/>
                <w:highlight w:val="none"/>
              </w:rPr>
              <w:t>汇款流水号/保函编号/保单号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tcBorders>
            <w:noWrap w:val="0"/>
            <w:vAlign w:val="top"/>
          </w:tcPr>
          <w:p>
            <w:pPr>
              <w:adjustRightInd w:val="0"/>
              <w:snapToGrid w:val="0"/>
              <w:jc w:val="center"/>
              <w:rPr>
                <w:color w:val="auto"/>
                <w:highlight w:val="none"/>
              </w:rPr>
            </w:pPr>
          </w:p>
        </w:tc>
        <w:tc>
          <w:tcPr>
            <w:tcW w:w="1669" w:type="dxa"/>
            <w:noWrap w:val="0"/>
            <w:vAlign w:val="top"/>
          </w:tcPr>
          <w:p>
            <w:pPr>
              <w:adjustRightInd w:val="0"/>
              <w:snapToGrid w:val="0"/>
              <w:jc w:val="center"/>
              <w:rPr>
                <w:color w:val="auto"/>
                <w:highlight w:val="none"/>
              </w:rPr>
            </w:pPr>
          </w:p>
        </w:tc>
        <w:tc>
          <w:tcPr>
            <w:tcW w:w="1164" w:type="dxa"/>
            <w:noWrap w:val="0"/>
            <w:vAlign w:val="top"/>
          </w:tcPr>
          <w:p>
            <w:pPr>
              <w:adjustRightInd w:val="0"/>
              <w:snapToGrid w:val="0"/>
              <w:jc w:val="center"/>
              <w:rPr>
                <w:color w:val="auto"/>
                <w:highlight w:val="none"/>
              </w:rPr>
            </w:pPr>
          </w:p>
        </w:tc>
        <w:tc>
          <w:tcPr>
            <w:tcW w:w="2126" w:type="dxa"/>
            <w:tcBorders>
              <w:right w:val="nil"/>
            </w:tcBorders>
            <w:noWrap w:val="0"/>
            <w:vAlign w:val="top"/>
          </w:tcPr>
          <w:p>
            <w:pPr>
              <w:adjustRightInd w:val="0"/>
              <w:snapToGrid w:val="0"/>
              <w:jc w:val="center"/>
              <w:rPr>
                <w:color w:val="auto"/>
                <w:highlight w:val="none"/>
              </w:rPr>
            </w:pPr>
          </w:p>
        </w:tc>
        <w:tc>
          <w:tcPr>
            <w:tcW w:w="2193" w:type="dxa"/>
            <w:tcBorders>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tcBorders>
            <w:noWrap w:val="0"/>
            <w:vAlign w:val="top"/>
          </w:tcPr>
          <w:p>
            <w:pPr>
              <w:adjustRightInd w:val="0"/>
              <w:snapToGrid w:val="0"/>
              <w:jc w:val="center"/>
              <w:rPr>
                <w:color w:val="auto"/>
                <w:highlight w:val="none"/>
              </w:rPr>
            </w:pPr>
          </w:p>
        </w:tc>
        <w:tc>
          <w:tcPr>
            <w:tcW w:w="1669" w:type="dxa"/>
            <w:noWrap w:val="0"/>
            <w:vAlign w:val="top"/>
          </w:tcPr>
          <w:p>
            <w:pPr>
              <w:adjustRightInd w:val="0"/>
              <w:snapToGrid w:val="0"/>
              <w:jc w:val="center"/>
              <w:rPr>
                <w:color w:val="auto"/>
                <w:highlight w:val="none"/>
              </w:rPr>
            </w:pPr>
          </w:p>
        </w:tc>
        <w:tc>
          <w:tcPr>
            <w:tcW w:w="1164" w:type="dxa"/>
            <w:noWrap w:val="0"/>
            <w:vAlign w:val="top"/>
          </w:tcPr>
          <w:p>
            <w:pPr>
              <w:adjustRightInd w:val="0"/>
              <w:snapToGrid w:val="0"/>
              <w:jc w:val="center"/>
              <w:rPr>
                <w:color w:val="auto"/>
                <w:highlight w:val="none"/>
              </w:rPr>
            </w:pPr>
          </w:p>
        </w:tc>
        <w:tc>
          <w:tcPr>
            <w:tcW w:w="2126" w:type="dxa"/>
            <w:tcBorders>
              <w:right w:val="nil"/>
            </w:tcBorders>
            <w:noWrap w:val="0"/>
            <w:vAlign w:val="top"/>
          </w:tcPr>
          <w:p>
            <w:pPr>
              <w:adjustRightInd w:val="0"/>
              <w:snapToGrid w:val="0"/>
              <w:jc w:val="center"/>
              <w:rPr>
                <w:color w:val="auto"/>
                <w:highlight w:val="none"/>
              </w:rPr>
            </w:pPr>
          </w:p>
        </w:tc>
        <w:tc>
          <w:tcPr>
            <w:tcW w:w="2193" w:type="dxa"/>
            <w:tcBorders>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tcBorders>
            <w:noWrap w:val="0"/>
            <w:vAlign w:val="top"/>
          </w:tcPr>
          <w:p>
            <w:pPr>
              <w:adjustRightInd w:val="0"/>
              <w:snapToGrid w:val="0"/>
              <w:jc w:val="center"/>
              <w:rPr>
                <w:color w:val="auto"/>
                <w:highlight w:val="none"/>
              </w:rPr>
            </w:pPr>
          </w:p>
        </w:tc>
        <w:tc>
          <w:tcPr>
            <w:tcW w:w="1669" w:type="dxa"/>
            <w:noWrap w:val="0"/>
            <w:vAlign w:val="top"/>
          </w:tcPr>
          <w:p>
            <w:pPr>
              <w:adjustRightInd w:val="0"/>
              <w:snapToGrid w:val="0"/>
              <w:jc w:val="center"/>
              <w:rPr>
                <w:color w:val="auto"/>
                <w:highlight w:val="none"/>
              </w:rPr>
            </w:pPr>
          </w:p>
        </w:tc>
        <w:tc>
          <w:tcPr>
            <w:tcW w:w="1164" w:type="dxa"/>
            <w:noWrap w:val="0"/>
            <w:vAlign w:val="top"/>
          </w:tcPr>
          <w:p>
            <w:pPr>
              <w:adjustRightInd w:val="0"/>
              <w:snapToGrid w:val="0"/>
              <w:jc w:val="center"/>
              <w:rPr>
                <w:color w:val="auto"/>
                <w:highlight w:val="none"/>
              </w:rPr>
            </w:pPr>
          </w:p>
        </w:tc>
        <w:tc>
          <w:tcPr>
            <w:tcW w:w="2126" w:type="dxa"/>
            <w:tcBorders>
              <w:right w:val="nil"/>
            </w:tcBorders>
            <w:noWrap w:val="0"/>
            <w:vAlign w:val="top"/>
          </w:tcPr>
          <w:p>
            <w:pPr>
              <w:adjustRightInd w:val="0"/>
              <w:snapToGrid w:val="0"/>
              <w:jc w:val="center"/>
              <w:rPr>
                <w:color w:val="auto"/>
                <w:highlight w:val="none"/>
              </w:rPr>
            </w:pPr>
          </w:p>
        </w:tc>
        <w:tc>
          <w:tcPr>
            <w:tcW w:w="2193" w:type="dxa"/>
            <w:tcBorders>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bottom w:val="single" w:color="auto" w:sz="4" w:space="0"/>
            </w:tcBorders>
            <w:noWrap w:val="0"/>
            <w:vAlign w:val="top"/>
          </w:tcPr>
          <w:p>
            <w:pPr>
              <w:adjustRightInd w:val="0"/>
              <w:snapToGrid w:val="0"/>
              <w:jc w:val="center"/>
              <w:rPr>
                <w:color w:val="auto"/>
                <w:highlight w:val="none"/>
              </w:rPr>
            </w:pPr>
          </w:p>
        </w:tc>
        <w:tc>
          <w:tcPr>
            <w:tcW w:w="1669" w:type="dxa"/>
            <w:tcBorders>
              <w:bottom w:val="single" w:color="auto" w:sz="4" w:space="0"/>
            </w:tcBorders>
            <w:noWrap w:val="0"/>
            <w:vAlign w:val="top"/>
          </w:tcPr>
          <w:p>
            <w:pPr>
              <w:adjustRightInd w:val="0"/>
              <w:snapToGrid w:val="0"/>
              <w:jc w:val="center"/>
              <w:rPr>
                <w:color w:val="auto"/>
                <w:highlight w:val="none"/>
              </w:rPr>
            </w:pPr>
          </w:p>
        </w:tc>
        <w:tc>
          <w:tcPr>
            <w:tcW w:w="1164" w:type="dxa"/>
            <w:tcBorders>
              <w:bottom w:val="single" w:color="auto" w:sz="4" w:space="0"/>
            </w:tcBorders>
            <w:noWrap w:val="0"/>
            <w:vAlign w:val="top"/>
          </w:tcPr>
          <w:p>
            <w:pPr>
              <w:adjustRightInd w:val="0"/>
              <w:snapToGrid w:val="0"/>
              <w:jc w:val="center"/>
              <w:rPr>
                <w:color w:val="auto"/>
                <w:highlight w:val="none"/>
              </w:rPr>
            </w:pPr>
          </w:p>
        </w:tc>
        <w:tc>
          <w:tcPr>
            <w:tcW w:w="2126" w:type="dxa"/>
            <w:tcBorders>
              <w:bottom w:val="single" w:color="auto" w:sz="4" w:space="0"/>
              <w:right w:val="nil"/>
            </w:tcBorders>
            <w:noWrap w:val="0"/>
            <w:vAlign w:val="top"/>
          </w:tcPr>
          <w:p>
            <w:pPr>
              <w:adjustRightInd w:val="0"/>
              <w:snapToGrid w:val="0"/>
              <w:jc w:val="center"/>
              <w:rPr>
                <w:color w:val="auto"/>
                <w:highlight w:val="none"/>
              </w:rPr>
            </w:pPr>
          </w:p>
        </w:tc>
        <w:tc>
          <w:tcPr>
            <w:tcW w:w="2193" w:type="dxa"/>
            <w:tcBorders>
              <w:bottom w:val="single" w:color="auto" w:sz="4" w:space="0"/>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bottom w:val="double" w:color="auto" w:sz="4" w:space="0"/>
            </w:tcBorders>
            <w:noWrap w:val="0"/>
            <w:vAlign w:val="top"/>
          </w:tcPr>
          <w:p>
            <w:pPr>
              <w:adjustRightInd w:val="0"/>
              <w:snapToGrid w:val="0"/>
              <w:jc w:val="center"/>
              <w:rPr>
                <w:color w:val="auto"/>
                <w:highlight w:val="none"/>
              </w:rPr>
            </w:pPr>
          </w:p>
        </w:tc>
        <w:tc>
          <w:tcPr>
            <w:tcW w:w="1669" w:type="dxa"/>
            <w:tcBorders>
              <w:bottom w:val="double" w:color="auto" w:sz="4" w:space="0"/>
            </w:tcBorders>
            <w:noWrap w:val="0"/>
            <w:vAlign w:val="top"/>
          </w:tcPr>
          <w:p>
            <w:pPr>
              <w:adjustRightInd w:val="0"/>
              <w:snapToGrid w:val="0"/>
              <w:jc w:val="center"/>
              <w:rPr>
                <w:color w:val="auto"/>
                <w:highlight w:val="none"/>
              </w:rPr>
            </w:pPr>
          </w:p>
        </w:tc>
        <w:tc>
          <w:tcPr>
            <w:tcW w:w="1164" w:type="dxa"/>
            <w:tcBorders>
              <w:bottom w:val="double" w:color="auto" w:sz="4" w:space="0"/>
            </w:tcBorders>
            <w:noWrap w:val="0"/>
            <w:vAlign w:val="top"/>
          </w:tcPr>
          <w:p>
            <w:pPr>
              <w:adjustRightInd w:val="0"/>
              <w:snapToGrid w:val="0"/>
              <w:jc w:val="center"/>
              <w:rPr>
                <w:color w:val="auto"/>
                <w:highlight w:val="none"/>
              </w:rPr>
            </w:pPr>
          </w:p>
        </w:tc>
        <w:tc>
          <w:tcPr>
            <w:tcW w:w="2126" w:type="dxa"/>
            <w:tcBorders>
              <w:bottom w:val="double" w:color="auto" w:sz="4" w:space="0"/>
              <w:right w:val="nil"/>
            </w:tcBorders>
            <w:noWrap w:val="0"/>
            <w:vAlign w:val="top"/>
          </w:tcPr>
          <w:p>
            <w:pPr>
              <w:adjustRightInd w:val="0"/>
              <w:snapToGrid w:val="0"/>
              <w:jc w:val="center"/>
              <w:rPr>
                <w:color w:val="auto"/>
                <w:highlight w:val="none"/>
              </w:rPr>
            </w:pPr>
          </w:p>
        </w:tc>
        <w:tc>
          <w:tcPr>
            <w:tcW w:w="2193" w:type="dxa"/>
            <w:tcBorders>
              <w:bottom w:val="double" w:color="auto" w:sz="4" w:space="0"/>
              <w:right w:val="nil"/>
            </w:tcBorders>
            <w:noWrap w:val="0"/>
            <w:vAlign w:val="top"/>
          </w:tcPr>
          <w:p>
            <w:pPr>
              <w:adjustRightInd w:val="0"/>
              <w:snapToGrid w:val="0"/>
              <w:jc w:val="center"/>
              <w:rPr>
                <w:color w:val="auto"/>
                <w:highlight w:val="none"/>
              </w:rPr>
            </w:pPr>
          </w:p>
        </w:tc>
      </w:tr>
    </w:tbl>
    <w:p>
      <w:pPr>
        <w:adjustRightInd w:val="0"/>
        <w:snapToGrid w:val="0"/>
        <w:ind w:firstLine="420" w:firstLineChars="200"/>
        <w:rPr>
          <w:color w:val="auto"/>
          <w:highlight w:val="none"/>
        </w:rPr>
      </w:pPr>
      <w:r>
        <w:rPr>
          <w:color w:val="auto"/>
          <w:highlight w:val="none"/>
        </w:rPr>
        <w:t>1.未按招标文件要求提交投标保证金的，</w:t>
      </w:r>
      <w:r>
        <w:rPr>
          <w:color w:val="auto"/>
          <w:szCs w:val="21"/>
          <w:highlight w:val="none"/>
        </w:rPr>
        <w:t>其投标作否决投标的处理</w:t>
      </w:r>
      <w:r>
        <w:rPr>
          <w:color w:val="auto"/>
          <w:highlight w:val="none"/>
        </w:rPr>
        <w:t>。</w:t>
      </w:r>
    </w:p>
    <w:p>
      <w:pPr>
        <w:adjustRightInd w:val="0"/>
        <w:snapToGrid w:val="0"/>
        <w:ind w:firstLine="420" w:firstLineChars="200"/>
        <w:rPr>
          <w:b/>
          <w:color w:val="auto"/>
          <w:highlight w:val="none"/>
        </w:rPr>
      </w:pPr>
      <w:r>
        <w:rPr>
          <w:color w:val="auto"/>
          <w:highlight w:val="none"/>
        </w:rPr>
        <w:t>2.</w:t>
      </w:r>
      <w:r>
        <w:rPr>
          <w:b/>
          <w:color w:val="auto"/>
          <w:szCs w:val="21"/>
          <w:highlight w:val="none"/>
        </w:rPr>
        <w:t>对于提交电汇、银行保函、投标保证保险的投标人，</w:t>
      </w:r>
      <w:r>
        <w:rPr>
          <w:color w:val="auto"/>
          <w:szCs w:val="21"/>
          <w:highlight w:val="none"/>
        </w:rPr>
        <w:t>按以上格式编制投标保证金明细表。</w:t>
      </w:r>
      <w:r>
        <w:rPr>
          <w:b/>
          <w:color w:val="auto"/>
          <w:highlight w:val="none"/>
        </w:rPr>
        <w:t>对于未提供保证金明细表或所提供的明细表内容不全的、所提供的明细表内容表达描述模糊不清的，招标人将按照项目招标编号、分标编号、包号顺序核定。</w:t>
      </w:r>
    </w:p>
    <w:p>
      <w:pPr>
        <w:pStyle w:val="53"/>
        <w:ind w:firstLine="413" w:firstLineChars="196"/>
        <w:rPr>
          <w:rFonts w:ascii="Times New Roman" w:hAnsi="Times New Roman"/>
          <w:b/>
          <w:color w:val="auto"/>
          <w:sz w:val="24"/>
          <w:highlight w:val="none"/>
        </w:rPr>
      </w:pPr>
      <w:r>
        <w:rPr>
          <w:rFonts w:ascii="Times New Roman" w:hAnsi="Times New Roman"/>
          <w:b/>
          <w:color w:val="auto"/>
          <w:highlight w:val="none"/>
        </w:rPr>
        <w:t>3.提供国家电网有限公司集中招标采购年度投标保证金的，无需提供此表格。</w:t>
      </w:r>
    </w:p>
    <w:p>
      <w:pPr>
        <w:pStyle w:val="17"/>
        <w:numPr>
          <w:ilvl w:val="0"/>
          <w:numId w:val="0"/>
        </w:numPr>
        <w:ind w:leftChars="0"/>
        <w:rPr>
          <w:rFonts w:hint="eastAsia"/>
          <w:color w:val="auto"/>
          <w:highlight w:val="none"/>
        </w:rPr>
      </w:pPr>
    </w:p>
    <w:p>
      <w:pPr>
        <w:rPr>
          <w:rFonts w:hint="eastAsia"/>
          <w:color w:val="auto"/>
          <w:highlight w:val="none"/>
        </w:rPr>
      </w:pPr>
      <w:r>
        <w:rPr>
          <w:rFonts w:hint="eastAsia"/>
          <w:color w:val="auto"/>
          <w:highlight w:val="none"/>
        </w:rPr>
        <w:br w:type="page"/>
      </w:r>
    </w:p>
    <w:p>
      <w:pPr>
        <w:rPr>
          <w:rFonts w:hint="eastAsia"/>
          <w:color w:val="auto"/>
          <w:highlight w:val="none"/>
        </w:rPr>
      </w:pP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6</w:t>
      </w:r>
      <w:r>
        <w:rPr>
          <w:rFonts w:hint="eastAsia" w:ascii="宋体" w:hAnsi="宋体" w:eastAsia="宋体" w:cs="宋体"/>
          <w:i w:val="0"/>
          <w:iCs w:val="0"/>
          <w:color w:val="auto"/>
          <w:kern w:val="0"/>
          <w:sz w:val="20"/>
          <w:szCs w:val="20"/>
          <w:highlight w:val="none"/>
          <w:u w:val="none"/>
          <w:lang w:val="en-US" w:eastAsia="zh-CN" w:bidi="ar"/>
        </w:rPr>
        <w:t>.安全质量事故查询响应表</w:t>
      </w:r>
    </w:p>
    <w:p>
      <w:pPr>
        <w:spacing w:line="400" w:lineRule="exact"/>
        <w:ind w:firstLine="420" w:firstLineChars="200"/>
        <w:rPr>
          <w:rFonts w:hint="eastAsia" w:eastAsia="宋体"/>
          <w:color w:val="auto"/>
          <w:szCs w:val="21"/>
          <w:highlight w:val="none"/>
          <w:lang w:eastAsia="zh-CN"/>
        </w:rPr>
      </w:pPr>
      <w:r>
        <w:rPr>
          <w:rFonts w:hint="eastAsia"/>
          <w:color w:val="auto"/>
          <w:szCs w:val="21"/>
          <w:highlight w:val="none"/>
        </w:rPr>
        <w:t>请投标人根据招标公告安全质量要求填写下表并承诺内容真实，若此处提供虚假信息且经查证属实的，根据招标文件规定的否决情形处理</w:t>
      </w:r>
      <w:r>
        <w:rPr>
          <w:rFonts w:hint="eastAsia"/>
          <w:color w:val="auto"/>
          <w:szCs w:val="21"/>
          <w:highlight w:val="none"/>
          <w:lang w:eastAsia="zh-CN"/>
        </w:rPr>
        <w:t>。</w:t>
      </w:r>
    </w:p>
    <w:p>
      <w:pPr>
        <w:spacing w:line="360" w:lineRule="exact"/>
        <w:ind w:firstLine="420"/>
        <w:rPr>
          <w:color w:val="auto"/>
          <w:highlight w:val="none"/>
        </w:rPr>
      </w:pPr>
    </w:p>
    <w:p>
      <w:pPr>
        <w:spacing w:line="360" w:lineRule="exact"/>
        <w:ind w:firstLine="420" w:firstLineChars="200"/>
        <w:jc w:val="center"/>
        <w:rPr>
          <w:color w:val="auto"/>
          <w:highlight w:val="none"/>
        </w:rPr>
      </w:pPr>
      <w:r>
        <w:rPr>
          <w:color w:val="auto"/>
          <w:highlight w:val="none"/>
        </w:rPr>
        <w:t>开标日前三年内投标人安全事故情况统计表</w:t>
      </w:r>
    </w:p>
    <w:tbl>
      <w:tblPr>
        <w:tblStyle w:val="19"/>
        <w:tblW w:w="4998" w:type="pct"/>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autofit"/>
        <w:tblCellMar>
          <w:top w:w="0" w:type="dxa"/>
          <w:left w:w="108" w:type="dxa"/>
          <w:bottom w:w="0" w:type="dxa"/>
          <w:right w:w="108" w:type="dxa"/>
        </w:tblCellMar>
      </w:tblPr>
      <w:tblGrid>
        <w:gridCol w:w="648"/>
        <w:gridCol w:w="1245"/>
        <w:gridCol w:w="2311"/>
        <w:gridCol w:w="1300"/>
        <w:gridCol w:w="1889"/>
        <w:gridCol w:w="188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tcBorders>
              <w:top w:val="single" w:color="auto" w:sz="8" w:space="0"/>
            </w:tcBorders>
            <w:noWrap w:val="0"/>
            <w:vAlign w:val="center"/>
          </w:tcPr>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序号</w:t>
            </w:r>
          </w:p>
        </w:tc>
        <w:tc>
          <w:tcPr>
            <w:tcW w:w="670" w:type="pct"/>
            <w:tcBorders>
              <w:top w:val="single" w:color="auto" w:sz="8" w:space="0"/>
            </w:tcBorders>
            <w:noWrap w:val="0"/>
            <w:vAlign w:val="center"/>
          </w:tcPr>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发生时间</w:t>
            </w:r>
          </w:p>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（年月日）</w:t>
            </w:r>
          </w:p>
        </w:tc>
        <w:tc>
          <w:tcPr>
            <w:tcW w:w="1244" w:type="pct"/>
            <w:tcBorders>
              <w:top w:val="single" w:color="auto" w:sz="8" w:space="0"/>
              <w:right w:val="single" w:color="auto" w:sz="4" w:space="0"/>
            </w:tcBorders>
            <w:noWrap w:val="0"/>
            <w:vAlign w:val="center"/>
          </w:tcPr>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事故概况</w:t>
            </w:r>
          </w:p>
        </w:tc>
        <w:tc>
          <w:tcPr>
            <w:tcW w:w="700" w:type="pct"/>
            <w:tcBorders>
              <w:top w:val="single" w:color="auto" w:sz="8" w:space="0"/>
              <w:right w:val="single" w:color="auto" w:sz="4" w:space="0"/>
            </w:tcBorders>
            <w:noWrap w:val="0"/>
            <w:vAlign w:val="center"/>
          </w:tcPr>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死伤情况</w:t>
            </w:r>
          </w:p>
        </w:tc>
        <w:tc>
          <w:tcPr>
            <w:tcW w:w="1017" w:type="pct"/>
            <w:tcBorders>
              <w:top w:val="single" w:color="auto" w:sz="8" w:space="0"/>
              <w:right w:val="single" w:color="auto" w:sz="4" w:space="0"/>
            </w:tcBorders>
            <w:noWrap w:val="0"/>
            <w:vAlign w:val="top"/>
          </w:tcPr>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招标人事故快报/舆情通报文号</w:t>
            </w:r>
          </w:p>
        </w:tc>
        <w:tc>
          <w:tcPr>
            <w:tcW w:w="1017" w:type="pct"/>
            <w:tcBorders>
              <w:top w:val="single" w:color="auto" w:sz="8" w:space="0"/>
              <w:left w:val="single" w:color="auto" w:sz="4" w:space="0"/>
            </w:tcBorders>
            <w:noWrap w:val="0"/>
            <w:vAlign w:val="center"/>
          </w:tcPr>
          <w:p>
            <w:pPr>
              <w:pStyle w:val="50"/>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政府调查报告或招标人调查结果通报文号</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50"/>
              <w:snapToGrid w:val="0"/>
              <w:spacing w:before="50" w:after="50"/>
              <w:jc w:val="center"/>
              <w:rPr>
                <w:rFonts w:ascii="Times New Roman" w:hAnsi="Times New Roman"/>
                <w:color w:val="auto"/>
                <w:sz w:val="18"/>
                <w:highlight w:val="none"/>
              </w:rPr>
            </w:pPr>
            <w:r>
              <w:rPr>
                <w:rFonts w:ascii="Times New Roman" w:hAnsi="Times New Roman"/>
                <w:color w:val="auto"/>
                <w:sz w:val="18"/>
                <w:highlight w:val="none"/>
              </w:rPr>
              <w:t>1</w:t>
            </w:r>
          </w:p>
        </w:tc>
        <w:tc>
          <w:tcPr>
            <w:tcW w:w="670" w:type="pct"/>
            <w:noWrap w:val="0"/>
            <w:vAlign w:val="center"/>
          </w:tcPr>
          <w:p>
            <w:pPr>
              <w:pStyle w:val="50"/>
              <w:snapToGrid w:val="0"/>
              <w:spacing w:before="50" w:after="50"/>
              <w:jc w:val="center"/>
              <w:rPr>
                <w:rFonts w:ascii="Times New Roman" w:hAnsi="Times New Roman"/>
                <w:color w:val="auto"/>
                <w:sz w:val="18"/>
                <w:highlight w:val="none"/>
              </w:rPr>
            </w:pPr>
          </w:p>
        </w:tc>
        <w:tc>
          <w:tcPr>
            <w:tcW w:w="1244" w:type="pct"/>
            <w:tcBorders>
              <w:right w:val="single" w:color="auto" w:sz="4" w:space="0"/>
            </w:tcBorders>
            <w:noWrap w:val="0"/>
            <w:vAlign w:val="center"/>
          </w:tcPr>
          <w:p>
            <w:pPr>
              <w:pStyle w:val="50"/>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50"/>
              <w:snapToGrid w:val="0"/>
              <w:spacing w:before="50" w:after="50"/>
              <w:jc w:val="cente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50"/>
              <w:keepNext/>
              <w:keepLines/>
              <w:adjustRightInd w:val="0"/>
              <w:snapToGrid w:val="0"/>
              <w:spacing w:before="50" w:after="50" w:line="312" w:lineRule="atLeast"/>
              <w:jc w:val="center"/>
              <w:textAlignment w:val="baseline"/>
              <w:rPr>
                <w:rFonts w:ascii="Times New Roman" w:hAnsi="Times New Roman"/>
                <w:color w:val="auto"/>
                <w:sz w:val="18"/>
                <w:highlight w:val="none"/>
              </w:rPr>
            </w:pPr>
            <w:r>
              <w:rPr>
                <w:rFonts w:ascii="Times New Roman" w:hAnsi="Times New Roman"/>
                <w:color w:val="auto"/>
                <w:sz w:val="18"/>
                <w:highlight w:val="none"/>
              </w:rPr>
              <w:t>2</w:t>
            </w:r>
          </w:p>
        </w:tc>
        <w:tc>
          <w:tcPr>
            <w:tcW w:w="670" w:type="pct"/>
            <w:noWrap w:val="0"/>
            <w:vAlign w:val="center"/>
          </w:tcPr>
          <w:p>
            <w:pPr>
              <w:pStyle w:val="50"/>
              <w:snapToGrid w:val="0"/>
              <w:spacing w:before="50" w:after="50"/>
              <w:jc w:val="center"/>
              <w:rPr>
                <w:rFonts w:ascii="Times New Roman" w:hAnsi="Times New Roman"/>
                <w:color w:val="auto"/>
                <w:sz w:val="18"/>
                <w:highlight w:val="none"/>
              </w:rPr>
            </w:pPr>
          </w:p>
        </w:tc>
        <w:tc>
          <w:tcPr>
            <w:tcW w:w="1244" w:type="pct"/>
            <w:tcBorders>
              <w:right w:val="single" w:color="auto" w:sz="4" w:space="0"/>
            </w:tcBorders>
            <w:noWrap w:val="0"/>
            <w:vAlign w:val="center"/>
          </w:tcPr>
          <w:p>
            <w:pPr>
              <w:pStyle w:val="50"/>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50"/>
              <w:snapToGrid w:val="0"/>
              <w:spacing w:before="50" w:after="50"/>
              <w:jc w:val="cente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50"/>
              <w:keepNext/>
              <w:keepLines/>
              <w:adjustRightInd w:val="0"/>
              <w:snapToGrid w:val="0"/>
              <w:spacing w:before="50" w:after="50" w:line="312" w:lineRule="atLeast"/>
              <w:jc w:val="center"/>
              <w:textAlignment w:val="baseline"/>
              <w:rPr>
                <w:rFonts w:ascii="Times New Roman" w:hAnsi="Times New Roman"/>
                <w:color w:val="auto"/>
                <w:sz w:val="18"/>
                <w:highlight w:val="none"/>
              </w:rPr>
            </w:pPr>
            <w:r>
              <w:rPr>
                <w:rFonts w:ascii="Times New Roman" w:hAnsi="Times New Roman"/>
                <w:color w:val="auto"/>
                <w:sz w:val="18"/>
                <w:highlight w:val="none"/>
              </w:rPr>
              <w:t>3</w:t>
            </w:r>
          </w:p>
        </w:tc>
        <w:tc>
          <w:tcPr>
            <w:tcW w:w="670" w:type="pct"/>
            <w:noWrap w:val="0"/>
            <w:vAlign w:val="center"/>
          </w:tcPr>
          <w:p>
            <w:pPr>
              <w:pStyle w:val="50"/>
              <w:snapToGrid w:val="0"/>
              <w:spacing w:before="50" w:after="50"/>
              <w:jc w:val="center"/>
              <w:rPr>
                <w:rFonts w:ascii="Times New Roman" w:hAnsi="Times New Roman"/>
                <w:color w:val="auto"/>
                <w:sz w:val="18"/>
                <w:highlight w:val="none"/>
              </w:rPr>
            </w:pPr>
          </w:p>
        </w:tc>
        <w:tc>
          <w:tcPr>
            <w:tcW w:w="1244" w:type="pct"/>
            <w:tcBorders>
              <w:right w:val="single" w:color="auto" w:sz="4" w:space="0"/>
            </w:tcBorders>
            <w:noWrap w:val="0"/>
            <w:vAlign w:val="center"/>
          </w:tcPr>
          <w:p>
            <w:pPr>
              <w:pStyle w:val="50"/>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50"/>
              <w:snapToGrid w:val="0"/>
              <w:spacing w:before="50" w:after="50"/>
              <w:jc w:val="cente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50"/>
              <w:keepNext/>
              <w:keepLines/>
              <w:adjustRightInd w:val="0"/>
              <w:snapToGrid w:val="0"/>
              <w:spacing w:before="50" w:after="50" w:line="312" w:lineRule="atLeast"/>
              <w:jc w:val="center"/>
              <w:textAlignment w:val="baseline"/>
              <w:rPr>
                <w:rFonts w:ascii="Times New Roman" w:hAnsi="Times New Roman"/>
                <w:color w:val="auto"/>
                <w:sz w:val="18"/>
                <w:highlight w:val="none"/>
              </w:rPr>
            </w:pPr>
            <w:r>
              <w:rPr>
                <w:rFonts w:ascii="Times New Roman" w:hAnsi="Times New Roman"/>
                <w:color w:val="auto"/>
                <w:sz w:val="18"/>
                <w:highlight w:val="none"/>
              </w:rPr>
              <w:t>…</w:t>
            </w:r>
          </w:p>
        </w:tc>
        <w:tc>
          <w:tcPr>
            <w:tcW w:w="670" w:type="pct"/>
            <w:noWrap w:val="0"/>
            <w:vAlign w:val="center"/>
          </w:tcPr>
          <w:p>
            <w:pPr>
              <w:pStyle w:val="50"/>
              <w:snapToGrid w:val="0"/>
              <w:spacing w:before="50" w:after="50"/>
              <w:jc w:val="center"/>
              <w:rPr>
                <w:rFonts w:ascii="Times New Roman" w:hAnsi="Times New Roman"/>
                <w:color w:val="auto"/>
                <w:sz w:val="18"/>
                <w:highlight w:val="none"/>
              </w:rPr>
            </w:pPr>
          </w:p>
        </w:tc>
        <w:tc>
          <w:tcPr>
            <w:tcW w:w="1244" w:type="pct"/>
            <w:tcBorders>
              <w:right w:val="single" w:color="auto" w:sz="4" w:space="0"/>
            </w:tcBorders>
            <w:noWrap w:val="0"/>
            <w:vAlign w:val="center"/>
          </w:tcPr>
          <w:p>
            <w:pPr>
              <w:pStyle w:val="50"/>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50"/>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50"/>
              <w:snapToGrid w:val="0"/>
              <w:spacing w:before="50" w:after="50"/>
              <w:jc w:val="center"/>
              <w:rPr>
                <w:rFonts w:ascii="Times New Roman" w:hAnsi="Times New Roman"/>
                <w:color w:val="auto"/>
                <w:sz w:val="18"/>
                <w:highlight w:val="none"/>
              </w:rPr>
            </w:pPr>
          </w:p>
        </w:tc>
      </w:tr>
    </w:tbl>
    <w:p>
      <w:pPr>
        <w:rPr>
          <w:color w:val="auto"/>
          <w:kern w:val="1"/>
          <w:sz w:val="20"/>
          <w:szCs w:val="18"/>
          <w:highlight w:val="none"/>
          <w:lang w:eastAsia="ar-SA"/>
        </w:rPr>
      </w:pPr>
      <w:r>
        <w:rPr>
          <w:color w:val="auto"/>
          <w:kern w:val="1"/>
          <w:sz w:val="20"/>
          <w:szCs w:val="18"/>
          <w:highlight w:val="none"/>
          <w:lang w:eastAsia="ar-SA"/>
        </w:rPr>
        <w:t>备注：1.投标人应如实填报安全事故情况；</w:t>
      </w:r>
    </w:p>
    <w:p>
      <w:pPr>
        <w:ind w:firstLine="600" w:firstLineChars="300"/>
        <w:rPr>
          <w:color w:val="auto"/>
          <w:kern w:val="1"/>
          <w:sz w:val="20"/>
          <w:szCs w:val="18"/>
          <w:highlight w:val="none"/>
        </w:rPr>
      </w:pPr>
      <w:r>
        <w:rPr>
          <w:color w:val="auto"/>
          <w:kern w:val="1"/>
          <w:sz w:val="20"/>
          <w:szCs w:val="18"/>
          <w:highlight w:val="none"/>
          <w:lang w:eastAsia="ar-SA"/>
        </w:rPr>
        <w:t>2.对每一起安全事故，应附招标人事故快报/舆情通报及政府或招标人调查结果报告/通报全文，事故还未产生调查结果的，调查结果文号列可填写“暂无”。</w:t>
      </w:r>
    </w:p>
    <w:p>
      <w:pPr>
        <w:widowControl/>
        <w:topLinePunct w:val="0"/>
        <w:ind w:firstLine="540" w:firstLineChars="269"/>
        <w:jc w:val="left"/>
        <w:rPr>
          <w:color w:val="auto"/>
          <w:highlight w:val="none"/>
        </w:rPr>
      </w:pPr>
      <w:r>
        <w:rPr>
          <w:b/>
          <w:color w:val="auto"/>
          <w:kern w:val="1"/>
          <w:sz w:val="20"/>
          <w:szCs w:val="18"/>
          <w:highlight w:val="none"/>
          <w:lang w:eastAsia="ar-SA"/>
        </w:rPr>
        <w:t>3.</w:t>
      </w:r>
      <w:r>
        <w:rPr>
          <w:b/>
          <w:color w:val="auto"/>
          <w:kern w:val="1"/>
          <w:sz w:val="20"/>
          <w:szCs w:val="18"/>
          <w:highlight w:val="none"/>
        </w:rPr>
        <w:t>如近三年无事故，可不提供上表，仅提供近三年无伤亡事故年报及工程质量情况年报或季报</w:t>
      </w:r>
      <w:r>
        <w:rPr>
          <w:rFonts w:hint="eastAsia"/>
          <w:b/>
          <w:color w:val="auto"/>
          <w:kern w:val="1"/>
          <w:sz w:val="20"/>
          <w:szCs w:val="18"/>
          <w:highlight w:val="none"/>
          <w:lang w:eastAsia="zh-CN"/>
        </w:rPr>
        <w:t>，或本单位或上级部门提供的无事故和质量情况证明文件</w:t>
      </w:r>
      <w:r>
        <w:rPr>
          <w:b/>
          <w:color w:val="auto"/>
          <w:kern w:val="1"/>
          <w:sz w:val="20"/>
          <w:szCs w:val="18"/>
          <w:highlight w:val="none"/>
        </w:rPr>
        <w:t>。</w:t>
      </w:r>
    </w:p>
    <w:p>
      <w:pPr>
        <w:pStyle w:val="17"/>
        <w:rPr>
          <w:rFonts w:hint="eastAsia"/>
          <w:color w:val="auto"/>
          <w:highlight w:val="none"/>
          <w:lang w:val="en-US" w:eastAsia="zh-CN"/>
        </w:rPr>
      </w:pPr>
    </w:p>
    <w:p>
      <w:pPr>
        <w:rPr>
          <w:rFonts w:hint="eastAsia"/>
          <w:color w:val="auto"/>
          <w:highlight w:val="none"/>
        </w:rPr>
      </w:pPr>
      <w:r>
        <w:rPr>
          <w:rFonts w:hint="eastAsia"/>
          <w:color w:val="auto"/>
          <w:highlight w:val="none"/>
        </w:rPr>
        <w:br w:type="page"/>
      </w:r>
    </w:p>
    <w:p>
      <w:pPr>
        <w:pStyle w:val="18"/>
        <w:rPr>
          <w:rFonts w:hint="eastAsia"/>
          <w:color w:val="auto"/>
          <w:highlight w:val="none"/>
        </w:rPr>
      </w:pPr>
    </w:p>
    <w:p>
      <w:pPr>
        <w:keepNext w:val="0"/>
        <w:keepLines w:val="0"/>
        <w:widowControl/>
        <w:suppressLineNumbers w:val="0"/>
        <w:jc w:val="left"/>
        <w:textAlignment w:val="center"/>
        <w:rPr>
          <w:color w:val="auto"/>
          <w:szCs w:val="21"/>
          <w:highlight w:val="none"/>
        </w:rPr>
      </w:pPr>
      <w:r>
        <w:rPr>
          <w:rFonts w:hint="eastAsia" w:ascii="宋体" w:hAnsi="宋体" w:cs="宋体"/>
          <w:i w:val="0"/>
          <w:iCs w:val="0"/>
          <w:color w:val="auto"/>
          <w:kern w:val="0"/>
          <w:sz w:val="20"/>
          <w:szCs w:val="20"/>
          <w:highlight w:val="none"/>
          <w:u w:val="none"/>
          <w:lang w:val="en-US" w:eastAsia="zh-CN" w:bidi="ar"/>
        </w:rPr>
        <w:t>7.</w:t>
      </w:r>
      <w:r>
        <w:rPr>
          <w:rFonts w:hint="eastAsia" w:ascii="宋体" w:hAnsi="宋体" w:eastAsia="宋体" w:cs="宋体"/>
          <w:i w:val="0"/>
          <w:iCs w:val="0"/>
          <w:color w:val="auto"/>
          <w:kern w:val="0"/>
          <w:sz w:val="20"/>
          <w:szCs w:val="20"/>
          <w:highlight w:val="none"/>
          <w:u w:val="none"/>
          <w:lang w:val="en-US" w:eastAsia="zh-CN" w:bidi="ar"/>
        </w:rPr>
        <w:t>企业资质情况</w:t>
      </w:r>
      <w:r>
        <w:rPr>
          <w:rFonts w:hint="eastAsia" w:ascii="宋体" w:hAnsi="宋体" w:eastAsia="宋体" w:cs="宋体"/>
          <w:i w:val="0"/>
          <w:iCs w:val="0"/>
          <w:color w:val="auto"/>
          <w:kern w:val="0"/>
          <w:sz w:val="20"/>
          <w:szCs w:val="20"/>
          <w:highlight w:val="none"/>
          <w:u w:val="none"/>
          <w:lang w:val="en-US" w:eastAsia="zh-CN" w:bidi="ar"/>
        </w:rPr>
        <w:br w:type="textWrapping"/>
      </w:r>
      <w:r>
        <w:rPr>
          <w:color w:val="auto"/>
          <w:szCs w:val="21"/>
          <w:highlight w:val="none"/>
        </w:rPr>
        <w:t>本页应附以下材料：</w:t>
      </w:r>
    </w:p>
    <w:p>
      <w:pPr>
        <w:spacing w:line="360" w:lineRule="exact"/>
        <w:ind w:firstLine="420" w:firstLineChars="200"/>
        <w:jc w:val="left"/>
        <w:rPr>
          <w:color w:val="auto"/>
          <w:szCs w:val="22"/>
          <w:highlight w:val="none"/>
        </w:rPr>
      </w:pPr>
      <w:r>
        <w:rPr>
          <w:rFonts w:hint="eastAsia" w:ascii="宋体" w:hAnsi="宋体" w:cs="宋体"/>
          <w:color w:val="auto"/>
          <w:szCs w:val="22"/>
          <w:highlight w:val="none"/>
        </w:rPr>
        <w:t>①</w:t>
      </w:r>
      <w:r>
        <w:rPr>
          <w:color w:val="auto"/>
          <w:szCs w:val="22"/>
          <w:highlight w:val="none"/>
        </w:rPr>
        <w:t>有效的企业营业执照（副本）和组织机构代码证扫描件（按照“三证合一”或“五证合一“登记制度进行登记的，可仅提供营业执照扫描件）；</w:t>
      </w:r>
    </w:p>
    <w:p>
      <w:pPr>
        <w:spacing w:line="360" w:lineRule="exact"/>
        <w:ind w:firstLine="420" w:firstLineChars="200"/>
        <w:jc w:val="left"/>
        <w:rPr>
          <w:color w:val="auto"/>
          <w:szCs w:val="22"/>
          <w:highlight w:val="none"/>
        </w:rPr>
      </w:pPr>
      <w:r>
        <w:rPr>
          <w:rFonts w:hint="eastAsia" w:ascii="宋体" w:hAnsi="宋体" w:cs="宋体"/>
          <w:color w:val="auto"/>
          <w:szCs w:val="22"/>
          <w:highlight w:val="none"/>
        </w:rPr>
        <w:t>②</w:t>
      </w:r>
      <w:r>
        <w:rPr>
          <w:rFonts w:hint="eastAsia"/>
          <w:color w:val="auto"/>
          <w:highlight w:val="none"/>
        </w:rPr>
        <w:t>满足招标公告“资质要求”中所列每条的证明材料，包括但不限于有效企业资质等级证书扫描件</w:t>
      </w:r>
      <w:r>
        <w:rPr>
          <w:color w:val="auto"/>
          <w:szCs w:val="22"/>
          <w:highlight w:val="none"/>
        </w:rPr>
        <w:t>；</w:t>
      </w:r>
    </w:p>
    <w:p>
      <w:pPr>
        <w:pStyle w:val="17"/>
        <w:rPr>
          <w:rFonts w:hint="eastAsia"/>
          <w:color w:val="auto"/>
          <w:highlight w:val="none"/>
        </w:rPr>
      </w:pPr>
    </w:p>
    <w:p>
      <w:pPr>
        <w:rPr>
          <w:rFonts w:hint="eastAsia"/>
          <w:color w:val="auto"/>
          <w:highlight w:val="none"/>
        </w:rPr>
      </w:pPr>
    </w:p>
    <w:p>
      <w:pPr>
        <w:widowControl/>
        <w:spacing w:before="156" w:beforeLines="50"/>
        <w:rPr>
          <w:color w:val="auto"/>
          <w:highlight w:val="none"/>
        </w:rPr>
      </w:pPr>
      <w:r>
        <w:rPr>
          <w:color w:val="auto"/>
          <w:highlight w:val="none"/>
        </w:rPr>
        <w:br w:type="page"/>
      </w: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8</w:t>
      </w:r>
      <w:r>
        <w:rPr>
          <w:rFonts w:hint="eastAsia" w:ascii="宋体" w:hAnsi="宋体" w:eastAsia="宋体" w:cs="宋体"/>
          <w:i w:val="0"/>
          <w:iCs w:val="0"/>
          <w:color w:val="auto"/>
          <w:kern w:val="0"/>
          <w:sz w:val="20"/>
          <w:szCs w:val="20"/>
          <w:highlight w:val="none"/>
          <w:u w:val="none"/>
          <w:lang w:val="en-US" w:eastAsia="zh-CN" w:bidi="ar"/>
        </w:rPr>
        <w:t>. 项目关键人员配置承诺函</w:t>
      </w:r>
    </w:p>
    <w:p>
      <w:pPr>
        <w:autoSpaceDE w:val="0"/>
        <w:autoSpaceDN w:val="0"/>
        <w:adjustRightInd w:val="0"/>
        <w:ind w:firstLine="420" w:firstLineChars="200"/>
        <w:jc w:val="center"/>
        <w:rPr>
          <w:color w:val="auto"/>
          <w:highlight w:val="none"/>
        </w:rPr>
      </w:pPr>
    </w:p>
    <w:p>
      <w:pPr>
        <w:pStyle w:val="17"/>
        <w:rPr>
          <w:color w:val="auto"/>
          <w:highlight w:val="none"/>
        </w:rPr>
      </w:pPr>
    </w:p>
    <w:p>
      <w:pPr>
        <w:widowControl/>
        <w:jc w:val="center"/>
        <w:rPr>
          <w:rFonts w:eastAsia="黑体"/>
          <w:b/>
          <w:color w:val="auto"/>
          <w:sz w:val="32"/>
          <w:szCs w:val="32"/>
          <w:highlight w:val="none"/>
        </w:rPr>
      </w:pPr>
      <w:r>
        <w:rPr>
          <w:rFonts w:eastAsia="黑体"/>
          <w:b/>
          <w:color w:val="auto"/>
          <w:sz w:val="32"/>
          <w:szCs w:val="32"/>
          <w:highlight w:val="none"/>
        </w:rPr>
        <w:t>《项目关键人员配置承诺函》</w:t>
      </w:r>
    </w:p>
    <w:p>
      <w:pPr>
        <w:spacing w:before="120" w:beforeLines="50" w:line="360" w:lineRule="auto"/>
        <w:ind w:firstLine="420" w:firstLineChars="200"/>
        <w:jc w:val="right"/>
        <w:rPr>
          <w:color w:val="auto"/>
          <w:szCs w:val="21"/>
          <w:highlight w:val="none"/>
        </w:rPr>
      </w:pPr>
      <w:r>
        <w:rPr>
          <w:color w:val="auto"/>
          <w:szCs w:val="21"/>
          <w:highlight w:val="none"/>
        </w:rPr>
        <w:t xml:space="preserve">                                     </w:t>
      </w:r>
    </w:p>
    <w:p>
      <w:pPr>
        <w:spacing w:before="120" w:beforeLines="50" w:after="120" w:afterLines="50" w:line="360" w:lineRule="auto"/>
        <w:ind w:firstLine="420" w:firstLineChars="200"/>
        <w:rPr>
          <w:color w:val="auto"/>
          <w:szCs w:val="21"/>
          <w:highlight w:val="none"/>
        </w:rPr>
      </w:pPr>
      <w:r>
        <w:rPr>
          <w:rFonts w:hint="eastAsia"/>
          <w:color w:val="auto"/>
          <w:szCs w:val="21"/>
          <w:highlight w:val="none"/>
        </w:rPr>
        <w:t>本公司在国家电网有限公司</w:t>
      </w:r>
      <w:r>
        <w:rPr>
          <w:color w:val="auto"/>
          <w:szCs w:val="21"/>
          <w:highlight w:val="none"/>
          <w:u w:val="single"/>
        </w:rPr>
        <w:t xml:space="preserve">              （公告中的招标项目名称）</w:t>
      </w:r>
      <w:r>
        <w:rPr>
          <w:rFonts w:hint="eastAsia"/>
          <w:color w:val="auto"/>
          <w:szCs w:val="21"/>
          <w:highlight w:val="none"/>
        </w:rPr>
        <w:t>投标中承诺：</w:t>
      </w:r>
    </w:p>
    <w:p>
      <w:pPr>
        <w:spacing w:before="120" w:beforeLines="50" w:after="120" w:afterLines="50" w:line="360" w:lineRule="auto"/>
        <w:ind w:firstLine="420" w:firstLineChars="200"/>
        <w:rPr>
          <w:color w:val="auto"/>
          <w:szCs w:val="21"/>
          <w:highlight w:val="none"/>
        </w:rPr>
      </w:pPr>
      <w:r>
        <w:rPr>
          <w:rFonts w:hint="eastAsia"/>
          <w:color w:val="auto"/>
          <w:szCs w:val="21"/>
          <w:highlight w:val="none"/>
        </w:rPr>
        <w:t>本公司投标中拟任项目经理未在其他在建工程担任项目经理，也未在已确定中标但未开始实施的工程项目上担任项目经理。</w:t>
      </w:r>
    </w:p>
    <w:p>
      <w:pPr>
        <w:spacing w:before="120" w:beforeLines="50" w:after="120" w:afterLines="50" w:line="360" w:lineRule="auto"/>
        <w:ind w:firstLine="420" w:firstLineChars="200"/>
        <w:rPr>
          <w:color w:val="auto"/>
          <w:szCs w:val="21"/>
          <w:highlight w:val="none"/>
        </w:rPr>
      </w:pPr>
      <w:r>
        <w:rPr>
          <w:rFonts w:hint="eastAsia"/>
          <w:color w:val="auto"/>
          <w:szCs w:val="21"/>
          <w:highlight w:val="none"/>
        </w:rPr>
        <w:t>本公司在</w:t>
      </w:r>
      <w:r>
        <w:rPr>
          <w:rFonts w:hint="eastAsia"/>
          <w:b/>
          <w:bCs/>
          <w:color w:val="auto"/>
          <w:szCs w:val="21"/>
          <w:highlight w:val="none"/>
        </w:rPr>
        <w:t>线路施工</w:t>
      </w:r>
      <w:r>
        <w:rPr>
          <w:rFonts w:hint="eastAsia"/>
          <w:color w:val="auto"/>
          <w:szCs w:val="21"/>
          <w:highlight w:val="none"/>
        </w:rPr>
        <w:t>投标中拟任项目经理承诺每月现场工作不少于</w:t>
      </w:r>
      <w:r>
        <w:rPr>
          <w:color w:val="auto"/>
          <w:szCs w:val="21"/>
          <w:highlight w:val="none"/>
        </w:rPr>
        <w:t>22</w:t>
      </w:r>
      <w:r>
        <w:rPr>
          <w:rFonts w:hint="eastAsia"/>
          <w:color w:val="auto"/>
          <w:szCs w:val="21"/>
          <w:highlight w:val="none"/>
        </w:rPr>
        <w:t>天。</w:t>
      </w:r>
    </w:p>
    <w:p>
      <w:pPr>
        <w:rPr>
          <w:rFonts w:hint="eastAsia" w:ascii="宋体" w:hAnsi="宋体" w:eastAsia="宋体" w:cs="宋体"/>
          <w:i w:val="0"/>
          <w:iCs w:val="0"/>
          <w:color w:val="auto"/>
          <w:kern w:val="0"/>
          <w:sz w:val="20"/>
          <w:szCs w:val="20"/>
          <w:highlight w:val="none"/>
          <w:u w:val="none"/>
          <w:lang w:val="en-US" w:eastAsia="zh-CN" w:bidi="ar"/>
        </w:rPr>
      </w:pPr>
      <w:r>
        <w:rPr>
          <w:rFonts w:hint="eastAsia"/>
          <w:color w:val="auto"/>
          <w:szCs w:val="21"/>
          <w:highlight w:val="none"/>
        </w:rPr>
        <w:t>同时承诺如我公司中标，拟任项目经理及其他招标资格条件中不允许兼任的其他人员，在项目执行期间专职，不在其他项目兼任。若有虚假，一经查实，愿意承担由此引起的一切责任。</w:t>
      </w:r>
      <w:r>
        <w:rPr>
          <w:rFonts w:hint="eastAsia" w:ascii="宋体" w:hAnsi="宋体" w:eastAsia="宋体" w:cs="宋体"/>
          <w:i w:val="0"/>
          <w:iCs w:val="0"/>
          <w:color w:val="auto"/>
          <w:kern w:val="0"/>
          <w:sz w:val="20"/>
          <w:szCs w:val="20"/>
          <w:highlight w:val="none"/>
          <w:u w:val="none"/>
          <w:lang w:val="en-US" w:eastAsia="zh-CN" w:bidi="ar"/>
        </w:rPr>
        <w:br w:type="page"/>
      </w:r>
    </w:p>
    <w:p>
      <w:pPr>
        <w:numPr>
          <w:ilvl w:val="0"/>
          <w:numId w:val="5"/>
        </w:numPr>
        <w:jc w:val="left"/>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企业信用信息公示报告</w:t>
      </w:r>
    </w:p>
    <w:p>
      <w:pPr>
        <w:spacing w:line="360" w:lineRule="exact"/>
        <w:ind w:firstLine="525" w:firstLineChars="250"/>
        <w:jc w:val="left"/>
        <w:rPr>
          <w:color w:val="auto"/>
          <w:highlight w:val="none"/>
        </w:rPr>
      </w:pPr>
    </w:p>
    <w:p>
      <w:pPr>
        <w:spacing w:line="360" w:lineRule="exact"/>
        <w:ind w:firstLine="525" w:firstLineChars="250"/>
        <w:jc w:val="left"/>
        <w:rPr>
          <w:color w:val="auto"/>
          <w:highlight w:val="none"/>
        </w:rPr>
      </w:pPr>
      <w:r>
        <w:rPr>
          <w:color w:val="auto"/>
          <w:highlight w:val="none"/>
        </w:rPr>
        <w:t>投标人需提供在国家企业信用信息公示系统（www.gsxt.gov.cn）查询的，包含 “列入严重违法失信企业名单（黑名单）”、“列入经营异常名录信息”的查询结果，查询结果应为网站自动生成的PDF报告的打印版，报告首页的“报告生成日期”为开标日前一个月内。联合体投标的，联合体所有成员方应分别出具。</w:t>
      </w:r>
    </w:p>
    <w:p>
      <w:pPr>
        <w:keepNext w:val="0"/>
        <w:keepLines w:val="0"/>
        <w:widowControl/>
        <w:numPr>
          <w:ilvl w:val="0"/>
          <w:numId w:val="6"/>
        </w:numPr>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b/>
          <w:color w:val="auto"/>
          <w:sz w:val="24"/>
          <w:highlight w:val="none"/>
        </w:rPr>
        <w:br w:type="page"/>
      </w:r>
    </w:p>
    <w:p>
      <w:pPr>
        <w:pStyle w:val="18"/>
        <w:numPr>
          <w:ilvl w:val="0"/>
          <w:numId w:val="6"/>
        </w:numPr>
        <w:ind w:left="0" w:leftChars="0" w:firstLine="0" w:firstLineChars="0"/>
        <w:jc w:val="left"/>
        <w:outlineLvl w:val="2"/>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商务文件第二册</w:t>
      </w:r>
    </w:p>
    <w:p>
      <w:pPr>
        <w:jc w:val="center"/>
        <w:rPr>
          <w:color w:val="auto"/>
          <w:highlight w:val="none"/>
        </w:rPr>
      </w:pPr>
      <w:r>
        <w:rPr>
          <w:rFonts w:hint="eastAsia" w:ascii="方正仿宋_GBK" w:hAnsi="方正仿宋_GBK" w:eastAsia="方正仿宋_GBK" w:cs="方正仿宋_GBK"/>
          <w:b/>
          <w:bCs/>
          <w:color w:val="auto"/>
          <w:sz w:val="22"/>
          <w:szCs w:val="22"/>
          <w:highlight w:val="none"/>
        </w:rPr>
        <w:t>目录</w:t>
      </w:r>
    </w:p>
    <w:p>
      <w:pPr>
        <w:pStyle w:val="18"/>
        <w:ind w:left="198" w:firstLine="420" w:firstLineChars="200"/>
        <w:jc w:val="left"/>
        <w:rPr>
          <w:color w:val="auto"/>
          <w:highlight w:val="none"/>
        </w:rPr>
      </w:pPr>
      <w:r>
        <w:rPr>
          <w:rFonts w:hint="eastAsia" w:ascii="宋体" w:hAnsi="宋体" w:cs="宋体"/>
          <w:color w:val="auto"/>
          <w:kern w:val="0"/>
          <w:szCs w:val="21"/>
          <w:highlight w:val="none"/>
          <w:lang w:bidi="ar"/>
        </w:rPr>
        <w:t>ECP上传路径为：与报价文件打包为zip文件在工程量清单模块按包上传。</w:t>
      </w:r>
    </w:p>
    <w:tbl>
      <w:tblPr>
        <w:tblStyle w:val="1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2579"/>
        <w:gridCol w:w="2598"/>
        <w:gridCol w:w="2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389"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399"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399"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商务评分细则逐条逐项应答</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1.企业获奖</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（1）优质工程</w:t>
            </w:r>
            <w:r>
              <w:rPr>
                <w:rFonts w:ascii="宋体" w:hAnsi="宋体" w:cs="宋体"/>
                <w:color w:val="auto"/>
                <w:kern w:val="0"/>
                <w:sz w:val="20"/>
                <w:szCs w:val="20"/>
                <w:highlight w:val="none"/>
                <w:lang w:bidi="ar"/>
              </w:rPr>
              <w:t>获奖</w:t>
            </w:r>
            <w:r>
              <w:rPr>
                <w:rFonts w:hint="eastAsia" w:ascii="宋体" w:hAnsi="宋体" w:cs="宋体"/>
                <w:color w:val="auto"/>
                <w:kern w:val="0"/>
                <w:sz w:val="20"/>
                <w:szCs w:val="20"/>
                <w:highlight w:val="none"/>
                <w:lang w:bidi="ar"/>
              </w:rPr>
              <w:t>情况</w:t>
            </w:r>
          </w:p>
          <w:p>
            <w:pPr>
              <w:widowControl/>
              <w:textAlignment w:val="center"/>
              <w:rPr>
                <w:color w:val="auto"/>
                <w:highlight w:val="none"/>
              </w:rPr>
            </w:pPr>
            <w:r>
              <w:rPr>
                <w:rFonts w:hint="eastAsia" w:ascii="宋体" w:hAnsi="宋体" w:cs="宋体"/>
                <w:color w:val="auto"/>
                <w:kern w:val="0"/>
                <w:sz w:val="20"/>
                <w:szCs w:val="20"/>
                <w:highlight w:val="none"/>
                <w:lang w:bidi="ar"/>
              </w:rPr>
              <w:t>（2）</w:t>
            </w:r>
            <w:r>
              <w:rPr>
                <w:rFonts w:ascii="宋体" w:hAnsi="宋体" w:cs="宋体"/>
                <w:color w:val="auto"/>
                <w:kern w:val="0"/>
                <w:sz w:val="20"/>
                <w:szCs w:val="20"/>
                <w:highlight w:val="none"/>
                <w:lang w:bidi="ar"/>
              </w:rPr>
              <w:t>企业创新获奖情况</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restar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b/>
                <w:bCs/>
                <w:color w:val="auto"/>
                <w:kern w:val="0"/>
                <w:szCs w:val="21"/>
                <w:highlight w:val="none"/>
                <w:lang w:bidi="ar"/>
              </w:rPr>
              <w:t>工程量清单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商务评分细则逐条逐项应答</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2.绿色发展规划应答</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商务评分细则逐条逐项应答</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3.绿色管理应答</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其他</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4.其他文件</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（1）基本情况表；</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（2）近年财务状况；</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（3）近年发生的诉讼及仲裁情况；</w:t>
            </w:r>
          </w:p>
          <w:p>
            <w:pPr>
              <w:widowControl/>
              <w:textAlignment w:val="center"/>
              <w:rPr>
                <w:color w:val="auto"/>
                <w:highlight w:val="none"/>
              </w:rPr>
            </w:pPr>
            <w:r>
              <w:rPr>
                <w:rFonts w:hint="eastAsia" w:ascii="宋体" w:hAnsi="宋体" w:cs="宋体"/>
                <w:color w:val="auto"/>
                <w:kern w:val="0"/>
                <w:sz w:val="20"/>
                <w:szCs w:val="20"/>
                <w:highlight w:val="none"/>
                <w:lang w:bidi="ar"/>
              </w:rPr>
              <w:t>（4）投标人认为需要加以说明的其他商务内容；</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default"/>
          <w:color w:val="auto"/>
          <w:highlight w:val="none"/>
          <w:lang w:val="en-US" w:eastAsia="zh-CN"/>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1.企业获奖</w:t>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（1）优质工程</w:t>
      </w:r>
      <w:r>
        <w:rPr>
          <w:rFonts w:hint="default" w:ascii="宋体" w:hAnsi="宋体" w:cs="宋体"/>
          <w:i w:val="0"/>
          <w:iCs w:val="0"/>
          <w:color w:val="auto"/>
          <w:kern w:val="0"/>
          <w:sz w:val="20"/>
          <w:szCs w:val="20"/>
          <w:highlight w:val="none"/>
          <w:u w:val="none"/>
          <w:lang w:val="en-US" w:eastAsia="zh-CN" w:bidi="ar"/>
        </w:rPr>
        <w:t>获奖</w:t>
      </w:r>
      <w:r>
        <w:rPr>
          <w:rFonts w:hint="eastAsia" w:ascii="宋体" w:hAnsi="宋体" w:cs="宋体"/>
          <w:i w:val="0"/>
          <w:iCs w:val="0"/>
          <w:color w:val="auto"/>
          <w:kern w:val="0"/>
          <w:sz w:val="20"/>
          <w:szCs w:val="20"/>
          <w:highlight w:val="none"/>
          <w:u w:val="none"/>
          <w:lang w:val="en-US" w:eastAsia="zh-CN" w:bidi="ar"/>
        </w:rPr>
        <w:t>情况</w:t>
      </w:r>
    </w:p>
    <w:p>
      <w:pPr>
        <w:pStyle w:val="49"/>
        <w:rPr>
          <w:color w:val="auto"/>
          <w:highlight w:val="none"/>
        </w:rPr>
      </w:pPr>
      <w:r>
        <w:rPr>
          <w:color w:val="auto"/>
          <w:highlight w:val="none"/>
        </w:rPr>
        <w:t>优质工程获奖情况表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3137"/>
        <w:gridCol w:w="3137"/>
        <w:gridCol w:w="1670"/>
        <w:gridCol w:w="1467"/>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top w:val="single" w:color="auto" w:sz="8" w:space="0"/>
            </w:tcBorders>
            <w:noWrap w:val="0"/>
            <w:vAlign w:val="center"/>
          </w:tcPr>
          <w:p>
            <w:pPr>
              <w:pStyle w:val="50"/>
              <w:snapToGrid w:val="0"/>
              <w:spacing w:before="50" w:after="50"/>
              <w:jc w:val="center"/>
              <w:rPr>
                <w:color w:val="auto"/>
                <w:highlight w:val="none"/>
              </w:rPr>
            </w:pPr>
            <w:r>
              <w:rPr>
                <w:color w:val="auto"/>
                <w:highlight w:val="none"/>
              </w:rPr>
              <w:t>获奖项目名称</w:t>
            </w:r>
          </w:p>
        </w:tc>
        <w:tc>
          <w:tcPr>
            <w:tcW w:w="3137" w:type="dxa"/>
            <w:tcBorders>
              <w:top w:val="single" w:color="auto" w:sz="8" w:space="0"/>
            </w:tcBorders>
            <w:noWrap w:val="0"/>
            <w:vAlign w:val="center"/>
          </w:tcPr>
          <w:p>
            <w:pPr>
              <w:pStyle w:val="50"/>
              <w:snapToGrid w:val="0"/>
              <w:spacing w:before="50" w:after="50"/>
              <w:jc w:val="center"/>
              <w:rPr>
                <w:color w:val="auto"/>
                <w:highlight w:val="none"/>
              </w:rPr>
            </w:pPr>
            <w:r>
              <w:rPr>
                <w:color w:val="auto"/>
                <w:highlight w:val="none"/>
              </w:rPr>
              <w:t>等  级</w:t>
            </w:r>
          </w:p>
        </w:tc>
        <w:tc>
          <w:tcPr>
            <w:tcW w:w="1670" w:type="dxa"/>
            <w:tcBorders>
              <w:top w:val="single" w:color="auto" w:sz="8" w:space="0"/>
              <w:right w:val="single" w:color="auto" w:sz="4" w:space="0"/>
            </w:tcBorders>
            <w:noWrap w:val="0"/>
            <w:vAlign w:val="center"/>
          </w:tcPr>
          <w:p>
            <w:pPr>
              <w:pStyle w:val="50"/>
              <w:snapToGrid w:val="0"/>
              <w:spacing w:before="50" w:after="50"/>
              <w:jc w:val="center"/>
              <w:rPr>
                <w:color w:val="auto"/>
                <w:highlight w:val="none"/>
              </w:rPr>
            </w:pPr>
            <w:r>
              <w:rPr>
                <w:color w:val="auto"/>
                <w:highlight w:val="none"/>
              </w:rPr>
              <w:t>颁发机构</w:t>
            </w:r>
          </w:p>
        </w:tc>
        <w:tc>
          <w:tcPr>
            <w:tcW w:w="1467" w:type="dxa"/>
            <w:tcBorders>
              <w:top w:val="single" w:color="auto" w:sz="8" w:space="0"/>
              <w:left w:val="single" w:color="auto" w:sz="4" w:space="0"/>
            </w:tcBorders>
            <w:noWrap w:val="0"/>
            <w:vAlign w:val="center"/>
          </w:tcPr>
          <w:p>
            <w:pPr>
              <w:pStyle w:val="50"/>
              <w:snapToGrid w:val="0"/>
              <w:spacing w:before="50" w:after="50"/>
              <w:jc w:val="center"/>
              <w:rPr>
                <w:color w:val="auto"/>
                <w:highlight w:val="none"/>
              </w:rPr>
            </w:pPr>
            <w:r>
              <w:rPr>
                <w:color w:val="auto"/>
                <w:highlight w:val="none"/>
              </w:rPr>
              <w:t>颁发时间</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50"/>
              <w:snapToGrid w:val="0"/>
              <w:spacing w:before="50" w:after="50"/>
              <w:jc w:val="center"/>
              <w:rPr>
                <w:color w:val="auto"/>
                <w:highlight w:val="none"/>
              </w:rPr>
            </w:pPr>
          </w:p>
        </w:tc>
        <w:tc>
          <w:tcPr>
            <w:tcW w:w="3137" w:type="dxa"/>
            <w:noWrap w:val="0"/>
            <w:vAlign w:val="center"/>
          </w:tcPr>
          <w:p>
            <w:pPr>
              <w:pStyle w:val="50"/>
              <w:snapToGrid w:val="0"/>
              <w:spacing w:before="50" w:after="50"/>
              <w:jc w:val="center"/>
              <w:rPr>
                <w:color w:val="auto"/>
                <w:highlight w:val="none"/>
              </w:rPr>
            </w:pPr>
          </w:p>
        </w:tc>
        <w:tc>
          <w:tcPr>
            <w:tcW w:w="1670" w:type="dxa"/>
            <w:tcBorders>
              <w:right w:val="single" w:color="auto" w:sz="4" w:space="0"/>
            </w:tcBorders>
            <w:noWrap w:val="0"/>
            <w:vAlign w:val="center"/>
          </w:tcPr>
          <w:p>
            <w:pPr>
              <w:pStyle w:val="50"/>
              <w:snapToGrid w:val="0"/>
              <w:spacing w:before="50" w:after="50"/>
              <w:jc w:val="center"/>
              <w:rPr>
                <w:color w:val="auto"/>
                <w:highlight w:val="none"/>
              </w:rPr>
            </w:pPr>
          </w:p>
        </w:tc>
        <w:tc>
          <w:tcPr>
            <w:tcW w:w="1467" w:type="dxa"/>
            <w:tcBorders>
              <w:left w:val="single" w:color="auto" w:sz="4" w:space="0"/>
            </w:tcBorders>
            <w:noWrap w:val="0"/>
            <w:vAlign w:val="center"/>
          </w:tcPr>
          <w:p>
            <w:pPr>
              <w:pStyle w:val="50"/>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50"/>
              <w:snapToGrid w:val="0"/>
              <w:spacing w:before="50" w:after="50"/>
              <w:jc w:val="center"/>
              <w:rPr>
                <w:color w:val="auto"/>
                <w:highlight w:val="none"/>
              </w:rPr>
            </w:pPr>
          </w:p>
        </w:tc>
        <w:tc>
          <w:tcPr>
            <w:tcW w:w="3137" w:type="dxa"/>
            <w:noWrap w:val="0"/>
            <w:vAlign w:val="center"/>
          </w:tcPr>
          <w:p>
            <w:pPr>
              <w:pStyle w:val="50"/>
              <w:snapToGrid w:val="0"/>
              <w:spacing w:before="50" w:after="50"/>
              <w:jc w:val="center"/>
              <w:rPr>
                <w:color w:val="auto"/>
                <w:highlight w:val="none"/>
              </w:rPr>
            </w:pPr>
          </w:p>
        </w:tc>
        <w:tc>
          <w:tcPr>
            <w:tcW w:w="1670" w:type="dxa"/>
            <w:tcBorders>
              <w:right w:val="single" w:color="auto" w:sz="4" w:space="0"/>
            </w:tcBorders>
            <w:noWrap w:val="0"/>
            <w:vAlign w:val="center"/>
          </w:tcPr>
          <w:p>
            <w:pPr>
              <w:pStyle w:val="50"/>
              <w:snapToGrid w:val="0"/>
              <w:spacing w:before="50" w:after="50"/>
              <w:jc w:val="center"/>
              <w:rPr>
                <w:color w:val="auto"/>
                <w:highlight w:val="none"/>
              </w:rPr>
            </w:pPr>
          </w:p>
        </w:tc>
        <w:tc>
          <w:tcPr>
            <w:tcW w:w="1467" w:type="dxa"/>
            <w:tcBorders>
              <w:left w:val="single" w:color="auto" w:sz="4" w:space="0"/>
            </w:tcBorders>
            <w:noWrap w:val="0"/>
            <w:vAlign w:val="center"/>
          </w:tcPr>
          <w:p>
            <w:pPr>
              <w:pStyle w:val="50"/>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bottom w:val="single" w:color="auto" w:sz="8" w:space="0"/>
            </w:tcBorders>
            <w:noWrap w:val="0"/>
            <w:vAlign w:val="center"/>
          </w:tcPr>
          <w:p>
            <w:pPr>
              <w:pStyle w:val="50"/>
              <w:snapToGrid w:val="0"/>
              <w:spacing w:before="50" w:after="50"/>
              <w:jc w:val="center"/>
              <w:rPr>
                <w:color w:val="auto"/>
                <w:highlight w:val="none"/>
              </w:rPr>
            </w:pPr>
          </w:p>
        </w:tc>
        <w:tc>
          <w:tcPr>
            <w:tcW w:w="3137" w:type="dxa"/>
            <w:tcBorders>
              <w:bottom w:val="single" w:color="auto" w:sz="8" w:space="0"/>
            </w:tcBorders>
            <w:noWrap w:val="0"/>
            <w:vAlign w:val="center"/>
          </w:tcPr>
          <w:p>
            <w:pPr>
              <w:pStyle w:val="50"/>
              <w:snapToGrid w:val="0"/>
              <w:spacing w:before="50" w:after="50"/>
              <w:jc w:val="center"/>
              <w:rPr>
                <w:color w:val="auto"/>
                <w:highlight w:val="none"/>
              </w:rPr>
            </w:pPr>
          </w:p>
        </w:tc>
        <w:tc>
          <w:tcPr>
            <w:tcW w:w="1670" w:type="dxa"/>
            <w:tcBorders>
              <w:bottom w:val="single" w:color="auto" w:sz="8" w:space="0"/>
              <w:right w:val="single" w:color="auto" w:sz="4" w:space="0"/>
            </w:tcBorders>
            <w:noWrap w:val="0"/>
            <w:vAlign w:val="center"/>
          </w:tcPr>
          <w:p>
            <w:pPr>
              <w:pStyle w:val="50"/>
              <w:snapToGrid w:val="0"/>
              <w:spacing w:before="50" w:after="50"/>
              <w:jc w:val="center"/>
              <w:rPr>
                <w:color w:val="auto"/>
                <w:highlight w:val="none"/>
              </w:rPr>
            </w:pPr>
          </w:p>
        </w:tc>
        <w:tc>
          <w:tcPr>
            <w:tcW w:w="1467" w:type="dxa"/>
            <w:tcBorders>
              <w:left w:val="single" w:color="auto" w:sz="4" w:space="0"/>
              <w:bottom w:val="single" w:color="auto" w:sz="8" w:space="0"/>
            </w:tcBorders>
            <w:noWrap w:val="0"/>
            <w:vAlign w:val="center"/>
          </w:tcPr>
          <w:p>
            <w:pPr>
              <w:pStyle w:val="50"/>
              <w:snapToGrid w:val="0"/>
              <w:spacing w:before="50" w:after="50"/>
              <w:jc w:val="center"/>
              <w:rPr>
                <w:color w:val="auto"/>
                <w:highlight w:val="none"/>
              </w:rPr>
            </w:pPr>
          </w:p>
        </w:tc>
      </w:tr>
    </w:tbl>
    <w:p>
      <w:pPr>
        <w:pStyle w:val="17"/>
        <w:rPr>
          <w:rFonts w:hint="default"/>
          <w:color w:val="auto"/>
          <w:highlight w:val="none"/>
          <w:lang w:val="en-US" w:eastAsia="zh-CN"/>
        </w:rPr>
      </w:pPr>
    </w:p>
    <w:p>
      <w:pPr>
        <w:keepNext w:val="0"/>
        <w:keepLines w:val="0"/>
        <w:widowControl/>
        <w:suppressLineNumbers w:val="0"/>
        <w:jc w:val="both"/>
        <w:textAlignment w:val="center"/>
        <w:rPr>
          <w:rFonts w:hint="default"/>
          <w:color w:val="auto"/>
          <w:highlight w:val="none"/>
          <w:lang w:val="en-US" w:eastAsia="zh-CN"/>
        </w:rPr>
      </w:pPr>
      <w:r>
        <w:rPr>
          <w:rFonts w:hint="eastAsia" w:ascii="宋体" w:hAnsi="宋体" w:cs="宋体"/>
          <w:i w:val="0"/>
          <w:iCs w:val="0"/>
          <w:color w:val="auto"/>
          <w:kern w:val="0"/>
          <w:sz w:val="20"/>
          <w:szCs w:val="20"/>
          <w:highlight w:val="none"/>
          <w:u w:val="none"/>
          <w:lang w:val="en-US" w:eastAsia="zh-CN" w:bidi="ar"/>
        </w:rPr>
        <w:t>（2）</w:t>
      </w:r>
      <w:r>
        <w:rPr>
          <w:rFonts w:hint="default" w:ascii="宋体" w:hAnsi="宋体" w:cs="宋体"/>
          <w:i w:val="0"/>
          <w:iCs w:val="0"/>
          <w:color w:val="auto"/>
          <w:kern w:val="0"/>
          <w:sz w:val="20"/>
          <w:szCs w:val="20"/>
          <w:highlight w:val="none"/>
          <w:u w:val="none"/>
          <w:lang w:val="en-US" w:eastAsia="zh-CN" w:bidi="ar"/>
        </w:rPr>
        <w:t>企业创新获奖情况</w:t>
      </w:r>
    </w:p>
    <w:p>
      <w:pPr>
        <w:pStyle w:val="49"/>
        <w:rPr>
          <w:color w:val="auto"/>
          <w:highlight w:val="none"/>
        </w:rPr>
      </w:pPr>
      <w:r>
        <w:rPr>
          <w:rFonts w:hint="eastAsia"/>
          <w:color w:val="auto"/>
          <w:highlight w:val="none"/>
          <w:lang w:val="en-US" w:eastAsia="zh-CN"/>
        </w:rPr>
        <w:t>企业创新</w:t>
      </w:r>
      <w:r>
        <w:rPr>
          <w:color w:val="auto"/>
          <w:highlight w:val="none"/>
        </w:rPr>
        <w:t>获奖情况表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3137"/>
        <w:gridCol w:w="3137"/>
        <w:gridCol w:w="1670"/>
        <w:gridCol w:w="1467"/>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top w:val="single" w:color="auto" w:sz="8" w:space="0"/>
            </w:tcBorders>
            <w:noWrap w:val="0"/>
            <w:vAlign w:val="center"/>
          </w:tcPr>
          <w:p>
            <w:pPr>
              <w:pStyle w:val="50"/>
              <w:snapToGrid w:val="0"/>
              <w:spacing w:before="50" w:after="50"/>
              <w:jc w:val="center"/>
              <w:rPr>
                <w:color w:val="auto"/>
                <w:highlight w:val="none"/>
              </w:rPr>
            </w:pPr>
            <w:r>
              <w:rPr>
                <w:color w:val="auto"/>
                <w:highlight w:val="none"/>
              </w:rPr>
              <w:t>获奖项目名称</w:t>
            </w:r>
          </w:p>
        </w:tc>
        <w:tc>
          <w:tcPr>
            <w:tcW w:w="3137" w:type="dxa"/>
            <w:tcBorders>
              <w:top w:val="single" w:color="auto" w:sz="8" w:space="0"/>
            </w:tcBorders>
            <w:noWrap w:val="0"/>
            <w:vAlign w:val="center"/>
          </w:tcPr>
          <w:p>
            <w:pPr>
              <w:pStyle w:val="50"/>
              <w:snapToGrid w:val="0"/>
              <w:spacing w:before="50" w:after="50"/>
              <w:jc w:val="center"/>
              <w:rPr>
                <w:rFonts w:hint="default" w:eastAsia="宋体"/>
                <w:color w:val="auto"/>
                <w:highlight w:val="none"/>
                <w:lang w:val="en-US" w:eastAsia="zh-CN"/>
              </w:rPr>
            </w:pPr>
            <w:r>
              <w:rPr>
                <w:rFonts w:hint="eastAsia"/>
                <w:color w:val="auto"/>
                <w:highlight w:val="none"/>
                <w:lang w:val="en-US" w:eastAsia="zh-CN"/>
              </w:rPr>
              <w:t>奖项名称</w:t>
            </w:r>
          </w:p>
        </w:tc>
        <w:tc>
          <w:tcPr>
            <w:tcW w:w="1670" w:type="dxa"/>
            <w:tcBorders>
              <w:top w:val="single" w:color="auto" w:sz="8" w:space="0"/>
              <w:right w:val="single" w:color="auto" w:sz="4" w:space="0"/>
            </w:tcBorders>
            <w:noWrap w:val="0"/>
            <w:vAlign w:val="center"/>
          </w:tcPr>
          <w:p>
            <w:pPr>
              <w:pStyle w:val="50"/>
              <w:snapToGrid w:val="0"/>
              <w:spacing w:before="50" w:after="50"/>
              <w:jc w:val="center"/>
              <w:rPr>
                <w:color w:val="auto"/>
                <w:highlight w:val="none"/>
              </w:rPr>
            </w:pPr>
            <w:r>
              <w:rPr>
                <w:color w:val="auto"/>
                <w:highlight w:val="none"/>
              </w:rPr>
              <w:t>颁发机构</w:t>
            </w:r>
          </w:p>
        </w:tc>
        <w:tc>
          <w:tcPr>
            <w:tcW w:w="1467" w:type="dxa"/>
            <w:tcBorders>
              <w:top w:val="single" w:color="auto" w:sz="8" w:space="0"/>
              <w:left w:val="single" w:color="auto" w:sz="4" w:space="0"/>
            </w:tcBorders>
            <w:noWrap w:val="0"/>
            <w:vAlign w:val="center"/>
          </w:tcPr>
          <w:p>
            <w:pPr>
              <w:pStyle w:val="50"/>
              <w:snapToGrid w:val="0"/>
              <w:spacing w:before="50" w:after="50"/>
              <w:jc w:val="center"/>
              <w:rPr>
                <w:color w:val="auto"/>
                <w:highlight w:val="none"/>
              </w:rPr>
            </w:pPr>
            <w:r>
              <w:rPr>
                <w:color w:val="auto"/>
                <w:highlight w:val="none"/>
              </w:rPr>
              <w:t>颁发时间</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50"/>
              <w:snapToGrid w:val="0"/>
              <w:spacing w:before="50" w:after="50"/>
              <w:jc w:val="center"/>
              <w:rPr>
                <w:color w:val="auto"/>
                <w:highlight w:val="none"/>
              </w:rPr>
            </w:pPr>
          </w:p>
        </w:tc>
        <w:tc>
          <w:tcPr>
            <w:tcW w:w="3137" w:type="dxa"/>
            <w:noWrap w:val="0"/>
            <w:vAlign w:val="center"/>
          </w:tcPr>
          <w:p>
            <w:pPr>
              <w:pStyle w:val="50"/>
              <w:snapToGrid w:val="0"/>
              <w:spacing w:before="50" w:after="50"/>
              <w:jc w:val="center"/>
              <w:rPr>
                <w:color w:val="auto"/>
                <w:highlight w:val="none"/>
              </w:rPr>
            </w:pPr>
          </w:p>
        </w:tc>
        <w:tc>
          <w:tcPr>
            <w:tcW w:w="1670" w:type="dxa"/>
            <w:tcBorders>
              <w:right w:val="single" w:color="auto" w:sz="4" w:space="0"/>
            </w:tcBorders>
            <w:noWrap w:val="0"/>
            <w:vAlign w:val="center"/>
          </w:tcPr>
          <w:p>
            <w:pPr>
              <w:pStyle w:val="50"/>
              <w:snapToGrid w:val="0"/>
              <w:spacing w:before="50" w:after="50"/>
              <w:jc w:val="center"/>
              <w:rPr>
                <w:color w:val="auto"/>
                <w:highlight w:val="none"/>
              </w:rPr>
            </w:pPr>
          </w:p>
        </w:tc>
        <w:tc>
          <w:tcPr>
            <w:tcW w:w="1467" w:type="dxa"/>
            <w:tcBorders>
              <w:left w:val="single" w:color="auto" w:sz="4" w:space="0"/>
            </w:tcBorders>
            <w:noWrap w:val="0"/>
            <w:vAlign w:val="center"/>
          </w:tcPr>
          <w:p>
            <w:pPr>
              <w:pStyle w:val="50"/>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50"/>
              <w:snapToGrid w:val="0"/>
              <w:spacing w:before="50" w:after="50"/>
              <w:jc w:val="center"/>
              <w:rPr>
                <w:color w:val="auto"/>
                <w:highlight w:val="none"/>
              </w:rPr>
            </w:pPr>
          </w:p>
        </w:tc>
        <w:tc>
          <w:tcPr>
            <w:tcW w:w="3137" w:type="dxa"/>
            <w:noWrap w:val="0"/>
            <w:vAlign w:val="center"/>
          </w:tcPr>
          <w:p>
            <w:pPr>
              <w:pStyle w:val="50"/>
              <w:snapToGrid w:val="0"/>
              <w:spacing w:before="50" w:after="50"/>
              <w:jc w:val="center"/>
              <w:rPr>
                <w:color w:val="auto"/>
                <w:highlight w:val="none"/>
              </w:rPr>
            </w:pPr>
          </w:p>
        </w:tc>
        <w:tc>
          <w:tcPr>
            <w:tcW w:w="1670" w:type="dxa"/>
            <w:tcBorders>
              <w:right w:val="single" w:color="auto" w:sz="4" w:space="0"/>
            </w:tcBorders>
            <w:noWrap w:val="0"/>
            <w:vAlign w:val="center"/>
          </w:tcPr>
          <w:p>
            <w:pPr>
              <w:pStyle w:val="50"/>
              <w:snapToGrid w:val="0"/>
              <w:spacing w:before="50" w:after="50"/>
              <w:jc w:val="center"/>
              <w:rPr>
                <w:color w:val="auto"/>
                <w:highlight w:val="none"/>
              </w:rPr>
            </w:pPr>
          </w:p>
        </w:tc>
        <w:tc>
          <w:tcPr>
            <w:tcW w:w="1467" w:type="dxa"/>
            <w:tcBorders>
              <w:left w:val="single" w:color="auto" w:sz="4" w:space="0"/>
            </w:tcBorders>
            <w:noWrap w:val="0"/>
            <w:vAlign w:val="center"/>
          </w:tcPr>
          <w:p>
            <w:pPr>
              <w:pStyle w:val="50"/>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bottom w:val="single" w:color="auto" w:sz="8" w:space="0"/>
            </w:tcBorders>
            <w:noWrap w:val="0"/>
            <w:vAlign w:val="center"/>
          </w:tcPr>
          <w:p>
            <w:pPr>
              <w:pStyle w:val="50"/>
              <w:snapToGrid w:val="0"/>
              <w:spacing w:before="50" w:after="50"/>
              <w:jc w:val="center"/>
              <w:rPr>
                <w:color w:val="auto"/>
                <w:highlight w:val="none"/>
              </w:rPr>
            </w:pPr>
          </w:p>
        </w:tc>
        <w:tc>
          <w:tcPr>
            <w:tcW w:w="3137" w:type="dxa"/>
            <w:tcBorders>
              <w:bottom w:val="single" w:color="auto" w:sz="8" w:space="0"/>
            </w:tcBorders>
            <w:noWrap w:val="0"/>
            <w:vAlign w:val="center"/>
          </w:tcPr>
          <w:p>
            <w:pPr>
              <w:pStyle w:val="50"/>
              <w:snapToGrid w:val="0"/>
              <w:spacing w:before="50" w:after="50"/>
              <w:jc w:val="center"/>
              <w:rPr>
                <w:color w:val="auto"/>
                <w:highlight w:val="none"/>
              </w:rPr>
            </w:pPr>
          </w:p>
        </w:tc>
        <w:tc>
          <w:tcPr>
            <w:tcW w:w="1670" w:type="dxa"/>
            <w:tcBorders>
              <w:bottom w:val="single" w:color="auto" w:sz="8" w:space="0"/>
              <w:right w:val="single" w:color="auto" w:sz="4" w:space="0"/>
            </w:tcBorders>
            <w:noWrap w:val="0"/>
            <w:vAlign w:val="center"/>
          </w:tcPr>
          <w:p>
            <w:pPr>
              <w:pStyle w:val="50"/>
              <w:snapToGrid w:val="0"/>
              <w:spacing w:before="50" w:after="50"/>
              <w:jc w:val="center"/>
              <w:rPr>
                <w:color w:val="auto"/>
                <w:highlight w:val="none"/>
              </w:rPr>
            </w:pPr>
          </w:p>
        </w:tc>
        <w:tc>
          <w:tcPr>
            <w:tcW w:w="1467" w:type="dxa"/>
            <w:tcBorders>
              <w:left w:val="single" w:color="auto" w:sz="4" w:space="0"/>
              <w:bottom w:val="single" w:color="auto" w:sz="8" w:space="0"/>
            </w:tcBorders>
            <w:noWrap w:val="0"/>
            <w:vAlign w:val="center"/>
          </w:tcPr>
          <w:p>
            <w:pPr>
              <w:pStyle w:val="50"/>
              <w:snapToGrid w:val="0"/>
              <w:spacing w:before="50" w:after="50"/>
              <w:jc w:val="center"/>
              <w:rPr>
                <w:color w:val="auto"/>
                <w:highlight w:val="none"/>
              </w:rPr>
            </w:pPr>
          </w:p>
        </w:tc>
      </w:tr>
    </w:tbl>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p>
    <w:p>
      <w:pPr>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jc w:val="both"/>
        <w:textAlignment w:val="center"/>
        <w:rPr>
          <w:rFonts w:hint="default"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2.绿色发展规划应答</w:t>
      </w:r>
    </w:p>
    <w:p>
      <w:pPr>
        <w:rPr>
          <w:color w:val="auto"/>
          <w:highlight w:val="none"/>
        </w:rPr>
      </w:pPr>
      <w:r>
        <w:rPr>
          <w:rFonts w:hint="eastAsia" w:ascii="宋体" w:hAnsi="宋体" w:eastAsia="宋体" w:cs="宋体"/>
          <w:b w:val="0"/>
          <w:bCs w:val="0"/>
          <w:color w:val="auto"/>
          <w:sz w:val="21"/>
          <w:szCs w:val="21"/>
          <w:highlight w:val="none"/>
          <w:lang w:val="en-US" w:eastAsia="zh-CN"/>
        </w:rPr>
        <w:t>投标人应</w:t>
      </w:r>
      <w:r>
        <w:rPr>
          <w:color w:val="auto"/>
          <w:highlight w:val="none"/>
        </w:rPr>
        <w:t>对于“商务评分标准”中</w:t>
      </w:r>
      <w:r>
        <w:rPr>
          <w:rFonts w:hint="eastAsia"/>
          <w:color w:val="auto"/>
          <w:highlight w:val="none"/>
          <w:lang w:eastAsia="zh-CN"/>
        </w:rPr>
        <w:t>“</w:t>
      </w:r>
      <w:r>
        <w:rPr>
          <w:rFonts w:hint="eastAsia"/>
          <w:color w:val="auto"/>
          <w:highlight w:val="none"/>
          <w:lang w:val="en-US" w:eastAsia="zh-CN"/>
        </w:rPr>
        <w:t>绿色发展规划”评审项进行响应，</w:t>
      </w:r>
      <w:r>
        <w:rPr>
          <w:color w:val="auto"/>
          <w:highlight w:val="none"/>
        </w:rPr>
        <w:t>并提供相关证明材料。</w:t>
      </w:r>
      <w:r>
        <w:rPr>
          <w:rFonts w:hint="eastAsia"/>
          <w:color w:val="auto"/>
          <w:highlight w:val="none"/>
          <w:lang w:val="en-US" w:eastAsia="zh-CN"/>
        </w:rPr>
        <w:t>包括但不限于企业的绿色发展顶层规划。</w:t>
      </w:r>
    </w:p>
    <w:p>
      <w:pPr>
        <w:keepNext w:val="0"/>
        <w:keepLines w:val="0"/>
        <w:widowControl/>
        <w:suppressLineNumbers w:val="0"/>
        <w:spacing w:line="360" w:lineRule="exact"/>
        <w:ind w:firstLine="400" w:firstLineChars="200"/>
        <w:jc w:val="left"/>
        <w:textAlignment w:val="auto"/>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spacing w:line="360" w:lineRule="exact"/>
        <w:ind w:firstLine="400" w:firstLineChars="200"/>
        <w:jc w:val="left"/>
        <w:textAlignment w:val="auto"/>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jc w:val="both"/>
        <w:textAlignment w:val="center"/>
        <w:rPr>
          <w:rFonts w:hint="default"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3.绿色管理应答</w:t>
      </w:r>
    </w:p>
    <w:p>
      <w:pPr>
        <w:rPr>
          <w:rFonts w:hint="eastAsia" w:ascii="宋体" w:hAnsi="宋体" w:cs="宋体"/>
          <w:i w:val="0"/>
          <w:iCs w:val="0"/>
          <w:color w:val="auto"/>
          <w:kern w:val="0"/>
          <w:sz w:val="20"/>
          <w:szCs w:val="20"/>
          <w:highlight w:val="none"/>
          <w:u w:val="none"/>
          <w:lang w:val="en-US" w:eastAsia="zh-CN" w:bidi="ar"/>
        </w:rPr>
      </w:pPr>
      <w:r>
        <w:rPr>
          <w:rFonts w:hint="eastAsia" w:ascii="宋体" w:hAnsi="宋体" w:eastAsia="宋体" w:cs="宋体"/>
          <w:b w:val="0"/>
          <w:bCs w:val="0"/>
          <w:color w:val="auto"/>
          <w:sz w:val="21"/>
          <w:szCs w:val="21"/>
          <w:highlight w:val="none"/>
          <w:lang w:val="en-US" w:eastAsia="zh-CN"/>
        </w:rPr>
        <w:t>投标人应</w:t>
      </w:r>
      <w:r>
        <w:rPr>
          <w:color w:val="auto"/>
          <w:highlight w:val="none"/>
        </w:rPr>
        <w:t>对于“商务评分标准”中</w:t>
      </w:r>
      <w:r>
        <w:rPr>
          <w:rFonts w:hint="eastAsia"/>
          <w:color w:val="auto"/>
          <w:highlight w:val="none"/>
          <w:lang w:eastAsia="zh-CN"/>
        </w:rPr>
        <w:t>“</w:t>
      </w:r>
      <w:r>
        <w:rPr>
          <w:rFonts w:hint="eastAsia"/>
          <w:color w:val="auto"/>
          <w:highlight w:val="none"/>
          <w:lang w:val="en-US" w:eastAsia="zh-CN"/>
        </w:rPr>
        <w:t>绿色管理”评审项进行响应，</w:t>
      </w:r>
      <w:r>
        <w:rPr>
          <w:color w:val="auto"/>
          <w:highlight w:val="none"/>
        </w:rPr>
        <w:t>并提供相关证明材料。</w:t>
      </w:r>
      <w:r>
        <w:rPr>
          <w:rFonts w:hint="eastAsia"/>
          <w:color w:val="auto"/>
          <w:highlight w:val="none"/>
          <w:lang w:val="en-US" w:eastAsia="zh-CN"/>
        </w:rPr>
        <w:t>包括但不限于企业响应国家“双碳”战略目标，节能减排、</w:t>
      </w:r>
      <w:r>
        <w:rPr>
          <w:rFonts w:hint="eastAsia"/>
          <w:color w:val="auto"/>
          <w:highlight w:val="none"/>
        </w:rPr>
        <w:t>绿色管理等方面</w:t>
      </w:r>
      <w:r>
        <w:rPr>
          <w:rFonts w:hint="eastAsia"/>
          <w:color w:val="auto"/>
          <w:highlight w:val="none"/>
          <w:lang w:val="en-US" w:eastAsia="zh-CN"/>
        </w:rPr>
        <w:t>开展的工作举措，</w:t>
      </w:r>
      <w:r>
        <w:rPr>
          <w:rFonts w:hint="eastAsia"/>
          <w:color w:val="auto"/>
          <w:highlight w:val="none"/>
        </w:rPr>
        <w:t>取得政府绿色技术认证，质量、环境、能源、健康安全等体系</w:t>
      </w:r>
      <w:r>
        <w:rPr>
          <w:rFonts w:hint="eastAsia"/>
          <w:color w:val="auto"/>
          <w:highlight w:val="none"/>
          <w:lang w:val="en-US" w:eastAsia="zh-CN"/>
        </w:rPr>
        <w:t>的证明文件、企业发布ESG报告。</w:t>
      </w:r>
      <w:r>
        <w:rPr>
          <w:rFonts w:hint="eastAsia" w:ascii="宋体" w:hAnsi="宋体" w:cs="宋体"/>
          <w:i w:val="0"/>
          <w:iCs w:val="0"/>
          <w:color w:val="auto"/>
          <w:kern w:val="0"/>
          <w:sz w:val="20"/>
          <w:szCs w:val="20"/>
          <w:highlight w:val="none"/>
          <w:u w:val="none"/>
          <w:lang w:val="en-US" w:eastAsia="zh-CN" w:bidi="ar"/>
        </w:rPr>
        <w:br w:type="page"/>
      </w:r>
    </w:p>
    <w:p>
      <w:pPr>
        <w:keepNext w:val="0"/>
        <w:keepLines w:val="0"/>
        <w:widowControl/>
        <w:suppressLineNumbers w:val="0"/>
        <w:jc w:val="both"/>
        <w:textAlignment w:val="center"/>
        <w:rPr>
          <w:rFonts w:hint="default"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4.其他文件</w:t>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（1）基本情况表</w:t>
      </w:r>
    </w:p>
    <w:tbl>
      <w:tblPr>
        <w:tblStyle w:val="19"/>
        <w:tblpPr w:leftFromText="180" w:rightFromText="180" w:vertAnchor="text" w:horzAnchor="page" w:tblpX="1474" w:tblpY="30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5"/>
        <w:gridCol w:w="898"/>
        <w:gridCol w:w="1027"/>
        <w:gridCol w:w="1287"/>
        <w:gridCol w:w="584"/>
        <w:gridCol w:w="702"/>
        <w:gridCol w:w="989"/>
        <w:gridCol w:w="125"/>
        <w:gridCol w:w="12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投标人名称</w:t>
            </w:r>
          </w:p>
        </w:tc>
        <w:tc>
          <w:tcPr>
            <w:tcW w:w="6842" w:type="dxa"/>
            <w:gridSpan w:val="8"/>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注册地址</w:t>
            </w:r>
          </w:p>
        </w:tc>
        <w:tc>
          <w:tcPr>
            <w:tcW w:w="3212" w:type="dxa"/>
            <w:gridSpan w:val="3"/>
            <w:noWrap w:val="0"/>
            <w:vAlign w:val="center"/>
          </w:tcPr>
          <w:p>
            <w:pPr>
              <w:jc w:val="center"/>
              <w:rPr>
                <w:color w:val="auto"/>
                <w:highlight w:val="none"/>
                <w:lang w:bidi="zh-CN"/>
              </w:rPr>
            </w:pPr>
          </w:p>
        </w:tc>
        <w:tc>
          <w:tcPr>
            <w:tcW w:w="1286" w:type="dxa"/>
            <w:gridSpan w:val="2"/>
            <w:noWrap w:val="0"/>
            <w:vAlign w:val="center"/>
          </w:tcPr>
          <w:p>
            <w:pPr>
              <w:jc w:val="center"/>
              <w:rPr>
                <w:color w:val="auto"/>
                <w:highlight w:val="none"/>
                <w:lang w:bidi="zh-CN"/>
              </w:rPr>
            </w:pPr>
            <w:r>
              <w:rPr>
                <w:color w:val="auto"/>
                <w:highlight w:val="none"/>
                <w:lang w:bidi="zh-CN"/>
              </w:rPr>
              <w:t>邮政编码</w:t>
            </w:r>
          </w:p>
        </w:tc>
        <w:tc>
          <w:tcPr>
            <w:tcW w:w="2344" w:type="dxa"/>
            <w:gridSpan w:val="3"/>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vMerge w:val="restart"/>
            <w:noWrap w:val="0"/>
            <w:vAlign w:val="center"/>
          </w:tcPr>
          <w:p>
            <w:pPr>
              <w:jc w:val="center"/>
              <w:rPr>
                <w:color w:val="auto"/>
                <w:highlight w:val="none"/>
                <w:lang w:bidi="zh-CN"/>
              </w:rPr>
            </w:pPr>
          </w:p>
          <w:p>
            <w:pPr>
              <w:jc w:val="center"/>
              <w:rPr>
                <w:color w:val="auto"/>
                <w:highlight w:val="none"/>
                <w:lang w:bidi="zh-CN"/>
              </w:rPr>
            </w:pPr>
            <w:r>
              <w:rPr>
                <w:color w:val="auto"/>
                <w:highlight w:val="none"/>
                <w:lang w:bidi="zh-CN"/>
              </w:rPr>
              <w:t>联系方式</w:t>
            </w:r>
          </w:p>
        </w:tc>
        <w:tc>
          <w:tcPr>
            <w:tcW w:w="898" w:type="dxa"/>
            <w:noWrap w:val="0"/>
            <w:vAlign w:val="center"/>
          </w:tcPr>
          <w:p>
            <w:pPr>
              <w:jc w:val="center"/>
              <w:rPr>
                <w:color w:val="auto"/>
                <w:highlight w:val="none"/>
                <w:lang w:bidi="zh-CN"/>
              </w:rPr>
            </w:pPr>
            <w:r>
              <w:rPr>
                <w:color w:val="auto"/>
                <w:highlight w:val="none"/>
                <w:lang w:bidi="zh-CN"/>
              </w:rPr>
              <w:t>联系人</w:t>
            </w:r>
          </w:p>
        </w:tc>
        <w:tc>
          <w:tcPr>
            <w:tcW w:w="2314" w:type="dxa"/>
            <w:gridSpan w:val="2"/>
            <w:noWrap w:val="0"/>
            <w:vAlign w:val="center"/>
          </w:tcPr>
          <w:p>
            <w:pPr>
              <w:jc w:val="center"/>
              <w:rPr>
                <w:color w:val="auto"/>
                <w:highlight w:val="none"/>
                <w:lang w:bidi="zh-CN"/>
              </w:rPr>
            </w:pPr>
          </w:p>
        </w:tc>
        <w:tc>
          <w:tcPr>
            <w:tcW w:w="1286" w:type="dxa"/>
            <w:gridSpan w:val="2"/>
            <w:noWrap w:val="0"/>
            <w:vAlign w:val="center"/>
          </w:tcPr>
          <w:p>
            <w:pPr>
              <w:jc w:val="center"/>
              <w:rPr>
                <w:color w:val="auto"/>
                <w:highlight w:val="none"/>
                <w:lang w:bidi="zh-CN"/>
              </w:rPr>
            </w:pPr>
            <w:r>
              <w:rPr>
                <w:color w:val="auto"/>
                <w:highlight w:val="none"/>
                <w:lang w:bidi="zh-CN"/>
              </w:rPr>
              <w:t>电 话</w:t>
            </w:r>
          </w:p>
        </w:tc>
        <w:tc>
          <w:tcPr>
            <w:tcW w:w="2344" w:type="dxa"/>
            <w:gridSpan w:val="3"/>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045" w:type="dxa"/>
            <w:vMerge w:val="continue"/>
            <w:tcBorders>
              <w:top w:val="nil"/>
            </w:tcBorders>
            <w:noWrap w:val="0"/>
            <w:vAlign w:val="center"/>
          </w:tcPr>
          <w:p>
            <w:pPr>
              <w:jc w:val="center"/>
              <w:rPr>
                <w:color w:val="auto"/>
                <w:highlight w:val="none"/>
              </w:rPr>
            </w:pPr>
          </w:p>
        </w:tc>
        <w:tc>
          <w:tcPr>
            <w:tcW w:w="898" w:type="dxa"/>
            <w:noWrap w:val="0"/>
            <w:vAlign w:val="center"/>
          </w:tcPr>
          <w:p>
            <w:pPr>
              <w:jc w:val="center"/>
              <w:rPr>
                <w:color w:val="auto"/>
                <w:highlight w:val="none"/>
                <w:lang w:bidi="zh-CN"/>
              </w:rPr>
            </w:pPr>
            <w:r>
              <w:rPr>
                <w:color w:val="auto"/>
                <w:highlight w:val="none"/>
                <w:lang w:bidi="zh-CN"/>
              </w:rPr>
              <w:t>传</w:t>
            </w:r>
            <w:r>
              <w:rPr>
                <w:color w:val="auto"/>
                <w:highlight w:val="none"/>
                <w:lang w:bidi="zh-CN"/>
              </w:rPr>
              <w:tab/>
            </w:r>
            <w:r>
              <w:rPr>
                <w:color w:val="auto"/>
                <w:highlight w:val="none"/>
                <w:lang w:bidi="zh-CN"/>
              </w:rPr>
              <w:t>真</w:t>
            </w:r>
          </w:p>
        </w:tc>
        <w:tc>
          <w:tcPr>
            <w:tcW w:w="2314" w:type="dxa"/>
            <w:gridSpan w:val="2"/>
            <w:noWrap w:val="0"/>
            <w:vAlign w:val="center"/>
          </w:tcPr>
          <w:p>
            <w:pPr>
              <w:jc w:val="center"/>
              <w:rPr>
                <w:color w:val="auto"/>
                <w:highlight w:val="none"/>
                <w:lang w:bidi="zh-CN"/>
              </w:rPr>
            </w:pPr>
          </w:p>
        </w:tc>
        <w:tc>
          <w:tcPr>
            <w:tcW w:w="1286" w:type="dxa"/>
            <w:gridSpan w:val="2"/>
            <w:noWrap w:val="0"/>
            <w:vAlign w:val="center"/>
          </w:tcPr>
          <w:p>
            <w:pPr>
              <w:jc w:val="center"/>
              <w:rPr>
                <w:color w:val="auto"/>
                <w:highlight w:val="none"/>
                <w:lang w:bidi="zh-CN"/>
              </w:rPr>
            </w:pPr>
            <w:r>
              <w:rPr>
                <w:color w:val="auto"/>
                <w:highlight w:val="none"/>
                <w:lang w:bidi="zh-CN"/>
              </w:rPr>
              <w:t>网 址</w:t>
            </w:r>
          </w:p>
        </w:tc>
        <w:tc>
          <w:tcPr>
            <w:tcW w:w="2344" w:type="dxa"/>
            <w:gridSpan w:val="3"/>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法定代表人</w:t>
            </w:r>
          </w:p>
        </w:tc>
        <w:tc>
          <w:tcPr>
            <w:tcW w:w="898" w:type="dxa"/>
            <w:noWrap w:val="0"/>
            <w:vAlign w:val="center"/>
          </w:tcPr>
          <w:p>
            <w:pPr>
              <w:jc w:val="center"/>
              <w:rPr>
                <w:color w:val="auto"/>
                <w:highlight w:val="none"/>
                <w:lang w:bidi="zh-CN"/>
              </w:rPr>
            </w:pPr>
            <w:r>
              <w:rPr>
                <w:color w:val="auto"/>
                <w:highlight w:val="none"/>
                <w:lang w:bidi="zh-CN"/>
              </w:rPr>
              <w:t>姓名</w:t>
            </w:r>
          </w:p>
        </w:tc>
        <w:tc>
          <w:tcPr>
            <w:tcW w:w="1027" w:type="dxa"/>
            <w:noWrap w:val="0"/>
            <w:vAlign w:val="center"/>
          </w:tcPr>
          <w:p>
            <w:pPr>
              <w:jc w:val="center"/>
              <w:rPr>
                <w:color w:val="auto"/>
                <w:highlight w:val="none"/>
                <w:lang w:bidi="zh-CN"/>
              </w:rPr>
            </w:pPr>
          </w:p>
        </w:tc>
        <w:tc>
          <w:tcPr>
            <w:tcW w:w="1287" w:type="dxa"/>
            <w:noWrap w:val="0"/>
            <w:vAlign w:val="center"/>
          </w:tcPr>
          <w:p>
            <w:pPr>
              <w:jc w:val="center"/>
              <w:rPr>
                <w:color w:val="auto"/>
                <w:highlight w:val="none"/>
                <w:lang w:bidi="zh-CN"/>
              </w:rPr>
            </w:pPr>
            <w:r>
              <w:rPr>
                <w:color w:val="auto"/>
                <w:highlight w:val="none"/>
                <w:lang w:bidi="zh-CN"/>
              </w:rPr>
              <w:t>技术职称</w:t>
            </w:r>
          </w:p>
        </w:tc>
        <w:tc>
          <w:tcPr>
            <w:tcW w:w="1286" w:type="dxa"/>
            <w:gridSpan w:val="2"/>
            <w:noWrap w:val="0"/>
            <w:vAlign w:val="center"/>
          </w:tcPr>
          <w:p>
            <w:pPr>
              <w:jc w:val="center"/>
              <w:rPr>
                <w:color w:val="auto"/>
                <w:highlight w:val="none"/>
                <w:lang w:bidi="zh-CN"/>
              </w:rPr>
            </w:pPr>
          </w:p>
        </w:tc>
        <w:tc>
          <w:tcPr>
            <w:tcW w:w="1114" w:type="dxa"/>
            <w:gridSpan w:val="2"/>
            <w:noWrap w:val="0"/>
            <w:vAlign w:val="center"/>
          </w:tcPr>
          <w:p>
            <w:pPr>
              <w:jc w:val="center"/>
              <w:rPr>
                <w:color w:val="auto"/>
                <w:highlight w:val="none"/>
                <w:lang w:bidi="zh-CN"/>
              </w:rPr>
            </w:pPr>
            <w:r>
              <w:rPr>
                <w:color w:val="auto"/>
                <w:highlight w:val="none"/>
                <w:lang w:bidi="zh-CN"/>
              </w:rPr>
              <w:t>电话</w:t>
            </w:r>
          </w:p>
        </w:tc>
        <w:tc>
          <w:tcPr>
            <w:tcW w:w="1230" w:type="dxa"/>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技术负责人</w:t>
            </w:r>
          </w:p>
        </w:tc>
        <w:tc>
          <w:tcPr>
            <w:tcW w:w="898" w:type="dxa"/>
            <w:noWrap w:val="0"/>
            <w:vAlign w:val="center"/>
          </w:tcPr>
          <w:p>
            <w:pPr>
              <w:jc w:val="center"/>
              <w:rPr>
                <w:color w:val="auto"/>
                <w:highlight w:val="none"/>
                <w:lang w:bidi="zh-CN"/>
              </w:rPr>
            </w:pPr>
            <w:r>
              <w:rPr>
                <w:color w:val="auto"/>
                <w:highlight w:val="none"/>
                <w:lang w:bidi="zh-CN"/>
              </w:rPr>
              <w:t>姓名</w:t>
            </w:r>
          </w:p>
        </w:tc>
        <w:tc>
          <w:tcPr>
            <w:tcW w:w="1027" w:type="dxa"/>
            <w:noWrap w:val="0"/>
            <w:vAlign w:val="center"/>
          </w:tcPr>
          <w:p>
            <w:pPr>
              <w:jc w:val="center"/>
              <w:rPr>
                <w:color w:val="auto"/>
                <w:highlight w:val="none"/>
                <w:lang w:bidi="zh-CN"/>
              </w:rPr>
            </w:pPr>
          </w:p>
        </w:tc>
        <w:tc>
          <w:tcPr>
            <w:tcW w:w="1287" w:type="dxa"/>
            <w:noWrap w:val="0"/>
            <w:vAlign w:val="center"/>
          </w:tcPr>
          <w:p>
            <w:pPr>
              <w:jc w:val="center"/>
              <w:rPr>
                <w:color w:val="auto"/>
                <w:highlight w:val="none"/>
                <w:lang w:bidi="zh-CN"/>
              </w:rPr>
            </w:pPr>
            <w:r>
              <w:rPr>
                <w:color w:val="auto"/>
                <w:highlight w:val="none"/>
                <w:lang w:bidi="zh-CN"/>
              </w:rPr>
              <w:t>技术职称</w:t>
            </w:r>
          </w:p>
        </w:tc>
        <w:tc>
          <w:tcPr>
            <w:tcW w:w="1286" w:type="dxa"/>
            <w:gridSpan w:val="2"/>
            <w:noWrap w:val="0"/>
            <w:vAlign w:val="center"/>
          </w:tcPr>
          <w:p>
            <w:pPr>
              <w:jc w:val="center"/>
              <w:rPr>
                <w:color w:val="auto"/>
                <w:highlight w:val="none"/>
                <w:lang w:bidi="zh-CN"/>
              </w:rPr>
            </w:pPr>
          </w:p>
        </w:tc>
        <w:tc>
          <w:tcPr>
            <w:tcW w:w="1114" w:type="dxa"/>
            <w:gridSpan w:val="2"/>
            <w:noWrap w:val="0"/>
            <w:vAlign w:val="center"/>
          </w:tcPr>
          <w:p>
            <w:pPr>
              <w:jc w:val="center"/>
              <w:rPr>
                <w:color w:val="auto"/>
                <w:highlight w:val="none"/>
                <w:lang w:bidi="zh-CN"/>
              </w:rPr>
            </w:pPr>
            <w:r>
              <w:rPr>
                <w:color w:val="auto"/>
                <w:highlight w:val="none"/>
                <w:lang w:bidi="zh-CN"/>
              </w:rPr>
              <w:t>电话</w:t>
            </w:r>
          </w:p>
        </w:tc>
        <w:tc>
          <w:tcPr>
            <w:tcW w:w="1230" w:type="dxa"/>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045" w:type="dxa"/>
            <w:noWrap w:val="0"/>
            <w:vAlign w:val="center"/>
          </w:tcPr>
          <w:p>
            <w:pPr>
              <w:jc w:val="center"/>
              <w:rPr>
                <w:color w:val="auto"/>
                <w:highlight w:val="none"/>
                <w:lang w:bidi="zh-CN"/>
              </w:rPr>
            </w:pPr>
            <w:r>
              <w:rPr>
                <w:color w:val="auto"/>
                <w:highlight w:val="none"/>
                <w:lang w:bidi="zh-CN"/>
              </w:rPr>
              <w:t>营业执照号</w:t>
            </w:r>
          </w:p>
        </w:tc>
        <w:tc>
          <w:tcPr>
            <w:tcW w:w="3212" w:type="dxa"/>
            <w:gridSpan w:val="3"/>
            <w:noWrap w:val="0"/>
            <w:vAlign w:val="center"/>
          </w:tcPr>
          <w:p>
            <w:pPr>
              <w:jc w:val="center"/>
              <w:rPr>
                <w:color w:val="auto"/>
                <w:highlight w:val="none"/>
                <w:lang w:bidi="zh-CN"/>
              </w:rPr>
            </w:pPr>
          </w:p>
        </w:tc>
        <w:tc>
          <w:tcPr>
            <w:tcW w:w="3630" w:type="dxa"/>
            <w:gridSpan w:val="5"/>
            <w:noWrap w:val="0"/>
            <w:vAlign w:val="center"/>
          </w:tcPr>
          <w:p>
            <w:pPr>
              <w:jc w:val="center"/>
              <w:rPr>
                <w:color w:val="auto"/>
                <w:highlight w:val="none"/>
                <w:lang w:bidi="zh-CN"/>
              </w:rPr>
            </w:pPr>
            <w:r>
              <w:rPr>
                <w:color w:val="auto"/>
                <w:highlight w:val="none"/>
                <w:lang w:bidi="zh-CN"/>
              </w:rPr>
              <w:t>员工总人数：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注册资本</w:t>
            </w:r>
          </w:p>
        </w:tc>
        <w:tc>
          <w:tcPr>
            <w:tcW w:w="3212" w:type="dxa"/>
            <w:gridSpan w:val="3"/>
            <w:noWrap w:val="0"/>
            <w:vAlign w:val="center"/>
          </w:tcPr>
          <w:p>
            <w:pPr>
              <w:jc w:val="center"/>
              <w:rPr>
                <w:color w:val="auto"/>
                <w:highlight w:val="none"/>
                <w:lang w:bidi="zh-CN"/>
              </w:rPr>
            </w:pPr>
          </w:p>
        </w:tc>
        <w:tc>
          <w:tcPr>
            <w:tcW w:w="584" w:type="dxa"/>
            <w:vMerge w:val="restart"/>
            <w:noWrap w:val="0"/>
            <w:vAlign w:val="center"/>
          </w:tcPr>
          <w:p>
            <w:pPr>
              <w:jc w:val="center"/>
              <w:rPr>
                <w:color w:val="auto"/>
                <w:highlight w:val="none"/>
                <w:lang w:bidi="zh-CN"/>
              </w:rPr>
            </w:pPr>
            <w:r>
              <w:rPr>
                <w:color w:val="auto"/>
                <w:highlight w:val="none"/>
                <w:lang w:bidi="zh-CN"/>
              </w:rPr>
              <w:t>其中</w:t>
            </w:r>
          </w:p>
        </w:tc>
        <w:tc>
          <w:tcPr>
            <w:tcW w:w="1691" w:type="dxa"/>
            <w:gridSpan w:val="2"/>
            <w:noWrap w:val="0"/>
            <w:vAlign w:val="center"/>
          </w:tcPr>
          <w:p>
            <w:pPr>
              <w:jc w:val="center"/>
              <w:rPr>
                <w:color w:val="auto"/>
                <w:highlight w:val="none"/>
                <w:lang w:bidi="zh-CN"/>
              </w:rPr>
            </w:pPr>
            <w:r>
              <w:rPr>
                <w:color w:val="auto"/>
                <w:highlight w:val="none"/>
                <w:lang w:bidi="zh-CN"/>
              </w:rPr>
              <w:t>高级职称人员</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成立日期</w:t>
            </w:r>
          </w:p>
        </w:tc>
        <w:tc>
          <w:tcPr>
            <w:tcW w:w="3212" w:type="dxa"/>
            <w:gridSpan w:val="3"/>
            <w:noWrap w:val="0"/>
            <w:vAlign w:val="center"/>
          </w:tcPr>
          <w:p>
            <w:pPr>
              <w:jc w:val="center"/>
              <w:rPr>
                <w:color w:val="auto"/>
                <w:highlight w:val="none"/>
                <w:lang w:bidi="zh-CN"/>
              </w:rPr>
            </w:pPr>
          </w:p>
        </w:tc>
        <w:tc>
          <w:tcPr>
            <w:tcW w:w="584" w:type="dxa"/>
            <w:vMerge w:val="continue"/>
            <w:tcBorders>
              <w:top w:val="nil"/>
            </w:tcBorders>
            <w:noWrap w:val="0"/>
            <w:vAlign w:val="center"/>
          </w:tcPr>
          <w:p>
            <w:pPr>
              <w:jc w:val="center"/>
              <w:rPr>
                <w:color w:val="auto"/>
                <w:highlight w:val="none"/>
              </w:rPr>
            </w:pPr>
          </w:p>
        </w:tc>
        <w:tc>
          <w:tcPr>
            <w:tcW w:w="1691" w:type="dxa"/>
            <w:gridSpan w:val="2"/>
            <w:noWrap w:val="0"/>
            <w:vAlign w:val="center"/>
          </w:tcPr>
          <w:p>
            <w:pPr>
              <w:jc w:val="center"/>
              <w:rPr>
                <w:color w:val="auto"/>
                <w:highlight w:val="none"/>
                <w:lang w:bidi="zh-CN"/>
              </w:rPr>
            </w:pPr>
            <w:r>
              <w:rPr>
                <w:color w:val="auto"/>
                <w:highlight w:val="none"/>
                <w:lang w:bidi="zh-CN"/>
              </w:rPr>
              <w:t>中级职称人员</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基本账户开户银行</w:t>
            </w:r>
          </w:p>
        </w:tc>
        <w:tc>
          <w:tcPr>
            <w:tcW w:w="3212" w:type="dxa"/>
            <w:gridSpan w:val="3"/>
            <w:noWrap w:val="0"/>
            <w:vAlign w:val="center"/>
          </w:tcPr>
          <w:p>
            <w:pPr>
              <w:jc w:val="center"/>
              <w:rPr>
                <w:color w:val="auto"/>
                <w:highlight w:val="none"/>
                <w:lang w:bidi="zh-CN"/>
              </w:rPr>
            </w:pPr>
          </w:p>
        </w:tc>
        <w:tc>
          <w:tcPr>
            <w:tcW w:w="584" w:type="dxa"/>
            <w:vMerge w:val="continue"/>
            <w:tcBorders>
              <w:top w:val="nil"/>
            </w:tcBorders>
            <w:noWrap w:val="0"/>
            <w:vAlign w:val="center"/>
          </w:tcPr>
          <w:p>
            <w:pPr>
              <w:jc w:val="center"/>
              <w:rPr>
                <w:color w:val="auto"/>
                <w:highlight w:val="none"/>
              </w:rPr>
            </w:pPr>
          </w:p>
        </w:tc>
        <w:tc>
          <w:tcPr>
            <w:tcW w:w="1691" w:type="dxa"/>
            <w:gridSpan w:val="2"/>
            <w:noWrap w:val="0"/>
            <w:vAlign w:val="center"/>
          </w:tcPr>
          <w:p>
            <w:pPr>
              <w:jc w:val="center"/>
              <w:rPr>
                <w:color w:val="auto"/>
                <w:highlight w:val="none"/>
                <w:lang w:bidi="zh-CN"/>
              </w:rPr>
            </w:pPr>
            <w:r>
              <w:rPr>
                <w:color w:val="auto"/>
                <w:highlight w:val="none"/>
                <w:lang w:bidi="zh-CN"/>
              </w:rPr>
              <w:t>技术人员数量</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基本账户银行账号</w:t>
            </w:r>
          </w:p>
        </w:tc>
        <w:tc>
          <w:tcPr>
            <w:tcW w:w="3212" w:type="dxa"/>
            <w:gridSpan w:val="3"/>
            <w:noWrap w:val="0"/>
            <w:vAlign w:val="center"/>
          </w:tcPr>
          <w:p>
            <w:pPr>
              <w:jc w:val="center"/>
              <w:rPr>
                <w:color w:val="auto"/>
                <w:highlight w:val="none"/>
                <w:lang w:bidi="zh-CN"/>
              </w:rPr>
            </w:pPr>
          </w:p>
        </w:tc>
        <w:tc>
          <w:tcPr>
            <w:tcW w:w="584" w:type="dxa"/>
            <w:vMerge w:val="continue"/>
            <w:tcBorders>
              <w:top w:val="nil"/>
            </w:tcBorders>
            <w:noWrap w:val="0"/>
            <w:vAlign w:val="center"/>
          </w:tcPr>
          <w:p>
            <w:pPr>
              <w:jc w:val="center"/>
              <w:rPr>
                <w:color w:val="auto"/>
                <w:highlight w:val="none"/>
              </w:rPr>
            </w:pPr>
          </w:p>
        </w:tc>
        <w:tc>
          <w:tcPr>
            <w:tcW w:w="1691" w:type="dxa"/>
            <w:gridSpan w:val="2"/>
            <w:noWrap w:val="0"/>
            <w:vAlign w:val="center"/>
          </w:tcPr>
          <w:p>
            <w:pPr>
              <w:jc w:val="center"/>
              <w:rPr>
                <w:color w:val="auto"/>
                <w:highlight w:val="none"/>
                <w:lang w:bidi="zh-CN"/>
              </w:rPr>
            </w:pPr>
            <w:r>
              <w:rPr>
                <w:color w:val="auto"/>
                <w:highlight w:val="none"/>
                <w:lang w:bidi="zh-CN"/>
              </w:rPr>
              <w:t>各类注册人员</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经营范围</w:t>
            </w:r>
          </w:p>
        </w:tc>
        <w:tc>
          <w:tcPr>
            <w:tcW w:w="6842" w:type="dxa"/>
            <w:gridSpan w:val="8"/>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0" w:hRule="atLeast"/>
        </w:trPr>
        <w:tc>
          <w:tcPr>
            <w:tcW w:w="2045" w:type="dxa"/>
            <w:noWrap w:val="0"/>
            <w:vAlign w:val="center"/>
          </w:tcPr>
          <w:p>
            <w:pPr>
              <w:jc w:val="center"/>
              <w:rPr>
                <w:color w:val="auto"/>
                <w:highlight w:val="none"/>
                <w:lang w:bidi="zh-CN"/>
              </w:rPr>
            </w:pPr>
            <w:r>
              <w:rPr>
                <w:color w:val="auto"/>
                <w:highlight w:val="none"/>
                <w:lang w:bidi="zh-CN"/>
              </w:rPr>
              <w:t>投标人关联企业情况（包括但不限于与投标人法定代表人为同一人或者存在控股、管理关系的不</w:t>
            </w:r>
          </w:p>
          <w:p>
            <w:pPr>
              <w:jc w:val="center"/>
              <w:rPr>
                <w:color w:val="auto"/>
                <w:highlight w:val="none"/>
                <w:lang w:bidi="zh-CN"/>
              </w:rPr>
            </w:pPr>
            <w:r>
              <w:rPr>
                <w:color w:val="auto"/>
                <w:highlight w:val="none"/>
                <w:lang w:bidi="zh-CN"/>
              </w:rPr>
              <w:t>同单位）</w:t>
            </w:r>
          </w:p>
        </w:tc>
        <w:tc>
          <w:tcPr>
            <w:tcW w:w="6842" w:type="dxa"/>
            <w:gridSpan w:val="8"/>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备注</w:t>
            </w:r>
          </w:p>
        </w:tc>
        <w:tc>
          <w:tcPr>
            <w:tcW w:w="6842" w:type="dxa"/>
            <w:gridSpan w:val="8"/>
            <w:noWrap w:val="0"/>
            <w:vAlign w:val="center"/>
          </w:tcPr>
          <w:p>
            <w:pPr>
              <w:jc w:val="center"/>
              <w:rPr>
                <w:color w:val="auto"/>
                <w:highlight w:val="none"/>
                <w:lang w:bidi="zh-CN"/>
              </w:rPr>
            </w:pPr>
          </w:p>
        </w:tc>
      </w:tr>
    </w:tbl>
    <w:p>
      <w:pPr>
        <w:pStyle w:val="17"/>
        <w:rPr>
          <w:rFonts w:hint="eastAsia"/>
          <w:color w:val="auto"/>
          <w:highlight w:val="none"/>
          <w:lang w:val="en-US" w:eastAsia="zh-CN"/>
        </w:rPr>
      </w:pPr>
    </w:p>
    <w:p>
      <w:pP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br w:type="page"/>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（2）近年财务状况</w:t>
      </w:r>
    </w:p>
    <w:p>
      <w:pPr>
        <w:tabs>
          <w:tab w:val="right" w:pos="7200"/>
        </w:tabs>
        <w:spacing w:line="360" w:lineRule="auto"/>
        <w:ind w:firstLine="420" w:firstLineChars="200"/>
        <w:rPr>
          <w:color w:val="auto"/>
          <w:highlight w:val="none"/>
        </w:rPr>
      </w:pPr>
      <w:r>
        <w:rPr>
          <w:color w:val="auto"/>
          <w:szCs w:val="21"/>
          <w:highlight w:val="none"/>
        </w:rPr>
        <w:t>投标人需提供第二章投标人须知前附表第3.5.2条规定年份的财务会计报表</w:t>
      </w:r>
      <w:r>
        <w:rPr>
          <w:b/>
          <w:color w:val="auto"/>
          <w:szCs w:val="21"/>
          <w:highlight w:val="none"/>
        </w:rPr>
        <w:t>审计报告</w:t>
      </w:r>
      <w:r>
        <w:rPr>
          <w:b/>
          <w:color w:val="auto"/>
          <w:highlight w:val="none"/>
        </w:rPr>
        <w:t>、资产负债表、利润表及现金流量表，其他报表无需提供</w:t>
      </w:r>
      <w:r>
        <w:rPr>
          <w:color w:val="auto"/>
          <w:highlight w:val="none"/>
        </w:rPr>
        <w:t>。</w:t>
      </w:r>
    </w:p>
    <w:p>
      <w:pPr>
        <w:tabs>
          <w:tab w:val="right" w:pos="7200"/>
        </w:tabs>
        <w:spacing w:line="360" w:lineRule="auto"/>
        <w:ind w:firstLine="420" w:firstLineChars="200"/>
        <w:rPr>
          <w:color w:val="auto"/>
          <w:szCs w:val="21"/>
          <w:highlight w:val="none"/>
        </w:rPr>
      </w:pPr>
      <w:r>
        <w:rPr>
          <w:color w:val="auto"/>
          <w:szCs w:val="21"/>
          <w:highlight w:val="none"/>
        </w:rPr>
        <w:t>如因国家重大政策（机构）调整造成无法提供的，可提供上级单位出具的关于投标人财务状况的证明文件，并附国家相关政策文件。投标人的成立时间少于投标人须知前附表规定年份的，应提供成立以来的财务状况。</w:t>
      </w:r>
    </w:p>
    <w:p>
      <w:pPr>
        <w:spacing w:line="360" w:lineRule="exact"/>
        <w:ind w:firstLine="525" w:firstLineChars="250"/>
        <w:jc w:val="left"/>
        <w:rPr>
          <w:color w:val="auto"/>
          <w:highlight w:val="none"/>
        </w:rPr>
      </w:pPr>
      <w:r>
        <w:rPr>
          <w:color w:val="auto"/>
          <w:szCs w:val="21"/>
          <w:highlight w:val="none"/>
        </w:rPr>
        <w:t>注：</w:t>
      </w:r>
      <w:r>
        <w:rPr>
          <w:b/>
          <w:bCs/>
          <w:color w:val="auto"/>
          <w:szCs w:val="21"/>
          <w:highlight w:val="none"/>
        </w:rPr>
        <w:t>对于出具财务会计报表的</w:t>
      </w:r>
      <w:r>
        <w:rPr>
          <w:b/>
          <w:bCs/>
          <w:color w:val="auto"/>
          <w:szCs w:val="21"/>
          <w:highlight w:val="none"/>
          <w:lang w:val="zh-CN"/>
        </w:rPr>
        <w:t>会计师事务所或审计机构，仅需提供该机构的资质证书，不需提供该机构其他无关文件。</w:t>
      </w:r>
    </w:p>
    <w:p>
      <w:pPr>
        <w:pStyle w:val="17"/>
        <w:rPr>
          <w:rFonts w:hint="eastAsia"/>
          <w:color w:val="auto"/>
          <w:highlight w:val="none"/>
          <w:lang w:val="en-US" w:eastAsia="zh-CN"/>
        </w:rPr>
      </w:pPr>
    </w:p>
    <w:p>
      <w:pPr>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（3）近年发生的诉讼及仲裁情况</w:t>
      </w:r>
    </w:p>
    <w:p>
      <w:pPr>
        <w:spacing w:before="120" w:beforeLines="50" w:line="360" w:lineRule="exact"/>
        <w:ind w:firstLine="525" w:firstLineChars="250"/>
        <w:rPr>
          <w:color w:val="auto"/>
          <w:highlight w:val="none"/>
        </w:rPr>
      </w:pPr>
      <w:r>
        <w:rPr>
          <w:color w:val="auto"/>
          <w:highlight w:val="none"/>
        </w:rPr>
        <w:t>本页应说明投标人败诉的相关情况，并附法院或仲裁机构作出的判决、裁决等有关法律文书扫描件，具体时间要求见投标人须知前附表。</w:t>
      </w:r>
    </w:p>
    <w:p>
      <w:pPr>
        <w:numPr>
          <w:ilvl w:val="0"/>
          <w:numId w:val="0"/>
        </w:numPr>
        <w:jc w:val="left"/>
        <w:rPr>
          <w:rFonts w:hint="eastAsia" w:ascii="宋体" w:hAnsi="宋体" w:cs="宋体"/>
          <w:i w:val="0"/>
          <w:iCs w:val="0"/>
          <w:color w:val="auto"/>
          <w:kern w:val="0"/>
          <w:sz w:val="20"/>
          <w:szCs w:val="20"/>
          <w:highlight w:val="none"/>
          <w:u w:val="none"/>
          <w:lang w:val="en-US" w:eastAsia="zh-CN" w:bidi="ar"/>
        </w:rPr>
      </w:pPr>
    </w:p>
    <w:p>
      <w:pPr>
        <w:numPr>
          <w:ilvl w:val="0"/>
          <w:numId w:val="0"/>
        </w:numPr>
        <w:jc w:val="left"/>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（4）投标人认为需要加以说明的其他商务内容</w:t>
      </w:r>
    </w:p>
    <w:p>
      <w:pPr>
        <w:rPr>
          <w:b/>
          <w:color w:val="auto"/>
          <w:sz w:val="24"/>
          <w:highlight w:val="none"/>
        </w:rPr>
      </w:pPr>
      <w:r>
        <w:rPr>
          <w:b/>
          <w:color w:val="auto"/>
          <w:sz w:val="24"/>
          <w:highlight w:val="none"/>
        </w:rPr>
        <w:br w:type="page"/>
      </w:r>
    </w:p>
    <w:p>
      <w:pPr>
        <w:widowControl/>
        <w:jc w:val="left"/>
        <w:outlineLvl w:val="1"/>
        <w:rPr>
          <w:rFonts w:hint="eastAsia"/>
          <w:b/>
          <w:color w:val="auto"/>
          <w:sz w:val="24"/>
          <w:highlight w:val="none"/>
          <w:lang w:val="en-US" w:eastAsia="zh-CN"/>
        </w:rPr>
      </w:pPr>
      <w:r>
        <w:rPr>
          <w:rFonts w:hint="eastAsia"/>
          <w:b/>
          <w:color w:val="auto"/>
          <w:sz w:val="24"/>
          <w:highlight w:val="none"/>
          <w:lang w:val="en-US" w:eastAsia="zh-CN"/>
        </w:rPr>
        <w:t>（四）技术指引文件</w:t>
      </w:r>
    </w:p>
    <w:p>
      <w:pPr>
        <w:pStyle w:val="18"/>
        <w:numPr>
          <w:ilvl w:val="0"/>
          <w:numId w:val="7"/>
        </w:numPr>
        <w:ind w:leftChars="0"/>
        <w:jc w:val="left"/>
        <w:outlineLvl w:val="2"/>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技术文件第一册</w:t>
      </w:r>
    </w:p>
    <w:p>
      <w:pPr>
        <w:jc w:val="center"/>
        <w:rPr>
          <w:color w:val="auto"/>
          <w:highlight w:val="none"/>
        </w:rPr>
      </w:pPr>
      <w:r>
        <w:rPr>
          <w:rFonts w:hint="eastAsia" w:ascii="方正仿宋_GBK" w:hAnsi="方正仿宋_GBK" w:eastAsia="方正仿宋_GBK" w:cs="方正仿宋_GBK"/>
          <w:b/>
          <w:bCs/>
          <w:color w:val="auto"/>
          <w:sz w:val="22"/>
          <w:szCs w:val="22"/>
          <w:highlight w:val="none"/>
        </w:rPr>
        <w:t>目录</w:t>
      </w:r>
    </w:p>
    <w:tbl>
      <w:tblPr>
        <w:tblStyle w:val="19"/>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02"/>
        <w:gridCol w:w="2657"/>
        <w:gridCol w:w="2360"/>
        <w:gridCol w:w="2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024"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43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27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271"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9" w:hRule="atLeast"/>
        </w:trPr>
        <w:tc>
          <w:tcPr>
            <w:tcW w:w="1024"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技术偏差表</w:t>
            </w:r>
          </w:p>
        </w:tc>
        <w:tc>
          <w:tcPr>
            <w:tcW w:w="143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1.技术偏差表</w:t>
            </w:r>
          </w:p>
        </w:tc>
        <w:tc>
          <w:tcPr>
            <w:tcW w:w="1271"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技术偏差表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6" w:hRule="atLeast"/>
        </w:trPr>
        <w:tc>
          <w:tcPr>
            <w:tcW w:w="1024"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投标人业绩及关键人员要求</w:t>
            </w:r>
          </w:p>
        </w:tc>
        <w:tc>
          <w:tcPr>
            <w:tcW w:w="143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2.资质业绩技术评审清单</w:t>
            </w:r>
          </w:p>
        </w:tc>
        <w:tc>
          <w:tcPr>
            <w:tcW w:w="1271"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6" w:hRule="atLeast"/>
        </w:trPr>
        <w:tc>
          <w:tcPr>
            <w:tcW w:w="1024"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企业业绩情况</w:t>
            </w:r>
          </w:p>
        </w:tc>
        <w:tc>
          <w:tcPr>
            <w:tcW w:w="1431" w:type="pct"/>
            <w:tcBorders>
              <w:tl2br w:val="nil"/>
              <w:tr2bl w:val="nil"/>
            </w:tcBorders>
            <w:vAlign w:val="center"/>
          </w:tcPr>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3.企业业绩情况</w:t>
            </w:r>
          </w:p>
          <w:p>
            <w:pPr>
              <w:widowControl/>
              <w:jc w:val="left"/>
              <w:textAlignment w:val="center"/>
              <w:rPr>
                <w:rFonts w:ascii="宋体" w:hAnsi="宋体" w:cs="宋体"/>
                <w:color w:val="auto"/>
                <w:kern w:val="0"/>
                <w:sz w:val="20"/>
                <w:szCs w:val="20"/>
                <w:highlight w:val="none"/>
                <w:lang w:bidi="ar"/>
              </w:rPr>
            </w:pPr>
            <w:r>
              <w:rPr>
                <w:rFonts w:hint="eastAsia"/>
                <w:color w:val="auto"/>
                <w:highlight w:val="none"/>
              </w:rPr>
              <w:t>（</w:t>
            </w:r>
            <w:r>
              <w:rPr>
                <w:rFonts w:hint="eastAsia" w:ascii="宋体" w:hAnsi="宋体" w:cs="宋体"/>
                <w:color w:val="auto"/>
                <w:kern w:val="0"/>
                <w:sz w:val="20"/>
                <w:szCs w:val="20"/>
                <w:highlight w:val="none"/>
                <w:lang w:bidi="ar"/>
              </w:rPr>
              <w:t>1）近年完成的类似项目情况</w:t>
            </w:r>
          </w:p>
          <w:p>
            <w:pPr>
              <w:widowControl/>
              <w:jc w:val="left"/>
              <w:textAlignment w:val="center"/>
              <w:rPr>
                <w:color w:val="auto"/>
                <w:highlight w:val="none"/>
              </w:rPr>
            </w:pPr>
            <w:r>
              <w:rPr>
                <w:rFonts w:hint="eastAsia" w:ascii="宋体" w:hAnsi="宋体" w:cs="宋体"/>
                <w:color w:val="auto"/>
                <w:kern w:val="0"/>
                <w:sz w:val="20"/>
                <w:szCs w:val="20"/>
                <w:highlight w:val="none"/>
                <w:lang w:bidi="ar"/>
              </w:rPr>
              <w:t>（2）正在设计和新承接的项目情况</w:t>
            </w:r>
          </w:p>
        </w:tc>
        <w:tc>
          <w:tcPr>
            <w:tcW w:w="1271" w:type="pct"/>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color w:val="auto"/>
                <w:kern w:val="0"/>
                <w:sz w:val="18"/>
                <w:szCs w:val="18"/>
                <w:highlight w:val="none"/>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80" w:hRule="atLeast"/>
        </w:trPr>
        <w:tc>
          <w:tcPr>
            <w:tcW w:w="1024"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项目关键人员简历及证明材料</w:t>
            </w:r>
          </w:p>
        </w:tc>
        <w:tc>
          <w:tcPr>
            <w:tcW w:w="1431" w:type="pct"/>
            <w:tcBorders>
              <w:tl2br w:val="nil"/>
              <w:tr2bl w:val="nil"/>
            </w:tcBorders>
            <w:vAlign w:val="center"/>
          </w:tcPr>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4.项目关键人员简历及证明材料</w:t>
            </w:r>
          </w:p>
        </w:tc>
        <w:tc>
          <w:tcPr>
            <w:tcW w:w="1271" w:type="pct"/>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color w:val="auto"/>
                <w:kern w:val="0"/>
                <w:sz w:val="18"/>
                <w:szCs w:val="18"/>
                <w:highlight w:val="none"/>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default"/>
          <w:color w:val="auto"/>
          <w:highlight w:val="none"/>
          <w:lang w:val="en-US" w:eastAsia="zh-CN"/>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keepNext w:val="0"/>
        <w:keepLines w:val="0"/>
        <w:widowControl/>
        <w:numPr>
          <w:ilvl w:val="0"/>
          <w:numId w:val="0"/>
        </w:numPr>
        <w:suppressLineNumbers w:val="0"/>
        <w:jc w:val="left"/>
        <w:textAlignment w:val="center"/>
        <w:outlineLvl w:val="3"/>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1.技术偏差表</w:t>
      </w:r>
    </w:p>
    <w:p>
      <w:pPr>
        <w:pStyle w:val="49"/>
        <w:spacing w:before="0"/>
        <w:rPr>
          <w:color w:val="auto"/>
          <w:highlight w:val="none"/>
        </w:rPr>
      </w:pPr>
      <w:r>
        <w:rPr>
          <w:color w:val="auto"/>
          <w:highlight w:val="none"/>
        </w:rPr>
        <w:t>技术偏差表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983"/>
        <w:gridCol w:w="2567"/>
        <w:gridCol w:w="2138"/>
        <w:gridCol w:w="2567"/>
        <w:gridCol w:w="1156"/>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top w:val="single" w:color="auto" w:sz="8" w:space="0"/>
            </w:tcBorders>
            <w:noWrap w:val="0"/>
            <w:vAlign w:val="center"/>
          </w:tcPr>
          <w:p>
            <w:pPr>
              <w:adjustRightInd w:val="0"/>
              <w:snapToGrid w:val="0"/>
              <w:jc w:val="center"/>
              <w:rPr>
                <w:color w:val="auto"/>
                <w:highlight w:val="none"/>
              </w:rPr>
            </w:pPr>
            <w:r>
              <w:rPr>
                <w:color w:val="auto"/>
                <w:highlight w:val="none"/>
              </w:rPr>
              <w:t>序号</w:t>
            </w:r>
          </w:p>
        </w:tc>
        <w:tc>
          <w:tcPr>
            <w:tcW w:w="2567" w:type="dxa"/>
            <w:tcBorders>
              <w:top w:val="single" w:color="auto" w:sz="8" w:space="0"/>
            </w:tcBorders>
            <w:noWrap w:val="0"/>
            <w:vAlign w:val="center"/>
          </w:tcPr>
          <w:p>
            <w:pPr>
              <w:adjustRightInd w:val="0"/>
              <w:snapToGrid w:val="0"/>
              <w:jc w:val="center"/>
              <w:rPr>
                <w:color w:val="auto"/>
                <w:highlight w:val="none"/>
              </w:rPr>
            </w:pPr>
            <w:r>
              <w:rPr>
                <w:color w:val="auto"/>
                <w:highlight w:val="none"/>
              </w:rPr>
              <w:t>招标文件页号和条款号</w:t>
            </w:r>
          </w:p>
        </w:tc>
        <w:tc>
          <w:tcPr>
            <w:tcW w:w="2138" w:type="dxa"/>
            <w:tcBorders>
              <w:top w:val="single" w:color="auto" w:sz="8" w:space="0"/>
            </w:tcBorders>
            <w:noWrap w:val="0"/>
            <w:vAlign w:val="center"/>
          </w:tcPr>
          <w:p>
            <w:pPr>
              <w:adjustRightInd w:val="0"/>
              <w:snapToGrid w:val="0"/>
              <w:jc w:val="center"/>
              <w:rPr>
                <w:color w:val="auto"/>
                <w:highlight w:val="none"/>
              </w:rPr>
            </w:pPr>
            <w:r>
              <w:rPr>
                <w:color w:val="auto"/>
                <w:highlight w:val="none"/>
              </w:rPr>
              <w:t>招标文件的规定</w:t>
            </w:r>
          </w:p>
        </w:tc>
        <w:tc>
          <w:tcPr>
            <w:tcW w:w="2567" w:type="dxa"/>
            <w:tcBorders>
              <w:top w:val="single" w:color="auto" w:sz="8" w:space="0"/>
            </w:tcBorders>
            <w:noWrap w:val="0"/>
            <w:vAlign w:val="center"/>
          </w:tcPr>
          <w:p>
            <w:pPr>
              <w:adjustRightInd w:val="0"/>
              <w:snapToGrid w:val="0"/>
              <w:jc w:val="center"/>
              <w:rPr>
                <w:color w:val="auto"/>
                <w:highlight w:val="none"/>
              </w:rPr>
            </w:pPr>
            <w:r>
              <w:rPr>
                <w:color w:val="auto"/>
                <w:highlight w:val="none"/>
              </w:rPr>
              <w:t>投标文件与招标文件规定</w:t>
            </w:r>
            <w:r>
              <w:rPr>
                <w:color w:val="auto"/>
                <w:highlight w:val="none"/>
              </w:rPr>
              <w:br w:type="textWrapping"/>
            </w:r>
            <w:r>
              <w:rPr>
                <w:color w:val="auto"/>
                <w:highlight w:val="none"/>
              </w:rPr>
              <w:t>的偏差描述</w:t>
            </w:r>
          </w:p>
        </w:tc>
        <w:tc>
          <w:tcPr>
            <w:tcW w:w="1156"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备注</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adjustRightInd w:val="0"/>
              <w:snapToGrid w:val="0"/>
              <w:jc w:val="center"/>
              <w:rPr>
                <w:color w:val="auto"/>
                <w:sz w:val="18"/>
                <w:highlight w:val="none"/>
              </w:rPr>
            </w:pPr>
            <w:r>
              <w:rPr>
                <w:color w:val="auto"/>
                <w:sz w:val="18"/>
                <w:highlight w:val="none"/>
              </w:rPr>
              <w:t>1</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keepNext/>
              <w:keepLines/>
              <w:adjustRightInd w:val="0"/>
              <w:snapToGrid w:val="0"/>
              <w:spacing w:line="480" w:lineRule="auto"/>
              <w:jc w:val="center"/>
              <w:rPr>
                <w:color w:val="auto"/>
                <w:sz w:val="18"/>
                <w:highlight w:val="none"/>
              </w:rPr>
            </w:pPr>
            <w:r>
              <w:rPr>
                <w:color w:val="auto"/>
                <w:sz w:val="18"/>
                <w:highlight w:val="none"/>
              </w:rPr>
              <w:t>2</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keepNext/>
              <w:keepLines/>
              <w:adjustRightInd w:val="0"/>
              <w:snapToGrid w:val="0"/>
              <w:spacing w:line="480" w:lineRule="auto"/>
              <w:jc w:val="center"/>
              <w:rPr>
                <w:color w:val="auto"/>
                <w:sz w:val="18"/>
                <w:highlight w:val="none"/>
              </w:rPr>
            </w:pPr>
            <w:r>
              <w:rPr>
                <w:color w:val="auto"/>
                <w:sz w:val="18"/>
                <w:highlight w:val="none"/>
              </w:rPr>
              <w:t>3</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bottom w:val="single" w:color="auto" w:sz="8" w:space="0"/>
            </w:tcBorders>
            <w:noWrap w:val="0"/>
            <w:vAlign w:val="center"/>
          </w:tcPr>
          <w:p>
            <w:pPr>
              <w:keepNext/>
              <w:keepLines/>
              <w:adjustRightInd w:val="0"/>
              <w:snapToGrid w:val="0"/>
              <w:spacing w:line="480" w:lineRule="auto"/>
              <w:jc w:val="center"/>
              <w:rPr>
                <w:color w:val="auto"/>
                <w:sz w:val="18"/>
                <w:highlight w:val="none"/>
              </w:rPr>
            </w:pPr>
            <w:r>
              <w:rPr>
                <w:color w:val="auto"/>
                <w:sz w:val="18"/>
                <w:highlight w:val="none"/>
              </w:rPr>
              <w:t>…</w:t>
            </w: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2138" w:type="dxa"/>
            <w:tcBorders>
              <w:bottom w:val="single" w:color="auto" w:sz="8" w:space="0"/>
            </w:tcBorders>
            <w:noWrap w:val="0"/>
            <w:vAlign w:val="center"/>
          </w:tcPr>
          <w:p>
            <w:pPr>
              <w:adjustRightInd w:val="0"/>
              <w:snapToGrid w:val="0"/>
              <w:jc w:val="center"/>
              <w:rPr>
                <w:color w:val="auto"/>
                <w:sz w:val="18"/>
                <w:highlight w:val="none"/>
              </w:rPr>
            </w:pP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1156" w:type="dxa"/>
            <w:tcBorders>
              <w:bottom w:val="single" w:color="auto" w:sz="8" w:space="0"/>
            </w:tcBorders>
            <w:noWrap w:val="0"/>
            <w:vAlign w:val="center"/>
          </w:tcPr>
          <w:p>
            <w:pPr>
              <w:adjustRightInd w:val="0"/>
              <w:snapToGrid w:val="0"/>
              <w:jc w:val="center"/>
              <w:rPr>
                <w:color w:val="auto"/>
                <w:sz w:val="18"/>
                <w:highlight w:val="none"/>
              </w:rPr>
            </w:pPr>
          </w:p>
        </w:tc>
      </w:tr>
    </w:tbl>
    <w:p>
      <w:pPr>
        <w:pStyle w:val="17"/>
        <w:numPr>
          <w:ilvl w:val="0"/>
          <w:numId w:val="0"/>
        </w:numPr>
        <w:ind w:left="840" w:leftChars="0"/>
        <w:rPr>
          <w:rFonts w:hint="eastAsia"/>
          <w:color w:val="auto"/>
          <w:highlight w:val="none"/>
          <w:lang w:val="en-US" w:eastAsia="zh-CN"/>
        </w:rPr>
      </w:pPr>
    </w:p>
    <w:p>
      <w:pPr>
        <w:pStyle w:val="18"/>
        <w:rPr>
          <w:rFonts w:hint="eastAsia"/>
          <w:color w:val="auto"/>
          <w:highlight w:val="none"/>
          <w:lang w:val="en-US" w:eastAsia="zh-CN"/>
        </w:rPr>
      </w:pPr>
    </w:p>
    <w:p>
      <w:pPr>
        <w:widowControl/>
        <w:jc w:val="left"/>
        <w:textAlignment w:val="center"/>
        <w:outlineLvl w:val="3"/>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2.资质业绩技术评审清单及证明材料</w:t>
      </w:r>
    </w:p>
    <w:p>
      <w:pPr>
        <w:widowControl/>
        <w:spacing w:before="120" w:beforeLines="50"/>
        <w:jc w:val="left"/>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（1）资质业绩技术评审清单包括企业业绩评审、关键人员资质业绩评审，业绩评审包括近年完成的类似项目情况及正在开展和新承接的项目情况，</w:t>
      </w:r>
      <w:r>
        <w:rPr>
          <w:rFonts w:hint="eastAsia" w:ascii="Times New Roman" w:hAnsi="Times New Roman"/>
          <w:b/>
          <w:color w:val="auto"/>
          <w:szCs w:val="21"/>
          <w:highlight w:val="none"/>
          <w:lang w:bidi="ar"/>
        </w:rPr>
        <w:t>业绩需满足招标公告业绩的基本要求</w:t>
      </w:r>
      <w:r>
        <w:rPr>
          <w:rFonts w:hint="eastAsia" w:ascii="Times New Roman" w:hAnsi="Times New Roman"/>
          <w:bCs/>
          <w:color w:val="auto"/>
          <w:szCs w:val="21"/>
          <w:highlight w:val="none"/>
          <w:lang w:bidi="ar"/>
        </w:rPr>
        <w:t>。</w:t>
      </w:r>
    </w:p>
    <w:p>
      <w:pPr>
        <w:widowControl/>
        <w:spacing w:before="120" w:beforeLines="50"/>
        <w:ind w:firstLine="210" w:firstLineChars="100"/>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为进一步减少各位投标人在编制投标文件过程中，错附、漏附招标文件关键响应要求材料的情况，本项目特编制各类分标的招标文件清单（格式如下），以指导各位依序完成投标文件编制，并保证响应材料的完备性。</w:t>
      </w:r>
    </w:p>
    <w:p>
      <w:pPr>
        <w:widowControl/>
        <w:spacing w:before="120" w:beforeLines="50"/>
        <w:ind w:firstLine="210" w:firstLineChars="100"/>
        <w:rPr>
          <w:rFonts w:hint="eastAsia" w:ascii="Times New Roman" w:hAnsi="Times New Roman"/>
          <w:bCs/>
          <w:color w:val="auto"/>
          <w:szCs w:val="21"/>
          <w:highlight w:val="none"/>
          <w:lang w:bidi="ar"/>
        </w:rPr>
      </w:pPr>
      <w:r>
        <w:rPr>
          <w:rFonts w:hint="eastAsia" w:ascii="Times New Roman" w:hAnsi="Times New Roman"/>
          <w:bCs/>
          <w:color w:val="auto"/>
          <w:szCs w:val="21"/>
          <w:highlight w:val="none"/>
          <w:lang w:bidi="ar"/>
        </w:rPr>
        <w:t>本表格仅填写符合招标公告专用资格要求的资质业绩，要求完整填报各项业绩的工程名称、关键时间、电压等级等关键信息，并与正文中的证明材料相匹配。若投标人因表中内容与证明材料不一致产生的否决，责任自负。</w:t>
      </w:r>
    </w:p>
    <w:p>
      <w:pPr>
        <w:keepNext w:val="0"/>
        <w:keepLines w:val="0"/>
        <w:pageBreakBefore w:val="0"/>
        <w:widowControl w:val="0"/>
        <w:kinsoku/>
        <w:wordWrap/>
        <w:overflowPunct/>
        <w:topLinePunct/>
        <w:autoSpaceDE/>
        <w:autoSpaceDN/>
        <w:bidi w:val="0"/>
        <w:adjustRightInd w:val="0"/>
        <w:snapToGrid/>
        <w:spacing w:before="160" w:after="60" w:line="240" w:lineRule="auto"/>
        <w:jc w:val="both"/>
        <w:textAlignment w:val="baseline"/>
        <w:rPr>
          <w:rFonts w:hint="eastAsia" w:eastAsia="宋体"/>
          <w:b/>
          <w:color w:val="auto"/>
          <w:highlight w:val="none"/>
          <w:lang w:eastAsia="zh-CN"/>
        </w:rPr>
      </w:pPr>
      <w:r>
        <w:rPr>
          <w:rFonts w:hint="eastAsia" w:eastAsia="宋体"/>
          <w:b/>
          <w:color w:val="auto"/>
          <w:highlight w:val="none"/>
          <w:lang w:eastAsia="zh-CN"/>
        </w:rPr>
        <w:object>
          <v:shape id="_x0000_i1027" o:spt="75" type="#_x0000_t75" style="height:66pt;width:72.75pt;" o:ole="t" filled="f" o:preferrelative="t" stroked="f" coordsize="21600,21600">
            <v:path/>
            <v:fill on="f" focussize="0,0"/>
            <v:stroke on="f"/>
            <v:imagedata r:id="rId21" o:title=""/>
            <o:lock v:ext="edit" aspectratio="t"/>
            <w10:wrap type="none"/>
            <w10:anchorlock/>
          </v:shape>
          <o:OLEObject Type="Embed" ProgID="Package" ShapeID="_x0000_i1027" DrawAspect="Icon" ObjectID="_1468075727" r:id="rId20">
            <o:LockedField>false</o:LockedField>
          </o:OLEObject>
        </w:object>
      </w:r>
      <w:bookmarkStart w:id="461" w:name="_GoBack"/>
      <w:bookmarkEnd w:id="461"/>
    </w:p>
    <w:p>
      <w:pPr>
        <w:pStyle w:val="17"/>
        <w:ind w:left="0" w:leftChars="0" w:firstLine="0"/>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（注：勿删除、改动表头内容、格式</w:t>
      </w:r>
      <w:r>
        <w:rPr>
          <w:rFonts w:hint="eastAsia" w:ascii="Times New Roman" w:hAnsi="Times New Roman"/>
          <w:bCs/>
          <w:color w:val="auto"/>
          <w:szCs w:val="21"/>
          <w:highlight w:val="none"/>
          <w:lang w:eastAsia="zh-CN" w:bidi="ar"/>
        </w:rPr>
        <w:t>，</w:t>
      </w:r>
      <w:r>
        <w:rPr>
          <w:rFonts w:hint="eastAsia" w:ascii="Times New Roman" w:hAnsi="Times New Roman"/>
          <w:b/>
          <w:bCs w:val="0"/>
          <w:color w:val="auto"/>
          <w:szCs w:val="21"/>
          <w:highlight w:val="none"/>
          <w:u w:val="single"/>
          <w:lang w:val="en-US" w:eastAsia="zh-CN" w:bidi="ar"/>
        </w:rPr>
        <w:t>递交Excel可编辑版</w:t>
      </w:r>
      <w:r>
        <w:rPr>
          <w:rFonts w:hint="eastAsia" w:ascii="Times New Roman" w:hAnsi="Times New Roman"/>
          <w:bCs/>
          <w:color w:val="auto"/>
          <w:szCs w:val="21"/>
          <w:highlight w:val="none"/>
          <w:lang w:bidi="ar"/>
        </w:rPr>
        <w:t>）</w:t>
      </w:r>
    </w:p>
    <w:p>
      <w:pPr>
        <w:numPr>
          <w:ilvl w:val="255"/>
          <w:numId w:val="0"/>
        </w:numPr>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（2）资质业绩证明材料</w:t>
      </w:r>
    </w:p>
    <w:p>
      <w:pPr>
        <w:numPr>
          <w:ilvl w:val="-1"/>
          <w:numId w:val="0"/>
        </w:numPr>
        <w:ind w:left="0" w:firstLine="420" w:firstLineChars="200"/>
        <w:rPr>
          <w:b/>
          <w:color w:val="auto"/>
          <w:sz w:val="24"/>
          <w:highlight w:val="none"/>
        </w:rPr>
      </w:pPr>
      <w:r>
        <w:rPr>
          <w:rFonts w:hint="eastAsia" w:ascii="Times New Roman" w:hAnsi="Times New Roman"/>
          <w:bCs/>
          <w:color w:val="auto"/>
          <w:szCs w:val="21"/>
          <w:highlight w:val="none"/>
          <w:lang w:bidi="ar"/>
        </w:rPr>
        <w:t>近年完成的类似项目以竣工验收证书（送变电工程启动竣工验收证书、或交接证书、或验收证书等材料）签发时间为依据，正在开展和新承接的项目以合同签订时间为依据。</w:t>
      </w:r>
      <w:r>
        <w:rPr>
          <w:color w:val="auto"/>
          <w:szCs w:val="21"/>
          <w:highlight w:val="none"/>
        </w:rPr>
        <w:t>应附</w:t>
      </w:r>
      <w:r>
        <w:rPr>
          <w:b/>
          <w:color w:val="auto"/>
          <w:szCs w:val="21"/>
          <w:highlight w:val="none"/>
        </w:rPr>
        <w:t>所有列出项目</w:t>
      </w:r>
      <w:r>
        <w:rPr>
          <w:color w:val="auto"/>
          <w:szCs w:val="21"/>
          <w:highlight w:val="none"/>
        </w:rPr>
        <w:t>的合同原件的关键部分的扫描件（包括封面、合同协议书、签署页（含签署日期）等），必要时将要求投标人提供合同原件。</w:t>
      </w:r>
      <w:r>
        <w:rPr>
          <w:rFonts w:asciiTheme="minorHAnsi" w:hAnsiTheme="minorHAnsi" w:eastAsiaTheme="minorEastAsia" w:cstheme="minorBidi"/>
          <w:color w:val="auto"/>
          <w:szCs w:val="21"/>
          <w:highlight w:val="none"/>
          <w:lang w:bidi="ar"/>
        </w:rPr>
        <w:t>完成的类似项目</w:t>
      </w:r>
      <w:r>
        <w:rPr>
          <w:color w:val="auto"/>
          <w:szCs w:val="21"/>
          <w:highlight w:val="none"/>
        </w:rPr>
        <w:t>同时提供工程验收证明文件（送变电工程启动竣工验收证书，或交接证书，或验收证书，或业主证明等）扫描件。</w:t>
      </w:r>
      <w:r>
        <w:rPr>
          <w:b/>
          <w:color w:val="auto"/>
          <w:sz w:val="24"/>
          <w:highlight w:val="none"/>
        </w:rPr>
        <w:br w:type="page"/>
      </w:r>
    </w:p>
    <w:p>
      <w:pPr>
        <w:keepNext w:val="0"/>
        <w:keepLines w:val="0"/>
        <w:widowControl/>
        <w:numPr>
          <w:ilvl w:val="-1"/>
          <w:numId w:val="0"/>
        </w:numPr>
        <w:suppressLineNumbers w:val="0"/>
        <w:ind w:left="0" w:leftChars="0"/>
        <w:jc w:val="left"/>
        <w:textAlignment w:val="center"/>
        <w:rPr>
          <w:rFonts w:hint="eastAsia" w:ascii="宋体" w:hAnsi="宋体" w:eastAsia="宋体" w:cs="宋体"/>
          <w:color w:val="auto"/>
          <w:kern w:val="0"/>
          <w:sz w:val="21"/>
          <w:szCs w:val="21"/>
          <w:highlight w:val="none"/>
          <w:u w:val="none"/>
          <w:lang w:bidi="ar"/>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kern w:val="0"/>
          <w:sz w:val="21"/>
          <w:szCs w:val="21"/>
          <w:highlight w:val="none"/>
          <w:u w:val="none"/>
          <w:lang w:bidi="ar"/>
        </w:rPr>
        <w:t>企业业绩情况</w:t>
      </w:r>
    </w:p>
    <w:p>
      <w:pPr>
        <w:keepNext w:val="0"/>
        <w:keepLines w:val="0"/>
        <w:widowControl/>
        <w:numPr>
          <w:ilvl w:val="-1"/>
          <w:numId w:val="0"/>
        </w:numPr>
        <w:suppressLineNumbers w:val="0"/>
        <w:ind w:left="0" w:leftChars="0"/>
        <w:jc w:val="left"/>
        <w:textAlignment w:val="center"/>
        <w:rPr>
          <w:rFonts w:hint="default" w:ascii="Times New Roman" w:hAnsi="Times New Roman" w:eastAsia="宋体" w:cs="Times New Roman"/>
          <w:b/>
          <w:color w:val="auto"/>
          <w:kern w:val="2"/>
          <w:sz w:val="21"/>
          <w:szCs w:val="21"/>
          <w:highlight w:val="none"/>
          <w:u w:val="none"/>
          <w:shd w:val="clear" w:color="auto" w:fill="auto"/>
          <w:lang w:val="en-US" w:eastAsia="zh-CN" w:bidi="ar"/>
        </w:rPr>
      </w:pPr>
      <w:r>
        <w:rPr>
          <w:rFonts w:hint="eastAsia" w:ascii="宋体" w:hAnsi="宋体" w:eastAsia="宋体" w:cs="宋体"/>
          <w:color w:val="auto"/>
          <w:kern w:val="0"/>
          <w:sz w:val="21"/>
          <w:szCs w:val="21"/>
          <w:highlight w:val="none"/>
          <w:u w:val="none"/>
          <w:lang w:val="en-US" w:eastAsia="zh-CN" w:bidi="ar"/>
        </w:rPr>
        <w:t xml:space="preserve">    </w:t>
      </w:r>
      <w:r>
        <w:rPr>
          <w:rFonts w:hint="eastAsia" w:ascii="Times New Roman" w:hAnsi="Times New Roman" w:eastAsia="宋体" w:cs="Times New Roman"/>
          <w:b/>
          <w:color w:val="auto"/>
          <w:sz w:val="21"/>
          <w:szCs w:val="21"/>
          <w:highlight w:val="none"/>
          <w:shd w:val="clear" w:color="auto" w:fill="auto"/>
          <w:lang w:bidi="ar"/>
        </w:rPr>
        <w:t>企业业绩情况</w:t>
      </w:r>
      <w:r>
        <w:rPr>
          <w:rFonts w:hint="eastAsia" w:ascii="Times New Roman" w:hAnsi="Times New Roman" w:eastAsia="宋体" w:cs="Times New Roman"/>
          <w:b/>
          <w:bCs w:val="0"/>
          <w:i w:val="0"/>
          <w:iCs w:val="0"/>
          <w:caps w:val="0"/>
          <w:color w:val="auto"/>
          <w:spacing w:val="0"/>
          <w:sz w:val="21"/>
          <w:szCs w:val="21"/>
          <w:highlight w:val="none"/>
          <w:shd w:val="clear" w:color="auto" w:fill="auto"/>
          <w:lang w:val="en-US" w:eastAsia="zh-CN" w:bidi="ar"/>
        </w:rPr>
        <w:t>仅填写符合</w:t>
      </w:r>
      <w:r>
        <w:rPr>
          <w:rFonts w:hint="eastAsia" w:ascii="Times New Roman" w:hAnsi="Times New Roman" w:eastAsia="宋体" w:cs="Times New Roman"/>
          <w:b/>
          <w:color w:val="auto"/>
          <w:sz w:val="21"/>
          <w:szCs w:val="21"/>
          <w:highlight w:val="none"/>
          <w:shd w:val="clear" w:color="auto" w:fill="auto"/>
          <w:lang w:bidi="ar"/>
        </w:rPr>
        <w:t>第三章评标办法</w:t>
      </w:r>
      <w:r>
        <w:rPr>
          <w:rFonts w:hint="eastAsia" w:ascii="Times New Roman" w:hAnsi="Times New Roman" w:eastAsia="宋体" w:cs="Times New Roman"/>
          <w:b/>
          <w:color w:val="auto"/>
          <w:sz w:val="21"/>
          <w:szCs w:val="21"/>
          <w:highlight w:val="none"/>
          <w:shd w:val="clear" w:color="auto" w:fill="auto"/>
          <w:lang w:val="en-US" w:eastAsia="zh-CN" w:bidi="ar"/>
        </w:rPr>
        <w:t>中技术评分标准的业绩</w:t>
      </w:r>
      <w:r>
        <w:rPr>
          <w:rFonts w:hint="eastAsia" w:ascii="Times New Roman" w:hAnsi="Times New Roman" w:eastAsia="宋体" w:cs="Times New Roman"/>
          <w:b/>
          <w:bCs w:val="0"/>
          <w:color w:val="auto"/>
          <w:spacing w:val="0"/>
          <w:sz w:val="21"/>
          <w:szCs w:val="21"/>
          <w:highlight w:val="none"/>
          <w:shd w:val="clear" w:color="auto" w:fill="auto"/>
          <w:lang w:val="en-US" w:eastAsia="zh-CN" w:bidi="ar"/>
        </w:rPr>
        <w:t>，</w:t>
      </w:r>
      <w:r>
        <w:rPr>
          <w:rFonts w:hint="eastAsia" w:ascii="Times New Roman" w:hAnsi="Times New Roman" w:eastAsia="宋体" w:cs="Times New Roman"/>
          <w:b/>
          <w:i w:val="0"/>
          <w:iCs w:val="0"/>
          <w:color w:val="auto"/>
          <w:kern w:val="2"/>
          <w:sz w:val="21"/>
          <w:szCs w:val="21"/>
          <w:highlight w:val="none"/>
          <w:u w:val="none"/>
          <w:shd w:val="clear" w:color="auto" w:fill="auto"/>
          <w:lang w:val="en-US" w:eastAsia="zh-CN" w:bidi="ar"/>
        </w:rPr>
        <w:t>资质业绩技术评审清单及证明材料符合</w:t>
      </w:r>
      <w:r>
        <w:rPr>
          <w:rFonts w:hint="eastAsia" w:ascii="Times New Roman" w:hAnsi="Times New Roman" w:eastAsia="宋体" w:cs="Times New Roman"/>
          <w:b/>
          <w:color w:val="auto"/>
          <w:sz w:val="21"/>
          <w:szCs w:val="21"/>
          <w:highlight w:val="none"/>
          <w:shd w:val="clear" w:color="auto" w:fill="auto"/>
          <w:lang w:val="en-US" w:eastAsia="zh-CN" w:bidi="ar"/>
        </w:rPr>
        <w:t>技术评分标准的业绩需填写在</w:t>
      </w:r>
      <w:r>
        <w:rPr>
          <w:rFonts w:hint="eastAsia" w:ascii="Times New Roman" w:hAnsi="Times New Roman" w:eastAsia="宋体" w:cs="Times New Roman"/>
          <w:b/>
          <w:color w:val="auto"/>
          <w:sz w:val="21"/>
          <w:szCs w:val="21"/>
          <w:highlight w:val="none"/>
          <w:shd w:val="clear" w:color="auto" w:fill="auto"/>
          <w:lang w:bidi="ar"/>
        </w:rPr>
        <w:t>项目情况表</w:t>
      </w:r>
      <w:r>
        <w:rPr>
          <w:rFonts w:hint="eastAsia" w:ascii="Times New Roman" w:hAnsi="Times New Roman" w:eastAsia="宋体" w:cs="Times New Roman"/>
          <w:b/>
          <w:color w:val="auto"/>
          <w:sz w:val="21"/>
          <w:szCs w:val="21"/>
          <w:highlight w:val="none"/>
          <w:shd w:val="clear" w:color="auto" w:fill="auto"/>
          <w:lang w:eastAsia="zh-CN" w:bidi="ar"/>
        </w:rPr>
        <w:t>，</w:t>
      </w:r>
      <w:r>
        <w:rPr>
          <w:rFonts w:hint="eastAsia" w:ascii="Times New Roman" w:hAnsi="Times New Roman" w:eastAsia="宋体" w:cs="Times New Roman"/>
          <w:b/>
          <w:color w:val="auto"/>
          <w:sz w:val="21"/>
          <w:szCs w:val="21"/>
          <w:highlight w:val="none"/>
          <w:shd w:val="clear" w:color="auto" w:fill="auto"/>
          <w:lang w:val="en-US" w:eastAsia="zh-CN" w:bidi="ar"/>
        </w:rPr>
        <w:t>已提供证明材料的无需重复提供证明材料。</w:t>
      </w:r>
    </w:p>
    <w:p>
      <w:pPr>
        <w:pStyle w:val="52"/>
        <w:spacing w:before="120" w:beforeLines="50" w:line="360" w:lineRule="exact"/>
        <w:ind w:left="0" w:firstLine="422" w:firstLineChars="200"/>
        <w:rPr>
          <w:rFonts w:ascii="Times New Roman" w:hAnsi="Times New Roman"/>
          <w:b/>
          <w:color w:val="auto"/>
          <w:sz w:val="21"/>
          <w:szCs w:val="21"/>
          <w:highlight w:val="none"/>
        </w:rPr>
      </w:pPr>
      <w:r>
        <w:rPr>
          <w:rFonts w:hint="eastAsia" w:ascii="Times New Roman" w:hAnsi="Times New Roman" w:eastAsia="宋体" w:cs="Times New Roman"/>
          <w:b/>
          <w:bCs/>
          <w:color w:val="auto"/>
          <w:sz w:val="21"/>
          <w:szCs w:val="21"/>
          <w:highlight w:val="none"/>
          <w:lang w:val="en-US" w:eastAsia="zh-CN"/>
        </w:rPr>
        <w:t>（1）</w:t>
      </w:r>
      <w:r>
        <w:rPr>
          <w:rFonts w:ascii="Times New Roman" w:hAnsi="Times New Roman" w:eastAsia="宋体" w:cs="Times New Roman"/>
          <w:b/>
          <w:bCs/>
          <w:color w:val="auto"/>
          <w:sz w:val="21"/>
          <w:szCs w:val="21"/>
          <w:highlight w:val="none"/>
        </w:rPr>
        <w:t xml:space="preserve">近年完成的类似项目情况 </w:t>
      </w:r>
    </w:p>
    <w:p>
      <w:pPr>
        <w:numPr>
          <w:ilvl w:val="0"/>
          <w:numId w:val="0"/>
        </w:numPr>
        <w:spacing w:line="360" w:lineRule="exact"/>
        <w:ind w:left="0" w:firstLine="422" w:firstLineChars="200"/>
        <w:rPr>
          <w:b/>
          <w:color w:val="auto"/>
          <w:szCs w:val="21"/>
          <w:highlight w:val="none"/>
        </w:rPr>
      </w:pPr>
      <w:r>
        <w:rPr>
          <w:b/>
          <w:color w:val="auto"/>
          <w:szCs w:val="21"/>
          <w:highlight w:val="none"/>
        </w:rPr>
        <w:t>1）近年完成的类似项目情况表</w:t>
      </w:r>
    </w:p>
    <w:p>
      <w:pPr>
        <w:spacing w:line="360" w:lineRule="exact"/>
        <w:ind w:firstLine="420" w:firstLineChars="200"/>
        <w:rPr>
          <w:color w:val="auto"/>
          <w:szCs w:val="21"/>
          <w:highlight w:val="none"/>
        </w:rPr>
      </w:pPr>
      <w:r>
        <w:rPr>
          <w:color w:val="auto"/>
          <w:szCs w:val="21"/>
          <w:highlight w:val="none"/>
        </w:rPr>
        <w:t>（本页应按下表填报投产工程的业绩情况，投产工程业绩以竣工验收证书（送变电工程启动竣工验收证书、或交接证书、或验收证书等材料）签发时间为依据，工程业绩需涵盖评分办法内容。）</w:t>
      </w:r>
    </w:p>
    <w:p>
      <w:pPr>
        <w:pStyle w:val="49"/>
        <w:rPr>
          <w:rFonts w:ascii="Times New Roman"/>
          <w:color w:val="auto"/>
          <w:highlight w:val="none"/>
        </w:rPr>
      </w:pPr>
      <w:r>
        <w:rPr>
          <w:rFonts w:ascii="Times New Roman"/>
          <w:color w:val="auto"/>
          <w:highlight w:val="none"/>
        </w:rPr>
        <w:t>近年完成的类似项目情况表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396"/>
        <w:gridCol w:w="2171"/>
        <w:gridCol w:w="938"/>
        <w:gridCol w:w="805"/>
        <w:gridCol w:w="1072"/>
        <w:gridCol w:w="673"/>
        <w:gridCol w:w="700"/>
        <w:gridCol w:w="997"/>
        <w:gridCol w:w="787"/>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38" w:hRule="atLeast"/>
          <w:jc w:val="center"/>
        </w:trPr>
        <w:tc>
          <w:tcPr>
            <w:tcW w:w="396" w:type="dxa"/>
            <w:vMerge w:val="restart"/>
            <w:tcBorders>
              <w:top w:val="single" w:color="auto" w:sz="8" w:space="0"/>
            </w:tcBorders>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序号</w:t>
            </w:r>
          </w:p>
        </w:tc>
        <w:tc>
          <w:tcPr>
            <w:tcW w:w="2171" w:type="dxa"/>
            <w:vMerge w:val="restart"/>
            <w:tcBorders>
              <w:top w:val="single" w:color="auto" w:sz="8" w:space="0"/>
            </w:tcBorders>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工程名称</w:t>
            </w:r>
          </w:p>
        </w:tc>
        <w:tc>
          <w:tcPr>
            <w:tcW w:w="938" w:type="dxa"/>
            <w:vMerge w:val="restart"/>
            <w:tcBorders>
              <w:top w:val="single" w:color="auto" w:sz="8" w:space="0"/>
            </w:tcBorders>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工程电压等级</w:t>
            </w:r>
          </w:p>
        </w:tc>
        <w:tc>
          <w:tcPr>
            <w:tcW w:w="1877" w:type="dxa"/>
            <w:gridSpan w:val="2"/>
            <w:tcBorders>
              <w:top w:val="single" w:color="auto" w:sz="8" w:space="0"/>
            </w:tcBorders>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工程规模</w:t>
            </w:r>
          </w:p>
        </w:tc>
        <w:tc>
          <w:tcPr>
            <w:tcW w:w="673" w:type="dxa"/>
            <w:vMerge w:val="restart"/>
            <w:tcBorders>
              <w:top w:val="single" w:color="auto" w:sz="8" w:space="0"/>
            </w:tcBorders>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竣工</w:t>
            </w:r>
          </w:p>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时间</w:t>
            </w:r>
          </w:p>
        </w:tc>
        <w:tc>
          <w:tcPr>
            <w:tcW w:w="700" w:type="dxa"/>
            <w:vMerge w:val="restart"/>
            <w:tcBorders>
              <w:top w:val="single" w:color="auto" w:sz="8" w:space="0"/>
            </w:tcBorders>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承包范围</w:t>
            </w:r>
          </w:p>
        </w:tc>
        <w:tc>
          <w:tcPr>
            <w:tcW w:w="997" w:type="dxa"/>
            <w:vMerge w:val="restart"/>
            <w:tcBorders>
              <w:top w:val="single" w:color="auto" w:sz="8" w:space="0"/>
            </w:tcBorders>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业主单位</w:t>
            </w:r>
          </w:p>
          <w:p>
            <w:pPr>
              <w:topLinePunct w:val="0"/>
              <w:adjustRightInd w:val="0"/>
              <w:snapToGrid w:val="0"/>
              <w:spacing w:before="70" w:after="70"/>
              <w:rPr>
                <w:rFonts w:eastAsia="黑体"/>
                <w:color w:val="auto"/>
                <w:sz w:val="18"/>
                <w:szCs w:val="22"/>
                <w:highlight w:val="none"/>
              </w:rPr>
            </w:pPr>
            <w:r>
              <w:rPr>
                <w:rFonts w:eastAsia="黑体"/>
                <w:color w:val="auto"/>
                <w:sz w:val="18"/>
                <w:szCs w:val="22"/>
                <w:highlight w:val="none"/>
              </w:rPr>
              <w:t>（项目法人）</w:t>
            </w:r>
          </w:p>
        </w:tc>
        <w:tc>
          <w:tcPr>
            <w:tcW w:w="787" w:type="dxa"/>
            <w:vMerge w:val="restart"/>
            <w:tcBorders>
              <w:top w:val="single" w:color="auto" w:sz="8" w:space="0"/>
            </w:tcBorders>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业主单位联系方式</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37" w:hRule="atLeast"/>
          <w:jc w:val="center"/>
        </w:trPr>
        <w:tc>
          <w:tcPr>
            <w:tcW w:w="396" w:type="dxa"/>
            <w:vMerge w:val="continue"/>
            <w:noWrap w:val="0"/>
            <w:vAlign w:val="center"/>
          </w:tcPr>
          <w:p>
            <w:pPr>
              <w:adjustRightInd w:val="0"/>
              <w:snapToGrid w:val="0"/>
              <w:spacing w:before="70" w:after="70"/>
              <w:jc w:val="center"/>
              <w:rPr>
                <w:rFonts w:eastAsia="黑体"/>
                <w:color w:val="auto"/>
                <w:sz w:val="18"/>
                <w:highlight w:val="none"/>
              </w:rPr>
            </w:pPr>
          </w:p>
        </w:tc>
        <w:tc>
          <w:tcPr>
            <w:tcW w:w="2171" w:type="dxa"/>
            <w:vMerge w:val="continue"/>
            <w:noWrap w:val="0"/>
            <w:vAlign w:val="center"/>
          </w:tcPr>
          <w:p>
            <w:pPr>
              <w:adjustRightInd w:val="0"/>
              <w:snapToGrid w:val="0"/>
              <w:spacing w:before="70" w:after="70"/>
              <w:jc w:val="center"/>
              <w:rPr>
                <w:rFonts w:eastAsia="黑体"/>
                <w:color w:val="auto"/>
                <w:sz w:val="18"/>
                <w:highlight w:val="none"/>
              </w:rPr>
            </w:pPr>
          </w:p>
        </w:tc>
        <w:tc>
          <w:tcPr>
            <w:tcW w:w="938" w:type="dxa"/>
            <w:vMerge w:val="continue"/>
            <w:noWrap w:val="0"/>
            <w:vAlign w:val="top"/>
          </w:tcPr>
          <w:p>
            <w:pPr>
              <w:adjustRightInd w:val="0"/>
              <w:snapToGrid w:val="0"/>
              <w:spacing w:before="70" w:after="70"/>
              <w:jc w:val="center"/>
              <w:rPr>
                <w:rFonts w:eastAsia="黑体"/>
                <w:color w:val="auto"/>
                <w:sz w:val="18"/>
                <w:highlight w:val="none"/>
              </w:rPr>
            </w:pPr>
          </w:p>
        </w:tc>
        <w:tc>
          <w:tcPr>
            <w:tcW w:w="805" w:type="dxa"/>
            <w:tcBorders>
              <w:top w:val="single" w:color="auto" w:sz="8" w:space="0"/>
            </w:tcBorders>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变电站座数</w:t>
            </w:r>
          </w:p>
        </w:tc>
        <w:tc>
          <w:tcPr>
            <w:tcW w:w="1072" w:type="dxa"/>
            <w:noWrap w:val="0"/>
            <w:vAlign w:val="top"/>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线路建设规模（折单公里）</w:t>
            </w:r>
          </w:p>
        </w:tc>
        <w:tc>
          <w:tcPr>
            <w:tcW w:w="673" w:type="dxa"/>
            <w:vMerge w:val="continue"/>
            <w:noWrap w:val="0"/>
            <w:vAlign w:val="center"/>
          </w:tcPr>
          <w:p>
            <w:pPr>
              <w:adjustRightInd w:val="0"/>
              <w:snapToGrid w:val="0"/>
              <w:spacing w:before="70" w:after="70"/>
              <w:jc w:val="center"/>
              <w:rPr>
                <w:rFonts w:eastAsia="黑体"/>
                <w:color w:val="auto"/>
                <w:sz w:val="18"/>
                <w:highlight w:val="none"/>
              </w:rPr>
            </w:pPr>
          </w:p>
        </w:tc>
        <w:tc>
          <w:tcPr>
            <w:tcW w:w="700" w:type="dxa"/>
            <w:vMerge w:val="continue"/>
            <w:noWrap w:val="0"/>
            <w:vAlign w:val="center"/>
          </w:tcPr>
          <w:p>
            <w:pPr>
              <w:adjustRightInd w:val="0"/>
              <w:snapToGrid w:val="0"/>
              <w:spacing w:before="70" w:after="70"/>
              <w:jc w:val="center"/>
              <w:rPr>
                <w:rFonts w:eastAsia="黑体"/>
                <w:color w:val="auto"/>
                <w:sz w:val="18"/>
                <w:highlight w:val="none"/>
              </w:rPr>
            </w:pPr>
          </w:p>
        </w:tc>
        <w:tc>
          <w:tcPr>
            <w:tcW w:w="997" w:type="dxa"/>
            <w:vMerge w:val="continue"/>
            <w:noWrap w:val="0"/>
            <w:vAlign w:val="center"/>
          </w:tcPr>
          <w:p>
            <w:pPr>
              <w:adjustRightInd w:val="0"/>
              <w:snapToGrid w:val="0"/>
              <w:spacing w:before="70" w:after="70"/>
              <w:jc w:val="center"/>
              <w:rPr>
                <w:rFonts w:eastAsia="黑体"/>
                <w:color w:val="auto"/>
                <w:sz w:val="18"/>
                <w:highlight w:val="none"/>
              </w:rPr>
            </w:pPr>
          </w:p>
        </w:tc>
        <w:tc>
          <w:tcPr>
            <w:tcW w:w="787" w:type="dxa"/>
            <w:vMerge w:val="continue"/>
            <w:noWrap w:val="0"/>
            <w:vAlign w:val="center"/>
          </w:tcPr>
          <w:p>
            <w:pPr>
              <w:adjustRightInd w:val="0"/>
              <w:snapToGrid w:val="0"/>
              <w:spacing w:before="70" w:after="70"/>
              <w:jc w:val="center"/>
              <w:rPr>
                <w:rFonts w:eastAsia="黑体"/>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396" w:type="dxa"/>
            <w:noWrap w:val="0"/>
            <w:vAlign w:val="center"/>
          </w:tcPr>
          <w:p>
            <w:pPr>
              <w:adjustRightInd w:val="0"/>
              <w:snapToGrid w:val="0"/>
              <w:spacing w:before="70" w:after="70"/>
              <w:jc w:val="center"/>
              <w:rPr>
                <w:color w:val="auto"/>
                <w:sz w:val="18"/>
                <w:highlight w:val="none"/>
              </w:rPr>
            </w:pPr>
          </w:p>
        </w:tc>
        <w:tc>
          <w:tcPr>
            <w:tcW w:w="2171" w:type="dxa"/>
            <w:noWrap w:val="0"/>
            <w:vAlign w:val="center"/>
          </w:tcPr>
          <w:p>
            <w:pPr>
              <w:adjustRightInd w:val="0"/>
              <w:snapToGrid w:val="0"/>
              <w:spacing w:before="70" w:after="70"/>
              <w:jc w:val="center"/>
              <w:rPr>
                <w:color w:val="auto"/>
                <w:sz w:val="18"/>
                <w:highlight w:val="none"/>
              </w:rPr>
            </w:pPr>
          </w:p>
        </w:tc>
        <w:tc>
          <w:tcPr>
            <w:tcW w:w="938" w:type="dxa"/>
            <w:noWrap w:val="0"/>
            <w:vAlign w:val="top"/>
          </w:tcPr>
          <w:p>
            <w:pPr>
              <w:adjustRightInd w:val="0"/>
              <w:snapToGrid w:val="0"/>
              <w:spacing w:before="70" w:after="70"/>
              <w:jc w:val="center"/>
              <w:rPr>
                <w:color w:val="auto"/>
                <w:sz w:val="18"/>
                <w:highlight w:val="none"/>
              </w:rPr>
            </w:pPr>
          </w:p>
        </w:tc>
        <w:tc>
          <w:tcPr>
            <w:tcW w:w="805" w:type="dxa"/>
            <w:noWrap w:val="0"/>
            <w:vAlign w:val="center"/>
          </w:tcPr>
          <w:p>
            <w:pPr>
              <w:adjustRightInd w:val="0"/>
              <w:snapToGrid w:val="0"/>
              <w:spacing w:before="70" w:after="70"/>
              <w:jc w:val="center"/>
              <w:rPr>
                <w:color w:val="auto"/>
                <w:sz w:val="18"/>
                <w:highlight w:val="none"/>
              </w:rPr>
            </w:pPr>
          </w:p>
        </w:tc>
        <w:tc>
          <w:tcPr>
            <w:tcW w:w="1072" w:type="dxa"/>
            <w:noWrap w:val="0"/>
            <w:vAlign w:val="top"/>
          </w:tcPr>
          <w:p>
            <w:pPr>
              <w:adjustRightInd w:val="0"/>
              <w:snapToGrid w:val="0"/>
              <w:spacing w:before="70" w:after="70"/>
              <w:jc w:val="center"/>
              <w:rPr>
                <w:color w:val="auto"/>
                <w:sz w:val="18"/>
                <w:highlight w:val="none"/>
              </w:rPr>
            </w:pPr>
          </w:p>
        </w:tc>
        <w:tc>
          <w:tcPr>
            <w:tcW w:w="673" w:type="dxa"/>
            <w:noWrap w:val="0"/>
            <w:vAlign w:val="center"/>
          </w:tcPr>
          <w:p>
            <w:pPr>
              <w:adjustRightInd w:val="0"/>
              <w:snapToGrid w:val="0"/>
              <w:spacing w:before="70" w:after="70"/>
              <w:jc w:val="center"/>
              <w:rPr>
                <w:color w:val="auto"/>
                <w:sz w:val="18"/>
                <w:highlight w:val="none"/>
              </w:rPr>
            </w:pPr>
          </w:p>
        </w:tc>
        <w:tc>
          <w:tcPr>
            <w:tcW w:w="700" w:type="dxa"/>
            <w:noWrap w:val="0"/>
            <w:vAlign w:val="center"/>
          </w:tcPr>
          <w:p>
            <w:pPr>
              <w:adjustRightInd w:val="0"/>
              <w:snapToGrid w:val="0"/>
              <w:spacing w:before="70" w:after="70"/>
              <w:jc w:val="center"/>
              <w:rPr>
                <w:color w:val="auto"/>
                <w:sz w:val="18"/>
                <w:highlight w:val="none"/>
              </w:rPr>
            </w:pPr>
          </w:p>
        </w:tc>
        <w:tc>
          <w:tcPr>
            <w:tcW w:w="997" w:type="dxa"/>
            <w:noWrap w:val="0"/>
            <w:vAlign w:val="center"/>
          </w:tcPr>
          <w:p>
            <w:pPr>
              <w:adjustRightInd w:val="0"/>
              <w:snapToGrid w:val="0"/>
              <w:spacing w:before="70" w:after="70"/>
              <w:jc w:val="center"/>
              <w:rPr>
                <w:color w:val="auto"/>
                <w:sz w:val="18"/>
                <w:highlight w:val="none"/>
              </w:rPr>
            </w:pPr>
          </w:p>
        </w:tc>
        <w:tc>
          <w:tcPr>
            <w:tcW w:w="787" w:type="dxa"/>
            <w:noWrap w:val="0"/>
            <w:vAlign w:val="center"/>
          </w:tcPr>
          <w:p>
            <w:pPr>
              <w:adjustRightInd w:val="0"/>
              <w:snapToGrid w:val="0"/>
              <w:spacing w:before="70" w:after="7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396" w:type="dxa"/>
            <w:noWrap w:val="0"/>
            <w:vAlign w:val="center"/>
          </w:tcPr>
          <w:p>
            <w:pPr>
              <w:adjustRightInd w:val="0"/>
              <w:snapToGrid w:val="0"/>
              <w:spacing w:before="70" w:after="70"/>
              <w:jc w:val="center"/>
              <w:rPr>
                <w:color w:val="auto"/>
                <w:sz w:val="18"/>
                <w:highlight w:val="none"/>
              </w:rPr>
            </w:pPr>
          </w:p>
        </w:tc>
        <w:tc>
          <w:tcPr>
            <w:tcW w:w="2171" w:type="dxa"/>
            <w:noWrap w:val="0"/>
            <w:vAlign w:val="center"/>
          </w:tcPr>
          <w:p>
            <w:pPr>
              <w:adjustRightInd w:val="0"/>
              <w:snapToGrid w:val="0"/>
              <w:spacing w:before="70" w:after="70"/>
              <w:jc w:val="center"/>
              <w:rPr>
                <w:color w:val="auto"/>
                <w:sz w:val="18"/>
                <w:highlight w:val="none"/>
              </w:rPr>
            </w:pPr>
          </w:p>
        </w:tc>
        <w:tc>
          <w:tcPr>
            <w:tcW w:w="938" w:type="dxa"/>
            <w:noWrap w:val="0"/>
            <w:vAlign w:val="top"/>
          </w:tcPr>
          <w:p>
            <w:pPr>
              <w:adjustRightInd w:val="0"/>
              <w:snapToGrid w:val="0"/>
              <w:spacing w:before="70" w:after="70"/>
              <w:jc w:val="center"/>
              <w:rPr>
                <w:color w:val="auto"/>
                <w:sz w:val="18"/>
                <w:highlight w:val="none"/>
              </w:rPr>
            </w:pPr>
          </w:p>
        </w:tc>
        <w:tc>
          <w:tcPr>
            <w:tcW w:w="805" w:type="dxa"/>
            <w:noWrap w:val="0"/>
            <w:vAlign w:val="center"/>
          </w:tcPr>
          <w:p>
            <w:pPr>
              <w:adjustRightInd w:val="0"/>
              <w:snapToGrid w:val="0"/>
              <w:spacing w:before="70" w:after="70"/>
              <w:jc w:val="center"/>
              <w:rPr>
                <w:color w:val="auto"/>
                <w:sz w:val="18"/>
                <w:highlight w:val="none"/>
              </w:rPr>
            </w:pPr>
          </w:p>
        </w:tc>
        <w:tc>
          <w:tcPr>
            <w:tcW w:w="1072" w:type="dxa"/>
            <w:noWrap w:val="0"/>
            <w:vAlign w:val="top"/>
          </w:tcPr>
          <w:p>
            <w:pPr>
              <w:adjustRightInd w:val="0"/>
              <w:snapToGrid w:val="0"/>
              <w:spacing w:before="70" w:after="70"/>
              <w:jc w:val="center"/>
              <w:rPr>
                <w:color w:val="auto"/>
                <w:sz w:val="18"/>
                <w:highlight w:val="none"/>
              </w:rPr>
            </w:pPr>
          </w:p>
        </w:tc>
        <w:tc>
          <w:tcPr>
            <w:tcW w:w="673" w:type="dxa"/>
            <w:noWrap w:val="0"/>
            <w:vAlign w:val="center"/>
          </w:tcPr>
          <w:p>
            <w:pPr>
              <w:adjustRightInd w:val="0"/>
              <w:snapToGrid w:val="0"/>
              <w:spacing w:before="70" w:after="70"/>
              <w:jc w:val="center"/>
              <w:rPr>
                <w:color w:val="auto"/>
                <w:sz w:val="18"/>
                <w:highlight w:val="none"/>
              </w:rPr>
            </w:pPr>
          </w:p>
        </w:tc>
        <w:tc>
          <w:tcPr>
            <w:tcW w:w="700" w:type="dxa"/>
            <w:noWrap w:val="0"/>
            <w:vAlign w:val="center"/>
          </w:tcPr>
          <w:p>
            <w:pPr>
              <w:adjustRightInd w:val="0"/>
              <w:snapToGrid w:val="0"/>
              <w:spacing w:before="70" w:after="70"/>
              <w:jc w:val="center"/>
              <w:rPr>
                <w:color w:val="auto"/>
                <w:sz w:val="18"/>
                <w:highlight w:val="none"/>
              </w:rPr>
            </w:pPr>
          </w:p>
        </w:tc>
        <w:tc>
          <w:tcPr>
            <w:tcW w:w="997" w:type="dxa"/>
            <w:noWrap w:val="0"/>
            <w:vAlign w:val="center"/>
          </w:tcPr>
          <w:p>
            <w:pPr>
              <w:adjustRightInd w:val="0"/>
              <w:snapToGrid w:val="0"/>
              <w:spacing w:before="70" w:after="70"/>
              <w:jc w:val="center"/>
              <w:rPr>
                <w:color w:val="auto"/>
                <w:sz w:val="18"/>
                <w:highlight w:val="none"/>
              </w:rPr>
            </w:pPr>
          </w:p>
        </w:tc>
        <w:tc>
          <w:tcPr>
            <w:tcW w:w="787" w:type="dxa"/>
            <w:noWrap w:val="0"/>
            <w:vAlign w:val="center"/>
          </w:tcPr>
          <w:p>
            <w:pPr>
              <w:adjustRightInd w:val="0"/>
              <w:snapToGrid w:val="0"/>
              <w:spacing w:before="70" w:after="7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396" w:type="dxa"/>
            <w:noWrap w:val="0"/>
            <w:vAlign w:val="center"/>
          </w:tcPr>
          <w:p>
            <w:pPr>
              <w:adjustRightInd w:val="0"/>
              <w:snapToGrid w:val="0"/>
              <w:spacing w:before="70" w:after="70"/>
              <w:jc w:val="center"/>
              <w:rPr>
                <w:color w:val="auto"/>
                <w:sz w:val="18"/>
                <w:highlight w:val="none"/>
              </w:rPr>
            </w:pPr>
          </w:p>
        </w:tc>
        <w:tc>
          <w:tcPr>
            <w:tcW w:w="2171" w:type="dxa"/>
            <w:noWrap w:val="0"/>
            <w:vAlign w:val="center"/>
          </w:tcPr>
          <w:p>
            <w:pPr>
              <w:adjustRightInd w:val="0"/>
              <w:snapToGrid w:val="0"/>
              <w:spacing w:before="70" w:after="70"/>
              <w:jc w:val="center"/>
              <w:rPr>
                <w:color w:val="auto"/>
                <w:sz w:val="18"/>
                <w:highlight w:val="none"/>
              </w:rPr>
            </w:pPr>
          </w:p>
        </w:tc>
        <w:tc>
          <w:tcPr>
            <w:tcW w:w="938" w:type="dxa"/>
            <w:noWrap w:val="0"/>
            <w:vAlign w:val="top"/>
          </w:tcPr>
          <w:p>
            <w:pPr>
              <w:adjustRightInd w:val="0"/>
              <w:snapToGrid w:val="0"/>
              <w:spacing w:before="70" w:after="70"/>
              <w:jc w:val="center"/>
              <w:rPr>
                <w:color w:val="auto"/>
                <w:sz w:val="18"/>
                <w:highlight w:val="none"/>
              </w:rPr>
            </w:pPr>
          </w:p>
        </w:tc>
        <w:tc>
          <w:tcPr>
            <w:tcW w:w="805" w:type="dxa"/>
            <w:noWrap w:val="0"/>
            <w:vAlign w:val="center"/>
          </w:tcPr>
          <w:p>
            <w:pPr>
              <w:adjustRightInd w:val="0"/>
              <w:snapToGrid w:val="0"/>
              <w:spacing w:before="70" w:after="70"/>
              <w:jc w:val="center"/>
              <w:rPr>
                <w:color w:val="auto"/>
                <w:sz w:val="18"/>
                <w:highlight w:val="none"/>
              </w:rPr>
            </w:pPr>
          </w:p>
        </w:tc>
        <w:tc>
          <w:tcPr>
            <w:tcW w:w="1072" w:type="dxa"/>
            <w:noWrap w:val="0"/>
            <w:vAlign w:val="top"/>
          </w:tcPr>
          <w:p>
            <w:pPr>
              <w:adjustRightInd w:val="0"/>
              <w:snapToGrid w:val="0"/>
              <w:spacing w:before="70" w:after="70"/>
              <w:jc w:val="center"/>
              <w:rPr>
                <w:color w:val="auto"/>
                <w:sz w:val="18"/>
                <w:highlight w:val="none"/>
              </w:rPr>
            </w:pPr>
          </w:p>
        </w:tc>
        <w:tc>
          <w:tcPr>
            <w:tcW w:w="673" w:type="dxa"/>
            <w:noWrap w:val="0"/>
            <w:vAlign w:val="center"/>
          </w:tcPr>
          <w:p>
            <w:pPr>
              <w:adjustRightInd w:val="0"/>
              <w:snapToGrid w:val="0"/>
              <w:spacing w:before="70" w:after="70"/>
              <w:jc w:val="center"/>
              <w:rPr>
                <w:color w:val="auto"/>
                <w:sz w:val="18"/>
                <w:highlight w:val="none"/>
              </w:rPr>
            </w:pPr>
          </w:p>
        </w:tc>
        <w:tc>
          <w:tcPr>
            <w:tcW w:w="700" w:type="dxa"/>
            <w:noWrap w:val="0"/>
            <w:vAlign w:val="center"/>
          </w:tcPr>
          <w:p>
            <w:pPr>
              <w:adjustRightInd w:val="0"/>
              <w:snapToGrid w:val="0"/>
              <w:spacing w:before="70" w:after="70"/>
              <w:jc w:val="center"/>
              <w:rPr>
                <w:color w:val="auto"/>
                <w:sz w:val="18"/>
                <w:highlight w:val="none"/>
              </w:rPr>
            </w:pPr>
          </w:p>
        </w:tc>
        <w:tc>
          <w:tcPr>
            <w:tcW w:w="997" w:type="dxa"/>
            <w:noWrap w:val="0"/>
            <w:vAlign w:val="center"/>
          </w:tcPr>
          <w:p>
            <w:pPr>
              <w:adjustRightInd w:val="0"/>
              <w:snapToGrid w:val="0"/>
              <w:spacing w:before="70" w:after="70"/>
              <w:jc w:val="center"/>
              <w:rPr>
                <w:color w:val="auto"/>
                <w:sz w:val="18"/>
                <w:highlight w:val="none"/>
              </w:rPr>
            </w:pPr>
          </w:p>
        </w:tc>
        <w:tc>
          <w:tcPr>
            <w:tcW w:w="787" w:type="dxa"/>
            <w:noWrap w:val="0"/>
            <w:vAlign w:val="center"/>
          </w:tcPr>
          <w:p>
            <w:pPr>
              <w:adjustRightInd w:val="0"/>
              <w:snapToGrid w:val="0"/>
              <w:spacing w:before="70" w:after="7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396" w:type="dxa"/>
            <w:noWrap w:val="0"/>
            <w:vAlign w:val="center"/>
          </w:tcPr>
          <w:p>
            <w:pPr>
              <w:adjustRightInd w:val="0"/>
              <w:snapToGrid w:val="0"/>
              <w:spacing w:before="70" w:after="70"/>
              <w:jc w:val="center"/>
              <w:rPr>
                <w:color w:val="auto"/>
                <w:sz w:val="18"/>
                <w:highlight w:val="none"/>
              </w:rPr>
            </w:pPr>
          </w:p>
        </w:tc>
        <w:tc>
          <w:tcPr>
            <w:tcW w:w="2171" w:type="dxa"/>
            <w:noWrap w:val="0"/>
            <w:vAlign w:val="center"/>
          </w:tcPr>
          <w:p>
            <w:pPr>
              <w:adjustRightInd w:val="0"/>
              <w:snapToGrid w:val="0"/>
              <w:spacing w:before="70" w:after="70"/>
              <w:jc w:val="center"/>
              <w:rPr>
                <w:color w:val="auto"/>
                <w:sz w:val="18"/>
                <w:highlight w:val="none"/>
              </w:rPr>
            </w:pPr>
          </w:p>
        </w:tc>
        <w:tc>
          <w:tcPr>
            <w:tcW w:w="938" w:type="dxa"/>
            <w:noWrap w:val="0"/>
            <w:vAlign w:val="top"/>
          </w:tcPr>
          <w:p>
            <w:pPr>
              <w:adjustRightInd w:val="0"/>
              <w:snapToGrid w:val="0"/>
              <w:spacing w:before="70" w:after="70"/>
              <w:jc w:val="center"/>
              <w:rPr>
                <w:color w:val="auto"/>
                <w:sz w:val="18"/>
                <w:highlight w:val="none"/>
              </w:rPr>
            </w:pPr>
          </w:p>
        </w:tc>
        <w:tc>
          <w:tcPr>
            <w:tcW w:w="805" w:type="dxa"/>
            <w:noWrap w:val="0"/>
            <w:vAlign w:val="center"/>
          </w:tcPr>
          <w:p>
            <w:pPr>
              <w:adjustRightInd w:val="0"/>
              <w:snapToGrid w:val="0"/>
              <w:spacing w:before="70" w:after="70"/>
              <w:jc w:val="center"/>
              <w:rPr>
                <w:color w:val="auto"/>
                <w:sz w:val="18"/>
                <w:highlight w:val="none"/>
              </w:rPr>
            </w:pPr>
          </w:p>
        </w:tc>
        <w:tc>
          <w:tcPr>
            <w:tcW w:w="1072" w:type="dxa"/>
            <w:noWrap w:val="0"/>
            <w:vAlign w:val="top"/>
          </w:tcPr>
          <w:p>
            <w:pPr>
              <w:adjustRightInd w:val="0"/>
              <w:snapToGrid w:val="0"/>
              <w:spacing w:before="70" w:after="70"/>
              <w:jc w:val="center"/>
              <w:rPr>
                <w:color w:val="auto"/>
                <w:sz w:val="18"/>
                <w:highlight w:val="none"/>
              </w:rPr>
            </w:pPr>
          </w:p>
        </w:tc>
        <w:tc>
          <w:tcPr>
            <w:tcW w:w="673" w:type="dxa"/>
            <w:noWrap w:val="0"/>
            <w:vAlign w:val="center"/>
          </w:tcPr>
          <w:p>
            <w:pPr>
              <w:adjustRightInd w:val="0"/>
              <w:snapToGrid w:val="0"/>
              <w:spacing w:before="70" w:after="70"/>
              <w:jc w:val="center"/>
              <w:rPr>
                <w:color w:val="auto"/>
                <w:sz w:val="18"/>
                <w:highlight w:val="none"/>
              </w:rPr>
            </w:pPr>
          </w:p>
        </w:tc>
        <w:tc>
          <w:tcPr>
            <w:tcW w:w="700" w:type="dxa"/>
            <w:noWrap w:val="0"/>
            <w:vAlign w:val="center"/>
          </w:tcPr>
          <w:p>
            <w:pPr>
              <w:adjustRightInd w:val="0"/>
              <w:snapToGrid w:val="0"/>
              <w:spacing w:before="70" w:after="70"/>
              <w:jc w:val="center"/>
              <w:rPr>
                <w:color w:val="auto"/>
                <w:sz w:val="18"/>
                <w:highlight w:val="none"/>
              </w:rPr>
            </w:pPr>
          </w:p>
        </w:tc>
        <w:tc>
          <w:tcPr>
            <w:tcW w:w="997" w:type="dxa"/>
            <w:noWrap w:val="0"/>
            <w:vAlign w:val="center"/>
          </w:tcPr>
          <w:p>
            <w:pPr>
              <w:adjustRightInd w:val="0"/>
              <w:snapToGrid w:val="0"/>
              <w:spacing w:before="70" w:after="70"/>
              <w:jc w:val="center"/>
              <w:rPr>
                <w:color w:val="auto"/>
                <w:sz w:val="18"/>
                <w:highlight w:val="none"/>
              </w:rPr>
            </w:pPr>
          </w:p>
        </w:tc>
        <w:tc>
          <w:tcPr>
            <w:tcW w:w="787" w:type="dxa"/>
            <w:noWrap w:val="0"/>
            <w:vAlign w:val="center"/>
          </w:tcPr>
          <w:p>
            <w:pPr>
              <w:adjustRightInd w:val="0"/>
              <w:snapToGrid w:val="0"/>
              <w:spacing w:before="70" w:after="7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396" w:type="dxa"/>
            <w:noWrap w:val="0"/>
            <w:vAlign w:val="center"/>
          </w:tcPr>
          <w:p>
            <w:pPr>
              <w:adjustRightInd w:val="0"/>
              <w:snapToGrid w:val="0"/>
              <w:spacing w:before="70" w:after="70"/>
              <w:jc w:val="center"/>
              <w:rPr>
                <w:color w:val="auto"/>
                <w:sz w:val="18"/>
                <w:highlight w:val="none"/>
              </w:rPr>
            </w:pPr>
          </w:p>
        </w:tc>
        <w:tc>
          <w:tcPr>
            <w:tcW w:w="2171" w:type="dxa"/>
            <w:noWrap w:val="0"/>
            <w:vAlign w:val="center"/>
          </w:tcPr>
          <w:p>
            <w:pPr>
              <w:adjustRightInd w:val="0"/>
              <w:snapToGrid w:val="0"/>
              <w:spacing w:before="70" w:after="70"/>
              <w:jc w:val="center"/>
              <w:rPr>
                <w:color w:val="auto"/>
                <w:sz w:val="18"/>
                <w:highlight w:val="none"/>
              </w:rPr>
            </w:pPr>
          </w:p>
        </w:tc>
        <w:tc>
          <w:tcPr>
            <w:tcW w:w="938" w:type="dxa"/>
            <w:noWrap w:val="0"/>
            <w:vAlign w:val="top"/>
          </w:tcPr>
          <w:p>
            <w:pPr>
              <w:adjustRightInd w:val="0"/>
              <w:snapToGrid w:val="0"/>
              <w:spacing w:before="70" w:after="70"/>
              <w:jc w:val="center"/>
              <w:rPr>
                <w:color w:val="auto"/>
                <w:sz w:val="18"/>
                <w:highlight w:val="none"/>
              </w:rPr>
            </w:pPr>
          </w:p>
        </w:tc>
        <w:tc>
          <w:tcPr>
            <w:tcW w:w="805" w:type="dxa"/>
            <w:noWrap w:val="0"/>
            <w:vAlign w:val="center"/>
          </w:tcPr>
          <w:p>
            <w:pPr>
              <w:adjustRightInd w:val="0"/>
              <w:snapToGrid w:val="0"/>
              <w:spacing w:before="70" w:after="70"/>
              <w:jc w:val="center"/>
              <w:rPr>
                <w:color w:val="auto"/>
                <w:sz w:val="18"/>
                <w:highlight w:val="none"/>
              </w:rPr>
            </w:pPr>
          </w:p>
        </w:tc>
        <w:tc>
          <w:tcPr>
            <w:tcW w:w="1072" w:type="dxa"/>
            <w:noWrap w:val="0"/>
            <w:vAlign w:val="top"/>
          </w:tcPr>
          <w:p>
            <w:pPr>
              <w:adjustRightInd w:val="0"/>
              <w:snapToGrid w:val="0"/>
              <w:spacing w:before="70" w:after="70"/>
              <w:jc w:val="center"/>
              <w:rPr>
                <w:color w:val="auto"/>
                <w:sz w:val="18"/>
                <w:highlight w:val="none"/>
              </w:rPr>
            </w:pPr>
          </w:p>
        </w:tc>
        <w:tc>
          <w:tcPr>
            <w:tcW w:w="673" w:type="dxa"/>
            <w:noWrap w:val="0"/>
            <w:vAlign w:val="center"/>
          </w:tcPr>
          <w:p>
            <w:pPr>
              <w:adjustRightInd w:val="0"/>
              <w:snapToGrid w:val="0"/>
              <w:spacing w:before="70" w:after="70"/>
              <w:jc w:val="center"/>
              <w:rPr>
                <w:color w:val="auto"/>
                <w:sz w:val="18"/>
                <w:highlight w:val="none"/>
              </w:rPr>
            </w:pPr>
          </w:p>
        </w:tc>
        <w:tc>
          <w:tcPr>
            <w:tcW w:w="700" w:type="dxa"/>
            <w:noWrap w:val="0"/>
            <w:vAlign w:val="center"/>
          </w:tcPr>
          <w:p>
            <w:pPr>
              <w:adjustRightInd w:val="0"/>
              <w:snapToGrid w:val="0"/>
              <w:spacing w:before="70" w:after="70"/>
              <w:jc w:val="center"/>
              <w:rPr>
                <w:color w:val="auto"/>
                <w:sz w:val="18"/>
                <w:highlight w:val="none"/>
              </w:rPr>
            </w:pPr>
          </w:p>
        </w:tc>
        <w:tc>
          <w:tcPr>
            <w:tcW w:w="997" w:type="dxa"/>
            <w:noWrap w:val="0"/>
            <w:vAlign w:val="center"/>
          </w:tcPr>
          <w:p>
            <w:pPr>
              <w:adjustRightInd w:val="0"/>
              <w:snapToGrid w:val="0"/>
              <w:spacing w:before="70" w:after="70"/>
              <w:jc w:val="center"/>
              <w:rPr>
                <w:color w:val="auto"/>
                <w:sz w:val="18"/>
                <w:highlight w:val="none"/>
              </w:rPr>
            </w:pPr>
          </w:p>
        </w:tc>
        <w:tc>
          <w:tcPr>
            <w:tcW w:w="787" w:type="dxa"/>
            <w:noWrap w:val="0"/>
            <w:vAlign w:val="center"/>
          </w:tcPr>
          <w:p>
            <w:pPr>
              <w:adjustRightInd w:val="0"/>
              <w:snapToGrid w:val="0"/>
              <w:spacing w:before="70" w:after="7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396" w:type="dxa"/>
            <w:noWrap w:val="0"/>
            <w:vAlign w:val="center"/>
          </w:tcPr>
          <w:p>
            <w:pPr>
              <w:adjustRightInd w:val="0"/>
              <w:snapToGrid w:val="0"/>
              <w:spacing w:before="70" w:after="70"/>
              <w:jc w:val="center"/>
              <w:rPr>
                <w:color w:val="auto"/>
                <w:sz w:val="18"/>
                <w:highlight w:val="none"/>
              </w:rPr>
            </w:pPr>
          </w:p>
        </w:tc>
        <w:tc>
          <w:tcPr>
            <w:tcW w:w="2171" w:type="dxa"/>
            <w:noWrap w:val="0"/>
            <w:vAlign w:val="center"/>
          </w:tcPr>
          <w:p>
            <w:pPr>
              <w:adjustRightInd w:val="0"/>
              <w:snapToGrid w:val="0"/>
              <w:spacing w:before="70" w:after="70"/>
              <w:jc w:val="center"/>
              <w:rPr>
                <w:color w:val="auto"/>
                <w:sz w:val="18"/>
                <w:highlight w:val="none"/>
              </w:rPr>
            </w:pPr>
          </w:p>
        </w:tc>
        <w:tc>
          <w:tcPr>
            <w:tcW w:w="938" w:type="dxa"/>
            <w:noWrap w:val="0"/>
            <w:vAlign w:val="top"/>
          </w:tcPr>
          <w:p>
            <w:pPr>
              <w:adjustRightInd w:val="0"/>
              <w:snapToGrid w:val="0"/>
              <w:spacing w:before="70" w:after="70"/>
              <w:jc w:val="center"/>
              <w:rPr>
                <w:color w:val="auto"/>
                <w:sz w:val="18"/>
                <w:highlight w:val="none"/>
              </w:rPr>
            </w:pPr>
          </w:p>
        </w:tc>
        <w:tc>
          <w:tcPr>
            <w:tcW w:w="805" w:type="dxa"/>
            <w:noWrap w:val="0"/>
            <w:vAlign w:val="center"/>
          </w:tcPr>
          <w:p>
            <w:pPr>
              <w:adjustRightInd w:val="0"/>
              <w:snapToGrid w:val="0"/>
              <w:spacing w:before="70" w:after="70"/>
              <w:jc w:val="center"/>
              <w:rPr>
                <w:color w:val="auto"/>
                <w:sz w:val="18"/>
                <w:highlight w:val="none"/>
              </w:rPr>
            </w:pPr>
          </w:p>
        </w:tc>
        <w:tc>
          <w:tcPr>
            <w:tcW w:w="1072" w:type="dxa"/>
            <w:noWrap w:val="0"/>
            <w:vAlign w:val="top"/>
          </w:tcPr>
          <w:p>
            <w:pPr>
              <w:adjustRightInd w:val="0"/>
              <w:snapToGrid w:val="0"/>
              <w:spacing w:before="70" w:after="70"/>
              <w:jc w:val="center"/>
              <w:rPr>
                <w:color w:val="auto"/>
                <w:sz w:val="18"/>
                <w:highlight w:val="none"/>
              </w:rPr>
            </w:pPr>
          </w:p>
        </w:tc>
        <w:tc>
          <w:tcPr>
            <w:tcW w:w="673" w:type="dxa"/>
            <w:noWrap w:val="0"/>
            <w:vAlign w:val="center"/>
          </w:tcPr>
          <w:p>
            <w:pPr>
              <w:adjustRightInd w:val="0"/>
              <w:snapToGrid w:val="0"/>
              <w:spacing w:before="70" w:after="70"/>
              <w:jc w:val="center"/>
              <w:rPr>
                <w:color w:val="auto"/>
                <w:sz w:val="18"/>
                <w:highlight w:val="none"/>
              </w:rPr>
            </w:pPr>
          </w:p>
        </w:tc>
        <w:tc>
          <w:tcPr>
            <w:tcW w:w="700" w:type="dxa"/>
            <w:noWrap w:val="0"/>
            <w:vAlign w:val="center"/>
          </w:tcPr>
          <w:p>
            <w:pPr>
              <w:adjustRightInd w:val="0"/>
              <w:snapToGrid w:val="0"/>
              <w:spacing w:before="70" w:after="70"/>
              <w:jc w:val="center"/>
              <w:rPr>
                <w:color w:val="auto"/>
                <w:sz w:val="18"/>
                <w:highlight w:val="none"/>
              </w:rPr>
            </w:pPr>
          </w:p>
        </w:tc>
        <w:tc>
          <w:tcPr>
            <w:tcW w:w="997" w:type="dxa"/>
            <w:noWrap w:val="0"/>
            <w:vAlign w:val="center"/>
          </w:tcPr>
          <w:p>
            <w:pPr>
              <w:adjustRightInd w:val="0"/>
              <w:snapToGrid w:val="0"/>
              <w:spacing w:before="70" w:after="70"/>
              <w:jc w:val="center"/>
              <w:rPr>
                <w:color w:val="auto"/>
                <w:sz w:val="18"/>
                <w:highlight w:val="none"/>
              </w:rPr>
            </w:pPr>
          </w:p>
        </w:tc>
        <w:tc>
          <w:tcPr>
            <w:tcW w:w="787" w:type="dxa"/>
            <w:noWrap w:val="0"/>
            <w:vAlign w:val="center"/>
          </w:tcPr>
          <w:p>
            <w:pPr>
              <w:adjustRightInd w:val="0"/>
              <w:snapToGrid w:val="0"/>
              <w:spacing w:before="70" w:after="7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2567" w:type="dxa"/>
            <w:gridSpan w:val="2"/>
            <w:tcBorders>
              <w:bottom w:val="single" w:color="auto" w:sz="8" w:space="0"/>
            </w:tcBorders>
            <w:noWrap w:val="0"/>
            <w:vAlign w:val="center"/>
          </w:tcPr>
          <w:p>
            <w:pPr>
              <w:keepNext/>
              <w:keepLines/>
              <w:adjustRightInd w:val="0"/>
              <w:snapToGrid w:val="0"/>
              <w:spacing w:before="70" w:after="70" w:line="480" w:lineRule="auto"/>
              <w:jc w:val="center"/>
              <w:rPr>
                <w:color w:val="auto"/>
                <w:sz w:val="18"/>
                <w:highlight w:val="none"/>
              </w:rPr>
            </w:pPr>
            <w:r>
              <w:rPr>
                <w:color w:val="auto"/>
                <w:sz w:val="18"/>
                <w:highlight w:val="none"/>
              </w:rPr>
              <w:t>规模合计</w:t>
            </w:r>
          </w:p>
        </w:tc>
        <w:tc>
          <w:tcPr>
            <w:tcW w:w="938" w:type="dxa"/>
            <w:tcBorders>
              <w:bottom w:val="single" w:color="auto" w:sz="8" w:space="0"/>
            </w:tcBorders>
            <w:noWrap w:val="0"/>
            <w:vAlign w:val="top"/>
          </w:tcPr>
          <w:p>
            <w:pPr>
              <w:adjustRightInd w:val="0"/>
              <w:snapToGrid w:val="0"/>
              <w:spacing w:before="70" w:after="70"/>
              <w:jc w:val="center"/>
              <w:rPr>
                <w:color w:val="auto"/>
                <w:sz w:val="18"/>
                <w:highlight w:val="none"/>
              </w:rPr>
            </w:pPr>
          </w:p>
        </w:tc>
        <w:tc>
          <w:tcPr>
            <w:tcW w:w="805" w:type="dxa"/>
            <w:tcBorders>
              <w:bottom w:val="single" w:color="auto" w:sz="8" w:space="0"/>
            </w:tcBorders>
            <w:noWrap w:val="0"/>
            <w:vAlign w:val="center"/>
          </w:tcPr>
          <w:p>
            <w:pPr>
              <w:adjustRightInd w:val="0"/>
              <w:snapToGrid w:val="0"/>
              <w:spacing w:before="70" w:after="70"/>
              <w:jc w:val="center"/>
              <w:rPr>
                <w:color w:val="auto"/>
                <w:sz w:val="18"/>
                <w:highlight w:val="none"/>
              </w:rPr>
            </w:pPr>
          </w:p>
        </w:tc>
        <w:tc>
          <w:tcPr>
            <w:tcW w:w="1072" w:type="dxa"/>
            <w:tcBorders>
              <w:bottom w:val="single" w:color="auto" w:sz="8" w:space="0"/>
            </w:tcBorders>
            <w:noWrap w:val="0"/>
            <w:vAlign w:val="top"/>
          </w:tcPr>
          <w:p>
            <w:pPr>
              <w:adjustRightInd w:val="0"/>
              <w:snapToGrid w:val="0"/>
              <w:spacing w:before="70" w:after="70"/>
              <w:jc w:val="center"/>
              <w:rPr>
                <w:color w:val="auto"/>
                <w:sz w:val="18"/>
                <w:highlight w:val="none"/>
              </w:rPr>
            </w:pPr>
          </w:p>
        </w:tc>
        <w:tc>
          <w:tcPr>
            <w:tcW w:w="673" w:type="dxa"/>
            <w:tcBorders>
              <w:bottom w:val="single" w:color="auto" w:sz="8" w:space="0"/>
            </w:tcBorders>
            <w:noWrap w:val="0"/>
            <w:vAlign w:val="center"/>
          </w:tcPr>
          <w:p>
            <w:pPr>
              <w:adjustRightInd w:val="0"/>
              <w:snapToGrid w:val="0"/>
              <w:spacing w:before="70" w:after="70"/>
              <w:jc w:val="center"/>
              <w:rPr>
                <w:color w:val="auto"/>
                <w:sz w:val="18"/>
                <w:highlight w:val="none"/>
              </w:rPr>
            </w:pPr>
          </w:p>
        </w:tc>
        <w:tc>
          <w:tcPr>
            <w:tcW w:w="700" w:type="dxa"/>
            <w:tcBorders>
              <w:bottom w:val="single" w:color="auto" w:sz="8" w:space="0"/>
            </w:tcBorders>
            <w:noWrap w:val="0"/>
            <w:vAlign w:val="center"/>
          </w:tcPr>
          <w:p>
            <w:pPr>
              <w:adjustRightInd w:val="0"/>
              <w:snapToGrid w:val="0"/>
              <w:spacing w:before="70" w:after="70"/>
              <w:jc w:val="center"/>
              <w:rPr>
                <w:color w:val="auto"/>
                <w:sz w:val="18"/>
                <w:highlight w:val="none"/>
              </w:rPr>
            </w:pPr>
          </w:p>
        </w:tc>
        <w:tc>
          <w:tcPr>
            <w:tcW w:w="997" w:type="dxa"/>
            <w:tcBorders>
              <w:bottom w:val="single" w:color="auto" w:sz="8" w:space="0"/>
            </w:tcBorders>
            <w:noWrap w:val="0"/>
            <w:vAlign w:val="center"/>
          </w:tcPr>
          <w:p>
            <w:pPr>
              <w:adjustRightInd w:val="0"/>
              <w:snapToGrid w:val="0"/>
              <w:spacing w:before="70" w:after="70"/>
              <w:jc w:val="center"/>
              <w:rPr>
                <w:color w:val="auto"/>
                <w:sz w:val="18"/>
                <w:highlight w:val="none"/>
              </w:rPr>
            </w:pPr>
          </w:p>
        </w:tc>
        <w:tc>
          <w:tcPr>
            <w:tcW w:w="787" w:type="dxa"/>
            <w:tcBorders>
              <w:bottom w:val="single" w:color="auto" w:sz="8" w:space="0"/>
            </w:tcBorders>
            <w:noWrap w:val="0"/>
            <w:vAlign w:val="center"/>
          </w:tcPr>
          <w:p>
            <w:pPr>
              <w:adjustRightInd w:val="0"/>
              <w:snapToGrid w:val="0"/>
              <w:spacing w:before="70" w:after="70"/>
              <w:jc w:val="center"/>
              <w:rPr>
                <w:color w:val="auto"/>
                <w:sz w:val="18"/>
                <w:highlight w:val="none"/>
              </w:rPr>
            </w:pPr>
          </w:p>
        </w:tc>
      </w:tr>
    </w:tbl>
    <w:p>
      <w:pPr>
        <w:spacing w:line="360" w:lineRule="exact"/>
        <w:ind w:left="525"/>
        <w:rPr>
          <w:b/>
          <w:color w:val="auto"/>
          <w:highlight w:val="none"/>
        </w:rPr>
      </w:pPr>
    </w:p>
    <w:p>
      <w:pPr>
        <w:numPr>
          <w:ilvl w:val="0"/>
          <w:numId w:val="0"/>
        </w:numPr>
        <w:spacing w:line="360" w:lineRule="exact"/>
        <w:ind w:firstLine="422" w:firstLineChars="200"/>
        <w:rPr>
          <w:b/>
          <w:color w:val="auto"/>
          <w:highlight w:val="none"/>
        </w:rPr>
      </w:pPr>
      <w:r>
        <w:rPr>
          <w:b/>
          <w:color w:val="auto"/>
          <w:highlight w:val="none"/>
        </w:rPr>
        <w:t>2）证明材料</w:t>
      </w:r>
    </w:p>
    <w:p>
      <w:pPr>
        <w:spacing w:line="360" w:lineRule="exact"/>
        <w:ind w:firstLine="420" w:firstLineChars="200"/>
        <w:rPr>
          <w:color w:val="auto"/>
          <w:highlight w:val="none"/>
        </w:rPr>
      </w:pPr>
      <w:r>
        <w:rPr>
          <w:color w:val="auto"/>
          <w:highlight w:val="none"/>
        </w:rPr>
        <w:t>（本页应附</w:t>
      </w:r>
      <w:r>
        <w:rPr>
          <w:b/>
          <w:color w:val="auto"/>
          <w:highlight w:val="none"/>
        </w:rPr>
        <w:t>所有列出项目</w:t>
      </w:r>
      <w:r>
        <w:rPr>
          <w:color w:val="auto"/>
          <w:highlight w:val="none"/>
        </w:rPr>
        <w:t>的合同原件的关键部分的扫描件（包括封面、合同协议书、签署页（含签署日期）等），必要时将要求投标人提供合同原件。同时提供工程验收证明文件（送变电工程启动竣工验收证书，或交接证书，或验收证书，或业主证明等）扫描件。）</w:t>
      </w:r>
    </w:p>
    <w:p>
      <w:pPr>
        <w:widowControl/>
        <w:topLinePunct w:val="0"/>
        <w:jc w:val="left"/>
        <w:rPr>
          <w:color w:val="auto"/>
          <w:highlight w:val="none"/>
        </w:rPr>
      </w:pPr>
    </w:p>
    <w:p>
      <w:pPr>
        <w:rPr>
          <w:color w:val="auto"/>
          <w:highlight w:val="none"/>
        </w:rPr>
      </w:pPr>
    </w:p>
    <w:p>
      <w:pPr>
        <w:widowControl/>
        <w:spacing w:before="120" w:beforeLines="50" w:line="360" w:lineRule="exact"/>
        <w:ind w:left="360" w:firstLineChars="0"/>
        <w:jc w:val="left"/>
        <w:rPr>
          <w:rFonts w:hint="eastAsia" w:ascii="Times New Roman" w:hAnsi="Times New Roman" w:eastAsia="宋体" w:cs="Times New Roman"/>
          <w:b/>
          <w:bCs/>
          <w:color w:val="auto"/>
          <w:sz w:val="24"/>
          <w:szCs w:val="21"/>
          <w:highlight w:val="none"/>
          <w:lang w:eastAsia="zh-CN"/>
        </w:rPr>
      </w:pPr>
      <w:r>
        <w:rPr>
          <w:rFonts w:hint="eastAsia" w:ascii="Times New Roman" w:hAnsi="Times New Roman" w:eastAsia="宋体" w:cs="Times New Roman"/>
          <w:b/>
          <w:bCs/>
          <w:color w:val="auto"/>
          <w:sz w:val="24"/>
          <w:szCs w:val="21"/>
          <w:highlight w:val="none"/>
          <w:lang w:eastAsia="zh-CN"/>
        </w:rPr>
        <w:br w:type="page"/>
      </w:r>
    </w:p>
    <w:p>
      <w:pPr>
        <w:pStyle w:val="52"/>
        <w:widowControl/>
        <w:spacing w:before="120" w:beforeLines="50" w:line="360" w:lineRule="exact"/>
        <w:ind w:left="360" w:firstLine="0" w:firstLineChars="0"/>
        <w:jc w:val="left"/>
        <w:rPr>
          <w:rFonts w:ascii="Times New Roman" w:hAnsi="Times New Roman" w:eastAsia="宋体" w:cs="Times New Roman"/>
          <w:b/>
          <w:bCs/>
          <w:color w:val="auto"/>
          <w:sz w:val="21"/>
          <w:szCs w:val="21"/>
          <w:highlight w:val="none"/>
        </w:rPr>
      </w:pPr>
      <w:r>
        <w:rPr>
          <w:rFonts w:hint="eastAsia" w:ascii="Times New Roman" w:hAnsi="Times New Roman" w:eastAsia="宋体" w:cs="Times New Roman"/>
          <w:b/>
          <w:bCs/>
          <w:color w:val="auto"/>
          <w:sz w:val="21"/>
          <w:szCs w:val="21"/>
          <w:highlight w:val="none"/>
          <w:lang w:eastAsia="zh-CN"/>
        </w:rPr>
        <w:t>（</w:t>
      </w:r>
      <w:r>
        <w:rPr>
          <w:rFonts w:hint="eastAsia" w:ascii="Times New Roman" w:hAnsi="Times New Roman" w:eastAsia="宋体" w:cs="Times New Roman"/>
          <w:b/>
          <w:bCs/>
          <w:color w:val="auto"/>
          <w:sz w:val="21"/>
          <w:szCs w:val="21"/>
          <w:highlight w:val="none"/>
          <w:lang w:val="en-US" w:eastAsia="zh-CN"/>
        </w:rPr>
        <w:t>2</w:t>
      </w:r>
      <w:r>
        <w:rPr>
          <w:rFonts w:hint="eastAsia" w:ascii="Times New Roman" w:hAnsi="Times New Roman" w:eastAsia="宋体" w:cs="Times New Roman"/>
          <w:b/>
          <w:bCs/>
          <w:color w:val="auto"/>
          <w:sz w:val="21"/>
          <w:szCs w:val="21"/>
          <w:highlight w:val="none"/>
          <w:lang w:eastAsia="zh-CN"/>
        </w:rPr>
        <w:t>）</w:t>
      </w:r>
      <w:r>
        <w:rPr>
          <w:rFonts w:ascii="Times New Roman" w:hAnsi="Times New Roman" w:eastAsia="宋体" w:cs="Times New Roman"/>
          <w:b/>
          <w:bCs/>
          <w:color w:val="auto"/>
          <w:sz w:val="21"/>
          <w:szCs w:val="21"/>
          <w:highlight w:val="none"/>
        </w:rPr>
        <w:t xml:space="preserve">正在设计和新承接的项目情况 </w:t>
      </w:r>
    </w:p>
    <w:p>
      <w:pPr>
        <w:spacing w:before="120" w:line="360" w:lineRule="exact"/>
        <w:ind w:firstLine="527" w:firstLineChars="250"/>
        <w:rPr>
          <w:b/>
          <w:color w:val="auto"/>
          <w:szCs w:val="21"/>
          <w:highlight w:val="none"/>
        </w:rPr>
      </w:pPr>
      <w:r>
        <w:rPr>
          <w:b/>
          <w:color w:val="auto"/>
          <w:szCs w:val="21"/>
          <w:highlight w:val="none"/>
        </w:rPr>
        <w:t>1）正在设计和新承接的项目情况表</w:t>
      </w:r>
    </w:p>
    <w:p>
      <w:pPr>
        <w:widowControl/>
        <w:spacing w:before="120" w:beforeLines="50" w:line="360" w:lineRule="exact"/>
        <w:ind w:firstLine="420" w:firstLineChars="200"/>
        <w:jc w:val="left"/>
        <w:rPr>
          <w:color w:val="auto"/>
          <w:szCs w:val="21"/>
          <w:highlight w:val="none"/>
        </w:rPr>
      </w:pPr>
      <w:r>
        <w:rPr>
          <w:color w:val="auto"/>
          <w:szCs w:val="21"/>
          <w:highlight w:val="none"/>
        </w:rPr>
        <w:t>（本页应按下表填报在建工程的业绩情况，在建工程业绩以合同签订时间为依据，工程业绩需涵盖评分办法内容。）</w:t>
      </w:r>
    </w:p>
    <w:p>
      <w:pPr>
        <w:pStyle w:val="49"/>
        <w:ind w:left="360"/>
        <w:rPr>
          <w:rFonts w:ascii="Times New Roman"/>
          <w:color w:val="auto"/>
          <w:highlight w:val="none"/>
        </w:rPr>
      </w:pPr>
      <w:r>
        <w:rPr>
          <w:rFonts w:ascii="Times New Roman"/>
          <w:color w:val="auto"/>
          <w:highlight w:val="none"/>
        </w:rPr>
        <w:t>正在设计和新承接的项目情况表</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
        <w:gridCol w:w="2429"/>
        <w:gridCol w:w="997"/>
        <w:gridCol w:w="582"/>
        <w:gridCol w:w="984"/>
        <w:gridCol w:w="750"/>
        <w:gridCol w:w="993"/>
        <w:gridCol w:w="1003"/>
        <w:gridCol w:w="7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96" w:type="dxa"/>
            <w:vMerge w:val="restart"/>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序号</w:t>
            </w:r>
          </w:p>
        </w:tc>
        <w:tc>
          <w:tcPr>
            <w:tcW w:w="2429" w:type="dxa"/>
            <w:vMerge w:val="restart"/>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工程名称</w:t>
            </w:r>
          </w:p>
        </w:tc>
        <w:tc>
          <w:tcPr>
            <w:tcW w:w="997" w:type="dxa"/>
            <w:vMerge w:val="restart"/>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工程电压等级</w:t>
            </w:r>
          </w:p>
        </w:tc>
        <w:tc>
          <w:tcPr>
            <w:tcW w:w="1566" w:type="dxa"/>
            <w:gridSpan w:val="2"/>
            <w:noWrap w:val="0"/>
            <w:vAlign w:val="center"/>
          </w:tcPr>
          <w:p>
            <w:pPr>
              <w:adjustRightInd w:val="0"/>
              <w:snapToGrid w:val="0"/>
              <w:spacing w:before="70" w:after="70"/>
              <w:jc w:val="center"/>
              <w:rPr>
                <w:rFonts w:eastAsia="黑体"/>
                <w:color w:val="auto"/>
                <w:sz w:val="18"/>
                <w:highlight w:val="none"/>
              </w:rPr>
            </w:pPr>
            <w:r>
              <w:rPr>
                <w:rFonts w:eastAsia="黑体"/>
                <w:color w:val="auto"/>
                <w:sz w:val="18"/>
                <w:highlight w:val="none"/>
              </w:rPr>
              <w:t>工程规模</w:t>
            </w:r>
          </w:p>
        </w:tc>
        <w:tc>
          <w:tcPr>
            <w:tcW w:w="750" w:type="dxa"/>
            <w:vMerge w:val="restart"/>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合同签订时间</w:t>
            </w:r>
          </w:p>
        </w:tc>
        <w:tc>
          <w:tcPr>
            <w:tcW w:w="993" w:type="dxa"/>
            <w:vMerge w:val="restart"/>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承包范围</w:t>
            </w:r>
          </w:p>
        </w:tc>
        <w:tc>
          <w:tcPr>
            <w:tcW w:w="1003" w:type="dxa"/>
            <w:vMerge w:val="restart"/>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业主单位</w:t>
            </w:r>
          </w:p>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（项目法人）</w:t>
            </w:r>
          </w:p>
        </w:tc>
        <w:tc>
          <w:tcPr>
            <w:tcW w:w="794" w:type="dxa"/>
            <w:vMerge w:val="restart"/>
            <w:noWrap w:val="0"/>
            <w:vAlign w:val="center"/>
          </w:tcPr>
          <w:p>
            <w:pPr>
              <w:topLinePunct w:val="0"/>
              <w:adjustRightInd w:val="0"/>
              <w:snapToGrid w:val="0"/>
              <w:spacing w:before="70" w:after="70"/>
              <w:jc w:val="center"/>
              <w:rPr>
                <w:rFonts w:eastAsia="黑体"/>
                <w:color w:val="auto"/>
                <w:sz w:val="18"/>
                <w:szCs w:val="22"/>
                <w:highlight w:val="none"/>
              </w:rPr>
            </w:pPr>
            <w:r>
              <w:rPr>
                <w:rFonts w:eastAsia="黑体"/>
                <w:color w:val="auto"/>
                <w:sz w:val="18"/>
                <w:szCs w:val="22"/>
                <w:highlight w:val="none"/>
              </w:rPr>
              <w:t>业主单位联系方式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9" w:hRule="atLeast"/>
          <w:jc w:val="center"/>
        </w:trPr>
        <w:tc>
          <w:tcPr>
            <w:tcW w:w="396" w:type="dxa"/>
            <w:vMerge w:val="continue"/>
            <w:noWrap w:val="0"/>
            <w:vAlign w:val="center"/>
          </w:tcPr>
          <w:p>
            <w:pPr>
              <w:adjustRightInd w:val="0"/>
              <w:snapToGrid w:val="0"/>
              <w:spacing w:before="70" w:after="70"/>
              <w:jc w:val="center"/>
              <w:rPr>
                <w:color w:val="auto"/>
                <w:highlight w:val="none"/>
              </w:rPr>
            </w:pPr>
          </w:p>
        </w:tc>
        <w:tc>
          <w:tcPr>
            <w:tcW w:w="2429" w:type="dxa"/>
            <w:vMerge w:val="continue"/>
            <w:noWrap w:val="0"/>
            <w:vAlign w:val="center"/>
          </w:tcPr>
          <w:p>
            <w:pPr>
              <w:adjustRightInd w:val="0"/>
              <w:snapToGrid w:val="0"/>
              <w:spacing w:before="70" w:after="70"/>
              <w:jc w:val="center"/>
              <w:rPr>
                <w:color w:val="auto"/>
                <w:highlight w:val="none"/>
              </w:rPr>
            </w:pPr>
          </w:p>
        </w:tc>
        <w:tc>
          <w:tcPr>
            <w:tcW w:w="997" w:type="dxa"/>
            <w:vMerge w:val="continue"/>
            <w:noWrap w:val="0"/>
            <w:vAlign w:val="top"/>
          </w:tcPr>
          <w:p>
            <w:pPr>
              <w:adjustRightInd w:val="0"/>
              <w:snapToGrid w:val="0"/>
              <w:spacing w:before="70" w:after="70"/>
              <w:jc w:val="center"/>
              <w:rPr>
                <w:color w:val="auto"/>
                <w:highlight w:val="none"/>
              </w:rPr>
            </w:pPr>
          </w:p>
        </w:tc>
        <w:tc>
          <w:tcPr>
            <w:tcW w:w="582" w:type="dxa"/>
            <w:noWrap w:val="0"/>
            <w:vAlign w:val="center"/>
          </w:tcPr>
          <w:p>
            <w:pPr>
              <w:topLinePunct w:val="0"/>
              <w:adjustRightInd w:val="0"/>
              <w:snapToGrid w:val="0"/>
              <w:spacing w:before="70" w:after="70"/>
              <w:jc w:val="center"/>
              <w:rPr>
                <w:color w:val="auto"/>
                <w:highlight w:val="none"/>
              </w:rPr>
            </w:pPr>
            <w:r>
              <w:rPr>
                <w:color w:val="auto"/>
                <w:highlight w:val="none"/>
              </w:rPr>
              <w:t>变电站座数</w:t>
            </w:r>
          </w:p>
        </w:tc>
        <w:tc>
          <w:tcPr>
            <w:tcW w:w="984" w:type="dxa"/>
            <w:noWrap w:val="0"/>
            <w:vAlign w:val="top"/>
          </w:tcPr>
          <w:p>
            <w:pPr>
              <w:topLinePunct w:val="0"/>
              <w:adjustRightInd w:val="0"/>
              <w:snapToGrid w:val="0"/>
              <w:spacing w:before="70" w:after="70"/>
              <w:jc w:val="center"/>
              <w:rPr>
                <w:color w:val="auto"/>
                <w:highlight w:val="none"/>
              </w:rPr>
            </w:pPr>
            <w:r>
              <w:rPr>
                <w:color w:val="auto"/>
                <w:highlight w:val="none"/>
              </w:rPr>
              <w:t>线路建设规模（折单公里）</w:t>
            </w:r>
          </w:p>
        </w:tc>
        <w:tc>
          <w:tcPr>
            <w:tcW w:w="750" w:type="dxa"/>
            <w:vMerge w:val="continue"/>
            <w:noWrap w:val="0"/>
            <w:vAlign w:val="center"/>
          </w:tcPr>
          <w:p>
            <w:pPr>
              <w:adjustRightInd w:val="0"/>
              <w:snapToGrid w:val="0"/>
              <w:spacing w:before="70" w:after="70"/>
              <w:jc w:val="center"/>
              <w:rPr>
                <w:color w:val="auto"/>
                <w:highlight w:val="none"/>
              </w:rPr>
            </w:pPr>
          </w:p>
        </w:tc>
        <w:tc>
          <w:tcPr>
            <w:tcW w:w="993" w:type="dxa"/>
            <w:vMerge w:val="continue"/>
            <w:noWrap w:val="0"/>
            <w:vAlign w:val="center"/>
          </w:tcPr>
          <w:p>
            <w:pPr>
              <w:adjustRightInd w:val="0"/>
              <w:snapToGrid w:val="0"/>
              <w:spacing w:before="70" w:after="70"/>
              <w:jc w:val="center"/>
              <w:rPr>
                <w:color w:val="auto"/>
                <w:highlight w:val="none"/>
              </w:rPr>
            </w:pPr>
          </w:p>
        </w:tc>
        <w:tc>
          <w:tcPr>
            <w:tcW w:w="1003" w:type="dxa"/>
            <w:vMerge w:val="continue"/>
            <w:noWrap w:val="0"/>
            <w:vAlign w:val="center"/>
          </w:tcPr>
          <w:p>
            <w:pPr>
              <w:adjustRightInd w:val="0"/>
              <w:snapToGrid w:val="0"/>
              <w:spacing w:before="70" w:after="70"/>
              <w:jc w:val="center"/>
              <w:rPr>
                <w:color w:val="auto"/>
                <w:highlight w:val="none"/>
              </w:rPr>
            </w:pPr>
          </w:p>
        </w:tc>
        <w:tc>
          <w:tcPr>
            <w:tcW w:w="794" w:type="dxa"/>
            <w:vMerge w:val="continue"/>
            <w:noWrap w:val="0"/>
            <w:vAlign w:val="center"/>
          </w:tcPr>
          <w:p>
            <w:pPr>
              <w:adjustRightInd w:val="0"/>
              <w:snapToGrid w:val="0"/>
              <w:spacing w:before="70" w:after="70"/>
              <w:jc w:val="center"/>
              <w:rPr>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8" w:hRule="atLeast"/>
          <w:jc w:val="center"/>
        </w:trPr>
        <w:tc>
          <w:tcPr>
            <w:tcW w:w="396" w:type="dxa"/>
            <w:noWrap w:val="0"/>
            <w:vAlign w:val="center"/>
          </w:tcPr>
          <w:p>
            <w:pPr>
              <w:adjustRightInd w:val="0"/>
              <w:snapToGrid w:val="0"/>
              <w:spacing w:before="70" w:after="70"/>
              <w:jc w:val="center"/>
              <w:rPr>
                <w:color w:val="auto"/>
                <w:highlight w:val="none"/>
              </w:rPr>
            </w:pPr>
          </w:p>
        </w:tc>
        <w:tc>
          <w:tcPr>
            <w:tcW w:w="2429" w:type="dxa"/>
            <w:noWrap w:val="0"/>
            <w:vAlign w:val="center"/>
          </w:tcPr>
          <w:p>
            <w:pPr>
              <w:adjustRightInd w:val="0"/>
              <w:snapToGrid w:val="0"/>
              <w:spacing w:before="70" w:after="70"/>
              <w:jc w:val="center"/>
              <w:rPr>
                <w:color w:val="auto"/>
                <w:highlight w:val="none"/>
              </w:rPr>
            </w:pPr>
          </w:p>
        </w:tc>
        <w:tc>
          <w:tcPr>
            <w:tcW w:w="997" w:type="dxa"/>
            <w:noWrap w:val="0"/>
            <w:vAlign w:val="top"/>
          </w:tcPr>
          <w:p>
            <w:pPr>
              <w:adjustRightInd w:val="0"/>
              <w:snapToGrid w:val="0"/>
              <w:spacing w:before="70" w:after="70"/>
              <w:jc w:val="center"/>
              <w:rPr>
                <w:color w:val="auto"/>
                <w:highlight w:val="none"/>
              </w:rPr>
            </w:pPr>
          </w:p>
        </w:tc>
        <w:tc>
          <w:tcPr>
            <w:tcW w:w="582" w:type="dxa"/>
            <w:noWrap w:val="0"/>
            <w:vAlign w:val="center"/>
          </w:tcPr>
          <w:p>
            <w:pPr>
              <w:adjustRightInd w:val="0"/>
              <w:snapToGrid w:val="0"/>
              <w:spacing w:before="70" w:after="70"/>
              <w:jc w:val="center"/>
              <w:rPr>
                <w:color w:val="auto"/>
                <w:highlight w:val="none"/>
              </w:rPr>
            </w:pPr>
          </w:p>
        </w:tc>
        <w:tc>
          <w:tcPr>
            <w:tcW w:w="984" w:type="dxa"/>
            <w:noWrap w:val="0"/>
            <w:vAlign w:val="top"/>
          </w:tcPr>
          <w:p>
            <w:pPr>
              <w:adjustRightInd w:val="0"/>
              <w:snapToGrid w:val="0"/>
              <w:spacing w:before="70" w:after="70"/>
              <w:jc w:val="center"/>
              <w:rPr>
                <w:color w:val="auto"/>
                <w:highlight w:val="none"/>
              </w:rPr>
            </w:pPr>
          </w:p>
        </w:tc>
        <w:tc>
          <w:tcPr>
            <w:tcW w:w="750" w:type="dxa"/>
            <w:noWrap w:val="0"/>
            <w:vAlign w:val="top"/>
          </w:tcPr>
          <w:p>
            <w:pPr>
              <w:adjustRightInd w:val="0"/>
              <w:snapToGrid w:val="0"/>
              <w:spacing w:before="70" w:after="70"/>
              <w:jc w:val="center"/>
              <w:rPr>
                <w:color w:val="auto"/>
                <w:highlight w:val="none"/>
              </w:rPr>
            </w:pPr>
          </w:p>
        </w:tc>
        <w:tc>
          <w:tcPr>
            <w:tcW w:w="993" w:type="dxa"/>
            <w:noWrap w:val="0"/>
            <w:vAlign w:val="center"/>
          </w:tcPr>
          <w:p>
            <w:pPr>
              <w:adjustRightInd w:val="0"/>
              <w:snapToGrid w:val="0"/>
              <w:spacing w:before="70" w:after="70"/>
              <w:jc w:val="center"/>
              <w:rPr>
                <w:color w:val="auto"/>
                <w:highlight w:val="none"/>
              </w:rPr>
            </w:pPr>
          </w:p>
        </w:tc>
        <w:tc>
          <w:tcPr>
            <w:tcW w:w="1003" w:type="dxa"/>
            <w:noWrap w:val="0"/>
            <w:vAlign w:val="center"/>
          </w:tcPr>
          <w:p>
            <w:pPr>
              <w:adjustRightInd w:val="0"/>
              <w:snapToGrid w:val="0"/>
              <w:spacing w:before="70" w:after="70"/>
              <w:jc w:val="center"/>
              <w:rPr>
                <w:color w:val="auto"/>
                <w:highlight w:val="none"/>
              </w:rPr>
            </w:pPr>
          </w:p>
        </w:tc>
        <w:tc>
          <w:tcPr>
            <w:tcW w:w="794" w:type="dxa"/>
            <w:noWrap w:val="0"/>
            <w:vAlign w:val="center"/>
          </w:tcPr>
          <w:p>
            <w:pPr>
              <w:adjustRightInd w:val="0"/>
              <w:snapToGrid w:val="0"/>
              <w:spacing w:before="70" w:after="70"/>
              <w:jc w:val="center"/>
              <w:rPr>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8" w:hRule="atLeast"/>
          <w:jc w:val="center"/>
        </w:trPr>
        <w:tc>
          <w:tcPr>
            <w:tcW w:w="396" w:type="dxa"/>
            <w:noWrap w:val="0"/>
            <w:vAlign w:val="center"/>
          </w:tcPr>
          <w:p>
            <w:pPr>
              <w:adjustRightInd w:val="0"/>
              <w:snapToGrid w:val="0"/>
              <w:spacing w:before="70" w:after="70"/>
              <w:jc w:val="center"/>
              <w:rPr>
                <w:color w:val="auto"/>
                <w:highlight w:val="none"/>
              </w:rPr>
            </w:pPr>
          </w:p>
        </w:tc>
        <w:tc>
          <w:tcPr>
            <w:tcW w:w="2429" w:type="dxa"/>
            <w:noWrap w:val="0"/>
            <w:vAlign w:val="center"/>
          </w:tcPr>
          <w:p>
            <w:pPr>
              <w:adjustRightInd w:val="0"/>
              <w:snapToGrid w:val="0"/>
              <w:spacing w:before="70" w:after="70"/>
              <w:jc w:val="center"/>
              <w:rPr>
                <w:color w:val="auto"/>
                <w:highlight w:val="none"/>
              </w:rPr>
            </w:pPr>
          </w:p>
        </w:tc>
        <w:tc>
          <w:tcPr>
            <w:tcW w:w="997" w:type="dxa"/>
            <w:noWrap w:val="0"/>
            <w:vAlign w:val="top"/>
          </w:tcPr>
          <w:p>
            <w:pPr>
              <w:adjustRightInd w:val="0"/>
              <w:snapToGrid w:val="0"/>
              <w:spacing w:before="70" w:after="70"/>
              <w:jc w:val="center"/>
              <w:rPr>
                <w:color w:val="auto"/>
                <w:highlight w:val="none"/>
              </w:rPr>
            </w:pPr>
          </w:p>
        </w:tc>
        <w:tc>
          <w:tcPr>
            <w:tcW w:w="582" w:type="dxa"/>
            <w:noWrap w:val="0"/>
            <w:vAlign w:val="center"/>
          </w:tcPr>
          <w:p>
            <w:pPr>
              <w:adjustRightInd w:val="0"/>
              <w:snapToGrid w:val="0"/>
              <w:spacing w:before="70" w:after="70"/>
              <w:jc w:val="center"/>
              <w:rPr>
                <w:color w:val="auto"/>
                <w:highlight w:val="none"/>
              </w:rPr>
            </w:pPr>
          </w:p>
        </w:tc>
        <w:tc>
          <w:tcPr>
            <w:tcW w:w="984" w:type="dxa"/>
            <w:noWrap w:val="0"/>
            <w:vAlign w:val="top"/>
          </w:tcPr>
          <w:p>
            <w:pPr>
              <w:adjustRightInd w:val="0"/>
              <w:snapToGrid w:val="0"/>
              <w:spacing w:before="70" w:after="70"/>
              <w:jc w:val="center"/>
              <w:rPr>
                <w:color w:val="auto"/>
                <w:highlight w:val="none"/>
              </w:rPr>
            </w:pPr>
          </w:p>
        </w:tc>
        <w:tc>
          <w:tcPr>
            <w:tcW w:w="750" w:type="dxa"/>
            <w:noWrap w:val="0"/>
            <w:vAlign w:val="top"/>
          </w:tcPr>
          <w:p>
            <w:pPr>
              <w:adjustRightInd w:val="0"/>
              <w:snapToGrid w:val="0"/>
              <w:spacing w:before="70" w:after="70"/>
              <w:jc w:val="center"/>
              <w:rPr>
                <w:color w:val="auto"/>
                <w:highlight w:val="none"/>
              </w:rPr>
            </w:pPr>
          </w:p>
        </w:tc>
        <w:tc>
          <w:tcPr>
            <w:tcW w:w="993" w:type="dxa"/>
            <w:noWrap w:val="0"/>
            <w:vAlign w:val="center"/>
          </w:tcPr>
          <w:p>
            <w:pPr>
              <w:adjustRightInd w:val="0"/>
              <w:snapToGrid w:val="0"/>
              <w:spacing w:before="70" w:after="70"/>
              <w:jc w:val="center"/>
              <w:rPr>
                <w:color w:val="auto"/>
                <w:highlight w:val="none"/>
              </w:rPr>
            </w:pPr>
          </w:p>
        </w:tc>
        <w:tc>
          <w:tcPr>
            <w:tcW w:w="1003" w:type="dxa"/>
            <w:noWrap w:val="0"/>
            <w:vAlign w:val="center"/>
          </w:tcPr>
          <w:p>
            <w:pPr>
              <w:adjustRightInd w:val="0"/>
              <w:snapToGrid w:val="0"/>
              <w:spacing w:before="70" w:after="70"/>
              <w:jc w:val="center"/>
              <w:rPr>
                <w:color w:val="auto"/>
                <w:highlight w:val="none"/>
              </w:rPr>
            </w:pPr>
          </w:p>
        </w:tc>
        <w:tc>
          <w:tcPr>
            <w:tcW w:w="794" w:type="dxa"/>
            <w:noWrap w:val="0"/>
            <w:vAlign w:val="center"/>
          </w:tcPr>
          <w:p>
            <w:pPr>
              <w:adjustRightInd w:val="0"/>
              <w:snapToGrid w:val="0"/>
              <w:spacing w:before="70" w:after="70"/>
              <w:jc w:val="center"/>
              <w:rPr>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8" w:hRule="atLeast"/>
          <w:jc w:val="center"/>
        </w:trPr>
        <w:tc>
          <w:tcPr>
            <w:tcW w:w="396" w:type="dxa"/>
            <w:noWrap w:val="0"/>
            <w:vAlign w:val="center"/>
          </w:tcPr>
          <w:p>
            <w:pPr>
              <w:adjustRightInd w:val="0"/>
              <w:snapToGrid w:val="0"/>
              <w:spacing w:before="70" w:after="70"/>
              <w:jc w:val="center"/>
              <w:rPr>
                <w:color w:val="auto"/>
                <w:highlight w:val="none"/>
              </w:rPr>
            </w:pPr>
          </w:p>
        </w:tc>
        <w:tc>
          <w:tcPr>
            <w:tcW w:w="2429" w:type="dxa"/>
            <w:noWrap w:val="0"/>
            <w:vAlign w:val="center"/>
          </w:tcPr>
          <w:p>
            <w:pPr>
              <w:adjustRightInd w:val="0"/>
              <w:snapToGrid w:val="0"/>
              <w:spacing w:before="70" w:after="70"/>
              <w:jc w:val="center"/>
              <w:rPr>
                <w:color w:val="auto"/>
                <w:highlight w:val="none"/>
              </w:rPr>
            </w:pPr>
          </w:p>
        </w:tc>
        <w:tc>
          <w:tcPr>
            <w:tcW w:w="997" w:type="dxa"/>
            <w:noWrap w:val="0"/>
            <w:vAlign w:val="top"/>
          </w:tcPr>
          <w:p>
            <w:pPr>
              <w:adjustRightInd w:val="0"/>
              <w:snapToGrid w:val="0"/>
              <w:spacing w:before="70" w:after="70"/>
              <w:jc w:val="center"/>
              <w:rPr>
                <w:color w:val="auto"/>
                <w:highlight w:val="none"/>
              </w:rPr>
            </w:pPr>
          </w:p>
        </w:tc>
        <w:tc>
          <w:tcPr>
            <w:tcW w:w="582" w:type="dxa"/>
            <w:noWrap w:val="0"/>
            <w:vAlign w:val="center"/>
          </w:tcPr>
          <w:p>
            <w:pPr>
              <w:adjustRightInd w:val="0"/>
              <w:snapToGrid w:val="0"/>
              <w:spacing w:before="70" w:after="70"/>
              <w:jc w:val="center"/>
              <w:rPr>
                <w:color w:val="auto"/>
                <w:highlight w:val="none"/>
              </w:rPr>
            </w:pPr>
          </w:p>
        </w:tc>
        <w:tc>
          <w:tcPr>
            <w:tcW w:w="984" w:type="dxa"/>
            <w:noWrap w:val="0"/>
            <w:vAlign w:val="top"/>
          </w:tcPr>
          <w:p>
            <w:pPr>
              <w:adjustRightInd w:val="0"/>
              <w:snapToGrid w:val="0"/>
              <w:spacing w:before="70" w:after="70"/>
              <w:jc w:val="center"/>
              <w:rPr>
                <w:color w:val="auto"/>
                <w:highlight w:val="none"/>
              </w:rPr>
            </w:pPr>
          </w:p>
        </w:tc>
        <w:tc>
          <w:tcPr>
            <w:tcW w:w="750" w:type="dxa"/>
            <w:noWrap w:val="0"/>
            <w:vAlign w:val="top"/>
          </w:tcPr>
          <w:p>
            <w:pPr>
              <w:adjustRightInd w:val="0"/>
              <w:snapToGrid w:val="0"/>
              <w:spacing w:before="70" w:after="70"/>
              <w:jc w:val="center"/>
              <w:rPr>
                <w:color w:val="auto"/>
                <w:highlight w:val="none"/>
              </w:rPr>
            </w:pPr>
          </w:p>
        </w:tc>
        <w:tc>
          <w:tcPr>
            <w:tcW w:w="993" w:type="dxa"/>
            <w:noWrap w:val="0"/>
            <w:vAlign w:val="center"/>
          </w:tcPr>
          <w:p>
            <w:pPr>
              <w:adjustRightInd w:val="0"/>
              <w:snapToGrid w:val="0"/>
              <w:spacing w:before="70" w:after="70"/>
              <w:jc w:val="center"/>
              <w:rPr>
                <w:color w:val="auto"/>
                <w:highlight w:val="none"/>
              </w:rPr>
            </w:pPr>
          </w:p>
        </w:tc>
        <w:tc>
          <w:tcPr>
            <w:tcW w:w="1003" w:type="dxa"/>
            <w:noWrap w:val="0"/>
            <w:vAlign w:val="center"/>
          </w:tcPr>
          <w:p>
            <w:pPr>
              <w:adjustRightInd w:val="0"/>
              <w:snapToGrid w:val="0"/>
              <w:spacing w:before="70" w:after="70"/>
              <w:jc w:val="center"/>
              <w:rPr>
                <w:color w:val="auto"/>
                <w:highlight w:val="none"/>
              </w:rPr>
            </w:pPr>
          </w:p>
        </w:tc>
        <w:tc>
          <w:tcPr>
            <w:tcW w:w="794" w:type="dxa"/>
            <w:noWrap w:val="0"/>
            <w:vAlign w:val="center"/>
          </w:tcPr>
          <w:p>
            <w:pPr>
              <w:adjustRightInd w:val="0"/>
              <w:snapToGrid w:val="0"/>
              <w:spacing w:before="70" w:after="70"/>
              <w:jc w:val="center"/>
              <w:rPr>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8" w:hRule="atLeast"/>
          <w:jc w:val="center"/>
        </w:trPr>
        <w:tc>
          <w:tcPr>
            <w:tcW w:w="396" w:type="dxa"/>
            <w:noWrap w:val="0"/>
            <w:vAlign w:val="center"/>
          </w:tcPr>
          <w:p>
            <w:pPr>
              <w:adjustRightInd w:val="0"/>
              <w:snapToGrid w:val="0"/>
              <w:spacing w:before="70" w:after="70"/>
              <w:jc w:val="center"/>
              <w:rPr>
                <w:color w:val="auto"/>
                <w:highlight w:val="none"/>
              </w:rPr>
            </w:pPr>
          </w:p>
        </w:tc>
        <w:tc>
          <w:tcPr>
            <w:tcW w:w="2429" w:type="dxa"/>
            <w:noWrap w:val="0"/>
            <w:vAlign w:val="center"/>
          </w:tcPr>
          <w:p>
            <w:pPr>
              <w:adjustRightInd w:val="0"/>
              <w:snapToGrid w:val="0"/>
              <w:spacing w:before="70" w:after="70"/>
              <w:jc w:val="center"/>
              <w:rPr>
                <w:color w:val="auto"/>
                <w:highlight w:val="none"/>
              </w:rPr>
            </w:pPr>
          </w:p>
        </w:tc>
        <w:tc>
          <w:tcPr>
            <w:tcW w:w="997" w:type="dxa"/>
            <w:noWrap w:val="0"/>
            <w:vAlign w:val="top"/>
          </w:tcPr>
          <w:p>
            <w:pPr>
              <w:adjustRightInd w:val="0"/>
              <w:snapToGrid w:val="0"/>
              <w:spacing w:before="70" w:after="70"/>
              <w:jc w:val="center"/>
              <w:rPr>
                <w:color w:val="auto"/>
                <w:highlight w:val="none"/>
              </w:rPr>
            </w:pPr>
          </w:p>
        </w:tc>
        <w:tc>
          <w:tcPr>
            <w:tcW w:w="582" w:type="dxa"/>
            <w:noWrap w:val="0"/>
            <w:vAlign w:val="center"/>
          </w:tcPr>
          <w:p>
            <w:pPr>
              <w:adjustRightInd w:val="0"/>
              <w:snapToGrid w:val="0"/>
              <w:spacing w:before="70" w:after="70"/>
              <w:jc w:val="center"/>
              <w:rPr>
                <w:color w:val="auto"/>
                <w:highlight w:val="none"/>
              </w:rPr>
            </w:pPr>
          </w:p>
        </w:tc>
        <w:tc>
          <w:tcPr>
            <w:tcW w:w="984" w:type="dxa"/>
            <w:noWrap w:val="0"/>
            <w:vAlign w:val="top"/>
          </w:tcPr>
          <w:p>
            <w:pPr>
              <w:adjustRightInd w:val="0"/>
              <w:snapToGrid w:val="0"/>
              <w:spacing w:before="70" w:after="70"/>
              <w:jc w:val="center"/>
              <w:rPr>
                <w:color w:val="auto"/>
                <w:highlight w:val="none"/>
              </w:rPr>
            </w:pPr>
          </w:p>
        </w:tc>
        <w:tc>
          <w:tcPr>
            <w:tcW w:w="750" w:type="dxa"/>
            <w:noWrap w:val="0"/>
            <w:vAlign w:val="top"/>
          </w:tcPr>
          <w:p>
            <w:pPr>
              <w:adjustRightInd w:val="0"/>
              <w:snapToGrid w:val="0"/>
              <w:spacing w:before="70" w:after="70"/>
              <w:jc w:val="center"/>
              <w:rPr>
                <w:color w:val="auto"/>
                <w:highlight w:val="none"/>
              </w:rPr>
            </w:pPr>
          </w:p>
        </w:tc>
        <w:tc>
          <w:tcPr>
            <w:tcW w:w="993" w:type="dxa"/>
            <w:noWrap w:val="0"/>
            <w:vAlign w:val="center"/>
          </w:tcPr>
          <w:p>
            <w:pPr>
              <w:adjustRightInd w:val="0"/>
              <w:snapToGrid w:val="0"/>
              <w:spacing w:before="70" w:after="70"/>
              <w:jc w:val="center"/>
              <w:rPr>
                <w:color w:val="auto"/>
                <w:highlight w:val="none"/>
              </w:rPr>
            </w:pPr>
          </w:p>
        </w:tc>
        <w:tc>
          <w:tcPr>
            <w:tcW w:w="1003" w:type="dxa"/>
            <w:noWrap w:val="0"/>
            <w:vAlign w:val="center"/>
          </w:tcPr>
          <w:p>
            <w:pPr>
              <w:adjustRightInd w:val="0"/>
              <w:snapToGrid w:val="0"/>
              <w:spacing w:before="70" w:after="70"/>
              <w:jc w:val="center"/>
              <w:rPr>
                <w:color w:val="auto"/>
                <w:highlight w:val="none"/>
              </w:rPr>
            </w:pPr>
          </w:p>
        </w:tc>
        <w:tc>
          <w:tcPr>
            <w:tcW w:w="794" w:type="dxa"/>
            <w:noWrap w:val="0"/>
            <w:vAlign w:val="center"/>
          </w:tcPr>
          <w:p>
            <w:pPr>
              <w:adjustRightInd w:val="0"/>
              <w:snapToGrid w:val="0"/>
              <w:spacing w:before="70" w:after="70"/>
              <w:jc w:val="center"/>
              <w:rPr>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8" w:hRule="atLeast"/>
          <w:jc w:val="center"/>
        </w:trPr>
        <w:tc>
          <w:tcPr>
            <w:tcW w:w="396" w:type="dxa"/>
            <w:noWrap w:val="0"/>
            <w:vAlign w:val="center"/>
          </w:tcPr>
          <w:p>
            <w:pPr>
              <w:adjustRightInd w:val="0"/>
              <w:snapToGrid w:val="0"/>
              <w:spacing w:before="70" w:after="70"/>
              <w:jc w:val="center"/>
              <w:rPr>
                <w:color w:val="auto"/>
                <w:highlight w:val="none"/>
              </w:rPr>
            </w:pPr>
          </w:p>
        </w:tc>
        <w:tc>
          <w:tcPr>
            <w:tcW w:w="2429" w:type="dxa"/>
            <w:noWrap w:val="0"/>
            <w:vAlign w:val="center"/>
          </w:tcPr>
          <w:p>
            <w:pPr>
              <w:adjustRightInd w:val="0"/>
              <w:snapToGrid w:val="0"/>
              <w:spacing w:before="70" w:after="70"/>
              <w:jc w:val="center"/>
              <w:rPr>
                <w:color w:val="auto"/>
                <w:highlight w:val="none"/>
              </w:rPr>
            </w:pPr>
          </w:p>
        </w:tc>
        <w:tc>
          <w:tcPr>
            <w:tcW w:w="997" w:type="dxa"/>
            <w:noWrap w:val="0"/>
            <w:vAlign w:val="top"/>
          </w:tcPr>
          <w:p>
            <w:pPr>
              <w:adjustRightInd w:val="0"/>
              <w:snapToGrid w:val="0"/>
              <w:spacing w:before="70" w:after="70"/>
              <w:jc w:val="center"/>
              <w:rPr>
                <w:color w:val="auto"/>
                <w:highlight w:val="none"/>
              </w:rPr>
            </w:pPr>
          </w:p>
        </w:tc>
        <w:tc>
          <w:tcPr>
            <w:tcW w:w="582" w:type="dxa"/>
            <w:noWrap w:val="0"/>
            <w:vAlign w:val="center"/>
          </w:tcPr>
          <w:p>
            <w:pPr>
              <w:adjustRightInd w:val="0"/>
              <w:snapToGrid w:val="0"/>
              <w:spacing w:before="70" w:after="70"/>
              <w:jc w:val="center"/>
              <w:rPr>
                <w:color w:val="auto"/>
                <w:highlight w:val="none"/>
              </w:rPr>
            </w:pPr>
          </w:p>
        </w:tc>
        <w:tc>
          <w:tcPr>
            <w:tcW w:w="984" w:type="dxa"/>
            <w:noWrap w:val="0"/>
            <w:vAlign w:val="top"/>
          </w:tcPr>
          <w:p>
            <w:pPr>
              <w:adjustRightInd w:val="0"/>
              <w:snapToGrid w:val="0"/>
              <w:spacing w:before="70" w:after="70"/>
              <w:jc w:val="center"/>
              <w:rPr>
                <w:color w:val="auto"/>
                <w:highlight w:val="none"/>
              </w:rPr>
            </w:pPr>
          </w:p>
        </w:tc>
        <w:tc>
          <w:tcPr>
            <w:tcW w:w="750" w:type="dxa"/>
            <w:noWrap w:val="0"/>
            <w:vAlign w:val="top"/>
          </w:tcPr>
          <w:p>
            <w:pPr>
              <w:adjustRightInd w:val="0"/>
              <w:snapToGrid w:val="0"/>
              <w:spacing w:before="70" w:after="70"/>
              <w:jc w:val="center"/>
              <w:rPr>
                <w:color w:val="auto"/>
                <w:highlight w:val="none"/>
              </w:rPr>
            </w:pPr>
          </w:p>
        </w:tc>
        <w:tc>
          <w:tcPr>
            <w:tcW w:w="993" w:type="dxa"/>
            <w:noWrap w:val="0"/>
            <w:vAlign w:val="center"/>
          </w:tcPr>
          <w:p>
            <w:pPr>
              <w:adjustRightInd w:val="0"/>
              <w:snapToGrid w:val="0"/>
              <w:spacing w:before="70" w:after="70"/>
              <w:jc w:val="center"/>
              <w:rPr>
                <w:color w:val="auto"/>
                <w:highlight w:val="none"/>
              </w:rPr>
            </w:pPr>
          </w:p>
        </w:tc>
        <w:tc>
          <w:tcPr>
            <w:tcW w:w="1003" w:type="dxa"/>
            <w:noWrap w:val="0"/>
            <w:vAlign w:val="center"/>
          </w:tcPr>
          <w:p>
            <w:pPr>
              <w:adjustRightInd w:val="0"/>
              <w:snapToGrid w:val="0"/>
              <w:spacing w:before="70" w:after="70"/>
              <w:jc w:val="center"/>
              <w:rPr>
                <w:color w:val="auto"/>
                <w:highlight w:val="none"/>
              </w:rPr>
            </w:pPr>
          </w:p>
        </w:tc>
        <w:tc>
          <w:tcPr>
            <w:tcW w:w="794" w:type="dxa"/>
            <w:noWrap w:val="0"/>
            <w:vAlign w:val="center"/>
          </w:tcPr>
          <w:p>
            <w:pPr>
              <w:adjustRightInd w:val="0"/>
              <w:snapToGrid w:val="0"/>
              <w:spacing w:before="70" w:after="70"/>
              <w:jc w:val="center"/>
              <w:rPr>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2" w:hRule="atLeast"/>
          <w:jc w:val="center"/>
        </w:trPr>
        <w:tc>
          <w:tcPr>
            <w:tcW w:w="2825" w:type="dxa"/>
            <w:gridSpan w:val="2"/>
            <w:noWrap w:val="0"/>
            <w:vAlign w:val="center"/>
          </w:tcPr>
          <w:p>
            <w:pPr>
              <w:keepNext/>
              <w:keepLines/>
              <w:adjustRightInd w:val="0"/>
              <w:snapToGrid w:val="0"/>
              <w:spacing w:before="70" w:after="70" w:line="480" w:lineRule="auto"/>
              <w:jc w:val="center"/>
              <w:rPr>
                <w:color w:val="auto"/>
                <w:highlight w:val="none"/>
              </w:rPr>
            </w:pPr>
            <w:r>
              <w:rPr>
                <w:color w:val="auto"/>
                <w:highlight w:val="none"/>
              </w:rPr>
              <w:t>规模合计</w:t>
            </w:r>
          </w:p>
        </w:tc>
        <w:tc>
          <w:tcPr>
            <w:tcW w:w="997" w:type="dxa"/>
            <w:noWrap w:val="0"/>
            <w:vAlign w:val="top"/>
          </w:tcPr>
          <w:p>
            <w:pPr>
              <w:adjustRightInd w:val="0"/>
              <w:snapToGrid w:val="0"/>
              <w:spacing w:before="70" w:after="70"/>
              <w:jc w:val="center"/>
              <w:rPr>
                <w:color w:val="auto"/>
                <w:highlight w:val="none"/>
              </w:rPr>
            </w:pPr>
          </w:p>
        </w:tc>
        <w:tc>
          <w:tcPr>
            <w:tcW w:w="582" w:type="dxa"/>
            <w:noWrap w:val="0"/>
            <w:vAlign w:val="center"/>
          </w:tcPr>
          <w:p>
            <w:pPr>
              <w:adjustRightInd w:val="0"/>
              <w:snapToGrid w:val="0"/>
              <w:spacing w:before="70" w:after="70"/>
              <w:jc w:val="center"/>
              <w:rPr>
                <w:color w:val="auto"/>
                <w:highlight w:val="none"/>
              </w:rPr>
            </w:pPr>
          </w:p>
        </w:tc>
        <w:tc>
          <w:tcPr>
            <w:tcW w:w="984" w:type="dxa"/>
            <w:noWrap w:val="0"/>
            <w:vAlign w:val="top"/>
          </w:tcPr>
          <w:p>
            <w:pPr>
              <w:adjustRightInd w:val="0"/>
              <w:snapToGrid w:val="0"/>
              <w:spacing w:before="70" w:after="70"/>
              <w:jc w:val="center"/>
              <w:rPr>
                <w:color w:val="auto"/>
                <w:highlight w:val="none"/>
              </w:rPr>
            </w:pPr>
          </w:p>
        </w:tc>
        <w:tc>
          <w:tcPr>
            <w:tcW w:w="750" w:type="dxa"/>
            <w:noWrap w:val="0"/>
            <w:vAlign w:val="top"/>
          </w:tcPr>
          <w:p>
            <w:pPr>
              <w:adjustRightInd w:val="0"/>
              <w:snapToGrid w:val="0"/>
              <w:spacing w:before="70" w:after="70"/>
              <w:jc w:val="center"/>
              <w:rPr>
                <w:color w:val="auto"/>
                <w:highlight w:val="none"/>
              </w:rPr>
            </w:pPr>
          </w:p>
        </w:tc>
        <w:tc>
          <w:tcPr>
            <w:tcW w:w="993" w:type="dxa"/>
            <w:noWrap w:val="0"/>
            <w:vAlign w:val="center"/>
          </w:tcPr>
          <w:p>
            <w:pPr>
              <w:adjustRightInd w:val="0"/>
              <w:snapToGrid w:val="0"/>
              <w:spacing w:before="70" w:after="70"/>
              <w:jc w:val="center"/>
              <w:rPr>
                <w:color w:val="auto"/>
                <w:highlight w:val="none"/>
              </w:rPr>
            </w:pPr>
          </w:p>
        </w:tc>
        <w:tc>
          <w:tcPr>
            <w:tcW w:w="1003" w:type="dxa"/>
            <w:noWrap w:val="0"/>
            <w:vAlign w:val="center"/>
          </w:tcPr>
          <w:p>
            <w:pPr>
              <w:adjustRightInd w:val="0"/>
              <w:snapToGrid w:val="0"/>
              <w:spacing w:before="70" w:after="70"/>
              <w:jc w:val="center"/>
              <w:rPr>
                <w:color w:val="auto"/>
                <w:highlight w:val="none"/>
              </w:rPr>
            </w:pPr>
          </w:p>
        </w:tc>
        <w:tc>
          <w:tcPr>
            <w:tcW w:w="794" w:type="dxa"/>
            <w:noWrap w:val="0"/>
            <w:vAlign w:val="center"/>
          </w:tcPr>
          <w:p>
            <w:pPr>
              <w:adjustRightInd w:val="0"/>
              <w:snapToGrid w:val="0"/>
              <w:spacing w:before="70" w:after="70"/>
              <w:jc w:val="center"/>
              <w:rPr>
                <w:color w:val="auto"/>
                <w:highlight w:val="none"/>
              </w:rPr>
            </w:pPr>
          </w:p>
        </w:tc>
      </w:tr>
    </w:tbl>
    <w:p>
      <w:pPr>
        <w:spacing w:line="360" w:lineRule="exact"/>
        <w:ind w:firstLine="525" w:firstLineChars="250"/>
        <w:rPr>
          <w:color w:val="auto"/>
          <w:highlight w:val="none"/>
        </w:rPr>
      </w:pPr>
    </w:p>
    <w:p>
      <w:pPr>
        <w:widowControl/>
        <w:topLinePunct w:val="0"/>
        <w:jc w:val="left"/>
        <w:rPr>
          <w:color w:val="auto"/>
          <w:highlight w:val="none"/>
        </w:rPr>
      </w:pPr>
    </w:p>
    <w:p>
      <w:pPr>
        <w:spacing w:line="360" w:lineRule="exact"/>
        <w:ind w:firstLine="525" w:firstLineChars="250"/>
        <w:rPr>
          <w:color w:val="auto"/>
          <w:highlight w:val="none"/>
        </w:rPr>
      </w:pPr>
      <w:r>
        <w:rPr>
          <w:color w:val="auto"/>
          <w:highlight w:val="none"/>
        </w:rPr>
        <w:t>2）证明材料</w:t>
      </w:r>
    </w:p>
    <w:p>
      <w:pPr>
        <w:spacing w:line="360" w:lineRule="exact"/>
        <w:ind w:firstLine="420" w:firstLineChars="200"/>
        <w:rPr>
          <w:color w:val="auto"/>
          <w:highlight w:val="none"/>
        </w:rPr>
      </w:pPr>
      <w:r>
        <w:rPr>
          <w:color w:val="auto"/>
          <w:highlight w:val="none"/>
        </w:rPr>
        <w:t>（本页应附所有列出项目的中标通知书、合同原件的关键部分的扫描件（包括封面、合同协议书、签署页（含签署日期）等），必要时将要求投标人提供合同原件。）</w:t>
      </w:r>
    </w:p>
    <w:p>
      <w:pPr>
        <w:widowControl/>
        <w:topLinePunct w:val="0"/>
        <w:spacing w:line="240" w:lineRule="auto"/>
        <w:ind w:firstLine="0" w:firstLineChars="0"/>
        <w:jc w:val="left"/>
        <w:rPr>
          <w:color w:val="auto"/>
          <w:highlight w:val="none"/>
        </w:rPr>
      </w:pPr>
      <w:r>
        <w:rPr>
          <w:color w:val="auto"/>
          <w:highlight w:val="none"/>
        </w:rPr>
        <w:br w:type="page"/>
      </w:r>
    </w:p>
    <w:p>
      <w:pPr>
        <w:widowControl/>
        <w:topLinePunct w:val="0"/>
        <w:spacing w:before="120" w:beforeLines="50"/>
        <w:rPr>
          <w:b/>
          <w:bCs/>
          <w:color w:val="auto"/>
          <w:sz w:val="21"/>
          <w:szCs w:val="21"/>
          <w:highlight w:val="none"/>
        </w:rPr>
      </w:pPr>
      <w:r>
        <w:rPr>
          <w:rFonts w:hint="eastAsia"/>
          <w:b/>
          <w:bCs/>
          <w:color w:val="auto"/>
          <w:sz w:val="21"/>
          <w:szCs w:val="21"/>
          <w:highlight w:val="none"/>
          <w:lang w:val="en-US" w:eastAsia="zh-CN"/>
        </w:rPr>
        <w:t>4</w:t>
      </w:r>
      <w:r>
        <w:rPr>
          <w:rFonts w:hint="eastAsia" w:ascii="宋体" w:hAnsi="宋体" w:eastAsia="宋体" w:cs="宋体"/>
          <w:b/>
          <w:bCs/>
          <w:color w:val="auto"/>
          <w:kern w:val="0"/>
          <w:sz w:val="21"/>
          <w:szCs w:val="21"/>
          <w:highlight w:val="none"/>
          <w:u w:val="none"/>
          <w:lang w:val="en-US" w:eastAsia="zh-CN" w:bidi="ar"/>
        </w:rPr>
        <w:t>项目关键人员</w:t>
      </w:r>
      <w:r>
        <w:rPr>
          <w:rFonts w:hint="eastAsia" w:ascii="宋体" w:hAnsi="宋体" w:eastAsia="宋体" w:cs="宋体"/>
          <w:b/>
          <w:bCs/>
          <w:color w:val="auto"/>
          <w:kern w:val="0"/>
          <w:sz w:val="21"/>
          <w:szCs w:val="21"/>
          <w:highlight w:val="none"/>
          <w:u w:val="none"/>
          <w:lang w:bidi="ar"/>
        </w:rPr>
        <w:t>简历及证明材料</w:t>
      </w:r>
    </w:p>
    <w:p>
      <w:pPr>
        <w:keepNext w:val="0"/>
        <w:keepLines w:val="0"/>
        <w:pageBreakBefore w:val="0"/>
        <w:widowControl w:val="0"/>
        <w:numPr>
          <w:ilvl w:val="0"/>
          <w:numId w:val="0"/>
        </w:numPr>
        <w:kinsoku/>
        <w:wordWrap/>
        <w:overflowPunct/>
        <w:topLinePunct w:val="0"/>
        <w:autoSpaceDE w:val="0"/>
        <w:autoSpaceDN w:val="0"/>
        <w:bidi w:val="0"/>
        <w:adjustRightInd w:val="0"/>
        <w:snapToGrid w:val="0"/>
        <w:ind w:firstLine="422" w:firstLineChars="200"/>
        <w:jc w:val="both"/>
        <w:textAlignment w:val="auto"/>
        <w:outlineLvl w:val="3"/>
        <w:rPr>
          <w:rFonts w:hint="eastAsia" w:ascii="Times New Roman" w:hAnsi="Times New Roman" w:eastAsia="宋体" w:cs="Times New Roman"/>
          <w:b/>
          <w:color w:val="auto"/>
          <w:sz w:val="21"/>
          <w:szCs w:val="21"/>
          <w:highlight w:val="none"/>
          <w:shd w:val="clear" w:color="auto" w:fill="auto"/>
          <w:lang w:val="en-US" w:eastAsia="zh-CN" w:bidi="ar"/>
        </w:rPr>
      </w:pPr>
      <w:r>
        <w:rPr>
          <w:rFonts w:hint="eastAsia" w:ascii="Times New Roman" w:hAnsi="Times New Roman" w:eastAsia="宋体" w:cs="Times New Roman"/>
          <w:b/>
          <w:color w:val="auto"/>
          <w:sz w:val="21"/>
          <w:szCs w:val="21"/>
          <w:highlight w:val="none"/>
          <w:shd w:val="clear" w:color="auto" w:fill="auto"/>
          <w:lang w:bidi="ar"/>
        </w:rPr>
        <w:t>项目关键人员业绩</w:t>
      </w:r>
      <w:r>
        <w:rPr>
          <w:rFonts w:hint="eastAsia" w:ascii="Times New Roman" w:hAnsi="Times New Roman" w:eastAsia="宋体" w:cs="Times New Roman"/>
          <w:b/>
          <w:color w:val="auto"/>
          <w:sz w:val="21"/>
          <w:szCs w:val="21"/>
          <w:highlight w:val="none"/>
          <w:shd w:val="clear" w:color="auto" w:fill="auto"/>
          <w:lang w:val="en-US" w:eastAsia="zh-CN" w:bidi="ar"/>
        </w:rPr>
        <w:t>及奖项</w:t>
      </w:r>
      <w:r>
        <w:rPr>
          <w:rFonts w:hint="eastAsia" w:ascii="Times New Roman" w:hAnsi="Times New Roman" w:eastAsia="宋体" w:cs="Times New Roman"/>
          <w:b/>
          <w:color w:val="auto"/>
          <w:sz w:val="21"/>
          <w:szCs w:val="21"/>
          <w:highlight w:val="none"/>
          <w:shd w:val="clear" w:color="auto" w:fill="auto"/>
          <w:lang w:bidi="ar"/>
        </w:rPr>
        <w:t>情况</w:t>
      </w:r>
      <w:r>
        <w:rPr>
          <w:rFonts w:hint="eastAsia" w:ascii="Times New Roman" w:hAnsi="Times New Roman" w:eastAsia="宋体" w:cs="Times New Roman"/>
          <w:b/>
          <w:bCs w:val="0"/>
          <w:i w:val="0"/>
          <w:iCs w:val="0"/>
          <w:caps w:val="0"/>
          <w:color w:val="auto"/>
          <w:spacing w:val="0"/>
          <w:sz w:val="21"/>
          <w:szCs w:val="21"/>
          <w:highlight w:val="none"/>
          <w:shd w:val="clear" w:color="auto" w:fill="auto"/>
          <w:lang w:val="en-US" w:eastAsia="zh-CN" w:bidi="ar"/>
        </w:rPr>
        <w:t>仅填写符合</w:t>
      </w:r>
      <w:r>
        <w:rPr>
          <w:rFonts w:hint="eastAsia" w:ascii="Times New Roman" w:hAnsi="Times New Roman" w:eastAsia="宋体" w:cs="Times New Roman"/>
          <w:b/>
          <w:color w:val="auto"/>
          <w:sz w:val="21"/>
          <w:szCs w:val="21"/>
          <w:highlight w:val="none"/>
          <w:shd w:val="clear" w:color="auto" w:fill="auto"/>
          <w:lang w:bidi="ar"/>
        </w:rPr>
        <w:t>第三章评标办法</w:t>
      </w:r>
      <w:r>
        <w:rPr>
          <w:rFonts w:hint="eastAsia" w:ascii="Times New Roman" w:hAnsi="Times New Roman" w:eastAsia="宋体" w:cs="Times New Roman"/>
          <w:b/>
          <w:color w:val="auto"/>
          <w:sz w:val="21"/>
          <w:szCs w:val="21"/>
          <w:highlight w:val="none"/>
          <w:shd w:val="clear" w:color="auto" w:fill="auto"/>
          <w:lang w:val="en-US" w:eastAsia="zh-CN" w:bidi="ar"/>
        </w:rPr>
        <w:t>中技术评分标准的业绩</w:t>
      </w:r>
      <w:r>
        <w:rPr>
          <w:rFonts w:hint="eastAsia" w:ascii="Times New Roman" w:hAnsi="Times New Roman" w:eastAsia="宋体" w:cs="Times New Roman"/>
          <w:b/>
          <w:bCs w:val="0"/>
          <w:color w:val="auto"/>
          <w:spacing w:val="0"/>
          <w:sz w:val="21"/>
          <w:szCs w:val="21"/>
          <w:highlight w:val="none"/>
          <w:shd w:val="clear" w:color="auto" w:fill="auto"/>
          <w:lang w:val="en-US" w:eastAsia="zh-CN" w:bidi="ar"/>
        </w:rPr>
        <w:t>，</w:t>
      </w:r>
      <w:r>
        <w:rPr>
          <w:rFonts w:hint="eastAsia" w:ascii="Times New Roman" w:hAnsi="Times New Roman" w:eastAsia="宋体" w:cs="Times New Roman"/>
          <w:b/>
          <w:i w:val="0"/>
          <w:iCs w:val="0"/>
          <w:color w:val="auto"/>
          <w:kern w:val="2"/>
          <w:sz w:val="21"/>
          <w:szCs w:val="21"/>
          <w:highlight w:val="none"/>
          <w:u w:val="none"/>
          <w:shd w:val="clear" w:color="auto" w:fill="auto"/>
          <w:lang w:val="en-US" w:eastAsia="zh-CN" w:bidi="ar"/>
        </w:rPr>
        <w:t>资质业绩技术评审清单及证明材料提供的符合</w:t>
      </w:r>
      <w:r>
        <w:rPr>
          <w:rFonts w:hint="eastAsia" w:ascii="Times New Roman" w:hAnsi="Times New Roman" w:eastAsia="宋体" w:cs="Times New Roman"/>
          <w:b/>
          <w:color w:val="auto"/>
          <w:sz w:val="21"/>
          <w:szCs w:val="21"/>
          <w:highlight w:val="none"/>
          <w:shd w:val="clear" w:color="auto" w:fill="auto"/>
          <w:lang w:val="en-US" w:eastAsia="zh-CN" w:bidi="ar"/>
        </w:rPr>
        <w:t>技术评分标准的业绩需填写在</w:t>
      </w:r>
      <w:r>
        <w:rPr>
          <w:rFonts w:hint="eastAsia" w:ascii="Times New Roman" w:hAnsi="Times New Roman" w:eastAsia="宋体" w:cs="Times New Roman"/>
          <w:b/>
          <w:color w:val="auto"/>
          <w:sz w:val="21"/>
          <w:szCs w:val="21"/>
          <w:highlight w:val="none"/>
          <w:shd w:val="clear" w:color="auto" w:fill="auto"/>
          <w:lang w:bidi="ar"/>
        </w:rPr>
        <w:t>项目情况表</w:t>
      </w:r>
      <w:r>
        <w:rPr>
          <w:rFonts w:hint="eastAsia" w:ascii="Times New Roman" w:hAnsi="Times New Roman" w:eastAsia="宋体" w:cs="Times New Roman"/>
          <w:b/>
          <w:color w:val="auto"/>
          <w:sz w:val="21"/>
          <w:szCs w:val="21"/>
          <w:highlight w:val="none"/>
          <w:shd w:val="clear" w:color="auto" w:fill="auto"/>
          <w:lang w:eastAsia="zh-CN" w:bidi="ar"/>
        </w:rPr>
        <w:t>，</w:t>
      </w:r>
      <w:r>
        <w:rPr>
          <w:rFonts w:hint="eastAsia" w:ascii="Times New Roman" w:hAnsi="Times New Roman" w:eastAsia="宋体" w:cs="Times New Roman"/>
          <w:b/>
          <w:color w:val="auto"/>
          <w:sz w:val="21"/>
          <w:szCs w:val="21"/>
          <w:highlight w:val="none"/>
          <w:shd w:val="clear" w:color="auto" w:fill="auto"/>
          <w:lang w:val="en-US" w:eastAsia="zh-CN" w:bidi="ar"/>
        </w:rPr>
        <w:t>已提供证明材料的无需重复提供证明材料。</w:t>
      </w:r>
    </w:p>
    <w:p>
      <w:pPr>
        <w:keepNext w:val="0"/>
        <w:keepLines w:val="0"/>
        <w:pageBreakBefore w:val="0"/>
        <w:widowControl w:val="0"/>
        <w:numPr>
          <w:ilvl w:val="0"/>
          <w:numId w:val="0"/>
        </w:numPr>
        <w:kinsoku/>
        <w:wordWrap/>
        <w:overflowPunct/>
        <w:topLinePunct w:val="0"/>
        <w:autoSpaceDE w:val="0"/>
        <w:autoSpaceDN w:val="0"/>
        <w:bidi w:val="0"/>
        <w:adjustRightInd w:val="0"/>
        <w:snapToGrid w:val="0"/>
        <w:ind w:firstLine="422" w:firstLineChars="200"/>
        <w:jc w:val="both"/>
        <w:textAlignment w:val="auto"/>
        <w:outlineLvl w:val="3"/>
        <w:rPr>
          <w:rFonts w:hint="eastAsia" w:ascii="Times New Roman" w:hAnsi="Times New Roman" w:eastAsia="宋体" w:cs="Times New Roman"/>
          <w:b/>
          <w:color w:val="auto"/>
          <w:sz w:val="21"/>
          <w:szCs w:val="21"/>
          <w:highlight w:val="none"/>
          <w:shd w:val="clear" w:color="auto" w:fill="auto"/>
          <w:lang w:val="en-US" w:eastAsia="zh-CN" w:bidi="ar"/>
        </w:rPr>
      </w:pPr>
    </w:p>
    <w:p>
      <w:pPr>
        <w:keepNext w:val="0"/>
        <w:keepLines w:val="0"/>
        <w:pageBreakBefore w:val="0"/>
        <w:widowControl w:val="0"/>
        <w:numPr>
          <w:ilvl w:val="0"/>
          <w:numId w:val="0"/>
        </w:numPr>
        <w:kinsoku/>
        <w:wordWrap/>
        <w:overflowPunct/>
        <w:topLinePunct w:val="0"/>
        <w:autoSpaceDE w:val="0"/>
        <w:autoSpaceDN w:val="0"/>
        <w:bidi w:val="0"/>
        <w:adjustRightInd w:val="0"/>
        <w:snapToGrid w:val="0"/>
        <w:ind w:firstLine="0" w:firstLineChars="0"/>
        <w:jc w:val="both"/>
        <w:textAlignment w:val="auto"/>
        <w:outlineLvl w:val="3"/>
        <w:rPr>
          <w:rFonts w:hint="eastAsia" w:ascii="宋体" w:hAnsi="宋体" w:eastAsia="宋体" w:cs="宋体"/>
          <w:color w:val="auto"/>
          <w:sz w:val="21"/>
          <w:szCs w:val="21"/>
          <w:highlight w:val="none"/>
          <w:lang w:val="en-US" w:eastAsia="zh-CN"/>
        </w:rPr>
      </w:pPr>
      <w:r>
        <w:rPr>
          <w:rFonts w:hint="eastAsia"/>
          <w:b/>
          <w:bCs/>
          <w:color w:val="auto"/>
          <w:sz w:val="21"/>
          <w:szCs w:val="21"/>
          <w:highlight w:val="none"/>
        </w:rPr>
        <w:t>（</w:t>
      </w:r>
      <w:r>
        <w:rPr>
          <w:rFonts w:hint="eastAsia"/>
          <w:b/>
          <w:bCs/>
          <w:color w:val="auto"/>
          <w:sz w:val="21"/>
          <w:szCs w:val="21"/>
          <w:highlight w:val="none"/>
          <w:lang w:val="en-US" w:eastAsia="zh-CN"/>
        </w:rPr>
        <w:t>1</w:t>
      </w:r>
      <w:r>
        <w:rPr>
          <w:rFonts w:hint="eastAsia"/>
          <w:b/>
          <w:bCs/>
          <w:color w:val="auto"/>
          <w:sz w:val="21"/>
          <w:szCs w:val="21"/>
          <w:highlight w:val="none"/>
        </w:rPr>
        <w:t>）项目管理机构其他人员组成表</w:t>
      </w:r>
    </w:p>
    <w:p>
      <w:pPr>
        <w:widowControl/>
        <w:spacing w:before="120" w:beforeLines="50"/>
        <w:jc w:val="center"/>
        <w:rPr>
          <w:rFonts w:eastAsia="黑体"/>
          <w:color w:val="auto"/>
          <w:highlight w:val="none"/>
        </w:rPr>
      </w:pPr>
      <w:r>
        <w:rPr>
          <w:rFonts w:hint="eastAsia" w:eastAsia="黑体"/>
          <w:color w:val="auto"/>
          <w:highlight w:val="none"/>
        </w:rPr>
        <w:t>项目管理机构其他人员组成表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826"/>
        <w:gridCol w:w="824"/>
        <w:gridCol w:w="1173"/>
        <w:gridCol w:w="1173"/>
        <w:gridCol w:w="1173"/>
        <w:gridCol w:w="1173"/>
        <w:gridCol w:w="1173"/>
        <w:gridCol w:w="10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40" w:type="dxa"/>
            <w:vMerge w:val="restart"/>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拟任职务</w:t>
            </w:r>
          </w:p>
        </w:tc>
        <w:tc>
          <w:tcPr>
            <w:tcW w:w="826" w:type="dxa"/>
            <w:vMerge w:val="restart"/>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姓名</w:t>
            </w:r>
          </w:p>
        </w:tc>
        <w:tc>
          <w:tcPr>
            <w:tcW w:w="824" w:type="dxa"/>
            <w:vMerge w:val="restart"/>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职称</w:t>
            </w:r>
          </w:p>
        </w:tc>
        <w:tc>
          <w:tcPr>
            <w:tcW w:w="5865" w:type="dxa"/>
            <w:gridSpan w:val="5"/>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执业或职业资格证明</w:t>
            </w:r>
          </w:p>
        </w:tc>
        <w:tc>
          <w:tcPr>
            <w:tcW w:w="1031" w:type="dxa"/>
            <w:vMerge w:val="restart"/>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拟任包号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40" w:type="dxa"/>
            <w:vMerge w:val="continue"/>
            <w:noWrap w:val="0"/>
            <w:vAlign w:val="center"/>
          </w:tcPr>
          <w:p>
            <w:pPr>
              <w:topLinePunct w:val="0"/>
              <w:jc w:val="center"/>
              <w:rPr>
                <w:rFonts w:ascii="Times New Roman" w:hAnsi="Times New Roman"/>
                <w:color w:val="auto"/>
                <w:highlight w:val="none"/>
              </w:rPr>
            </w:pPr>
          </w:p>
        </w:tc>
        <w:tc>
          <w:tcPr>
            <w:tcW w:w="826" w:type="dxa"/>
            <w:vMerge w:val="continue"/>
            <w:noWrap w:val="0"/>
            <w:vAlign w:val="center"/>
          </w:tcPr>
          <w:p>
            <w:pPr>
              <w:topLinePunct w:val="0"/>
              <w:jc w:val="center"/>
              <w:rPr>
                <w:rFonts w:ascii="Times New Roman" w:hAnsi="Times New Roman"/>
                <w:color w:val="auto"/>
                <w:highlight w:val="none"/>
              </w:rPr>
            </w:pPr>
          </w:p>
        </w:tc>
        <w:tc>
          <w:tcPr>
            <w:tcW w:w="824" w:type="dxa"/>
            <w:vMerge w:val="continue"/>
            <w:noWrap w:val="0"/>
            <w:vAlign w:val="center"/>
          </w:tcPr>
          <w:p>
            <w:pPr>
              <w:topLinePunct w:val="0"/>
              <w:jc w:val="center"/>
              <w:rPr>
                <w:rFonts w:ascii="Times New Roman" w:hAnsi="Times New Roman"/>
                <w:color w:val="auto"/>
                <w:highlight w:val="none"/>
              </w:rPr>
            </w:pPr>
          </w:p>
        </w:tc>
        <w:tc>
          <w:tcPr>
            <w:tcW w:w="1173" w:type="dxa"/>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证书名称</w:t>
            </w:r>
          </w:p>
        </w:tc>
        <w:tc>
          <w:tcPr>
            <w:tcW w:w="1173" w:type="dxa"/>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级别</w:t>
            </w:r>
          </w:p>
        </w:tc>
        <w:tc>
          <w:tcPr>
            <w:tcW w:w="1173" w:type="dxa"/>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证号</w:t>
            </w:r>
          </w:p>
        </w:tc>
        <w:tc>
          <w:tcPr>
            <w:tcW w:w="1173" w:type="dxa"/>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专业</w:t>
            </w:r>
          </w:p>
        </w:tc>
        <w:tc>
          <w:tcPr>
            <w:tcW w:w="1173" w:type="dxa"/>
            <w:noWrap w:val="0"/>
            <w:vAlign w:val="center"/>
          </w:tcPr>
          <w:p>
            <w:pPr>
              <w:topLinePunct w:val="0"/>
              <w:jc w:val="center"/>
              <w:rPr>
                <w:rFonts w:ascii="Times New Roman" w:hAnsi="Times New Roman"/>
                <w:b/>
                <w:color w:val="auto"/>
                <w:highlight w:val="none"/>
              </w:rPr>
            </w:pPr>
            <w:r>
              <w:rPr>
                <w:rFonts w:hint="eastAsia" w:ascii="Times New Roman" w:hAnsi="Times New Roman"/>
                <w:b/>
                <w:color w:val="auto"/>
                <w:highlight w:val="none"/>
              </w:rPr>
              <w:t>正式职工</w:t>
            </w:r>
            <w:r>
              <w:rPr>
                <w:rFonts w:ascii="Times New Roman" w:hAnsi="Times New Roman"/>
                <w:b/>
                <w:color w:val="auto"/>
                <w:highlight w:val="none"/>
              </w:rPr>
              <w:t>/</w:t>
            </w:r>
            <w:r>
              <w:rPr>
                <w:rFonts w:hint="eastAsia" w:ascii="Times New Roman" w:hAnsi="Times New Roman"/>
                <w:b/>
                <w:color w:val="auto"/>
                <w:highlight w:val="none"/>
              </w:rPr>
              <w:t>社会化用工</w:t>
            </w:r>
          </w:p>
        </w:tc>
        <w:tc>
          <w:tcPr>
            <w:tcW w:w="1031" w:type="dxa"/>
            <w:vMerge w:val="continue"/>
            <w:noWrap w:val="0"/>
            <w:vAlign w:val="center"/>
          </w:tcPr>
          <w:p>
            <w:pPr>
              <w:topLinePunct w:val="0"/>
              <w:rPr>
                <w:rFonts w:ascii="Times New Roman" w:hAnsi="Times New Roman"/>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740" w:type="dxa"/>
            <w:noWrap w:val="0"/>
            <w:vAlign w:val="center"/>
          </w:tcPr>
          <w:p>
            <w:pPr>
              <w:topLinePunct w:val="0"/>
              <w:rPr>
                <w:rFonts w:ascii="Times New Roman" w:hAnsi="Times New Roman"/>
                <w:color w:val="auto"/>
                <w:highlight w:val="none"/>
              </w:rPr>
            </w:pPr>
          </w:p>
        </w:tc>
        <w:tc>
          <w:tcPr>
            <w:tcW w:w="826" w:type="dxa"/>
            <w:noWrap w:val="0"/>
            <w:vAlign w:val="center"/>
          </w:tcPr>
          <w:p>
            <w:pPr>
              <w:topLinePunct w:val="0"/>
              <w:rPr>
                <w:rFonts w:ascii="Times New Roman" w:hAnsi="Times New Roman"/>
                <w:color w:val="auto"/>
                <w:highlight w:val="none"/>
              </w:rPr>
            </w:pPr>
          </w:p>
        </w:tc>
        <w:tc>
          <w:tcPr>
            <w:tcW w:w="824"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031" w:type="dxa"/>
            <w:noWrap w:val="0"/>
            <w:vAlign w:val="center"/>
          </w:tcPr>
          <w:p>
            <w:pPr>
              <w:topLinePunct w:val="0"/>
              <w:rPr>
                <w:rFonts w:ascii="Times New Roman" w:hAnsi="Times New Roman"/>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740" w:type="dxa"/>
            <w:noWrap w:val="0"/>
            <w:vAlign w:val="center"/>
          </w:tcPr>
          <w:p>
            <w:pPr>
              <w:topLinePunct w:val="0"/>
              <w:rPr>
                <w:rFonts w:ascii="Times New Roman" w:hAnsi="Times New Roman"/>
                <w:color w:val="auto"/>
                <w:highlight w:val="none"/>
              </w:rPr>
            </w:pPr>
          </w:p>
        </w:tc>
        <w:tc>
          <w:tcPr>
            <w:tcW w:w="826" w:type="dxa"/>
            <w:noWrap w:val="0"/>
            <w:vAlign w:val="center"/>
          </w:tcPr>
          <w:p>
            <w:pPr>
              <w:topLinePunct w:val="0"/>
              <w:rPr>
                <w:rFonts w:ascii="Times New Roman" w:hAnsi="Times New Roman"/>
                <w:color w:val="auto"/>
                <w:highlight w:val="none"/>
              </w:rPr>
            </w:pPr>
          </w:p>
        </w:tc>
        <w:tc>
          <w:tcPr>
            <w:tcW w:w="824"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031" w:type="dxa"/>
            <w:noWrap w:val="0"/>
            <w:vAlign w:val="center"/>
          </w:tcPr>
          <w:p>
            <w:pPr>
              <w:topLinePunct w:val="0"/>
              <w:rPr>
                <w:rFonts w:ascii="Times New Roman" w:hAnsi="Times New Roman"/>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40" w:type="dxa"/>
            <w:noWrap w:val="0"/>
            <w:vAlign w:val="center"/>
          </w:tcPr>
          <w:p>
            <w:pPr>
              <w:topLinePunct w:val="0"/>
              <w:rPr>
                <w:rFonts w:ascii="Times New Roman" w:hAnsi="Times New Roman"/>
                <w:color w:val="auto"/>
                <w:highlight w:val="none"/>
              </w:rPr>
            </w:pPr>
          </w:p>
        </w:tc>
        <w:tc>
          <w:tcPr>
            <w:tcW w:w="826" w:type="dxa"/>
            <w:noWrap w:val="0"/>
            <w:vAlign w:val="center"/>
          </w:tcPr>
          <w:p>
            <w:pPr>
              <w:topLinePunct w:val="0"/>
              <w:rPr>
                <w:rFonts w:ascii="Times New Roman" w:hAnsi="Times New Roman"/>
                <w:color w:val="auto"/>
                <w:highlight w:val="none"/>
              </w:rPr>
            </w:pPr>
          </w:p>
        </w:tc>
        <w:tc>
          <w:tcPr>
            <w:tcW w:w="824"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031" w:type="dxa"/>
            <w:noWrap w:val="0"/>
            <w:vAlign w:val="center"/>
          </w:tcPr>
          <w:p>
            <w:pPr>
              <w:topLinePunct w:val="0"/>
              <w:rPr>
                <w:rFonts w:ascii="Times New Roman" w:hAnsi="Times New Roman"/>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740" w:type="dxa"/>
            <w:noWrap w:val="0"/>
            <w:vAlign w:val="center"/>
          </w:tcPr>
          <w:p>
            <w:pPr>
              <w:topLinePunct w:val="0"/>
              <w:rPr>
                <w:rFonts w:ascii="Times New Roman" w:hAnsi="Times New Roman"/>
                <w:color w:val="auto"/>
                <w:highlight w:val="none"/>
              </w:rPr>
            </w:pPr>
          </w:p>
        </w:tc>
        <w:tc>
          <w:tcPr>
            <w:tcW w:w="826" w:type="dxa"/>
            <w:noWrap w:val="0"/>
            <w:vAlign w:val="center"/>
          </w:tcPr>
          <w:p>
            <w:pPr>
              <w:topLinePunct w:val="0"/>
              <w:rPr>
                <w:rFonts w:ascii="Times New Roman" w:hAnsi="Times New Roman"/>
                <w:color w:val="auto"/>
                <w:highlight w:val="none"/>
              </w:rPr>
            </w:pPr>
          </w:p>
        </w:tc>
        <w:tc>
          <w:tcPr>
            <w:tcW w:w="824"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031" w:type="dxa"/>
            <w:noWrap w:val="0"/>
            <w:vAlign w:val="center"/>
          </w:tcPr>
          <w:p>
            <w:pPr>
              <w:topLinePunct w:val="0"/>
              <w:rPr>
                <w:rFonts w:ascii="Times New Roman" w:hAnsi="Times New Roman"/>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40" w:type="dxa"/>
            <w:noWrap w:val="0"/>
            <w:vAlign w:val="center"/>
          </w:tcPr>
          <w:p>
            <w:pPr>
              <w:topLinePunct w:val="0"/>
              <w:rPr>
                <w:rFonts w:ascii="Times New Roman" w:hAnsi="Times New Roman"/>
                <w:color w:val="auto"/>
                <w:highlight w:val="none"/>
              </w:rPr>
            </w:pPr>
          </w:p>
        </w:tc>
        <w:tc>
          <w:tcPr>
            <w:tcW w:w="826" w:type="dxa"/>
            <w:noWrap w:val="0"/>
            <w:vAlign w:val="center"/>
          </w:tcPr>
          <w:p>
            <w:pPr>
              <w:topLinePunct w:val="0"/>
              <w:rPr>
                <w:rFonts w:ascii="Times New Roman" w:hAnsi="Times New Roman"/>
                <w:color w:val="auto"/>
                <w:highlight w:val="none"/>
              </w:rPr>
            </w:pPr>
          </w:p>
        </w:tc>
        <w:tc>
          <w:tcPr>
            <w:tcW w:w="824"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173" w:type="dxa"/>
            <w:noWrap w:val="0"/>
            <w:vAlign w:val="center"/>
          </w:tcPr>
          <w:p>
            <w:pPr>
              <w:topLinePunct w:val="0"/>
              <w:rPr>
                <w:rFonts w:ascii="Times New Roman" w:hAnsi="Times New Roman"/>
                <w:color w:val="auto"/>
                <w:highlight w:val="none"/>
              </w:rPr>
            </w:pPr>
          </w:p>
        </w:tc>
        <w:tc>
          <w:tcPr>
            <w:tcW w:w="1031" w:type="dxa"/>
            <w:noWrap w:val="0"/>
            <w:vAlign w:val="center"/>
          </w:tcPr>
          <w:p>
            <w:pPr>
              <w:topLinePunct w:val="0"/>
              <w:rPr>
                <w:rFonts w:ascii="Times New Roman" w:hAnsi="Times New Roman"/>
                <w:color w:val="auto"/>
                <w:highlight w:val="none"/>
              </w:rPr>
            </w:pPr>
          </w:p>
        </w:tc>
      </w:tr>
    </w:tbl>
    <w:p>
      <w:pPr>
        <w:rPr>
          <w:color w:val="auto"/>
          <w:highlight w:val="none"/>
        </w:rPr>
      </w:pPr>
      <w:r>
        <w:rPr>
          <w:rFonts w:hint="eastAsia"/>
          <w:color w:val="auto"/>
          <w:highlight w:val="none"/>
        </w:rPr>
        <w:t>注：本表应包含投标人拟任的除项目负责人人员以外的角色配置情况，例如项目部安全员等。</w:t>
      </w:r>
    </w:p>
    <w:p>
      <w:pPr>
        <w:spacing w:before="120" w:beforeLines="50" w:after="120" w:afterLines="50" w:line="360" w:lineRule="auto"/>
        <w:rPr>
          <w:color w:val="auto"/>
          <w:sz w:val="24"/>
          <w:highlight w:val="none"/>
        </w:rPr>
      </w:pPr>
    </w:p>
    <w:p>
      <w:pPr>
        <w:widowControl/>
        <w:jc w:val="left"/>
        <w:rPr>
          <w:color w:val="auto"/>
          <w:sz w:val="24"/>
          <w:highlight w:val="none"/>
        </w:rPr>
      </w:pPr>
      <w:r>
        <w:rPr>
          <w:color w:val="auto"/>
          <w:sz w:val="24"/>
          <w:highlight w:val="none"/>
        </w:rPr>
        <w:br w:type="page"/>
      </w:r>
    </w:p>
    <w:p>
      <w:pPr>
        <w:widowControl/>
        <w:spacing w:before="120" w:beforeLines="50"/>
        <w:rPr>
          <w:b/>
          <w:bCs/>
          <w:color w:val="auto"/>
          <w:sz w:val="21"/>
          <w:szCs w:val="21"/>
          <w:highlight w:val="none"/>
        </w:rPr>
      </w:pPr>
      <w:r>
        <w:rPr>
          <w:rFonts w:hint="eastAsia"/>
          <w:b/>
          <w:bCs/>
          <w:color w:val="auto"/>
          <w:sz w:val="21"/>
          <w:szCs w:val="21"/>
          <w:highlight w:val="none"/>
        </w:rPr>
        <w:t>（</w:t>
      </w:r>
      <w:r>
        <w:rPr>
          <w:rFonts w:hint="eastAsia"/>
          <w:b/>
          <w:bCs/>
          <w:color w:val="auto"/>
          <w:sz w:val="21"/>
          <w:szCs w:val="21"/>
          <w:highlight w:val="none"/>
          <w:lang w:val="en-US" w:eastAsia="zh-CN"/>
        </w:rPr>
        <w:t>2</w:t>
      </w:r>
      <w:r>
        <w:rPr>
          <w:rFonts w:hint="eastAsia"/>
          <w:b/>
          <w:bCs/>
          <w:color w:val="auto"/>
          <w:sz w:val="21"/>
          <w:szCs w:val="21"/>
          <w:highlight w:val="none"/>
        </w:rPr>
        <w:t>）项目关键人员简历及证明材料</w:t>
      </w:r>
    </w:p>
    <w:p>
      <w:pPr>
        <w:adjustRightInd w:val="0"/>
        <w:spacing w:line="360" w:lineRule="exact"/>
        <w:rPr>
          <w:color w:val="auto"/>
          <w:highlight w:val="none"/>
        </w:rPr>
      </w:pPr>
    </w:p>
    <w:p>
      <w:pPr>
        <w:adjustRightInd w:val="0"/>
        <w:spacing w:line="360" w:lineRule="exact"/>
        <w:rPr>
          <w:color w:val="auto"/>
          <w:highlight w:val="none"/>
        </w:rPr>
      </w:pPr>
      <w:r>
        <w:rPr>
          <w:color w:val="auto"/>
          <w:highlight w:val="none"/>
        </w:rPr>
        <w:t>1</w:t>
      </w:r>
      <w:r>
        <w:rPr>
          <w:rFonts w:hint="eastAsia"/>
          <w:color w:val="auto"/>
          <w:highlight w:val="none"/>
        </w:rPr>
        <w:t>）项目经理简历及证明材料</w:t>
      </w:r>
    </w:p>
    <w:p>
      <w:pPr>
        <w:widowControl/>
        <w:spacing w:before="120" w:beforeLines="50"/>
        <w:ind w:firstLine="422"/>
        <w:jc w:val="center"/>
        <w:rPr>
          <w:b/>
          <w:bCs/>
          <w:color w:val="auto"/>
          <w:highlight w:val="none"/>
        </w:rPr>
      </w:pPr>
      <w:r>
        <w:rPr>
          <w:rFonts w:hint="eastAsia"/>
          <w:b/>
          <w:bCs/>
          <w:color w:val="auto"/>
          <w:highlight w:val="none"/>
        </w:rPr>
        <w:t>项目经理简历表</w:t>
      </w:r>
    </w:p>
    <w:tbl>
      <w:tblPr>
        <w:tblStyle w:val="19"/>
        <w:tblW w:w="0" w:type="auto"/>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339"/>
        <w:gridCol w:w="164"/>
        <w:gridCol w:w="1345"/>
        <w:gridCol w:w="2173"/>
        <w:gridCol w:w="1182"/>
        <w:gridCol w:w="430"/>
        <w:gridCol w:w="1499"/>
        <w:gridCol w:w="1088"/>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13" w:type="dxa"/>
            <w:gridSpan w:val="8"/>
            <w:noWrap w:val="0"/>
            <w:vAlign w:val="center"/>
          </w:tcPr>
          <w:p>
            <w:pPr>
              <w:jc w:val="center"/>
              <w:rPr>
                <w:rFonts w:ascii="Times New Roman" w:hAnsi="Times New Roman"/>
                <w:b/>
                <w:color w:val="auto"/>
                <w:sz w:val="18"/>
                <w:highlight w:val="none"/>
              </w:rPr>
            </w:pPr>
            <w:r>
              <w:rPr>
                <w:rFonts w:hint="eastAsia" w:ascii="Times New Roman" w:hAnsi="Times New Roman"/>
                <w:b/>
                <w:color w:val="auto"/>
                <w:sz w:val="18"/>
                <w:highlight w:val="none"/>
              </w:rPr>
              <w:t>项目经理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503" w:type="dxa"/>
            <w:gridSpan w:val="2"/>
            <w:noWrap w:val="0"/>
            <w:vAlign w:val="center"/>
          </w:tcPr>
          <w:p>
            <w:pPr>
              <w:ind w:left="780" w:leftChars="200" w:hanging="360" w:hangingChars="200"/>
              <w:jc w:val="center"/>
              <w:rPr>
                <w:rFonts w:ascii="Times New Roman" w:hAnsi="Times New Roman"/>
                <w:color w:val="auto"/>
                <w:sz w:val="18"/>
                <w:highlight w:val="none"/>
              </w:rPr>
            </w:pPr>
            <w:r>
              <w:rPr>
                <w:rFonts w:hint="eastAsia" w:ascii="Times New Roman" w:hAnsi="Times New Roman"/>
                <w:color w:val="auto"/>
                <w:sz w:val="18"/>
                <w:highlight w:val="none"/>
              </w:rPr>
              <w:t>姓名</w:t>
            </w:r>
          </w:p>
        </w:tc>
        <w:tc>
          <w:tcPr>
            <w:tcW w:w="1345" w:type="dxa"/>
            <w:noWrap w:val="0"/>
            <w:vAlign w:val="center"/>
          </w:tcPr>
          <w:p>
            <w:pPr>
              <w:rPr>
                <w:rFonts w:ascii="Times New Roman" w:hAnsi="Times New Roman"/>
                <w:color w:val="auto"/>
                <w:sz w:val="18"/>
                <w:highlight w:val="none"/>
              </w:rPr>
            </w:pPr>
          </w:p>
        </w:tc>
        <w:tc>
          <w:tcPr>
            <w:tcW w:w="2173" w:type="dxa"/>
            <w:noWrap w:val="0"/>
            <w:vAlign w:val="center"/>
          </w:tcPr>
          <w:p>
            <w:pPr>
              <w:ind w:left="780" w:leftChars="200" w:hanging="360" w:hangingChars="200"/>
              <w:jc w:val="center"/>
              <w:rPr>
                <w:rFonts w:ascii="Times New Roman" w:hAnsi="Times New Roman"/>
                <w:color w:val="auto"/>
                <w:sz w:val="18"/>
                <w:highlight w:val="none"/>
              </w:rPr>
            </w:pPr>
            <w:r>
              <w:rPr>
                <w:rFonts w:hint="eastAsia" w:ascii="Times New Roman" w:hAnsi="Times New Roman"/>
                <w:color w:val="auto"/>
                <w:sz w:val="18"/>
                <w:highlight w:val="none"/>
              </w:rPr>
              <w:t>身份证号</w:t>
            </w:r>
          </w:p>
        </w:tc>
        <w:tc>
          <w:tcPr>
            <w:tcW w:w="1182" w:type="dxa"/>
            <w:noWrap w:val="0"/>
            <w:vAlign w:val="center"/>
          </w:tcPr>
          <w:p>
            <w:pPr>
              <w:jc w:val="center"/>
              <w:rPr>
                <w:rFonts w:ascii="Times New Roman" w:hAnsi="Times New Roman"/>
                <w:color w:val="auto"/>
                <w:sz w:val="18"/>
                <w:highlight w:val="none"/>
              </w:rPr>
            </w:pPr>
          </w:p>
        </w:tc>
        <w:tc>
          <w:tcPr>
            <w:tcW w:w="1929" w:type="dxa"/>
            <w:gridSpan w:val="2"/>
            <w:noWrap w:val="0"/>
            <w:vAlign w:val="center"/>
          </w:tcPr>
          <w:p>
            <w:pPr>
              <w:ind w:left="780" w:leftChars="200" w:hanging="360" w:hangingChars="200"/>
              <w:jc w:val="center"/>
              <w:rPr>
                <w:rFonts w:ascii="Times New Roman" w:hAnsi="Times New Roman"/>
                <w:color w:val="auto"/>
                <w:sz w:val="18"/>
                <w:highlight w:val="none"/>
              </w:rPr>
            </w:pPr>
            <w:r>
              <w:rPr>
                <w:rFonts w:hint="eastAsia" w:ascii="Times New Roman" w:hAnsi="Times New Roman"/>
                <w:color w:val="auto"/>
                <w:sz w:val="18"/>
                <w:highlight w:val="none"/>
              </w:rPr>
              <w:t>学历</w:t>
            </w:r>
          </w:p>
        </w:tc>
        <w:tc>
          <w:tcPr>
            <w:tcW w:w="1081" w:type="dxa"/>
            <w:noWrap w:val="0"/>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503" w:type="dxa"/>
            <w:gridSpan w:val="2"/>
            <w:noWrap w:val="0"/>
            <w:vAlign w:val="center"/>
          </w:tcPr>
          <w:p>
            <w:pPr>
              <w:ind w:left="780" w:leftChars="200" w:hanging="360" w:hangingChars="200"/>
              <w:jc w:val="center"/>
              <w:rPr>
                <w:rFonts w:ascii="Times New Roman" w:hAnsi="Times New Roman"/>
                <w:color w:val="auto"/>
                <w:sz w:val="18"/>
                <w:highlight w:val="none"/>
              </w:rPr>
            </w:pPr>
            <w:r>
              <w:rPr>
                <w:rFonts w:hint="eastAsia" w:ascii="Times New Roman" w:hAnsi="Times New Roman"/>
                <w:color w:val="auto"/>
                <w:sz w:val="18"/>
                <w:highlight w:val="none"/>
              </w:rPr>
              <w:t>职称</w:t>
            </w:r>
          </w:p>
        </w:tc>
        <w:tc>
          <w:tcPr>
            <w:tcW w:w="1345" w:type="dxa"/>
            <w:noWrap w:val="0"/>
            <w:vAlign w:val="center"/>
          </w:tcPr>
          <w:p>
            <w:pPr>
              <w:rPr>
                <w:rFonts w:ascii="Times New Roman" w:hAnsi="Times New Roman"/>
                <w:color w:val="auto"/>
                <w:sz w:val="18"/>
                <w:highlight w:val="none"/>
              </w:rPr>
            </w:pPr>
          </w:p>
        </w:tc>
        <w:tc>
          <w:tcPr>
            <w:tcW w:w="2173" w:type="dxa"/>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资格证书</w:t>
            </w:r>
          </w:p>
        </w:tc>
        <w:tc>
          <w:tcPr>
            <w:tcW w:w="1182" w:type="dxa"/>
            <w:noWrap w:val="0"/>
            <w:vAlign w:val="center"/>
          </w:tcPr>
          <w:p>
            <w:pPr>
              <w:jc w:val="center"/>
              <w:rPr>
                <w:rFonts w:ascii="Times New Roman" w:hAnsi="Times New Roman"/>
                <w:color w:val="auto"/>
                <w:sz w:val="18"/>
                <w:highlight w:val="none"/>
              </w:rPr>
            </w:pPr>
          </w:p>
        </w:tc>
        <w:tc>
          <w:tcPr>
            <w:tcW w:w="1929" w:type="dxa"/>
            <w:gridSpan w:val="2"/>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证书编号</w:t>
            </w:r>
          </w:p>
        </w:tc>
        <w:tc>
          <w:tcPr>
            <w:tcW w:w="1081" w:type="dxa"/>
            <w:noWrap w:val="0"/>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503" w:type="dxa"/>
            <w:gridSpan w:val="2"/>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计划入场时间</w:t>
            </w:r>
          </w:p>
        </w:tc>
        <w:tc>
          <w:tcPr>
            <w:tcW w:w="1345" w:type="dxa"/>
            <w:noWrap w:val="0"/>
            <w:vAlign w:val="center"/>
          </w:tcPr>
          <w:p>
            <w:pPr>
              <w:rPr>
                <w:rFonts w:ascii="Times New Roman" w:hAnsi="Times New Roman"/>
                <w:color w:val="auto"/>
                <w:sz w:val="18"/>
                <w:highlight w:val="none"/>
              </w:rPr>
            </w:pPr>
          </w:p>
        </w:tc>
        <w:tc>
          <w:tcPr>
            <w:tcW w:w="2173" w:type="dxa"/>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计划退场时间</w:t>
            </w:r>
          </w:p>
        </w:tc>
        <w:tc>
          <w:tcPr>
            <w:tcW w:w="1182" w:type="dxa"/>
            <w:noWrap w:val="0"/>
            <w:vAlign w:val="center"/>
          </w:tcPr>
          <w:p>
            <w:pPr>
              <w:jc w:val="center"/>
              <w:rPr>
                <w:rFonts w:ascii="Times New Roman" w:hAnsi="Times New Roman"/>
                <w:color w:val="auto"/>
                <w:sz w:val="18"/>
                <w:highlight w:val="none"/>
              </w:rPr>
            </w:pPr>
          </w:p>
        </w:tc>
        <w:tc>
          <w:tcPr>
            <w:tcW w:w="1929" w:type="dxa"/>
            <w:gridSpan w:val="2"/>
            <w:noWrap w:val="0"/>
            <w:vAlign w:val="center"/>
          </w:tcPr>
          <w:p>
            <w:pPr>
              <w:jc w:val="center"/>
              <w:rPr>
                <w:rFonts w:ascii="Times New Roman" w:hAnsi="Times New Roman"/>
                <w:color w:val="auto"/>
                <w:sz w:val="18"/>
                <w:highlight w:val="none"/>
              </w:rPr>
            </w:pPr>
          </w:p>
        </w:tc>
        <w:tc>
          <w:tcPr>
            <w:tcW w:w="1081" w:type="dxa"/>
            <w:noWrap w:val="0"/>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13" w:type="dxa"/>
            <w:gridSpan w:val="8"/>
            <w:tcBorders>
              <w:bottom w:val="single" w:color="000000" w:sz="4" w:space="0"/>
            </w:tcBorders>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主要业绩</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39" w:type="dxa"/>
            <w:tcBorders>
              <w:top w:val="single" w:color="000000" w:sz="4" w:space="0"/>
              <w:bottom w:val="single" w:color="000000" w:sz="4" w:space="0"/>
            </w:tcBorders>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起止时间</w:t>
            </w:r>
          </w:p>
        </w:tc>
        <w:tc>
          <w:tcPr>
            <w:tcW w:w="3682" w:type="dxa"/>
            <w:gridSpan w:val="3"/>
            <w:tcBorders>
              <w:top w:val="single" w:color="000000" w:sz="4" w:space="0"/>
              <w:bottom w:val="single" w:color="000000" w:sz="4" w:space="0"/>
            </w:tcBorders>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工程名称</w:t>
            </w:r>
          </w:p>
        </w:tc>
        <w:tc>
          <w:tcPr>
            <w:tcW w:w="1612" w:type="dxa"/>
            <w:gridSpan w:val="2"/>
            <w:tcBorders>
              <w:top w:val="single" w:color="000000" w:sz="4" w:space="0"/>
              <w:bottom w:val="single" w:color="000000" w:sz="4" w:space="0"/>
              <w:right w:val="single" w:color="auto" w:sz="4" w:space="0"/>
            </w:tcBorders>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工程规模</w:t>
            </w:r>
          </w:p>
        </w:tc>
        <w:tc>
          <w:tcPr>
            <w:tcW w:w="1492" w:type="dxa"/>
            <w:tcBorders>
              <w:top w:val="single" w:color="000000" w:sz="4" w:space="0"/>
              <w:left w:val="single" w:color="auto" w:sz="4" w:space="0"/>
              <w:bottom w:val="single" w:color="000000" w:sz="4" w:space="0"/>
            </w:tcBorders>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工作内容</w:t>
            </w:r>
          </w:p>
        </w:tc>
        <w:tc>
          <w:tcPr>
            <w:tcW w:w="1088" w:type="dxa"/>
            <w:tcBorders>
              <w:top w:val="single" w:color="000000" w:sz="4" w:space="0"/>
              <w:bottom w:val="single" w:color="000000" w:sz="4" w:space="0"/>
            </w:tcBorders>
            <w:noWrap w:val="0"/>
            <w:vAlign w:val="center"/>
          </w:tcPr>
          <w:p>
            <w:pPr>
              <w:adjustRightInd w:val="0"/>
              <w:spacing w:line="312" w:lineRule="atLeast"/>
              <w:jc w:val="center"/>
              <w:textAlignment w:val="baseline"/>
              <w:rPr>
                <w:rFonts w:ascii="Times New Roman" w:hAnsi="Times New Roman"/>
                <w:color w:val="auto"/>
                <w:sz w:val="18"/>
                <w:highlight w:val="none"/>
              </w:rPr>
            </w:pPr>
            <w:r>
              <w:rPr>
                <w:rFonts w:hint="eastAsia" w:ascii="Times New Roman" w:hAnsi="Times New Roman"/>
                <w:color w:val="auto"/>
                <w:sz w:val="18"/>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39" w:type="dxa"/>
            <w:tcBorders>
              <w:top w:val="single" w:color="000000" w:sz="4" w:space="0"/>
              <w:bottom w:val="single" w:color="000000" w:sz="4" w:space="0"/>
            </w:tcBorders>
            <w:noWrap w:val="0"/>
            <w:vAlign w:val="center"/>
          </w:tcPr>
          <w:p>
            <w:pPr>
              <w:rPr>
                <w:rFonts w:ascii="Times New Roman" w:hAnsi="Times New Roman"/>
                <w:color w:val="auto"/>
                <w:sz w:val="18"/>
                <w:highlight w:val="none"/>
              </w:rPr>
            </w:pPr>
          </w:p>
        </w:tc>
        <w:tc>
          <w:tcPr>
            <w:tcW w:w="3682" w:type="dxa"/>
            <w:gridSpan w:val="3"/>
            <w:tcBorders>
              <w:top w:val="single" w:color="000000" w:sz="4" w:space="0"/>
              <w:bottom w:val="single" w:color="000000" w:sz="4" w:space="0"/>
            </w:tcBorders>
            <w:noWrap w:val="0"/>
            <w:vAlign w:val="center"/>
          </w:tcPr>
          <w:p>
            <w:pPr>
              <w:rPr>
                <w:rFonts w:ascii="Times New Roman" w:hAnsi="Times New Roman"/>
                <w:color w:val="auto"/>
                <w:sz w:val="18"/>
                <w:highlight w:val="none"/>
              </w:rPr>
            </w:pPr>
          </w:p>
        </w:tc>
        <w:tc>
          <w:tcPr>
            <w:tcW w:w="1612" w:type="dxa"/>
            <w:gridSpan w:val="2"/>
            <w:tcBorders>
              <w:top w:val="single" w:color="000000" w:sz="4" w:space="0"/>
              <w:bottom w:val="single" w:color="000000" w:sz="4" w:space="0"/>
              <w:right w:val="single" w:color="auto" w:sz="4" w:space="0"/>
            </w:tcBorders>
            <w:noWrap w:val="0"/>
            <w:vAlign w:val="center"/>
          </w:tcPr>
          <w:p>
            <w:pPr>
              <w:rPr>
                <w:rFonts w:ascii="Times New Roman" w:hAnsi="Times New Roman"/>
                <w:color w:val="auto"/>
                <w:sz w:val="18"/>
                <w:highlight w:val="none"/>
              </w:rPr>
            </w:pPr>
          </w:p>
        </w:tc>
        <w:tc>
          <w:tcPr>
            <w:tcW w:w="1492" w:type="dxa"/>
            <w:tcBorders>
              <w:top w:val="single" w:color="000000" w:sz="4" w:space="0"/>
              <w:left w:val="single" w:color="auto" w:sz="4" w:space="0"/>
              <w:bottom w:val="single" w:color="000000" w:sz="4" w:space="0"/>
            </w:tcBorders>
            <w:noWrap w:val="0"/>
            <w:vAlign w:val="center"/>
          </w:tcPr>
          <w:p>
            <w:pPr>
              <w:rPr>
                <w:rFonts w:ascii="Times New Roman" w:hAnsi="Times New Roman"/>
                <w:color w:val="auto"/>
                <w:sz w:val="18"/>
                <w:highlight w:val="none"/>
              </w:rPr>
            </w:pPr>
          </w:p>
        </w:tc>
        <w:tc>
          <w:tcPr>
            <w:tcW w:w="1088" w:type="dxa"/>
            <w:tcBorders>
              <w:top w:val="single" w:color="000000" w:sz="4" w:space="0"/>
              <w:bottom w:val="single" w:color="000000" w:sz="4" w:space="0"/>
            </w:tcBorders>
            <w:noWrap w:val="0"/>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39" w:type="dxa"/>
            <w:tcBorders>
              <w:top w:val="single" w:color="000000" w:sz="4" w:space="0"/>
              <w:bottom w:val="single" w:color="auto" w:sz="4" w:space="0"/>
            </w:tcBorders>
            <w:noWrap w:val="0"/>
            <w:vAlign w:val="center"/>
          </w:tcPr>
          <w:p>
            <w:pPr>
              <w:rPr>
                <w:rFonts w:ascii="Times New Roman" w:hAnsi="Times New Roman"/>
                <w:color w:val="auto"/>
                <w:sz w:val="18"/>
                <w:highlight w:val="none"/>
              </w:rPr>
            </w:pPr>
          </w:p>
        </w:tc>
        <w:tc>
          <w:tcPr>
            <w:tcW w:w="3682" w:type="dxa"/>
            <w:gridSpan w:val="3"/>
            <w:tcBorders>
              <w:top w:val="single" w:color="000000" w:sz="4" w:space="0"/>
              <w:bottom w:val="single" w:color="auto" w:sz="4" w:space="0"/>
            </w:tcBorders>
            <w:noWrap w:val="0"/>
            <w:vAlign w:val="center"/>
          </w:tcPr>
          <w:p>
            <w:pPr>
              <w:rPr>
                <w:rFonts w:ascii="Times New Roman" w:hAnsi="Times New Roman"/>
                <w:color w:val="auto"/>
                <w:sz w:val="18"/>
                <w:highlight w:val="none"/>
              </w:rPr>
            </w:pPr>
          </w:p>
        </w:tc>
        <w:tc>
          <w:tcPr>
            <w:tcW w:w="1612" w:type="dxa"/>
            <w:gridSpan w:val="2"/>
            <w:tcBorders>
              <w:top w:val="single" w:color="000000" w:sz="4" w:space="0"/>
              <w:bottom w:val="single" w:color="auto" w:sz="4" w:space="0"/>
              <w:right w:val="single" w:color="auto" w:sz="4" w:space="0"/>
            </w:tcBorders>
            <w:noWrap w:val="0"/>
            <w:vAlign w:val="center"/>
          </w:tcPr>
          <w:p>
            <w:pPr>
              <w:rPr>
                <w:rFonts w:ascii="Times New Roman" w:hAnsi="Times New Roman"/>
                <w:color w:val="auto"/>
                <w:sz w:val="18"/>
                <w:highlight w:val="none"/>
              </w:rPr>
            </w:pPr>
          </w:p>
        </w:tc>
        <w:tc>
          <w:tcPr>
            <w:tcW w:w="1492" w:type="dxa"/>
            <w:tcBorders>
              <w:top w:val="single" w:color="000000" w:sz="4" w:space="0"/>
              <w:left w:val="single" w:color="auto" w:sz="4" w:space="0"/>
              <w:bottom w:val="single" w:color="auto" w:sz="4" w:space="0"/>
            </w:tcBorders>
            <w:noWrap w:val="0"/>
            <w:vAlign w:val="center"/>
          </w:tcPr>
          <w:p>
            <w:pPr>
              <w:rPr>
                <w:rFonts w:ascii="Times New Roman" w:hAnsi="Times New Roman"/>
                <w:color w:val="auto"/>
                <w:sz w:val="18"/>
                <w:highlight w:val="none"/>
              </w:rPr>
            </w:pPr>
          </w:p>
        </w:tc>
        <w:tc>
          <w:tcPr>
            <w:tcW w:w="1088" w:type="dxa"/>
            <w:tcBorders>
              <w:top w:val="single" w:color="000000" w:sz="4" w:space="0"/>
              <w:bottom w:val="single" w:color="auto" w:sz="4" w:space="0"/>
            </w:tcBorders>
            <w:noWrap w:val="0"/>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39" w:type="dxa"/>
            <w:tcBorders>
              <w:top w:val="single" w:color="000000" w:sz="4" w:space="0"/>
              <w:bottom w:val="single" w:color="auto" w:sz="4" w:space="0"/>
            </w:tcBorders>
            <w:noWrap w:val="0"/>
            <w:vAlign w:val="center"/>
          </w:tcPr>
          <w:p>
            <w:pPr>
              <w:rPr>
                <w:rFonts w:ascii="Times New Roman" w:hAnsi="Times New Roman"/>
                <w:color w:val="auto"/>
                <w:sz w:val="18"/>
                <w:highlight w:val="none"/>
              </w:rPr>
            </w:pPr>
          </w:p>
        </w:tc>
        <w:tc>
          <w:tcPr>
            <w:tcW w:w="3682" w:type="dxa"/>
            <w:gridSpan w:val="3"/>
            <w:tcBorders>
              <w:top w:val="single" w:color="000000" w:sz="4" w:space="0"/>
              <w:bottom w:val="single" w:color="auto" w:sz="4" w:space="0"/>
            </w:tcBorders>
            <w:noWrap w:val="0"/>
            <w:vAlign w:val="center"/>
          </w:tcPr>
          <w:p>
            <w:pPr>
              <w:rPr>
                <w:rFonts w:ascii="Times New Roman" w:hAnsi="Times New Roman"/>
                <w:color w:val="auto"/>
                <w:sz w:val="18"/>
                <w:highlight w:val="none"/>
              </w:rPr>
            </w:pPr>
          </w:p>
        </w:tc>
        <w:tc>
          <w:tcPr>
            <w:tcW w:w="1612" w:type="dxa"/>
            <w:gridSpan w:val="2"/>
            <w:tcBorders>
              <w:top w:val="single" w:color="000000" w:sz="4" w:space="0"/>
              <w:bottom w:val="single" w:color="auto" w:sz="4" w:space="0"/>
              <w:right w:val="single" w:color="auto" w:sz="4" w:space="0"/>
            </w:tcBorders>
            <w:noWrap w:val="0"/>
            <w:vAlign w:val="center"/>
          </w:tcPr>
          <w:p>
            <w:pPr>
              <w:rPr>
                <w:rFonts w:ascii="Times New Roman" w:hAnsi="Times New Roman"/>
                <w:color w:val="auto"/>
                <w:sz w:val="18"/>
                <w:highlight w:val="none"/>
              </w:rPr>
            </w:pPr>
          </w:p>
        </w:tc>
        <w:tc>
          <w:tcPr>
            <w:tcW w:w="1492" w:type="dxa"/>
            <w:tcBorders>
              <w:top w:val="single" w:color="000000" w:sz="4" w:space="0"/>
              <w:left w:val="single" w:color="auto" w:sz="4" w:space="0"/>
              <w:bottom w:val="single" w:color="auto" w:sz="4" w:space="0"/>
            </w:tcBorders>
            <w:noWrap w:val="0"/>
            <w:vAlign w:val="center"/>
          </w:tcPr>
          <w:p>
            <w:pPr>
              <w:rPr>
                <w:rFonts w:ascii="Times New Roman" w:hAnsi="Times New Roman"/>
                <w:color w:val="auto"/>
                <w:sz w:val="18"/>
                <w:highlight w:val="none"/>
              </w:rPr>
            </w:pPr>
          </w:p>
        </w:tc>
        <w:tc>
          <w:tcPr>
            <w:tcW w:w="1088" w:type="dxa"/>
            <w:tcBorders>
              <w:top w:val="single" w:color="000000" w:sz="4" w:space="0"/>
              <w:bottom w:val="single" w:color="auto" w:sz="4" w:space="0"/>
            </w:tcBorders>
            <w:noWrap w:val="0"/>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39" w:type="dxa"/>
            <w:tcBorders>
              <w:top w:val="single" w:color="000000" w:sz="4" w:space="0"/>
              <w:bottom w:val="single" w:color="auto" w:sz="4" w:space="0"/>
            </w:tcBorders>
            <w:noWrap w:val="0"/>
            <w:vAlign w:val="center"/>
          </w:tcPr>
          <w:p>
            <w:pPr>
              <w:rPr>
                <w:rFonts w:ascii="Times New Roman" w:hAnsi="Times New Roman"/>
                <w:color w:val="auto"/>
                <w:sz w:val="18"/>
                <w:highlight w:val="none"/>
              </w:rPr>
            </w:pPr>
          </w:p>
        </w:tc>
        <w:tc>
          <w:tcPr>
            <w:tcW w:w="3682" w:type="dxa"/>
            <w:gridSpan w:val="3"/>
            <w:tcBorders>
              <w:top w:val="single" w:color="000000" w:sz="4" w:space="0"/>
              <w:bottom w:val="single" w:color="auto" w:sz="4" w:space="0"/>
            </w:tcBorders>
            <w:noWrap w:val="0"/>
            <w:vAlign w:val="center"/>
          </w:tcPr>
          <w:p>
            <w:pPr>
              <w:rPr>
                <w:rFonts w:ascii="Times New Roman" w:hAnsi="Times New Roman"/>
                <w:color w:val="auto"/>
                <w:sz w:val="18"/>
                <w:highlight w:val="none"/>
              </w:rPr>
            </w:pPr>
          </w:p>
        </w:tc>
        <w:tc>
          <w:tcPr>
            <w:tcW w:w="1612" w:type="dxa"/>
            <w:gridSpan w:val="2"/>
            <w:tcBorders>
              <w:top w:val="single" w:color="000000" w:sz="4" w:space="0"/>
              <w:bottom w:val="single" w:color="auto" w:sz="4" w:space="0"/>
              <w:right w:val="single" w:color="auto" w:sz="4" w:space="0"/>
            </w:tcBorders>
            <w:noWrap w:val="0"/>
            <w:vAlign w:val="center"/>
          </w:tcPr>
          <w:p>
            <w:pPr>
              <w:rPr>
                <w:rFonts w:ascii="Times New Roman" w:hAnsi="Times New Roman"/>
                <w:color w:val="auto"/>
                <w:sz w:val="18"/>
                <w:highlight w:val="none"/>
              </w:rPr>
            </w:pPr>
          </w:p>
        </w:tc>
        <w:tc>
          <w:tcPr>
            <w:tcW w:w="1492" w:type="dxa"/>
            <w:tcBorders>
              <w:top w:val="single" w:color="000000" w:sz="4" w:space="0"/>
              <w:left w:val="single" w:color="auto" w:sz="4" w:space="0"/>
              <w:bottom w:val="single" w:color="auto" w:sz="4" w:space="0"/>
            </w:tcBorders>
            <w:noWrap w:val="0"/>
            <w:vAlign w:val="center"/>
          </w:tcPr>
          <w:p>
            <w:pPr>
              <w:rPr>
                <w:rFonts w:ascii="Times New Roman" w:hAnsi="Times New Roman"/>
                <w:color w:val="auto"/>
                <w:sz w:val="18"/>
                <w:highlight w:val="none"/>
              </w:rPr>
            </w:pPr>
          </w:p>
        </w:tc>
        <w:tc>
          <w:tcPr>
            <w:tcW w:w="1088" w:type="dxa"/>
            <w:tcBorders>
              <w:top w:val="single" w:color="000000" w:sz="4" w:space="0"/>
              <w:bottom w:val="single" w:color="auto" w:sz="4" w:space="0"/>
            </w:tcBorders>
            <w:noWrap w:val="0"/>
            <w:vAlign w:val="center"/>
          </w:tcPr>
          <w:p>
            <w:pPr>
              <w:rPr>
                <w:rFonts w:ascii="Times New Roman" w:hAnsi="Times New Roman"/>
                <w:color w:val="auto"/>
                <w:sz w:val="18"/>
                <w:highlight w:val="none"/>
              </w:rPr>
            </w:pPr>
          </w:p>
        </w:tc>
      </w:tr>
    </w:tbl>
    <w:p>
      <w:pPr>
        <w:adjustRightInd w:val="0"/>
        <w:spacing w:line="360" w:lineRule="exact"/>
        <w:rPr>
          <w:b/>
          <w:color w:val="auto"/>
          <w:szCs w:val="21"/>
          <w:highlight w:val="none"/>
        </w:rPr>
      </w:pPr>
      <w:r>
        <w:rPr>
          <w:rFonts w:hint="eastAsia"/>
          <w:b/>
          <w:color w:val="auto"/>
          <w:szCs w:val="21"/>
          <w:highlight w:val="none"/>
        </w:rPr>
        <w:t>项目经理应附证明材料（提交材料应包括</w:t>
      </w:r>
      <w:r>
        <w:rPr>
          <w:rFonts w:hint="eastAsia"/>
          <w:b/>
          <w:color w:val="auto"/>
          <w:szCs w:val="21"/>
          <w:highlight w:val="none"/>
          <w:lang w:val="en-US" w:eastAsia="zh-CN"/>
        </w:rPr>
        <w:t>技术评分标准</w:t>
      </w:r>
      <w:r>
        <w:rPr>
          <w:rFonts w:hint="eastAsia"/>
          <w:b/>
          <w:color w:val="auto"/>
          <w:szCs w:val="21"/>
          <w:highlight w:val="none"/>
        </w:rPr>
        <w:t>要求）：</w:t>
      </w:r>
    </w:p>
    <w:p>
      <w:pPr>
        <w:numPr>
          <w:ilvl w:val="0"/>
          <w:numId w:val="8"/>
        </w:numPr>
        <w:adjustRightInd w:val="0"/>
        <w:spacing w:line="360" w:lineRule="exact"/>
        <w:ind w:left="420" w:firstLine="422" w:firstLineChars="200"/>
        <w:rPr>
          <w:color w:val="auto"/>
          <w:szCs w:val="21"/>
          <w:highlight w:val="none"/>
        </w:rPr>
      </w:pPr>
      <w:r>
        <w:rPr>
          <w:rFonts w:hint="eastAsia"/>
          <w:b/>
          <w:bCs/>
          <w:color w:val="auto"/>
          <w:szCs w:val="21"/>
          <w:highlight w:val="none"/>
        </w:rPr>
        <w:t>注册</w:t>
      </w:r>
      <w:r>
        <w:rPr>
          <w:rFonts w:hint="eastAsia"/>
          <w:b/>
          <w:color w:val="auto"/>
          <w:szCs w:val="21"/>
          <w:highlight w:val="none"/>
        </w:rPr>
        <w:t>建造师证扫描件（含证书编号页）</w:t>
      </w:r>
      <w:r>
        <w:rPr>
          <w:rFonts w:hint="eastAsia"/>
          <w:color w:val="auto"/>
          <w:szCs w:val="21"/>
          <w:highlight w:val="none"/>
        </w:rPr>
        <w:t>；</w:t>
      </w:r>
    </w:p>
    <w:p>
      <w:pPr>
        <w:numPr>
          <w:ilvl w:val="0"/>
          <w:numId w:val="8"/>
        </w:numPr>
        <w:adjustRightInd w:val="0"/>
        <w:spacing w:line="360" w:lineRule="exact"/>
        <w:ind w:left="420" w:firstLine="422" w:firstLineChars="200"/>
        <w:rPr>
          <w:color w:val="auto"/>
          <w:szCs w:val="21"/>
          <w:highlight w:val="none"/>
        </w:rPr>
      </w:pPr>
      <w:r>
        <w:rPr>
          <w:rFonts w:hint="eastAsia"/>
          <w:b/>
          <w:color w:val="auto"/>
          <w:szCs w:val="21"/>
          <w:highlight w:val="none"/>
        </w:rPr>
        <w:t>身份证</w:t>
      </w:r>
      <w:r>
        <w:rPr>
          <w:rFonts w:hint="eastAsia"/>
          <w:bCs/>
          <w:color w:val="auto"/>
          <w:szCs w:val="21"/>
          <w:highlight w:val="none"/>
        </w:rPr>
        <w:t>扫描件</w:t>
      </w:r>
      <w:r>
        <w:rPr>
          <w:rFonts w:hint="eastAsia"/>
          <w:color w:val="auto"/>
          <w:szCs w:val="21"/>
          <w:highlight w:val="none"/>
        </w:rPr>
        <w:t>；</w:t>
      </w:r>
    </w:p>
    <w:p>
      <w:pPr>
        <w:numPr>
          <w:ilvl w:val="0"/>
          <w:numId w:val="8"/>
        </w:numPr>
        <w:adjustRightInd w:val="0"/>
        <w:spacing w:line="360" w:lineRule="exact"/>
        <w:ind w:left="420" w:firstLine="420" w:firstLineChars="200"/>
        <w:rPr>
          <w:color w:val="auto"/>
          <w:szCs w:val="21"/>
          <w:highlight w:val="none"/>
        </w:rPr>
      </w:pPr>
      <w:r>
        <w:rPr>
          <w:rFonts w:hint="eastAsia"/>
          <w:color w:val="auto"/>
          <w:szCs w:val="21"/>
          <w:highlight w:val="none"/>
        </w:rPr>
        <w:t>投标截止日前</w:t>
      </w:r>
      <w:r>
        <w:rPr>
          <w:color w:val="auto"/>
          <w:szCs w:val="21"/>
          <w:highlight w:val="none"/>
        </w:rPr>
        <w:t>2</w:t>
      </w:r>
      <w:r>
        <w:rPr>
          <w:rFonts w:hint="eastAsia"/>
          <w:color w:val="auto"/>
          <w:szCs w:val="21"/>
          <w:highlight w:val="none"/>
        </w:rPr>
        <w:t>个月内开具的社会保险扫描件，或与投标人签署的劳动合同，或其他证明材料。社会保险由</w:t>
      </w:r>
      <w:r>
        <w:rPr>
          <w:rFonts w:hint="eastAsia"/>
          <w:b/>
          <w:bCs/>
          <w:color w:val="auto"/>
          <w:szCs w:val="21"/>
          <w:highlight w:val="none"/>
        </w:rPr>
        <w:t>总公司</w:t>
      </w:r>
      <w:r>
        <w:rPr>
          <w:rFonts w:hint="eastAsia"/>
          <w:color w:val="auto"/>
          <w:szCs w:val="21"/>
          <w:highlight w:val="none"/>
        </w:rPr>
        <w:t>统一缴纳的，可提供由</w:t>
      </w:r>
      <w:r>
        <w:rPr>
          <w:rFonts w:hint="eastAsia"/>
          <w:b/>
          <w:bCs/>
          <w:color w:val="auto"/>
          <w:szCs w:val="21"/>
          <w:highlight w:val="none"/>
        </w:rPr>
        <w:t>总公司</w:t>
      </w:r>
      <w:r>
        <w:rPr>
          <w:rFonts w:hint="eastAsia"/>
          <w:color w:val="auto"/>
          <w:szCs w:val="21"/>
          <w:highlight w:val="none"/>
        </w:rPr>
        <w:t>出具的统一缴纳证明，证明中应包含拟任关键人员姓名及身份证号；</w:t>
      </w:r>
    </w:p>
    <w:p>
      <w:pPr>
        <w:numPr>
          <w:ilvl w:val="0"/>
          <w:numId w:val="8"/>
        </w:numPr>
        <w:adjustRightInd w:val="0"/>
        <w:spacing w:line="360" w:lineRule="exact"/>
        <w:ind w:left="420" w:firstLine="420" w:firstLineChars="200"/>
        <w:rPr>
          <w:color w:val="auto"/>
          <w:szCs w:val="21"/>
          <w:highlight w:val="none"/>
        </w:rPr>
      </w:pPr>
      <w:r>
        <w:rPr>
          <w:rFonts w:hint="eastAsia"/>
          <w:color w:val="auto"/>
          <w:szCs w:val="21"/>
          <w:highlight w:val="none"/>
        </w:rPr>
        <w:t>项目负责人</w:t>
      </w:r>
      <w:r>
        <w:rPr>
          <w:rFonts w:hint="eastAsia"/>
          <w:b/>
          <w:color w:val="auto"/>
          <w:szCs w:val="21"/>
          <w:highlight w:val="none"/>
        </w:rPr>
        <w:t>安全生产考核合格证书</w:t>
      </w:r>
      <w:r>
        <w:rPr>
          <w:rFonts w:hint="eastAsia"/>
          <w:bCs/>
          <w:color w:val="auto"/>
          <w:szCs w:val="21"/>
          <w:highlight w:val="none"/>
        </w:rPr>
        <w:t>扫描件</w:t>
      </w:r>
      <w:r>
        <w:rPr>
          <w:rFonts w:hint="eastAsia"/>
          <w:color w:val="auto"/>
          <w:szCs w:val="21"/>
          <w:highlight w:val="none"/>
        </w:rPr>
        <w:t>；</w:t>
      </w:r>
    </w:p>
    <w:p>
      <w:pPr>
        <w:numPr>
          <w:ilvl w:val="0"/>
          <w:numId w:val="8"/>
        </w:numPr>
        <w:adjustRightInd w:val="0"/>
        <w:spacing w:line="360" w:lineRule="exact"/>
        <w:ind w:left="420" w:firstLine="420" w:firstLineChars="200"/>
        <w:rPr>
          <w:color w:val="auto"/>
          <w:highlight w:val="none"/>
        </w:rPr>
      </w:pPr>
      <w:r>
        <w:rPr>
          <w:rFonts w:hint="eastAsia"/>
          <w:color w:val="auto"/>
          <w:szCs w:val="21"/>
          <w:highlight w:val="none"/>
        </w:rPr>
        <w:t>上表所有列出每一项业绩的证明材料，包括但不限于：合同协议书，或合同正文，或任职证明，或业主证明，或其他证明材料扫描件。</w:t>
      </w:r>
      <w:r>
        <w:rPr>
          <w:rFonts w:hint="eastAsia"/>
          <w:b/>
          <w:bCs/>
          <w:color w:val="auto"/>
          <w:szCs w:val="21"/>
          <w:highlight w:val="none"/>
        </w:rPr>
        <w:t>每项业绩均需附业绩证明材料，证明材料中必须能够体现本人姓名以及任职职位等信息。</w:t>
      </w:r>
      <w:r>
        <w:rPr>
          <w:rFonts w:hint="eastAsia" w:ascii="宋体" w:hAnsi="宋体" w:cs="宋体"/>
          <w:color w:val="auto"/>
          <w:kern w:val="0"/>
          <w:szCs w:val="21"/>
          <w:highlight w:val="none"/>
        </w:rPr>
        <w:t xml:space="preserve"> </w:t>
      </w:r>
    </w:p>
    <w:p>
      <w:pPr>
        <w:widowControl/>
        <w:spacing w:before="120" w:beforeLines="50"/>
        <w:ind w:firstLine="422"/>
        <w:jc w:val="center"/>
        <w:rPr>
          <w:rFonts w:hint="eastAsia"/>
          <w:b/>
          <w:bCs/>
          <w:color w:val="auto"/>
          <w:highlight w:val="none"/>
        </w:rPr>
      </w:pPr>
    </w:p>
    <w:p>
      <w:pPr>
        <w:pStyle w:val="5"/>
        <w:ind w:firstLine="422"/>
        <w:rPr>
          <w:rFonts w:hint="eastAsia"/>
          <w:b/>
          <w:bCs/>
          <w:color w:val="auto"/>
          <w:highlight w:val="none"/>
        </w:rPr>
      </w:pPr>
    </w:p>
    <w:p>
      <w:pPr>
        <w:pStyle w:val="8"/>
        <w:rPr>
          <w:rFonts w:hint="eastAsia"/>
          <w:color w:val="auto"/>
          <w:highlight w:val="none"/>
        </w:rPr>
      </w:pPr>
      <w:r>
        <w:rPr>
          <w:rFonts w:hint="eastAsia"/>
          <w:color w:val="auto"/>
          <w:highlight w:val="none"/>
          <w:lang w:val="en-US"/>
        </w:rPr>
        <w:br w:type="page"/>
      </w:r>
      <w:r>
        <w:rPr>
          <w:rFonts w:hint="eastAsia"/>
          <w:color w:val="auto"/>
          <w:highlight w:val="none"/>
          <w:lang w:val="en-US"/>
        </w:rPr>
        <w:t>2</w:t>
      </w:r>
      <w:r>
        <w:rPr>
          <w:rFonts w:hint="eastAsia"/>
          <w:color w:val="auto"/>
          <w:highlight w:val="none"/>
        </w:rPr>
        <w:t>）项目总工简历及证明材料</w:t>
      </w:r>
    </w:p>
    <w:p>
      <w:pPr>
        <w:widowControl/>
        <w:spacing w:before="120" w:beforeLines="50"/>
        <w:ind w:firstLine="422"/>
        <w:jc w:val="center"/>
        <w:rPr>
          <w:b/>
          <w:bCs/>
          <w:color w:val="auto"/>
          <w:highlight w:val="none"/>
        </w:rPr>
      </w:pPr>
      <w:r>
        <w:rPr>
          <w:rFonts w:hint="eastAsia"/>
          <w:b/>
          <w:bCs/>
          <w:color w:val="auto"/>
          <w:highlight w:val="none"/>
        </w:rPr>
        <w:t>项目总工简历表</w:t>
      </w:r>
    </w:p>
    <w:tbl>
      <w:tblPr>
        <w:tblStyle w:val="19"/>
        <w:tblW w:w="0" w:type="auto"/>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2731"/>
        <w:gridCol w:w="993"/>
        <w:gridCol w:w="1181"/>
        <w:gridCol w:w="1940"/>
        <w:gridCol w:w="109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项目总工</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主要业绩及工作经历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注：</w:t>
            </w:r>
          </w:p>
          <w:p>
            <w:pPr>
              <w:topLinePunct w:val="0"/>
              <w:rPr>
                <w:rFonts w:ascii="Times New Roman" w:hAnsi="Times New Roman"/>
                <w:color w:val="auto"/>
                <w:highlight w:val="none"/>
              </w:rPr>
            </w:pPr>
            <w:r>
              <w:rPr>
                <w:rFonts w:hint="eastAsia" w:ascii="Times New Roman" w:hAnsi="Times New Roman"/>
                <w:b/>
                <w:color w:val="auto"/>
                <w:highlight w:val="none"/>
              </w:rPr>
              <w:t>应列出招标公告中要求的业绩及工作经历。</w:t>
            </w:r>
          </w:p>
        </w:tc>
      </w:tr>
    </w:tbl>
    <w:p>
      <w:pPr>
        <w:adjustRightInd w:val="0"/>
        <w:spacing w:line="360" w:lineRule="exact"/>
        <w:rPr>
          <w:b/>
          <w:color w:val="auto"/>
          <w:szCs w:val="21"/>
          <w:highlight w:val="none"/>
        </w:rPr>
      </w:pPr>
      <w:r>
        <w:rPr>
          <w:rFonts w:hint="eastAsia"/>
          <w:b/>
          <w:color w:val="auto"/>
          <w:szCs w:val="21"/>
          <w:highlight w:val="none"/>
        </w:rPr>
        <w:t>项目总工应附证明材料（提交材料应包括</w:t>
      </w:r>
      <w:r>
        <w:rPr>
          <w:rFonts w:hint="eastAsia"/>
          <w:b/>
          <w:color w:val="auto"/>
          <w:szCs w:val="21"/>
          <w:highlight w:val="none"/>
          <w:lang w:val="en-US" w:eastAsia="zh-CN"/>
        </w:rPr>
        <w:t>技术评分标准</w:t>
      </w:r>
      <w:r>
        <w:rPr>
          <w:rFonts w:hint="eastAsia"/>
          <w:b/>
          <w:color w:val="auto"/>
          <w:szCs w:val="21"/>
          <w:highlight w:val="none"/>
        </w:rPr>
        <w:t>要求）：</w:t>
      </w:r>
    </w:p>
    <w:p>
      <w:pPr>
        <w:numPr>
          <w:ilvl w:val="0"/>
          <w:numId w:val="9"/>
        </w:numPr>
        <w:adjustRightInd w:val="0"/>
        <w:spacing w:line="360" w:lineRule="exact"/>
        <w:ind w:firstLine="422" w:firstLineChars="200"/>
        <w:rPr>
          <w:color w:val="auto"/>
          <w:szCs w:val="21"/>
          <w:highlight w:val="none"/>
        </w:rPr>
      </w:pPr>
      <w:r>
        <w:rPr>
          <w:rFonts w:hint="eastAsia"/>
          <w:b/>
          <w:color w:val="auto"/>
          <w:szCs w:val="21"/>
          <w:highlight w:val="none"/>
        </w:rPr>
        <w:t>身份证扫描件</w:t>
      </w:r>
      <w:r>
        <w:rPr>
          <w:rFonts w:hint="eastAsia"/>
          <w:color w:val="auto"/>
          <w:szCs w:val="21"/>
          <w:highlight w:val="none"/>
        </w:rPr>
        <w:t>；</w:t>
      </w:r>
    </w:p>
    <w:p>
      <w:pPr>
        <w:numPr>
          <w:ilvl w:val="0"/>
          <w:numId w:val="9"/>
        </w:numPr>
        <w:adjustRightInd w:val="0"/>
        <w:spacing w:line="360" w:lineRule="exact"/>
        <w:ind w:firstLine="420" w:firstLineChars="200"/>
        <w:rPr>
          <w:color w:val="auto"/>
          <w:szCs w:val="21"/>
          <w:highlight w:val="none"/>
        </w:rPr>
      </w:pPr>
      <w:r>
        <w:rPr>
          <w:rFonts w:hint="eastAsia"/>
          <w:color w:val="auto"/>
          <w:szCs w:val="21"/>
          <w:highlight w:val="none"/>
        </w:rPr>
        <w:t>投标截止日前</w:t>
      </w:r>
      <w:r>
        <w:rPr>
          <w:color w:val="auto"/>
          <w:szCs w:val="21"/>
          <w:highlight w:val="none"/>
        </w:rPr>
        <w:t>2</w:t>
      </w:r>
      <w:r>
        <w:rPr>
          <w:rFonts w:hint="eastAsia"/>
          <w:color w:val="auto"/>
          <w:szCs w:val="21"/>
          <w:highlight w:val="none"/>
        </w:rPr>
        <w:t>个月内开具的社会保险扫描件，或与投标人签署的劳动合同，或其他证明材料。社会保险由</w:t>
      </w:r>
      <w:r>
        <w:rPr>
          <w:rFonts w:hint="eastAsia"/>
          <w:b/>
          <w:bCs/>
          <w:color w:val="auto"/>
          <w:szCs w:val="21"/>
          <w:highlight w:val="none"/>
        </w:rPr>
        <w:t>总公司</w:t>
      </w:r>
      <w:r>
        <w:rPr>
          <w:rFonts w:hint="eastAsia"/>
          <w:color w:val="auto"/>
          <w:szCs w:val="21"/>
          <w:highlight w:val="none"/>
        </w:rPr>
        <w:t>统一缴纳的，可提供由</w:t>
      </w:r>
      <w:r>
        <w:rPr>
          <w:rFonts w:hint="eastAsia"/>
          <w:b/>
          <w:bCs/>
          <w:color w:val="auto"/>
          <w:szCs w:val="21"/>
          <w:highlight w:val="none"/>
        </w:rPr>
        <w:t>总公司</w:t>
      </w:r>
      <w:r>
        <w:rPr>
          <w:rFonts w:hint="eastAsia"/>
          <w:color w:val="auto"/>
          <w:szCs w:val="21"/>
          <w:highlight w:val="none"/>
        </w:rPr>
        <w:t>出具的统一缴纳证明，证明中应包含拟任关键人员姓名及身份证号；</w:t>
      </w:r>
    </w:p>
    <w:p>
      <w:pPr>
        <w:numPr>
          <w:ilvl w:val="0"/>
          <w:numId w:val="9"/>
        </w:numPr>
        <w:adjustRightInd w:val="0"/>
        <w:spacing w:line="360" w:lineRule="exact"/>
        <w:ind w:firstLine="420"/>
        <w:rPr>
          <w:color w:val="auto"/>
          <w:szCs w:val="21"/>
          <w:highlight w:val="none"/>
        </w:rPr>
      </w:pPr>
      <w:r>
        <w:rPr>
          <w:rFonts w:hint="eastAsia"/>
          <w:b/>
          <w:color w:val="auto"/>
          <w:szCs w:val="21"/>
          <w:highlight w:val="none"/>
        </w:rPr>
        <w:t>技术职称证书</w:t>
      </w:r>
      <w:r>
        <w:rPr>
          <w:rFonts w:hint="eastAsia"/>
          <w:color w:val="auto"/>
          <w:szCs w:val="21"/>
          <w:highlight w:val="none"/>
        </w:rPr>
        <w:t>扫描件；</w:t>
      </w:r>
    </w:p>
    <w:p>
      <w:pPr>
        <w:numPr>
          <w:ilvl w:val="0"/>
          <w:numId w:val="9"/>
        </w:numPr>
        <w:adjustRightInd w:val="0"/>
        <w:spacing w:line="360" w:lineRule="exact"/>
        <w:ind w:firstLine="420" w:firstLineChars="200"/>
        <w:rPr>
          <w:color w:val="auto"/>
          <w:szCs w:val="21"/>
          <w:highlight w:val="none"/>
        </w:rPr>
      </w:pPr>
      <w:r>
        <w:rPr>
          <w:rFonts w:hint="eastAsia"/>
          <w:color w:val="auto"/>
          <w:szCs w:val="21"/>
          <w:highlight w:val="none"/>
        </w:rPr>
        <w:t>上表所有列出每一项业绩的证明材料，包括但不限于：合同协议书，或合同正文，或任职证明，或业主证明，或其他证明材料扫描件。</w:t>
      </w:r>
      <w:r>
        <w:rPr>
          <w:rFonts w:hint="eastAsia"/>
          <w:b/>
          <w:bCs/>
          <w:color w:val="auto"/>
          <w:szCs w:val="21"/>
          <w:highlight w:val="none"/>
        </w:rPr>
        <w:t>每项业绩均需附业绩证明材料，证明材料中必须能够体现本人姓名以及任职项目职位等信息。</w:t>
      </w:r>
    </w:p>
    <w:p>
      <w:pPr>
        <w:adjustRightInd w:val="0"/>
        <w:spacing w:line="360" w:lineRule="exact"/>
        <w:ind w:firstLine="420" w:firstLineChars="200"/>
        <w:rPr>
          <w:color w:val="auto"/>
          <w:highlight w:val="none"/>
        </w:rPr>
      </w:pPr>
    </w:p>
    <w:p>
      <w:pPr>
        <w:widowControl/>
        <w:jc w:val="left"/>
        <w:rPr>
          <w:color w:val="auto"/>
          <w:highlight w:val="none"/>
        </w:rPr>
      </w:pPr>
      <w:r>
        <w:rPr>
          <w:color w:val="auto"/>
          <w:highlight w:val="none"/>
        </w:rPr>
        <w:br w:type="page"/>
      </w:r>
      <w:r>
        <w:rPr>
          <w:color w:val="auto"/>
          <w:highlight w:val="none"/>
        </w:rPr>
        <w:t>3</w:t>
      </w:r>
      <w:r>
        <w:rPr>
          <w:rFonts w:hint="eastAsia"/>
          <w:color w:val="auto"/>
          <w:highlight w:val="none"/>
        </w:rPr>
        <w:t>）安全总监简历及证明材料</w:t>
      </w:r>
    </w:p>
    <w:p>
      <w:pPr>
        <w:widowControl/>
        <w:spacing w:before="120" w:beforeLines="50"/>
        <w:ind w:firstLine="422"/>
        <w:jc w:val="center"/>
        <w:rPr>
          <w:b/>
          <w:bCs/>
          <w:color w:val="auto"/>
          <w:highlight w:val="none"/>
        </w:rPr>
      </w:pPr>
      <w:r>
        <w:rPr>
          <w:rFonts w:hint="eastAsia"/>
          <w:b/>
          <w:bCs/>
          <w:color w:val="auto"/>
          <w:highlight w:val="none"/>
        </w:rPr>
        <w:t>安全总监简历表</w:t>
      </w:r>
    </w:p>
    <w:tbl>
      <w:tblPr>
        <w:tblStyle w:val="19"/>
        <w:tblW w:w="0" w:type="auto"/>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2731"/>
        <w:gridCol w:w="993"/>
        <w:gridCol w:w="1181"/>
        <w:gridCol w:w="1940"/>
        <w:gridCol w:w="109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安全总监</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主要业绩及工作经历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bottom w:val="single" w:color="auto" w:sz="4" w:space="0"/>
              <w:right w:val="single" w:color="auto" w:sz="4" w:space="0"/>
            </w:tcBorders>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szCs w:val="21"/>
                <w:highlight w:val="none"/>
              </w:rPr>
            </w:pPr>
            <w:r>
              <w:rPr>
                <w:rFonts w:hint="eastAsia" w:ascii="Times New Roman" w:hAnsi="Times New Roman"/>
                <w:b/>
                <w:color w:val="auto"/>
                <w:szCs w:val="21"/>
                <w:highlight w:val="none"/>
              </w:rPr>
              <w:t>注：</w:t>
            </w:r>
          </w:p>
          <w:p>
            <w:pPr>
              <w:topLinePunct w:val="0"/>
              <w:rPr>
                <w:rFonts w:ascii="Times New Roman" w:hAnsi="Times New Roman"/>
                <w:color w:val="auto"/>
                <w:szCs w:val="21"/>
                <w:highlight w:val="none"/>
              </w:rPr>
            </w:pPr>
            <w:r>
              <w:rPr>
                <w:rFonts w:hint="eastAsia" w:ascii="Times New Roman" w:hAnsi="Times New Roman"/>
                <w:b/>
                <w:color w:val="auto"/>
                <w:szCs w:val="21"/>
                <w:highlight w:val="none"/>
              </w:rPr>
              <w:t>应列出招标公告中要求的业绩及工作经历。</w:t>
            </w:r>
          </w:p>
        </w:tc>
      </w:tr>
    </w:tbl>
    <w:p>
      <w:pPr>
        <w:adjustRightInd w:val="0"/>
        <w:spacing w:line="360" w:lineRule="exact"/>
        <w:rPr>
          <w:b/>
          <w:color w:val="auto"/>
          <w:szCs w:val="21"/>
          <w:highlight w:val="none"/>
        </w:rPr>
      </w:pPr>
      <w:r>
        <w:rPr>
          <w:rFonts w:hint="eastAsia"/>
          <w:b/>
          <w:color w:val="auto"/>
          <w:szCs w:val="21"/>
          <w:highlight w:val="none"/>
        </w:rPr>
        <w:t>安全总监应附证明材料（提交材料应包括</w:t>
      </w:r>
      <w:r>
        <w:rPr>
          <w:rFonts w:hint="eastAsia"/>
          <w:b/>
          <w:color w:val="auto"/>
          <w:szCs w:val="21"/>
          <w:highlight w:val="none"/>
          <w:lang w:val="en-US" w:eastAsia="zh-CN"/>
        </w:rPr>
        <w:t>技术评分标准</w:t>
      </w:r>
      <w:r>
        <w:rPr>
          <w:rFonts w:hint="eastAsia"/>
          <w:b/>
          <w:color w:val="auto"/>
          <w:szCs w:val="21"/>
          <w:highlight w:val="none"/>
        </w:rPr>
        <w:t>要求）：</w:t>
      </w:r>
    </w:p>
    <w:p>
      <w:pPr>
        <w:numPr>
          <w:ilvl w:val="0"/>
          <w:numId w:val="10"/>
        </w:numPr>
        <w:adjustRightInd w:val="0"/>
        <w:spacing w:line="360" w:lineRule="exact"/>
        <w:ind w:firstLine="422" w:firstLineChars="200"/>
        <w:rPr>
          <w:b/>
          <w:color w:val="auto"/>
          <w:szCs w:val="21"/>
          <w:highlight w:val="none"/>
        </w:rPr>
      </w:pPr>
      <w:r>
        <w:rPr>
          <w:rFonts w:hint="eastAsia"/>
          <w:b/>
          <w:color w:val="auto"/>
          <w:szCs w:val="21"/>
          <w:highlight w:val="none"/>
        </w:rPr>
        <w:t>身份证扫描件；</w:t>
      </w:r>
    </w:p>
    <w:p>
      <w:pPr>
        <w:numPr>
          <w:ilvl w:val="0"/>
          <w:numId w:val="10"/>
        </w:numPr>
        <w:adjustRightInd w:val="0"/>
        <w:spacing w:line="360" w:lineRule="exact"/>
        <w:ind w:firstLine="420" w:firstLineChars="200"/>
        <w:rPr>
          <w:color w:val="auto"/>
          <w:szCs w:val="21"/>
          <w:highlight w:val="none"/>
        </w:rPr>
      </w:pPr>
      <w:r>
        <w:rPr>
          <w:rFonts w:hint="eastAsia"/>
          <w:color w:val="auto"/>
          <w:szCs w:val="21"/>
          <w:highlight w:val="none"/>
        </w:rPr>
        <w:t>投标截止日前</w:t>
      </w:r>
      <w:r>
        <w:rPr>
          <w:color w:val="auto"/>
          <w:szCs w:val="21"/>
          <w:highlight w:val="none"/>
        </w:rPr>
        <w:t>2</w:t>
      </w:r>
      <w:r>
        <w:rPr>
          <w:rFonts w:hint="eastAsia"/>
          <w:color w:val="auto"/>
          <w:szCs w:val="21"/>
          <w:highlight w:val="none"/>
        </w:rPr>
        <w:t>个月内开具的社会保险扫描件，或与投标人签署的劳动合同，或其他证明材料。社会保险由</w:t>
      </w:r>
      <w:r>
        <w:rPr>
          <w:rFonts w:hint="eastAsia"/>
          <w:b/>
          <w:bCs/>
          <w:color w:val="auto"/>
          <w:szCs w:val="21"/>
          <w:highlight w:val="none"/>
        </w:rPr>
        <w:t>总公司</w:t>
      </w:r>
      <w:r>
        <w:rPr>
          <w:rFonts w:hint="eastAsia"/>
          <w:color w:val="auto"/>
          <w:szCs w:val="21"/>
          <w:highlight w:val="none"/>
        </w:rPr>
        <w:t>统一缴纳的，可提供由</w:t>
      </w:r>
      <w:r>
        <w:rPr>
          <w:rFonts w:hint="eastAsia"/>
          <w:b/>
          <w:bCs/>
          <w:color w:val="auto"/>
          <w:szCs w:val="21"/>
          <w:highlight w:val="none"/>
        </w:rPr>
        <w:t>总公司</w:t>
      </w:r>
      <w:r>
        <w:rPr>
          <w:rFonts w:hint="eastAsia"/>
          <w:color w:val="auto"/>
          <w:szCs w:val="21"/>
          <w:highlight w:val="none"/>
        </w:rPr>
        <w:t>出具的统一缴纳证明，证明中应包含拟任关键人员姓名及身份证号；</w:t>
      </w:r>
    </w:p>
    <w:p>
      <w:pPr>
        <w:numPr>
          <w:ilvl w:val="0"/>
          <w:numId w:val="10"/>
        </w:numPr>
        <w:adjustRightInd w:val="0"/>
        <w:spacing w:line="360" w:lineRule="exact"/>
        <w:ind w:firstLine="420"/>
        <w:rPr>
          <w:color w:val="auto"/>
          <w:szCs w:val="21"/>
          <w:highlight w:val="none"/>
        </w:rPr>
      </w:pPr>
      <w:r>
        <w:rPr>
          <w:rFonts w:hint="eastAsia"/>
          <w:bCs/>
          <w:color w:val="auto"/>
          <w:szCs w:val="21"/>
          <w:highlight w:val="none"/>
        </w:rPr>
        <w:t>安全管理人员</w:t>
      </w:r>
      <w:r>
        <w:rPr>
          <w:rFonts w:hint="eastAsia"/>
          <w:b/>
          <w:bCs/>
          <w:color w:val="auto"/>
          <w:szCs w:val="21"/>
          <w:highlight w:val="none"/>
        </w:rPr>
        <w:t>安全生产考核合格证书</w:t>
      </w:r>
      <w:r>
        <w:rPr>
          <w:rFonts w:hint="eastAsia"/>
          <w:color w:val="auto"/>
          <w:szCs w:val="21"/>
          <w:highlight w:val="none"/>
        </w:rPr>
        <w:t>扫描件；</w:t>
      </w:r>
    </w:p>
    <w:p>
      <w:pPr>
        <w:numPr>
          <w:ilvl w:val="0"/>
          <w:numId w:val="10"/>
        </w:numPr>
        <w:adjustRightInd w:val="0"/>
        <w:spacing w:line="360" w:lineRule="exact"/>
        <w:ind w:firstLine="420"/>
        <w:rPr>
          <w:color w:val="auto"/>
          <w:szCs w:val="21"/>
          <w:highlight w:val="none"/>
        </w:rPr>
      </w:pPr>
      <w:r>
        <w:rPr>
          <w:rFonts w:hint="eastAsia"/>
          <w:color w:val="auto"/>
          <w:szCs w:val="21"/>
          <w:highlight w:val="none"/>
        </w:rPr>
        <w:t>注册安全工程师资格证书</w:t>
      </w:r>
      <w:r>
        <w:rPr>
          <w:rFonts w:hint="eastAsia"/>
          <w:b/>
          <w:color w:val="auto"/>
          <w:szCs w:val="21"/>
          <w:highlight w:val="none"/>
        </w:rPr>
        <w:t>或</w:t>
      </w:r>
      <w:r>
        <w:rPr>
          <w:rFonts w:hint="eastAsia"/>
          <w:color w:val="auto"/>
          <w:szCs w:val="21"/>
          <w:highlight w:val="none"/>
        </w:rPr>
        <w:t>工程师以上技术职称</w:t>
      </w:r>
      <w:r>
        <w:rPr>
          <w:rFonts w:hint="eastAsia"/>
          <w:b/>
          <w:color w:val="auto"/>
          <w:szCs w:val="21"/>
          <w:highlight w:val="none"/>
        </w:rPr>
        <w:t>，或</w:t>
      </w:r>
      <w:r>
        <w:rPr>
          <w:rFonts w:hint="eastAsia"/>
          <w:color w:val="auto"/>
          <w:szCs w:val="21"/>
          <w:highlight w:val="none"/>
        </w:rPr>
        <w:t>技师及以上技能证书等同技能职业资格证书扫描件；</w:t>
      </w:r>
    </w:p>
    <w:p>
      <w:pPr>
        <w:numPr>
          <w:ilvl w:val="0"/>
          <w:numId w:val="10"/>
        </w:numPr>
        <w:adjustRightInd w:val="0"/>
        <w:spacing w:line="360" w:lineRule="exact"/>
        <w:ind w:firstLine="420"/>
        <w:rPr>
          <w:color w:val="auto"/>
          <w:szCs w:val="21"/>
          <w:highlight w:val="none"/>
        </w:rPr>
      </w:pPr>
      <w:r>
        <w:rPr>
          <w:rFonts w:hint="eastAsia"/>
          <w:color w:val="auto"/>
          <w:szCs w:val="21"/>
          <w:highlight w:val="none"/>
        </w:rPr>
        <w:t>上表所有列出每一项业绩的证明材料，包括但不限于：合同协议书，或合同正文，或任职证明，或业主证明，或其他证明材料扫描件。</w:t>
      </w:r>
      <w:r>
        <w:rPr>
          <w:rFonts w:hint="eastAsia"/>
          <w:b/>
          <w:bCs/>
          <w:color w:val="auto"/>
          <w:szCs w:val="21"/>
          <w:highlight w:val="none"/>
        </w:rPr>
        <w:t>每项业绩均需附业绩证明材料，证明材料中必须能够体现本人姓名以及任职职位等信息。</w:t>
      </w:r>
    </w:p>
    <w:p>
      <w:pPr>
        <w:widowControl/>
        <w:jc w:val="left"/>
        <w:rPr>
          <w:rFonts w:hint="eastAsia"/>
          <w:color w:val="auto"/>
          <w:szCs w:val="21"/>
          <w:highlight w:val="none"/>
        </w:rPr>
      </w:pPr>
      <w:r>
        <w:rPr>
          <w:rFonts w:hint="eastAsia"/>
          <w:color w:val="auto"/>
          <w:szCs w:val="21"/>
          <w:highlight w:val="none"/>
        </w:rPr>
        <w:t>按照招标公告中安全总监工作经历年限要求，提供相关证明材料。</w:t>
      </w:r>
    </w:p>
    <w:p>
      <w:pPr>
        <w:pStyle w:val="5"/>
        <w:rPr>
          <w:rFonts w:hint="eastAsia"/>
          <w:color w:val="auto"/>
          <w:szCs w:val="21"/>
          <w:highlight w:val="none"/>
        </w:rPr>
      </w:pPr>
    </w:p>
    <w:p>
      <w:pPr>
        <w:pStyle w:val="8"/>
        <w:rPr>
          <w:rFonts w:hint="eastAsia"/>
          <w:color w:val="auto"/>
          <w:highlight w:val="none"/>
        </w:rPr>
      </w:pPr>
    </w:p>
    <w:p>
      <w:pPr>
        <w:rPr>
          <w:rFonts w:hint="eastAsia"/>
          <w:color w:val="auto"/>
          <w:szCs w:val="21"/>
          <w:highlight w:val="none"/>
        </w:rPr>
      </w:pPr>
    </w:p>
    <w:p>
      <w:pPr>
        <w:pStyle w:val="8"/>
        <w:rPr>
          <w:color w:val="auto"/>
          <w:highlight w:val="none"/>
        </w:rPr>
        <w:sectPr>
          <w:headerReference r:id="rId11" w:type="default"/>
          <w:footerReference r:id="rId12" w:type="default"/>
          <w:pgSz w:w="11906" w:h="16838"/>
          <w:pgMar w:top="1814" w:right="1418" w:bottom="1701" w:left="1418" w:header="1134" w:footer="1134" w:gutter="0"/>
          <w:pgBorders>
            <w:top w:val="none" w:sz="0" w:space="0"/>
            <w:left w:val="none" w:sz="0" w:space="0"/>
            <w:bottom w:val="none" w:sz="0" w:space="0"/>
            <w:right w:val="none" w:sz="0" w:space="0"/>
          </w:pgBorders>
          <w:cols w:space="720" w:num="1"/>
          <w:docGrid w:linePitch="312" w:charSpace="0"/>
        </w:sectPr>
      </w:pPr>
      <w:r>
        <w:rPr>
          <w:bCs/>
          <w:color w:val="auto"/>
          <w:highlight w:val="none"/>
        </w:rPr>
        <w:t xml:space="preserve"> </w:t>
      </w:r>
    </w:p>
    <w:p>
      <w:pPr>
        <w:widowControl/>
        <w:jc w:val="left"/>
        <w:rPr>
          <w:color w:val="auto"/>
          <w:highlight w:val="none"/>
        </w:rPr>
      </w:pPr>
      <w:r>
        <w:rPr>
          <w:color w:val="auto"/>
          <w:highlight w:val="none"/>
        </w:rPr>
        <w:t>4</w:t>
      </w:r>
      <w:r>
        <w:rPr>
          <w:rFonts w:hint="eastAsia"/>
          <w:color w:val="auto"/>
          <w:highlight w:val="none"/>
        </w:rPr>
        <w:t>）项目部安全员简历及证明材料</w:t>
      </w:r>
    </w:p>
    <w:p>
      <w:pPr>
        <w:widowControl/>
        <w:spacing w:before="120" w:beforeLines="50"/>
        <w:ind w:firstLine="422"/>
        <w:jc w:val="center"/>
        <w:rPr>
          <w:b/>
          <w:bCs/>
          <w:color w:val="auto"/>
          <w:highlight w:val="none"/>
        </w:rPr>
      </w:pPr>
      <w:r>
        <w:rPr>
          <w:rFonts w:hint="eastAsia"/>
          <w:b/>
          <w:bCs/>
          <w:color w:val="auto"/>
          <w:highlight w:val="none"/>
        </w:rPr>
        <w:t>项目部安全员简历表</w:t>
      </w:r>
    </w:p>
    <w:tbl>
      <w:tblPr>
        <w:tblStyle w:val="19"/>
        <w:tblW w:w="0" w:type="auto"/>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2731"/>
        <w:gridCol w:w="993"/>
        <w:gridCol w:w="1181"/>
        <w:gridCol w:w="1940"/>
        <w:gridCol w:w="109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项目部安全员（</w:t>
            </w:r>
            <w:r>
              <w:rPr>
                <w:rFonts w:ascii="Times New Roman" w:hAnsi="Times New Roman"/>
                <w:b/>
                <w:color w:val="auto"/>
                <w:highlight w:val="none"/>
              </w:rPr>
              <w:t>1</w:t>
            </w:r>
            <w:r>
              <w:rPr>
                <w:rFonts w:hint="eastAsia" w:ascii="Times New Roman" w:hAnsi="Times New Roman"/>
                <w:b/>
                <w:color w:val="auto"/>
                <w:highlight w:val="none"/>
              </w:rPr>
              <w:t>）</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bottom w:val="single" w:color="auto" w:sz="4" w:space="0"/>
              <w:righ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tcBorders>
              <w:top w:val="single" w:color="000000" w:sz="4" w:space="0"/>
              <w:left w:val="single" w:color="auto" w:sz="8" w:space="0"/>
              <w:bottom w:val="single" w:color="000000" w:sz="4" w:space="0"/>
              <w:right w:val="single" w:color="auto" w:sz="8" w:space="0"/>
            </w:tcBorders>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项目部安全员（</w:t>
            </w:r>
            <w:r>
              <w:rPr>
                <w:rFonts w:ascii="Times New Roman" w:hAnsi="Times New Roman"/>
                <w:b/>
                <w:color w:val="auto"/>
                <w:highlight w:val="none"/>
              </w:rPr>
              <w:t>2</w:t>
            </w:r>
            <w:r>
              <w:rPr>
                <w:rFonts w:hint="eastAsia" w:ascii="Times New Roman" w:hAnsi="Times New Roman"/>
                <w:b/>
                <w:color w:val="auto"/>
                <w:highlight w:val="none"/>
              </w:rPr>
              <w:t>）</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bottom w:val="single" w:color="auto" w:sz="4" w:space="0"/>
              <w:righ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szCs w:val="21"/>
                <w:highlight w:val="none"/>
              </w:rPr>
            </w:pPr>
            <w:r>
              <w:rPr>
                <w:rFonts w:hint="eastAsia" w:ascii="Times New Roman" w:hAnsi="Times New Roman"/>
                <w:b/>
                <w:color w:val="auto"/>
                <w:szCs w:val="21"/>
                <w:highlight w:val="none"/>
              </w:rPr>
              <w:t>注：</w:t>
            </w:r>
          </w:p>
          <w:p>
            <w:pPr>
              <w:topLinePunct w:val="0"/>
              <w:rPr>
                <w:rFonts w:ascii="Times New Roman" w:hAnsi="Times New Roman"/>
                <w:color w:val="auto"/>
                <w:szCs w:val="21"/>
                <w:highlight w:val="none"/>
              </w:rPr>
            </w:pPr>
            <w:r>
              <w:rPr>
                <w:rFonts w:hint="eastAsia" w:ascii="Times New Roman" w:hAnsi="Times New Roman"/>
                <w:b/>
                <w:color w:val="auto"/>
                <w:szCs w:val="21"/>
                <w:highlight w:val="none"/>
              </w:rPr>
              <w:t>应列出招标公告中要求的业绩及工作经历。</w:t>
            </w:r>
          </w:p>
        </w:tc>
      </w:tr>
    </w:tbl>
    <w:p>
      <w:pPr>
        <w:adjustRightInd w:val="0"/>
        <w:spacing w:line="360" w:lineRule="exact"/>
        <w:rPr>
          <w:b/>
          <w:color w:val="auto"/>
          <w:szCs w:val="21"/>
          <w:highlight w:val="none"/>
        </w:rPr>
      </w:pPr>
      <w:r>
        <w:rPr>
          <w:rFonts w:hint="eastAsia"/>
          <w:b/>
          <w:color w:val="auto"/>
          <w:szCs w:val="21"/>
          <w:highlight w:val="none"/>
        </w:rPr>
        <w:t>项目部安全员应附证明材料（提交材料应包括</w:t>
      </w:r>
      <w:r>
        <w:rPr>
          <w:rFonts w:hint="eastAsia"/>
          <w:b/>
          <w:color w:val="auto"/>
          <w:szCs w:val="21"/>
          <w:highlight w:val="none"/>
          <w:lang w:val="en-US" w:eastAsia="zh-CN"/>
        </w:rPr>
        <w:t>技术评分标准</w:t>
      </w:r>
      <w:r>
        <w:rPr>
          <w:rFonts w:hint="eastAsia"/>
          <w:b/>
          <w:color w:val="auto"/>
          <w:szCs w:val="21"/>
          <w:highlight w:val="none"/>
        </w:rPr>
        <w:t>要求）：</w:t>
      </w:r>
    </w:p>
    <w:p>
      <w:pPr>
        <w:numPr>
          <w:ilvl w:val="0"/>
          <w:numId w:val="11"/>
        </w:numPr>
        <w:adjustRightInd w:val="0"/>
        <w:spacing w:line="360" w:lineRule="exact"/>
        <w:ind w:firstLine="422"/>
        <w:rPr>
          <w:color w:val="auto"/>
          <w:szCs w:val="21"/>
          <w:highlight w:val="none"/>
        </w:rPr>
      </w:pPr>
      <w:r>
        <w:rPr>
          <w:rFonts w:hint="eastAsia"/>
          <w:b/>
          <w:color w:val="auto"/>
          <w:szCs w:val="21"/>
          <w:highlight w:val="none"/>
        </w:rPr>
        <w:t>身份证</w:t>
      </w:r>
      <w:r>
        <w:rPr>
          <w:rFonts w:hint="eastAsia"/>
          <w:bCs/>
          <w:color w:val="auto"/>
          <w:szCs w:val="21"/>
          <w:highlight w:val="none"/>
        </w:rPr>
        <w:t>扫描件</w:t>
      </w:r>
      <w:r>
        <w:rPr>
          <w:rFonts w:hint="eastAsia"/>
          <w:color w:val="auto"/>
          <w:szCs w:val="21"/>
          <w:highlight w:val="none"/>
        </w:rPr>
        <w:t>；</w:t>
      </w:r>
    </w:p>
    <w:p>
      <w:pPr>
        <w:numPr>
          <w:ilvl w:val="0"/>
          <w:numId w:val="11"/>
        </w:numPr>
        <w:adjustRightInd w:val="0"/>
        <w:spacing w:line="360" w:lineRule="exact"/>
        <w:ind w:firstLine="420" w:firstLineChars="200"/>
        <w:rPr>
          <w:color w:val="auto"/>
          <w:szCs w:val="21"/>
          <w:highlight w:val="none"/>
        </w:rPr>
      </w:pPr>
      <w:r>
        <w:rPr>
          <w:rFonts w:hint="eastAsia"/>
          <w:color w:val="auto"/>
          <w:szCs w:val="21"/>
          <w:highlight w:val="none"/>
        </w:rPr>
        <w:t>投标截止日前</w:t>
      </w:r>
      <w:r>
        <w:rPr>
          <w:color w:val="auto"/>
          <w:szCs w:val="21"/>
          <w:highlight w:val="none"/>
        </w:rPr>
        <w:t>2</w:t>
      </w:r>
      <w:r>
        <w:rPr>
          <w:rFonts w:hint="eastAsia"/>
          <w:color w:val="auto"/>
          <w:szCs w:val="21"/>
          <w:highlight w:val="none"/>
        </w:rPr>
        <w:t>个月内开具的社会保险扫描件，或与投标人签署的劳动合同，或其他证明材料。社会保险由</w:t>
      </w:r>
      <w:r>
        <w:rPr>
          <w:rFonts w:hint="eastAsia"/>
          <w:b/>
          <w:bCs/>
          <w:color w:val="auto"/>
          <w:szCs w:val="21"/>
          <w:highlight w:val="none"/>
        </w:rPr>
        <w:t>总公司</w:t>
      </w:r>
      <w:r>
        <w:rPr>
          <w:rFonts w:hint="eastAsia"/>
          <w:color w:val="auto"/>
          <w:szCs w:val="21"/>
          <w:highlight w:val="none"/>
        </w:rPr>
        <w:t>统一缴纳的，可提供由</w:t>
      </w:r>
      <w:r>
        <w:rPr>
          <w:rFonts w:hint="eastAsia"/>
          <w:b/>
          <w:bCs/>
          <w:color w:val="auto"/>
          <w:szCs w:val="21"/>
          <w:highlight w:val="none"/>
        </w:rPr>
        <w:t>总公司</w:t>
      </w:r>
      <w:r>
        <w:rPr>
          <w:rFonts w:hint="eastAsia"/>
          <w:color w:val="auto"/>
          <w:szCs w:val="21"/>
          <w:highlight w:val="none"/>
        </w:rPr>
        <w:t>出具的统一缴纳证明，证明中应包含拟任关键人员姓名及身份证号；</w:t>
      </w:r>
    </w:p>
    <w:p>
      <w:pPr>
        <w:numPr>
          <w:ilvl w:val="0"/>
          <w:numId w:val="11"/>
        </w:numPr>
        <w:adjustRightInd w:val="0"/>
        <w:spacing w:line="360" w:lineRule="exact"/>
        <w:ind w:firstLine="420"/>
        <w:rPr>
          <w:color w:val="auto"/>
          <w:szCs w:val="21"/>
          <w:highlight w:val="none"/>
        </w:rPr>
      </w:pPr>
      <w:r>
        <w:rPr>
          <w:rFonts w:hint="eastAsia"/>
          <w:bCs/>
          <w:color w:val="auto"/>
          <w:szCs w:val="21"/>
          <w:highlight w:val="none"/>
        </w:rPr>
        <w:t>安全管理人员</w:t>
      </w:r>
      <w:r>
        <w:rPr>
          <w:rFonts w:hint="eastAsia"/>
          <w:b/>
          <w:bCs/>
          <w:color w:val="auto"/>
          <w:szCs w:val="21"/>
          <w:highlight w:val="none"/>
        </w:rPr>
        <w:t>安全生产考核合格证书</w:t>
      </w:r>
      <w:r>
        <w:rPr>
          <w:rFonts w:hint="eastAsia"/>
          <w:color w:val="auto"/>
          <w:szCs w:val="21"/>
          <w:highlight w:val="none"/>
        </w:rPr>
        <w:t>扫描件。</w:t>
      </w:r>
    </w:p>
    <w:p>
      <w:pPr>
        <w:adjustRightInd w:val="0"/>
        <w:spacing w:line="360" w:lineRule="exact"/>
        <w:rPr>
          <w:color w:val="auto"/>
          <w:highlight w:val="none"/>
        </w:rPr>
      </w:pPr>
    </w:p>
    <w:p>
      <w:pPr>
        <w:widowControl/>
        <w:jc w:val="left"/>
        <w:rPr>
          <w:color w:val="auto"/>
          <w:szCs w:val="22"/>
          <w:highlight w:val="none"/>
        </w:rPr>
      </w:pPr>
      <w:r>
        <w:rPr>
          <w:color w:val="auto"/>
          <w:szCs w:val="22"/>
          <w:highlight w:val="none"/>
        </w:rPr>
        <w:br w:type="page"/>
      </w:r>
    </w:p>
    <w:p>
      <w:pPr>
        <w:adjustRightInd w:val="0"/>
        <w:spacing w:line="360" w:lineRule="exact"/>
        <w:ind w:firstLine="105" w:firstLineChars="50"/>
        <w:rPr>
          <w:color w:val="auto"/>
          <w:szCs w:val="22"/>
          <w:highlight w:val="none"/>
        </w:rPr>
      </w:pPr>
      <w:r>
        <w:rPr>
          <w:color w:val="auto"/>
          <w:szCs w:val="22"/>
          <w:highlight w:val="none"/>
        </w:rPr>
        <w:t>5</w:t>
      </w:r>
      <w:r>
        <w:rPr>
          <w:rFonts w:hint="eastAsia"/>
          <w:color w:val="auto"/>
          <w:szCs w:val="22"/>
          <w:highlight w:val="none"/>
        </w:rPr>
        <w:t>）项目部质检员简历及证明材料</w:t>
      </w:r>
    </w:p>
    <w:p>
      <w:pPr>
        <w:widowControl/>
        <w:spacing w:before="120" w:beforeLines="50"/>
        <w:ind w:firstLine="422"/>
        <w:jc w:val="center"/>
        <w:rPr>
          <w:b/>
          <w:bCs/>
          <w:color w:val="auto"/>
          <w:highlight w:val="none"/>
        </w:rPr>
      </w:pPr>
      <w:r>
        <w:rPr>
          <w:rFonts w:hint="eastAsia"/>
          <w:b/>
          <w:bCs/>
          <w:color w:val="auto"/>
          <w:highlight w:val="none"/>
        </w:rPr>
        <w:t>项目部质检员简历表</w:t>
      </w:r>
    </w:p>
    <w:tbl>
      <w:tblPr>
        <w:tblStyle w:val="19"/>
        <w:tblW w:w="0" w:type="auto"/>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2731"/>
        <w:gridCol w:w="993"/>
        <w:gridCol w:w="1181"/>
        <w:gridCol w:w="1940"/>
        <w:gridCol w:w="109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9279" w:type="dxa"/>
            <w:gridSpan w:val="6"/>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项目部质检员（</w:t>
            </w:r>
            <w:r>
              <w:rPr>
                <w:rFonts w:ascii="Times New Roman" w:hAnsi="Times New Roman"/>
                <w:b/>
                <w:color w:val="auto"/>
                <w:highlight w:val="none"/>
              </w:rPr>
              <w:t>1</w:t>
            </w:r>
            <w:r>
              <w:rPr>
                <w:rFonts w:hint="eastAsia" w:ascii="Times New Roman" w:hAnsi="Times New Roman"/>
                <w:b/>
                <w:color w:val="auto"/>
                <w:highlight w:val="none"/>
              </w:rPr>
              <w:t>）</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bottom w:val="single" w:color="auto" w:sz="4" w:space="0"/>
              <w:righ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tcBorders>
              <w:top w:val="single" w:color="000000" w:sz="4" w:space="0"/>
              <w:left w:val="single" w:color="auto" w:sz="8" w:space="0"/>
              <w:bottom w:val="single" w:color="000000" w:sz="4" w:space="0"/>
              <w:right w:val="single" w:color="auto" w:sz="8" w:space="0"/>
            </w:tcBorders>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项目部质检员（</w:t>
            </w:r>
            <w:r>
              <w:rPr>
                <w:rFonts w:ascii="Times New Roman" w:hAnsi="Times New Roman"/>
                <w:b/>
                <w:color w:val="auto"/>
                <w:highlight w:val="none"/>
              </w:rPr>
              <w:t>2</w:t>
            </w:r>
            <w:r>
              <w:rPr>
                <w:rFonts w:hint="eastAsia" w:ascii="Times New Roman" w:hAnsi="Times New Roman"/>
                <w:b/>
                <w:color w:val="auto"/>
                <w:highlight w:val="none"/>
              </w:rPr>
              <w:t>）</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bottom w:val="single" w:color="auto" w:sz="4" w:space="0"/>
              <w:righ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top w:val="single" w:color="auto" w:sz="4" w:space="0"/>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szCs w:val="21"/>
                <w:highlight w:val="none"/>
              </w:rPr>
            </w:pPr>
            <w:r>
              <w:rPr>
                <w:rFonts w:hint="eastAsia" w:ascii="Times New Roman" w:hAnsi="Times New Roman"/>
                <w:b/>
                <w:color w:val="auto"/>
                <w:szCs w:val="21"/>
                <w:highlight w:val="none"/>
              </w:rPr>
              <w:t>注：</w:t>
            </w:r>
          </w:p>
          <w:p>
            <w:pPr>
              <w:topLinePunct w:val="0"/>
              <w:rPr>
                <w:rFonts w:ascii="Times New Roman" w:hAnsi="Times New Roman"/>
                <w:color w:val="auto"/>
                <w:szCs w:val="21"/>
                <w:highlight w:val="none"/>
              </w:rPr>
            </w:pPr>
            <w:r>
              <w:rPr>
                <w:rFonts w:hint="eastAsia" w:ascii="Times New Roman" w:hAnsi="Times New Roman"/>
                <w:b/>
                <w:color w:val="auto"/>
                <w:szCs w:val="21"/>
                <w:highlight w:val="none"/>
              </w:rPr>
              <w:t>应列出招标公告中要求的业绩及工作经历。</w:t>
            </w:r>
          </w:p>
        </w:tc>
      </w:tr>
    </w:tbl>
    <w:p>
      <w:pPr>
        <w:adjustRightInd w:val="0"/>
        <w:spacing w:line="360" w:lineRule="exact"/>
        <w:ind w:firstLine="422"/>
        <w:rPr>
          <w:b/>
          <w:color w:val="auto"/>
          <w:szCs w:val="21"/>
          <w:highlight w:val="none"/>
        </w:rPr>
      </w:pPr>
      <w:r>
        <w:rPr>
          <w:rFonts w:hint="eastAsia"/>
          <w:b/>
          <w:color w:val="auto"/>
          <w:szCs w:val="21"/>
          <w:highlight w:val="none"/>
        </w:rPr>
        <w:t>项目部质检员应附证明材料（提交材料应包括</w:t>
      </w:r>
      <w:r>
        <w:rPr>
          <w:rFonts w:hint="eastAsia"/>
          <w:b/>
          <w:color w:val="auto"/>
          <w:szCs w:val="21"/>
          <w:highlight w:val="none"/>
          <w:lang w:val="en-US" w:eastAsia="zh-CN"/>
        </w:rPr>
        <w:t>技术评分标准</w:t>
      </w:r>
      <w:r>
        <w:rPr>
          <w:rFonts w:hint="eastAsia"/>
          <w:b/>
          <w:color w:val="auto"/>
          <w:szCs w:val="21"/>
          <w:highlight w:val="none"/>
        </w:rPr>
        <w:t>要求）：</w:t>
      </w:r>
    </w:p>
    <w:p>
      <w:pPr>
        <w:numPr>
          <w:ilvl w:val="0"/>
          <w:numId w:val="12"/>
        </w:numPr>
        <w:adjustRightInd w:val="0"/>
        <w:spacing w:line="360" w:lineRule="exact"/>
        <w:ind w:firstLine="422" w:firstLineChars="200"/>
        <w:rPr>
          <w:bCs/>
          <w:color w:val="auto"/>
          <w:szCs w:val="21"/>
          <w:highlight w:val="none"/>
        </w:rPr>
      </w:pPr>
      <w:r>
        <w:rPr>
          <w:rFonts w:hint="eastAsia"/>
          <w:b/>
          <w:color w:val="auto"/>
          <w:szCs w:val="21"/>
          <w:highlight w:val="none"/>
        </w:rPr>
        <w:t>身份证</w:t>
      </w:r>
      <w:r>
        <w:rPr>
          <w:rFonts w:hint="eastAsia"/>
          <w:bCs/>
          <w:color w:val="auto"/>
          <w:szCs w:val="21"/>
          <w:highlight w:val="none"/>
        </w:rPr>
        <w:t>扫描件；</w:t>
      </w:r>
    </w:p>
    <w:p>
      <w:pPr>
        <w:numPr>
          <w:ilvl w:val="0"/>
          <w:numId w:val="12"/>
        </w:numPr>
        <w:adjustRightInd w:val="0"/>
        <w:spacing w:line="360" w:lineRule="exact"/>
        <w:ind w:firstLine="420" w:firstLineChars="200"/>
        <w:rPr>
          <w:bCs/>
          <w:color w:val="auto"/>
          <w:szCs w:val="21"/>
          <w:highlight w:val="none"/>
        </w:rPr>
      </w:pPr>
      <w:r>
        <w:rPr>
          <w:rFonts w:hint="eastAsia"/>
          <w:color w:val="auto"/>
          <w:szCs w:val="21"/>
          <w:highlight w:val="none"/>
        </w:rPr>
        <w:t>投标截止日前</w:t>
      </w:r>
      <w:r>
        <w:rPr>
          <w:color w:val="auto"/>
          <w:szCs w:val="21"/>
          <w:highlight w:val="none"/>
        </w:rPr>
        <w:t>2</w:t>
      </w:r>
      <w:r>
        <w:rPr>
          <w:rFonts w:hint="eastAsia"/>
          <w:color w:val="auto"/>
          <w:szCs w:val="21"/>
          <w:highlight w:val="none"/>
        </w:rPr>
        <w:t>个月内开具的社会保险扫描件，或与投标人签署的劳动合同，或其他证明材料。社会保险由</w:t>
      </w:r>
      <w:r>
        <w:rPr>
          <w:rFonts w:hint="eastAsia"/>
          <w:b/>
          <w:bCs/>
          <w:color w:val="auto"/>
          <w:szCs w:val="21"/>
          <w:highlight w:val="none"/>
        </w:rPr>
        <w:t>总公司</w:t>
      </w:r>
      <w:r>
        <w:rPr>
          <w:rFonts w:hint="eastAsia"/>
          <w:color w:val="auto"/>
          <w:szCs w:val="21"/>
          <w:highlight w:val="none"/>
        </w:rPr>
        <w:t>统一缴纳的，可提供由</w:t>
      </w:r>
      <w:r>
        <w:rPr>
          <w:rFonts w:hint="eastAsia"/>
          <w:b/>
          <w:bCs/>
          <w:color w:val="auto"/>
          <w:szCs w:val="21"/>
          <w:highlight w:val="none"/>
        </w:rPr>
        <w:t>总公司</w:t>
      </w:r>
      <w:r>
        <w:rPr>
          <w:rFonts w:hint="eastAsia"/>
          <w:color w:val="auto"/>
          <w:szCs w:val="21"/>
          <w:highlight w:val="none"/>
        </w:rPr>
        <w:t>出具的统一缴纳证明，证明中应包含拟任关键人员姓名及身份证号</w:t>
      </w:r>
      <w:r>
        <w:rPr>
          <w:rFonts w:hint="eastAsia"/>
          <w:bCs/>
          <w:color w:val="auto"/>
          <w:szCs w:val="21"/>
          <w:highlight w:val="none"/>
        </w:rPr>
        <w:t>；</w:t>
      </w:r>
    </w:p>
    <w:p>
      <w:pPr>
        <w:numPr>
          <w:ilvl w:val="0"/>
          <w:numId w:val="12"/>
        </w:numPr>
        <w:adjustRightInd w:val="0"/>
        <w:spacing w:line="360" w:lineRule="exact"/>
        <w:ind w:firstLine="420" w:firstLineChars="200"/>
        <w:rPr>
          <w:bCs/>
          <w:color w:val="auto"/>
          <w:szCs w:val="21"/>
          <w:highlight w:val="none"/>
        </w:rPr>
      </w:pPr>
      <w:r>
        <w:rPr>
          <w:rFonts w:hint="eastAsia"/>
          <w:bCs/>
          <w:color w:val="auto"/>
          <w:szCs w:val="21"/>
          <w:highlight w:val="none"/>
        </w:rPr>
        <w:t>电力质量监督部门颁发的</w:t>
      </w:r>
      <w:r>
        <w:rPr>
          <w:rFonts w:hint="eastAsia"/>
          <w:b/>
          <w:color w:val="auto"/>
          <w:szCs w:val="21"/>
          <w:highlight w:val="none"/>
        </w:rPr>
        <w:t>质量培训合格证书</w:t>
      </w:r>
      <w:r>
        <w:rPr>
          <w:rFonts w:hint="eastAsia"/>
          <w:bCs/>
          <w:color w:val="auto"/>
          <w:szCs w:val="21"/>
          <w:highlight w:val="none"/>
        </w:rPr>
        <w:t>扫描件</w:t>
      </w:r>
      <w:r>
        <w:rPr>
          <w:rFonts w:hint="eastAsia" w:ascii="宋体" w:hAnsi="宋体" w:cs="宋体"/>
          <w:color w:val="auto"/>
          <w:szCs w:val="21"/>
          <w:highlight w:val="none"/>
          <w:lang w:bidi="ar"/>
        </w:rPr>
        <w:t>（应与现场所从事土建或电气专业一致）</w:t>
      </w:r>
      <w:r>
        <w:rPr>
          <w:rFonts w:hint="eastAsia"/>
          <w:bCs/>
          <w:color w:val="auto"/>
          <w:szCs w:val="21"/>
          <w:highlight w:val="none"/>
        </w:rPr>
        <w:t>。</w:t>
      </w:r>
    </w:p>
    <w:p>
      <w:pPr>
        <w:adjustRightInd w:val="0"/>
        <w:spacing w:line="360" w:lineRule="exact"/>
        <w:rPr>
          <w:bCs/>
          <w:color w:val="auto"/>
          <w:szCs w:val="21"/>
          <w:highlight w:val="none"/>
        </w:rPr>
      </w:pPr>
    </w:p>
    <w:p>
      <w:pPr>
        <w:widowControl/>
        <w:jc w:val="left"/>
        <w:rPr>
          <w:color w:val="auto"/>
          <w:highlight w:val="none"/>
        </w:rPr>
      </w:pPr>
      <w:r>
        <w:rPr>
          <w:color w:val="auto"/>
          <w:highlight w:val="none"/>
        </w:rPr>
        <w:br w:type="page"/>
      </w:r>
    </w:p>
    <w:p>
      <w:pPr>
        <w:adjustRightInd w:val="0"/>
        <w:spacing w:line="360" w:lineRule="exact"/>
        <w:ind w:firstLine="105" w:firstLineChars="50"/>
        <w:rPr>
          <w:color w:val="auto"/>
          <w:highlight w:val="none"/>
        </w:rPr>
      </w:pPr>
      <w:r>
        <w:rPr>
          <w:color w:val="auto"/>
          <w:highlight w:val="none"/>
        </w:rPr>
        <w:t>6</w:t>
      </w:r>
      <w:r>
        <w:rPr>
          <w:rFonts w:hint="eastAsia"/>
          <w:color w:val="auto"/>
          <w:highlight w:val="none"/>
        </w:rPr>
        <w:t>）技术专责简历及证明材料</w:t>
      </w:r>
    </w:p>
    <w:p>
      <w:pPr>
        <w:widowControl/>
        <w:spacing w:before="120" w:beforeLines="50"/>
        <w:ind w:firstLine="422"/>
        <w:jc w:val="center"/>
        <w:rPr>
          <w:b/>
          <w:bCs/>
          <w:color w:val="auto"/>
          <w:highlight w:val="none"/>
        </w:rPr>
      </w:pPr>
      <w:r>
        <w:rPr>
          <w:rFonts w:hint="eastAsia"/>
          <w:b/>
          <w:bCs/>
          <w:color w:val="auto"/>
          <w:highlight w:val="none"/>
        </w:rPr>
        <w:t>技术专责简历表</w:t>
      </w:r>
    </w:p>
    <w:tbl>
      <w:tblPr>
        <w:tblStyle w:val="19"/>
        <w:tblW w:w="0" w:type="auto"/>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2731"/>
        <w:gridCol w:w="993"/>
        <w:gridCol w:w="1181"/>
        <w:gridCol w:w="1940"/>
        <w:gridCol w:w="109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highlight w:val="none"/>
              </w:rPr>
            </w:pPr>
            <w:r>
              <w:rPr>
                <w:rFonts w:hint="eastAsia" w:ascii="Times New Roman" w:hAnsi="Times New Roman"/>
                <w:b/>
                <w:color w:val="auto"/>
                <w:highlight w:val="none"/>
              </w:rPr>
              <w:t>技术专责</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姓名</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身份证号</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学历</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42"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职称</w:t>
            </w:r>
          </w:p>
        </w:tc>
        <w:tc>
          <w:tcPr>
            <w:tcW w:w="2731" w:type="dxa"/>
            <w:noWrap w:val="0"/>
            <w:vAlign w:val="center"/>
          </w:tcPr>
          <w:p>
            <w:pPr>
              <w:topLinePunct w:val="0"/>
              <w:rPr>
                <w:rFonts w:ascii="Times New Roman" w:hAnsi="Times New Roman"/>
                <w:color w:val="auto"/>
                <w:highlight w:val="none"/>
              </w:rPr>
            </w:pPr>
          </w:p>
        </w:tc>
        <w:tc>
          <w:tcPr>
            <w:tcW w:w="993"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计划入场时间</w:t>
            </w:r>
          </w:p>
        </w:tc>
        <w:tc>
          <w:tcPr>
            <w:tcW w:w="1181" w:type="dxa"/>
            <w:noWrap w:val="0"/>
            <w:vAlign w:val="center"/>
          </w:tcPr>
          <w:p>
            <w:pPr>
              <w:topLinePunct w:val="0"/>
              <w:rPr>
                <w:rFonts w:ascii="Times New Roman" w:hAnsi="Times New Roman"/>
                <w:color w:val="auto"/>
                <w:highlight w:val="none"/>
              </w:rPr>
            </w:pPr>
          </w:p>
        </w:tc>
        <w:tc>
          <w:tcPr>
            <w:tcW w:w="1940" w:type="dxa"/>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计划退场时间</w:t>
            </w:r>
          </w:p>
        </w:tc>
        <w:tc>
          <w:tcPr>
            <w:tcW w:w="1092"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color w:val="auto"/>
                <w:highlight w:val="none"/>
              </w:rPr>
            </w:pPr>
            <w:r>
              <w:rPr>
                <w:rFonts w:hint="eastAsia" w:ascii="Times New Roman" w:hAnsi="Times New Roman"/>
                <w:color w:val="auto"/>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起止时间</w:t>
            </w:r>
          </w:p>
        </w:tc>
        <w:tc>
          <w:tcPr>
            <w:tcW w:w="2710"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工程名称</w:t>
            </w:r>
          </w:p>
        </w:tc>
        <w:tc>
          <w:tcPr>
            <w:tcW w:w="2174" w:type="dxa"/>
            <w:gridSpan w:val="2"/>
            <w:tcBorders>
              <w:righ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工程规模</w:t>
            </w:r>
          </w:p>
        </w:tc>
        <w:tc>
          <w:tcPr>
            <w:tcW w:w="1933" w:type="dxa"/>
            <w:tcBorders>
              <w:left w:val="single" w:color="auto" w:sz="4" w:space="0"/>
            </w:tcBorders>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工作内容</w:t>
            </w:r>
          </w:p>
        </w:tc>
        <w:tc>
          <w:tcPr>
            <w:tcW w:w="1099" w:type="dxa"/>
            <w:noWrap w:val="0"/>
            <w:vAlign w:val="center"/>
          </w:tcPr>
          <w:p>
            <w:pPr>
              <w:topLinePunct w:val="0"/>
              <w:jc w:val="center"/>
              <w:rPr>
                <w:rFonts w:ascii="Times New Roman" w:hAnsi="Times New Roman"/>
                <w:color w:val="auto"/>
                <w:highlight w:val="none"/>
              </w:rPr>
            </w:pPr>
            <w:r>
              <w:rPr>
                <w:rFonts w:hint="eastAsia" w:ascii="Times New Roman" w:hAnsi="Times New Roman"/>
                <w:color w:val="auto"/>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363" w:type="dxa"/>
            <w:noWrap w:val="0"/>
            <w:vAlign w:val="center"/>
          </w:tcPr>
          <w:p>
            <w:pPr>
              <w:topLinePunct w:val="0"/>
              <w:rPr>
                <w:rFonts w:ascii="Times New Roman" w:hAnsi="Times New Roman"/>
                <w:color w:val="auto"/>
                <w:highlight w:val="none"/>
              </w:rPr>
            </w:pPr>
          </w:p>
        </w:tc>
        <w:tc>
          <w:tcPr>
            <w:tcW w:w="2710" w:type="dxa"/>
            <w:noWrap w:val="0"/>
            <w:vAlign w:val="center"/>
          </w:tcPr>
          <w:p>
            <w:pPr>
              <w:topLinePunct w:val="0"/>
              <w:rPr>
                <w:rFonts w:ascii="Times New Roman" w:hAnsi="Times New Roman"/>
                <w:color w:val="auto"/>
                <w:highlight w:val="none"/>
              </w:rPr>
            </w:pPr>
          </w:p>
        </w:tc>
        <w:tc>
          <w:tcPr>
            <w:tcW w:w="2174" w:type="dxa"/>
            <w:gridSpan w:val="2"/>
            <w:tcBorders>
              <w:right w:val="single" w:color="auto" w:sz="4" w:space="0"/>
            </w:tcBorders>
            <w:noWrap w:val="0"/>
            <w:vAlign w:val="center"/>
          </w:tcPr>
          <w:p>
            <w:pPr>
              <w:topLinePunct w:val="0"/>
              <w:rPr>
                <w:rFonts w:ascii="Times New Roman" w:hAnsi="Times New Roman"/>
                <w:color w:val="auto"/>
                <w:highlight w:val="none"/>
              </w:rPr>
            </w:pPr>
          </w:p>
        </w:tc>
        <w:tc>
          <w:tcPr>
            <w:tcW w:w="1933" w:type="dxa"/>
            <w:tcBorders>
              <w:left w:val="single" w:color="auto" w:sz="4" w:space="0"/>
            </w:tcBorders>
            <w:noWrap w:val="0"/>
            <w:vAlign w:val="center"/>
          </w:tcPr>
          <w:p>
            <w:pPr>
              <w:topLinePunct w:val="0"/>
              <w:rPr>
                <w:rFonts w:ascii="Times New Roman" w:hAnsi="Times New Roman"/>
                <w:color w:val="auto"/>
                <w:highlight w:val="none"/>
              </w:rPr>
            </w:pPr>
          </w:p>
        </w:tc>
        <w:tc>
          <w:tcPr>
            <w:tcW w:w="1099" w:type="dxa"/>
            <w:noWrap w:val="0"/>
            <w:vAlign w:val="center"/>
          </w:tcPr>
          <w:p>
            <w:pPr>
              <w:topLinePunct w:val="0"/>
              <w:rPr>
                <w:rFonts w:ascii="Times New Roman" w:hAnsi="Times New Roman"/>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79" w:type="dxa"/>
            <w:gridSpan w:val="6"/>
            <w:noWrap w:val="0"/>
            <w:vAlign w:val="center"/>
          </w:tcPr>
          <w:p>
            <w:pPr>
              <w:topLinePunct w:val="0"/>
              <w:rPr>
                <w:rFonts w:ascii="Times New Roman" w:hAnsi="Times New Roman"/>
                <w:b/>
                <w:color w:val="auto"/>
                <w:szCs w:val="21"/>
                <w:highlight w:val="none"/>
              </w:rPr>
            </w:pPr>
            <w:r>
              <w:rPr>
                <w:rFonts w:hint="eastAsia" w:ascii="Times New Roman" w:hAnsi="Times New Roman"/>
                <w:b/>
                <w:color w:val="auto"/>
                <w:szCs w:val="21"/>
                <w:highlight w:val="none"/>
              </w:rPr>
              <w:t>注：</w:t>
            </w:r>
          </w:p>
          <w:p>
            <w:pPr>
              <w:topLinePunct w:val="0"/>
              <w:rPr>
                <w:rFonts w:ascii="Times New Roman" w:hAnsi="Times New Roman"/>
                <w:color w:val="auto"/>
                <w:szCs w:val="21"/>
                <w:highlight w:val="none"/>
              </w:rPr>
            </w:pPr>
            <w:r>
              <w:rPr>
                <w:rFonts w:hint="eastAsia" w:ascii="Times New Roman" w:hAnsi="Times New Roman"/>
                <w:b/>
                <w:color w:val="auto"/>
                <w:szCs w:val="21"/>
                <w:highlight w:val="none"/>
              </w:rPr>
              <w:t>应列出招标公告中要求的业绩及工作经历。</w:t>
            </w:r>
          </w:p>
        </w:tc>
      </w:tr>
    </w:tbl>
    <w:p>
      <w:pPr>
        <w:adjustRightInd w:val="0"/>
        <w:spacing w:line="360" w:lineRule="exact"/>
        <w:rPr>
          <w:b/>
          <w:color w:val="auto"/>
          <w:szCs w:val="21"/>
          <w:highlight w:val="none"/>
        </w:rPr>
      </w:pPr>
    </w:p>
    <w:p>
      <w:pPr>
        <w:adjustRightInd w:val="0"/>
        <w:spacing w:line="360" w:lineRule="exact"/>
        <w:rPr>
          <w:b/>
          <w:color w:val="auto"/>
          <w:szCs w:val="21"/>
          <w:highlight w:val="none"/>
        </w:rPr>
      </w:pPr>
      <w:r>
        <w:rPr>
          <w:rFonts w:hint="eastAsia"/>
          <w:b/>
          <w:color w:val="auto"/>
          <w:szCs w:val="21"/>
          <w:highlight w:val="none"/>
        </w:rPr>
        <w:t>技术专责应附证明材料（提交材料应包括</w:t>
      </w:r>
      <w:r>
        <w:rPr>
          <w:rFonts w:hint="eastAsia"/>
          <w:b/>
          <w:color w:val="auto"/>
          <w:szCs w:val="21"/>
          <w:highlight w:val="none"/>
          <w:lang w:val="en-US" w:eastAsia="zh-CN"/>
        </w:rPr>
        <w:t>技术评分标准</w:t>
      </w:r>
      <w:r>
        <w:rPr>
          <w:rFonts w:hint="eastAsia"/>
          <w:b/>
          <w:color w:val="auto"/>
          <w:szCs w:val="21"/>
          <w:highlight w:val="none"/>
        </w:rPr>
        <w:t>要求）：</w:t>
      </w:r>
    </w:p>
    <w:p>
      <w:pPr>
        <w:numPr>
          <w:ilvl w:val="0"/>
          <w:numId w:val="13"/>
        </w:numPr>
        <w:spacing w:line="360" w:lineRule="exact"/>
        <w:rPr>
          <w:color w:val="auto"/>
          <w:szCs w:val="21"/>
          <w:highlight w:val="none"/>
        </w:rPr>
      </w:pPr>
      <w:r>
        <w:rPr>
          <w:rFonts w:hint="eastAsia"/>
          <w:b/>
          <w:color w:val="auto"/>
          <w:szCs w:val="21"/>
          <w:highlight w:val="none"/>
        </w:rPr>
        <w:t>身份证扫描件</w:t>
      </w:r>
      <w:r>
        <w:rPr>
          <w:rFonts w:hint="eastAsia"/>
          <w:color w:val="auto"/>
          <w:szCs w:val="21"/>
          <w:highlight w:val="none"/>
        </w:rPr>
        <w:t>；</w:t>
      </w:r>
    </w:p>
    <w:p>
      <w:pPr>
        <w:numPr>
          <w:ilvl w:val="0"/>
          <w:numId w:val="13"/>
        </w:numPr>
        <w:spacing w:line="360" w:lineRule="exact"/>
        <w:rPr>
          <w:color w:val="auto"/>
          <w:szCs w:val="21"/>
          <w:highlight w:val="none"/>
        </w:rPr>
      </w:pPr>
      <w:r>
        <w:rPr>
          <w:rFonts w:hint="eastAsia"/>
          <w:b/>
          <w:color w:val="auto"/>
          <w:szCs w:val="21"/>
          <w:highlight w:val="none"/>
        </w:rPr>
        <w:t>技术职称证书</w:t>
      </w:r>
      <w:r>
        <w:rPr>
          <w:rFonts w:hint="eastAsia"/>
          <w:color w:val="auto"/>
          <w:szCs w:val="21"/>
          <w:highlight w:val="none"/>
        </w:rPr>
        <w:t>扫描件；</w:t>
      </w:r>
    </w:p>
    <w:p>
      <w:pPr>
        <w:numPr>
          <w:ilvl w:val="0"/>
          <w:numId w:val="13"/>
        </w:numPr>
        <w:adjustRightInd w:val="0"/>
        <w:rPr>
          <w:color w:val="auto"/>
          <w:szCs w:val="21"/>
          <w:highlight w:val="none"/>
        </w:rPr>
      </w:pPr>
      <w:r>
        <w:rPr>
          <w:rFonts w:hint="eastAsia"/>
          <w:color w:val="auto"/>
          <w:szCs w:val="21"/>
          <w:highlight w:val="none"/>
        </w:rPr>
        <w:t>投标截止日前</w:t>
      </w:r>
      <w:r>
        <w:rPr>
          <w:color w:val="auto"/>
          <w:szCs w:val="21"/>
          <w:highlight w:val="none"/>
        </w:rPr>
        <w:t>2</w:t>
      </w:r>
      <w:r>
        <w:rPr>
          <w:rFonts w:hint="eastAsia"/>
          <w:color w:val="auto"/>
          <w:szCs w:val="21"/>
          <w:highlight w:val="none"/>
        </w:rPr>
        <w:t>个月内开具的社会保险扫描件，或与投标人签署的劳动合同，或其他证明材料。社会保险由</w:t>
      </w:r>
      <w:r>
        <w:rPr>
          <w:rFonts w:hint="eastAsia"/>
          <w:b/>
          <w:bCs/>
          <w:color w:val="auto"/>
          <w:szCs w:val="21"/>
          <w:highlight w:val="none"/>
        </w:rPr>
        <w:t>总公司</w:t>
      </w:r>
      <w:r>
        <w:rPr>
          <w:rFonts w:hint="eastAsia"/>
          <w:color w:val="auto"/>
          <w:szCs w:val="21"/>
          <w:highlight w:val="none"/>
        </w:rPr>
        <w:t>统一缴纳的，可提供由</w:t>
      </w:r>
      <w:r>
        <w:rPr>
          <w:rFonts w:hint="eastAsia"/>
          <w:b/>
          <w:bCs/>
          <w:color w:val="auto"/>
          <w:szCs w:val="21"/>
          <w:highlight w:val="none"/>
        </w:rPr>
        <w:t>总公司</w:t>
      </w:r>
      <w:r>
        <w:rPr>
          <w:rFonts w:hint="eastAsia"/>
          <w:color w:val="auto"/>
          <w:szCs w:val="21"/>
          <w:highlight w:val="none"/>
        </w:rPr>
        <w:t>出具的统一缴纳证明，证明中应包含拟任关键人员姓名及身份证号。</w:t>
      </w:r>
    </w:p>
    <w:p>
      <w:pPr>
        <w:pStyle w:val="18"/>
        <w:numPr>
          <w:ilvl w:val="0"/>
          <w:numId w:val="7"/>
        </w:numPr>
        <w:ind w:leftChars="0"/>
        <w:jc w:val="left"/>
        <w:outlineLvl w:val="2"/>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color w:val="auto"/>
          <w:szCs w:val="21"/>
          <w:highlight w:val="none"/>
        </w:rPr>
        <w:br w:type="page"/>
      </w:r>
      <w:r>
        <w:rPr>
          <w:rFonts w:hint="eastAsia" w:ascii="方正仿宋_GBK" w:hAnsi="方正仿宋_GBK" w:eastAsia="方正仿宋_GBK" w:cs="方正仿宋_GBK"/>
          <w:b/>
          <w:bCs/>
          <w:color w:val="auto"/>
          <w:kern w:val="2"/>
          <w:sz w:val="22"/>
          <w:szCs w:val="22"/>
          <w:highlight w:val="none"/>
          <w:lang w:val="en-US" w:eastAsia="zh-CN" w:bidi="ar-SA"/>
        </w:rPr>
        <w:t>技术文件第二册</w:t>
      </w:r>
    </w:p>
    <w:p>
      <w:pPr>
        <w:numPr>
          <w:ilvl w:val="-1"/>
          <w:numId w:val="0"/>
        </w:numPr>
        <w:jc w:val="cente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目录</w:t>
      </w:r>
    </w:p>
    <w:tbl>
      <w:tblPr>
        <w:tblStyle w:val="19"/>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3"/>
        <w:gridCol w:w="2417"/>
        <w:gridCol w:w="2142"/>
        <w:gridCol w:w="21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064" w:type="pct"/>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评审要素</w:t>
            </w:r>
          </w:p>
        </w:tc>
        <w:tc>
          <w:tcPr>
            <w:tcW w:w="1418" w:type="pct"/>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投标文件响应</w:t>
            </w:r>
          </w:p>
        </w:tc>
        <w:tc>
          <w:tcPr>
            <w:tcW w:w="1257" w:type="pct"/>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响应文件对应页码</w:t>
            </w:r>
          </w:p>
        </w:tc>
        <w:tc>
          <w:tcPr>
            <w:tcW w:w="1258" w:type="pct"/>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highlight w:val="none"/>
                <w:u w:val="none"/>
                <w:lang w:val="en-US" w:eastAsia="zh-CN" w:bidi="ar"/>
              </w:rPr>
            </w:pPr>
            <w:r>
              <w:rPr>
                <w:rFonts w:hint="eastAsia" w:ascii="宋体" w:hAnsi="宋体" w:cs="宋体"/>
                <w:b/>
                <w:bCs/>
                <w:i w:val="0"/>
                <w:iCs w:val="0"/>
                <w:color w:val="auto"/>
                <w:kern w:val="0"/>
                <w:sz w:val="21"/>
                <w:szCs w:val="21"/>
                <w:highlight w:val="none"/>
                <w:u w:val="none"/>
                <w:lang w:val="en-US" w:eastAsia="zh-CN" w:bidi="ar"/>
              </w:rPr>
              <w:t>ECP</w:t>
            </w:r>
            <w:r>
              <w:rPr>
                <w:rFonts w:hint="eastAsia" w:ascii="宋体" w:hAnsi="宋体" w:eastAsia="宋体" w:cs="宋体"/>
                <w:b/>
                <w:bCs/>
                <w:i w:val="0"/>
                <w:iCs w:val="0"/>
                <w:color w:val="auto"/>
                <w:kern w:val="0"/>
                <w:sz w:val="21"/>
                <w:szCs w:val="21"/>
                <w:highlight w:val="none"/>
                <w:u w:val="none"/>
                <w:lang w:val="en-US" w:eastAsia="zh-CN" w:bidi="ar"/>
              </w:rPr>
              <w:t>上传路径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trPr>
        <w:tc>
          <w:tcPr>
            <w:tcW w:w="1064" w:type="pct"/>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技术评分标准逐条逐项应答</w:t>
            </w:r>
          </w:p>
        </w:tc>
        <w:tc>
          <w:tcPr>
            <w:tcW w:w="1418" w:type="pc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1.技术评分标准逐条逐项应答</w:t>
            </w:r>
          </w:p>
        </w:tc>
        <w:tc>
          <w:tcPr>
            <w:tcW w:w="1257" w:type="pc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sz w:val="20"/>
                <w:szCs w:val="20"/>
                <w:highlight w:val="none"/>
                <w:u w:val="none"/>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restar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lang w:val="en-US" w:eastAsia="zh-CN"/>
              </w:rPr>
              <w:t>部分</w:t>
            </w:r>
            <w:r>
              <w:rPr>
                <w:rFonts w:ascii="Times New Roman" w:hAnsi="Times New Roman"/>
                <w:color w:val="auto"/>
                <w:kern w:val="0"/>
                <w:sz w:val="18"/>
                <w:szCs w:val="18"/>
                <w:highlight w:val="none"/>
              </w:rPr>
              <w:t>-</w:t>
            </w:r>
            <w:r>
              <w:rPr>
                <w:rFonts w:hint="eastAsia"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5" w:hRule="atLeast"/>
        </w:trPr>
        <w:tc>
          <w:tcPr>
            <w:tcW w:w="1064" w:type="pct"/>
            <w:vMerge w:val="restart"/>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lang w:val="en-US" w:eastAsia="zh-CN"/>
              </w:rPr>
            </w:pPr>
            <w:r>
              <w:rPr>
                <w:rFonts w:hint="eastAsia" w:ascii="宋体" w:hAnsi="宋体" w:cs="宋体"/>
                <w:i w:val="0"/>
                <w:iCs w:val="0"/>
                <w:color w:val="auto"/>
                <w:sz w:val="20"/>
                <w:szCs w:val="20"/>
                <w:highlight w:val="none"/>
                <w:u w:val="none"/>
                <w:lang w:val="en-US" w:eastAsia="zh-CN"/>
              </w:rPr>
              <w:t>其他</w:t>
            </w:r>
          </w:p>
        </w:tc>
        <w:tc>
          <w:tcPr>
            <w:tcW w:w="2417" w:type="dxa"/>
            <w:tcBorders>
              <w:tl2br w:val="nil"/>
              <w:tr2bl w:val="nil"/>
            </w:tcBorders>
            <w:noWrap w:val="0"/>
            <w:vAlign w:val="center"/>
          </w:tcPr>
          <w:p>
            <w:pPr>
              <w:widowControl/>
              <w:adjustRightInd w:val="0"/>
              <w:spacing w:line="312" w:lineRule="atLeast"/>
              <w:textAlignment w:val="center"/>
              <w:rPr>
                <w:rFonts w:hint="eastAsia" w:ascii="宋体" w:hAnsi="宋体" w:eastAsia="宋体" w:cs="宋体"/>
                <w:strike/>
                <w:color w:val="auto"/>
                <w:kern w:val="2"/>
                <w:sz w:val="20"/>
                <w:szCs w:val="20"/>
                <w:highlight w:val="none"/>
                <w:lang w:val="en-US" w:eastAsia="zh-CN" w:bidi="ar-SA"/>
              </w:rPr>
            </w:pPr>
            <w:r>
              <w:rPr>
                <w:rFonts w:hint="eastAsia" w:ascii="Times New Roman" w:hAnsi="Times New Roman"/>
                <w:color w:val="auto"/>
                <w:kern w:val="0"/>
                <w:sz w:val="18"/>
                <w:szCs w:val="18"/>
                <w:highlight w:val="none"/>
                <w:lang w:val="en-US" w:eastAsia="zh-CN" w:bidi="ar"/>
              </w:rPr>
              <w:t>2.</w:t>
            </w:r>
            <w:r>
              <w:rPr>
                <w:rFonts w:hint="eastAsia" w:ascii="Times New Roman" w:hAnsi="Times New Roman"/>
                <w:color w:val="auto"/>
                <w:kern w:val="0"/>
                <w:sz w:val="18"/>
                <w:szCs w:val="18"/>
                <w:highlight w:val="none"/>
                <w:lang w:bidi="ar"/>
              </w:rPr>
              <w:t>施工组织设计编写要点</w:t>
            </w:r>
          </w:p>
        </w:tc>
        <w:tc>
          <w:tcPr>
            <w:tcW w:w="1257" w:type="pc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strike/>
                <w:color w:val="auto"/>
                <w:sz w:val="20"/>
                <w:szCs w:val="20"/>
                <w:highlight w:val="none"/>
                <w:u w:val="none"/>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continue"/>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5" w:hRule="atLeast"/>
        </w:trPr>
        <w:tc>
          <w:tcPr>
            <w:tcW w:w="1064" w:type="pct"/>
            <w:vMerge w:val="continue"/>
            <w:tcBorders>
              <w:tl2br w:val="nil"/>
              <w:tr2bl w:val="nil"/>
            </w:tcBorders>
            <w:noWrap w:val="0"/>
            <w:vAlign w:val="center"/>
          </w:tcPr>
          <w:p>
            <w:pPr>
              <w:keepNext w:val="0"/>
              <w:keepLines w:val="0"/>
              <w:widowControl/>
              <w:suppressLineNumbers w:val="0"/>
              <w:jc w:val="center"/>
              <w:textAlignment w:val="center"/>
              <w:rPr>
                <w:rFonts w:hint="eastAsia" w:ascii="宋体" w:hAnsi="宋体" w:cs="宋体"/>
                <w:i w:val="0"/>
                <w:iCs w:val="0"/>
                <w:color w:val="auto"/>
                <w:sz w:val="20"/>
                <w:szCs w:val="20"/>
                <w:highlight w:val="none"/>
                <w:u w:val="none"/>
                <w:lang w:val="en-US" w:eastAsia="zh-CN"/>
              </w:rPr>
            </w:pPr>
          </w:p>
        </w:tc>
        <w:tc>
          <w:tcPr>
            <w:tcW w:w="2634" w:type="dxa"/>
            <w:tcBorders>
              <w:tl2br w:val="nil"/>
              <w:tr2bl w:val="nil"/>
            </w:tcBorders>
            <w:noWrap w:val="0"/>
            <w:vAlign w:val="center"/>
          </w:tcPr>
          <w:p>
            <w:pPr>
              <w:widowControl/>
              <w:adjustRightInd w:val="0"/>
              <w:spacing w:line="312" w:lineRule="atLeast"/>
              <w:textAlignment w:val="center"/>
              <w:rPr>
                <w:rFonts w:hint="eastAsia" w:ascii="宋体" w:hAnsi="宋体" w:eastAsia="宋体" w:cs="宋体"/>
                <w:strike/>
                <w:color w:val="auto"/>
                <w:sz w:val="20"/>
                <w:szCs w:val="20"/>
                <w:highlight w:val="none"/>
                <w:lang w:val="en-US" w:eastAsia="zh-CN"/>
              </w:rPr>
            </w:pPr>
            <w:r>
              <w:rPr>
                <w:rFonts w:hint="eastAsia" w:ascii="Times New Roman" w:hAnsi="Times New Roman"/>
                <w:color w:val="auto"/>
                <w:kern w:val="0"/>
                <w:sz w:val="18"/>
                <w:szCs w:val="18"/>
                <w:highlight w:val="none"/>
                <w:lang w:val="en-US" w:eastAsia="zh-CN" w:bidi="ar"/>
              </w:rPr>
              <w:t>3.</w:t>
            </w:r>
            <w:r>
              <w:rPr>
                <w:rFonts w:hint="eastAsia" w:ascii="Times New Roman" w:hAnsi="Times New Roman"/>
                <w:color w:val="auto"/>
                <w:kern w:val="0"/>
                <w:sz w:val="18"/>
                <w:szCs w:val="18"/>
                <w:highlight w:val="none"/>
                <w:lang w:bidi="ar"/>
              </w:rPr>
              <w:t>施工组织设计附件</w:t>
            </w:r>
          </w:p>
        </w:tc>
        <w:tc>
          <w:tcPr>
            <w:tcW w:w="2142" w:type="dxa"/>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strike/>
                <w:color w:val="auto"/>
                <w:kern w:val="0"/>
                <w:sz w:val="20"/>
                <w:szCs w:val="20"/>
                <w:highlight w:val="none"/>
                <w:u w:val="none"/>
                <w:lang w:val="en-US" w:eastAsia="zh-CN" w:bidi="ar"/>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continue"/>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75" w:hRule="atLeast"/>
        </w:trPr>
        <w:tc>
          <w:tcPr>
            <w:tcW w:w="1064" w:type="pct"/>
            <w:vMerge w:val="continue"/>
            <w:tcBorders>
              <w:tl2br w:val="nil"/>
              <w:tr2bl w:val="nil"/>
            </w:tcBorders>
            <w:noWrap w:val="0"/>
            <w:vAlign w:val="center"/>
          </w:tcPr>
          <w:p>
            <w:pPr>
              <w:keepNext w:val="0"/>
              <w:keepLines w:val="0"/>
              <w:widowControl/>
              <w:suppressLineNumbers w:val="0"/>
              <w:jc w:val="center"/>
              <w:textAlignment w:val="center"/>
              <w:rPr>
                <w:rFonts w:hint="eastAsia" w:ascii="宋体" w:hAnsi="宋体" w:cs="宋体"/>
                <w:i w:val="0"/>
                <w:iCs w:val="0"/>
                <w:color w:val="auto"/>
                <w:sz w:val="20"/>
                <w:szCs w:val="20"/>
                <w:highlight w:val="none"/>
                <w:u w:val="none"/>
                <w:lang w:val="en-US" w:eastAsia="zh-CN"/>
              </w:rPr>
            </w:pPr>
          </w:p>
        </w:tc>
        <w:tc>
          <w:tcPr>
            <w:tcW w:w="2634" w:type="dxa"/>
            <w:tcBorders>
              <w:tl2br w:val="nil"/>
              <w:tr2bl w:val="nil"/>
            </w:tcBorders>
            <w:noWrap w:val="0"/>
            <w:vAlign w:val="center"/>
          </w:tcPr>
          <w:p>
            <w:pPr>
              <w:autoSpaceDE w:val="0"/>
              <w:autoSpaceDN w:val="0"/>
              <w:adjustRightInd w:val="0"/>
              <w:snapToGrid w:val="0"/>
              <w:jc w:val="left"/>
              <w:rPr>
                <w:rFonts w:hint="eastAsia" w:ascii="宋体" w:hAnsi="宋体" w:eastAsia="宋体" w:cs="宋体"/>
                <w:strike/>
                <w:color w:val="auto"/>
                <w:sz w:val="20"/>
                <w:szCs w:val="20"/>
                <w:highlight w:val="none"/>
                <w:lang w:val="en-US" w:eastAsia="zh-CN"/>
              </w:rPr>
            </w:pPr>
            <w:r>
              <w:rPr>
                <w:rFonts w:hint="eastAsia" w:ascii="宋体" w:hAnsi="宋体" w:eastAsia="宋体" w:cs="宋体"/>
                <w:b w:val="0"/>
                <w:bCs/>
                <w:i w:val="0"/>
                <w:iCs w:val="0"/>
                <w:color w:val="auto"/>
                <w:kern w:val="2"/>
                <w:sz w:val="20"/>
                <w:szCs w:val="20"/>
                <w:highlight w:val="none"/>
                <w:u w:val="none"/>
                <w:lang w:val="en-US" w:eastAsia="zh-CN" w:bidi="ar"/>
              </w:rPr>
              <w:t>4.绿色施工方案</w:t>
            </w:r>
          </w:p>
        </w:tc>
        <w:tc>
          <w:tcPr>
            <w:tcW w:w="2142" w:type="dxa"/>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strike/>
                <w:color w:val="auto"/>
                <w:kern w:val="0"/>
                <w:sz w:val="20"/>
                <w:szCs w:val="20"/>
                <w:highlight w:val="none"/>
                <w:u w:val="none"/>
                <w:lang w:val="en-US" w:eastAsia="zh-CN" w:bidi="ar"/>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continue"/>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5" w:hRule="atLeast"/>
        </w:trPr>
        <w:tc>
          <w:tcPr>
            <w:tcW w:w="1064" w:type="pct"/>
            <w:vMerge w:val="continue"/>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p>
        </w:tc>
        <w:tc>
          <w:tcPr>
            <w:tcW w:w="1418" w:type="pct"/>
            <w:tcBorders>
              <w:tl2br w:val="nil"/>
              <w:tr2bl w:val="nil"/>
            </w:tcBorders>
            <w:noWrap w:val="0"/>
            <w:vAlign w:val="center"/>
          </w:tcPr>
          <w:p>
            <w:pPr>
              <w:autoSpaceDE w:val="0"/>
              <w:autoSpaceDN w:val="0"/>
              <w:adjustRightInd w:val="0"/>
              <w:snapToGrid w:val="0"/>
              <w:jc w:val="left"/>
              <w:rPr>
                <w:rFonts w:hint="eastAsia" w:ascii="宋体" w:hAnsi="宋体" w:eastAsia="宋体" w:cs="宋体"/>
                <w:color w:val="auto"/>
                <w:kern w:val="2"/>
                <w:sz w:val="20"/>
                <w:szCs w:val="20"/>
                <w:highlight w:val="none"/>
                <w:lang w:val="en-US" w:eastAsia="zh-CN" w:bidi="ar-SA"/>
              </w:rPr>
            </w:pPr>
            <w:r>
              <w:rPr>
                <w:rFonts w:hint="eastAsia" w:ascii="宋体" w:hAnsi="宋体" w:eastAsia="宋体" w:cs="宋体"/>
                <w:b w:val="0"/>
                <w:bCs/>
                <w:i w:val="0"/>
                <w:iCs w:val="0"/>
                <w:color w:val="auto"/>
                <w:kern w:val="2"/>
                <w:sz w:val="20"/>
                <w:szCs w:val="20"/>
                <w:highlight w:val="none"/>
                <w:u w:val="none"/>
                <w:lang w:val="en-US" w:eastAsia="zh-CN" w:bidi="ar"/>
              </w:rPr>
              <w:t>5.</w:t>
            </w:r>
            <w:r>
              <w:rPr>
                <w:rFonts w:hint="eastAsia" w:ascii="Times New Roman" w:hAnsi="Times New Roman" w:eastAsia="宋体" w:cs="Times New Roman"/>
                <w:color w:val="auto"/>
                <w:kern w:val="0"/>
                <w:sz w:val="18"/>
                <w:szCs w:val="18"/>
                <w:highlight w:val="none"/>
                <w:lang w:val="en-US" w:eastAsia="zh-CN" w:bidi="ar"/>
              </w:rPr>
              <w:t>数智施工方法与资源应答</w:t>
            </w:r>
          </w:p>
        </w:tc>
        <w:tc>
          <w:tcPr>
            <w:tcW w:w="1257" w:type="pc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sz w:val="20"/>
                <w:szCs w:val="20"/>
                <w:highlight w:val="none"/>
                <w:u w:val="none"/>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continue"/>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1064" w:type="pct"/>
            <w:vMerge w:val="continue"/>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p>
        </w:tc>
        <w:tc>
          <w:tcPr>
            <w:tcW w:w="1418" w:type="pct"/>
            <w:tcBorders>
              <w:tl2br w:val="nil"/>
              <w:tr2bl w:val="nil"/>
            </w:tcBorders>
            <w:noWrap w:val="0"/>
            <w:vAlign w:val="center"/>
          </w:tcPr>
          <w:p>
            <w:pPr>
              <w:autoSpaceDE w:val="0"/>
              <w:autoSpaceDN w:val="0"/>
              <w:adjustRightInd w:val="0"/>
              <w:snapToGrid w:val="0"/>
              <w:jc w:val="left"/>
              <w:rPr>
                <w:rFonts w:hint="eastAsia" w:ascii="宋体" w:hAnsi="宋体" w:eastAsia="宋体" w:cs="宋体"/>
                <w:color w:val="auto"/>
                <w:kern w:val="2"/>
                <w:sz w:val="20"/>
                <w:szCs w:val="20"/>
                <w:highlight w:val="none"/>
                <w:lang w:val="en-US" w:eastAsia="zh-CN" w:bidi="ar-SA"/>
              </w:rPr>
            </w:pPr>
            <w:r>
              <w:rPr>
                <w:rFonts w:hint="eastAsia" w:ascii="宋体" w:hAnsi="宋体" w:eastAsia="宋体" w:cs="宋体"/>
                <w:color w:val="auto"/>
                <w:sz w:val="20"/>
                <w:szCs w:val="20"/>
                <w:highlight w:val="none"/>
                <w:lang w:val="en-US" w:eastAsia="zh-CN"/>
              </w:rPr>
              <w:t>6.</w:t>
            </w:r>
            <w:r>
              <w:rPr>
                <w:rFonts w:hint="eastAsia" w:ascii="宋体" w:hAnsi="宋体" w:eastAsia="宋体" w:cs="宋体"/>
                <w:color w:val="auto"/>
                <w:sz w:val="20"/>
                <w:szCs w:val="20"/>
                <w:highlight w:val="none"/>
              </w:rPr>
              <w:t>投标人认为需要加以说明的其他技术内容</w:t>
            </w:r>
          </w:p>
        </w:tc>
        <w:tc>
          <w:tcPr>
            <w:tcW w:w="1257" w:type="pc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sz w:val="20"/>
                <w:szCs w:val="20"/>
                <w:highlight w:val="none"/>
                <w:u w:val="none"/>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continue"/>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trPr>
        <w:tc>
          <w:tcPr>
            <w:tcW w:w="1064" w:type="pct"/>
            <w:vMerge w:val="continue"/>
            <w:tcBorders>
              <w:tl2br w:val="nil"/>
              <w:tr2bl w:val="nil"/>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p>
        </w:tc>
        <w:tc>
          <w:tcPr>
            <w:tcW w:w="1418" w:type="pct"/>
            <w:tcBorders>
              <w:tl2br w:val="nil"/>
              <w:tr2bl w:val="nil"/>
            </w:tcBorders>
            <w:noWrap w:val="0"/>
            <w:vAlign w:val="center"/>
          </w:tcPr>
          <w:p>
            <w:pPr>
              <w:autoSpaceDE w:val="0"/>
              <w:autoSpaceDN w:val="0"/>
              <w:adjustRightInd w:val="0"/>
              <w:snapToGrid w:val="0"/>
              <w:jc w:val="left"/>
              <w:rPr>
                <w:rFonts w:hint="eastAsia" w:ascii="宋体" w:hAnsi="宋体" w:eastAsia="宋体" w:cs="宋体"/>
                <w:color w:val="auto"/>
                <w:kern w:val="2"/>
                <w:sz w:val="20"/>
                <w:szCs w:val="20"/>
                <w:highlight w:val="none"/>
                <w:lang w:val="en-US" w:eastAsia="zh-CN" w:bidi="ar-SA"/>
              </w:rPr>
            </w:pPr>
            <w:r>
              <w:rPr>
                <w:rFonts w:hint="eastAsia" w:ascii="宋体" w:hAnsi="宋体" w:eastAsia="宋体" w:cs="宋体"/>
                <w:color w:val="auto"/>
                <w:sz w:val="20"/>
                <w:szCs w:val="20"/>
                <w:highlight w:val="none"/>
                <w:lang w:val="en-US" w:eastAsia="zh-CN"/>
              </w:rPr>
              <w:t>7.</w:t>
            </w:r>
            <w:r>
              <w:rPr>
                <w:rFonts w:hint="eastAsia" w:ascii="宋体" w:hAnsi="宋体" w:eastAsia="宋体" w:cs="宋体"/>
                <w:color w:val="auto"/>
                <w:sz w:val="20"/>
                <w:szCs w:val="20"/>
                <w:highlight w:val="none"/>
              </w:rPr>
              <w:t>投标图纸、专题报告（如有）</w:t>
            </w:r>
          </w:p>
        </w:tc>
        <w:tc>
          <w:tcPr>
            <w:tcW w:w="1257" w:type="pct"/>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sz w:val="20"/>
                <w:szCs w:val="20"/>
                <w:highlight w:val="none"/>
                <w:u w:val="none"/>
              </w:rPr>
            </w:pPr>
            <w:r>
              <w:rPr>
                <w:rFonts w:hint="eastAsia" w:ascii="宋体" w:hAnsi="宋体" w:eastAsia="宋体" w:cs="宋体"/>
                <w:i/>
                <w:iCs/>
                <w:color w:val="auto"/>
                <w:kern w:val="0"/>
                <w:sz w:val="20"/>
                <w:szCs w:val="20"/>
                <w:highlight w:val="none"/>
                <w:u w:val="none"/>
                <w:lang w:val="en-US" w:eastAsia="zh-CN" w:bidi="ar"/>
              </w:rPr>
              <w:t>例：技术文件第二册 第X页-第X页</w:t>
            </w:r>
          </w:p>
        </w:tc>
        <w:tc>
          <w:tcPr>
            <w:tcW w:w="1258" w:type="pct"/>
            <w:vMerge w:val="continue"/>
            <w:tcBorders>
              <w:tl2br w:val="nil"/>
              <w:tr2bl w:val="nil"/>
            </w:tcBorders>
            <w:noWrap w:val="0"/>
            <w:vAlign w:val="center"/>
          </w:tcPr>
          <w:p>
            <w:pPr>
              <w:keepNext w:val="0"/>
              <w:keepLines w:val="0"/>
              <w:widowControl/>
              <w:suppressLineNumbers w:val="0"/>
              <w:jc w:val="left"/>
              <w:textAlignment w:val="center"/>
              <w:rPr>
                <w:rFonts w:hint="eastAsia" w:ascii="宋体" w:hAnsi="宋体" w:eastAsia="宋体" w:cs="宋体"/>
                <w:i/>
                <w:iCs/>
                <w:color w:val="auto"/>
                <w:kern w:val="0"/>
                <w:sz w:val="20"/>
                <w:szCs w:val="20"/>
                <w:highlight w:val="none"/>
                <w:u w:val="none"/>
                <w:lang w:val="en-US" w:eastAsia="zh-CN"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default"/>
          <w:color w:val="auto"/>
          <w:highlight w:val="none"/>
          <w:lang w:val="en-US" w:eastAsia="zh-CN"/>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1.技术评分标准逐条逐项应答</w:t>
      </w:r>
    </w:p>
    <w:p>
      <w:pPr>
        <w:spacing w:line="360" w:lineRule="exact"/>
        <w:ind w:firstLine="525" w:firstLineChars="250"/>
        <w:jc w:val="left"/>
        <w:rPr>
          <w:rFonts w:hint="eastAsia" w:ascii="Times New Roman" w:hAnsi="Times New Roman" w:cs="Times New Roman"/>
          <w:color w:val="auto"/>
          <w:szCs w:val="22"/>
          <w:highlight w:val="none"/>
          <w:lang w:val="en-US" w:eastAsia="zh-CN"/>
        </w:rPr>
      </w:pPr>
      <w:r>
        <w:rPr>
          <w:rFonts w:hint="eastAsia" w:ascii="Times New Roman" w:hAnsi="Times New Roman" w:cs="Times New Roman"/>
          <w:color w:val="auto"/>
          <w:szCs w:val="22"/>
          <w:highlight w:val="none"/>
          <w:lang w:val="en-US" w:eastAsia="zh-CN"/>
        </w:rPr>
        <w:t>投标人对照招标文件第三章评标办法“前附表之四：技术评分标准”的内容，逐条逐项应答。对于在投标文件其他部分已经响应的内容，投标人仅应答投标文件相应章节名称；对于“技术评分标准”中要求评审，且未在投标文件其他部分响应的内容，投标人应逐条逐项进行应答，并按照招标文件要求提供相关证明材料。</w:t>
      </w:r>
    </w:p>
    <w:p>
      <w:pPr>
        <w:spacing w:line="360" w:lineRule="exact"/>
        <w:ind w:firstLine="525" w:firstLineChars="250"/>
        <w:jc w:val="left"/>
        <w:rPr>
          <w:rFonts w:hint="eastAsia" w:ascii="Times New Roman" w:hAnsi="Times New Roman" w:cs="Times New Roman"/>
          <w:color w:val="auto"/>
          <w:szCs w:val="22"/>
          <w:highlight w:val="none"/>
          <w:lang w:val="en-US" w:eastAsia="zh-CN"/>
        </w:rPr>
      </w:pPr>
      <w:r>
        <w:rPr>
          <w:rFonts w:hint="eastAsia" w:ascii="Times New Roman" w:hAnsi="Times New Roman" w:cs="Times New Roman"/>
          <w:color w:val="auto"/>
          <w:szCs w:val="22"/>
          <w:highlight w:val="none"/>
          <w:lang w:val="en-US" w:eastAsia="zh-CN"/>
        </w:rPr>
        <w:t>例如：</w:t>
      </w:r>
    </w:p>
    <w:p>
      <w:pPr>
        <w:spacing w:line="360" w:lineRule="exact"/>
        <w:ind w:firstLine="525" w:firstLineChars="250"/>
        <w:jc w:val="left"/>
        <w:rPr>
          <w:rFonts w:hint="eastAsia" w:ascii="Times New Roman" w:hAnsi="Times New Roman" w:cs="Times New Roman"/>
          <w:color w:val="auto"/>
          <w:szCs w:val="22"/>
          <w:highlight w:val="none"/>
          <w:lang w:val="en-US" w:eastAsia="zh-CN"/>
        </w:rPr>
      </w:pPr>
      <w:r>
        <w:rPr>
          <w:rFonts w:hint="eastAsia" w:ascii="Times New Roman" w:hAnsi="Times New Roman" w:cs="Times New Roman"/>
          <w:color w:val="auto"/>
          <w:szCs w:val="22"/>
          <w:highlight w:val="none"/>
          <w:lang w:val="en-US" w:eastAsia="zh-CN"/>
        </w:rPr>
        <w:t>1.站区规划和总平面布置方案</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投标人应答：</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“站区规划和总平面布置方案：见技术投标文件6.设计方案”。</w:t>
      </w:r>
    </w:p>
    <w:p>
      <w:pPr>
        <w:spacing w:line="360" w:lineRule="exact"/>
        <w:ind w:firstLine="525" w:firstLineChars="250"/>
        <w:jc w:val="left"/>
        <w:rPr>
          <w:rFonts w:hint="eastAsia" w:ascii="Times New Roman" w:hAnsi="Times New Roman" w:cs="Times New Roman"/>
          <w:color w:val="auto"/>
          <w:szCs w:val="22"/>
          <w:highlight w:val="none"/>
          <w:lang w:val="en-US" w:eastAsia="zh-CN"/>
        </w:rPr>
      </w:pPr>
      <w:r>
        <w:rPr>
          <w:rFonts w:hint="eastAsia" w:ascii="Times New Roman" w:hAnsi="Times New Roman" w:cs="Times New Roman"/>
          <w:color w:val="auto"/>
          <w:szCs w:val="22"/>
          <w:highlight w:val="none"/>
          <w:lang w:val="en-US" w:eastAsia="zh-CN"/>
        </w:rPr>
        <w:t>2.电气主接线、变电站控制方式</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投标人应答：</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“电气主接线、变电站控制方式：见技术投标文件6.设计方案”。</w:t>
      </w:r>
    </w:p>
    <w:p>
      <w:pPr>
        <w:spacing w:line="360" w:lineRule="exact"/>
        <w:ind w:firstLine="525" w:firstLineChars="250"/>
        <w:jc w:val="left"/>
        <w:rPr>
          <w:rFonts w:hint="eastAsia" w:ascii="Times New Roman" w:hAnsi="Times New Roman" w:cs="Times New Roman"/>
          <w:color w:val="auto"/>
          <w:szCs w:val="22"/>
          <w:highlight w:val="none"/>
          <w:lang w:val="en-US" w:eastAsia="zh-CN"/>
        </w:rPr>
      </w:pPr>
      <w:r>
        <w:rPr>
          <w:rFonts w:hint="eastAsia" w:ascii="Times New Roman" w:hAnsi="Times New Roman" w:cs="Times New Roman"/>
          <w:color w:val="auto"/>
          <w:szCs w:val="22"/>
          <w:highlight w:val="none"/>
          <w:lang w:val="en-US" w:eastAsia="zh-CN"/>
        </w:rPr>
        <w:t>3.应急保障支撑</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投标人应答：</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投标人结合自身情况，基于工程实地环境，有针对性地从应急保障资源（设备、人员队伍）、响应到位时间、应对措施制度等方面开展描述与分析，重点体现投标人在工程投产后质保期内故障快速处理和工程建设期间突发事件及时应对的应急保障支撑能力。”......</w:t>
      </w:r>
    </w:p>
    <w:p>
      <w:pPr>
        <w:spacing w:line="360" w:lineRule="exact"/>
        <w:ind w:firstLine="525" w:firstLineChars="250"/>
        <w:jc w:val="left"/>
        <w:rPr>
          <w:rFonts w:hint="eastAsia" w:ascii="Times New Roman" w:hAnsi="Times New Roman" w:cs="Times New Roman"/>
          <w:color w:val="auto"/>
          <w:szCs w:val="22"/>
          <w:highlight w:val="none"/>
          <w:lang w:val="en-US" w:eastAsia="zh-CN"/>
        </w:rPr>
      </w:pPr>
      <w:r>
        <w:rPr>
          <w:rFonts w:hint="eastAsia" w:ascii="Times New Roman" w:hAnsi="Times New Roman" w:cs="Times New Roman"/>
          <w:color w:val="auto"/>
          <w:szCs w:val="22"/>
          <w:highlight w:val="none"/>
          <w:lang w:val="en-US" w:eastAsia="zh-CN"/>
        </w:rPr>
        <w:t>4.......</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投标人应答：</w:t>
      </w:r>
    </w:p>
    <w:p>
      <w:pPr>
        <w:spacing w:line="360" w:lineRule="exact"/>
        <w:ind w:firstLine="525" w:firstLineChars="250"/>
        <w:jc w:val="left"/>
        <w:rPr>
          <w:rFonts w:hint="eastAsia" w:ascii="Times New Roman" w:hAnsi="Times New Roman" w:cs="Times New Roman"/>
          <w:i/>
          <w:iCs/>
          <w:color w:val="auto"/>
          <w:szCs w:val="22"/>
          <w:highlight w:val="none"/>
          <w:lang w:val="en-US" w:eastAsia="zh-CN"/>
        </w:rPr>
      </w:pPr>
      <w:r>
        <w:rPr>
          <w:rFonts w:hint="eastAsia" w:ascii="Times New Roman" w:hAnsi="Times New Roman" w:cs="Times New Roman"/>
          <w:i/>
          <w:iCs/>
          <w:color w:val="auto"/>
          <w:szCs w:val="22"/>
          <w:highlight w:val="none"/>
          <w:lang w:val="en-US" w:eastAsia="zh-CN"/>
        </w:rPr>
        <w:t>......</w:t>
      </w:r>
    </w:p>
    <w:p>
      <w:pPr>
        <w:autoSpaceDE w:val="0"/>
        <w:autoSpaceDN w:val="0"/>
        <w:adjustRightInd w:val="0"/>
        <w:snapToGrid w:val="0"/>
        <w:jc w:val="left"/>
        <w:rPr>
          <w:rFonts w:hint="eastAsia" w:ascii="宋体" w:hAnsi="宋体" w:eastAsia="宋体" w:cs="宋体"/>
          <w:color w:val="auto"/>
          <w:sz w:val="20"/>
          <w:szCs w:val="20"/>
          <w:highlight w:val="none"/>
          <w:lang w:val="en-US" w:eastAsia="zh-CN"/>
        </w:rPr>
      </w:pPr>
    </w:p>
    <w:p>
      <w:pPr>
        <w:rPr>
          <w:rFonts w:hint="eastAsia" w:ascii="宋体" w:hAnsi="宋体" w:eastAsia="宋体" w:cs="宋体"/>
          <w:color w:val="auto"/>
          <w:sz w:val="20"/>
          <w:szCs w:val="20"/>
          <w:highlight w:val="none"/>
          <w:lang w:val="en-US" w:eastAsia="zh-CN"/>
        </w:rPr>
      </w:pPr>
    </w:p>
    <w:p>
      <w:pPr>
        <w:widowControl/>
        <w:spacing w:before="0" w:beforeLines="0"/>
        <w:jc w:val="left"/>
        <w:rPr>
          <w:color w:val="auto"/>
          <w:sz w:val="21"/>
          <w:szCs w:val="21"/>
          <w:highlight w:val="none"/>
        </w:rPr>
      </w:pPr>
      <w:r>
        <w:rPr>
          <w:rFonts w:hint="eastAsia"/>
          <w:b/>
          <w:color w:val="auto"/>
          <w:sz w:val="21"/>
          <w:szCs w:val="21"/>
          <w:highlight w:val="none"/>
          <w:lang w:val="en-US" w:eastAsia="zh-CN"/>
        </w:rPr>
        <w:t>2</w:t>
      </w:r>
      <w:r>
        <w:rPr>
          <w:color w:val="auto"/>
          <w:sz w:val="21"/>
          <w:szCs w:val="21"/>
          <w:highlight w:val="none"/>
        </w:rPr>
        <w:t>.</w:t>
      </w:r>
      <w:r>
        <w:rPr>
          <w:rFonts w:hint="eastAsia"/>
          <w:color w:val="auto"/>
          <w:sz w:val="21"/>
          <w:szCs w:val="21"/>
          <w:highlight w:val="none"/>
        </w:rPr>
        <w:t>施工组织设计编写要点</w:t>
      </w:r>
    </w:p>
    <w:p>
      <w:pPr>
        <w:spacing w:line="360" w:lineRule="exact"/>
        <w:rPr>
          <w:b/>
          <w:color w:val="auto"/>
          <w:szCs w:val="21"/>
          <w:highlight w:val="none"/>
        </w:rPr>
      </w:pPr>
      <w:r>
        <w:rPr>
          <w:rFonts w:hint="eastAsia"/>
          <w:b/>
          <w:color w:val="auto"/>
          <w:szCs w:val="21"/>
          <w:highlight w:val="none"/>
        </w:rPr>
        <w:t>线路工程：</w:t>
      </w:r>
    </w:p>
    <w:p>
      <w:pPr>
        <w:spacing w:line="360" w:lineRule="exact"/>
        <w:rPr>
          <w:color w:val="auto"/>
          <w:szCs w:val="21"/>
          <w:highlight w:val="none"/>
        </w:rPr>
      </w:pPr>
      <w:r>
        <w:rPr>
          <w:rFonts w:hint="eastAsia"/>
          <w:color w:val="auto"/>
          <w:szCs w:val="21"/>
          <w:highlight w:val="none"/>
        </w:rPr>
        <w:t>详见《线路施工招标技术规范书（专有）》中“项目管理实施规划编制目录及要求”章节。</w:t>
      </w:r>
    </w:p>
    <w:p>
      <w:pPr>
        <w:spacing w:line="360" w:lineRule="exact"/>
        <w:rPr>
          <w:b/>
          <w:color w:val="auto"/>
          <w:szCs w:val="21"/>
          <w:highlight w:val="none"/>
        </w:rPr>
      </w:pPr>
      <w:r>
        <w:rPr>
          <w:rFonts w:hint="eastAsia"/>
          <w:b/>
          <w:color w:val="auto"/>
          <w:szCs w:val="21"/>
          <w:highlight w:val="none"/>
        </w:rPr>
        <w:t>变电工程：</w:t>
      </w:r>
    </w:p>
    <w:p>
      <w:pPr>
        <w:spacing w:line="360" w:lineRule="exact"/>
        <w:rPr>
          <w:color w:val="auto"/>
          <w:szCs w:val="21"/>
          <w:highlight w:val="none"/>
        </w:rPr>
      </w:pPr>
      <w:r>
        <w:rPr>
          <w:color w:val="auto"/>
          <w:szCs w:val="21"/>
          <w:highlight w:val="none"/>
        </w:rPr>
        <w:t>1</w:t>
      </w:r>
      <w:r>
        <w:rPr>
          <w:rFonts w:hint="eastAsia"/>
          <w:color w:val="auto"/>
          <w:szCs w:val="21"/>
          <w:highlight w:val="none"/>
          <w:lang w:val="en-US" w:eastAsia="zh-CN"/>
        </w:rPr>
        <w:t xml:space="preserve"> </w:t>
      </w:r>
      <w:r>
        <w:rPr>
          <w:rFonts w:hint="eastAsia"/>
          <w:color w:val="auto"/>
          <w:szCs w:val="21"/>
          <w:highlight w:val="none"/>
        </w:rPr>
        <w:t>工程概况与工程实施条件分析</w:t>
      </w:r>
    </w:p>
    <w:p>
      <w:pPr>
        <w:spacing w:line="360" w:lineRule="exact"/>
        <w:rPr>
          <w:color w:val="auto"/>
          <w:szCs w:val="21"/>
          <w:highlight w:val="none"/>
        </w:rPr>
      </w:pPr>
      <w:r>
        <w:rPr>
          <w:color w:val="auto"/>
          <w:szCs w:val="21"/>
          <w:highlight w:val="none"/>
        </w:rPr>
        <w:t>1.1</w:t>
      </w:r>
      <w:r>
        <w:rPr>
          <w:rFonts w:hint="eastAsia"/>
          <w:color w:val="auto"/>
          <w:szCs w:val="21"/>
          <w:highlight w:val="none"/>
          <w:lang w:val="en-US" w:eastAsia="zh-CN"/>
        </w:rPr>
        <w:t xml:space="preserve"> </w:t>
      </w:r>
      <w:r>
        <w:rPr>
          <w:rFonts w:hint="eastAsia"/>
          <w:color w:val="auto"/>
          <w:szCs w:val="21"/>
          <w:highlight w:val="none"/>
        </w:rPr>
        <w:t>工程概述</w:t>
      </w:r>
    </w:p>
    <w:p>
      <w:pPr>
        <w:spacing w:line="360" w:lineRule="exact"/>
        <w:rPr>
          <w:color w:val="auto"/>
          <w:szCs w:val="21"/>
          <w:highlight w:val="none"/>
        </w:rPr>
      </w:pPr>
      <w:r>
        <w:rPr>
          <w:color w:val="auto"/>
          <w:szCs w:val="21"/>
          <w:highlight w:val="none"/>
        </w:rPr>
        <w:t>1.2</w:t>
      </w:r>
      <w:r>
        <w:rPr>
          <w:rFonts w:hint="eastAsia"/>
          <w:color w:val="auto"/>
          <w:szCs w:val="21"/>
          <w:highlight w:val="none"/>
          <w:lang w:val="en-US" w:eastAsia="zh-CN"/>
        </w:rPr>
        <w:t xml:space="preserve"> </w:t>
      </w:r>
      <w:r>
        <w:rPr>
          <w:rFonts w:hint="eastAsia"/>
          <w:color w:val="auto"/>
          <w:szCs w:val="21"/>
          <w:highlight w:val="none"/>
        </w:rPr>
        <w:t>工程性质及特点分析</w:t>
      </w:r>
    </w:p>
    <w:p>
      <w:pPr>
        <w:spacing w:line="360" w:lineRule="exact"/>
        <w:rPr>
          <w:color w:val="auto"/>
          <w:szCs w:val="21"/>
          <w:highlight w:val="none"/>
        </w:rPr>
      </w:pPr>
      <w:r>
        <w:rPr>
          <w:color w:val="auto"/>
          <w:szCs w:val="21"/>
          <w:highlight w:val="none"/>
        </w:rPr>
        <w:t>1.3</w:t>
      </w:r>
      <w:r>
        <w:rPr>
          <w:rFonts w:hint="eastAsia"/>
          <w:color w:val="auto"/>
          <w:szCs w:val="21"/>
          <w:highlight w:val="none"/>
          <w:lang w:eastAsia="zh-CN"/>
        </w:rPr>
        <w:t xml:space="preserve"> </w:t>
      </w:r>
      <w:r>
        <w:rPr>
          <w:rFonts w:hint="eastAsia"/>
          <w:color w:val="auto"/>
          <w:szCs w:val="21"/>
          <w:highlight w:val="none"/>
        </w:rPr>
        <w:t>工程规模</w:t>
      </w:r>
    </w:p>
    <w:p>
      <w:pPr>
        <w:spacing w:line="360" w:lineRule="exact"/>
        <w:rPr>
          <w:color w:val="auto"/>
          <w:szCs w:val="21"/>
          <w:highlight w:val="none"/>
        </w:rPr>
      </w:pPr>
      <w:r>
        <w:rPr>
          <w:color w:val="auto"/>
          <w:szCs w:val="21"/>
          <w:highlight w:val="none"/>
        </w:rPr>
        <w:t>1.4</w:t>
      </w:r>
      <w:r>
        <w:rPr>
          <w:rFonts w:hint="eastAsia"/>
          <w:color w:val="auto"/>
          <w:szCs w:val="21"/>
          <w:highlight w:val="none"/>
          <w:lang w:eastAsia="zh-CN"/>
        </w:rPr>
        <w:t xml:space="preserve"> </w:t>
      </w:r>
      <w:r>
        <w:rPr>
          <w:rFonts w:hint="eastAsia"/>
          <w:color w:val="auto"/>
          <w:szCs w:val="21"/>
          <w:highlight w:val="none"/>
        </w:rPr>
        <w:t>工期要求</w:t>
      </w:r>
    </w:p>
    <w:p>
      <w:pPr>
        <w:spacing w:line="360" w:lineRule="exact"/>
        <w:rPr>
          <w:color w:val="auto"/>
          <w:szCs w:val="21"/>
          <w:highlight w:val="none"/>
        </w:rPr>
      </w:pPr>
      <w:r>
        <w:rPr>
          <w:color w:val="auto"/>
          <w:szCs w:val="21"/>
          <w:highlight w:val="none"/>
        </w:rPr>
        <w:t>1.5</w:t>
      </w:r>
      <w:r>
        <w:rPr>
          <w:rFonts w:hint="eastAsia"/>
          <w:color w:val="auto"/>
          <w:szCs w:val="21"/>
          <w:highlight w:val="none"/>
          <w:lang w:eastAsia="zh-CN"/>
        </w:rPr>
        <w:t xml:space="preserve"> </w:t>
      </w:r>
      <w:r>
        <w:rPr>
          <w:rFonts w:hint="eastAsia"/>
          <w:color w:val="auto"/>
          <w:szCs w:val="21"/>
          <w:highlight w:val="none"/>
        </w:rPr>
        <w:t>布置形式</w:t>
      </w:r>
    </w:p>
    <w:p>
      <w:pPr>
        <w:spacing w:line="360" w:lineRule="exact"/>
        <w:rPr>
          <w:color w:val="auto"/>
          <w:szCs w:val="21"/>
          <w:highlight w:val="none"/>
        </w:rPr>
      </w:pPr>
      <w:r>
        <w:rPr>
          <w:color w:val="auto"/>
          <w:szCs w:val="21"/>
          <w:highlight w:val="none"/>
        </w:rPr>
        <w:t>1.6</w:t>
      </w:r>
      <w:r>
        <w:rPr>
          <w:rFonts w:hint="eastAsia"/>
          <w:color w:val="auto"/>
          <w:szCs w:val="21"/>
          <w:highlight w:val="none"/>
          <w:lang w:eastAsia="zh-CN"/>
        </w:rPr>
        <w:t xml:space="preserve"> </w:t>
      </w:r>
      <w:r>
        <w:rPr>
          <w:rFonts w:hint="eastAsia"/>
          <w:color w:val="auto"/>
          <w:szCs w:val="21"/>
          <w:highlight w:val="none"/>
        </w:rPr>
        <w:t>工程涉及的主要单位</w:t>
      </w:r>
    </w:p>
    <w:p>
      <w:pPr>
        <w:spacing w:line="360" w:lineRule="exact"/>
        <w:rPr>
          <w:color w:val="auto"/>
          <w:szCs w:val="21"/>
          <w:highlight w:val="none"/>
        </w:rPr>
      </w:pPr>
      <w:r>
        <w:rPr>
          <w:color w:val="auto"/>
          <w:szCs w:val="21"/>
          <w:highlight w:val="none"/>
        </w:rPr>
        <w:t>1.7</w:t>
      </w:r>
      <w:r>
        <w:rPr>
          <w:rFonts w:hint="eastAsia"/>
          <w:color w:val="auto"/>
          <w:szCs w:val="21"/>
          <w:highlight w:val="none"/>
          <w:lang w:eastAsia="zh-CN"/>
        </w:rPr>
        <w:t xml:space="preserve"> </w:t>
      </w:r>
      <w:r>
        <w:rPr>
          <w:rFonts w:hint="eastAsia"/>
          <w:color w:val="auto"/>
          <w:szCs w:val="21"/>
          <w:highlight w:val="none"/>
        </w:rPr>
        <w:t>电气施工依据及内容</w:t>
      </w:r>
    </w:p>
    <w:p>
      <w:pPr>
        <w:spacing w:line="360" w:lineRule="exact"/>
        <w:rPr>
          <w:color w:val="auto"/>
          <w:szCs w:val="21"/>
          <w:highlight w:val="none"/>
        </w:rPr>
      </w:pPr>
      <w:r>
        <w:rPr>
          <w:color w:val="auto"/>
          <w:szCs w:val="21"/>
          <w:highlight w:val="none"/>
        </w:rPr>
        <w:t>2</w:t>
      </w:r>
      <w:r>
        <w:rPr>
          <w:rFonts w:hint="eastAsia"/>
          <w:color w:val="auto"/>
          <w:szCs w:val="21"/>
          <w:highlight w:val="none"/>
          <w:lang w:eastAsia="zh-CN"/>
        </w:rPr>
        <w:t xml:space="preserve"> </w:t>
      </w:r>
      <w:r>
        <w:rPr>
          <w:rFonts w:hint="eastAsia"/>
          <w:color w:val="auto"/>
          <w:szCs w:val="21"/>
          <w:highlight w:val="none"/>
        </w:rPr>
        <w:t>项目施工管理组织机构</w:t>
      </w:r>
    </w:p>
    <w:p>
      <w:pPr>
        <w:spacing w:line="360" w:lineRule="exact"/>
        <w:rPr>
          <w:color w:val="auto"/>
          <w:szCs w:val="21"/>
          <w:highlight w:val="none"/>
        </w:rPr>
      </w:pPr>
      <w:r>
        <w:rPr>
          <w:color w:val="auto"/>
          <w:szCs w:val="21"/>
          <w:highlight w:val="none"/>
        </w:rPr>
        <w:t>2.1</w:t>
      </w:r>
      <w:r>
        <w:rPr>
          <w:rFonts w:hint="eastAsia"/>
          <w:color w:val="auto"/>
          <w:szCs w:val="21"/>
          <w:highlight w:val="none"/>
          <w:lang w:eastAsia="zh-CN"/>
        </w:rPr>
        <w:t xml:space="preserve"> </w:t>
      </w:r>
      <w:r>
        <w:rPr>
          <w:rFonts w:hint="eastAsia"/>
          <w:color w:val="auto"/>
          <w:szCs w:val="21"/>
          <w:highlight w:val="none"/>
        </w:rPr>
        <w:t>施工项目组织机构</w:t>
      </w:r>
    </w:p>
    <w:p>
      <w:pPr>
        <w:spacing w:line="360" w:lineRule="exact"/>
        <w:rPr>
          <w:color w:val="auto"/>
          <w:szCs w:val="21"/>
          <w:highlight w:val="none"/>
        </w:rPr>
      </w:pPr>
      <w:r>
        <w:rPr>
          <w:color w:val="auto"/>
          <w:szCs w:val="21"/>
          <w:highlight w:val="none"/>
        </w:rPr>
        <w:t>2.2</w:t>
      </w:r>
      <w:r>
        <w:rPr>
          <w:rFonts w:hint="eastAsia"/>
          <w:color w:val="auto"/>
          <w:szCs w:val="21"/>
          <w:highlight w:val="none"/>
          <w:lang w:eastAsia="zh-CN"/>
        </w:rPr>
        <w:t xml:space="preserve"> </w:t>
      </w:r>
      <w:r>
        <w:rPr>
          <w:rFonts w:hint="eastAsia"/>
          <w:color w:val="auto"/>
          <w:szCs w:val="21"/>
          <w:highlight w:val="none"/>
        </w:rPr>
        <w:t>施工项目组织原则</w:t>
      </w:r>
    </w:p>
    <w:p>
      <w:pPr>
        <w:spacing w:line="360" w:lineRule="exact"/>
        <w:rPr>
          <w:color w:val="auto"/>
          <w:szCs w:val="21"/>
          <w:highlight w:val="none"/>
        </w:rPr>
      </w:pPr>
      <w:r>
        <w:rPr>
          <w:color w:val="auto"/>
          <w:szCs w:val="21"/>
          <w:highlight w:val="none"/>
        </w:rPr>
        <w:t>2.3</w:t>
      </w:r>
      <w:r>
        <w:rPr>
          <w:rFonts w:hint="eastAsia"/>
          <w:color w:val="auto"/>
          <w:szCs w:val="21"/>
          <w:highlight w:val="none"/>
          <w:lang w:eastAsia="zh-CN"/>
        </w:rPr>
        <w:t xml:space="preserve"> </w:t>
      </w:r>
      <w:r>
        <w:rPr>
          <w:rFonts w:hint="eastAsia"/>
          <w:color w:val="auto"/>
          <w:szCs w:val="21"/>
          <w:highlight w:val="none"/>
        </w:rPr>
        <w:t>人员及部门职责</w:t>
      </w:r>
    </w:p>
    <w:p>
      <w:pPr>
        <w:spacing w:line="360" w:lineRule="exact"/>
        <w:rPr>
          <w:color w:val="auto"/>
          <w:szCs w:val="21"/>
          <w:highlight w:val="none"/>
        </w:rPr>
      </w:pPr>
      <w:r>
        <w:rPr>
          <w:color w:val="auto"/>
          <w:szCs w:val="21"/>
          <w:highlight w:val="none"/>
        </w:rPr>
        <w:t>3</w:t>
      </w:r>
      <w:r>
        <w:rPr>
          <w:rFonts w:hint="eastAsia"/>
          <w:color w:val="auto"/>
          <w:szCs w:val="21"/>
          <w:highlight w:val="none"/>
          <w:lang w:eastAsia="zh-CN"/>
        </w:rPr>
        <w:t xml:space="preserve"> </w:t>
      </w:r>
      <w:r>
        <w:rPr>
          <w:rFonts w:hint="eastAsia"/>
          <w:color w:val="auto"/>
          <w:szCs w:val="21"/>
          <w:highlight w:val="none"/>
        </w:rPr>
        <w:t>施工项目平面布置</w:t>
      </w:r>
    </w:p>
    <w:p>
      <w:pPr>
        <w:spacing w:line="360" w:lineRule="exact"/>
        <w:rPr>
          <w:color w:val="auto"/>
          <w:szCs w:val="21"/>
          <w:highlight w:val="none"/>
        </w:rPr>
      </w:pPr>
      <w:r>
        <w:rPr>
          <w:color w:val="auto"/>
          <w:szCs w:val="21"/>
          <w:highlight w:val="none"/>
        </w:rPr>
        <w:t>3.1</w:t>
      </w:r>
      <w:r>
        <w:rPr>
          <w:rFonts w:hint="eastAsia"/>
          <w:color w:val="auto"/>
          <w:szCs w:val="21"/>
          <w:highlight w:val="none"/>
          <w:lang w:eastAsia="zh-CN"/>
        </w:rPr>
        <w:t xml:space="preserve"> </w:t>
      </w:r>
      <w:r>
        <w:rPr>
          <w:rFonts w:hint="eastAsia"/>
          <w:color w:val="auto"/>
          <w:szCs w:val="21"/>
          <w:highlight w:val="none"/>
        </w:rPr>
        <w:t>施工项目总体平面布置</w:t>
      </w:r>
    </w:p>
    <w:p>
      <w:pPr>
        <w:spacing w:line="360" w:lineRule="exact"/>
        <w:rPr>
          <w:color w:val="auto"/>
          <w:szCs w:val="21"/>
          <w:highlight w:val="none"/>
        </w:rPr>
      </w:pPr>
      <w:r>
        <w:rPr>
          <w:color w:val="auto"/>
          <w:szCs w:val="21"/>
          <w:highlight w:val="none"/>
        </w:rPr>
        <w:t>3.2</w:t>
      </w:r>
      <w:r>
        <w:rPr>
          <w:rFonts w:hint="eastAsia"/>
          <w:color w:val="auto"/>
          <w:szCs w:val="21"/>
          <w:highlight w:val="none"/>
          <w:lang w:eastAsia="zh-CN"/>
        </w:rPr>
        <w:t xml:space="preserve"> </w:t>
      </w:r>
      <w:r>
        <w:rPr>
          <w:rFonts w:hint="eastAsia"/>
          <w:color w:val="auto"/>
          <w:szCs w:val="21"/>
          <w:highlight w:val="none"/>
        </w:rPr>
        <w:t>施工项目临时用电、临时用水总体布置</w:t>
      </w:r>
    </w:p>
    <w:p>
      <w:pPr>
        <w:spacing w:line="360" w:lineRule="exact"/>
        <w:rPr>
          <w:color w:val="auto"/>
          <w:szCs w:val="21"/>
          <w:highlight w:val="none"/>
        </w:rPr>
      </w:pPr>
      <w:r>
        <w:rPr>
          <w:color w:val="auto"/>
          <w:szCs w:val="21"/>
          <w:highlight w:val="none"/>
        </w:rPr>
        <w:t>3.3</w:t>
      </w:r>
      <w:r>
        <w:rPr>
          <w:rFonts w:hint="eastAsia"/>
          <w:color w:val="auto"/>
          <w:szCs w:val="21"/>
          <w:highlight w:val="none"/>
          <w:lang w:eastAsia="zh-CN"/>
        </w:rPr>
        <w:t xml:space="preserve"> </w:t>
      </w:r>
      <w:r>
        <w:rPr>
          <w:rFonts w:hint="eastAsia"/>
          <w:color w:val="auto"/>
          <w:szCs w:val="21"/>
          <w:highlight w:val="none"/>
        </w:rPr>
        <w:t>施工项目消防总体布置</w:t>
      </w:r>
    </w:p>
    <w:p>
      <w:pPr>
        <w:spacing w:line="360" w:lineRule="exact"/>
        <w:rPr>
          <w:color w:val="auto"/>
          <w:szCs w:val="21"/>
          <w:highlight w:val="none"/>
        </w:rPr>
      </w:pPr>
      <w:r>
        <w:rPr>
          <w:color w:val="auto"/>
          <w:szCs w:val="21"/>
          <w:highlight w:val="none"/>
        </w:rPr>
        <w:t>4</w:t>
      </w:r>
      <w:r>
        <w:rPr>
          <w:rFonts w:hint="eastAsia"/>
          <w:color w:val="auto"/>
          <w:szCs w:val="21"/>
          <w:highlight w:val="none"/>
          <w:lang w:eastAsia="zh-CN"/>
        </w:rPr>
        <w:t xml:space="preserve"> </w:t>
      </w:r>
      <w:r>
        <w:rPr>
          <w:rFonts w:hint="eastAsia"/>
          <w:color w:val="auto"/>
          <w:szCs w:val="21"/>
          <w:highlight w:val="none"/>
        </w:rPr>
        <w:t>施工方案</w:t>
      </w:r>
    </w:p>
    <w:p>
      <w:pPr>
        <w:spacing w:line="360" w:lineRule="exact"/>
        <w:rPr>
          <w:color w:val="auto"/>
          <w:szCs w:val="21"/>
          <w:highlight w:val="none"/>
        </w:rPr>
      </w:pPr>
      <w:r>
        <w:rPr>
          <w:color w:val="auto"/>
          <w:szCs w:val="21"/>
          <w:highlight w:val="none"/>
        </w:rPr>
        <w:t>4.1</w:t>
      </w:r>
      <w:r>
        <w:rPr>
          <w:rFonts w:hint="eastAsia"/>
          <w:color w:val="auto"/>
          <w:szCs w:val="21"/>
          <w:highlight w:val="none"/>
          <w:lang w:eastAsia="zh-CN"/>
        </w:rPr>
        <w:t xml:space="preserve"> </w:t>
      </w:r>
      <w:r>
        <w:rPr>
          <w:rFonts w:hint="eastAsia"/>
          <w:color w:val="auto"/>
          <w:szCs w:val="21"/>
          <w:highlight w:val="none"/>
        </w:rPr>
        <w:t>施工技术和资料准备</w:t>
      </w:r>
    </w:p>
    <w:p>
      <w:pPr>
        <w:spacing w:line="360" w:lineRule="exact"/>
        <w:rPr>
          <w:color w:val="auto"/>
          <w:szCs w:val="21"/>
          <w:highlight w:val="none"/>
        </w:rPr>
      </w:pPr>
      <w:r>
        <w:rPr>
          <w:color w:val="auto"/>
          <w:szCs w:val="21"/>
          <w:highlight w:val="none"/>
        </w:rPr>
        <w:t>4.2</w:t>
      </w:r>
      <w:r>
        <w:rPr>
          <w:rFonts w:hint="eastAsia"/>
          <w:color w:val="auto"/>
          <w:szCs w:val="21"/>
          <w:highlight w:val="none"/>
          <w:lang w:eastAsia="zh-CN"/>
        </w:rPr>
        <w:t xml:space="preserve"> </w:t>
      </w:r>
      <w:r>
        <w:rPr>
          <w:rFonts w:hint="eastAsia"/>
          <w:color w:val="auto"/>
          <w:szCs w:val="21"/>
          <w:highlight w:val="none"/>
        </w:rPr>
        <w:t>施工力量配置计划</w:t>
      </w:r>
    </w:p>
    <w:p>
      <w:pPr>
        <w:spacing w:line="360" w:lineRule="exact"/>
        <w:rPr>
          <w:color w:val="auto"/>
          <w:szCs w:val="21"/>
          <w:highlight w:val="none"/>
        </w:rPr>
      </w:pPr>
      <w:r>
        <w:rPr>
          <w:color w:val="auto"/>
          <w:szCs w:val="21"/>
          <w:highlight w:val="none"/>
        </w:rPr>
        <w:t>4.3</w:t>
      </w:r>
      <w:r>
        <w:rPr>
          <w:rFonts w:hint="eastAsia"/>
          <w:color w:val="auto"/>
          <w:szCs w:val="21"/>
          <w:highlight w:val="none"/>
          <w:lang w:eastAsia="zh-CN"/>
        </w:rPr>
        <w:t xml:space="preserve"> </w:t>
      </w:r>
      <w:r>
        <w:rPr>
          <w:rFonts w:hint="eastAsia"/>
          <w:color w:val="auto"/>
          <w:szCs w:val="21"/>
          <w:highlight w:val="none"/>
        </w:rPr>
        <w:t>主要施工机具选择、施工机具需求计划（主要施工装备配置要求可结合工程标段实际情况，参国家电网有限公司输变电工程施工装备标准化配置推荐表制定）</w:t>
      </w:r>
    </w:p>
    <w:p>
      <w:pPr>
        <w:spacing w:line="360" w:lineRule="exact"/>
        <w:rPr>
          <w:color w:val="auto"/>
          <w:szCs w:val="21"/>
          <w:highlight w:val="none"/>
        </w:rPr>
      </w:pPr>
      <w:r>
        <w:rPr>
          <w:color w:val="auto"/>
          <w:szCs w:val="21"/>
          <w:highlight w:val="none"/>
        </w:rPr>
        <w:t>4.4</w:t>
      </w:r>
      <w:r>
        <w:rPr>
          <w:rFonts w:hint="eastAsia"/>
          <w:color w:val="auto"/>
          <w:szCs w:val="21"/>
          <w:highlight w:val="none"/>
          <w:lang w:eastAsia="zh-CN"/>
        </w:rPr>
        <w:t xml:space="preserve"> </w:t>
      </w:r>
      <w:r>
        <w:rPr>
          <w:rFonts w:hint="eastAsia"/>
          <w:color w:val="auto"/>
          <w:szCs w:val="21"/>
          <w:highlight w:val="none"/>
        </w:rPr>
        <w:t>主要工序和特殊工序的施工方法</w:t>
      </w:r>
    </w:p>
    <w:p>
      <w:pPr>
        <w:spacing w:line="360" w:lineRule="exact"/>
        <w:rPr>
          <w:color w:val="auto"/>
          <w:szCs w:val="21"/>
          <w:highlight w:val="none"/>
        </w:rPr>
      </w:pPr>
      <w:r>
        <w:rPr>
          <w:color w:val="auto"/>
          <w:szCs w:val="21"/>
          <w:highlight w:val="none"/>
        </w:rPr>
        <w:t>4.5</w:t>
      </w:r>
      <w:r>
        <w:rPr>
          <w:rFonts w:hint="eastAsia"/>
          <w:color w:val="auto"/>
          <w:szCs w:val="21"/>
          <w:highlight w:val="none"/>
          <w:lang w:eastAsia="zh-CN"/>
        </w:rPr>
        <w:t xml:space="preserve"> </w:t>
      </w:r>
      <w:r>
        <w:rPr>
          <w:rFonts w:hint="eastAsia"/>
          <w:color w:val="auto"/>
          <w:szCs w:val="21"/>
          <w:highlight w:val="none"/>
        </w:rPr>
        <w:t>材料准备</w:t>
      </w:r>
    </w:p>
    <w:p>
      <w:pPr>
        <w:spacing w:line="360" w:lineRule="exact"/>
        <w:rPr>
          <w:color w:val="auto"/>
          <w:szCs w:val="21"/>
          <w:highlight w:val="none"/>
        </w:rPr>
      </w:pPr>
      <w:r>
        <w:rPr>
          <w:color w:val="auto"/>
          <w:szCs w:val="21"/>
          <w:highlight w:val="none"/>
        </w:rPr>
        <w:t>4.6</w:t>
      </w:r>
      <w:r>
        <w:rPr>
          <w:rFonts w:hint="eastAsia"/>
          <w:color w:val="auto"/>
          <w:szCs w:val="21"/>
          <w:highlight w:val="none"/>
          <w:lang w:eastAsia="zh-CN"/>
        </w:rPr>
        <w:t xml:space="preserve"> </w:t>
      </w:r>
      <w:r>
        <w:rPr>
          <w:rFonts w:hint="eastAsia"/>
          <w:color w:val="auto"/>
          <w:sz w:val="21"/>
          <w:szCs w:val="21"/>
          <w:highlight w:val="none"/>
        </w:rPr>
        <w:t>施工成本的控制措施</w:t>
      </w:r>
    </w:p>
    <w:p>
      <w:pPr>
        <w:spacing w:line="360" w:lineRule="exact"/>
        <w:rPr>
          <w:color w:val="auto"/>
          <w:szCs w:val="21"/>
          <w:highlight w:val="none"/>
        </w:rPr>
      </w:pPr>
      <w:r>
        <w:rPr>
          <w:color w:val="auto"/>
          <w:szCs w:val="21"/>
          <w:highlight w:val="none"/>
        </w:rPr>
        <w:t>5</w:t>
      </w:r>
      <w:r>
        <w:rPr>
          <w:rFonts w:hint="eastAsia"/>
          <w:color w:val="auto"/>
          <w:szCs w:val="21"/>
          <w:highlight w:val="none"/>
          <w:lang w:eastAsia="zh-CN"/>
        </w:rPr>
        <w:t xml:space="preserve"> </w:t>
      </w:r>
      <w:r>
        <w:rPr>
          <w:rFonts w:hint="eastAsia"/>
          <w:color w:val="auto"/>
          <w:szCs w:val="21"/>
          <w:highlight w:val="none"/>
        </w:rPr>
        <w:t>工期及施工进度计划</w:t>
      </w:r>
    </w:p>
    <w:p>
      <w:pPr>
        <w:spacing w:line="360" w:lineRule="exact"/>
        <w:rPr>
          <w:color w:val="auto"/>
          <w:szCs w:val="21"/>
          <w:highlight w:val="none"/>
        </w:rPr>
      </w:pPr>
      <w:r>
        <w:rPr>
          <w:color w:val="auto"/>
          <w:szCs w:val="21"/>
          <w:highlight w:val="none"/>
        </w:rPr>
        <w:t>5.1</w:t>
      </w:r>
      <w:r>
        <w:rPr>
          <w:rFonts w:hint="eastAsia"/>
          <w:color w:val="auto"/>
          <w:szCs w:val="21"/>
          <w:highlight w:val="none"/>
          <w:lang w:eastAsia="zh-CN"/>
        </w:rPr>
        <w:t xml:space="preserve"> </w:t>
      </w:r>
      <w:r>
        <w:rPr>
          <w:rFonts w:hint="eastAsia"/>
          <w:color w:val="auto"/>
          <w:szCs w:val="21"/>
          <w:highlight w:val="none"/>
        </w:rPr>
        <w:t>施工进度计划网络图</w:t>
      </w:r>
    </w:p>
    <w:p>
      <w:pPr>
        <w:spacing w:line="360" w:lineRule="exact"/>
        <w:rPr>
          <w:color w:val="auto"/>
          <w:szCs w:val="21"/>
          <w:highlight w:val="none"/>
        </w:rPr>
      </w:pPr>
      <w:r>
        <w:rPr>
          <w:color w:val="auto"/>
          <w:szCs w:val="21"/>
          <w:highlight w:val="none"/>
        </w:rPr>
        <w:t>5.2</w:t>
      </w:r>
      <w:r>
        <w:rPr>
          <w:rFonts w:hint="eastAsia"/>
          <w:color w:val="auto"/>
          <w:szCs w:val="21"/>
          <w:highlight w:val="none"/>
          <w:lang w:eastAsia="zh-CN"/>
        </w:rPr>
        <w:t xml:space="preserve"> </w:t>
      </w:r>
      <w:r>
        <w:rPr>
          <w:rFonts w:hint="eastAsia"/>
          <w:color w:val="auto"/>
          <w:szCs w:val="21"/>
          <w:highlight w:val="none"/>
        </w:rPr>
        <w:t>工程综合进度保证措施</w:t>
      </w:r>
    </w:p>
    <w:p>
      <w:pPr>
        <w:spacing w:line="360" w:lineRule="exact"/>
        <w:rPr>
          <w:color w:val="auto"/>
          <w:szCs w:val="21"/>
          <w:highlight w:val="none"/>
        </w:rPr>
      </w:pPr>
      <w:r>
        <w:rPr>
          <w:color w:val="auto"/>
          <w:szCs w:val="21"/>
          <w:highlight w:val="none"/>
        </w:rPr>
        <w:t>5.3</w:t>
      </w:r>
      <w:r>
        <w:rPr>
          <w:rFonts w:hint="eastAsia"/>
          <w:color w:val="auto"/>
          <w:szCs w:val="21"/>
          <w:highlight w:val="none"/>
          <w:lang w:eastAsia="zh-CN"/>
        </w:rPr>
        <w:t xml:space="preserve"> </w:t>
      </w:r>
      <w:r>
        <w:rPr>
          <w:rFonts w:hint="eastAsia"/>
          <w:color w:val="auto"/>
          <w:szCs w:val="21"/>
          <w:highlight w:val="none"/>
        </w:rPr>
        <w:t>主要施工设备及材料供应计划</w:t>
      </w:r>
    </w:p>
    <w:p>
      <w:pPr>
        <w:spacing w:line="360" w:lineRule="exact"/>
        <w:rPr>
          <w:color w:val="auto"/>
          <w:szCs w:val="21"/>
          <w:highlight w:val="none"/>
        </w:rPr>
      </w:pPr>
      <w:r>
        <w:rPr>
          <w:color w:val="auto"/>
          <w:szCs w:val="21"/>
          <w:highlight w:val="none"/>
        </w:rPr>
        <w:t>5.4</w:t>
      </w:r>
      <w:r>
        <w:rPr>
          <w:rFonts w:hint="eastAsia"/>
          <w:color w:val="auto"/>
          <w:szCs w:val="21"/>
          <w:highlight w:val="none"/>
          <w:lang w:eastAsia="zh-CN"/>
        </w:rPr>
        <w:t xml:space="preserve"> </w:t>
      </w:r>
      <w:r>
        <w:rPr>
          <w:rFonts w:hint="eastAsia"/>
          <w:color w:val="auto"/>
          <w:szCs w:val="21"/>
          <w:highlight w:val="none"/>
        </w:rPr>
        <w:t>设计图纸需求计划</w:t>
      </w:r>
    </w:p>
    <w:p>
      <w:pPr>
        <w:spacing w:line="360" w:lineRule="exact"/>
        <w:rPr>
          <w:color w:val="auto"/>
          <w:szCs w:val="21"/>
          <w:highlight w:val="none"/>
        </w:rPr>
      </w:pPr>
      <w:r>
        <w:rPr>
          <w:color w:val="auto"/>
          <w:szCs w:val="21"/>
          <w:highlight w:val="none"/>
        </w:rPr>
        <w:t>6</w:t>
      </w:r>
      <w:r>
        <w:rPr>
          <w:rFonts w:hint="eastAsia"/>
          <w:color w:val="auto"/>
          <w:szCs w:val="21"/>
          <w:highlight w:val="none"/>
          <w:lang w:eastAsia="zh-CN"/>
        </w:rPr>
        <w:t xml:space="preserve"> </w:t>
      </w:r>
      <w:r>
        <w:rPr>
          <w:rFonts w:hint="eastAsia"/>
          <w:color w:val="auto"/>
          <w:szCs w:val="21"/>
          <w:highlight w:val="none"/>
        </w:rPr>
        <w:t>物资管理</w:t>
      </w:r>
    </w:p>
    <w:p>
      <w:pPr>
        <w:spacing w:line="360" w:lineRule="exact"/>
        <w:rPr>
          <w:color w:val="auto"/>
          <w:szCs w:val="21"/>
          <w:highlight w:val="none"/>
        </w:rPr>
      </w:pPr>
      <w:r>
        <w:rPr>
          <w:color w:val="auto"/>
          <w:szCs w:val="21"/>
          <w:highlight w:val="none"/>
        </w:rPr>
        <w:t>6.1</w:t>
      </w:r>
      <w:r>
        <w:rPr>
          <w:rFonts w:hint="eastAsia"/>
          <w:color w:val="auto"/>
          <w:szCs w:val="21"/>
          <w:highlight w:val="none"/>
          <w:lang w:eastAsia="zh-CN"/>
        </w:rPr>
        <w:t xml:space="preserve"> </w:t>
      </w:r>
      <w:r>
        <w:rPr>
          <w:rFonts w:hint="eastAsia"/>
          <w:color w:val="auto"/>
          <w:szCs w:val="21"/>
          <w:highlight w:val="none"/>
        </w:rPr>
        <w:t>物资的交接</w:t>
      </w:r>
    </w:p>
    <w:p>
      <w:pPr>
        <w:spacing w:line="360" w:lineRule="exact"/>
        <w:rPr>
          <w:color w:val="auto"/>
          <w:szCs w:val="21"/>
          <w:highlight w:val="none"/>
        </w:rPr>
      </w:pPr>
      <w:r>
        <w:rPr>
          <w:color w:val="auto"/>
          <w:szCs w:val="21"/>
          <w:highlight w:val="none"/>
        </w:rPr>
        <w:t>6.2</w:t>
      </w:r>
      <w:r>
        <w:rPr>
          <w:rFonts w:hint="eastAsia"/>
          <w:color w:val="auto"/>
          <w:szCs w:val="21"/>
          <w:highlight w:val="none"/>
          <w:lang w:eastAsia="zh-CN"/>
        </w:rPr>
        <w:t xml:space="preserve"> </w:t>
      </w:r>
      <w:r>
        <w:rPr>
          <w:rFonts w:hint="eastAsia"/>
          <w:color w:val="auto"/>
          <w:szCs w:val="21"/>
          <w:highlight w:val="none"/>
        </w:rPr>
        <w:t>开箱检查工作</w:t>
      </w:r>
    </w:p>
    <w:p>
      <w:pPr>
        <w:spacing w:line="360" w:lineRule="exact"/>
        <w:rPr>
          <w:color w:val="auto"/>
          <w:szCs w:val="21"/>
          <w:highlight w:val="none"/>
        </w:rPr>
      </w:pPr>
      <w:r>
        <w:rPr>
          <w:color w:val="auto"/>
          <w:szCs w:val="21"/>
          <w:highlight w:val="none"/>
        </w:rPr>
        <w:t>6.3</w:t>
      </w:r>
      <w:r>
        <w:rPr>
          <w:rFonts w:hint="eastAsia"/>
          <w:color w:val="auto"/>
          <w:szCs w:val="21"/>
          <w:highlight w:val="none"/>
          <w:lang w:eastAsia="zh-CN"/>
        </w:rPr>
        <w:t xml:space="preserve"> </w:t>
      </w:r>
      <w:r>
        <w:rPr>
          <w:rFonts w:hint="eastAsia"/>
          <w:color w:val="auto"/>
          <w:szCs w:val="21"/>
          <w:highlight w:val="none"/>
        </w:rPr>
        <w:t>物资入库管理</w:t>
      </w:r>
    </w:p>
    <w:p>
      <w:pPr>
        <w:spacing w:line="360" w:lineRule="exact"/>
        <w:rPr>
          <w:color w:val="auto"/>
          <w:szCs w:val="21"/>
          <w:highlight w:val="none"/>
        </w:rPr>
      </w:pPr>
      <w:r>
        <w:rPr>
          <w:color w:val="auto"/>
          <w:szCs w:val="21"/>
          <w:highlight w:val="none"/>
        </w:rPr>
        <w:t>7</w:t>
      </w:r>
      <w:r>
        <w:rPr>
          <w:rFonts w:hint="eastAsia"/>
          <w:color w:val="auto"/>
          <w:szCs w:val="21"/>
          <w:highlight w:val="none"/>
          <w:lang w:eastAsia="zh-CN"/>
        </w:rPr>
        <w:t xml:space="preserve"> </w:t>
      </w:r>
      <w:r>
        <w:rPr>
          <w:rFonts w:hint="eastAsia"/>
          <w:color w:val="auto"/>
          <w:szCs w:val="21"/>
          <w:highlight w:val="none"/>
        </w:rPr>
        <w:t>质量管理</w:t>
      </w:r>
    </w:p>
    <w:p>
      <w:pPr>
        <w:spacing w:line="360" w:lineRule="exact"/>
        <w:rPr>
          <w:color w:val="auto"/>
          <w:szCs w:val="21"/>
          <w:highlight w:val="none"/>
        </w:rPr>
      </w:pPr>
      <w:r>
        <w:rPr>
          <w:color w:val="auto"/>
          <w:szCs w:val="21"/>
          <w:highlight w:val="none"/>
        </w:rPr>
        <w:t>7.1</w:t>
      </w:r>
      <w:r>
        <w:rPr>
          <w:rFonts w:hint="eastAsia"/>
          <w:color w:val="auto"/>
          <w:szCs w:val="21"/>
          <w:highlight w:val="none"/>
          <w:lang w:eastAsia="zh-CN"/>
        </w:rPr>
        <w:t xml:space="preserve"> </w:t>
      </w:r>
      <w:r>
        <w:rPr>
          <w:rFonts w:hint="eastAsia"/>
          <w:color w:val="auto"/>
          <w:szCs w:val="21"/>
          <w:highlight w:val="none"/>
        </w:rPr>
        <w:t>质量目标、管理组织机构及职责</w:t>
      </w:r>
    </w:p>
    <w:p>
      <w:pPr>
        <w:spacing w:line="360" w:lineRule="exact"/>
        <w:rPr>
          <w:color w:val="auto"/>
          <w:szCs w:val="21"/>
          <w:highlight w:val="none"/>
        </w:rPr>
      </w:pPr>
      <w:r>
        <w:rPr>
          <w:color w:val="auto"/>
          <w:szCs w:val="21"/>
          <w:highlight w:val="none"/>
        </w:rPr>
        <w:t>7.2</w:t>
      </w:r>
      <w:r>
        <w:rPr>
          <w:rFonts w:hint="eastAsia"/>
          <w:color w:val="auto"/>
          <w:szCs w:val="21"/>
          <w:highlight w:val="none"/>
          <w:lang w:eastAsia="zh-CN"/>
        </w:rPr>
        <w:t xml:space="preserve"> </w:t>
      </w:r>
      <w:r>
        <w:rPr>
          <w:rFonts w:hint="eastAsia"/>
          <w:color w:val="auto"/>
          <w:szCs w:val="21"/>
          <w:highlight w:val="none"/>
        </w:rPr>
        <w:t>质量管理措施</w:t>
      </w:r>
    </w:p>
    <w:p>
      <w:pPr>
        <w:spacing w:line="360" w:lineRule="exact"/>
        <w:rPr>
          <w:color w:val="auto"/>
          <w:szCs w:val="21"/>
          <w:highlight w:val="none"/>
        </w:rPr>
      </w:pPr>
      <w:r>
        <w:rPr>
          <w:color w:val="auto"/>
          <w:szCs w:val="21"/>
          <w:highlight w:val="none"/>
        </w:rPr>
        <w:t>7.3</w:t>
      </w:r>
      <w:r>
        <w:rPr>
          <w:rFonts w:hint="eastAsia"/>
          <w:color w:val="auto"/>
          <w:szCs w:val="21"/>
          <w:highlight w:val="none"/>
          <w:lang w:eastAsia="zh-CN"/>
        </w:rPr>
        <w:t xml:space="preserve"> </w:t>
      </w:r>
      <w:r>
        <w:rPr>
          <w:rFonts w:hint="eastAsia"/>
          <w:color w:val="auto"/>
          <w:szCs w:val="21"/>
          <w:highlight w:val="none"/>
        </w:rPr>
        <w:t>质量体系及管理方针</w:t>
      </w:r>
    </w:p>
    <w:p>
      <w:pPr>
        <w:spacing w:line="360" w:lineRule="exact"/>
        <w:rPr>
          <w:color w:val="auto"/>
          <w:szCs w:val="21"/>
          <w:highlight w:val="none"/>
        </w:rPr>
      </w:pPr>
      <w:r>
        <w:rPr>
          <w:color w:val="auto"/>
          <w:szCs w:val="21"/>
          <w:highlight w:val="none"/>
        </w:rPr>
        <w:t>7.4</w:t>
      </w:r>
      <w:r>
        <w:rPr>
          <w:rFonts w:hint="eastAsia"/>
          <w:color w:val="auto"/>
          <w:szCs w:val="21"/>
          <w:highlight w:val="none"/>
          <w:lang w:eastAsia="zh-CN"/>
        </w:rPr>
        <w:t xml:space="preserve"> </w:t>
      </w:r>
      <w:r>
        <w:rPr>
          <w:rFonts w:hint="eastAsia"/>
          <w:color w:val="auto"/>
          <w:szCs w:val="21"/>
          <w:highlight w:val="none"/>
        </w:rPr>
        <w:t>质量管理及检验的标准</w:t>
      </w:r>
    </w:p>
    <w:p>
      <w:pPr>
        <w:spacing w:line="360" w:lineRule="exact"/>
        <w:rPr>
          <w:color w:val="auto"/>
          <w:szCs w:val="21"/>
          <w:highlight w:val="none"/>
        </w:rPr>
      </w:pPr>
      <w:r>
        <w:rPr>
          <w:color w:val="auto"/>
          <w:szCs w:val="21"/>
          <w:highlight w:val="none"/>
        </w:rPr>
        <w:t>7.5</w:t>
      </w:r>
      <w:r>
        <w:rPr>
          <w:rFonts w:hint="eastAsia"/>
          <w:color w:val="auto"/>
          <w:szCs w:val="21"/>
          <w:highlight w:val="none"/>
          <w:lang w:eastAsia="zh-CN"/>
        </w:rPr>
        <w:t xml:space="preserve"> </w:t>
      </w:r>
      <w:r>
        <w:rPr>
          <w:rFonts w:hint="eastAsia"/>
          <w:color w:val="auto"/>
          <w:szCs w:val="21"/>
          <w:highlight w:val="none"/>
        </w:rPr>
        <w:t>质量保修承诺</w:t>
      </w:r>
    </w:p>
    <w:p>
      <w:pPr>
        <w:spacing w:line="360" w:lineRule="exact"/>
        <w:rPr>
          <w:color w:val="auto"/>
          <w:szCs w:val="21"/>
          <w:highlight w:val="none"/>
        </w:rPr>
      </w:pPr>
      <w:r>
        <w:rPr>
          <w:color w:val="auto"/>
          <w:szCs w:val="21"/>
          <w:highlight w:val="none"/>
        </w:rPr>
        <w:t>7.6</w:t>
      </w:r>
      <w:r>
        <w:rPr>
          <w:rFonts w:hint="eastAsia"/>
          <w:color w:val="auto"/>
          <w:szCs w:val="21"/>
          <w:highlight w:val="none"/>
          <w:lang w:eastAsia="zh-CN"/>
        </w:rPr>
        <w:t xml:space="preserve"> </w:t>
      </w:r>
      <w:r>
        <w:rPr>
          <w:rFonts w:hint="eastAsia"/>
          <w:color w:val="auto"/>
          <w:szCs w:val="21"/>
          <w:highlight w:val="none"/>
        </w:rPr>
        <w:t>质量保证技术措施</w:t>
      </w:r>
    </w:p>
    <w:p>
      <w:pPr>
        <w:spacing w:line="360" w:lineRule="exact"/>
        <w:rPr>
          <w:color w:val="auto"/>
          <w:szCs w:val="21"/>
          <w:highlight w:val="none"/>
        </w:rPr>
      </w:pPr>
      <w:r>
        <w:rPr>
          <w:color w:val="auto"/>
          <w:szCs w:val="21"/>
          <w:highlight w:val="none"/>
        </w:rPr>
        <w:t>8</w:t>
      </w:r>
      <w:r>
        <w:rPr>
          <w:rFonts w:hint="eastAsia"/>
          <w:color w:val="auto"/>
          <w:szCs w:val="21"/>
          <w:highlight w:val="none"/>
          <w:lang w:eastAsia="zh-CN"/>
        </w:rPr>
        <w:t xml:space="preserve"> </w:t>
      </w:r>
      <w:r>
        <w:rPr>
          <w:rFonts w:hint="eastAsia"/>
          <w:color w:val="auto"/>
          <w:szCs w:val="21"/>
          <w:highlight w:val="none"/>
        </w:rPr>
        <w:t>安全管理</w:t>
      </w:r>
      <w:r>
        <w:rPr>
          <w:color w:val="auto"/>
          <w:szCs w:val="21"/>
          <w:highlight w:val="none"/>
        </w:rPr>
        <w:tab/>
      </w:r>
    </w:p>
    <w:p>
      <w:pPr>
        <w:spacing w:line="360" w:lineRule="exact"/>
        <w:rPr>
          <w:color w:val="auto"/>
          <w:szCs w:val="21"/>
          <w:highlight w:val="none"/>
        </w:rPr>
      </w:pPr>
      <w:r>
        <w:rPr>
          <w:color w:val="auto"/>
          <w:szCs w:val="21"/>
          <w:highlight w:val="none"/>
        </w:rPr>
        <w:t>8.1</w:t>
      </w:r>
      <w:r>
        <w:rPr>
          <w:rFonts w:hint="eastAsia"/>
          <w:color w:val="auto"/>
          <w:szCs w:val="21"/>
          <w:highlight w:val="none"/>
          <w:lang w:eastAsia="zh-CN"/>
        </w:rPr>
        <w:t xml:space="preserve"> </w:t>
      </w:r>
      <w:r>
        <w:rPr>
          <w:rFonts w:hint="eastAsia"/>
          <w:color w:val="auto"/>
          <w:szCs w:val="21"/>
          <w:highlight w:val="none"/>
        </w:rPr>
        <w:t>安全目标承诺、安全管理组织机构</w:t>
      </w:r>
    </w:p>
    <w:p>
      <w:pPr>
        <w:spacing w:line="360" w:lineRule="exact"/>
        <w:rPr>
          <w:color w:val="auto"/>
          <w:szCs w:val="21"/>
          <w:highlight w:val="none"/>
        </w:rPr>
      </w:pPr>
      <w:r>
        <w:rPr>
          <w:color w:val="auto"/>
          <w:szCs w:val="21"/>
          <w:highlight w:val="none"/>
        </w:rPr>
        <w:t>8.2</w:t>
      </w:r>
      <w:r>
        <w:rPr>
          <w:rFonts w:hint="eastAsia"/>
          <w:color w:val="auto"/>
          <w:szCs w:val="21"/>
          <w:highlight w:val="none"/>
          <w:lang w:eastAsia="zh-CN"/>
        </w:rPr>
        <w:t xml:space="preserve"> </w:t>
      </w:r>
      <w:r>
        <w:rPr>
          <w:rFonts w:hint="eastAsia"/>
          <w:color w:val="auto"/>
          <w:szCs w:val="21"/>
          <w:highlight w:val="none"/>
        </w:rPr>
        <w:t>安全管理主要职责、安全管理制度</w:t>
      </w:r>
    </w:p>
    <w:p>
      <w:pPr>
        <w:spacing w:line="360" w:lineRule="exact"/>
        <w:rPr>
          <w:color w:val="auto"/>
          <w:szCs w:val="21"/>
          <w:highlight w:val="none"/>
        </w:rPr>
      </w:pPr>
      <w:r>
        <w:rPr>
          <w:color w:val="auto"/>
          <w:szCs w:val="21"/>
          <w:highlight w:val="none"/>
        </w:rPr>
        <w:t>8.3</w:t>
      </w:r>
      <w:r>
        <w:rPr>
          <w:rFonts w:hint="eastAsia"/>
          <w:color w:val="auto"/>
          <w:szCs w:val="21"/>
          <w:highlight w:val="none"/>
          <w:lang w:eastAsia="zh-CN"/>
        </w:rPr>
        <w:t xml:space="preserve"> </w:t>
      </w:r>
      <w:r>
        <w:rPr>
          <w:rFonts w:hint="eastAsia"/>
          <w:color w:val="auto"/>
          <w:szCs w:val="21"/>
          <w:highlight w:val="none"/>
        </w:rPr>
        <w:t>安全组织技术措施、实施方案、考核办法、管理方法</w:t>
      </w:r>
    </w:p>
    <w:p>
      <w:pPr>
        <w:spacing w:line="360" w:lineRule="exact"/>
        <w:rPr>
          <w:color w:val="auto"/>
          <w:szCs w:val="21"/>
          <w:highlight w:val="none"/>
        </w:rPr>
      </w:pPr>
      <w:r>
        <w:rPr>
          <w:color w:val="auto"/>
          <w:szCs w:val="21"/>
          <w:highlight w:val="none"/>
        </w:rPr>
        <w:t>8.4</w:t>
      </w:r>
      <w:r>
        <w:rPr>
          <w:rFonts w:hint="eastAsia"/>
          <w:color w:val="auto"/>
          <w:szCs w:val="21"/>
          <w:highlight w:val="none"/>
          <w:lang w:eastAsia="zh-CN"/>
        </w:rPr>
        <w:t xml:space="preserve"> </w:t>
      </w:r>
      <w:r>
        <w:rPr>
          <w:rFonts w:hint="eastAsia"/>
          <w:color w:val="auto"/>
          <w:szCs w:val="21"/>
          <w:highlight w:val="none"/>
        </w:rPr>
        <w:t>重要施工方案及特殊施工工序的安全过程控制</w:t>
      </w:r>
    </w:p>
    <w:p>
      <w:pPr>
        <w:spacing w:line="360" w:lineRule="exact"/>
        <w:rPr>
          <w:color w:val="auto"/>
          <w:szCs w:val="21"/>
          <w:highlight w:val="none"/>
        </w:rPr>
      </w:pPr>
      <w:r>
        <w:rPr>
          <w:color w:val="auto"/>
          <w:szCs w:val="21"/>
          <w:highlight w:val="none"/>
        </w:rPr>
        <w:t>9</w:t>
      </w:r>
      <w:r>
        <w:rPr>
          <w:rFonts w:hint="eastAsia"/>
          <w:color w:val="auto"/>
          <w:szCs w:val="21"/>
          <w:highlight w:val="none"/>
          <w:lang w:eastAsia="zh-CN"/>
        </w:rPr>
        <w:t xml:space="preserve"> </w:t>
      </w:r>
      <w:r>
        <w:rPr>
          <w:rFonts w:hint="eastAsia"/>
          <w:color w:val="auto"/>
          <w:szCs w:val="21"/>
          <w:highlight w:val="none"/>
        </w:rPr>
        <w:t>环境保护与文明施工</w:t>
      </w:r>
    </w:p>
    <w:p>
      <w:pPr>
        <w:spacing w:line="360" w:lineRule="exact"/>
        <w:rPr>
          <w:color w:val="auto"/>
          <w:szCs w:val="21"/>
          <w:highlight w:val="none"/>
        </w:rPr>
      </w:pPr>
      <w:r>
        <w:rPr>
          <w:color w:val="auto"/>
          <w:szCs w:val="21"/>
          <w:highlight w:val="none"/>
        </w:rPr>
        <w:t>9.1</w:t>
      </w:r>
      <w:r>
        <w:rPr>
          <w:rFonts w:hint="eastAsia"/>
          <w:color w:val="auto"/>
          <w:szCs w:val="21"/>
          <w:highlight w:val="none"/>
          <w:lang w:eastAsia="zh-CN"/>
        </w:rPr>
        <w:t xml:space="preserve"> </w:t>
      </w:r>
      <w:r>
        <w:rPr>
          <w:rFonts w:hint="eastAsia"/>
          <w:color w:val="auto"/>
          <w:szCs w:val="21"/>
          <w:highlight w:val="none"/>
        </w:rPr>
        <w:t>安全文明施工及环境保护目标</w:t>
      </w:r>
    </w:p>
    <w:p>
      <w:pPr>
        <w:spacing w:line="360" w:lineRule="exact"/>
        <w:rPr>
          <w:color w:val="auto"/>
          <w:szCs w:val="21"/>
          <w:highlight w:val="none"/>
        </w:rPr>
      </w:pPr>
      <w:r>
        <w:rPr>
          <w:color w:val="auto"/>
          <w:szCs w:val="21"/>
          <w:highlight w:val="none"/>
        </w:rPr>
        <w:t>9.2</w:t>
      </w:r>
      <w:r>
        <w:rPr>
          <w:rFonts w:hint="eastAsia"/>
          <w:color w:val="auto"/>
          <w:szCs w:val="21"/>
          <w:highlight w:val="none"/>
          <w:lang w:eastAsia="zh-CN"/>
        </w:rPr>
        <w:t xml:space="preserve"> </w:t>
      </w:r>
      <w:r>
        <w:rPr>
          <w:rFonts w:hint="eastAsia"/>
          <w:color w:val="auto"/>
          <w:szCs w:val="21"/>
          <w:highlight w:val="none"/>
        </w:rPr>
        <w:t>环境因素分析及控制措施</w:t>
      </w:r>
    </w:p>
    <w:p>
      <w:pPr>
        <w:spacing w:line="360" w:lineRule="exact"/>
        <w:rPr>
          <w:color w:val="auto"/>
          <w:szCs w:val="21"/>
          <w:highlight w:val="none"/>
        </w:rPr>
      </w:pPr>
      <w:r>
        <w:rPr>
          <w:color w:val="auto"/>
          <w:szCs w:val="21"/>
          <w:highlight w:val="none"/>
        </w:rPr>
        <w:t>9.3</w:t>
      </w:r>
      <w:r>
        <w:rPr>
          <w:rFonts w:hint="eastAsia"/>
          <w:color w:val="auto"/>
          <w:szCs w:val="21"/>
          <w:highlight w:val="none"/>
          <w:lang w:eastAsia="zh-CN"/>
        </w:rPr>
        <w:t xml:space="preserve"> </w:t>
      </w:r>
      <w:r>
        <w:rPr>
          <w:rFonts w:hint="eastAsia"/>
          <w:color w:val="auto"/>
          <w:szCs w:val="21"/>
          <w:highlight w:val="none"/>
        </w:rPr>
        <w:t>安全文明施工标准化措施</w:t>
      </w:r>
    </w:p>
    <w:p>
      <w:pPr>
        <w:spacing w:line="360" w:lineRule="exact"/>
        <w:rPr>
          <w:color w:val="auto"/>
          <w:szCs w:val="21"/>
          <w:highlight w:val="none"/>
        </w:rPr>
      </w:pPr>
      <w:r>
        <w:rPr>
          <w:color w:val="auto"/>
          <w:szCs w:val="21"/>
          <w:highlight w:val="none"/>
        </w:rPr>
        <w:t>10</w:t>
      </w:r>
      <w:r>
        <w:rPr>
          <w:rFonts w:hint="eastAsia"/>
          <w:color w:val="auto"/>
          <w:szCs w:val="21"/>
          <w:highlight w:val="none"/>
          <w:lang w:eastAsia="zh-CN"/>
        </w:rPr>
        <w:t xml:space="preserve"> </w:t>
      </w:r>
      <w:r>
        <w:rPr>
          <w:rFonts w:hint="eastAsia"/>
          <w:color w:val="auto"/>
          <w:szCs w:val="21"/>
          <w:highlight w:val="none"/>
        </w:rPr>
        <w:t>工程分包管理</w:t>
      </w:r>
    </w:p>
    <w:p>
      <w:pPr>
        <w:spacing w:line="360" w:lineRule="exact"/>
        <w:rPr>
          <w:color w:val="auto"/>
          <w:szCs w:val="21"/>
          <w:highlight w:val="none"/>
        </w:rPr>
      </w:pPr>
      <w:r>
        <w:rPr>
          <w:color w:val="auto"/>
          <w:szCs w:val="21"/>
          <w:highlight w:val="none"/>
        </w:rPr>
        <w:t>11</w:t>
      </w:r>
      <w:r>
        <w:rPr>
          <w:rFonts w:hint="eastAsia"/>
          <w:color w:val="auto"/>
          <w:szCs w:val="21"/>
          <w:highlight w:val="none"/>
          <w:lang w:eastAsia="zh-CN"/>
        </w:rPr>
        <w:t xml:space="preserve"> </w:t>
      </w:r>
      <w:r>
        <w:rPr>
          <w:rFonts w:hint="eastAsia"/>
          <w:color w:val="auto"/>
          <w:szCs w:val="21"/>
          <w:highlight w:val="none"/>
        </w:rPr>
        <w:t>标准工艺应用</w:t>
      </w:r>
    </w:p>
    <w:p>
      <w:pPr>
        <w:spacing w:line="360" w:lineRule="exact"/>
        <w:rPr>
          <w:color w:val="auto"/>
          <w:szCs w:val="21"/>
          <w:highlight w:val="none"/>
        </w:rPr>
      </w:pPr>
      <w:r>
        <w:rPr>
          <w:color w:val="auto"/>
          <w:szCs w:val="21"/>
          <w:highlight w:val="none"/>
        </w:rPr>
        <w:t>12</w:t>
      </w:r>
      <w:r>
        <w:rPr>
          <w:rFonts w:hint="eastAsia"/>
          <w:color w:val="auto"/>
          <w:szCs w:val="21"/>
          <w:highlight w:val="none"/>
          <w:lang w:eastAsia="zh-CN"/>
        </w:rPr>
        <w:t xml:space="preserve"> </w:t>
      </w:r>
      <w:r>
        <w:rPr>
          <w:rFonts w:hint="eastAsia"/>
          <w:color w:val="auto"/>
          <w:szCs w:val="21"/>
          <w:highlight w:val="none"/>
        </w:rPr>
        <w:t>计划、统计与信息管理</w:t>
      </w:r>
    </w:p>
    <w:p>
      <w:pPr>
        <w:spacing w:line="360" w:lineRule="exact"/>
        <w:rPr>
          <w:color w:val="auto"/>
          <w:szCs w:val="21"/>
          <w:highlight w:val="none"/>
        </w:rPr>
      </w:pPr>
      <w:r>
        <w:rPr>
          <w:color w:val="auto"/>
          <w:szCs w:val="21"/>
          <w:highlight w:val="none"/>
        </w:rPr>
        <w:t>12.1</w:t>
      </w:r>
      <w:r>
        <w:rPr>
          <w:rFonts w:hint="eastAsia"/>
          <w:color w:val="auto"/>
          <w:szCs w:val="21"/>
          <w:highlight w:val="none"/>
          <w:lang w:eastAsia="zh-CN"/>
        </w:rPr>
        <w:t xml:space="preserve"> </w:t>
      </w:r>
      <w:r>
        <w:rPr>
          <w:rFonts w:hint="eastAsia"/>
          <w:color w:val="auto"/>
          <w:szCs w:val="21"/>
          <w:highlight w:val="none"/>
        </w:rPr>
        <w:t>计划、统计报表的编制与递交</w:t>
      </w:r>
    </w:p>
    <w:p>
      <w:pPr>
        <w:rPr>
          <w:color w:val="auto"/>
          <w:szCs w:val="21"/>
          <w:highlight w:val="none"/>
        </w:rPr>
      </w:pPr>
      <w:r>
        <w:rPr>
          <w:color w:val="auto"/>
          <w:szCs w:val="21"/>
          <w:highlight w:val="none"/>
        </w:rPr>
        <w:t>12.2</w:t>
      </w:r>
      <w:r>
        <w:rPr>
          <w:rFonts w:hint="eastAsia"/>
          <w:color w:val="auto"/>
          <w:szCs w:val="21"/>
          <w:highlight w:val="none"/>
          <w:lang w:eastAsia="zh-CN"/>
        </w:rPr>
        <w:t xml:space="preserve"> </w:t>
      </w:r>
      <w:r>
        <w:rPr>
          <w:rFonts w:hint="eastAsia"/>
          <w:color w:val="auto"/>
          <w:szCs w:val="21"/>
          <w:highlight w:val="none"/>
        </w:rPr>
        <w:t>信息管理</w:t>
      </w:r>
    </w:p>
    <w:p>
      <w:pPr>
        <w:spacing w:line="360" w:lineRule="exact"/>
        <w:rPr>
          <w:color w:val="auto"/>
          <w:szCs w:val="21"/>
          <w:highlight w:val="none"/>
        </w:rPr>
      </w:pPr>
      <w:r>
        <w:rPr>
          <w:color w:val="auto"/>
          <w:szCs w:val="21"/>
          <w:highlight w:val="none"/>
        </w:rPr>
        <w:t>13</w:t>
      </w:r>
      <w:r>
        <w:rPr>
          <w:rFonts w:hint="eastAsia"/>
          <w:color w:val="auto"/>
          <w:szCs w:val="21"/>
          <w:highlight w:val="none"/>
          <w:lang w:eastAsia="zh-CN"/>
        </w:rPr>
        <w:t xml:space="preserve"> </w:t>
      </w:r>
      <w:r>
        <w:rPr>
          <w:rFonts w:hint="eastAsia"/>
          <w:color w:val="auto"/>
          <w:szCs w:val="21"/>
          <w:highlight w:val="none"/>
        </w:rPr>
        <w:t>施工科技创新</w:t>
      </w:r>
    </w:p>
    <w:p>
      <w:pPr>
        <w:spacing w:line="360" w:lineRule="exact"/>
        <w:rPr>
          <w:color w:val="auto"/>
          <w:szCs w:val="21"/>
          <w:highlight w:val="none"/>
        </w:rPr>
      </w:pPr>
      <w:r>
        <w:rPr>
          <w:color w:val="auto"/>
          <w:szCs w:val="21"/>
          <w:highlight w:val="none"/>
        </w:rPr>
        <w:t>13.1</w:t>
      </w:r>
      <w:r>
        <w:rPr>
          <w:rFonts w:hint="eastAsia"/>
          <w:color w:val="auto"/>
          <w:szCs w:val="21"/>
          <w:highlight w:val="none"/>
          <w:lang w:eastAsia="zh-CN"/>
        </w:rPr>
        <w:t xml:space="preserve"> </w:t>
      </w:r>
      <w:r>
        <w:rPr>
          <w:rFonts w:hint="eastAsia"/>
          <w:color w:val="auto"/>
          <w:szCs w:val="21"/>
          <w:highlight w:val="none"/>
        </w:rPr>
        <w:t>采用新机具、新材料</w:t>
      </w:r>
    </w:p>
    <w:p>
      <w:pPr>
        <w:spacing w:line="360" w:lineRule="exact"/>
        <w:rPr>
          <w:color w:val="auto"/>
          <w:szCs w:val="21"/>
          <w:highlight w:val="none"/>
        </w:rPr>
      </w:pPr>
      <w:r>
        <w:rPr>
          <w:color w:val="auto"/>
          <w:szCs w:val="21"/>
          <w:highlight w:val="none"/>
        </w:rPr>
        <w:t>13.2</w:t>
      </w:r>
      <w:r>
        <w:rPr>
          <w:rFonts w:hint="eastAsia"/>
          <w:color w:val="auto"/>
          <w:szCs w:val="21"/>
          <w:highlight w:val="none"/>
          <w:lang w:eastAsia="zh-CN"/>
        </w:rPr>
        <w:t xml:space="preserve"> </w:t>
      </w:r>
      <w:r>
        <w:rPr>
          <w:rFonts w:hint="eastAsia"/>
          <w:color w:val="auto"/>
          <w:szCs w:val="21"/>
          <w:highlight w:val="none"/>
        </w:rPr>
        <w:t>新施工工艺</w:t>
      </w:r>
    </w:p>
    <w:p>
      <w:pPr>
        <w:spacing w:line="360" w:lineRule="exact"/>
        <w:rPr>
          <w:rFonts w:hint="eastAsia"/>
          <w:color w:val="auto"/>
          <w:szCs w:val="21"/>
          <w:highlight w:val="none"/>
        </w:rPr>
      </w:pPr>
      <w:r>
        <w:rPr>
          <w:color w:val="auto"/>
          <w:szCs w:val="21"/>
          <w:highlight w:val="none"/>
        </w:rPr>
        <w:t>14</w:t>
      </w:r>
      <w:r>
        <w:rPr>
          <w:rFonts w:hint="eastAsia"/>
          <w:color w:val="auto"/>
          <w:szCs w:val="21"/>
          <w:highlight w:val="none"/>
          <w:lang w:eastAsia="zh-CN"/>
        </w:rPr>
        <w:t xml:space="preserve"> </w:t>
      </w:r>
      <w:r>
        <w:rPr>
          <w:rFonts w:hint="eastAsia"/>
          <w:color w:val="auto"/>
          <w:szCs w:val="21"/>
          <w:highlight w:val="none"/>
        </w:rPr>
        <w:t>工程协调</w:t>
      </w:r>
    </w:p>
    <w:p>
      <w:pPr>
        <w:pStyle w:val="17"/>
        <w:rPr>
          <w:color w:val="auto"/>
          <w:sz w:val="21"/>
          <w:szCs w:val="21"/>
          <w:highlight w:val="none"/>
        </w:rPr>
      </w:pPr>
    </w:p>
    <w:p>
      <w:pPr>
        <w:widowControl/>
        <w:spacing w:before="0" w:beforeLines="0"/>
        <w:jc w:val="left"/>
        <w:rPr>
          <w:color w:val="auto"/>
          <w:sz w:val="21"/>
          <w:szCs w:val="21"/>
          <w:highlight w:val="none"/>
        </w:rPr>
      </w:pPr>
      <w:r>
        <w:rPr>
          <w:rStyle w:val="51"/>
          <w:color w:val="auto"/>
          <w:szCs w:val="21"/>
          <w:highlight w:val="none"/>
        </w:rPr>
        <w:br w:type="page"/>
      </w:r>
      <w:r>
        <w:rPr>
          <w:rFonts w:hint="eastAsia"/>
          <w:b/>
          <w:color w:val="auto"/>
          <w:sz w:val="21"/>
          <w:szCs w:val="21"/>
          <w:highlight w:val="none"/>
          <w:lang w:val="en-US" w:eastAsia="zh-CN"/>
        </w:rPr>
        <w:t>3</w:t>
      </w:r>
      <w:r>
        <w:rPr>
          <w:color w:val="auto"/>
          <w:sz w:val="21"/>
          <w:szCs w:val="21"/>
          <w:highlight w:val="none"/>
        </w:rPr>
        <w:t>.</w:t>
      </w:r>
      <w:r>
        <w:rPr>
          <w:rFonts w:hint="eastAsia"/>
          <w:color w:val="auto"/>
          <w:sz w:val="21"/>
          <w:szCs w:val="21"/>
          <w:highlight w:val="none"/>
        </w:rPr>
        <w:t>施工组织设计附件</w:t>
      </w:r>
    </w:p>
    <w:p>
      <w:pPr>
        <w:adjustRightInd w:val="0"/>
        <w:spacing w:line="360" w:lineRule="exact"/>
        <w:ind w:firstLine="422" w:firstLineChars="200"/>
        <w:rPr>
          <w:rStyle w:val="51"/>
          <w:color w:val="auto"/>
          <w:szCs w:val="21"/>
          <w:highlight w:val="none"/>
        </w:rPr>
      </w:pP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1</w:t>
      </w:r>
      <w:r>
        <w:rPr>
          <w:rFonts w:hint="eastAsia"/>
          <w:color w:val="auto"/>
          <w:szCs w:val="21"/>
          <w:highlight w:val="none"/>
          <w:lang w:eastAsia="zh-CN"/>
        </w:rPr>
        <w:t xml:space="preserve"> </w:t>
      </w:r>
      <w:r>
        <w:rPr>
          <w:rFonts w:hint="eastAsia"/>
          <w:color w:val="auto"/>
          <w:szCs w:val="21"/>
          <w:highlight w:val="none"/>
        </w:rPr>
        <w:t>拟投入本标段的主要施工设备表</w:t>
      </w: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2</w:t>
      </w:r>
      <w:r>
        <w:rPr>
          <w:rFonts w:hint="eastAsia"/>
          <w:color w:val="auto"/>
          <w:szCs w:val="21"/>
          <w:highlight w:val="none"/>
          <w:lang w:eastAsia="zh-CN"/>
        </w:rPr>
        <w:t xml:space="preserve"> </w:t>
      </w:r>
      <w:r>
        <w:rPr>
          <w:rFonts w:hint="eastAsia"/>
          <w:color w:val="auto"/>
          <w:szCs w:val="21"/>
          <w:highlight w:val="none"/>
        </w:rPr>
        <w:t>拟配备本标段的试验和检测仪器设备表</w:t>
      </w: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3</w:t>
      </w:r>
      <w:r>
        <w:rPr>
          <w:rFonts w:hint="eastAsia"/>
          <w:color w:val="auto"/>
          <w:szCs w:val="21"/>
          <w:highlight w:val="none"/>
          <w:lang w:eastAsia="zh-CN"/>
        </w:rPr>
        <w:t xml:space="preserve"> </w:t>
      </w:r>
      <w:r>
        <w:rPr>
          <w:rFonts w:hint="eastAsia"/>
          <w:color w:val="auto"/>
          <w:szCs w:val="21"/>
          <w:highlight w:val="none"/>
        </w:rPr>
        <w:t>劳动力计划表</w:t>
      </w: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4</w:t>
      </w:r>
      <w:r>
        <w:rPr>
          <w:rFonts w:hint="eastAsia"/>
          <w:color w:val="auto"/>
          <w:szCs w:val="21"/>
          <w:highlight w:val="none"/>
          <w:lang w:eastAsia="zh-CN"/>
        </w:rPr>
        <w:t xml:space="preserve"> </w:t>
      </w:r>
      <w:r>
        <w:rPr>
          <w:rFonts w:hint="eastAsia"/>
          <w:color w:val="auto"/>
          <w:szCs w:val="21"/>
          <w:highlight w:val="none"/>
        </w:rPr>
        <w:t>计划开、竣工日期和施工进度网络图</w:t>
      </w: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5</w:t>
      </w:r>
      <w:r>
        <w:rPr>
          <w:rFonts w:hint="eastAsia"/>
          <w:color w:val="auto"/>
          <w:szCs w:val="21"/>
          <w:highlight w:val="none"/>
          <w:lang w:eastAsia="zh-CN"/>
        </w:rPr>
        <w:t xml:space="preserve"> </w:t>
      </w:r>
      <w:r>
        <w:rPr>
          <w:rFonts w:hint="eastAsia"/>
          <w:color w:val="auto"/>
          <w:szCs w:val="21"/>
          <w:highlight w:val="none"/>
        </w:rPr>
        <w:t>施工总平面图</w:t>
      </w: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6</w:t>
      </w:r>
      <w:r>
        <w:rPr>
          <w:rFonts w:hint="eastAsia"/>
          <w:color w:val="auto"/>
          <w:szCs w:val="21"/>
          <w:highlight w:val="none"/>
          <w:lang w:eastAsia="zh-CN"/>
        </w:rPr>
        <w:t xml:space="preserve"> </w:t>
      </w:r>
      <w:r>
        <w:rPr>
          <w:rFonts w:hint="eastAsia"/>
          <w:color w:val="auto"/>
          <w:szCs w:val="21"/>
          <w:highlight w:val="none"/>
        </w:rPr>
        <w:t>临时用地表</w:t>
      </w:r>
    </w:p>
    <w:p>
      <w:pPr>
        <w:spacing w:line="360" w:lineRule="exact"/>
        <w:ind w:firstLine="420" w:firstLineChars="200"/>
        <w:rPr>
          <w:color w:val="auto"/>
          <w:szCs w:val="21"/>
          <w:highlight w:val="none"/>
        </w:rPr>
      </w:pPr>
      <w:r>
        <w:rPr>
          <w:rFonts w:hint="eastAsia"/>
          <w:color w:val="auto"/>
          <w:szCs w:val="21"/>
          <w:highlight w:val="none"/>
        </w:rPr>
        <w:t>附件</w:t>
      </w:r>
      <w:r>
        <w:rPr>
          <w:color w:val="auto"/>
          <w:szCs w:val="21"/>
          <w:highlight w:val="none"/>
        </w:rPr>
        <w:t>7</w:t>
      </w:r>
      <w:r>
        <w:rPr>
          <w:rFonts w:hint="eastAsia"/>
          <w:color w:val="auto"/>
          <w:szCs w:val="21"/>
          <w:highlight w:val="none"/>
          <w:lang w:eastAsia="zh-CN"/>
        </w:rPr>
        <w:t xml:space="preserve"> </w:t>
      </w:r>
      <w:r>
        <w:rPr>
          <w:rFonts w:hint="eastAsia"/>
          <w:color w:val="auto"/>
          <w:szCs w:val="21"/>
          <w:highlight w:val="none"/>
        </w:rPr>
        <w:t>拟分包项目情况表</w:t>
      </w:r>
    </w:p>
    <w:p>
      <w:pPr>
        <w:spacing w:line="360" w:lineRule="exact"/>
        <w:ind w:firstLine="420" w:firstLineChars="200"/>
        <w:rPr>
          <w:color w:val="auto"/>
          <w:szCs w:val="21"/>
          <w:highlight w:val="none"/>
        </w:rPr>
      </w:pPr>
    </w:p>
    <w:p>
      <w:pPr>
        <w:spacing w:line="360" w:lineRule="exact"/>
        <w:rPr>
          <w:rFonts w:hint="eastAsia" w:eastAsia="黑体"/>
          <w:color w:val="auto"/>
          <w:szCs w:val="21"/>
          <w:highlight w:val="none"/>
        </w:rPr>
      </w:pPr>
      <w:r>
        <w:rPr>
          <w:color w:val="auto"/>
          <w:szCs w:val="21"/>
          <w:highlight w:val="none"/>
        </w:rPr>
        <w:br w:type="page"/>
      </w: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1</w:t>
      </w:r>
      <w:r>
        <w:rPr>
          <w:rFonts w:hint="eastAsia" w:eastAsia="黑体"/>
          <w:color w:val="auto"/>
          <w:szCs w:val="21"/>
          <w:highlight w:val="none"/>
        </w:rPr>
        <w:t>：拟投入本标段的主要施工设备表</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716"/>
        <w:gridCol w:w="1169"/>
        <w:gridCol w:w="819"/>
        <w:gridCol w:w="1065"/>
        <w:gridCol w:w="723"/>
        <w:gridCol w:w="794"/>
        <w:gridCol w:w="1304"/>
        <w:gridCol w:w="942"/>
        <w:gridCol w:w="861"/>
        <w:gridCol w:w="850"/>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序号</w:t>
            </w:r>
          </w:p>
        </w:tc>
        <w:tc>
          <w:tcPr>
            <w:tcW w:w="1169"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设备名称</w:t>
            </w:r>
          </w:p>
        </w:tc>
        <w:tc>
          <w:tcPr>
            <w:tcW w:w="819"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型号</w:t>
            </w:r>
          </w:p>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规格</w:t>
            </w:r>
          </w:p>
        </w:tc>
        <w:tc>
          <w:tcPr>
            <w:tcW w:w="1065"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数量</w:t>
            </w:r>
          </w:p>
        </w:tc>
        <w:tc>
          <w:tcPr>
            <w:tcW w:w="723"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国别产地</w:t>
            </w:r>
          </w:p>
        </w:tc>
        <w:tc>
          <w:tcPr>
            <w:tcW w:w="794"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制造</w:t>
            </w:r>
          </w:p>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年份</w:t>
            </w:r>
          </w:p>
        </w:tc>
        <w:tc>
          <w:tcPr>
            <w:tcW w:w="1304"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额定功率</w:t>
            </w:r>
            <w:r>
              <w:rPr>
                <w:rFonts w:ascii="Times New Roman" w:hAnsi="Times New Roman"/>
                <w:b/>
                <w:color w:val="auto"/>
                <w:szCs w:val="21"/>
                <w:highlight w:val="none"/>
              </w:rPr>
              <w:br w:type="textWrapping"/>
            </w:r>
            <w:r>
              <w:rPr>
                <w:rFonts w:hint="eastAsia" w:ascii="Times New Roman" w:hAnsi="Times New Roman"/>
                <w:b/>
                <w:color w:val="auto"/>
                <w:szCs w:val="21"/>
                <w:highlight w:val="none"/>
              </w:rPr>
              <w:t>（</w:t>
            </w:r>
            <w:r>
              <w:rPr>
                <w:rFonts w:ascii="Times New Roman" w:hAnsi="Times New Roman"/>
                <w:b/>
                <w:color w:val="auto"/>
                <w:szCs w:val="21"/>
                <w:highlight w:val="none"/>
              </w:rPr>
              <w:t>kW</w:t>
            </w:r>
            <w:r>
              <w:rPr>
                <w:rFonts w:hint="eastAsia" w:ascii="Times New Roman" w:hAnsi="Times New Roman"/>
                <w:b/>
                <w:color w:val="auto"/>
                <w:szCs w:val="21"/>
                <w:highlight w:val="none"/>
              </w:rPr>
              <w:t>）</w:t>
            </w:r>
          </w:p>
        </w:tc>
        <w:tc>
          <w:tcPr>
            <w:tcW w:w="942"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生产能力</w:t>
            </w:r>
          </w:p>
        </w:tc>
        <w:tc>
          <w:tcPr>
            <w:tcW w:w="861"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用于施工部位</w:t>
            </w:r>
          </w:p>
        </w:tc>
        <w:tc>
          <w:tcPr>
            <w:tcW w:w="850"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备注</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rPr>
                <w:rFonts w:ascii="Times New Roman" w:hAnsi="Times New Roman"/>
                <w:color w:val="auto"/>
                <w:szCs w:val="21"/>
                <w:highlight w:val="none"/>
              </w:rPr>
            </w:pPr>
          </w:p>
        </w:tc>
        <w:tc>
          <w:tcPr>
            <w:tcW w:w="1169" w:type="dxa"/>
            <w:noWrap w:val="0"/>
            <w:vAlign w:val="center"/>
          </w:tcPr>
          <w:p>
            <w:pPr>
              <w:topLinePunct w:val="0"/>
              <w:rPr>
                <w:rFonts w:ascii="Times New Roman" w:hAnsi="Times New Roman"/>
                <w:color w:val="auto"/>
                <w:szCs w:val="21"/>
                <w:highlight w:val="none"/>
              </w:rPr>
            </w:pPr>
          </w:p>
        </w:tc>
        <w:tc>
          <w:tcPr>
            <w:tcW w:w="819" w:type="dxa"/>
            <w:noWrap w:val="0"/>
            <w:vAlign w:val="center"/>
          </w:tcPr>
          <w:p>
            <w:pPr>
              <w:topLinePunct w:val="0"/>
              <w:rPr>
                <w:rFonts w:ascii="Times New Roman" w:hAnsi="Times New Roman"/>
                <w:color w:val="auto"/>
                <w:szCs w:val="21"/>
                <w:highlight w:val="none"/>
              </w:rPr>
            </w:pPr>
          </w:p>
        </w:tc>
        <w:tc>
          <w:tcPr>
            <w:tcW w:w="1065" w:type="dxa"/>
            <w:noWrap w:val="0"/>
            <w:vAlign w:val="center"/>
          </w:tcPr>
          <w:p>
            <w:pPr>
              <w:topLinePunct w:val="0"/>
              <w:rPr>
                <w:rFonts w:ascii="Times New Roman" w:hAnsi="Times New Roman"/>
                <w:color w:val="auto"/>
                <w:szCs w:val="21"/>
                <w:highlight w:val="none"/>
              </w:rPr>
            </w:pPr>
          </w:p>
        </w:tc>
        <w:tc>
          <w:tcPr>
            <w:tcW w:w="723" w:type="dxa"/>
            <w:noWrap w:val="0"/>
            <w:vAlign w:val="center"/>
          </w:tcPr>
          <w:p>
            <w:pPr>
              <w:topLinePunct w:val="0"/>
              <w:rPr>
                <w:rFonts w:ascii="Times New Roman" w:hAnsi="Times New Roman"/>
                <w:color w:val="auto"/>
                <w:szCs w:val="21"/>
                <w:highlight w:val="none"/>
              </w:rPr>
            </w:pPr>
          </w:p>
        </w:tc>
        <w:tc>
          <w:tcPr>
            <w:tcW w:w="794" w:type="dxa"/>
            <w:noWrap w:val="0"/>
            <w:vAlign w:val="center"/>
          </w:tcPr>
          <w:p>
            <w:pPr>
              <w:topLinePunct w:val="0"/>
              <w:rPr>
                <w:rFonts w:ascii="Times New Roman" w:hAnsi="Times New Roman"/>
                <w:color w:val="auto"/>
                <w:szCs w:val="21"/>
                <w:highlight w:val="none"/>
              </w:rPr>
            </w:pPr>
          </w:p>
        </w:tc>
        <w:tc>
          <w:tcPr>
            <w:tcW w:w="1304" w:type="dxa"/>
            <w:noWrap w:val="0"/>
            <w:vAlign w:val="center"/>
          </w:tcPr>
          <w:p>
            <w:pPr>
              <w:topLinePunct w:val="0"/>
              <w:rPr>
                <w:rFonts w:ascii="Times New Roman" w:hAnsi="Times New Roman"/>
                <w:color w:val="auto"/>
                <w:szCs w:val="21"/>
                <w:highlight w:val="none"/>
              </w:rPr>
            </w:pPr>
          </w:p>
        </w:tc>
        <w:tc>
          <w:tcPr>
            <w:tcW w:w="942" w:type="dxa"/>
            <w:noWrap w:val="0"/>
            <w:vAlign w:val="center"/>
          </w:tcPr>
          <w:p>
            <w:pPr>
              <w:topLinePunct w:val="0"/>
              <w:rPr>
                <w:rFonts w:ascii="Times New Roman" w:hAnsi="Times New Roman"/>
                <w:color w:val="auto"/>
                <w:szCs w:val="21"/>
                <w:highlight w:val="none"/>
              </w:rPr>
            </w:pPr>
          </w:p>
        </w:tc>
        <w:tc>
          <w:tcPr>
            <w:tcW w:w="861"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rPr>
                <w:rFonts w:ascii="Times New Roman" w:hAnsi="Times New Roman"/>
                <w:color w:val="auto"/>
                <w:szCs w:val="21"/>
                <w:highlight w:val="none"/>
              </w:rPr>
            </w:pPr>
          </w:p>
        </w:tc>
        <w:tc>
          <w:tcPr>
            <w:tcW w:w="1169" w:type="dxa"/>
            <w:noWrap w:val="0"/>
            <w:vAlign w:val="center"/>
          </w:tcPr>
          <w:p>
            <w:pPr>
              <w:topLinePunct w:val="0"/>
              <w:rPr>
                <w:rFonts w:ascii="Times New Roman" w:hAnsi="Times New Roman"/>
                <w:color w:val="auto"/>
                <w:szCs w:val="21"/>
                <w:highlight w:val="none"/>
              </w:rPr>
            </w:pPr>
          </w:p>
        </w:tc>
        <w:tc>
          <w:tcPr>
            <w:tcW w:w="819" w:type="dxa"/>
            <w:noWrap w:val="0"/>
            <w:vAlign w:val="center"/>
          </w:tcPr>
          <w:p>
            <w:pPr>
              <w:topLinePunct w:val="0"/>
              <w:rPr>
                <w:rFonts w:ascii="Times New Roman" w:hAnsi="Times New Roman"/>
                <w:color w:val="auto"/>
                <w:szCs w:val="21"/>
                <w:highlight w:val="none"/>
              </w:rPr>
            </w:pPr>
          </w:p>
        </w:tc>
        <w:tc>
          <w:tcPr>
            <w:tcW w:w="1065" w:type="dxa"/>
            <w:noWrap w:val="0"/>
            <w:vAlign w:val="center"/>
          </w:tcPr>
          <w:p>
            <w:pPr>
              <w:topLinePunct w:val="0"/>
              <w:rPr>
                <w:rFonts w:ascii="Times New Roman" w:hAnsi="Times New Roman"/>
                <w:color w:val="auto"/>
                <w:szCs w:val="21"/>
                <w:highlight w:val="none"/>
              </w:rPr>
            </w:pPr>
          </w:p>
        </w:tc>
        <w:tc>
          <w:tcPr>
            <w:tcW w:w="723" w:type="dxa"/>
            <w:noWrap w:val="0"/>
            <w:vAlign w:val="center"/>
          </w:tcPr>
          <w:p>
            <w:pPr>
              <w:topLinePunct w:val="0"/>
              <w:rPr>
                <w:rFonts w:ascii="Times New Roman" w:hAnsi="Times New Roman"/>
                <w:color w:val="auto"/>
                <w:szCs w:val="21"/>
                <w:highlight w:val="none"/>
              </w:rPr>
            </w:pPr>
          </w:p>
        </w:tc>
        <w:tc>
          <w:tcPr>
            <w:tcW w:w="794" w:type="dxa"/>
            <w:noWrap w:val="0"/>
            <w:vAlign w:val="center"/>
          </w:tcPr>
          <w:p>
            <w:pPr>
              <w:topLinePunct w:val="0"/>
              <w:rPr>
                <w:rFonts w:ascii="Times New Roman" w:hAnsi="Times New Roman"/>
                <w:color w:val="auto"/>
                <w:szCs w:val="21"/>
                <w:highlight w:val="none"/>
              </w:rPr>
            </w:pPr>
          </w:p>
        </w:tc>
        <w:tc>
          <w:tcPr>
            <w:tcW w:w="1304" w:type="dxa"/>
            <w:noWrap w:val="0"/>
            <w:vAlign w:val="center"/>
          </w:tcPr>
          <w:p>
            <w:pPr>
              <w:topLinePunct w:val="0"/>
              <w:rPr>
                <w:rFonts w:ascii="Times New Roman" w:hAnsi="Times New Roman"/>
                <w:color w:val="auto"/>
                <w:szCs w:val="21"/>
                <w:highlight w:val="none"/>
              </w:rPr>
            </w:pPr>
          </w:p>
        </w:tc>
        <w:tc>
          <w:tcPr>
            <w:tcW w:w="942" w:type="dxa"/>
            <w:noWrap w:val="0"/>
            <w:vAlign w:val="center"/>
          </w:tcPr>
          <w:p>
            <w:pPr>
              <w:topLinePunct w:val="0"/>
              <w:rPr>
                <w:rFonts w:ascii="Times New Roman" w:hAnsi="Times New Roman"/>
                <w:color w:val="auto"/>
                <w:szCs w:val="21"/>
                <w:highlight w:val="none"/>
              </w:rPr>
            </w:pPr>
          </w:p>
        </w:tc>
        <w:tc>
          <w:tcPr>
            <w:tcW w:w="861"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rPr>
                <w:rFonts w:ascii="Times New Roman" w:hAnsi="Times New Roman"/>
                <w:color w:val="auto"/>
                <w:szCs w:val="21"/>
                <w:highlight w:val="none"/>
              </w:rPr>
            </w:pPr>
          </w:p>
        </w:tc>
        <w:tc>
          <w:tcPr>
            <w:tcW w:w="1169" w:type="dxa"/>
            <w:noWrap w:val="0"/>
            <w:vAlign w:val="center"/>
          </w:tcPr>
          <w:p>
            <w:pPr>
              <w:topLinePunct w:val="0"/>
              <w:rPr>
                <w:rFonts w:ascii="Times New Roman" w:hAnsi="Times New Roman"/>
                <w:color w:val="auto"/>
                <w:szCs w:val="21"/>
                <w:highlight w:val="none"/>
              </w:rPr>
            </w:pPr>
          </w:p>
        </w:tc>
        <w:tc>
          <w:tcPr>
            <w:tcW w:w="819" w:type="dxa"/>
            <w:noWrap w:val="0"/>
            <w:vAlign w:val="center"/>
          </w:tcPr>
          <w:p>
            <w:pPr>
              <w:topLinePunct w:val="0"/>
              <w:rPr>
                <w:rFonts w:ascii="Times New Roman" w:hAnsi="Times New Roman"/>
                <w:color w:val="auto"/>
                <w:szCs w:val="21"/>
                <w:highlight w:val="none"/>
              </w:rPr>
            </w:pPr>
          </w:p>
        </w:tc>
        <w:tc>
          <w:tcPr>
            <w:tcW w:w="1065" w:type="dxa"/>
            <w:noWrap w:val="0"/>
            <w:vAlign w:val="center"/>
          </w:tcPr>
          <w:p>
            <w:pPr>
              <w:topLinePunct w:val="0"/>
              <w:rPr>
                <w:rFonts w:ascii="Times New Roman" w:hAnsi="Times New Roman"/>
                <w:color w:val="auto"/>
                <w:szCs w:val="21"/>
                <w:highlight w:val="none"/>
              </w:rPr>
            </w:pPr>
          </w:p>
        </w:tc>
        <w:tc>
          <w:tcPr>
            <w:tcW w:w="723" w:type="dxa"/>
            <w:noWrap w:val="0"/>
            <w:vAlign w:val="center"/>
          </w:tcPr>
          <w:p>
            <w:pPr>
              <w:topLinePunct w:val="0"/>
              <w:rPr>
                <w:rFonts w:ascii="Times New Roman" w:hAnsi="Times New Roman"/>
                <w:color w:val="auto"/>
                <w:szCs w:val="21"/>
                <w:highlight w:val="none"/>
              </w:rPr>
            </w:pPr>
          </w:p>
        </w:tc>
        <w:tc>
          <w:tcPr>
            <w:tcW w:w="794" w:type="dxa"/>
            <w:noWrap w:val="0"/>
            <w:vAlign w:val="center"/>
          </w:tcPr>
          <w:p>
            <w:pPr>
              <w:topLinePunct w:val="0"/>
              <w:rPr>
                <w:rFonts w:ascii="Times New Roman" w:hAnsi="Times New Roman"/>
                <w:color w:val="auto"/>
                <w:szCs w:val="21"/>
                <w:highlight w:val="none"/>
              </w:rPr>
            </w:pPr>
          </w:p>
        </w:tc>
        <w:tc>
          <w:tcPr>
            <w:tcW w:w="1304" w:type="dxa"/>
            <w:noWrap w:val="0"/>
            <w:vAlign w:val="center"/>
          </w:tcPr>
          <w:p>
            <w:pPr>
              <w:topLinePunct w:val="0"/>
              <w:rPr>
                <w:rFonts w:ascii="Times New Roman" w:hAnsi="Times New Roman"/>
                <w:color w:val="auto"/>
                <w:szCs w:val="21"/>
                <w:highlight w:val="none"/>
              </w:rPr>
            </w:pPr>
          </w:p>
        </w:tc>
        <w:tc>
          <w:tcPr>
            <w:tcW w:w="942" w:type="dxa"/>
            <w:noWrap w:val="0"/>
            <w:vAlign w:val="center"/>
          </w:tcPr>
          <w:p>
            <w:pPr>
              <w:topLinePunct w:val="0"/>
              <w:rPr>
                <w:rFonts w:ascii="Times New Roman" w:hAnsi="Times New Roman"/>
                <w:color w:val="auto"/>
                <w:szCs w:val="21"/>
                <w:highlight w:val="none"/>
              </w:rPr>
            </w:pPr>
          </w:p>
        </w:tc>
        <w:tc>
          <w:tcPr>
            <w:tcW w:w="861"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rPr>
                <w:rFonts w:ascii="Times New Roman" w:hAnsi="Times New Roman"/>
                <w:color w:val="auto"/>
                <w:szCs w:val="21"/>
                <w:highlight w:val="none"/>
              </w:rPr>
            </w:pPr>
          </w:p>
        </w:tc>
        <w:tc>
          <w:tcPr>
            <w:tcW w:w="1169" w:type="dxa"/>
            <w:noWrap w:val="0"/>
            <w:vAlign w:val="center"/>
          </w:tcPr>
          <w:p>
            <w:pPr>
              <w:topLinePunct w:val="0"/>
              <w:rPr>
                <w:rFonts w:ascii="Times New Roman" w:hAnsi="Times New Roman"/>
                <w:color w:val="auto"/>
                <w:szCs w:val="21"/>
                <w:highlight w:val="none"/>
              </w:rPr>
            </w:pPr>
          </w:p>
        </w:tc>
        <w:tc>
          <w:tcPr>
            <w:tcW w:w="819" w:type="dxa"/>
            <w:noWrap w:val="0"/>
            <w:vAlign w:val="center"/>
          </w:tcPr>
          <w:p>
            <w:pPr>
              <w:topLinePunct w:val="0"/>
              <w:rPr>
                <w:rFonts w:ascii="Times New Roman" w:hAnsi="Times New Roman"/>
                <w:color w:val="auto"/>
                <w:szCs w:val="21"/>
                <w:highlight w:val="none"/>
              </w:rPr>
            </w:pPr>
          </w:p>
        </w:tc>
        <w:tc>
          <w:tcPr>
            <w:tcW w:w="1065" w:type="dxa"/>
            <w:noWrap w:val="0"/>
            <w:vAlign w:val="center"/>
          </w:tcPr>
          <w:p>
            <w:pPr>
              <w:topLinePunct w:val="0"/>
              <w:rPr>
                <w:rFonts w:ascii="Times New Roman" w:hAnsi="Times New Roman"/>
                <w:color w:val="auto"/>
                <w:szCs w:val="21"/>
                <w:highlight w:val="none"/>
              </w:rPr>
            </w:pPr>
          </w:p>
        </w:tc>
        <w:tc>
          <w:tcPr>
            <w:tcW w:w="723" w:type="dxa"/>
            <w:noWrap w:val="0"/>
            <w:vAlign w:val="center"/>
          </w:tcPr>
          <w:p>
            <w:pPr>
              <w:topLinePunct w:val="0"/>
              <w:rPr>
                <w:rFonts w:ascii="Times New Roman" w:hAnsi="Times New Roman"/>
                <w:color w:val="auto"/>
                <w:szCs w:val="21"/>
                <w:highlight w:val="none"/>
              </w:rPr>
            </w:pPr>
          </w:p>
        </w:tc>
        <w:tc>
          <w:tcPr>
            <w:tcW w:w="794" w:type="dxa"/>
            <w:noWrap w:val="0"/>
            <w:vAlign w:val="center"/>
          </w:tcPr>
          <w:p>
            <w:pPr>
              <w:topLinePunct w:val="0"/>
              <w:rPr>
                <w:rFonts w:ascii="Times New Roman" w:hAnsi="Times New Roman"/>
                <w:color w:val="auto"/>
                <w:szCs w:val="21"/>
                <w:highlight w:val="none"/>
              </w:rPr>
            </w:pPr>
          </w:p>
        </w:tc>
        <w:tc>
          <w:tcPr>
            <w:tcW w:w="1304" w:type="dxa"/>
            <w:noWrap w:val="0"/>
            <w:vAlign w:val="center"/>
          </w:tcPr>
          <w:p>
            <w:pPr>
              <w:topLinePunct w:val="0"/>
              <w:rPr>
                <w:rFonts w:ascii="Times New Roman" w:hAnsi="Times New Roman"/>
                <w:color w:val="auto"/>
                <w:szCs w:val="21"/>
                <w:highlight w:val="none"/>
              </w:rPr>
            </w:pPr>
          </w:p>
        </w:tc>
        <w:tc>
          <w:tcPr>
            <w:tcW w:w="942" w:type="dxa"/>
            <w:noWrap w:val="0"/>
            <w:vAlign w:val="center"/>
          </w:tcPr>
          <w:p>
            <w:pPr>
              <w:topLinePunct w:val="0"/>
              <w:rPr>
                <w:rFonts w:ascii="Times New Roman" w:hAnsi="Times New Roman"/>
                <w:color w:val="auto"/>
                <w:szCs w:val="21"/>
                <w:highlight w:val="none"/>
              </w:rPr>
            </w:pPr>
          </w:p>
        </w:tc>
        <w:tc>
          <w:tcPr>
            <w:tcW w:w="861"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rPr>
                <w:rFonts w:ascii="Times New Roman" w:hAnsi="Times New Roman"/>
                <w:color w:val="auto"/>
                <w:szCs w:val="21"/>
                <w:highlight w:val="none"/>
              </w:rPr>
            </w:pPr>
          </w:p>
        </w:tc>
        <w:tc>
          <w:tcPr>
            <w:tcW w:w="1169" w:type="dxa"/>
            <w:noWrap w:val="0"/>
            <w:vAlign w:val="center"/>
          </w:tcPr>
          <w:p>
            <w:pPr>
              <w:topLinePunct w:val="0"/>
              <w:rPr>
                <w:rFonts w:ascii="Times New Roman" w:hAnsi="Times New Roman"/>
                <w:color w:val="auto"/>
                <w:szCs w:val="21"/>
                <w:highlight w:val="none"/>
              </w:rPr>
            </w:pPr>
          </w:p>
        </w:tc>
        <w:tc>
          <w:tcPr>
            <w:tcW w:w="819" w:type="dxa"/>
            <w:noWrap w:val="0"/>
            <w:vAlign w:val="center"/>
          </w:tcPr>
          <w:p>
            <w:pPr>
              <w:topLinePunct w:val="0"/>
              <w:rPr>
                <w:rFonts w:ascii="Times New Roman" w:hAnsi="Times New Roman"/>
                <w:color w:val="auto"/>
                <w:szCs w:val="21"/>
                <w:highlight w:val="none"/>
              </w:rPr>
            </w:pPr>
          </w:p>
        </w:tc>
        <w:tc>
          <w:tcPr>
            <w:tcW w:w="1065" w:type="dxa"/>
            <w:noWrap w:val="0"/>
            <w:vAlign w:val="center"/>
          </w:tcPr>
          <w:p>
            <w:pPr>
              <w:topLinePunct w:val="0"/>
              <w:rPr>
                <w:rFonts w:ascii="Times New Roman" w:hAnsi="Times New Roman"/>
                <w:color w:val="auto"/>
                <w:szCs w:val="21"/>
                <w:highlight w:val="none"/>
              </w:rPr>
            </w:pPr>
          </w:p>
        </w:tc>
        <w:tc>
          <w:tcPr>
            <w:tcW w:w="723" w:type="dxa"/>
            <w:noWrap w:val="0"/>
            <w:vAlign w:val="center"/>
          </w:tcPr>
          <w:p>
            <w:pPr>
              <w:topLinePunct w:val="0"/>
              <w:rPr>
                <w:rFonts w:ascii="Times New Roman" w:hAnsi="Times New Roman"/>
                <w:color w:val="auto"/>
                <w:szCs w:val="21"/>
                <w:highlight w:val="none"/>
              </w:rPr>
            </w:pPr>
          </w:p>
        </w:tc>
        <w:tc>
          <w:tcPr>
            <w:tcW w:w="794" w:type="dxa"/>
            <w:noWrap w:val="0"/>
            <w:vAlign w:val="center"/>
          </w:tcPr>
          <w:p>
            <w:pPr>
              <w:topLinePunct w:val="0"/>
              <w:rPr>
                <w:rFonts w:ascii="Times New Roman" w:hAnsi="Times New Roman"/>
                <w:color w:val="auto"/>
                <w:szCs w:val="21"/>
                <w:highlight w:val="none"/>
              </w:rPr>
            </w:pPr>
          </w:p>
        </w:tc>
        <w:tc>
          <w:tcPr>
            <w:tcW w:w="1304" w:type="dxa"/>
            <w:noWrap w:val="0"/>
            <w:vAlign w:val="center"/>
          </w:tcPr>
          <w:p>
            <w:pPr>
              <w:topLinePunct w:val="0"/>
              <w:rPr>
                <w:rFonts w:ascii="Times New Roman" w:hAnsi="Times New Roman"/>
                <w:color w:val="auto"/>
                <w:szCs w:val="21"/>
                <w:highlight w:val="none"/>
              </w:rPr>
            </w:pPr>
          </w:p>
        </w:tc>
        <w:tc>
          <w:tcPr>
            <w:tcW w:w="942" w:type="dxa"/>
            <w:noWrap w:val="0"/>
            <w:vAlign w:val="center"/>
          </w:tcPr>
          <w:p>
            <w:pPr>
              <w:topLinePunct w:val="0"/>
              <w:rPr>
                <w:rFonts w:ascii="Times New Roman" w:hAnsi="Times New Roman"/>
                <w:color w:val="auto"/>
                <w:szCs w:val="21"/>
                <w:highlight w:val="none"/>
              </w:rPr>
            </w:pPr>
          </w:p>
        </w:tc>
        <w:tc>
          <w:tcPr>
            <w:tcW w:w="861"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16" w:type="dxa"/>
            <w:noWrap w:val="0"/>
            <w:vAlign w:val="center"/>
          </w:tcPr>
          <w:p>
            <w:pPr>
              <w:topLinePunct w:val="0"/>
              <w:rPr>
                <w:rFonts w:ascii="Times New Roman" w:hAnsi="Times New Roman"/>
                <w:color w:val="auto"/>
                <w:szCs w:val="21"/>
                <w:highlight w:val="none"/>
              </w:rPr>
            </w:pPr>
          </w:p>
        </w:tc>
        <w:tc>
          <w:tcPr>
            <w:tcW w:w="1169" w:type="dxa"/>
            <w:noWrap w:val="0"/>
            <w:vAlign w:val="center"/>
          </w:tcPr>
          <w:p>
            <w:pPr>
              <w:topLinePunct w:val="0"/>
              <w:rPr>
                <w:rFonts w:ascii="Times New Roman" w:hAnsi="Times New Roman"/>
                <w:color w:val="auto"/>
                <w:szCs w:val="21"/>
                <w:highlight w:val="none"/>
              </w:rPr>
            </w:pPr>
          </w:p>
        </w:tc>
        <w:tc>
          <w:tcPr>
            <w:tcW w:w="819" w:type="dxa"/>
            <w:noWrap w:val="0"/>
            <w:vAlign w:val="center"/>
          </w:tcPr>
          <w:p>
            <w:pPr>
              <w:topLinePunct w:val="0"/>
              <w:rPr>
                <w:rFonts w:ascii="Times New Roman" w:hAnsi="Times New Roman"/>
                <w:color w:val="auto"/>
                <w:szCs w:val="21"/>
                <w:highlight w:val="none"/>
              </w:rPr>
            </w:pPr>
          </w:p>
        </w:tc>
        <w:tc>
          <w:tcPr>
            <w:tcW w:w="1065" w:type="dxa"/>
            <w:noWrap w:val="0"/>
            <w:vAlign w:val="center"/>
          </w:tcPr>
          <w:p>
            <w:pPr>
              <w:topLinePunct w:val="0"/>
              <w:rPr>
                <w:rFonts w:ascii="Times New Roman" w:hAnsi="Times New Roman"/>
                <w:color w:val="auto"/>
                <w:szCs w:val="21"/>
                <w:highlight w:val="none"/>
              </w:rPr>
            </w:pPr>
          </w:p>
        </w:tc>
        <w:tc>
          <w:tcPr>
            <w:tcW w:w="723" w:type="dxa"/>
            <w:noWrap w:val="0"/>
            <w:vAlign w:val="center"/>
          </w:tcPr>
          <w:p>
            <w:pPr>
              <w:topLinePunct w:val="0"/>
              <w:rPr>
                <w:rFonts w:ascii="Times New Roman" w:hAnsi="Times New Roman"/>
                <w:color w:val="auto"/>
                <w:szCs w:val="21"/>
                <w:highlight w:val="none"/>
              </w:rPr>
            </w:pPr>
          </w:p>
        </w:tc>
        <w:tc>
          <w:tcPr>
            <w:tcW w:w="794" w:type="dxa"/>
            <w:noWrap w:val="0"/>
            <w:vAlign w:val="center"/>
          </w:tcPr>
          <w:p>
            <w:pPr>
              <w:topLinePunct w:val="0"/>
              <w:rPr>
                <w:rFonts w:ascii="Times New Roman" w:hAnsi="Times New Roman"/>
                <w:color w:val="auto"/>
                <w:szCs w:val="21"/>
                <w:highlight w:val="none"/>
              </w:rPr>
            </w:pPr>
          </w:p>
        </w:tc>
        <w:tc>
          <w:tcPr>
            <w:tcW w:w="1304" w:type="dxa"/>
            <w:noWrap w:val="0"/>
            <w:vAlign w:val="center"/>
          </w:tcPr>
          <w:p>
            <w:pPr>
              <w:topLinePunct w:val="0"/>
              <w:rPr>
                <w:rFonts w:ascii="Times New Roman" w:hAnsi="Times New Roman"/>
                <w:color w:val="auto"/>
                <w:szCs w:val="21"/>
                <w:highlight w:val="none"/>
              </w:rPr>
            </w:pPr>
          </w:p>
        </w:tc>
        <w:tc>
          <w:tcPr>
            <w:tcW w:w="942" w:type="dxa"/>
            <w:noWrap w:val="0"/>
            <w:vAlign w:val="center"/>
          </w:tcPr>
          <w:p>
            <w:pPr>
              <w:topLinePunct w:val="0"/>
              <w:rPr>
                <w:rFonts w:ascii="Times New Roman" w:hAnsi="Times New Roman"/>
                <w:color w:val="auto"/>
                <w:szCs w:val="21"/>
                <w:highlight w:val="none"/>
              </w:rPr>
            </w:pPr>
          </w:p>
        </w:tc>
        <w:tc>
          <w:tcPr>
            <w:tcW w:w="861"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bl>
    <w:p>
      <w:pPr>
        <w:pStyle w:val="5"/>
        <w:rPr>
          <w:rFonts w:hint="eastAsia"/>
          <w:color w:val="auto"/>
          <w:szCs w:val="21"/>
          <w:highlight w:val="none"/>
        </w:rPr>
      </w:pPr>
    </w:p>
    <w:p>
      <w:pPr>
        <w:pStyle w:val="5"/>
        <w:rPr>
          <w:color w:val="auto"/>
          <w:szCs w:val="21"/>
          <w:highlight w:val="none"/>
        </w:rPr>
      </w:pPr>
    </w:p>
    <w:p>
      <w:pPr>
        <w:rPr>
          <w:color w:val="auto"/>
          <w:szCs w:val="21"/>
          <w:highlight w:val="none"/>
        </w:rPr>
      </w:pPr>
    </w:p>
    <w:p>
      <w:pPr>
        <w:spacing w:line="360" w:lineRule="exact"/>
        <w:rPr>
          <w:rFonts w:hint="eastAsia" w:eastAsia="黑体"/>
          <w:color w:val="auto"/>
          <w:szCs w:val="21"/>
          <w:highlight w:val="none"/>
        </w:rPr>
      </w:pP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2</w:t>
      </w:r>
      <w:r>
        <w:rPr>
          <w:rFonts w:hint="eastAsia" w:eastAsia="黑体"/>
          <w:color w:val="auto"/>
          <w:szCs w:val="21"/>
          <w:highlight w:val="none"/>
        </w:rPr>
        <w:t>：拟配备本标段的试验和检测仪器设备表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741"/>
        <w:gridCol w:w="1208"/>
        <w:gridCol w:w="845"/>
        <w:gridCol w:w="1101"/>
        <w:gridCol w:w="747"/>
        <w:gridCol w:w="820"/>
        <w:gridCol w:w="1347"/>
        <w:gridCol w:w="1584"/>
        <w:gridCol w:w="850"/>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序号</w:t>
            </w:r>
          </w:p>
        </w:tc>
        <w:tc>
          <w:tcPr>
            <w:tcW w:w="1208"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仪器设备</w:t>
            </w:r>
          </w:p>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名称</w:t>
            </w:r>
          </w:p>
        </w:tc>
        <w:tc>
          <w:tcPr>
            <w:tcW w:w="845"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型号</w:t>
            </w:r>
          </w:p>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规格</w:t>
            </w:r>
          </w:p>
        </w:tc>
        <w:tc>
          <w:tcPr>
            <w:tcW w:w="1101"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数量</w:t>
            </w:r>
          </w:p>
        </w:tc>
        <w:tc>
          <w:tcPr>
            <w:tcW w:w="747"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国别产地</w:t>
            </w:r>
          </w:p>
        </w:tc>
        <w:tc>
          <w:tcPr>
            <w:tcW w:w="820"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制造</w:t>
            </w:r>
            <w:r>
              <w:rPr>
                <w:rFonts w:ascii="Times New Roman" w:hAnsi="Times New Roman"/>
                <w:b/>
                <w:color w:val="auto"/>
                <w:szCs w:val="21"/>
                <w:highlight w:val="none"/>
              </w:rPr>
              <w:br w:type="textWrapping"/>
            </w:r>
            <w:r>
              <w:rPr>
                <w:rFonts w:hint="eastAsia" w:ascii="Times New Roman" w:hAnsi="Times New Roman"/>
                <w:b/>
                <w:color w:val="auto"/>
                <w:szCs w:val="21"/>
                <w:highlight w:val="none"/>
              </w:rPr>
              <w:t>年份</w:t>
            </w:r>
          </w:p>
        </w:tc>
        <w:tc>
          <w:tcPr>
            <w:tcW w:w="1347"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已使用台</w:t>
            </w:r>
          </w:p>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时数</w:t>
            </w:r>
          </w:p>
        </w:tc>
        <w:tc>
          <w:tcPr>
            <w:tcW w:w="1584"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用途</w:t>
            </w:r>
          </w:p>
        </w:tc>
        <w:tc>
          <w:tcPr>
            <w:tcW w:w="850"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备注</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noWrap w:val="0"/>
            <w:vAlign w:val="center"/>
          </w:tcPr>
          <w:p>
            <w:pPr>
              <w:topLinePunct w:val="0"/>
              <w:rPr>
                <w:rFonts w:ascii="Times New Roman" w:hAnsi="Times New Roman"/>
                <w:color w:val="auto"/>
                <w:szCs w:val="21"/>
                <w:highlight w:val="none"/>
              </w:rPr>
            </w:pPr>
          </w:p>
        </w:tc>
        <w:tc>
          <w:tcPr>
            <w:tcW w:w="1208" w:type="dxa"/>
            <w:noWrap w:val="0"/>
            <w:vAlign w:val="center"/>
          </w:tcPr>
          <w:p>
            <w:pPr>
              <w:topLinePunct w:val="0"/>
              <w:rPr>
                <w:rFonts w:ascii="Times New Roman" w:hAnsi="Times New Roman"/>
                <w:color w:val="auto"/>
                <w:szCs w:val="21"/>
                <w:highlight w:val="none"/>
              </w:rPr>
            </w:pPr>
          </w:p>
        </w:tc>
        <w:tc>
          <w:tcPr>
            <w:tcW w:w="845" w:type="dxa"/>
            <w:noWrap w:val="0"/>
            <w:vAlign w:val="center"/>
          </w:tcPr>
          <w:p>
            <w:pPr>
              <w:topLinePunct w:val="0"/>
              <w:rPr>
                <w:rFonts w:ascii="Times New Roman" w:hAnsi="Times New Roman"/>
                <w:color w:val="auto"/>
                <w:szCs w:val="21"/>
                <w:highlight w:val="none"/>
              </w:rPr>
            </w:pPr>
          </w:p>
        </w:tc>
        <w:tc>
          <w:tcPr>
            <w:tcW w:w="1101" w:type="dxa"/>
            <w:noWrap w:val="0"/>
            <w:vAlign w:val="center"/>
          </w:tcPr>
          <w:p>
            <w:pPr>
              <w:topLinePunct w:val="0"/>
              <w:rPr>
                <w:rFonts w:ascii="Times New Roman" w:hAnsi="Times New Roman"/>
                <w:color w:val="auto"/>
                <w:szCs w:val="21"/>
                <w:highlight w:val="none"/>
              </w:rPr>
            </w:pPr>
          </w:p>
        </w:tc>
        <w:tc>
          <w:tcPr>
            <w:tcW w:w="747" w:type="dxa"/>
            <w:noWrap w:val="0"/>
            <w:vAlign w:val="center"/>
          </w:tcPr>
          <w:p>
            <w:pPr>
              <w:topLinePunct w:val="0"/>
              <w:rPr>
                <w:rFonts w:ascii="Times New Roman" w:hAnsi="Times New Roman"/>
                <w:color w:val="auto"/>
                <w:szCs w:val="21"/>
                <w:highlight w:val="none"/>
              </w:rPr>
            </w:pPr>
          </w:p>
        </w:tc>
        <w:tc>
          <w:tcPr>
            <w:tcW w:w="820" w:type="dxa"/>
            <w:noWrap w:val="0"/>
            <w:vAlign w:val="center"/>
          </w:tcPr>
          <w:p>
            <w:pPr>
              <w:topLinePunct w:val="0"/>
              <w:rPr>
                <w:rFonts w:ascii="Times New Roman" w:hAnsi="Times New Roman"/>
                <w:color w:val="auto"/>
                <w:szCs w:val="21"/>
                <w:highlight w:val="none"/>
              </w:rPr>
            </w:pPr>
          </w:p>
        </w:tc>
        <w:tc>
          <w:tcPr>
            <w:tcW w:w="1347" w:type="dxa"/>
            <w:noWrap w:val="0"/>
            <w:vAlign w:val="center"/>
          </w:tcPr>
          <w:p>
            <w:pPr>
              <w:topLinePunct w:val="0"/>
              <w:rPr>
                <w:rFonts w:ascii="Times New Roman" w:hAnsi="Times New Roman"/>
                <w:color w:val="auto"/>
                <w:szCs w:val="21"/>
                <w:highlight w:val="none"/>
              </w:rPr>
            </w:pPr>
          </w:p>
        </w:tc>
        <w:tc>
          <w:tcPr>
            <w:tcW w:w="1584"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noWrap w:val="0"/>
            <w:vAlign w:val="center"/>
          </w:tcPr>
          <w:p>
            <w:pPr>
              <w:topLinePunct w:val="0"/>
              <w:rPr>
                <w:rFonts w:ascii="Times New Roman" w:hAnsi="Times New Roman"/>
                <w:color w:val="auto"/>
                <w:szCs w:val="21"/>
                <w:highlight w:val="none"/>
              </w:rPr>
            </w:pPr>
          </w:p>
        </w:tc>
        <w:tc>
          <w:tcPr>
            <w:tcW w:w="1208" w:type="dxa"/>
            <w:noWrap w:val="0"/>
            <w:vAlign w:val="center"/>
          </w:tcPr>
          <w:p>
            <w:pPr>
              <w:topLinePunct w:val="0"/>
              <w:rPr>
                <w:rFonts w:ascii="Times New Roman" w:hAnsi="Times New Roman"/>
                <w:color w:val="auto"/>
                <w:szCs w:val="21"/>
                <w:highlight w:val="none"/>
              </w:rPr>
            </w:pPr>
          </w:p>
        </w:tc>
        <w:tc>
          <w:tcPr>
            <w:tcW w:w="845" w:type="dxa"/>
            <w:noWrap w:val="0"/>
            <w:vAlign w:val="center"/>
          </w:tcPr>
          <w:p>
            <w:pPr>
              <w:topLinePunct w:val="0"/>
              <w:rPr>
                <w:rFonts w:ascii="Times New Roman" w:hAnsi="Times New Roman"/>
                <w:color w:val="auto"/>
                <w:szCs w:val="21"/>
                <w:highlight w:val="none"/>
              </w:rPr>
            </w:pPr>
          </w:p>
        </w:tc>
        <w:tc>
          <w:tcPr>
            <w:tcW w:w="1101" w:type="dxa"/>
            <w:noWrap w:val="0"/>
            <w:vAlign w:val="center"/>
          </w:tcPr>
          <w:p>
            <w:pPr>
              <w:topLinePunct w:val="0"/>
              <w:rPr>
                <w:rFonts w:ascii="Times New Roman" w:hAnsi="Times New Roman"/>
                <w:color w:val="auto"/>
                <w:szCs w:val="21"/>
                <w:highlight w:val="none"/>
              </w:rPr>
            </w:pPr>
          </w:p>
        </w:tc>
        <w:tc>
          <w:tcPr>
            <w:tcW w:w="747" w:type="dxa"/>
            <w:noWrap w:val="0"/>
            <w:vAlign w:val="center"/>
          </w:tcPr>
          <w:p>
            <w:pPr>
              <w:topLinePunct w:val="0"/>
              <w:rPr>
                <w:rFonts w:ascii="Times New Roman" w:hAnsi="Times New Roman"/>
                <w:color w:val="auto"/>
                <w:szCs w:val="21"/>
                <w:highlight w:val="none"/>
              </w:rPr>
            </w:pPr>
          </w:p>
        </w:tc>
        <w:tc>
          <w:tcPr>
            <w:tcW w:w="820" w:type="dxa"/>
            <w:noWrap w:val="0"/>
            <w:vAlign w:val="center"/>
          </w:tcPr>
          <w:p>
            <w:pPr>
              <w:topLinePunct w:val="0"/>
              <w:rPr>
                <w:rFonts w:ascii="Times New Roman" w:hAnsi="Times New Roman"/>
                <w:color w:val="auto"/>
                <w:szCs w:val="21"/>
                <w:highlight w:val="none"/>
              </w:rPr>
            </w:pPr>
          </w:p>
        </w:tc>
        <w:tc>
          <w:tcPr>
            <w:tcW w:w="1347" w:type="dxa"/>
            <w:noWrap w:val="0"/>
            <w:vAlign w:val="center"/>
          </w:tcPr>
          <w:p>
            <w:pPr>
              <w:topLinePunct w:val="0"/>
              <w:rPr>
                <w:rFonts w:ascii="Times New Roman" w:hAnsi="Times New Roman"/>
                <w:color w:val="auto"/>
                <w:szCs w:val="21"/>
                <w:highlight w:val="none"/>
              </w:rPr>
            </w:pPr>
          </w:p>
        </w:tc>
        <w:tc>
          <w:tcPr>
            <w:tcW w:w="1584"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noWrap w:val="0"/>
            <w:vAlign w:val="center"/>
          </w:tcPr>
          <w:p>
            <w:pPr>
              <w:topLinePunct w:val="0"/>
              <w:rPr>
                <w:rFonts w:ascii="Times New Roman" w:hAnsi="Times New Roman"/>
                <w:color w:val="auto"/>
                <w:szCs w:val="21"/>
                <w:highlight w:val="none"/>
              </w:rPr>
            </w:pPr>
          </w:p>
        </w:tc>
        <w:tc>
          <w:tcPr>
            <w:tcW w:w="1208" w:type="dxa"/>
            <w:noWrap w:val="0"/>
            <w:vAlign w:val="center"/>
          </w:tcPr>
          <w:p>
            <w:pPr>
              <w:topLinePunct w:val="0"/>
              <w:rPr>
                <w:rFonts w:ascii="Times New Roman" w:hAnsi="Times New Roman"/>
                <w:color w:val="auto"/>
                <w:szCs w:val="21"/>
                <w:highlight w:val="none"/>
              </w:rPr>
            </w:pPr>
          </w:p>
        </w:tc>
        <w:tc>
          <w:tcPr>
            <w:tcW w:w="845" w:type="dxa"/>
            <w:noWrap w:val="0"/>
            <w:vAlign w:val="center"/>
          </w:tcPr>
          <w:p>
            <w:pPr>
              <w:topLinePunct w:val="0"/>
              <w:rPr>
                <w:rFonts w:ascii="Times New Roman" w:hAnsi="Times New Roman"/>
                <w:color w:val="auto"/>
                <w:szCs w:val="21"/>
                <w:highlight w:val="none"/>
              </w:rPr>
            </w:pPr>
          </w:p>
        </w:tc>
        <w:tc>
          <w:tcPr>
            <w:tcW w:w="1101" w:type="dxa"/>
            <w:noWrap w:val="0"/>
            <w:vAlign w:val="center"/>
          </w:tcPr>
          <w:p>
            <w:pPr>
              <w:topLinePunct w:val="0"/>
              <w:rPr>
                <w:rFonts w:ascii="Times New Roman" w:hAnsi="Times New Roman"/>
                <w:color w:val="auto"/>
                <w:szCs w:val="21"/>
                <w:highlight w:val="none"/>
              </w:rPr>
            </w:pPr>
          </w:p>
        </w:tc>
        <w:tc>
          <w:tcPr>
            <w:tcW w:w="747" w:type="dxa"/>
            <w:noWrap w:val="0"/>
            <w:vAlign w:val="center"/>
          </w:tcPr>
          <w:p>
            <w:pPr>
              <w:topLinePunct w:val="0"/>
              <w:rPr>
                <w:rFonts w:ascii="Times New Roman" w:hAnsi="Times New Roman"/>
                <w:color w:val="auto"/>
                <w:szCs w:val="21"/>
                <w:highlight w:val="none"/>
              </w:rPr>
            </w:pPr>
          </w:p>
        </w:tc>
        <w:tc>
          <w:tcPr>
            <w:tcW w:w="820" w:type="dxa"/>
            <w:noWrap w:val="0"/>
            <w:vAlign w:val="center"/>
          </w:tcPr>
          <w:p>
            <w:pPr>
              <w:topLinePunct w:val="0"/>
              <w:rPr>
                <w:rFonts w:ascii="Times New Roman" w:hAnsi="Times New Roman"/>
                <w:color w:val="auto"/>
                <w:szCs w:val="21"/>
                <w:highlight w:val="none"/>
              </w:rPr>
            </w:pPr>
          </w:p>
        </w:tc>
        <w:tc>
          <w:tcPr>
            <w:tcW w:w="1347" w:type="dxa"/>
            <w:noWrap w:val="0"/>
            <w:vAlign w:val="center"/>
          </w:tcPr>
          <w:p>
            <w:pPr>
              <w:topLinePunct w:val="0"/>
              <w:rPr>
                <w:rFonts w:ascii="Times New Roman" w:hAnsi="Times New Roman"/>
                <w:color w:val="auto"/>
                <w:szCs w:val="21"/>
                <w:highlight w:val="none"/>
              </w:rPr>
            </w:pPr>
          </w:p>
        </w:tc>
        <w:tc>
          <w:tcPr>
            <w:tcW w:w="1584"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noWrap w:val="0"/>
            <w:vAlign w:val="center"/>
          </w:tcPr>
          <w:p>
            <w:pPr>
              <w:topLinePunct w:val="0"/>
              <w:rPr>
                <w:rFonts w:ascii="Times New Roman" w:hAnsi="Times New Roman"/>
                <w:color w:val="auto"/>
                <w:szCs w:val="21"/>
                <w:highlight w:val="none"/>
              </w:rPr>
            </w:pPr>
          </w:p>
        </w:tc>
        <w:tc>
          <w:tcPr>
            <w:tcW w:w="1208" w:type="dxa"/>
            <w:noWrap w:val="0"/>
            <w:vAlign w:val="center"/>
          </w:tcPr>
          <w:p>
            <w:pPr>
              <w:topLinePunct w:val="0"/>
              <w:rPr>
                <w:rFonts w:ascii="Times New Roman" w:hAnsi="Times New Roman"/>
                <w:color w:val="auto"/>
                <w:szCs w:val="21"/>
                <w:highlight w:val="none"/>
              </w:rPr>
            </w:pPr>
          </w:p>
        </w:tc>
        <w:tc>
          <w:tcPr>
            <w:tcW w:w="845" w:type="dxa"/>
            <w:noWrap w:val="0"/>
            <w:vAlign w:val="center"/>
          </w:tcPr>
          <w:p>
            <w:pPr>
              <w:topLinePunct w:val="0"/>
              <w:rPr>
                <w:rFonts w:ascii="Times New Roman" w:hAnsi="Times New Roman"/>
                <w:color w:val="auto"/>
                <w:szCs w:val="21"/>
                <w:highlight w:val="none"/>
              </w:rPr>
            </w:pPr>
          </w:p>
        </w:tc>
        <w:tc>
          <w:tcPr>
            <w:tcW w:w="1101" w:type="dxa"/>
            <w:noWrap w:val="0"/>
            <w:vAlign w:val="center"/>
          </w:tcPr>
          <w:p>
            <w:pPr>
              <w:topLinePunct w:val="0"/>
              <w:rPr>
                <w:rFonts w:ascii="Times New Roman" w:hAnsi="Times New Roman"/>
                <w:color w:val="auto"/>
                <w:szCs w:val="21"/>
                <w:highlight w:val="none"/>
              </w:rPr>
            </w:pPr>
          </w:p>
        </w:tc>
        <w:tc>
          <w:tcPr>
            <w:tcW w:w="747" w:type="dxa"/>
            <w:noWrap w:val="0"/>
            <w:vAlign w:val="center"/>
          </w:tcPr>
          <w:p>
            <w:pPr>
              <w:topLinePunct w:val="0"/>
              <w:rPr>
                <w:rFonts w:ascii="Times New Roman" w:hAnsi="Times New Roman"/>
                <w:color w:val="auto"/>
                <w:szCs w:val="21"/>
                <w:highlight w:val="none"/>
              </w:rPr>
            </w:pPr>
          </w:p>
        </w:tc>
        <w:tc>
          <w:tcPr>
            <w:tcW w:w="820" w:type="dxa"/>
            <w:noWrap w:val="0"/>
            <w:vAlign w:val="center"/>
          </w:tcPr>
          <w:p>
            <w:pPr>
              <w:topLinePunct w:val="0"/>
              <w:rPr>
                <w:rFonts w:ascii="Times New Roman" w:hAnsi="Times New Roman"/>
                <w:color w:val="auto"/>
                <w:szCs w:val="21"/>
                <w:highlight w:val="none"/>
              </w:rPr>
            </w:pPr>
          </w:p>
        </w:tc>
        <w:tc>
          <w:tcPr>
            <w:tcW w:w="1347" w:type="dxa"/>
            <w:noWrap w:val="0"/>
            <w:vAlign w:val="center"/>
          </w:tcPr>
          <w:p>
            <w:pPr>
              <w:topLinePunct w:val="0"/>
              <w:rPr>
                <w:rFonts w:ascii="Times New Roman" w:hAnsi="Times New Roman"/>
                <w:color w:val="auto"/>
                <w:szCs w:val="21"/>
                <w:highlight w:val="none"/>
              </w:rPr>
            </w:pPr>
          </w:p>
        </w:tc>
        <w:tc>
          <w:tcPr>
            <w:tcW w:w="1584"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noWrap w:val="0"/>
            <w:vAlign w:val="center"/>
          </w:tcPr>
          <w:p>
            <w:pPr>
              <w:topLinePunct w:val="0"/>
              <w:rPr>
                <w:rFonts w:ascii="Times New Roman" w:hAnsi="Times New Roman"/>
                <w:color w:val="auto"/>
                <w:szCs w:val="21"/>
                <w:highlight w:val="none"/>
              </w:rPr>
            </w:pPr>
          </w:p>
        </w:tc>
        <w:tc>
          <w:tcPr>
            <w:tcW w:w="1208" w:type="dxa"/>
            <w:noWrap w:val="0"/>
            <w:vAlign w:val="center"/>
          </w:tcPr>
          <w:p>
            <w:pPr>
              <w:topLinePunct w:val="0"/>
              <w:rPr>
                <w:rFonts w:ascii="Times New Roman" w:hAnsi="Times New Roman"/>
                <w:color w:val="auto"/>
                <w:szCs w:val="21"/>
                <w:highlight w:val="none"/>
              </w:rPr>
            </w:pPr>
          </w:p>
        </w:tc>
        <w:tc>
          <w:tcPr>
            <w:tcW w:w="845" w:type="dxa"/>
            <w:noWrap w:val="0"/>
            <w:vAlign w:val="center"/>
          </w:tcPr>
          <w:p>
            <w:pPr>
              <w:topLinePunct w:val="0"/>
              <w:rPr>
                <w:rFonts w:ascii="Times New Roman" w:hAnsi="Times New Roman"/>
                <w:color w:val="auto"/>
                <w:szCs w:val="21"/>
                <w:highlight w:val="none"/>
              </w:rPr>
            </w:pPr>
          </w:p>
        </w:tc>
        <w:tc>
          <w:tcPr>
            <w:tcW w:w="1101" w:type="dxa"/>
            <w:noWrap w:val="0"/>
            <w:vAlign w:val="center"/>
          </w:tcPr>
          <w:p>
            <w:pPr>
              <w:topLinePunct w:val="0"/>
              <w:rPr>
                <w:rFonts w:ascii="Times New Roman" w:hAnsi="Times New Roman"/>
                <w:color w:val="auto"/>
                <w:szCs w:val="21"/>
                <w:highlight w:val="none"/>
              </w:rPr>
            </w:pPr>
          </w:p>
        </w:tc>
        <w:tc>
          <w:tcPr>
            <w:tcW w:w="747" w:type="dxa"/>
            <w:noWrap w:val="0"/>
            <w:vAlign w:val="center"/>
          </w:tcPr>
          <w:p>
            <w:pPr>
              <w:topLinePunct w:val="0"/>
              <w:rPr>
                <w:rFonts w:ascii="Times New Roman" w:hAnsi="Times New Roman"/>
                <w:color w:val="auto"/>
                <w:szCs w:val="21"/>
                <w:highlight w:val="none"/>
              </w:rPr>
            </w:pPr>
          </w:p>
        </w:tc>
        <w:tc>
          <w:tcPr>
            <w:tcW w:w="820" w:type="dxa"/>
            <w:noWrap w:val="0"/>
            <w:vAlign w:val="center"/>
          </w:tcPr>
          <w:p>
            <w:pPr>
              <w:topLinePunct w:val="0"/>
              <w:rPr>
                <w:rFonts w:ascii="Times New Roman" w:hAnsi="Times New Roman"/>
                <w:color w:val="auto"/>
                <w:szCs w:val="21"/>
                <w:highlight w:val="none"/>
              </w:rPr>
            </w:pPr>
          </w:p>
        </w:tc>
        <w:tc>
          <w:tcPr>
            <w:tcW w:w="1347" w:type="dxa"/>
            <w:noWrap w:val="0"/>
            <w:vAlign w:val="center"/>
          </w:tcPr>
          <w:p>
            <w:pPr>
              <w:topLinePunct w:val="0"/>
              <w:rPr>
                <w:rFonts w:ascii="Times New Roman" w:hAnsi="Times New Roman"/>
                <w:color w:val="auto"/>
                <w:szCs w:val="21"/>
                <w:highlight w:val="none"/>
              </w:rPr>
            </w:pPr>
          </w:p>
        </w:tc>
        <w:tc>
          <w:tcPr>
            <w:tcW w:w="1584" w:type="dxa"/>
            <w:noWrap w:val="0"/>
            <w:vAlign w:val="center"/>
          </w:tcPr>
          <w:p>
            <w:pPr>
              <w:topLinePunct w:val="0"/>
              <w:rPr>
                <w:rFonts w:ascii="Times New Roman" w:hAnsi="Times New Roman"/>
                <w:color w:val="auto"/>
                <w:szCs w:val="21"/>
                <w:highlight w:val="none"/>
              </w:rPr>
            </w:pPr>
          </w:p>
        </w:tc>
        <w:tc>
          <w:tcPr>
            <w:tcW w:w="850" w:type="dxa"/>
            <w:noWrap w:val="0"/>
            <w:vAlign w:val="center"/>
          </w:tcPr>
          <w:p>
            <w:pPr>
              <w:topLinePunct w:val="0"/>
              <w:rPr>
                <w:rFonts w:ascii="Times New Roman" w:hAnsi="Times New Roman"/>
                <w:color w:val="auto"/>
                <w:szCs w:val="21"/>
                <w:highlight w:val="none"/>
              </w:rPr>
            </w:pPr>
          </w:p>
        </w:tc>
      </w:tr>
    </w:tbl>
    <w:p>
      <w:pPr>
        <w:pStyle w:val="5"/>
        <w:rPr>
          <w:rFonts w:hint="eastAsia"/>
          <w:color w:val="auto"/>
          <w:szCs w:val="21"/>
          <w:highlight w:val="none"/>
        </w:rPr>
      </w:pPr>
    </w:p>
    <w:p>
      <w:pPr>
        <w:pStyle w:val="5"/>
        <w:rPr>
          <w:color w:val="auto"/>
          <w:szCs w:val="21"/>
          <w:highlight w:val="none"/>
        </w:rPr>
      </w:pPr>
    </w:p>
    <w:p>
      <w:pPr>
        <w:rPr>
          <w:color w:val="auto"/>
          <w:szCs w:val="21"/>
          <w:highlight w:val="none"/>
        </w:rPr>
      </w:pPr>
    </w:p>
    <w:p>
      <w:pPr>
        <w:spacing w:line="360" w:lineRule="exact"/>
        <w:rPr>
          <w:rFonts w:eastAsia="黑体"/>
          <w:color w:val="auto"/>
          <w:szCs w:val="21"/>
          <w:highlight w:val="none"/>
        </w:rPr>
      </w:pP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3</w:t>
      </w:r>
      <w:r>
        <w:rPr>
          <w:rFonts w:hint="eastAsia" w:eastAsia="黑体"/>
          <w:color w:val="auto"/>
          <w:szCs w:val="21"/>
          <w:highlight w:val="none"/>
        </w:rPr>
        <w:t>：劳动力计划表</w:t>
      </w:r>
    </w:p>
    <w:p>
      <w:pPr>
        <w:jc w:val="right"/>
        <w:rPr>
          <w:color w:val="auto"/>
          <w:szCs w:val="21"/>
          <w:highlight w:val="none"/>
        </w:rPr>
      </w:pPr>
      <w:r>
        <w:rPr>
          <w:rFonts w:hint="eastAsia"/>
          <w:color w:val="auto"/>
          <w:szCs w:val="21"/>
          <w:highlight w:val="none"/>
        </w:rPr>
        <w:t>单位：人</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932"/>
        <w:gridCol w:w="1192"/>
        <w:gridCol w:w="1194"/>
        <w:gridCol w:w="1193"/>
        <w:gridCol w:w="1194"/>
        <w:gridCol w:w="1193"/>
        <w:gridCol w:w="1194"/>
        <w:gridCol w:w="1194"/>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jc w:val="center"/>
        </w:trPr>
        <w:tc>
          <w:tcPr>
            <w:tcW w:w="932" w:type="dxa"/>
            <w:noWrap w:val="0"/>
            <w:vAlign w:val="center"/>
          </w:tcPr>
          <w:p>
            <w:pPr>
              <w:topLinePunct w:val="0"/>
              <w:jc w:val="center"/>
              <w:rPr>
                <w:rFonts w:ascii="Times New Roman" w:hAnsi="Times New Roman"/>
                <w:b/>
                <w:color w:val="auto"/>
                <w:szCs w:val="21"/>
                <w:highlight w:val="none"/>
              </w:rPr>
            </w:pPr>
            <w:r>
              <w:rPr>
                <w:rFonts w:hint="eastAsia" w:ascii="Times New Roman" w:hAnsi="Times New Roman"/>
                <w:b/>
                <w:color w:val="auto"/>
                <w:szCs w:val="21"/>
                <w:highlight w:val="none"/>
              </w:rPr>
              <w:t>工种</w:t>
            </w:r>
          </w:p>
        </w:tc>
        <w:tc>
          <w:tcPr>
            <w:tcW w:w="8354" w:type="dxa"/>
            <w:gridSpan w:val="7"/>
            <w:noWrap w:val="0"/>
            <w:vAlign w:val="center"/>
          </w:tcPr>
          <w:p>
            <w:pPr>
              <w:topLinePunct w:val="0"/>
              <w:ind w:left="842" w:leftChars="200" w:hanging="422" w:hangingChars="200"/>
              <w:jc w:val="center"/>
              <w:rPr>
                <w:rFonts w:ascii="Times New Roman" w:hAnsi="Times New Roman"/>
                <w:b/>
                <w:color w:val="auto"/>
                <w:szCs w:val="21"/>
                <w:highlight w:val="none"/>
              </w:rPr>
            </w:pPr>
            <w:r>
              <w:rPr>
                <w:rFonts w:hint="eastAsia" w:ascii="Times New Roman" w:hAnsi="Times New Roman"/>
                <w:b/>
                <w:color w:val="auto"/>
                <w:szCs w:val="21"/>
                <w:highlight w:val="none"/>
              </w:rPr>
              <w:t>按工程施工阶段投入劳动力情况</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32" w:type="dxa"/>
            <w:noWrap w:val="0"/>
            <w:vAlign w:val="center"/>
          </w:tcPr>
          <w:p>
            <w:pPr>
              <w:jc w:val="center"/>
              <w:rPr>
                <w:rFonts w:ascii="Times New Roman" w:hAnsi="Times New Roman"/>
                <w:color w:val="auto"/>
                <w:sz w:val="21"/>
                <w:szCs w:val="21"/>
                <w:highlight w:val="none"/>
              </w:rPr>
            </w:pPr>
          </w:p>
        </w:tc>
        <w:tc>
          <w:tcPr>
            <w:tcW w:w="1192"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3"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c>
          <w:tcPr>
            <w:tcW w:w="1194" w:type="dxa"/>
            <w:noWrap w:val="0"/>
            <w:vAlign w:val="center"/>
          </w:tcPr>
          <w:p>
            <w:pPr>
              <w:jc w:val="center"/>
              <w:rPr>
                <w:rFonts w:ascii="Times New Roman" w:hAnsi="Times New Roman"/>
                <w:color w:val="auto"/>
                <w:sz w:val="21"/>
                <w:szCs w:val="21"/>
                <w:highlight w:val="none"/>
              </w:rPr>
            </w:pPr>
          </w:p>
        </w:tc>
      </w:tr>
    </w:tbl>
    <w:p>
      <w:pPr>
        <w:rPr>
          <w:rFonts w:hint="eastAsia"/>
          <w:color w:val="auto"/>
          <w:szCs w:val="21"/>
          <w:highlight w:val="none"/>
        </w:rPr>
      </w:pPr>
    </w:p>
    <w:p>
      <w:pPr>
        <w:pStyle w:val="5"/>
        <w:rPr>
          <w:rFonts w:hint="eastAsia"/>
          <w:color w:val="auto"/>
          <w:szCs w:val="21"/>
          <w:highlight w:val="none"/>
        </w:rPr>
      </w:pPr>
    </w:p>
    <w:p>
      <w:pPr>
        <w:pStyle w:val="5"/>
        <w:rPr>
          <w:color w:val="auto"/>
          <w:szCs w:val="21"/>
          <w:highlight w:val="none"/>
        </w:rPr>
      </w:pPr>
    </w:p>
    <w:p>
      <w:pPr>
        <w:spacing w:line="360" w:lineRule="exact"/>
        <w:rPr>
          <w:rFonts w:eastAsia="黑体"/>
          <w:color w:val="auto"/>
          <w:szCs w:val="21"/>
          <w:highlight w:val="none"/>
        </w:rPr>
      </w:pP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4</w:t>
      </w:r>
      <w:r>
        <w:rPr>
          <w:rFonts w:hint="eastAsia" w:eastAsia="黑体"/>
          <w:color w:val="auto"/>
          <w:szCs w:val="21"/>
          <w:highlight w:val="none"/>
        </w:rPr>
        <w:t>：计划开、竣工日期和施工进度网络图</w:t>
      </w:r>
    </w:p>
    <w:p>
      <w:pPr>
        <w:spacing w:line="360" w:lineRule="exact"/>
        <w:ind w:firstLine="420" w:firstLineChars="200"/>
        <w:rPr>
          <w:color w:val="auto"/>
          <w:szCs w:val="21"/>
          <w:highlight w:val="none"/>
        </w:rPr>
      </w:pPr>
      <w:r>
        <w:rPr>
          <w:color w:val="auto"/>
          <w:szCs w:val="21"/>
          <w:highlight w:val="none"/>
        </w:rPr>
        <w:t xml:space="preserve">1. </w:t>
      </w:r>
      <w:r>
        <w:rPr>
          <w:rFonts w:hint="eastAsia"/>
          <w:color w:val="auto"/>
          <w:szCs w:val="21"/>
          <w:highlight w:val="none"/>
        </w:rPr>
        <w:t>投标人应递交施工进度网络图或施工进度表，说明按招标文件要求的计划工期进行施工的各个关键日期。</w:t>
      </w:r>
    </w:p>
    <w:p>
      <w:pPr>
        <w:spacing w:line="360" w:lineRule="exact"/>
        <w:ind w:firstLine="420" w:firstLineChars="200"/>
        <w:rPr>
          <w:color w:val="auto"/>
          <w:szCs w:val="21"/>
          <w:highlight w:val="none"/>
        </w:rPr>
      </w:pPr>
      <w:r>
        <w:rPr>
          <w:color w:val="auto"/>
          <w:szCs w:val="21"/>
          <w:highlight w:val="none"/>
        </w:rPr>
        <w:t xml:space="preserve">2. </w:t>
      </w:r>
      <w:r>
        <w:rPr>
          <w:rFonts w:hint="eastAsia"/>
          <w:color w:val="auto"/>
          <w:szCs w:val="21"/>
          <w:highlight w:val="none"/>
        </w:rPr>
        <w:t>施工进度表可采用网络图（或横道图）表示。</w:t>
      </w:r>
    </w:p>
    <w:p>
      <w:pPr>
        <w:rPr>
          <w:color w:val="auto"/>
          <w:szCs w:val="21"/>
          <w:highlight w:val="none"/>
        </w:rPr>
      </w:pPr>
    </w:p>
    <w:p>
      <w:pPr>
        <w:spacing w:line="360" w:lineRule="exact"/>
        <w:rPr>
          <w:rFonts w:eastAsia="黑体"/>
          <w:color w:val="auto"/>
          <w:szCs w:val="21"/>
          <w:highlight w:val="none"/>
        </w:rPr>
      </w:pP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5</w:t>
      </w:r>
      <w:r>
        <w:rPr>
          <w:rFonts w:hint="eastAsia" w:eastAsia="黑体"/>
          <w:color w:val="auto"/>
          <w:szCs w:val="21"/>
          <w:highlight w:val="none"/>
        </w:rPr>
        <w:t>：施工总平面图</w:t>
      </w:r>
    </w:p>
    <w:p>
      <w:pPr>
        <w:spacing w:line="360" w:lineRule="exact"/>
        <w:ind w:firstLine="420" w:firstLineChars="200"/>
        <w:rPr>
          <w:color w:val="auto"/>
          <w:szCs w:val="21"/>
          <w:highlight w:val="none"/>
        </w:rPr>
      </w:pPr>
      <w:r>
        <w:rPr>
          <w:rFonts w:hint="eastAsia"/>
          <w:color w:val="auto"/>
          <w:szCs w:val="21"/>
          <w:highlight w:val="none"/>
        </w:rPr>
        <w:t>投标人应递交一份施工总平面图，绘出现场临时设施布置图表并附文字说明，说明临时设施、加工车间、现场办公、设备及仓储、供电、供水、卫生、生活、道路、消防等设施的情况和布置。</w:t>
      </w:r>
    </w:p>
    <w:p>
      <w:pPr>
        <w:rPr>
          <w:color w:val="auto"/>
          <w:szCs w:val="21"/>
          <w:highlight w:val="none"/>
        </w:rPr>
      </w:pPr>
    </w:p>
    <w:p>
      <w:pPr>
        <w:rPr>
          <w:rFonts w:eastAsia="黑体"/>
          <w:color w:val="auto"/>
          <w:szCs w:val="21"/>
          <w:highlight w:val="none"/>
        </w:rPr>
      </w:pP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6</w:t>
      </w:r>
      <w:r>
        <w:rPr>
          <w:rFonts w:hint="eastAsia" w:eastAsia="黑体"/>
          <w:color w:val="auto"/>
          <w:szCs w:val="21"/>
          <w:highlight w:val="none"/>
        </w:rPr>
        <w:t>：临时用地表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2437"/>
        <w:gridCol w:w="2439"/>
        <w:gridCol w:w="2439"/>
        <w:gridCol w:w="1971"/>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用途</w:t>
            </w:r>
          </w:p>
        </w:tc>
        <w:tc>
          <w:tcPr>
            <w:tcW w:w="2439" w:type="dxa"/>
            <w:noWrap w:val="0"/>
            <w:vAlign w:val="center"/>
          </w:tcPr>
          <w:p>
            <w:pPr>
              <w:ind w:left="840" w:leftChars="200" w:hanging="420" w:hangingChars="200"/>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面积（</w:t>
            </w:r>
            <w:r>
              <w:rPr>
                <w:rFonts w:ascii="Times New Roman" w:hAnsi="Times New Roman" w:eastAsia="黑体"/>
                <w:color w:val="auto"/>
                <w:sz w:val="21"/>
                <w:szCs w:val="21"/>
                <w:highlight w:val="none"/>
              </w:rPr>
              <w:t>m</w:t>
            </w:r>
            <w:r>
              <w:rPr>
                <w:rFonts w:ascii="Times New Roman" w:hAnsi="Times New Roman" w:eastAsia="黑体"/>
                <w:color w:val="auto"/>
                <w:sz w:val="21"/>
                <w:szCs w:val="21"/>
                <w:highlight w:val="none"/>
                <w:vertAlign w:val="superscript"/>
              </w:rPr>
              <w:t>2</w:t>
            </w:r>
            <w:r>
              <w:rPr>
                <w:rFonts w:hint="eastAsia" w:ascii="Times New Roman" w:hAnsi="Times New Roman" w:eastAsia="黑体"/>
                <w:color w:val="auto"/>
                <w:sz w:val="21"/>
                <w:szCs w:val="21"/>
                <w:highlight w:val="none"/>
              </w:rPr>
              <w:t>）</w:t>
            </w:r>
          </w:p>
        </w:tc>
        <w:tc>
          <w:tcPr>
            <w:tcW w:w="2439" w:type="dxa"/>
            <w:noWrap w:val="0"/>
            <w:vAlign w:val="center"/>
          </w:tcPr>
          <w:p>
            <w:pPr>
              <w:ind w:left="840" w:leftChars="200" w:hanging="420" w:hangingChars="200"/>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位置</w:t>
            </w:r>
          </w:p>
        </w:tc>
        <w:tc>
          <w:tcPr>
            <w:tcW w:w="1971" w:type="dxa"/>
            <w:noWrap w:val="0"/>
            <w:vAlign w:val="center"/>
          </w:tcPr>
          <w:p>
            <w:pPr>
              <w:ind w:left="840" w:leftChars="200" w:hanging="420" w:hangingChars="200"/>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需用时间</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1971" w:type="dxa"/>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1971" w:type="dxa"/>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1971" w:type="dxa"/>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1971" w:type="dxa"/>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1971" w:type="dxa"/>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37"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2439" w:type="dxa"/>
            <w:noWrap w:val="0"/>
            <w:vAlign w:val="center"/>
          </w:tcPr>
          <w:p>
            <w:pPr>
              <w:rPr>
                <w:rFonts w:ascii="Times New Roman" w:hAnsi="Times New Roman"/>
                <w:color w:val="auto"/>
                <w:sz w:val="21"/>
                <w:szCs w:val="21"/>
                <w:highlight w:val="none"/>
              </w:rPr>
            </w:pPr>
          </w:p>
        </w:tc>
        <w:tc>
          <w:tcPr>
            <w:tcW w:w="1971" w:type="dxa"/>
            <w:noWrap w:val="0"/>
            <w:vAlign w:val="center"/>
          </w:tcPr>
          <w:p>
            <w:pPr>
              <w:rPr>
                <w:rFonts w:ascii="Times New Roman" w:hAnsi="Times New Roman"/>
                <w:color w:val="auto"/>
                <w:sz w:val="21"/>
                <w:szCs w:val="21"/>
                <w:highlight w:val="none"/>
              </w:rPr>
            </w:pPr>
          </w:p>
        </w:tc>
      </w:tr>
    </w:tbl>
    <w:p>
      <w:pPr>
        <w:rPr>
          <w:color w:val="auto"/>
          <w:szCs w:val="21"/>
          <w:highlight w:val="none"/>
        </w:rPr>
      </w:pPr>
    </w:p>
    <w:p>
      <w:pPr>
        <w:spacing w:before="120" w:beforeLines="50"/>
        <w:rPr>
          <w:rFonts w:eastAsia="黑体"/>
          <w:color w:val="auto"/>
          <w:szCs w:val="21"/>
          <w:highlight w:val="none"/>
        </w:rPr>
      </w:pPr>
      <w:r>
        <w:rPr>
          <w:rFonts w:hint="eastAsia" w:eastAsia="黑体"/>
          <w:color w:val="auto"/>
          <w:szCs w:val="21"/>
          <w:highlight w:val="none"/>
        </w:rPr>
        <w:t>附</w:t>
      </w:r>
      <w:r>
        <w:rPr>
          <w:rFonts w:hint="eastAsia"/>
          <w:color w:val="auto"/>
          <w:szCs w:val="21"/>
          <w:highlight w:val="none"/>
        </w:rPr>
        <w:t>件</w:t>
      </w:r>
      <w:r>
        <w:rPr>
          <w:rFonts w:eastAsia="黑体"/>
          <w:color w:val="auto"/>
          <w:szCs w:val="21"/>
          <w:highlight w:val="none"/>
        </w:rPr>
        <w:t>7</w:t>
      </w:r>
      <w:r>
        <w:rPr>
          <w:rFonts w:hint="eastAsia" w:eastAsia="黑体"/>
          <w:color w:val="auto"/>
          <w:szCs w:val="21"/>
          <w:highlight w:val="none"/>
        </w:rPr>
        <w:t>：拟分包项目情况表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2518"/>
        <w:gridCol w:w="2365"/>
        <w:gridCol w:w="2455"/>
        <w:gridCol w:w="1948"/>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18" w:type="dxa"/>
            <w:noWrap w:val="0"/>
            <w:vAlign w:val="center"/>
          </w:tcPr>
          <w:p>
            <w:pPr>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拟分包的工程项目</w:t>
            </w:r>
          </w:p>
        </w:tc>
        <w:tc>
          <w:tcPr>
            <w:tcW w:w="2365" w:type="dxa"/>
            <w:noWrap w:val="0"/>
            <w:vAlign w:val="center"/>
          </w:tcPr>
          <w:p>
            <w:pPr>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主要内容</w:t>
            </w:r>
          </w:p>
        </w:tc>
        <w:tc>
          <w:tcPr>
            <w:tcW w:w="2455" w:type="dxa"/>
            <w:noWrap w:val="0"/>
            <w:vAlign w:val="center"/>
          </w:tcPr>
          <w:p>
            <w:pPr>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预计造价（万元）</w:t>
            </w:r>
          </w:p>
        </w:tc>
        <w:tc>
          <w:tcPr>
            <w:tcW w:w="1948" w:type="dxa"/>
            <w:noWrap w:val="0"/>
            <w:vAlign w:val="center"/>
          </w:tcPr>
          <w:p>
            <w:pPr>
              <w:jc w:val="center"/>
              <w:rPr>
                <w:rFonts w:ascii="Times New Roman" w:hAnsi="Times New Roman" w:eastAsia="黑体"/>
                <w:color w:val="auto"/>
                <w:sz w:val="21"/>
                <w:szCs w:val="21"/>
                <w:highlight w:val="none"/>
              </w:rPr>
            </w:pPr>
            <w:r>
              <w:rPr>
                <w:rFonts w:hint="eastAsia" w:ascii="Times New Roman" w:hAnsi="Times New Roman" w:eastAsia="黑体"/>
                <w:color w:val="auto"/>
                <w:sz w:val="21"/>
                <w:szCs w:val="21"/>
                <w:highlight w:val="none"/>
              </w:rPr>
              <w:t>已经做过的类似工程</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18" w:type="dxa"/>
            <w:noWrap w:val="0"/>
            <w:vAlign w:val="center"/>
          </w:tcPr>
          <w:p>
            <w:pPr>
              <w:rPr>
                <w:rFonts w:ascii="Times New Roman" w:hAnsi="Times New Roman"/>
                <w:color w:val="auto"/>
                <w:sz w:val="21"/>
                <w:szCs w:val="21"/>
                <w:highlight w:val="none"/>
              </w:rPr>
            </w:pPr>
          </w:p>
        </w:tc>
        <w:tc>
          <w:tcPr>
            <w:tcW w:w="2365" w:type="dxa"/>
            <w:noWrap w:val="0"/>
            <w:vAlign w:val="center"/>
          </w:tcPr>
          <w:p>
            <w:pPr>
              <w:rPr>
                <w:rFonts w:ascii="Times New Roman" w:hAnsi="Times New Roman"/>
                <w:color w:val="auto"/>
                <w:sz w:val="21"/>
                <w:szCs w:val="21"/>
                <w:highlight w:val="none"/>
              </w:rPr>
            </w:pPr>
          </w:p>
        </w:tc>
        <w:tc>
          <w:tcPr>
            <w:tcW w:w="2455" w:type="dxa"/>
            <w:noWrap w:val="0"/>
            <w:vAlign w:val="center"/>
          </w:tcPr>
          <w:p>
            <w:pPr>
              <w:rPr>
                <w:rFonts w:ascii="Times New Roman" w:hAnsi="Times New Roman"/>
                <w:color w:val="auto"/>
                <w:sz w:val="21"/>
                <w:szCs w:val="21"/>
                <w:highlight w:val="none"/>
              </w:rPr>
            </w:pPr>
          </w:p>
        </w:tc>
        <w:tc>
          <w:tcPr>
            <w:tcW w:w="1948" w:type="dxa"/>
            <w:vMerge w:val="restart"/>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18" w:type="dxa"/>
            <w:noWrap w:val="0"/>
            <w:vAlign w:val="center"/>
          </w:tcPr>
          <w:p>
            <w:pPr>
              <w:rPr>
                <w:rFonts w:ascii="Times New Roman" w:hAnsi="Times New Roman"/>
                <w:color w:val="auto"/>
                <w:sz w:val="21"/>
                <w:szCs w:val="21"/>
                <w:highlight w:val="none"/>
              </w:rPr>
            </w:pPr>
          </w:p>
        </w:tc>
        <w:tc>
          <w:tcPr>
            <w:tcW w:w="2365" w:type="dxa"/>
            <w:noWrap w:val="0"/>
            <w:vAlign w:val="center"/>
          </w:tcPr>
          <w:p>
            <w:pPr>
              <w:rPr>
                <w:rFonts w:ascii="Times New Roman" w:hAnsi="Times New Roman"/>
                <w:color w:val="auto"/>
                <w:sz w:val="21"/>
                <w:szCs w:val="21"/>
                <w:highlight w:val="none"/>
              </w:rPr>
            </w:pPr>
          </w:p>
        </w:tc>
        <w:tc>
          <w:tcPr>
            <w:tcW w:w="2455" w:type="dxa"/>
            <w:noWrap w:val="0"/>
            <w:vAlign w:val="center"/>
          </w:tcPr>
          <w:p>
            <w:pPr>
              <w:rPr>
                <w:rFonts w:ascii="Times New Roman" w:hAnsi="Times New Roman"/>
                <w:color w:val="auto"/>
                <w:sz w:val="21"/>
                <w:szCs w:val="21"/>
                <w:highlight w:val="none"/>
              </w:rPr>
            </w:pPr>
          </w:p>
        </w:tc>
        <w:tc>
          <w:tcPr>
            <w:tcW w:w="1948" w:type="dxa"/>
            <w:vMerge w:val="continue"/>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18" w:type="dxa"/>
            <w:noWrap w:val="0"/>
            <w:vAlign w:val="center"/>
          </w:tcPr>
          <w:p>
            <w:pPr>
              <w:rPr>
                <w:rFonts w:ascii="Times New Roman" w:hAnsi="Times New Roman"/>
                <w:color w:val="auto"/>
                <w:sz w:val="21"/>
                <w:szCs w:val="21"/>
                <w:highlight w:val="none"/>
              </w:rPr>
            </w:pPr>
          </w:p>
        </w:tc>
        <w:tc>
          <w:tcPr>
            <w:tcW w:w="2365" w:type="dxa"/>
            <w:noWrap w:val="0"/>
            <w:vAlign w:val="center"/>
          </w:tcPr>
          <w:p>
            <w:pPr>
              <w:rPr>
                <w:rFonts w:ascii="Times New Roman" w:hAnsi="Times New Roman"/>
                <w:color w:val="auto"/>
                <w:sz w:val="21"/>
                <w:szCs w:val="21"/>
                <w:highlight w:val="none"/>
              </w:rPr>
            </w:pPr>
          </w:p>
        </w:tc>
        <w:tc>
          <w:tcPr>
            <w:tcW w:w="2455" w:type="dxa"/>
            <w:noWrap w:val="0"/>
            <w:vAlign w:val="center"/>
          </w:tcPr>
          <w:p>
            <w:pPr>
              <w:rPr>
                <w:rFonts w:ascii="Times New Roman" w:hAnsi="Times New Roman"/>
                <w:color w:val="auto"/>
                <w:sz w:val="21"/>
                <w:szCs w:val="21"/>
                <w:highlight w:val="none"/>
              </w:rPr>
            </w:pPr>
          </w:p>
        </w:tc>
        <w:tc>
          <w:tcPr>
            <w:tcW w:w="1948" w:type="dxa"/>
            <w:vMerge w:val="continue"/>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18" w:type="dxa"/>
            <w:noWrap w:val="0"/>
            <w:vAlign w:val="center"/>
          </w:tcPr>
          <w:p>
            <w:pPr>
              <w:rPr>
                <w:rFonts w:ascii="Times New Roman" w:hAnsi="Times New Roman"/>
                <w:color w:val="auto"/>
                <w:sz w:val="21"/>
                <w:szCs w:val="21"/>
                <w:highlight w:val="none"/>
              </w:rPr>
            </w:pPr>
          </w:p>
        </w:tc>
        <w:tc>
          <w:tcPr>
            <w:tcW w:w="2365" w:type="dxa"/>
            <w:noWrap w:val="0"/>
            <w:vAlign w:val="center"/>
          </w:tcPr>
          <w:p>
            <w:pPr>
              <w:rPr>
                <w:rFonts w:ascii="Times New Roman" w:hAnsi="Times New Roman"/>
                <w:color w:val="auto"/>
                <w:sz w:val="21"/>
                <w:szCs w:val="21"/>
                <w:highlight w:val="none"/>
              </w:rPr>
            </w:pPr>
          </w:p>
        </w:tc>
        <w:tc>
          <w:tcPr>
            <w:tcW w:w="2455" w:type="dxa"/>
            <w:noWrap w:val="0"/>
            <w:vAlign w:val="center"/>
          </w:tcPr>
          <w:p>
            <w:pPr>
              <w:rPr>
                <w:rFonts w:ascii="Times New Roman" w:hAnsi="Times New Roman"/>
                <w:color w:val="auto"/>
                <w:sz w:val="21"/>
                <w:szCs w:val="21"/>
                <w:highlight w:val="none"/>
              </w:rPr>
            </w:pPr>
          </w:p>
        </w:tc>
        <w:tc>
          <w:tcPr>
            <w:tcW w:w="1948" w:type="dxa"/>
            <w:vMerge w:val="continue"/>
            <w:noWrap w:val="0"/>
            <w:vAlign w:val="center"/>
          </w:tcPr>
          <w:p>
            <w:pPr>
              <w:rPr>
                <w:rFonts w:ascii="Times New Roman" w:hAnsi="Times New Roman"/>
                <w:color w:val="auto"/>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18" w:type="dxa"/>
            <w:noWrap w:val="0"/>
            <w:vAlign w:val="center"/>
          </w:tcPr>
          <w:p>
            <w:pPr>
              <w:rPr>
                <w:rFonts w:ascii="Times New Roman" w:hAnsi="Times New Roman"/>
                <w:color w:val="auto"/>
                <w:sz w:val="21"/>
                <w:szCs w:val="21"/>
                <w:highlight w:val="none"/>
              </w:rPr>
            </w:pPr>
          </w:p>
        </w:tc>
        <w:tc>
          <w:tcPr>
            <w:tcW w:w="2365" w:type="dxa"/>
            <w:noWrap w:val="0"/>
            <w:vAlign w:val="center"/>
          </w:tcPr>
          <w:p>
            <w:pPr>
              <w:rPr>
                <w:rFonts w:ascii="Times New Roman" w:hAnsi="Times New Roman"/>
                <w:color w:val="auto"/>
                <w:sz w:val="21"/>
                <w:szCs w:val="21"/>
                <w:highlight w:val="none"/>
              </w:rPr>
            </w:pPr>
          </w:p>
        </w:tc>
        <w:tc>
          <w:tcPr>
            <w:tcW w:w="2455" w:type="dxa"/>
            <w:noWrap w:val="0"/>
            <w:vAlign w:val="center"/>
          </w:tcPr>
          <w:p>
            <w:pPr>
              <w:rPr>
                <w:rFonts w:ascii="Times New Roman" w:hAnsi="Times New Roman"/>
                <w:color w:val="auto"/>
                <w:sz w:val="21"/>
                <w:szCs w:val="21"/>
                <w:highlight w:val="none"/>
              </w:rPr>
            </w:pPr>
          </w:p>
        </w:tc>
        <w:tc>
          <w:tcPr>
            <w:tcW w:w="1948" w:type="dxa"/>
            <w:vMerge w:val="continue"/>
            <w:noWrap w:val="0"/>
            <w:vAlign w:val="center"/>
          </w:tcPr>
          <w:p>
            <w:pPr>
              <w:rPr>
                <w:rFonts w:ascii="Times New Roman" w:hAnsi="Times New Roman"/>
                <w:color w:val="auto"/>
                <w:sz w:val="21"/>
                <w:szCs w:val="21"/>
                <w:highlight w:val="none"/>
              </w:rPr>
            </w:pPr>
          </w:p>
        </w:tc>
      </w:tr>
    </w:tbl>
    <w:p>
      <w:pPr>
        <w:widowControl/>
        <w:jc w:val="left"/>
        <w:rPr>
          <w:color w:val="auto"/>
          <w:sz w:val="21"/>
          <w:szCs w:val="21"/>
          <w:highlight w:val="none"/>
        </w:rPr>
      </w:pPr>
    </w:p>
    <w:p>
      <w:pPr>
        <w:widowControl/>
        <w:jc w:val="left"/>
        <w:rPr>
          <w:color w:val="auto"/>
          <w:sz w:val="21"/>
          <w:szCs w:val="21"/>
          <w:highlight w:val="none"/>
        </w:rPr>
      </w:pPr>
    </w:p>
    <w:p>
      <w:pPr>
        <w:rPr>
          <w:rFonts w:hint="eastAsia" w:ascii="宋体" w:hAnsi="宋体" w:eastAsia="宋体" w:cs="宋体"/>
          <w:color w:val="auto"/>
          <w:sz w:val="20"/>
          <w:szCs w:val="20"/>
          <w:highlight w:val="none"/>
          <w:lang w:val="en-US" w:eastAsia="zh-CN"/>
        </w:rPr>
      </w:pPr>
      <w:r>
        <w:rPr>
          <w:rFonts w:hint="eastAsia" w:ascii="宋体" w:hAnsi="宋体" w:eastAsia="宋体" w:cs="宋体"/>
          <w:color w:val="auto"/>
          <w:sz w:val="20"/>
          <w:szCs w:val="20"/>
          <w:highlight w:val="none"/>
          <w:lang w:val="en-US" w:eastAsia="zh-CN"/>
        </w:rPr>
        <w:br w:type="page"/>
      </w:r>
    </w:p>
    <w:p>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4.绿色施工方案</w:t>
      </w:r>
    </w:p>
    <w:p>
      <w:pPr>
        <w:rPr>
          <w:rFonts w:hint="eastAsia" w:ascii="Calibri" w:hAnsi="Calibri" w:eastAsia="宋体" w:cs="Times New Roman"/>
          <w:color w:val="auto"/>
          <w:szCs w:val="21"/>
          <w:highlight w:val="none"/>
          <w:lang w:val="en-US" w:eastAsia="zh-CN"/>
        </w:rPr>
      </w:pPr>
      <w:r>
        <w:rPr>
          <w:rFonts w:hint="eastAsia" w:ascii="Calibri" w:hAnsi="Calibri" w:eastAsia="宋体" w:cs="Times New Roman"/>
          <w:color w:val="auto"/>
          <w:szCs w:val="21"/>
          <w:highlight w:val="none"/>
          <w:lang w:val="en-US" w:eastAsia="zh-CN"/>
        </w:rPr>
        <w:t>投标人应</w:t>
      </w:r>
      <w:r>
        <w:rPr>
          <w:rFonts w:hint="eastAsia" w:ascii="Calibri" w:hAnsi="Calibri" w:eastAsia="宋体" w:cs="Times New Roman"/>
          <w:color w:val="auto"/>
          <w:szCs w:val="21"/>
          <w:highlight w:val="none"/>
        </w:rPr>
        <w:t>对于“</w:t>
      </w:r>
      <w:r>
        <w:rPr>
          <w:rFonts w:hint="eastAsia" w:ascii="Calibri" w:hAnsi="Calibri" w:eastAsia="宋体" w:cs="Times New Roman"/>
          <w:color w:val="auto"/>
          <w:szCs w:val="21"/>
          <w:highlight w:val="none"/>
          <w:lang w:eastAsia="zh-CN"/>
        </w:rPr>
        <w:t>技术</w:t>
      </w:r>
      <w:r>
        <w:rPr>
          <w:rFonts w:hint="eastAsia" w:ascii="Calibri" w:hAnsi="Calibri" w:eastAsia="宋体" w:cs="Times New Roman"/>
          <w:color w:val="auto"/>
          <w:szCs w:val="21"/>
          <w:highlight w:val="none"/>
        </w:rPr>
        <w:t>评分标准”中</w:t>
      </w:r>
      <w:r>
        <w:rPr>
          <w:rFonts w:hint="eastAsia" w:ascii="Calibri" w:hAnsi="Calibri" w:eastAsia="宋体" w:cs="Times New Roman"/>
          <w:color w:val="auto"/>
          <w:szCs w:val="21"/>
          <w:highlight w:val="none"/>
          <w:lang w:eastAsia="zh-CN"/>
        </w:rPr>
        <w:t>“</w:t>
      </w:r>
      <w:r>
        <w:rPr>
          <w:rFonts w:hint="eastAsia" w:ascii="Calibri" w:hAnsi="Calibri" w:eastAsia="宋体" w:cs="Times New Roman"/>
          <w:color w:val="auto"/>
          <w:szCs w:val="21"/>
          <w:highlight w:val="none"/>
          <w:lang w:val="en-US" w:eastAsia="zh-CN"/>
        </w:rPr>
        <w:t>绿色施工”评审项进行响应，</w:t>
      </w:r>
      <w:r>
        <w:rPr>
          <w:rFonts w:hint="eastAsia" w:ascii="Calibri" w:hAnsi="Calibri" w:eastAsia="宋体" w:cs="Times New Roman"/>
          <w:color w:val="auto"/>
          <w:szCs w:val="21"/>
          <w:highlight w:val="none"/>
        </w:rPr>
        <w:t>并提供相关证明材料。</w:t>
      </w:r>
      <w:r>
        <w:rPr>
          <w:rFonts w:hint="eastAsia" w:ascii="Calibri" w:hAnsi="Calibri" w:eastAsia="宋体" w:cs="Times New Roman"/>
          <w:color w:val="auto"/>
          <w:szCs w:val="21"/>
          <w:highlight w:val="none"/>
          <w:lang w:val="en-US" w:eastAsia="zh-CN"/>
        </w:rPr>
        <w:t>包括但不限于在施工过程中的环境保护措施、节能减排等方案措施，绿色施工工艺等施工技术。</w:t>
      </w:r>
    </w:p>
    <w:p>
      <w:pPr>
        <w:rPr>
          <w:rFonts w:hint="eastAsia" w:ascii="宋体" w:hAnsi="宋体" w:eastAsia="宋体" w:cs="宋体"/>
          <w:color w:val="auto"/>
          <w:sz w:val="21"/>
          <w:szCs w:val="21"/>
          <w:highlight w:val="none"/>
          <w:lang w:val="en-US" w:eastAsia="zh-CN"/>
        </w:rPr>
      </w:pPr>
    </w:p>
    <w:p>
      <w:pPr>
        <w:pStyle w:val="17"/>
        <w:rPr>
          <w:rFonts w:hint="default" w:ascii="Calibri" w:hAnsi="Calibri" w:eastAsia="宋体" w:cs="Times New Roman"/>
          <w:color w:val="auto"/>
          <w:sz w:val="21"/>
          <w:szCs w:val="24"/>
          <w:highlight w:val="none"/>
          <w:lang w:val="en-US" w:eastAsia="zh-CN"/>
        </w:rPr>
      </w:pPr>
    </w:p>
    <w:p>
      <w:pPr>
        <w:numPr>
          <w:ilvl w:val="-1"/>
          <w:numId w:val="0"/>
        </w:numPr>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5.</w:t>
      </w:r>
      <w:r>
        <w:rPr>
          <w:rFonts w:hint="eastAsia" w:ascii="宋体" w:hAnsi="宋体" w:eastAsia="宋体" w:cs="宋体"/>
          <w:color w:val="auto"/>
          <w:sz w:val="21"/>
          <w:szCs w:val="21"/>
          <w:highlight w:val="none"/>
          <w:lang w:val="en-US" w:eastAsia="zh-CN"/>
        </w:rPr>
        <w:t>数智施工方法与资源应答</w:t>
      </w:r>
    </w:p>
    <w:p>
      <w:pPr>
        <w:numPr>
          <w:ilvl w:val="-1"/>
          <w:numId w:val="0"/>
        </w:numPr>
        <w:ind w:firstLine="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投标人应</w:t>
      </w:r>
      <w:r>
        <w:rPr>
          <w:color w:val="auto"/>
          <w:szCs w:val="21"/>
          <w:highlight w:val="none"/>
        </w:rPr>
        <w:t>对于“</w:t>
      </w:r>
      <w:r>
        <w:rPr>
          <w:rFonts w:hint="eastAsia"/>
          <w:color w:val="auto"/>
          <w:szCs w:val="21"/>
          <w:highlight w:val="none"/>
          <w:lang w:val="en-US" w:eastAsia="zh-CN"/>
        </w:rPr>
        <w:t>技术</w:t>
      </w:r>
      <w:r>
        <w:rPr>
          <w:color w:val="auto"/>
          <w:szCs w:val="21"/>
          <w:highlight w:val="none"/>
        </w:rPr>
        <w:t>评分标准”中</w:t>
      </w:r>
      <w:r>
        <w:rPr>
          <w:rFonts w:hint="eastAsia"/>
          <w:color w:val="auto"/>
          <w:szCs w:val="21"/>
          <w:highlight w:val="none"/>
          <w:lang w:eastAsia="zh-CN"/>
        </w:rPr>
        <w:t>“</w:t>
      </w:r>
      <w:r>
        <w:rPr>
          <w:rFonts w:hint="eastAsia" w:ascii="宋体" w:hAnsi="宋体" w:eastAsia="宋体" w:cs="宋体"/>
          <w:color w:val="auto"/>
          <w:spacing w:val="10"/>
          <w:kern w:val="0"/>
          <w:sz w:val="21"/>
          <w:szCs w:val="21"/>
          <w:highlight w:val="none"/>
        </w:rPr>
        <w:t>数智施工方法与资源</w:t>
      </w:r>
      <w:r>
        <w:rPr>
          <w:rFonts w:hint="eastAsia"/>
          <w:color w:val="auto"/>
          <w:szCs w:val="21"/>
          <w:highlight w:val="none"/>
          <w:lang w:eastAsia="zh-CN"/>
        </w:rPr>
        <w:t>”</w:t>
      </w:r>
      <w:r>
        <w:rPr>
          <w:rFonts w:hint="eastAsia"/>
          <w:color w:val="auto"/>
          <w:szCs w:val="21"/>
          <w:highlight w:val="none"/>
          <w:lang w:val="en-US" w:eastAsia="zh-CN"/>
        </w:rPr>
        <w:t>评审项进行响应，</w:t>
      </w:r>
      <w:r>
        <w:rPr>
          <w:color w:val="auto"/>
          <w:szCs w:val="21"/>
          <w:highlight w:val="none"/>
        </w:rPr>
        <w:t>并提供相关证明材料。</w:t>
      </w:r>
      <w:r>
        <w:rPr>
          <w:rFonts w:hint="eastAsia"/>
          <w:color w:val="auto"/>
          <w:szCs w:val="21"/>
          <w:highlight w:val="none"/>
          <w:lang w:val="en-US" w:eastAsia="zh-CN"/>
        </w:rPr>
        <w:t>包括但不限于</w:t>
      </w:r>
      <w:r>
        <w:rPr>
          <w:rFonts w:hint="default" w:ascii="宋体" w:hAnsi="宋体" w:eastAsia="宋体" w:cs="宋体"/>
          <w:color w:val="auto"/>
          <w:spacing w:val="10"/>
          <w:kern w:val="0"/>
          <w:sz w:val="21"/>
          <w:szCs w:val="21"/>
          <w:highlight w:val="none"/>
          <w:lang w:val="en-US" w:eastAsia="zh-CN"/>
        </w:rPr>
        <w:t>施工机械设备、现场管理机构与人员等施工资源配置</w:t>
      </w:r>
      <w:r>
        <w:rPr>
          <w:rFonts w:hint="eastAsia" w:ascii="宋体" w:hAnsi="宋体" w:eastAsia="宋体" w:cs="宋体"/>
          <w:color w:val="auto"/>
          <w:spacing w:val="10"/>
          <w:kern w:val="0"/>
          <w:sz w:val="21"/>
          <w:szCs w:val="21"/>
          <w:highlight w:val="none"/>
          <w:lang w:val="en-US" w:eastAsia="zh-CN"/>
        </w:rPr>
        <w:t>、</w:t>
      </w:r>
      <w:r>
        <w:rPr>
          <w:rFonts w:hint="default" w:ascii="宋体" w:hAnsi="宋体" w:eastAsia="宋体" w:cs="宋体"/>
          <w:color w:val="auto"/>
          <w:spacing w:val="10"/>
          <w:kern w:val="0"/>
          <w:sz w:val="21"/>
          <w:szCs w:val="21"/>
          <w:highlight w:val="none"/>
          <w:lang w:val="en-US" w:eastAsia="zh-CN"/>
        </w:rPr>
        <w:t>TBM等电动设备投入、BIM三维建模技术应用、土石方平衡控制</w:t>
      </w:r>
      <w:r>
        <w:rPr>
          <w:rFonts w:hint="eastAsia"/>
          <w:color w:val="auto"/>
          <w:szCs w:val="21"/>
          <w:highlight w:val="none"/>
        </w:rPr>
        <w:t>等</w:t>
      </w:r>
      <w:r>
        <w:rPr>
          <w:rFonts w:hint="eastAsia"/>
          <w:color w:val="auto"/>
          <w:szCs w:val="21"/>
          <w:highlight w:val="none"/>
          <w:lang w:val="en-US" w:eastAsia="zh-CN"/>
        </w:rPr>
        <w:t>的证明文件。</w:t>
      </w:r>
    </w:p>
    <w:p>
      <w:pPr>
        <w:autoSpaceDE w:val="0"/>
        <w:autoSpaceDN w:val="0"/>
        <w:adjustRightInd w:val="0"/>
        <w:snapToGrid w:val="0"/>
        <w:jc w:val="left"/>
        <w:rPr>
          <w:rFonts w:hint="eastAsia" w:ascii="宋体" w:hAnsi="宋体" w:eastAsia="宋体" w:cs="宋体"/>
          <w:color w:val="auto"/>
          <w:sz w:val="21"/>
          <w:szCs w:val="21"/>
          <w:highlight w:val="none"/>
          <w:lang w:val="en-US" w:eastAsia="zh-CN"/>
        </w:rPr>
      </w:pPr>
    </w:p>
    <w:p>
      <w:pPr>
        <w:autoSpaceDE w:val="0"/>
        <w:autoSpaceDN w:val="0"/>
        <w:adjustRightInd w:val="0"/>
        <w:snapToGrid w:val="0"/>
        <w:jc w:val="left"/>
        <w:rPr>
          <w:rFonts w:hint="eastAsia" w:ascii="宋体" w:hAnsi="宋体" w:eastAsia="宋体" w:cs="宋体"/>
          <w:color w:val="auto"/>
          <w:sz w:val="21"/>
          <w:szCs w:val="21"/>
          <w:highlight w:val="none"/>
          <w:lang w:val="en-US" w:eastAsia="zh-CN"/>
        </w:rPr>
      </w:pPr>
    </w:p>
    <w:p>
      <w:pPr>
        <w:pStyle w:val="17"/>
        <w:rPr>
          <w:rFonts w:hint="default" w:ascii="Calibri" w:hAnsi="Calibri" w:eastAsia="宋体" w:cs="Times New Roman"/>
          <w:color w:val="auto"/>
          <w:sz w:val="21"/>
          <w:szCs w:val="24"/>
          <w:highlight w:val="none"/>
          <w:lang w:val="en-US" w:eastAsia="zh-CN"/>
        </w:rPr>
      </w:pPr>
    </w:p>
    <w:p>
      <w:pPr>
        <w:autoSpaceDE w:val="0"/>
        <w:autoSpaceDN w:val="0"/>
        <w:adjustRightInd w:val="0"/>
        <w:snapToGrid w:val="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6.</w:t>
      </w:r>
      <w:r>
        <w:rPr>
          <w:rFonts w:hint="eastAsia" w:ascii="宋体" w:hAnsi="宋体" w:eastAsia="宋体" w:cs="宋体"/>
          <w:color w:val="auto"/>
          <w:sz w:val="21"/>
          <w:szCs w:val="21"/>
          <w:highlight w:val="none"/>
        </w:rPr>
        <w:t>投标人认为需要加以说明的其他技术内容</w:t>
      </w:r>
    </w:p>
    <w:p>
      <w:pPr>
        <w:rPr>
          <w:rFonts w:hint="eastAsia" w:ascii="宋体" w:hAnsi="宋体" w:eastAsia="宋体" w:cs="宋体"/>
          <w:color w:val="auto"/>
          <w:sz w:val="21"/>
          <w:szCs w:val="21"/>
          <w:highlight w:val="none"/>
          <w:lang w:val="en-US" w:eastAsia="zh-CN"/>
        </w:rPr>
      </w:pPr>
    </w:p>
    <w:p>
      <w:pPr>
        <w:rPr>
          <w:rFonts w:hint="eastAsia" w:ascii="宋体" w:hAnsi="宋体" w:eastAsia="宋体" w:cs="宋体"/>
          <w:color w:val="auto"/>
          <w:sz w:val="21"/>
          <w:szCs w:val="21"/>
          <w:highlight w:val="none"/>
          <w:lang w:val="en-US" w:eastAsia="zh-CN"/>
        </w:rPr>
      </w:pPr>
    </w:p>
    <w:p>
      <w:pPr>
        <w:pStyle w:val="17"/>
        <w:rPr>
          <w:rFonts w:hint="default" w:ascii="Calibri" w:hAnsi="Calibri" w:eastAsia="宋体" w:cs="Times New Roman"/>
          <w:color w:val="auto"/>
          <w:sz w:val="21"/>
          <w:szCs w:val="24"/>
          <w:highlight w:val="none"/>
          <w:lang w:val="en-US" w:eastAsia="zh-CN"/>
        </w:rPr>
      </w:pPr>
    </w:p>
    <w:p>
      <w:pPr>
        <w:rPr>
          <w:rFonts w:hint="eastAsia"/>
          <w:color w:val="auto"/>
          <w:szCs w:val="21"/>
          <w:highlight w:val="none"/>
          <w:lang w:val="en-US" w:eastAsia="zh-CN"/>
        </w:rPr>
      </w:pPr>
      <w:r>
        <w:rPr>
          <w:rFonts w:hint="eastAsia" w:ascii="宋体" w:hAnsi="宋体" w:eastAsia="宋体" w:cs="宋体"/>
          <w:color w:val="auto"/>
          <w:sz w:val="21"/>
          <w:szCs w:val="21"/>
          <w:highlight w:val="none"/>
          <w:lang w:val="en-US" w:eastAsia="zh-CN"/>
        </w:rPr>
        <w:t>7.</w:t>
      </w:r>
      <w:r>
        <w:rPr>
          <w:rFonts w:hint="eastAsia" w:ascii="宋体" w:hAnsi="宋体" w:eastAsia="宋体" w:cs="宋体"/>
          <w:color w:val="auto"/>
          <w:sz w:val="21"/>
          <w:szCs w:val="21"/>
          <w:highlight w:val="none"/>
        </w:rPr>
        <w:t>投标图纸、专题报告（如有）</w:t>
      </w:r>
    </w:p>
    <w:p>
      <w:pPr>
        <w:rPr>
          <w:rFonts w:hint="eastAsia"/>
          <w:b/>
          <w:bCs/>
          <w:color w:val="auto"/>
          <w:sz w:val="24"/>
          <w:szCs w:val="22"/>
          <w:highlight w:val="none"/>
          <w:lang w:val="en-US" w:eastAsia="zh-CN"/>
        </w:rPr>
      </w:pPr>
      <w:r>
        <w:rPr>
          <w:rFonts w:hint="eastAsia"/>
          <w:b/>
          <w:bCs/>
          <w:color w:val="auto"/>
          <w:sz w:val="24"/>
          <w:szCs w:val="22"/>
          <w:highlight w:val="none"/>
          <w:lang w:val="en-US" w:eastAsia="zh-CN"/>
        </w:rPr>
        <w:br w:type="page"/>
      </w:r>
    </w:p>
    <w:p>
      <w:pPr>
        <w:keepNext/>
        <w:keepLines/>
        <w:numPr>
          <w:ilvl w:val="0"/>
          <w:numId w:val="3"/>
        </w:numPr>
        <w:snapToGrid w:val="0"/>
        <w:spacing w:before="192" w:beforeLines="80" w:after="192" w:afterLines="80"/>
        <w:jc w:val="left"/>
        <w:outlineLvl w:val="1"/>
        <w:rPr>
          <w:rFonts w:eastAsia="黑体"/>
          <w:color w:val="auto"/>
          <w:sz w:val="28"/>
          <w:highlight w:val="none"/>
        </w:rPr>
      </w:pPr>
      <w:r>
        <w:rPr>
          <w:rFonts w:eastAsia="黑体"/>
          <w:color w:val="auto"/>
          <w:sz w:val="28"/>
          <w:highlight w:val="none"/>
        </w:rPr>
        <w:t>投标文件封面、封套格式</w:t>
      </w:r>
    </w:p>
    <w:p>
      <w:pPr>
        <w:jc w:val="both"/>
        <w:rPr>
          <w:color w:val="auto"/>
          <w:highlight w:val="none"/>
        </w:rPr>
      </w:pPr>
    </w:p>
    <w:p>
      <w:pPr>
        <w:pStyle w:val="5"/>
        <w:rPr>
          <w:rFonts w:ascii="Times New Roman" w:hAnsi="Times New Roman"/>
          <w:color w:val="auto"/>
          <w:highlight w:val="none"/>
        </w:rPr>
      </w:pPr>
    </w:p>
    <w:p>
      <w:pPr>
        <w:pStyle w:val="5"/>
        <w:rPr>
          <w:rFonts w:ascii="Times New Roman" w:hAnsi="Times New Roman"/>
          <w:color w:val="auto"/>
          <w:highlight w:val="none"/>
        </w:rPr>
      </w:pPr>
    </w:p>
    <w:p>
      <w:pPr>
        <w:widowControl/>
        <w:jc w:val="left"/>
        <w:rPr>
          <w:b/>
          <w:color w:val="auto"/>
          <w:sz w:val="24"/>
          <w:highlight w:val="none"/>
        </w:rPr>
      </w:pPr>
      <w:r>
        <w:rPr>
          <w:rFonts w:hint="eastAsia"/>
          <w:b/>
          <w:color w:val="auto"/>
          <w:sz w:val="24"/>
          <w:highlight w:val="none"/>
          <w:lang w:eastAsia="zh-CN"/>
        </w:rPr>
        <w:t>（</w:t>
      </w:r>
      <w:r>
        <w:rPr>
          <w:rFonts w:hint="eastAsia"/>
          <w:b/>
          <w:color w:val="auto"/>
          <w:sz w:val="24"/>
          <w:highlight w:val="none"/>
          <w:lang w:val="en-US" w:eastAsia="zh-CN"/>
        </w:rPr>
        <w:t>一</w:t>
      </w:r>
      <w:r>
        <w:rPr>
          <w:rFonts w:hint="eastAsia"/>
          <w:b/>
          <w:color w:val="auto"/>
          <w:sz w:val="24"/>
          <w:highlight w:val="none"/>
          <w:lang w:eastAsia="zh-CN"/>
        </w:rPr>
        <w:t>）</w:t>
      </w:r>
      <w:r>
        <w:rPr>
          <w:rFonts w:hint="eastAsia"/>
          <w:b/>
          <w:color w:val="auto"/>
          <w:sz w:val="24"/>
          <w:highlight w:val="none"/>
          <w:lang w:val="en-US" w:eastAsia="zh-CN"/>
        </w:rPr>
        <w:t>纸质</w:t>
      </w:r>
      <w:r>
        <w:rPr>
          <w:b/>
          <w:color w:val="auto"/>
          <w:sz w:val="24"/>
          <w:highlight w:val="none"/>
        </w:rPr>
        <w:t>正本封面格式</w:t>
      </w:r>
    </w:p>
    <w:p>
      <w:pPr>
        <w:pStyle w:val="5"/>
        <w:rPr>
          <w:rFonts w:ascii="Times New Roman" w:hAnsi="Times New Roman"/>
          <w:color w:val="auto"/>
          <w:highlight w:val="none"/>
        </w:rPr>
      </w:pPr>
    </w:p>
    <w:p>
      <w:pPr>
        <w:pStyle w:val="5"/>
        <w:rPr>
          <w:rFonts w:ascii="Times New Roman" w:hAnsi="Times New Roman"/>
          <w:color w:val="auto"/>
          <w:highlight w:val="none"/>
        </w:rPr>
      </w:pPr>
    </w:p>
    <w:p>
      <w:pPr>
        <w:jc w:val="center"/>
        <w:rPr>
          <w:color w:val="auto"/>
          <w:sz w:val="32"/>
          <w:szCs w:val="32"/>
          <w:highlight w:val="none"/>
        </w:rPr>
      </w:pPr>
      <w:bookmarkStart w:id="437" w:name="_Toc6298_WPSOffice_Level1"/>
      <w:bookmarkStart w:id="438" w:name="_Toc14990_WPSOffice_Level1"/>
      <w:bookmarkStart w:id="439" w:name="_Toc11775_WPSOffice_Level1"/>
      <w:bookmarkStart w:id="440" w:name="_Toc24886_WPSOffice_Level1"/>
      <w:r>
        <w:rPr>
          <w:color w:val="auto"/>
          <w:sz w:val="32"/>
          <w:szCs w:val="32"/>
          <w:highlight w:val="none"/>
          <w:u w:val="single"/>
        </w:rPr>
        <w:t>国家电网有限公司</w:t>
      </w:r>
      <w:r>
        <w:rPr>
          <w:color w:val="auto"/>
          <w:sz w:val="32"/>
          <w:szCs w:val="32"/>
          <w:highlight w:val="none"/>
          <w:u w:val="single"/>
        </w:rPr>
        <w:tab/>
      </w:r>
      <w:r>
        <w:rPr>
          <w:color w:val="auto"/>
          <w:sz w:val="32"/>
          <w:szCs w:val="32"/>
          <w:highlight w:val="none"/>
          <w:u w:val="single"/>
        </w:rPr>
        <w:tab/>
      </w:r>
      <w:r>
        <w:rPr>
          <w:color w:val="auto"/>
          <w:sz w:val="32"/>
          <w:szCs w:val="32"/>
          <w:highlight w:val="none"/>
          <w:u w:val="single"/>
        </w:rPr>
        <w:tab/>
      </w:r>
      <w:r>
        <w:rPr>
          <w:color w:val="auto"/>
          <w:sz w:val="32"/>
          <w:szCs w:val="32"/>
          <w:highlight w:val="none"/>
        </w:rPr>
        <w:t>（批次项目名称）招标</w:t>
      </w:r>
      <w:bookmarkEnd w:id="437"/>
      <w:bookmarkEnd w:id="438"/>
      <w:bookmarkEnd w:id="439"/>
      <w:bookmarkEnd w:id="440"/>
    </w:p>
    <w:p>
      <w:pPr>
        <w:jc w:val="center"/>
        <w:rPr>
          <w:color w:val="auto"/>
          <w:sz w:val="32"/>
          <w:szCs w:val="32"/>
          <w:highlight w:val="none"/>
        </w:rPr>
      </w:pPr>
      <w:bookmarkStart w:id="441" w:name="_Toc27212_WPSOffice_Level1"/>
      <w:bookmarkStart w:id="442" w:name="_Toc3839_WPSOffice_Level1"/>
      <w:bookmarkStart w:id="443" w:name="_Toc305_WPSOffice_Level1"/>
      <w:bookmarkStart w:id="444" w:name="_Toc18889_WPSOffice_Level1"/>
      <w:r>
        <w:rPr>
          <w:color w:val="auto"/>
          <w:sz w:val="32"/>
          <w:szCs w:val="32"/>
          <w:highlight w:val="none"/>
        </w:rPr>
        <w:t>（招标编号：0711-                  ）</w:t>
      </w:r>
      <w:bookmarkEnd w:id="441"/>
      <w:bookmarkEnd w:id="442"/>
      <w:bookmarkEnd w:id="443"/>
      <w:bookmarkEnd w:id="444"/>
    </w:p>
    <w:p>
      <w:pPr>
        <w:rPr>
          <w:color w:val="auto"/>
          <w:highlight w:val="none"/>
        </w:rPr>
      </w:pPr>
    </w:p>
    <w:p>
      <w:pPr>
        <w:rPr>
          <w:color w:val="auto"/>
          <w:highlight w:val="none"/>
        </w:rPr>
      </w:pPr>
    </w:p>
    <w:p>
      <w:pPr>
        <w:rPr>
          <w:color w:val="auto"/>
          <w:highlight w:val="none"/>
        </w:rPr>
      </w:pPr>
    </w:p>
    <w:p>
      <w:pPr>
        <w:pStyle w:val="5"/>
        <w:rPr>
          <w:rFonts w:ascii="Times New Roman" w:hAnsi="Times New Roman"/>
          <w:color w:val="auto"/>
          <w:highlight w:val="none"/>
        </w:rPr>
      </w:pPr>
    </w:p>
    <w:p>
      <w:pPr>
        <w:jc w:val="center"/>
        <w:rPr>
          <w:rFonts w:eastAsia="方正小标宋_GBK"/>
          <w:i/>
          <w:color w:val="auto"/>
          <w:sz w:val="32"/>
          <w:highlight w:val="none"/>
          <w:u w:val="single"/>
        </w:rPr>
      </w:pPr>
      <w:bookmarkStart w:id="445" w:name="_Toc27465_WPSOffice_Level1"/>
      <w:bookmarkStart w:id="446" w:name="_Toc26345_WPSOffice_Level1"/>
      <w:bookmarkStart w:id="447" w:name="_Toc28874_WPSOffice_Level1"/>
      <w:bookmarkStart w:id="448" w:name="_Toc24370_WPSOffice_Level1"/>
      <w:r>
        <w:rPr>
          <w:rFonts w:eastAsia="方正小标宋_GBK"/>
          <w:i/>
          <w:color w:val="auto"/>
          <w:sz w:val="32"/>
          <w:highlight w:val="none"/>
          <w:u w:val="single"/>
        </w:rPr>
        <w:t>开标文件正本/报价文件正本/商务文件正本/技术文件正本…</w:t>
      </w:r>
      <w:bookmarkEnd w:id="445"/>
      <w:bookmarkEnd w:id="446"/>
      <w:bookmarkEnd w:id="447"/>
      <w:bookmarkEnd w:id="448"/>
    </w:p>
    <w:p>
      <w:pPr>
        <w:jc w:val="center"/>
        <w:rPr>
          <w:rFonts w:eastAsia="方正小标宋_GBK"/>
          <w:color w:val="auto"/>
          <w:sz w:val="32"/>
          <w:highlight w:val="none"/>
        </w:rPr>
      </w:pPr>
    </w:p>
    <w:p>
      <w:pPr>
        <w:jc w:val="center"/>
        <w:rPr>
          <w:rFonts w:eastAsia="方正小标宋_GBK"/>
          <w:color w:val="auto"/>
          <w:sz w:val="32"/>
          <w:highlight w:val="none"/>
        </w:rPr>
      </w:pPr>
      <w:bookmarkStart w:id="449" w:name="_Toc27554_WPSOffice_Level1"/>
      <w:bookmarkStart w:id="450" w:name="_Toc29326_WPSOffice_Level1"/>
      <w:bookmarkStart w:id="451" w:name="_Toc30417_WPSOffice_Level1"/>
      <w:bookmarkStart w:id="452" w:name="_Toc15759_WPSOffice_Level1"/>
      <w:r>
        <w:rPr>
          <w:rFonts w:eastAsia="方正小标宋_GBK"/>
          <w:color w:val="auto"/>
          <w:sz w:val="32"/>
          <w:highlight w:val="none"/>
        </w:rPr>
        <w:t>（分标名称： ）</w:t>
      </w:r>
      <w:bookmarkEnd w:id="449"/>
      <w:bookmarkEnd w:id="450"/>
      <w:bookmarkEnd w:id="451"/>
      <w:bookmarkEnd w:id="452"/>
    </w:p>
    <w:p>
      <w:pPr>
        <w:jc w:val="center"/>
        <w:rPr>
          <w:rFonts w:eastAsia="方正小标宋_GBK"/>
          <w:color w:val="auto"/>
          <w:sz w:val="32"/>
          <w:highlight w:val="none"/>
        </w:rPr>
      </w:pPr>
      <w:bookmarkStart w:id="453" w:name="_Toc1210_WPSOffice_Level1"/>
      <w:bookmarkStart w:id="454" w:name="_Toc13177_WPSOffice_Level1"/>
      <w:bookmarkStart w:id="455" w:name="_Toc12260_WPSOffice_Level1"/>
      <w:bookmarkStart w:id="456" w:name="_Toc31746_WPSOffice_Level1"/>
      <w:r>
        <w:rPr>
          <w:rFonts w:eastAsia="方正小标宋_GBK"/>
          <w:color w:val="auto"/>
          <w:sz w:val="32"/>
          <w:highlight w:val="none"/>
        </w:rPr>
        <w:t>（包号： ）</w:t>
      </w:r>
      <w:bookmarkEnd w:id="453"/>
      <w:bookmarkEnd w:id="454"/>
      <w:bookmarkEnd w:id="455"/>
      <w:bookmarkEnd w:id="456"/>
    </w:p>
    <w:p>
      <w:pPr>
        <w:jc w:val="center"/>
        <w:rPr>
          <w:rFonts w:eastAsia="方正小标宋_GBK"/>
          <w:color w:val="auto"/>
          <w:sz w:val="32"/>
          <w:highlight w:val="none"/>
        </w:rPr>
      </w:pPr>
    </w:p>
    <w:p>
      <w:pPr>
        <w:jc w:val="center"/>
        <w:rPr>
          <w:rFonts w:eastAsia="方正小标宋_GBK"/>
          <w:color w:val="auto"/>
          <w:sz w:val="32"/>
          <w:highlight w:val="none"/>
        </w:rPr>
      </w:pPr>
    </w:p>
    <w:p>
      <w:pPr>
        <w:jc w:val="center"/>
        <w:rPr>
          <w:rFonts w:eastAsia="方正小标宋_GBK"/>
          <w:color w:val="auto"/>
          <w:sz w:val="32"/>
          <w:highlight w:val="none"/>
        </w:rPr>
      </w:pPr>
      <w:bookmarkStart w:id="457" w:name="_Toc18371_WPSOffice_Level1"/>
      <w:bookmarkStart w:id="458" w:name="_Toc20735_WPSOffice_Level1"/>
      <w:bookmarkStart w:id="459" w:name="_Toc16887_WPSOffice_Level1"/>
      <w:bookmarkStart w:id="460" w:name="_Toc27070_WPSOffice_Level1"/>
      <w:r>
        <w:rPr>
          <w:rFonts w:eastAsia="方正小标宋_GBK"/>
          <w:color w:val="auto"/>
          <w:sz w:val="32"/>
          <w:highlight w:val="none"/>
        </w:rPr>
        <w:t>本文件共 册，此为第 册</w:t>
      </w:r>
      <w:bookmarkEnd w:id="457"/>
      <w:bookmarkEnd w:id="458"/>
      <w:bookmarkEnd w:id="459"/>
      <w:bookmarkEnd w:id="460"/>
    </w:p>
    <w:p>
      <w:pPr>
        <w:jc w:val="center"/>
        <w:rPr>
          <w:color w:val="auto"/>
          <w:highlight w:val="none"/>
        </w:rPr>
      </w:pPr>
    </w:p>
    <w:p>
      <w:pPr>
        <w:rPr>
          <w:color w:val="auto"/>
          <w:highlight w:val="none"/>
        </w:rPr>
      </w:pPr>
    </w:p>
    <w:p>
      <w:pPr>
        <w:rPr>
          <w:color w:val="auto"/>
          <w:highlight w:val="none"/>
        </w:rPr>
      </w:pPr>
    </w:p>
    <w:p>
      <w:pPr>
        <w:rPr>
          <w:color w:val="auto"/>
          <w:highlight w:val="none"/>
        </w:rPr>
      </w:pPr>
    </w:p>
    <w:p>
      <w:pPr>
        <w:jc w:val="center"/>
        <w:rPr>
          <w:color w:val="auto"/>
          <w:highlight w:val="none"/>
        </w:rPr>
      </w:pPr>
    </w:p>
    <w:p>
      <w:pPr>
        <w:jc w:val="center"/>
        <w:rPr>
          <w:color w:val="auto"/>
          <w:highlight w:val="none"/>
        </w:rPr>
      </w:pPr>
      <w:r>
        <w:rPr>
          <w:color w:val="auto"/>
          <w:highlight w:val="none"/>
        </w:rPr>
        <w:t>投标人：（盖单位公章）</w:t>
      </w:r>
    </w:p>
    <w:p>
      <w:pPr>
        <w:jc w:val="center"/>
        <w:rPr>
          <w:color w:val="auto"/>
          <w:highlight w:val="none"/>
        </w:rPr>
      </w:pPr>
    </w:p>
    <w:p>
      <w:pPr>
        <w:jc w:val="center"/>
        <w:rPr>
          <w:color w:val="auto"/>
          <w:highlight w:val="none"/>
        </w:rPr>
      </w:pPr>
      <w:r>
        <w:rPr>
          <w:color w:val="auto"/>
          <w:highlight w:val="none"/>
        </w:rPr>
        <w:t>地址：</w:t>
      </w:r>
    </w:p>
    <w:p>
      <w:pPr>
        <w:jc w:val="center"/>
        <w:rPr>
          <w:color w:val="auto"/>
          <w:sz w:val="18"/>
          <w:highlight w:val="none"/>
        </w:rPr>
      </w:pPr>
    </w:p>
    <w:p>
      <w:pPr>
        <w:jc w:val="center"/>
        <w:rPr>
          <w:color w:val="auto"/>
          <w:highlight w:val="none"/>
        </w:rPr>
      </w:pPr>
      <w:r>
        <w:rPr>
          <w:color w:val="auto"/>
          <w:highlight w:val="none"/>
        </w:rPr>
        <w:t>联系人：</w:t>
      </w:r>
    </w:p>
    <w:p>
      <w:pPr>
        <w:jc w:val="center"/>
        <w:rPr>
          <w:color w:val="auto"/>
          <w:highlight w:val="none"/>
        </w:rPr>
      </w:pPr>
    </w:p>
    <w:p>
      <w:pPr>
        <w:jc w:val="center"/>
        <w:rPr>
          <w:color w:val="auto"/>
          <w:highlight w:val="none"/>
        </w:rPr>
      </w:pPr>
      <w:r>
        <w:rPr>
          <w:color w:val="auto"/>
          <w:highlight w:val="none"/>
        </w:rPr>
        <w:t>联系方式：</w:t>
      </w:r>
    </w:p>
    <w:p>
      <w:pPr>
        <w:jc w:val="center"/>
        <w:rPr>
          <w:color w:val="auto"/>
          <w:highlight w:val="none"/>
        </w:rPr>
      </w:pPr>
    </w:p>
    <w:p>
      <w:pPr>
        <w:jc w:val="center"/>
        <w:rPr>
          <w:color w:val="auto"/>
          <w:highlight w:val="none"/>
        </w:rPr>
      </w:pPr>
      <w:r>
        <w:rPr>
          <w:color w:val="auto"/>
          <w:highlight w:val="none"/>
        </w:rPr>
        <w:t>年 月 日</w:t>
      </w:r>
    </w:p>
    <w:p>
      <w:pPr>
        <w:widowControl/>
        <w:ind w:left="0" w:firstLineChars="0"/>
        <w:jc w:val="center"/>
        <w:rPr>
          <w:rFonts w:hint="eastAsia" w:ascii="Times New Roman" w:hAnsi="Times New Roman"/>
          <w:b/>
          <w:color w:val="auto"/>
          <w:sz w:val="24"/>
          <w:highlight w:val="none"/>
          <w:lang w:eastAsia="zh-CN"/>
        </w:rPr>
        <w:sectPr>
          <w:pgSz w:w="11906" w:h="16838"/>
          <w:pgMar w:top="1440" w:right="1800" w:bottom="1440" w:left="1800" w:header="851" w:footer="992" w:gutter="0"/>
          <w:cols w:space="425" w:num="1"/>
          <w:docGrid w:type="lines" w:linePitch="312" w:charSpace="0"/>
        </w:sectPr>
      </w:pPr>
    </w:p>
    <w:p>
      <w:pPr>
        <w:pStyle w:val="52"/>
        <w:widowControl/>
        <w:numPr>
          <w:ilvl w:val="0"/>
          <w:numId w:val="0"/>
        </w:numPr>
        <w:ind w:left="0" w:firstLine="0" w:firstLineChars="0"/>
        <w:jc w:val="left"/>
        <w:rPr>
          <w:rFonts w:hint="eastAsia" w:ascii="Times New Roman" w:hAnsi="Times New Roman"/>
          <w:b/>
          <w:color w:val="auto"/>
          <w:sz w:val="24"/>
          <w:highlight w:val="none"/>
          <w:lang w:val="en-US" w:eastAsia="zh-CN"/>
        </w:rPr>
      </w:pPr>
      <w:r>
        <w:rPr>
          <w:rFonts w:hint="eastAsia" w:ascii="Times New Roman" w:hAnsi="Times New Roman"/>
          <w:b/>
          <w:color w:val="auto"/>
          <w:sz w:val="24"/>
          <w:highlight w:val="none"/>
          <w:lang w:eastAsia="zh-CN"/>
        </w:rPr>
        <w:t>（</w:t>
      </w:r>
      <w:r>
        <w:rPr>
          <w:rFonts w:hint="eastAsia" w:ascii="Times New Roman" w:hAnsi="Times New Roman"/>
          <w:b/>
          <w:color w:val="auto"/>
          <w:sz w:val="24"/>
          <w:highlight w:val="none"/>
          <w:lang w:val="en-US" w:eastAsia="zh-CN"/>
        </w:rPr>
        <w:t>二</w:t>
      </w:r>
      <w:r>
        <w:rPr>
          <w:rFonts w:hint="eastAsia" w:ascii="Times New Roman" w:hAnsi="Times New Roman"/>
          <w:b/>
          <w:color w:val="auto"/>
          <w:sz w:val="24"/>
          <w:highlight w:val="none"/>
          <w:lang w:eastAsia="zh-CN"/>
        </w:rPr>
        <w:t>）</w:t>
      </w:r>
      <w:r>
        <w:rPr>
          <w:rFonts w:hint="eastAsia" w:ascii="Times New Roman" w:hAnsi="Times New Roman"/>
          <w:b/>
          <w:color w:val="auto"/>
          <w:sz w:val="24"/>
          <w:highlight w:val="none"/>
          <w:lang w:val="en-US" w:eastAsia="zh-CN"/>
        </w:rPr>
        <w:t>邮寄清单</w:t>
      </w:r>
    </w:p>
    <w:tbl>
      <w:tblPr>
        <w:tblStyle w:val="19"/>
        <w:tblW w:w="133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1"/>
        <w:gridCol w:w="1656"/>
        <w:gridCol w:w="1496"/>
        <w:gridCol w:w="731"/>
        <w:gridCol w:w="1518"/>
        <w:gridCol w:w="1988"/>
        <w:gridCol w:w="2637"/>
        <w:gridCol w:w="769"/>
        <w:gridCol w:w="19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3344" w:type="dxa"/>
            <w:gridSpan w:val="9"/>
            <w:tcBorders>
              <w:top w:val="nil"/>
              <w:left w:val="nil"/>
              <w:bottom w:val="nil"/>
              <w:right w:val="nil"/>
            </w:tcBorders>
            <w:noWrap w:val="0"/>
            <w:vAlign w:val="center"/>
          </w:tcPr>
          <w:p>
            <w:pPr>
              <w:keepNext w:val="0"/>
              <w:keepLines w:val="0"/>
              <w:widowControl/>
              <w:suppressLineNumbers w:val="0"/>
              <w:jc w:val="center"/>
              <w:textAlignment w:val="center"/>
              <w:rPr>
                <w:rFonts w:ascii="仿宋_GB2312" w:hAnsi="宋体" w:eastAsia="仿宋_GB2312" w:cs="仿宋_GB2312"/>
                <w:b/>
                <w:bCs/>
                <w:i w:val="0"/>
                <w:iCs w:val="0"/>
                <w:color w:val="auto"/>
                <w:sz w:val="32"/>
                <w:szCs w:val="32"/>
                <w:highlight w:val="none"/>
                <w:u w:val="none"/>
              </w:rPr>
            </w:pPr>
            <w:r>
              <w:rPr>
                <w:rFonts w:hint="eastAsia" w:ascii="仿宋_GB2312" w:hAnsi="宋体" w:eastAsia="仿宋_GB2312" w:cs="仿宋_GB2312"/>
                <w:b/>
                <w:bCs/>
                <w:i w:val="0"/>
                <w:iCs w:val="0"/>
                <w:color w:val="auto"/>
                <w:kern w:val="0"/>
                <w:sz w:val="32"/>
                <w:szCs w:val="32"/>
                <w:highlight w:val="none"/>
                <w:u w:val="none"/>
                <w:lang w:val="en-US" w:eastAsia="zh-CN" w:bidi="ar"/>
              </w:rPr>
              <w:t>国家电网有限公司20XX年第XX批采购（特高压项目第X次服务招标采购）-邮寄清单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64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序号</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招标编号</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分标编号</w:t>
            </w:r>
          </w:p>
        </w:tc>
        <w:tc>
          <w:tcPr>
            <w:tcW w:w="75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包号</w:t>
            </w:r>
          </w:p>
        </w:tc>
        <w:tc>
          <w:tcPr>
            <w:tcW w:w="160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分标名称</w:t>
            </w:r>
          </w:p>
        </w:tc>
        <w:tc>
          <w:tcPr>
            <w:tcW w:w="2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文件题名</w:t>
            </w:r>
          </w:p>
        </w:tc>
        <w:tc>
          <w:tcPr>
            <w:tcW w:w="283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中标人</w:t>
            </w:r>
          </w:p>
        </w:tc>
        <w:tc>
          <w:tcPr>
            <w:tcW w:w="79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页数</w:t>
            </w:r>
          </w:p>
        </w:tc>
        <w:tc>
          <w:tcPr>
            <w:tcW w:w="201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成文日期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1</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开标文件</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报价文件</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3</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商务文件</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4</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技术文件（第一册）</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5</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技术文件（第二册）</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20230829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6</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技术文件（第三册）</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bl>
    <w:p>
      <w:pPr>
        <w:pStyle w:val="18"/>
        <w:rPr>
          <w:rFonts w:hint="default"/>
          <w:color w:val="auto"/>
          <w:highlight w:val="none"/>
          <w:lang w:val="en-US" w:eastAsia="zh-CN"/>
        </w:rPr>
      </w:pPr>
    </w:p>
    <w:p>
      <w:pPr>
        <w:rPr>
          <w:rFonts w:hint="default"/>
          <w:color w:val="auto"/>
          <w:highlight w:val="none"/>
          <w:lang w:val="en-US" w:eastAsia="zh-CN"/>
        </w:rPr>
      </w:pPr>
    </w:p>
    <w:p>
      <w:pPr>
        <w:pStyle w:val="18"/>
        <w:rPr>
          <w:rFonts w:hint="default"/>
          <w:color w:val="auto"/>
          <w:highlight w:val="none"/>
          <w:lang w:val="en-US" w:eastAsia="zh-CN"/>
        </w:rPr>
      </w:pPr>
    </w:p>
    <w:p>
      <w:pPr>
        <w:topLinePunct/>
        <w:spacing w:line="400" w:lineRule="exact"/>
        <w:ind w:firstLine="420" w:firstLineChars="200"/>
        <w:jc w:val="center"/>
        <w:outlineLvl w:val="0"/>
        <w:rPr>
          <w:color w:val="auto"/>
          <w:highlight w:val="none"/>
        </w:rPr>
      </w:pPr>
    </w:p>
    <w:sectPr>
      <w:footerReference r:id="rId13" w:type="default"/>
      <w:pgSz w:w="16838" w:h="11906" w:orient="landscape"/>
      <w:pgMar w:top="1440" w:right="1440" w:bottom="1440" w:left="1440" w:header="851" w:footer="992" w:gutter="0"/>
      <w:pgNumType w:start="93"/>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方正仿宋_GBK">
    <w:panose1 w:val="03000509000000000000"/>
    <w:charset w:val="86"/>
    <w:family w:val="script"/>
    <w:pitch w:val="default"/>
    <w:sig w:usb0="00000001" w:usb1="080E0000" w:usb2="00000000" w:usb3="00000000" w:csb0="00040000" w:csb1="00000000"/>
  </w:font>
  <w:font w:name="EU-F1">
    <w:altName w:val="宋体"/>
    <w:panose1 w:val="00000000000000000000"/>
    <w:charset w:val="86"/>
    <w:family w:val="script"/>
    <w:pitch w:val="default"/>
    <w:sig w:usb0="00000000" w:usb1="00000000" w:usb2="00000010" w:usb3="00000000" w:csb0="00040001" w:csb1="00000000"/>
  </w:font>
  <w:font w:name="方正小标宋_GBK">
    <w:panose1 w:val="03000509000000000000"/>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 PAGE   \* MERGEFORMAT </w:instrText>
    </w:r>
    <w:r>
      <w:fldChar w:fldCharType="separate"/>
    </w:r>
    <w:r>
      <w:t>97</w:t>
    </w:r>
    <w:r>
      <w:fldChar w:fldCharType="end"/>
    </w:r>
  </w:p>
  <w:p>
    <w:pPr>
      <w:pStyle w:val="8"/>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 PAGE   \* MERGEFORMAT </w:instrText>
    </w:r>
    <w:r>
      <w:fldChar w:fldCharType="separate"/>
    </w:r>
    <w:r>
      <w:t>97</w:t>
    </w:r>
    <w:r>
      <w:fldChar w:fldCharType="end"/>
    </w:r>
  </w:p>
  <w:p>
    <w:pPr>
      <w:pStyle w:val="8"/>
      <w:spacing w:line="14" w:lineRule="auto"/>
      <w:ind w:firstLine="240"/>
      <w:rPr>
        <w:sz w:val="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3"/>
                            <w:jc w:val="center"/>
                          </w:pPr>
                          <w:r>
                            <w:fldChar w:fldCharType="begin"/>
                          </w:r>
                          <w:r>
                            <w:instrText xml:space="preserve">PAGE   \* MERGEFORMAT</w:instrText>
                          </w:r>
                          <w:r>
                            <w:fldChar w:fldCharType="separate"/>
                          </w:r>
                          <w:r>
                            <w:rPr>
                              <w:lang w:val="zh-CN"/>
                            </w:rPr>
                            <w:t>104</w:t>
                          </w:r>
                          <w:r>
                            <w:rPr>
                              <w:lang w:val="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13"/>
                      <w:jc w:val="center"/>
                    </w:pPr>
                    <w:r>
                      <w:fldChar w:fldCharType="begin"/>
                    </w:r>
                    <w:r>
                      <w:instrText xml:space="preserve">PAGE   \* MERGEFORMAT</w:instrText>
                    </w:r>
                    <w:r>
                      <w:fldChar w:fldCharType="separate"/>
                    </w:r>
                    <w:r>
                      <w:rPr>
                        <w:lang w:val="zh-CN"/>
                      </w:rPr>
                      <w:t>104</w:t>
                    </w:r>
                    <w:r>
                      <w:rPr>
                        <w:lang w:val="zh-CN"/>
                      </w:rPr>
                      <w:fldChar w:fldCharType="end"/>
                    </w:r>
                  </w:p>
                </w:txbxContent>
              </v:textbox>
            </v:shape>
          </w:pict>
        </mc:Fallback>
      </mc:AlternateContent>
    </w:r>
  </w:p>
  <w:p>
    <w:pPr>
      <w:pStyle w:val="13"/>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fldChar w:fldCharType="begin"/>
    </w:r>
    <w:r>
      <w:rPr>
        <w:rStyle w:val="22"/>
      </w:rPr>
      <w:instrText xml:space="preserve"> PAGE </w:instrText>
    </w:r>
    <w:r>
      <w:fldChar w:fldCharType="separate"/>
    </w:r>
    <w:r>
      <w:rPr>
        <w:rStyle w:val="22"/>
      </w:rPr>
      <w:t>93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A9505B"/>
    <w:multiLevelType w:val="singleLevel"/>
    <w:tmpl w:val="C1A9505B"/>
    <w:lvl w:ilvl="0" w:tentative="0">
      <w:start w:val="1"/>
      <w:numFmt w:val="decimal"/>
      <w:lvlText w:val="%1."/>
      <w:lvlJc w:val="left"/>
      <w:pPr>
        <w:tabs>
          <w:tab w:val="left" w:pos="312"/>
        </w:tabs>
      </w:pPr>
    </w:lvl>
  </w:abstractNum>
  <w:abstractNum w:abstractNumId="1">
    <w:nsid w:val="C36A037C"/>
    <w:multiLevelType w:val="singleLevel"/>
    <w:tmpl w:val="C36A037C"/>
    <w:lvl w:ilvl="0" w:tentative="0">
      <w:start w:val="1"/>
      <w:numFmt w:val="decimal"/>
      <w:suff w:val="nothing"/>
      <w:lvlText w:val="（%1）"/>
      <w:lvlJc w:val="left"/>
    </w:lvl>
  </w:abstractNum>
  <w:abstractNum w:abstractNumId="2">
    <w:nsid w:val="C3FA6FAB"/>
    <w:multiLevelType w:val="singleLevel"/>
    <w:tmpl w:val="C3FA6FAB"/>
    <w:lvl w:ilvl="0" w:tentative="0">
      <w:start w:val="1"/>
      <w:numFmt w:val="decimal"/>
      <w:lvlText w:val="%1."/>
      <w:lvlJc w:val="left"/>
      <w:pPr>
        <w:tabs>
          <w:tab w:val="left" w:pos="312"/>
        </w:tabs>
      </w:pPr>
    </w:lvl>
  </w:abstractNum>
  <w:abstractNum w:abstractNumId="3">
    <w:nsid w:val="06F26D8E"/>
    <w:multiLevelType w:val="singleLevel"/>
    <w:tmpl w:val="06F26D8E"/>
    <w:lvl w:ilvl="0" w:tentative="0">
      <w:start w:val="9"/>
      <w:numFmt w:val="decimal"/>
      <w:lvlText w:val="%1."/>
      <w:lvlJc w:val="left"/>
      <w:pPr>
        <w:tabs>
          <w:tab w:val="left" w:pos="312"/>
        </w:tabs>
      </w:pPr>
    </w:lvl>
  </w:abstractNum>
  <w:abstractNum w:abstractNumId="4">
    <w:nsid w:val="0F281858"/>
    <w:multiLevelType w:val="singleLevel"/>
    <w:tmpl w:val="0F281858"/>
    <w:lvl w:ilvl="0" w:tentative="0">
      <w:start w:val="1"/>
      <w:numFmt w:val="decimal"/>
      <w:suff w:val="nothing"/>
      <w:lvlText w:val="（%1）"/>
      <w:lvlJc w:val="left"/>
    </w:lvl>
  </w:abstractNum>
  <w:abstractNum w:abstractNumId="5">
    <w:nsid w:val="10431027"/>
    <w:multiLevelType w:val="singleLevel"/>
    <w:tmpl w:val="10431027"/>
    <w:lvl w:ilvl="0" w:tentative="0">
      <w:start w:val="1"/>
      <w:numFmt w:val="decimal"/>
      <w:suff w:val="nothing"/>
      <w:lvlText w:val="（%1）"/>
      <w:lvlJc w:val="left"/>
    </w:lvl>
  </w:abstractNum>
  <w:abstractNum w:abstractNumId="6">
    <w:nsid w:val="15BE7395"/>
    <w:multiLevelType w:val="singleLevel"/>
    <w:tmpl w:val="15BE7395"/>
    <w:lvl w:ilvl="0" w:tentative="0">
      <w:start w:val="1"/>
      <w:numFmt w:val="chineseCounting"/>
      <w:suff w:val="nothing"/>
      <w:lvlText w:val="（%1）"/>
      <w:lvlJc w:val="left"/>
      <w:rPr>
        <w:rFonts w:hint="eastAsia"/>
      </w:rPr>
    </w:lvl>
  </w:abstractNum>
  <w:abstractNum w:abstractNumId="7">
    <w:nsid w:val="171B0104"/>
    <w:multiLevelType w:val="singleLevel"/>
    <w:tmpl w:val="171B0104"/>
    <w:lvl w:ilvl="0" w:tentative="0">
      <w:start w:val="1"/>
      <w:numFmt w:val="decimal"/>
      <w:suff w:val="nothing"/>
      <w:lvlText w:val="（%1）"/>
      <w:lvlJc w:val="left"/>
      <w:rPr>
        <w:b w:val="0"/>
      </w:rPr>
    </w:lvl>
  </w:abstractNum>
  <w:abstractNum w:abstractNumId="8">
    <w:nsid w:val="20C1400A"/>
    <w:multiLevelType w:val="singleLevel"/>
    <w:tmpl w:val="20C1400A"/>
    <w:lvl w:ilvl="0" w:tentative="0">
      <w:start w:val="1"/>
      <w:numFmt w:val="decimal"/>
      <w:suff w:val="nothing"/>
      <w:lvlText w:val="（%1）"/>
      <w:lvlJc w:val="left"/>
    </w:lvl>
  </w:abstractNum>
  <w:abstractNum w:abstractNumId="9">
    <w:nsid w:val="2A5B2036"/>
    <w:multiLevelType w:val="multilevel"/>
    <w:tmpl w:val="2A5B2036"/>
    <w:lvl w:ilvl="0" w:tentative="0">
      <w:start w:val="1"/>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DCC3EFD"/>
    <w:multiLevelType w:val="singleLevel"/>
    <w:tmpl w:val="4DCC3EFD"/>
    <w:lvl w:ilvl="0" w:tentative="0">
      <w:start w:val="1"/>
      <w:numFmt w:val="decimal"/>
      <w:suff w:val="nothing"/>
      <w:lvlText w:val="（%1）"/>
      <w:lvlJc w:val="left"/>
      <w:rPr>
        <w:b w:val="0"/>
      </w:rPr>
    </w:lvl>
  </w:abstractNum>
  <w:abstractNum w:abstractNumId="11">
    <w:nsid w:val="5AD6C91B"/>
    <w:multiLevelType w:val="singleLevel"/>
    <w:tmpl w:val="5AD6C91B"/>
    <w:lvl w:ilvl="0" w:tentative="0">
      <w:start w:val="1"/>
      <w:numFmt w:val="decimal"/>
      <w:lvlText w:val="%1."/>
      <w:lvlJc w:val="left"/>
      <w:pPr>
        <w:tabs>
          <w:tab w:val="left" w:pos="312"/>
        </w:tabs>
      </w:pPr>
    </w:lvl>
  </w:abstractNum>
  <w:abstractNum w:abstractNumId="12">
    <w:nsid w:val="65B5FFD9"/>
    <w:multiLevelType w:val="singleLevel"/>
    <w:tmpl w:val="65B5FFD9"/>
    <w:lvl w:ilvl="0" w:tentative="0">
      <w:start w:val="1"/>
      <w:numFmt w:val="chineseCounting"/>
      <w:suff w:val="nothing"/>
      <w:lvlText w:val="（%1）"/>
      <w:lvlJc w:val="left"/>
      <w:rPr>
        <w:rFonts w:hint="eastAsia"/>
      </w:rPr>
    </w:lvl>
  </w:abstractNum>
  <w:num w:numId="1">
    <w:abstractNumId w:val="12"/>
  </w:num>
  <w:num w:numId="2">
    <w:abstractNumId w:val="11"/>
  </w:num>
  <w:num w:numId="3">
    <w:abstractNumId w:val="9"/>
  </w:num>
  <w:num w:numId="4">
    <w:abstractNumId w:val="6"/>
  </w:num>
  <w:num w:numId="5">
    <w:abstractNumId w:val="3"/>
  </w:num>
  <w:num w:numId="6">
    <w:abstractNumId w:val="2"/>
  </w:num>
  <w:num w:numId="7">
    <w:abstractNumId w:val="0"/>
  </w:num>
  <w:num w:numId="8">
    <w:abstractNumId w:val="1"/>
  </w:num>
  <w:num w:numId="9">
    <w:abstractNumId w:val="4"/>
  </w:num>
  <w:num w:numId="10">
    <w:abstractNumId w:val="7"/>
  </w:num>
  <w:num w:numId="11">
    <w:abstractNumId w:val="10"/>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yNjAxOTI3NGRiYTg2OGUxZWU3ZmNiMzlmOTJmNGIifQ=="/>
  </w:docVars>
  <w:rsids>
    <w:rsidRoot w:val="00000000"/>
    <w:rsid w:val="00F637AF"/>
    <w:rsid w:val="012316AA"/>
    <w:rsid w:val="015E034F"/>
    <w:rsid w:val="02284155"/>
    <w:rsid w:val="024A0BB7"/>
    <w:rsid w:val="049F440D"/>
    <w:rsid w:val="04A732AF"/>
    <w:rsid w:val="06130E8D"/>
    <w:rsid w:val="061C51F1"/>
    <w:rsid w:val="06312DB5"/>
    <w:rsid w:val="06326ACE"/>
    <w:rsid w:val="072E3088"/>
    <w:rsid w:val="078A6411"/>
    <w:rsid w:val="079F5343"/>
    <w:rsid w:val="08884D3A"/>
    <w:rsid w:val="0934265E"/>
    <w:rsid w:val="0987217D"/>
    <w:rsid w:val="098B2B38"/>
    <w:rsid w:val="09E777E6"/>
    <w:rsid w:val="0A9569E3"/>
    <w:rsid w:val="0AC44E4A"/>
    <w:rsid w:val="0BCE56E5"/>
    <w:rsid w:val="0D685BAB"/>
    <w:rsid w:val="0DF567DA"/>
    <w:rsid w:val="0F3C7E1C"/>
    <w:rsid w:val="0F404EA7"/>
    <w:rsid w:val="106F7608"/>
    <w:rsid w:val="107255EE"/>
    <w:rsid w:val="108444A1"/>
    <w:rsid w:val="10F2465E"/>
    <w:rsid w:val="117C2CAF"/>
    <w:rsid w:val="1186408A"/>
    <w:rsid w:val="11945909"/>
    <w:rsid w:val="119C1B72"/>
    <w:rsid w:val="120C2A55"/>
    <w:rsid w:val="123E3304"/>
    <w:rsid w:val="12512E27"/>
    <w:rsid w:val="136B267B"/>
    <w:rsid w:val="14B867EA"/>
    <w:rsid w:val="14BB576D"/>
    <w:rsid w:val="14EA263A"/>
    <w:rsid w:val="14F858EF"/>
    <w:rsid w:val="1585244F"/>
    <w:rsid w:val="158E7EE6"/>
    <w:rsid w:val="165241DD"/>
    <w:rsid w:val="1697741D"/>
    <w:rsid w:val="17487240"/>
    <w:rsid w:val="177B6CC6"/>
    <w:rsid w:val="17E96DCA"/>
    <w:rsid w:val="17FE53F3"/>
    <w:rsid w:val="19676254"/>
    <w:rsid w:val="19FD274C"/>
    <w:rsid w:val="1B116149"/>
    <w:rsid w:val="1D645C92"/>
    <w:rsid w:val="1E4D2E9D"/>
    <w:rsid w:val="1E970038"/>
    <w:rsid w:val="1EBA4506"/>
    <w:rsid w:val="1ECA5539"/>
    <w:rsid w:val="1EF074F2"/>
    <w:rsid w:val="1F45125A"/>
    <w:rsid w:val="1FEA42F8"/>
    <w:rsid w:val="21B82FEF"/>
    <w:rsid w:val="22CA7B2E"/>
    <w:rsid w:val="24FE78B3"/>
    <w:rsid w:val="25D0124F"/>
    <w:rsid w:val="270E2B41"/>
    <w:rsid w:val="281B425C"/>
    <w:rsid w:val="28614721"/>
    <w:rsid w:val="28691DDD"/>
    <w:rsid w:val="28A63E40"/>
    <w:rsid w:val="28AC24C6"/>
    <w:rsid w:val="28EB582E"/>
    <w:rsid w:val="290D6676"/>
    <w:rsid w:val="2A7B22B9"/>
    <w:rsid w:val="2B1D46A3"/>
    <w:rsid w:val="2B1E62AD"/>
    <w:rsid w:val="2B64518F"/>
    <w:rsid w:val="2BAB2D86"/>
    <w:rsid w:val="2BC74CE2"/>
    <w:rsid w:val="2C267DB1"/>
    <w:rsid w:val="2D677AD7"/>
    <w:rsid w:val="2E4D4A65"/>
    <w:rsid w:val="2EA86E9B"/>
    <w:rsid w:val="2EF66767"/>
    <w:rsid w:val="2FB84BD7"/>
    <w:rsid w:val="31105529"/>
    <w:rsid w:val="31C3137C"/>
    <w:rsid w:val="31CD6840"/>
    <w:rsid w:val="31D2654B"/>
    <w:rsid w:val="31F13BFB"/>
    <w:rsid w:val="3213520B"/>
    <w:rsid w:val="325D0262"/>
    <w:rsid w:val="32E36943"/>
    <w:rsid w:val="33255361"/>
    <w:rsid w:val="333644F5"/>
    <w:rsid w:val="335F23E7"/>
    <w:rsid w:val="33B656F3"/>
    <w:rsid w:val="33EE35F9"/>
    <w:rsid w:val="33F53850"/>
    <w:rsid w:val="34CF50A1"/>
    <w:rsid w:val="350F0227"/>
    <w:rsid w:val="35C22314"/>
    <w:rsid w:val="365A479F"/>
    <w:rsid w:val="374A699E"/>
    <w:rsid w:val="381572E3"/>
    <w:rsid w:val="38547283"/>
    <w:rsid w:val="38A22FF6"/>
    <w:rsid w:val="38B22076"/>
    <w:rsid w:val="39203E44"/>
    <w:rsid w:val="39DC420F"/>
    <w:rsid w:val="39DD2C9B"/>
    <w:rsid w:val="39E41315"/>
    <w:rsid w:val="3C053EB1"/>
    <w:rsid w:val="3DBC5B6F"/>
    <w:rsid w:val="3E205F85"/>
    <w:rsid w:val="3E676AF4"/>
    <w:rsid w:val="3EAA4323"/>
    <w:rsid w:val="402B2AD5"/>
    <w:rsid w:val="404F16A5"/>
    <w:rsid w:val="408B6D3F"/>
    <w:rsid w:val="41F70A97"/>
    <w:rsid w:val="43E76BB7"/>
    <w:rsid w:val="445F7FB9"/>
    <w:rsid w:val="446F27D2"/>
    <w:rsid w:val="45C92897"/>
    <w:rsid w:val="45D761D9"/>
    <w:rsid w:val="45DF2362"/>
    <w:rsid w:val="46E0234B"/>
    <w:rsid w:val="46EB3D86"/>
    <w:rsid w:val="47AB7646"/>
    <w:rsid w:val="49257A72"/>
    <w:rsid w:val="499157CA"/>
    <w:rsid w:val="4A2611C8"/>
    <w:rsid w:val="4A60720C"/>
    <w:rsid w:val="4A72192E"/>
    <w:rsid w:val="4B0729A6"/>
    <w:rsid w:val="4B0D3A95"/>
    <w:rsid w:val="4D4E2860"/>
    <w:rsid w:val="4EA17C8F"/>
    <w:rsid w:val="4F0242F9"/>
    <w:rsid w:val="4FA60895"/>
    <w:rsid w:val="4FB46852"/>
    <w:rsid w:val="4FFA1643"/>
    <w:rsid w:val="50282E2E"/>
    <w:rsid w:val="50812723"/>
    <w:rsid w:val="51F37EF0"/>
    <w:rsid w:val="539C2458"/>
    <w:rsid w:val="56B52300"/>
    <w:rsid w:val="577B5E13"/>
    <w:rsid w:val="58421BF7"/>
    <w:rsid w:val="5AC86023"/>
    <w:rsid w:val="5BD81B13"/>
    <w:rsid w:val="5C576DC9"/>
    <w:rsid w:val="5C610D23"/>
    <w:rsid w:val="5D501EF0"/>
    <w:rsid w:val="5E0A7CC0"/>
    <w:rsid w:val="5E224BBC"/>
    <w:rsid w:val="5E440946"/>
    <w:rsid w:val="5E961B80"/>
    <w:rsid w:val="5EDC671D"/>
    <w:rsid w:val="5F720B82"/>
    <w:rsid w:val="5F80653E"/>
    <w:rsid w:val="5F9E4C82"/>
    <w:rsid w:val="5FB17F66"/>
    <w:rsid w:val="5FCE5F4B"/>
    <w:rsid w:val="60523787"/>
    <w:rsid w:val="612C0FE2"/>
    <w:rsid w:val="6157306D"/>
    <w:rsid w:val="620F6334"/>
    <w:rsid w:val="62101A64"/>
    <w:rsid w:val="622A67A5"/>
    <w:rsid w:val="622C4CB4"/>
    <w:rsid w:val="62D607B4"/>
    <w:rsid w:val="62FB1CA5"/>
    <w:rsid w:val="62FD6475"/>
    <w:rsid w:val="6381640E"/>
    <w:rsid w:val="64371EBE"/>
    <w:rsid w:val="64B31ABE"/>
    <w:rsid w:val="64E53367"/>
    <w:rsid w:val="66F44826"/>
    <w:rsid w:val="6764040A"/>
    <w:rsid w:val="679D2584"/>
    <w:rsid w:val="67C37577"/>
    <w:rsid w:val="68F27EBC"/>
    <w:rsid w:val="6A426762"/>
    <w:rsid w:val="6AE97553"/>
    <w:rsid w:val="6B957D8C"/>
    <w:rsid w:val="6BF85725"/>
    <w:rsid w:val="6C130BDB"/>
    <w:rsid w:val="6E740745"/>
    <w:rsid w:val="715737BA"/>
    <w:rsid w:val="71BB4720"/>
    <w:rsid w:val="723920F5"/>
    <w:rsid w:val="73F423CB"/>
    <w:rsid w:val="749B605C"/>
    <w:rsid w:val="75796109"/>
    <w:rsid w:val="75F50ED3"/>
    <w:rsid w:val="764E2EA5"/>
    <w:rsid w:val="767E447E"/>
    <w:rsid w:val="76A750D1"/>
    <w:rsid w:val="796B26D5"/>
    <w:rsid w:val="7B6C638A"/>
    <w:rsid w:val="7C4320D0"/>
    <w:rsid w:val="7DDC070D"/>
    <w:rsid w:val="7DE90A0F"/>
    <w:rsid w:val="7EE71D77"/>
    <w:rsid w:val="7F5B348C"/>
    <w:rsid w:val="7F8B714F"/>
    <w:rsid w:val="7F957235"/>
    <w:rsid w:val="7FAD6DA6"/>
    <w:rsid w:val="DF272E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iPriority="39"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5">
    <w:name w:val="Normal Indent"/>
    <w:basedOn w:val="1"/>
    <w:next w:val="1"/>
    <w:qFormat/>
    <w:uiPriority w:val="0"/>
    <w:pPr>
      <w:ind w:firstLine="420"/>
    </w:pPr>
    <w:rPr>
      <w:rFonts w:ascii="Times New Roman" w:hAnsi="Times New Roman"/>
    </w:rPr>
  </w:style>
  <w:style w:type="paragraph" w:styleId="6">
    <w:name w:val="Document Map"/>
    <w:basedOn w:val="1"/>
    <w:unhideWhenUsed/>
    <w:qFormat/>
    <w:uiPriority w:val="0"/>
    <w:rPr>
      <w:rFonts w:ascii="Microsoft YaHei UI" w:eastAsia="Microsoft YaHei UI"/>
      <w:sz w:val="18"/>
      <w:szCs w:val="18"/>
    </w:rPr>
  </w:style>
  <w:style w:type="paragraph" w:styleId="7">
    <w:name w:val="annotation text"/>
    <w:basedOn w:val="1"/>
    <w:qFormat/>
    <w:uiPriority w:val="0"/>
    <w:pPr>
      <w:jc w:val="left"/>
    </w:pPr>
  </w:style>
  <w:style w:type="paragraph" w:styleId="8">
    <w:name w:val="Body Text"/>
    <w:basedOn w:val="1"/>
    <w:next w:val="1"/>
    <w:qFormat/>
    <w:uiPriority w:val="0"/>
    <w:pPr>
      <w:spacing w:after="120"/>
    </w:pPr>
  </w:style>
  <w:style w:type="paragraph" w:styleId="9">
    <w:name w:val="Body Text Indent"/>
    <w:basedOn w:val="1"/>
    <w:next w:val="10"/>
    <w:unhideWhenUsed/>
    <w:qFormat/>
    <w:uiPriority w:val="0"/>
    <w:pPr>
      <w:spacing w:after="120"/>
      <w:ind w:left="420" w:leftChars="200"/>
    </w:pPr>
  </w:style>
  <w:style w:type="paragraph" w:styleId="10">
    <w:name w:val="envelope return"/>
    <w:basedOn w:val="1"/>
    <w:qFormat/>
    <w:uiPriority w:val="99"/>
    <w:pPr>
      <w:snapToGrid w:val="0"/>
    </w:pPr>
    <w:rPr>
      <w:rFonts w:ascii="Arial" w:hAnsi="Arial" w:cs="Arial"/>
      <w:szCs w:val="24"/>
    </w:rPr>
  </w:style>
  <w:style w:type="paragraph" w:styleId="11">
    <w:name w:val="toc 5"/>
    <w:basedOn w:val="1"/>
    <w:next w:val="1"/>
    <w:unhideWhenUsed/>
    <w:qFormat/>
    <w:uiPriority w:val="39"/>
    <w:pPr>
      <w:ind w:left="1680" w:leftChars="800"/>
    </w:pPr>
    <w:rPr>
      <w:rFonts w:asciiTheme="minorHAnsi" w:hAnsiTheme="minorHAnsi" w:eastAsiaTheme="minorEastAsia" w:cstheme="minorBidi"/>
    </w:rPr>
  </w:style>
  <w:style w:type="paragraph" w:styleId="12">
    <w:name w:val="Plain Text"/>
    <w:basedOn w:val="1"/>
    <w:qFormat/>
    <w:uiPriority w:val="0"/>
    <w:rPr>
      <w:rFonts w:ascii="宋体" w:hAnsi="Courier New" w:cs="Courier New"/>
      <w:szCs w:val="21"/>
    </w:rPr>
  </w:style>
  <w:style w:type="paragraph" w:styleId="13">
    <w:name w:val="footer"/>
    <w:basedOn w:val="1"/>
    <w:unhideWhenUsed/>
    <w:qFormat/>
    <w:uiPriority w:val="99"/>
    <w:pPr>
      <w:tabs>
        <w:tab w:val="center" w:pos="4153"/>
        <w:tab w:val="right" w:pos="8306"/>
      </w:tabs>
      <w:snapToGrid w:val="0"/>
      <w:jc w:val="left"/>
    </w:pPr>
    <w:rPr>
      <w:sz w:val="18"/>
      <w:szCs w:val="18"/>
    </w:rPr>
  </w:style>
  <w:style w:type="paragraph" w:styleId="14">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List"/>
    <w:basedOn w:val="1"/>
    <w:qFormat/>
    <w:uiPriority w:val="0"/>
    <w:pPr>
      <w:ind w:left="200" w:hanging="200" w:hangingChars="200"/>
      <w:contextualSpacing/>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7">
    <w:name w:val="Body Text First Indent 2"/>
    <w:basedOn w:val="9"/>
    <w:next w:val="18"/>
    <w:qFormat/>
    <w:uiPriority w:val="0"/>
    <w:pPr>
      <w:ind w:firstLine="420"/>
    </w:pPr>
  </w:style>
  <w:style w:type="paragraph" w:customStyle="1" w:styleId="18">
    <w:name w:val="表格文字"/>
    <w:basedOn w:val="15"/>
    <w:next w:val="1"/>
    <w:qFormat/>
    <w:uiPriority w:val="0"/>
    <w:pPr>
      <w:ind w:firstLine="0" w:firstLineChars="0"/>
      <w:jc w:val="center"/>
    </w:pPr>
    <w:rPr>
      <w:szCs w:val="20"/>
    </w:rPr>
  </w:style>
  <w:style w:type="table" w:styleId="20">
    <w:name w:val="Table Grid"/>
    <w:basedOn w:val="19"/>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paragraph" w:customStyle="1" w:styleId="24">
    <w:name w:val="样式8"/>
    <w:basedOn w:val="25"/>
    <w:qFormat/>
    <w:uiPriority w:val="1"/>
  </w:style>
  <w:style w:type="paragraph" w:customStyle="1" w:styleId="25">
    <w:name w:val="一级标题"/>
    <w:basedOn w:val="1"/>
    <w:qFormat/>
    <w:uiPriority w:val="0"/>
    <w:pPr>
      <w:adjustRightInd w:val="0"/>
      <w:snapToGrid w:val="0"/>
      <w:jc w:val="center"/>
      <w:outlineLvl w:val="0"/>
    </w:pPr>
    <w:rPr>
      <w:rFonts w:ascii="黑体" w:eastAsia="黑体"/>
      <w:b/>
      <w:sz w:val="28"/>
      <w:szCs w:val="28"/>
    </w:rPr>
  </w:style>
  <w:style w:type="paragraph" w:customStyle="1" w:styleId="26">
    <w:name w:val="正文文本2"/>
    <w:basedOn w:val="1"/>
    <w:qFormat/>
    <w:uiPriority w:val="0"/>
    <w:pPr>
      <w:autoSpaceDE w:val="0"/>
      <w:autoSpaceDN w:val="0"/>
      <w:jc w:val="left"/>
    </w:pPr>
    <w:rPr>
      <w:rFonts w:ascii="宋体" w:hAnsi="宋体"/>
      <w:kern w:val="0"/>
      <w:sz w:val="20"/>
      <w:szCs w:val="21"/>
      <w:lang w:val="zh-CN"/>
    </w:rPr>
  </w:style>
  <w:style w:type="paragraph" w:customStyle="1" w:styleId="27">
    <w:name w:val="列出段落7"/>
    <w:basedOn w:val="1"/>
    <w:qFormat/>
    <w:uiPriority w:val="0"/>
    <w:pPr>
      <w:ind w:left="400" w:firstLine="420"/>
    </w:pPr>
  </w:style>
  <w:style w:type="paragraph" w:customStyle="1" w:styleId="28">
    <w:name w:val="Table Paragraph"/>
    <w:basedOn w:val="1"/>
    <w:qFormat/>
    <w:uiPriority w:val="1"/>
    <w:pPr>
      <w:autoSpaceDE w:val="0"/>
      <w:autoSpaceDN w:val="0"/>
      <w:jc w:val="left"/>
    </w:pPr>
    <w:rPr>
      <w:rFonts w:ascii="宋体" w:hAnsi="宋体" w:cs="宋体"/>
      <w:kern w:val="0"/>
      <w:sz w:val="22"/>
      <w:lang w:val="zh-CN"/>
    </w:rPr>
  </w:style>
  <w:style w:type="paragraph" w:customStyle="1" w:styleId="29">
    <w:name w:val="列出段落12"/>
    <w:basedOn w:val="1"/>
    <w:qFormat/>
    <w:uiPriority w:val="0"/>
    <w:pPr>
      <w:autoSpaceDE w:val="0"/>
      <w:autoSpaceDN w:val="0"/>
      <w:ind w:left="400" w:firstLine="420"/>
      <w:jc w:val="left"/>
    </w:pPr>
    <w:rPr>
      <w:kern w:val="0"/>
      <w:sz w:val="22"/>
      <w:lang w:val="zh-CN" w:bidi="zh-CN"/>
    </w:rPr>
  </w:style>
  <w:style w:type="paragraph" w:customStyle="1" w:styleId="30">
    <w:name w:val="列出段落1"/>
    <w:basedOn w:val="1"/>
    <w:qFormat/>
    <w:uiPriority w:val="0"/>
    <w:pPr>
      <w:ind w:firstLine="420" w:firstLineChars="200"/>
    </w:pPr>
  </w:style>
  <w:style w:type="paragraph" w:customStyle="1" w:styleId="31">
    <w:name w:val="列出段落2"/>
    <w:basedOn w:val="1"/>
    <w:qFormat/>
    <w:uiPriority w:val="0"/>
    <w:pPr>
      <w:autoSpaceDE w:val="0"/>
      <w:autoSpaceDN w:val="0"/>
      <w:ind w:left="240" w:firstLine="420"/>
      <w:jc w:val="left"/>
    </w:pPr>
    <w:rPr>
      <w:rFonts w:ascii="宋体" w:hAnsi="宋体" w:cs="宋体"/>
      <w:kern w:val="0"/>
      <w:sz w:val="22"/>
      <w:lang w:val="zh-CN"/>
    </w:rPr>
  </w:style>
  <w:style w:type="paragraph" w:customStyle="1" w:styleId="32">
    <w:name w:val="样式 标题 2 + Times New Roman 四号 非加粗 段前: 5 磅 段后: 0 磅 行距: 固定值 20..."/>
    <w:basedOn w:val="3"/>
    <w:qFormat/>
    <w:uiPriority w:val="0"/>
    <w:pPr>
      <w:spacing w:before="100" w:after="0" w:line="400" w:lineRule="exact"/>
    </w:pPr>
    <w:rPr>
      <w:rFonts w:ascii="Times New Roman" w:hAnsi="Times New Roman" w:cs="宋体"/>
      <w:b w:val="0"/>
      <w:bCs w:val="0"/>
      <w:sz w:val="28"/>
      <w:szCs w:val="20"/>
    </w:rPr>
  </w:style>
  <w:style w:type="paragraph" w:customStyle="1" w:styleId="33">
    <w:name w:val="样式 标题 3 + (中文) 黑体 小四 非加粗 段前: 7.8 磅 段后: 0 磅 行距: 固定值 20 磅"/>
    <w:basedOn w:val="4"/>
    <w:qFormat/>
    <w:uiPriority w:val="0"/>
    <w:pPr>
      <w:spacing w:before="0" w:after="0" w:line="400" w:lineRule="exact"/>
    </w:pPr>
    <w:rPr>
      <w:rFonts w:eastAsia="黑体" w:cs="宋体"/>
      <w:b w:val="0"/>
      <w:bCs w:val="0"/>
      <w:sz w:val="24"/>
      <w:szCs w:val="20"/>
    </w:rPr>
  </w:style>
  <w:style w:type="paragraph" w:customStyle="1" w:styleId="34">
    <w:name w:val="A标题3"/>
    <w:basedOn w:val="4"/>
    <w:next w:val="1"/>
    <w:qFormat/>
    <w:uiPriority w:val="0"/>
    <w:pPr>
      <w:tabs>
        <w:tab w:val="left" w:pos="720"/>
        <w:tab w:val="left" w:pos="851"/>
      </w:tabs>
      <w:adjustRightInd w:val="0"/>
      <w:spacing w:line="360" w:lineRule="auto"/>
      <w:textAlignment w:val="baseline"/>
    </w:pPr>
    <w:rPr>
      <w:kern w:val="24"/>
      <w:sz w:val="24"/>
      <w:szCs w:val="20"/>
    </w:rPr>
  </w:style>
  <w:style w:type="paragraph" w:customStyle="1" w:styleId="35">
    <w:name w:val="_Style 5"/>
    <w:basedOn w:val="1"/>
    <w:unhideWhenUsed/>
    <w:qFormat/>
    <w:uiPriority w:val="99"/>
    <w:pPr>
      <w:ind w:firstLine="420" w:firstLineChars="200"/>
    </w:pPr>
  </w:style>
  <w:style w:type="paragraph" w:customStyle="1" w:styleId="36">
    <w:name w:val="bgg"/>
    <w:basedOn w:val="37"/>
    <w:qFormat/>
    <w:uiPriority w:val="0"/>
    <w:pPr>
      <w:snapToGrid w:val="0"/>
      <w:ind w:left="52" w:leftChars="25" w:right="52" w:rightChars="25"/>
      <w:jc w:val="center"/>
    </w:pPr>
    <w:rPr>
      <w:rFonts w:ascii="Times New Roman" w:hAnsi="Times New Roman"/>
      <w:sz w:val="18"/>
      <w:szCs w:val="18"/>
    </w:rPr>
  </w:style>
  <w:style w:type="paragraph" w:customStyle="1" w:styleId="37">
    <w:name w:val="默认段落字体 Para Char Char Char Char"/>
    <w:basedOn w:val="1"/>
    <w:qFormat/>
    <w:uiPriority w:val="0"/>
    <w:rPr>
      <w:rFonts w:ascii="宋体" w:hAnsi="宋体"/>
      <w:b/>
      <w:color w:val="000000"/>
      <w:kern w:val="0"/>
      <w:sz w:val="24"/>
    </w:rPr>
  </w:style>
  <w:style w:type="paragraph" w:customStyle="1" w:styleId="38">
    <w:name w:val="p0"/>
    <w:basedOn w:val="1"/>
    <w:qFormat/>
    <w:uiPriority w:val="0"/>
    <w:pPr>
      <w:widowControl/>
    </w:pPr>
    <w:rPr>
      <w:rFonts w:eastAsia="方正仿宋_GBK"/>
      <w:kern w:val="0"/>
      <w:szCs w:val="20"/>
    </w:rPr>
  </w:style>
  <w:style w:type="paragraph" w:customStyle="1" w:styleId="39">
    <w:name w:val="纯文本2"/>
    <w:basedOn w:val="1"/>
    <w:qFormat/>
    <w:uiPriority w:val="0"/>
    <w:pPr>
      <w:topLinePunct/>
    </w:pPr>
    <w:rPr>
      <w:rFonts w:ascii="宋体" w:hAnsi="Courier New"/>
      <w:szCs w:val="20"/>
    </w:rPr>
  </w:style>
  <w:style w:type="paragraph" w:customStyle="1" w:styleId="40">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41">
    <w:name w:val="font01"/>
    <w:basedOn w:val="21"/>
    <w:qFormat/>
    <w:uiPriority w:val="0"/>
    <w:rPr>
      <w:rFonts w:hint="eastAsia" w:ascii="宋体" w:hAnsi="宋体" w:eastAsia="宋体" w:cs="宋体"/>
      <w:color w:val="000000"/>
      <w:sz w:val="18"/>
      <w:szCs w:val="18"/>
      <w:u w:val="none"/>
    </w:rPr>
  </w:style>
  <w:style w:type="character" w:customStyle="1" w:styleId="42">
    <w:name w:val="font41"/>
    <w:basedOn w:val="21"/>
    <w:qFormat/>
    <w:uiPriority w:val="0"/>
    <w:rPr>
      <w:rFonts w:hint="eastAsia" w:ascii="宋体" w:hAnsi="宋体" w:eastAsia="宋体" w:cs="宋体"/>
      <w:color w:val="000000"/>
      <w:sz w:val="18"/>
      <w:szCs w:val="18"/>
      <w:u w:val="none"/>
    </w:rPr>
  </w:style>
  <w:style w:type="character" w:customStyle="1" w:styleId="43">
    <w:name w:val="font71"/>
    <w:basedOn w:val="21"/>
    <w:qFormat/>
    <w:uiPriority w:val="0"/>
    <w:rPr>
      <w:rFonts w:hint="default" w:ascii="Times New Roman" w:hAnsi="Times New Roman" w:cs="Times New Roman"/>
      <w:color w:val="000000"/>
      <w:sz w:val="18"/>
      <w:szCs w:val="18"/>
      <w:u w:val="none"/>
    </w:rPr>
  </w:style>
  <w:style w:type="character" w:customStyle="1" w:styleId="44">
    <w:name w:val="font21"/>
    <w:basedOn w:val="21"/>
    <w:qFormat/>
    <w:uiPriority w:val="0"/>
    <w:rPr>
      <w:rFonts w:hint="eastAsia" w:ascii="宋体" w:hAnsi="宋体" w:eastAsia="宋体" w:cs="宋体"/>
      <w:b/>
      <w:bCs/>
      <w:color w:val="000000"/>
      <w:sz w:val="18"/>
      <w:szCs w:val="18"/>
      <w:u w:val="none"/>
    </w:rPr>
  </w:style>
  <w:style w:type="character" w:customStyle="1" w:styleId="45">
    <w:name w:val="font61"/>
    <w:basedOn w:val="21"/>
    <w:qFormat/>
    <w:uiPriority w:val="0"/>
    <w:rPr>
      <w:rFonts w:hint="eastAsia" w:ascii="宋体" w:hAnsi="宋体" w:eastAsia="宋体" w:cs="宋体"/>
      <w:b/>
      <w:color w:val="000000"/>
      <w:sz w:val="18"/>
      <w:szCs w:val="18"/>
      <w:u w:val="none"/>
    </w:rPr>
  </w:style>
  <w:style w:type="character" w:customStyle="1" w:styleId="46">
    <w:name w:val="font31"/>
    <w:basedOn w:val="21"/>
    <w:qFormat/>
    <w:uiPriority w:val="0"/>
    <w:rPr>
      <w:rFonts w:hint="eastAsia" w:ascii="宋体" w:hAnsi="宋体" w:eastAsia="宋体" w:cs="宋体"/>
      <w:color w:val="000000"/>
      <w:sz w:val="18"/>
      <w:szCs w:val="18"/>
      <w:u w:val="none"/>
    </w:rPr>
  </w:style>
  <w:style w:type="character" w:customStyle="1" w:styleId="47">
    <w:name w:val="font51"/>
    <w:basedOn w:val="21"/>
    <w:qFormat/>
    <w:uiPriority w:val="0"/>
    <w:rPr>
      <w:rFonts w:hint="default" w:ascii="Times New Roman" w:hAnsi="Times New Roman" w:cs="Times New Roman"/>
      <w:b/>
      <w:color w:val="000000"/>
      <w:sz w:val="18"/>
      <w:szCs w:val="18"/>
      <w:u w:val="none"/>
    </w:rPr>
  </w:style>
  <w:style w:type="paragraph" w:customStyle="1" w:styleId="48">
    <w:name w:val="纯文本12"/>
    <w:basedOn w:val="1"/>
    <w:qFormat/>
    <w:uiPriority w:val="0"/>
    <w:pPr>
      <w:suppressAutoHyphens/>
    </w:pPr>
    <w:rPr>
      <w:rFonts w:ascii="宋体" w:hAnsi="宋体"/>
      <w:kern w:val="1"/>
      <w:lang w:eastAsia="ar-SA"/>
    </w:rPr>
  </w:style>
  <w:style w:type="paragraph" w:customStyle="1" w:styleId="49">
    <w:name w:val="表头"/>
    <w:basedOn w:val="1"/>
    <w:qFormat/>
    <w:uiPriority w:val="0"/>
    <w:pPr>
      <w:adjustRightInd w:val="0"/>
      <w:spacing w:before="160" w:after="60" w:line="312" w:lineRule="exact"/>
      <w:jc w:val="center"/>
      <w:textAlignment w:val="baseline"/>
    </w:pPr>
    <w:rPr>
      <w:rFonts w:ascii="EU-F1" w:eastAsia="黑体"/>
      <w:snapToGrid w:val="0"/>
    </w:rPr>
  </w:style>
  <w:style w:type="paragraph" w:customStyle="1" w:styleId="50">
    <w:name w:val="纯文本11"/>
    <w:basedOn w:val="1"/>
    <w:qFormat/>
    <w:uiPriority w:val="0"/>
    <w:pPr>
      <w:suppressAutoHyphens/>
    </w:pPr>
    <w:rPr>
      <w:rFonts w:ascii="宋体" w:hAnsi="宋体"/>
      <w:kern w:val="1"/>
      <w:lang w:eastAsia="ar-SA"/>
    </w:rPr>
  </w:style>
  <w:style w:type="character" w:customStyle="1" w:styleId="51">
    <w:name w:val="标题 3 Char1"/>
    <w:qFormat/>
    <w:uiPriority w:val="0"/>
    <w:rPr>
      <w:rFonts w:eastAsia="宋体"/>
      <w:b/>
      <w:kern w:val="2"/>
      <w:sz w:val="21"/>
      <w:lang w:val="en-US" w:eastAsia="zh-CN"/>
    </w:rPr>
  </w:style>
  <w:style w:type="paragraph" w:styleId="52">
    <w:name w:val="List Paragraph"/>
    <w:basedOn w:val="1"/>
    <w:qFormat/>
    <w:uiPriority w:val="99"/>
    <w:pPr>
      <w:ind w:firstLine="420" w:firstLineChars="200"/>
    </w:pPr>
  </w:style>
  <w:style w:type="paragraph" w:customStyle="1" w:styleId="53">
    <w:name w:val="纯文本1"/>
    <w:basedOn w:val="1"/>
    <w:qFormat/>
    <w:uiPriority w:val="0"/>
    <w:pPr>
      <w:adjustRightInd w:val="0"/>
      <w:textAlignment w:val="baseline"/>
    </w:pPr>
    <w:rPr>
      <w:rFonts w:ascii="宋体" w:hAnsi="Courier New"/>
    </w:rPr>
  </w:style>
  <w:style w:type="paragraph" w:customStyle="1" w:styleId="54">
    <w:name w:val="表格正文"/>
    <w:basedOn w:val="1"/>
    <w:qFormat/>
    <w:uiPriority w:val="0"/>
    <w:pPr>
      <w:adjustRightInd w:val="0"/>
      <w:snapToGrid w:val="0"/>
      <w:jc w:val="center"/>
    </w:pPr>
    <w:rPr>
      <w:rFonts w:ascii="黑体" w:eastAsia="黑体"/>
      <w:color w:val="000000"/>
      <w:sz w:val="32"/>
    </w:rPr>
  </w:style>
  <w:style w:type="character" w:customStyle="1" w:styleId="55">
    <w:name w:val="font11"/>
    <w:basedOn w:val="21"/>
    <w:qFormat/>
    <w:uiPriority w:val="0"/>
    <w:rPr>
      <w:rFonts w:hint="eastAsia" w:ascii="宋体" w:hAnsi="宋体" w:eastAsia="宋体" w:cs="宋体"/>
      <w:color w:val="000000"/>
      <w:sz w:val="18"/>
      <w:szCs w:val="18"/>
      <w:u w:val="none"/>
    </w:rPr>
  </w:style>
  <w:style w:type="character" w:customStyle="1" w:styleId="56">
    <w:name w:val="font81"/>
    <w:basedOn w:val="21"/>
    <w:qFormat/>
    <w:uiPriority w:val="0"/>
    <w:rPr>
      <w:rFonts w:hint="eastAsia" w:ascii="宋体" w:hAnsi="宋体" w:eastAsia="宋体" w:cs="宋体"/>
      <w:color w:val="FF0000"/>
      <w:sz w:val="22"/>
      <w:szCs w:val="22"/>
      <w:u w:val="none"/>
    </w:rPr>
  </w:style>
  <w:style w:type="character" w:customStyle="1" w:styleId="57">
    <w:name w:val="font91"/>
    <w:basedOn w:val="21"/>
    <w:qFormat/>
    <w:uiPriority w:val="0"/>
    <w:rPr>
      <w:rFonts w:hint="eastAsia" w:ascii="宋体" w:hAnsi="宋体" w:eastAsia="宋体" w:cs="宋体"/>
      <w:color w:val="00B0F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4.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oleObject2.bin"/><Relationship Id="rId17" Type="http://schemas.openxmlformats.org/officeDocument/2006/relationships/image" Target="media/image2.emf"/><Relationship Id="rId16" Type="http://schemas.openxmlformats.org/officeDocument/2006/relationships/oleObject" Target="embeddings/oleObject1.bin"/><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113</Pages>
  <Words>3658</Words>
  <Characters>3948</Characters>
  <Lines>0</Lines>
  <Paragraphs>0</Paragraphs>
  <TotalTime>3</TotalTime>
  <ScaleCrop>false</ScaleCrop>
  <LinksUpToDate>false</LinksUpToDate>
  <CharactersWithSpaces>3976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2024-09-04T09:41:00Z</dcterms:created>
  <dc:creator>lg</dc:creator>
  <cp:lastModifiedBy>hucy</cp:lastModifiedBy>
  <dcterms:modified xsi:type="dcterms:W3CDTF">2026-08-21T08:34:54Z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E99ADF05BA0346A2B0DB9D88021BDEA0</vt:lpwstr>
  </property>
  <property fmtid="{D5CDD505-2E9C-101B-9397-08002B2CF9AE}" pid="4" name="KSOTemplateDocerSaveRecord">
    <vt:lpwstr>eyJoZGlkIjoiNWMyNjAxOTI3NGRiYTg2OGUxZWU3ZmNiMzlmOTJmNGIiLCJ1c2VySWQiOiIyMTU3Mjk0OTEifQ==</vt:lpwstr>
  </property>
</Properties>
</file>