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00FC4">
      <w:pPr>
        <w:spacing w:line="400" w:lineRule="exact"/>
        <w:jc w:val="center"/>
        <w:outlineLvl w:val="0"/>
        <w:rPr>
          <w:rStyle w:val="52"/>
          <w:rFonts w:ascii="黑体" w:eastAsia="黑体"/>
          <w:b/>
          <w:color w:val="auto"/>
          <w:sz w:val="28"/>
          <w:szCs w:val="28"/>
          <w:highlight w:val="none"/>
        </w:rPr>
      </w:pPr>
      <w:r>
        <w:rPr>
          <w:rStyle w:val="52"/>
          <w:rFonts w:hint="eastAsia" w:ascii="黑体" w:eastAsia="黑体"/>
          <w:b/>
          <w:color w:val="auto"/>
          <w:sz w:val="28"/>
          <w:szCs w:val="28"/>
          <w:highlight w:val="none"/>
        </w:rPr>
        <w:t>合同条款差异对比表</w:t>
      </w:r>
    </w:p>
    <w:p w14:paraId="67BD1BA2">
      <w:pPr>
        <w:pStyle w:val="9"/>
        <w:rPr>
          <w:color w:val="auto"/>
          <w:highlight w:val="none"/>
        </w:rPr>
      </w:pPr>
      <w:r>
        <w:rPr>
          <w:rFonts w:hint="eastAsia" w:ascii="宋体" w:hAnsi="宋体" w:cs="宋体"/>
          <w:color w:val="auto"/>
          <w:sz w:val="20"/>
          <w:szCs w:val="20"/>
          <w:highlight w:val="none"/>
        </w:rPr>
        <w:t>分标名称：变电站监理</w:t>
      </w:r>
    </w:p>
    <w:tbl>
      <w:tblPr>
        <w:tblStyle w:val="14"/>
        <w:tblW w:w="10448"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20"/>
        <w:gridCol w:w="4253"/>
        <w:gridCol w:w="3969"/>
        <w:gridCol w:w="808"/>
      </w:tblGrid>
      <w:tr w14:paraId="39289CF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0448" w:type="dxa"/>
            <w:gridSpan w:val="5"/>
            <w:vAlign w:val="center"/>
          </w:tcPr>
          <w:p w14:paraId="2C9F74FB">
            <w:pPr>
              <w:adjustRightInd w:val="0"/>
              <w:snapToGrid w:val="0"/>
              <w:ind w:left="-283" w:leftChars="-135" w:right="-510" w:rightChars="-243"/>
              <w:jc w:val="center"/>
              <w:outlineLvl w:val="0"/>
              <w:rPr>
                <w:rFonts w:hint="eastAsia" w:ascii="宋体" w:hAnsi="宋体" w:cs="宋体"/>
                <w:b/>
                <w:color w:val="auto"/>
                <w:kern w:val="0"/>
                <w:sz w:val="20"/>
                <w:szCs w:val="20"/>
                <w:highlight w:val="none"/>
              </w:rPr>
            </w:pPr>
            <w:r>
              <w:rPr>
                <w:rFonts w:hint="eastAsia" w:ascii="宋体" w:hAnsi="宋体" w:cs="宋体"/>
                <w:b/>
                <w:color w:val="auto"/>
                <w:kern w:val="0"/>
                <w:sz w:val="20"/>
                <w:szCs w:val="20"/>
                <w:highlight w:val="none"/>
              </w:rPr>
              <w:t>合同部分针对范本：《</w:t>
            </w:r>
            <w:r>
              <w:rPr>
                <w:rFonts w:hint="eastAsia" w:ascii="宋体" w:hAnsi="宋体" w:cs="宋体"/>
                <w:color w:val="auto"/>
                <w:highlight w:val="none"/>
                <w:lang w:val="en-US" w:eastAsia="zh-CN"/>
              </w:rPr>
              <w:t>S</w:t>
            </w:r>
            <w:r>
              <w:rPr>
                <w:rFonts w:hint="eastAsia" w:ascii="宋体" w:hAnsi="宋体" w:cs="宋体"/>
                <w:color w:val="auto"/>
                <w:highlight w:val="none"/>
              </w:rPr>
              <w:t>GTYHT/</w:t>
            </w:r>
            <w:r>
              <w:rPr>
                <w:rFonts w:hint="eastAsia" w:ascii="宋体" w:hAnsi="宋体" w:cs="宋体"/>
                <w:color w:val="auto"/>
                <w:highlight w:val="none"/>
                <w:lang w:val="en-US" w:eastAsia="zh-CN"/>
              </w:rPr>
              <w:t>24</w:t>
            </w:r>
            <w:r>
              <w:rPr>
                <w:rFonts w:hint="eastAsia" w:ascii="宋体" w:hAnsi="宋体" w:cs="宋体"/>
                <w:color w:val="auto"/>
                <w:highlight w:val="none"/>
              </w:rPr>
              <w:t>-GC-009  输变电工程监理合同</w:t>
            </w:r>
            <w:r>
              <w:rPr>
                <w:rFonts w:hint="eastAsia" w:ascii="宋体" w:hAnsi="宋体" w:cs="宋体"/>
                <w:b/>
                <w:color w:val="auto"/>
                <w:kern w:val="0"/>
                <w:sz w:val="20"/>
                <w:szCs w:val="20"/>
                <w:highlight w:val="none"/>
              </w:rPr>
              <w:t>》</w:t>
            </w:r>
          </w:p>
        </w:tc>
      </w:tr>
      <w:tr w14:paraId="21846FC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3E56F407">
            <w:pPr>
              <w:widowControl/>
              <w:adjustRightInd w:val="0"/>
              <w:snapToGrid w:val="0"/>
              <w:jc w:val="center"/>
              <w:rPr>
                <w:rFonts w:hint="eastAsia" w:ascii="宋体" w:hAnsi="宋体" w:cs="宋体"/>
                <w:b/>
                <w:color w:val="auto"/>
                <w:kern w:val="0"/>
                <w:sz w:val="18"/>
                <w:szCs w:val="18"/>
                <w:highlight w:val="none"/>
              </w:rPr>
            </w:pPr>
            <w:r>
              <w:rPr>
                <w:rFonts w:hint="eastAsia" w:ascii="宋体" w:hAnsi="宋体" w:cs="宋体"/>
                <w:b/>
                <w:color w:val="auto"/>
                <w:kern w:val="0"/>
                <w:sz w:val="18"/>
                <w:szCs w:val="18"/>
                <w:highlight w:val="none"/>
              </w:rPr>
              <w:t>序号</w:t>
            </w:r>
          </w:p>
        </w:tc>
        <w:tc>
          <w:tcPr>
            <w:tcW w:w="1020" w:type="dxa"/>
            <w:vAlign w:val="center"/>
          </w:tcPr>
          <w:p w14:paraId="4A208D2E">
            <w:pPr>
              <w:widowControl/>
              <w:adjustRightInd w:val="0"/>
              <w:snapToGrid w:val="0"/>
              <w:jc w:val="center"/>
              <w:rPr>
                <w:rFonts w:hint="eastAsia" w:ascii="宋体" w:hAnsi="宋体" w:cs="宋体"/>
                <w:b/>
                <w:color w:val="auto"/>
                <w:kern w:val="0"/>
                <w:sz w:val="18"/>
                <w:szCs w:val="18"/>
                <w:highlight w:val="none"/>
              </w:rPr>
            </w:pPr>
            <w:r>
              <w:rPr>
                <w:rFonts w:hint="eastAsia" w:ascii="宋体" w:hAnsi="宋体" w:cs="宋体"/>
                <w:b/>
                <w:color w:val="auto"/>
                <w:kern w:val="0"/>
                <w:sz w:val="18"/>
                <w:szCs w:val="18"/>
                <w:highlight w:val="none"/>
              </w:rPr>
              <w:t>条款号</w:t>
            </w:r>
          </w:p>
        </w:tc>
        <w:tc>
          <w:tcPr>
            <w:tcW w:w="4253" w:type="dxa"/>
            <w:vAlign w:val="center"/>
          </w:tcPr>
          <w:p w14:paraId="7BD9D5A2">
            <w:pPr>
              <w:widowControl/>
              <w:adjustRightInd w:val="0"/>
              <w:snapToGrid w:val="0"/>
              <w:jc w:val="center"/>
              <w:rPr>
                <w:rFonts w:hint="eastAsia" w:ascii="宋体" w:hAnsi="宋体" w:cs="宋体"/>
                <w:b/>
                <w:color w:val="auto"/>
                <w:kern w:val="0"/>
                <w:sz w:val="18"/>
                <w:szCs w:val="18"/>
                <w:highlight w:val="none"/>
              </w:rPr>
            </w:pPr>
            <w:r>
              <w:rPr>
                <w:rFonts w:hint="eastAsia" w:ascii="宋体" w:hAnsi="宋体" w:cs="宋体"/>
                <w:b/>
                <w:color w:val="auto"/>
                <w:kern w:val="0"/>
                <w:sz w:val="18"/>
                <w:szCs w:val="18"/>
                <w:highlight w:val="none"/>
              </w:rPr>
              <w:t>统一合同</w:t>
            </w:r>
            <w:r>
              <w:rPr>
                <w:rFonts w:ascii="宋体" w:hAnsi="宋体" w:cs="宋体"/>
                <w:b/>
                <w:color w:val="auto"/>
                <w:kern w:val="0"/>
                <w:sz w:val="18"/>
                <w:szCs w:val="18"/>
                <w:highlight w:val="none"/>
              </w:rPr>
              <w:t>文本</w:t>
            </w:r>
            <w:r>
              <w:rPr>
                <w:rFonts w:hint="eastAsia" w:ascii="宋体" w:hAnsi="宋体" w:cs="宋体"/>
                <w:b/>
                <w:color w:val="auto"/>
                <w:kern w:val="0"/>
                <w:sz w:val="18"/>
                <w:szCs w:val="18"/>
                <w:highlight w:val="none"/>
              </w:rPr>
              <w:t>表述</w:t>
            </w:r>
          </w:p>
        </w:tc>
        <w:tc>
          <w:tcPr>
            <w:tcW w:w="3969" w:type="dxa"/>
            <w:vAlign w:val="center"/>
          </w:tcPr>
          <w:p w14:paraId="30439CE9">
            <w:pPr>
              <w:widowControl/>
              <w:adjustRightInd w:val="0"/>
              <w:snapToGrid w:val="0"/>
              <w:jc w:val="center"/>
              <w:rPr>
                <w:rFonts w:hint="eastAsia" w:ascii="宋体" w:hAnsi="宋体" w:cs="宋体"/>
                <w:b/>
                <w:color w:val="auto"/>
                <w:kern w:val="0"/>
                <w:sz w:val="18"/>
                <w:szCs w:val="18"/>
                <w:highlight w:val="none"/>
              </w:rPr>
            </w:pPr>
            <w:r>
              <w:rPr>
                <w:rFonts w:hint="eastAsia" w:ascii="宋体" w:hAnsi="宋体" w:cs="宋体"/>
                <w:b/>
                <w:color w:val="auto"/>
                <w:kern w:val="0"/>
                <w:sz w:val="18"/>
                <w:szCs w:val="18"/>
                <w:highlight w:val="none"/>
              </w:rPr>
              <w:t>修改后表述</w:t>
            </w:r>
          </w:p>
        </w:tc>
        <w:tc>
          <w:tcPr>
            <w:tcW w:w="808" w:type="dxa"/>
            <w:vAlign w:val="center"/>
          </w:tcPr>
          <w:p w14:paraId="772AA039">
            <w:pPr>
              <w:widowControl/>
              <w:adjustRightInd w:val="0"/>
              <w:snapToGrid w:val="0"/>
              <w:jc w:val="center"/>
              <w:rPr>
                <w:rFonts w:hint="eastAsia" w:ascii="宋体" w:hAnsi="宋体" w:cs="宋体"/>
                <w:b/>
                <w:color w:val="auto"/>
                <w:kern w:val="0"/>
                <w:sz w:val="18"/>
                <w:szCs w:val="18"/>
                <w:highlight w:val="none"/>
              </w:rPr>
            </w:pPr>
            <w:r>
              <w:rPr>
                <w:rFonts w:hint="eastAsia" w:ascii="宋体" w:hAnsi="宋体" w:cs="宋体"/>
                <w:b/>
                <w:color w:val="auto"/>
                <w:kern w:val="0"/>
                <w:sz w:val="18"/>
                <w:szCs w:val="18"/>
                <w:highlight w:val="none"/>
              </w:rPr>
              <w:t>备注</w:t>
            </w:r>
          </w:p>
        </w:tc>
      </w:tr>
      <w:tr w14:paraId="085D05C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1BECEE33">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2F54830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第一部分 </w:t>
            </w:r>
            <w:r>
              <w:rPr>
                <w:rFonts w:hint="eastAsia" w:ascii="宋体" w:hAnsi="宋体"/>
                <w:color w:val="auto"/>
                <w:sz w:val="18"/>
                <w:szCs w:val="18"/>
                <w:highlight w:val="none"/>
              </w:rPr>
              <w:t xml:space="preserve">合同协议书 三、工程建设目标 </w:t>
            </w:r>
          </w:p>
        </w:tc>
        <w:tc>
          <w:tcPr>
            <w:tcW w:w="4253" w:type="dxa"/>
            <w:vAlign w:val="center"/>
          </w:tcPr>
          <w:p w14:paraId="13CEF54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 工程质量要求：</w:t>
            </w:r>
          </w:p>
          <w:p w14:paraId="11351967">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1.1 质量总体要求</w:t>
            </w:r>
          </w:p>
          <w:p w14:paraId="1E3363A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严格执行国家、行业、国家电网有限公司有关工程建设质量管理的法律、法规和规章制度，贯彻实施工程设计技术原则，满足国家和行业施工验收规范的要求。</w:t>
            </w:r>
          </w:p>
          <w:p w14:paraId="11521C24">
            <w:pPr>
              <w:spacing w:line="240" w:lineRule="atLeast"/>
              <w:rPr>
                <w:rFonts w:hint="eastAsia" w:ascii="宋体" w:hAnsi="宋体" w:cs="宋体"/>
                <w:color w:val="auto"/>
                <w:sz w:val="18"/>
                <w:szCs w:val="18"/>
                <w:highlight w:val="none"/>
              </w:rPr>
            </w:pPr>
            <w:r>
              <w:rPr>
                <w:rFonts w:hint="eastAsia" w:ascii="宋体" w:hAnsi="宋体" w:cs="宋体"/>
                <w:b/>
                <w:bCs/>
                <w:color w:val="auto"/>
                <w:sz w:val="18"/>
                <w:szCs w:val="18"/>
                <w:highlight w:val="none"/>
              </w:rPr>
              <w:t>全面应用输变电工程“标准工艺”</w:t>
            </w:r>
            <w:r>
              <w:rPr>
                <w:rFonts w:hint="eastAsia" w:ascii="宋体" w:hAnsi="宋体" w:cs="宋体"/>
                <w:color w:val="auto"/>
                <w:sz w:val="18"/>
                <w:szCs w:val="18"/>
                <w:highlight w:val="none"/>
              </w:rPr>
              <w:t>；工程“零缺陷”投运；实现工程达标投产及优质工程目标；工程使用寿命满足国家电网有限公司质量要求；不发生因工程建设原因造成的六级及以上工程质量事件。</w:t>
            </w:r>
          </w:p>
          <w:p w14:paraId="3A4FAEB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1.2 专项目标要求</w:t>
            </w:r>
          </w:p>
          <w:p w14:paraId="7AA7477B">
            <w:pPr>
              <w:widowControl/>
              <w:textAlignment w:val="top"/>
              <w:rPr>
                <w:rFonts w:hint="eastAsia" w:ascii="宋体" w:hAnsi="宋体" w:cs="宋体"/>
                <w:color w:val="auto"/>
                <w:sz w:val="18"/>
                <w:szCs w:val="18"/>
                <w:highlight w:val="none"/>
              </w:rPr>
            </w:pPr>
            <w:r>
              <w:rPr>
                <w:rFonts w:hint="eastAsia" w:ascii="宋体" w:hAnsi="宋体" w:cs="宋体"/>
                <w:color w:val="auto"/>
                <w:sz w:val="18"/>
                <w:szCs w:val="18"/>
                <w:highlight w:val="none"/>
              </w:rPr>
              <w:t>35千伏及以下项目：工程质量总评为优良，分项工程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100％，单位工程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100％，观感得分率（土建）≥90％。</w:t>
            </w:r>
          </w:p>
          <w:p w14:paraId="5423A013">
            <w:pPr>
              <w:widowControl/>
              <w:textAlignment w:val="top"/>
              <w:rPr>
                <w:rFonts w:hint="eastAsia" w:ascii="宋体" w:hAnsi="宋体" w:cs="宋体"/>
                <w:color w:val="auto"/>
                <w:sz w:val="18"/>
                <w:szCs w:val="18"/>
                <w:highlight w:val="none"/>
              </w:rPr>
            </w:pPr>
            <w:r>
              <w:rPr>
                <w:rFonts w:hint="eastAsia" w:ascii="宋体" w:hAnsi="宋体" w:cs="宋体"/>
                <w:color w:val="auto"/>
                <w:sz w:val="18"/>
                <w:szCs w:val="18"/>
                <w:highlight w:val="none"/>
              </w:rPr>
              <w:t>110（66）千伏项目：工程质量总评为优良，分项工程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100％，单位工程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100％，观感得分率（土建）≥90％。</w:t>
            </w:r>
          </w:p>
          <w:p w14:paraId="2CB44234">
            <w:pPr>
              <w:rPr>
                <w:rFonts w:hint="eastAsia" w:ascii="宋体" w:hAnsi="宋体" w:cs="宋体"/>
                <w:color w:val="auto"/>
                <w:sz w:val="18"/>
                <w:szCs w:val="18"/>
                <w:highlight w:val="none"/>
              </w:rPr>
            </w:pPr>
            <w:r>
              <w:rPr>
                <w:rFonts w:hint="eastAsia" w:ascii="宋体" w:hAnsi="宋体" w:cs="宋体"/>
                <w:color w:val="auto"/>
                <w:sz w:val="18"/>
                <w:szCs w:val="18"/>
                <w:highlight w:val="none"/>
              </w:rPr>
              <w:t>220千伏及以上项目：工程质量总评为优良，分项工程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100％，单位工程</w:t>
            </w:r>
            <w:r>
              <w:rPr>
                <w:rFonts w:hint="eastAsia" w:ascii="宋体" w:hAnsi="宋体" w:cs="宋体"/>
                <w:b/>
                <w:bCs/>
                <w:color w:val="auto"/>
                <w:sz w:val="18"/>
                <w:szCs w:val="18"/>
                <w:highlight w:val="none"/>
              </w:rPr>
              <w:t>合格率</w:t>
            </w:r>
            <w:r>
              <w:rPr>
                <w:rFonts w:hint="eastAsia" w:ascii="宋体" w:hAnsi="宋体" w:cs="宋体"/>
                <w:color w:val="auto"/>
                <w:sz w:val="18"/>
                <w:szCs w:val="18"/>
                <w:highlight w:val="none"/>
              </w:rPr>
              <w:t>100％，观感得分率（土建）≥95％。</w:t>
            </w:r>
          </w:p>
          <w:p w14:paraId="5CCF52A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2. 安全目标：</w:t>
            </w:r>
          </w:p>
          <w:p w14:paraId="4D8A6254">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严格执行国家、行业、国家电网有限公司有关工程建设安全管理的法律、法规和规章制度，确保工程建设安全文明施工，采取积极的安全措施，确保实现以下安全目标：</w:t>
            </w:r>
          </w:p>
          <w:p w14:paraId="220E2FA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（1）不发生六级及以上人身事件；</w:t>
            </w:r>
          </w:p>
          <w:p w14:paraId="699A72F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（2）不发生因工程建设引起的六级及以上电网及设备事件；</w:t>
            </w:r>
          </w:p>
          <w:p w14:paraId="70D03944">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（3）不发生六级及以上施工机械设备事件；</w:t>
            </w:r>
          </w:p>
          <w:p w14:paraId="3EE660C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（4）不发生火灾事故；</w:t>
            </w:r>
          </w:p>
          <w:p w14:paraId="3EB3415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（5）不发生环境污染事件；</w:t>
            </w:r>
          </w:p>
          <w:p w14:paraId="4C08514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（6）不发生负主要责任的一般交通事故；</w:t>
            </w:r>
          </w:p>
          <w:p w14:paraId="03CE936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（7）不发生基建信息安全事件；</w:t>
            </w:r>
          </w:p>
          <w:p w14:paraId="467E768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（8）不发生对公司造成影响的安全稳定事件。</w:t>
            </w:r>
          </w:p>
          <w:p w14:paraId="3BDD3F6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3. 进度目标：</w:t>
            </w:r>
          </w:p>
          <w:p w14:paraId="5780474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坚持以“工程进度服从安全、质量”为原则，积极采取相应措施，确保工程开、竣工时间和工程阶段性里程碑进度计划按时完成。</w:t>
            </w:r>
          </w:p>
          <w:p w14:paraId="7C07C7B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4. 投资控制目标：</w:t>
            </w:r>
          </w:p>
          <w:p w14:paraId="10CCB6C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在满足安全质量的前提下，优化工程技术方案，合理控制工程造价，严格规范建设过程中设计变更、现场签证，严格执行合同，做好工程项目结算工作，实现工程造价与结算管理目标。</w:t>
            </w:r>
          </w:p>
          <w:p w14:paraId="71C5185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5. 环境保护与水土保持目标：</w:t>
            </w:r>
          </w:p>
          <w:p w14:paraId="37DA6C6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确保工程环保、水保设施建设“三同时”，落实工程环保、水保方案及批复意见，推行绿色施工，建设资源节约型、环境友好型的绿色和谐工程；确保竣工前完成工程拆迁、迹地恢复；确保工程顺利通过环保和水保验收。</w:t>
            </w:r>
          </w:p>
          <w:p w14:paraId="51DE3F0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6. 基建管理信息系统应用目标：完整性、及时性、准确性100%。</w:t>
            </w:r>
          </w:p>
          <w:p w14:paraId="37A03FE9">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7. 档案管理目标：严格按照国家、行业、国家电网有限公司和项目建设管理单位的有关档案管理规定进行档案管理，将档案管理纳入整个现场管理程序，</w:t>
            </w:r>
            <w:r>
              <w:rPr>
                <w:rFonts w:hint="eastAsia" w:ascii="宋体" w:hAnsi="宋体" w:cs="宋体"/>
                <w:b/>
                <w:bCs/>
                <w:color w:val="auto"/>
                <w:sz w:val="18"/>
                <w:szCs w:val="18"/>
                <w:highlight w:val="none"/>
              </w:rPr>
              <w:t>坚持工程档案资料与工程进度同步形成</w:t>
            </w:r>
            <w:r>
              <w:rPr>
                <w:rFonts w:hint="eastAsia" w:ascii="宋体" w:hAnsi="宋体" w:cs="宋体"/>
                <w:color w:val="auto"/>
                <w:sz w:val="18"/>
                <w:szCs w:val="18"/>
                <w:highlight w:val="none"/>
              </w:rPr>
              <w:t>，确保实现档案归档率100％、资料准确率100％、案卷合格率100％，</w:t>
            </w:r>
            <w:r>
              <w:rPr>
                <w:rFonts w:hint="eastAsia" w:ascii="宋体" w:hAnsi="宋体" w:cs="宋体"/>
                <w:b/>
                <w:bCs/>
                <w:color w:val="auto"/>
                <w:sz w:val="18"/>
                <w:szCs w:val="18"/>
                <w:highlight w:val="none"/>
              </w:rPr>
              <w:t>做到归档资料齐全完整；前期文件、施工记录与竣工图前期文件、施工记录、竣工图等资料真实、准确；案卷题名准确规范，组建系统、规范，装订整齐；通过档案专项验收。</w:t>
            </w:r>
          </w:p>
          <w:p w14:paraId="551D652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8. 创优目标： </w:t>
            </w:r>
          </w:p>
          <w:p w14:paraId="311E707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110千伏及以上项目：确保达标投产，确保国家电网公司输变电优质工程银奖。 </w:t>
            </w:r>
          </w:p>
          <w:p w14:paraId="6D6459E7">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500千伏及以上项目：确保达标投产，确保国家电网公司输变电优质工程金奖。</w:t>
            </w:r>
          </w:p>
          <w:p w14:paraId="082CC8C7">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9. 其他目标：应切实贯彻国家电网有限公司“三通一标”、“两型三新一化”</w:t>
            </w:r>
            <w:r>
              <w:rPr>
                <w:rFonts w:hint="eastAsia" w:ascii="宋体" w:hAnsi="宋体" w:cs="宋体"/>
                <w:b/>
                <w:bCs/>
                <w:color w:val="auto"/>
                <w:sz w:val="18"/>
                <w:szCs w:val="18"/>
                <w:highlight w:val="none"/>
              </w:rPr>
              <w:t>、</w:t>
            </w:r>
            <w:r>
              <w:rPr>
                <w:rFonts w:hint="eastAsia" w:ascii="宋体" w:hAnsi="宋体" w:cs="宋体"/>
                <w:color w:val="auto"/>
                <w:sz w:val="18"/>
                <w:szCs w:val="18"/>
                <w:highlight w:val="none"/>
              </w:rPr>
              <w:t>智能化变电站建设</w:t>
            </w:r>
            <w:r>
              <w:rPr>
                <w:rFonts w:hint="eastAsia" w:ascii="宋体" w:hAnsi="宋体" w:cs="宋体"/>
                <w:b/>
                <w:bCs/>
                <w:color w:val="auto"/>
                <w:sz w:val="18"/>
                <w:szCs w:val="18"/>
                <w:highlight w:val="none"/>
              </w:rPr>
              <w:t>及</w:t>
            </w:r>
            <w:r>
              <w:rPr>
                <w:rFonts w:hint="eastAsia" w:ascii="宋体" w:hAnsi="宋体" w:cs="宋体"/>
                <w:color w:val="auto"/>
                <w:sz w:val="18"/>
                <w:szCs w:val="18"/>
                <w:highlight w:val="none"/>
              </w:rPr>
              <w:t>线路全过程机械化施工</w:t>
            </w:r>
            <w:r>
              <w:rPr>
                <w:rFonts w:hint="eastAsia" w:ascii="宋体" w:hAnsi="宋体" w:cs="宋体"/>
                <w:b/>
                <w:bCs/>
                <w:color w:val="auto"/>
                <w:sz w:val="18"/>
                <w:szCs w:val="18"/>
                <w:highlight w:val="none"/>
              </w:rPr>
              <w:t>等</w:t>
            </w:r>
            <w:r>
              <w:rPr>
                <w:rFonts w:hint="eastAsia" w:ascii="宋体" w:hAnsi="宋体" w:cs="宋体"/>
                <w:color w:val="auto"/>
                <w:sz w:val="18"/>
                <w:szCs w:val="18"/>
                <w:highlight w:val="none"/>
              </w:rPr>
              <w:t>相关要求。</w:t>
            </w:r>
          </w:p>
        </w:tc>
        <w:tc>
          <w:tcPr>
            <w:tcW w:w="3969" w:type="dxa"/>
            <w:vAlign w:val="center"/>
          </w:tcPr>
          <w:p w14:paraId="38644F48">
            <w:pPr>
              <w:widowControl/>
              <w:jc w:val="left"/>
              <w:rPr>
                <w:color w:val="auto"/>
                <w:sz w:val="18"/>
                <w:szCs w:val="18"/>
                <w:highlight w:val="none"/>
                <w:lang w:val="zh-CN"/>
              </w:rPr>
            </w:pPr>
            <w:r>
              <w:rPr>
                <w:rFonts w:hint="eastAsia"/>
                <w:color w:val="auto"/>
                <w:sz w:val="18"/>
                <w:szCs w:val="18"/>
                <w:highlight w:val="none"/>
                <w:lang w:val="zh-CN"/>
              </w:rPr>
              <w:t>修改为：</w:t>
            </w:r>
          </w:p>
          <w:p w14:paraId="715811BE">
            <w:pPr>
              <w:pStyle w:val="9"/>
              <w:ind w:firstLine="360" w:firstLineChars="200"/>
              <w:rPr>
                <w:color w:val="auto"/>
                <w:highlight w:val="none"/>
              </w:rPr>
            </w:pPr>
            <w:r>
              <w:rPr>
                <w:rStyle w:val="52"/>
                <w:rFonts w:hint="eastAsia" w:ascii="宋体" w:hAnsi="宋体" w:cs="宋体"/>
                <w:color w:val="auto"/>
                <w:kern w:val="0"/>
                <w:sz w:val="18"/>
                <w:szCs w:val="18"/>
                <w:highlight w:val="none"/>
              </w:rPr>
              <w:t>见技术规范书</w:t>
            </w:r>
          </w:p>
        </w:tc>
        <w:tc>
          <w:tcPr>
            <w:tcW w:w="808" w:type="dxa"/>
            <w:vAlign w:val="center"/>
          </w:tcPr>
          <w:p w14:paraId="359CB82D">
            <w:pPr>
              <w:widowControl/>
              <w:jc w:val="center"/>
              <w:rPr>
                <w:rFonts w:hint="eastAsia" w:ascii="宋体" w:hAnsi="宋体" w:cs="宋体"/>
                <w:b/>
                <w:bCs/>
                <w:color w:val="auto"/>
                <w:kern w:val="0"/>
                <w:sz w:val="18"/>
                <w:szCs w:val="18"/>
                <w:highlight w:val="none"/>
              </w:rPr>
            </w:pPr>
          </w:p>
          <w:p w14:paraId="51D9C554">
            <w:pPr>
              <w:pStyle w:val="2"/>
              <w:rPr>
                <w:color w:val="auto"/>
                <w:highlight w:val="none"/>
              </w:rPr>
            </w:pPr>
          </w:p>
        </w:tc>
      </w:tr>
      <w:tr w14:paraId="1A12D518">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615A8EB7">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56DEC7F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专用条款1.6.1</w:t>
            </w:r>
          </w:p>
        </w:tc>
        <w:tc>
          <w:tcPr>
            <w:tcW w:w="4253" w:type="dxa"/>
            <w:vAlign w:val="center"/>
          </w:tcPr>
          <w:p w14:paraId="4363AFA2">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1.6.1 监理文件的提供</w:t>
            </w:r>
          </w:p>
          <w:p w14:paraId="50C09D0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1.6.1 监理人应按照下列期限要求向委托人提供监理文件：</w:t>
            </w:r>
          </w:p>
          <w:p w14:paraId="057E0D47">
            <w:pPr>
              <w:spacing w:line="240" w:lineRule="atLeast"/>
              <w:rPr>
                <w:rFonts w:hint="eastAsia" w:ascii="宋体" w:hAnsi="宋体" w:cs="宋体"/>
                <w:color w:val="auto"/>
                <w:sz w:val="18"/>
                <w:szCs w:val="18"/>
                <w:highlight w:val="none"/>
              </w:rPr>
            </w:pPr>
          </w:p>
        </w:tc>
        <w:tc>
          <w:tcPr>
            <w:tcW w:w="3969" w:type="dxa"/>
            <w:vAlign w:val="center"/>
          </w:tcPr>
          <w:p w14:paraId="030A66F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1.6.1 监理人应按照下列期限要求向委托人提供监理文件：</w:t>
            </w:r>
          </w:p>
          <w:p w14:paraId="23173A65">
            <w:pPr>
              <w:spacing w:line="240" w:lineRule="atLeast"/>
              <w:rPr>
                <w:rFonts w:hint="eastAsia" w:ascii="宋体" w:hAnsi="宋体" w:eastAsia="宋体" w:cs="宋体"/>
                <w:color w:val="auto"/>
                <w:sz w:val="18"/>
                <w:szCs w:val="18"/>
                <w:highlight w:val="none"/>
                <w:lang w:eastAsia="zh-CN"/>
              </w:rPr>
            </w:pPr>
            <w:r>
              <w:rPr>
                <w:rFonts w:hint="eastAsia" w:ascii="宋体" w:hAnsi="宋体" w:cs="宋体"/>
                <w:color w:val="auto"/>
                <w:sz w:val="18"/>
                <w:szCs w:val="18"/>
                <w:highlight w:val="none"/>
                <w:u w:val="single"/>
              </w:rPr>
              <w:t>按照中华人民共和国电力行业标准《电力建设工程监理规范》、国家电网有限公司</w:t>
            </w:r>
            <w:r>
              <w:rPr>
                <w:rFonts w:hint="eastAsia" w:ascii="宋体" w:hAnsi="宋体" w:cs="宋体"/>
                <w:color w:val="auto"/>
                <w:sz w:val="18"/>
                <w:szCs w:val="18"/>
                <w:highlight w:val="none"/>
                <w:u w:val="single"/>
                <w:lang w:eastAsia="zh-CN"/>
              </w:rPr>
              <w:t>、</w:t>
            </w:r>
            <w:r>
              <w:rPr>
                <w:rFonts w:hint="eastAsia" w:ascii="宋体" w:hAnsi="宋体" w:cs="宋体"/>
                <w:color w:val="auto"/>
                <w:sz w:val="18"/>
                <w:szCs w:val="18"/>
                <w:highlight w:val="none"/>
                <w:u w:val="single"/>
              </w:rPr>
              <w:t>国网特高压公司</w:t>
            </w:r>
            <w:r>
              <w:rPr>
                <w:rFonts w:hint="eastAsia" w:ascii="宋体" w:hAnsi="宋体" w:cs="宋体"/>
                <w:color w:val="auto"/>
                <w:sz w:val="18"/>
                <w:szCs w:val="18"/>
                <w:highlight w:val="none"/>
                <w:u w:val="single"/>
                <w:lang w:val="en-US" w:eastAsia="zh-CN"/>
              </w:rPr>
              <w:t>和国网安徽电力</w:t>
            </w:r>
            <w:r>
              <w:rPr>
                <w:rFonts w:hint="eastAsia" w:ascii="宋体" w:hAnsi="宋体" w:cs="宋体"/>
                <w:color w:val="auto"/>
                <w:sz w:val="18"/>
                <w:szCs w:val="18"/>
                <w:highlight w:val="none"/>
                <w:u w:val="single"/>
              </w:rPr>
              <w:t>有关规定执行</w:t>
            </w:r>
            <w:r>
              <w:rPr>
                <w:rFonts w:hint="eastAsia" w:ascii="宋体" w:hAnsi="宋体" w:cs="宋体"/>
                <w:color w:val="auto"/>
                <w:sz w:val="18"/>
                <w:szCs w:val="18"/>
                <w:highlight w:val="none"/>
                <w:u w:val="single"/>
                <w:lang w:eastAsia="zh-CN"/>
              </w:rPr>
              <w:t>。</w:t>
            </w:r>
          </w:p>
        </w:tc>
        <w:tc>
          <w:tcPr>
            <w:tcW w:w="808" w:type="dxa"/>
            <w:vAlign w:val="center"/>
          </w:tcPr>
          <w:p w14:paraId="3ADE638C">
            <w:pPr>
              <w:widowControl/>
              <w:jc w:val="center"/>
              <w:rPr>
                <w:rFonts w:hint="eastAsia" w:ascii="宋体" w:hAnsi="宋体" w:cs="宋体"/>
                <w:b/>
                <w:bCs/>
                <w:color w:val="auto"/>
                <w:kern w:val="0"/>
                <w:sz w:val="18"/>
                <w:szCs w:val="18"/>
                <w:highlight w:val="none"/>
              </w:rPr>
            </w:pPr>
          </w:p>
        </w:tc>
      </w:tr>
      <w:tr w14:paraId="7424C35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01FE7915">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5C4B8777">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专用条款1.6.2</w:t>
            </w:r>
          </w:p>
        </w:tc>
        <w:tc>
          <w:tcPr>
            <w:tcW w:w="4253" w:type="dxa"/>
            <w:vAlign w:val="center"/>
          </w:tcPr>
          <w:p w14:paraId="35E85E65">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1.6.2 委托人应按照下列约定向监理人提供应由委托人提供的文件：</w:t>
            </w:r>
          </w:p>
          <w:p w14:paraId="5F18EB3A">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委托人提供的文件名称：</w:t>
            </w:r>
          </w:p>
          <w:p w14:paraId="4E3575D9">
            <w:pPr>
              <w:spacing w:line="240" w:lineRule="atLeast"/>
              <w:rPr>
                <w:rFonts w:hint="eastAsia" w:ascii="宋体" w:hAnsi="宋体" w:cs="宋体"/>
                <w:color w:val="auto"/>
                <w:sz w:val="18"/>
                <w:szCs w:val="18"/>
                <w:highlight w:val="none"/>
              </w:rPr>
            </w:pPr>
            <w:permStart w:id="0" w:edGrp="everyone"/>
            <w:permEnd w:id="0"/>
            <w:r>
              <w:rPr>
                <w:rFonts w:hint="eastAsia" w:ascii="宋体" w:hAnsi="宋体" w:cs="宋体"/>
                <w:color w:val="auto"/>
                <w:sz w:val="18"/>
                <w:szCs w:val="18"/>
                <w:highlight w:val="none"/>
              </w:rPr>
              <w:t>。</w:t>
            </w:r>
          </w:p>
          <w:p w14:paraId="417B1DF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提供数量：</w:t>
            </w:r>
            <w:permStart w:id="1" w:edGrp="everyone"/>
            <w:permEnd w:id="1"/>
            <w:r>
              <w:rPr>
                <w:rFonts w:hint="eastAsia" w:ascii="宋体" w:hAnsi="宋体" w:cs="宋体"/>
                <w:color w:val="auto"/>
                <w:sz w:val="18"/>
                <w:szCs w:val="18"/>
                <w:highlight w:val="none"/>
              </w:rPr>
              <w:t>。</w:t>
            </w:r>
          </w:p>
          <w:p w14:paraId="3C358915">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提供期限：</w:t>
            </w:r>
            <w:permStart w:id="2" w:edGrp="everyone"/>
            <w:permEnd w:id="2"/>
          </w:p>
        </w:tc>
        <w:tc>
          <w:tcPr>
            <w:tcW w:w="3969" w:type="dxa"/>
            <w:vAlign w:val="center"/>
          </w:tcPr>
          <w:p w14:paraId="5DDC0FB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1.6.2 委托人应按照下列约定向监理人提供应由委托人提供的文件：</w:t>
            </w:r>
          </w:p>
          <w:p w14:paraId="5317A3F0">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委托人提供的文件名称：</w:t>
            </w:r>
          </w:p>
          <w:p w14:paraId="6A870EBA">
            <w:pPr>
              <w:spacing w:line="240" w:lineRule="atLeast"/>
              <w:rPr>
                <w:rFonts w:hint="eastAsia" w:ascii="宋体" w:hAnsi="宋体" w:cs="宋体"/>
                <w:color w:val="auto"/>
                <w:sz w:val="18"/>
                <w:szCs w:val="18"/>
                <w:highlight w:val="none"/>
              </w:rPr>
            </w:pPr>
            <w:permStart w:id="3" w:edGrp="everyone"/>
            <w:r>
              <w:rPr>
                <w:rFonts w:hint="eastAsia" w:ascii="宋体" w:hAnsi="宋体" w:cs="宋体"/>
                <w:color w:val="auto"/>
                <w:sz w:val="18"/>
                <w:szCs w:val="18"/>
                <w:highlight w:val="none"/>
                <w:u w:val="single"/>
              </w:rPr>
              <w:t xml:space="preserve"> 施工合同、设计合同和设计文件等有关资料 </w:t>
            </w:r>
            <w:permEnd w:id="3"/>
            <w:r>
              <w:rPr>
                <w:rFonts w:hint="eastAsia" w:ascii="宋体" w:hAnsi="宋体" w:cs="宋体"/>
                <w:color w:val="auto"/>
                <w:sz w:val="18"/>
                <w:szCs w:val="18"/>
                <w:highlight w:val="none"/>
              </w:rPr>
              <w:t>。</w:t>
            </w:r>
          </w:p>
          <w:p w14:paraId="7C5C47D7">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提供数量：</w:t>
            </w:r>
            <w:permStart w:id="4" w:edGrp="everyone"/>
            <w:r>
              <w:rPr>
                <w:rFonts w:hint="eastAsia" w:ascii="宋体" w:hAnsi="宋体" w:cs="宋体"/>
                <w:color w:val="auto"/>
                <w:sz w:val="18"/>
                <w:szCs w:val="18"/>
                <w:highlight w:val="none"/>
                <w:u w:val="single"/>
              </w:rPr>
              <w:t xml:space="preserve">施工图纸2套，其他资料1套 </w:t>
            </w:r>
            <w:permEnd w:id="4"/>
            <w:r>
              <w:rPr>
                <w:rFonts w:hint="eastAsia" w:ascii="宋体" w:hAnsi="宋体" w:cs="宋体"/>
                <w:color w:val="auto"/>
                <w:sz w:val="18"/>
                <w:szCs w:val="18"/>
                <w:highlight w:val="none"/>
              </w:rPr>
              <w:t>。</w:t>
            </w:r>
          </w:p>
          <w:p w14:paraId="138BB135">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提供期限：</w:t>
            </w:r>
            <w:permStart w:id="5" w:edGrp="everyone"/>
            <w:r>
              <w:rPr>
                <w:rFonts w:hint="eastAsia" w:ascii="宋体" w:hAnsi="宋体" w:cs="宋体"/>
                <w:color w:val="auto"/>
                <w:sz w:val="18"/>
                <w:szCs w:val="18"/>
                <w:highlight w:val="none"/>
                <w:u w:val="single"/>
              </w:rPr>
              <w:t xml:space="preserve"> 按工程实际进展需要提供相关文件 </w:t>
            </w:r>
            <w:permEnd w:id="5"/>
            <w:r>
              <w:rPr>
                <w:rFonts w:hint="eastAsia" w:ascii="宋体" w:hAnsi="宋体" w:cs="宋体"/>
                <w:color w:val="auto"/>
                <w:sz w:val="18"/>
                <w:szCs w:val="18"/>
                <w:highlight w:val="none"/>
              </w:rPr>
              <w:t>。</w:t>
            </w:r>
          </w:p>
          <w:p w14:paraId="765ECE5C">
            <w:pPr>
              <w:spacing w:line="240" w:lineRule="atLeast"/>
              <w:rPr>
                <w:rFonts w:hint="eastAsia" w:ascii="宋体" w:hAnsi="宋体" w:cs="宋体"/>
                <w:color w:val="auto"/>
                <w:sz w:val="18"/>
                <w:szCs w:val="18"/>
                <w:highlight w:val="none"/>
              </w:rPr>
            </w:pPr>
          </w:p>
        </w:tc>
        <w:tc>
          <w:tcPr>
            <w:tcW w:w="808" w:type="dxa"/>
            <w:vAlign w:val="center"/>
          </w:tcPr>
          <w:p w14:paraId="78A031C5">
            <w:pPr>
              <w:widowControl/>
              <w:jc w:val="center"/>
              <w:rPr>
                <w:rFonts w:hint="eastAsia" w:ascii="宋体" w:hAnsi="宋体" w:cs="宋体"/>
                <w:b/>
                <w:bCs/>
                <w:color w:val="auto"/>
                <w:kern w:val="0"/>
                <w:sz w:val="18"/>
                <w:szCs w:val="18"/>
                <w:highlight w:val="none"/>
              </w:rPr>
            </w:pPr>
          </w:p>
        </w:tc>
      </w:tr>
      <w:tr w14:paraId="0EE6B88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76ED45F9">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30284CE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专用条款4.1.4</w:t>
            </w:r>
          </w:p>
        </w:tc>
        <w:tc>
          <w:tcPr>
            <w:tcW w:w="4253" w:type="dxa"/>
            <w:vAlign w:val="center"/>
          </w:tcPr>
          <w:p w14:paraId="344C9372">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w:t>
            </w:r>
            <w:r>
              <w:rPr>
                <w:rFonts w:ascii="宋体" w:hAnsi="宋体" w:cs="宋体"/>
                <w:color w:val="auto"/>
                <w:sz w:val="18"/>
                <w:szCs w:val="18"/>
                <w:highlight w:val="none"/>
              </w:rPr>
              <w:t>11）</w:t>
            </w:r>
            <w:r>
              <w:rPr>
                <w:rFonts w:hint="eastAsia" w:ascii="宋体" w:hAnsi="宋体" w:cs="宋体"/>
                <w:color w:val="auto"/>
                <w:sz w:val="18"/>
                <w:szCs w:val="18"/>
                <w:highlight w:val="none"/>
              </w:rPr>
              <w:t>其他：</w:t>
            </w:r>
          </w:p>
        </w:tc>
        <w:tc>
          <w:tcPr>
            <w:tcW w:w="3969" w:type="dxa"/>
            <w:vAlign w:val="center"/>
          </w:tcPr>
          <w:p w14:paraId="6012EC39">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（11）其他：</w:t>
            </w:r>
            <w:permStart w:id="6" w:edGrp="everyone"/>
            <w:r>
              <w:rPr>
                <w:rFonts w:hint="eastAsia" w:ascii="宋体" w:hAnsi="宋体" w:cs="宋体"/>
                <w:color w:val="auto"/>
                <w:sz w:val="18"/>
                <w:szCs w:val="18"/>
                <w:highlight w:val="none"/>
              </w:rPr>
              <w:t>①</w:t>
            </w:r>
            <w:r>
              <w:rPr>
                <w:rFonts w:hint="eastAsia" w:ascii="宋体" w:hAnsi="宋体" w:cs="宋体"/>
                <w:color w:val="auto"/>
                <w:sz w:val="18"/>
                <w:szCs w:val="18"/>
                <w:highlight w:val="none"/>
                <w:u w:val="single"/>
              </w:rPr>
              <w:t>监理人应按照国家电网有限公司</w:t>
            </w:r>
            <w:r>
              <w:rPr>
                <w:rFonts w:hint="eastAsia" w:ascii="宋体" w:hAnsi="宋体" w:cs="宋体"/>
                <w:color w:val="auto"/>
                <w:sz w:val="18"/>
                <w:szCs w:val="18"/>
                <w:highlight w:val="none"/>
                <w:u w:val="single"/>
                <w:lang w:eastAsia="zh-CN"/>
              </w:rPr>
              <w:t>、</w:t>
            </w:r>
            <w:r>
              <w:rPr>
                <w:rFonts w:hint="eastAsia" w:ascii="宋体" w:hAnsi="宋体" w:cs="宋体"/>
                <w:color w:val="auto"/>
                <w:sz w:val="18"/>
                <w:szCs w:val="18"/>
                <w:highlight w:val="none"/>
                <w:u w:val="single"/>
              </w:rPr>
              <w:t>国网特高压公司</w:t>
            </w:r>
            <w:r>
              <w:rPr>
                <w:rFonts w:hint="eastAsia" w:ascii="宋体" w:hAnsi="宋体" w:cs="宋体"/>
                <w:color w:val="auto"/>
                <w:sz w:val="18"/>
                <w:szCs w:val="18"/>
                <w:highlight w:val="none"/>
                <w:u w:val="single"/>
                <w:lang w:val="en-US" w:eastAsia="zh-CN"/>
              </w:rPr>
              <w:t>和国网安徽电力</w:t>
            </w:r>
            <w:r>
              <w:rPr>
                <w:rFonts w:hint="eastAsia" w:ascii="宋体" w:hAnsi="宋体" w:cs="宋体"/>
                <w:color w:val="auto"/>
                <w:sz w:val="18"/>
                <w:szCs w:val="18"/>
                <w:highlight w:val="none"/>
                <w:u w:val="single"/>
              </w:rPr>
              <w:t>有关规定，在</w:t>
            </w:r>
            <w:r>
              <w:rPr>
                <w:rFonts w:hint="eastAsia"/>
                <w:color w:val="auto"/>
                <w:sz w:val="18"/>
                <w:highlight w:val="none"/>
              </w:rPr>
              <w:t>e基建2.0</w:t>
            </w:r>
            <w:r>
              <w:rPr>
                <w:rFonts w:hint="eastAsia" w:ascii="宋体" w:hAnsi="宋体" w:cs="宋体"/>
                <w:color w:val="auto"/>
                <w:sz w:val="18"/>
                <w:szCs w:val="18"/>
                <w:highlight w:val="none"/>
                <w:u w:val="single"/>
              </w:rPr>
              <w:t>（含现场部分）及时、完整、准确填报项目信息；</w:t>
            </w:r>
            <w:r>
              <w:rPr>
                <w:rFonts w:hint="eastAsia" w:ascii="宋体" w:hAnsi="宋体" w:cs="宋体"/>
                <w:color w:val="auto"/>
                <w:sz w:val="18"/>
                <w:szCs w:val="18"/>
                <w:highlight w:val="none"/>
              </w:rPr>
              <w:t>②</w:t>
            </w:r>
            <w:r>
              <w:rPr>
                <w:rFonts w:hint="eastAsia" w:ascii="宋体" w:hAnsi="宋体" w:cs="宋体"/>
                <w:color w:val="auto"/>
                <w:sz w:val="18"/>
                <w:szCs w:val="18"/>
                <w:highlight w:val="none"/>
                <w:u w:val="single"/>
              </w:rPr>
              <w:t>监理人应严格执行委托人在本合同中未列举或新发布的相关管理规定；</w:t>
            </w:r>
            <w:r>
              <w:rPr>
                <w:rFonts w:hint="eastAsia" w:ascii="宋体" w:hAnsi="宋体" w:cs="宋体"/>
                <w:color w:val="auto"/>
                <w:sz w:val="18"/>
                <w:szCs w:val="18"/>
                <w:highlight w:val="none"/>
              </w:rPr>
              <w:t>③</w:t>
            </w:r>
            <w:r>
              <w:rPr>
                <w:rFonts w:hint="eastAsia" w:ascii="宋体" w:hAnsi="宋体" w:cs="宋体"/>
                <w:color w:val="auto"/>
                <w:sz w:val="18"/>
                <w:szCs w:val="18"/>
                <w:highlight w:val="none"/>
                <w:u w:val="single"/>
              </w:rPr>
              <w:t>委托人、政府有关部门对工程安全、文明施工及工程质量、进度、投资的现场检查，如发现不符合本合同约定及国家、行业、工程所在地有关规定的，委托人有权对监理人进行考核，标准参照委托人基建工程项目管理的有关规定；④监理人了解并知悉防疫对合同履行的影响及后果，承诺做好防疫防控措施，保证按约定履行合同义务</w:t>
            </w:r>
            <w:permEnd w:id="6"/>
            <w:r>
              <w:rPr>
                <w:rFonts w:hint="eastAsia" w:ascii="宋体" w:hAnsi="宋体" w:cs="宋体"/>
                <w:color w:val="auto"/>
                <w:sz w:val="18"/>
                <w:szCs w:val="18"/>
                <w:highlight w:val="none"/>
              </w:rPr>
              <w:t>。</w:t>
            </w:r>
          </w:p>
        </w:tc>
        <w:tc>
          <w:tcPr>
            <w:tcW w:w="808" w:type="dxa"/>
            <w:vAlign w:val="center"/>
          </w:tcPr>
          <w:p w14:paraId="4DEF8C1E">
            <w:pPr>
              <w:widowControl/>
              <w:jc w:val="center"/>
              <w:rPr>
                <w:rFonts w:hint="eastAsia" w:ascii="宋体" w:hAnsi="宋体" w:cs="宋体"/>
                <w:b/>
                <w:bCs/>
                <w:color w:val="auto"/>
                <w:kern w:val="0"/>
                <w:sz w:val="18"/>
                <w:szCs w:val="18"/>
                <w:highlight w:val="none"/>
              </w:rPr>
            </w:pPr>
          </w:p>
        </w:tc>
      </w:tr>
      <w:tr w14:paraId="06F8CC5C">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52ED9E84">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3203849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4.2 履约担保</w:t>
            </w:r>
          </w:p>
        </w:tc>
        <w:tc>
          <w:tcPr>
            <w:tcW w:w="4253" w:type="dxa"/>
            <w:vAlign w:val="center"/>
          </w:tcPr>
          <w:p w14:paraId="250581F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4.2 履约担保</w:t>
            </w:r>
          </w:p>
          <w:p w14:paraId="5261C99A">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监理人应按下列要求向委托人提供履约担保：</w:t>
            </w:r>
          </w:p>
          <w:p w14:paraId="1C1B4C6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履约担保应为由中国注册的具有担保经营业务资格的银行或有关金融机构开具的保函（格式参考附件2《履约保函》），或者为现金、汇票、支票，或向具有保证保险经营业务资格的保险公司投保履约保证保险，该履约保证保险产品应经银行保险监管部门审批或备案。履约保函应符合招标文件规定或本合同约定的格式。因执行本条款所发生的费用由监理人承担。</w:t>
            </w:r>
          </w:p>
        </w:tc>
        <w:tc>
          <w:tcPr>
            <w:tcW w:w="3969" w:type="dxa"/>
            <w:vAlign w:val="center"/>
          </w:tcPr>
          <w:p w14:paraId="28F19406">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4.2 履约担保  不适用。</w:t>
            </w:r>
          </w:p>
        </w:tc>
        <w:tc>
          <w:tcPr>
            <w:tcW w:w="808" w:type="dxa"/>
            <w:vAlign w:val="center"/>
          </w:tcPr>
          <w:p w14:paraId="13BE8BA4">
            <w:pPr>
              <w:pStyle w:val="2"/>
              <w:rPr>
                <w:color w:val="auto"/>
                <w:highlight w:val="none"/>
              </w:rPr>
            </w:pPr>
          </w:p>
          <w:p w14:paraId="05680C66">
            <w:pPr>
              <w:rPr>
                <w:color w:val="auto"/>
                <w:highlight w:val="none"/>
              </w:rPr>
            </w:pPr>
          </w:p>
        </w:tc>
      </w:tr>
      <w:tr w14:paraId="660D112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29DC3D91">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0977A95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专用条款4.4.1</w:t>
            </w:r>
          </w:p>
        </w:tc>
        <w:tc>
          <w:tcPr>
            <w:tcW w:w="4253" w:type="dxa"/>
            <w:vAlign w:val="center"/>
          </w:tcPr>
          <w:p w14:paraId="3B3B3D71">
            <w:pPr>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监理人擅自更换总监理工程师的违约责任： </w:t>
            </w:r>
          </w:p>
        </w:tc>
        <w:tc>
          <w:tcPr>
            <w:tcW w:w="3969" w:type="dxa"/>
            <w:vAlign w:val="center"/>
          </w:tcPr>
          <w:p w14:paraId="6FFEE733">
            <w:pPr>
              <w:pStyle w:val="8"/>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特殊原因需要撤换总监理工程师、总监代表时，提前14天将拟更换的总监理工程师、总监代表姓名和详细资料提交发包人，并征得发包人书面同意。</w:t>
            </w:r>
          </w:p>
          <w:p w14:paraId="31F47346">
            <w:pPr>
              <w:pStyle w:val="8"/>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监理人擅自更换总监理工程师的违约责任： </w:t>
            </w:r>
          </w:p>
          <w:p w14:paraId="0E756226">
            <w:pPr>
              <w:pStyle w:val="8"/>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监理人未经委托人同意擅自更换项目总监理工程师（总监代表）的或派遣的总监理工程师（总监代表）与合同约定不一致的，需进行</w:t>
            </w:r>
            <w:r>
              <w:rPr>
                <w:rFonts w:hint="eastAsia" w:asciiTheme="majorEastAsia" w:hAnsiTheme="majorEastAsia" w:eastAsiaTheme="majorEastAsia" w:cstheme="majorEastAsia"/>
                <w:color w:val="auto"/>
                <w:kern w:val="0"/>
                <w:sz w:val="18"/>
                <w:szCs w:val="18"/>
                <w:highlight w:val="none"/>
                <w:lang w:val="en-US" w:eastAsia="zh-CN"/>
              </w:rPr>
              <w:t>扣除</w:t>
            </w:r>
            <w:r>
              <w:rPr>
                <w:rFonts w:hint="eastAsia" w:asciiTheme="majorEastAsia" w:hAnsiTheme="majorEastAsia" w:eastAsiaTheme="majorEastAsia" w:cstheme="majorEastAsia"/>
                <w:color w:val="auto"/>
                <w:kern w:val="0"/>
                <w:sz w:val="18"/>
                <w:szCs w:val="18"/>
                <w:highlight w:val="none"/>
              </w:rPr>
              <w:t>。</w:t>
            </w:r>
          </w:p>
          <w:p w14:paraId="4FE06FAB">
            <w:pPr>
              <w:pStyle w:val="8"/>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lang w:val="en-US" w:eastAsia="zh-CN"/>
              </w:rPr>
              <w:t>扣除</w:t>
            </w:r>
            <w:r>
              <w:rPr>
                <w:rFonts w:hint="eastAsia" w:asciiTheme="majorEastAsia" w:hAnsiTheme="majorEastAsia" w:eastAsiaTheme="majorEastAsia" w:cstheme="majorEastAsia"/>
                <w:color w:val="auto"/>
                <w:kern w:val="0"/>
                <w:sz w:val="18"/>
                <w:szCs w:val="18"/>
                <w:highlight w:val="none"/>
              </w:rPr>
              <w:t>标准为每发现一人次</w:t>
            </w:r>
            <w:r>
              <w:rPr>
                <w:rFonts w:hint="eastAsia" w:asciiTheme="majorEastAsia" w:hAnsiTheme="majorEastAsia" w:eastAsiaTheme="majorEastAsia" w:cstheme="majorEastAsia"/>
                <w:color w:val="auto"/>
                <w:kern w:val="0"/>
                <w:sz w:val="18"/>
                <w:szCs w:val="18"/>
                <w:highlight w:val="none"/>
                <w:lang w:val="en-US" w:eastAsia="zh-CN"/>
              </w:rPr>
              <w:t>扣除</w:t>
            </w:r>
            <w:r>
              <w:rPr>
                <w:rFonts w:hint="eastAsia" w:asciiTheme="majorEastAsia" w:hAnsiTheme="majorEastAsia" w:eastAsiaTheme="majorEastAsia" w:cstheme="majorEastAsia"/>
                <w:color w:val="auto"/>
                <w:kern w:val="0"/>
                <w:sz w:val="18"/>
                <w:szCs w:val="18"/>
                <w:highlight w:val="none"/>
              </w:rPr>
              <w:t>叁仟元人民币或签约合同价的1％中二者金额较低者。累计</w:t>
            </w:r>
            <w:r>
              <w:rPr>
                <w:rFonts w:hint="eastAsia" w:asciiTheme="majorEastAsia" w:hAnsiTheme="majorEastAsia" w:eastAsiaTheme="majorEastAsia" w:cstheme="majorEastAsia"/>
                <w:color w:val="auto"/>
                <w:kern w:val="0"/>
                <w:sz w:val="18"/>
                <w:szCs w:val="18"/>
                <w:highlight w:val="none"/>
                <w:lang w:val="en-US" w:eastAsia="zh-CN"/>
              </w:rPr>
              <w:t>扣除</w:t>
            </w:r>
            <w:r>
              <w:rPr>
                <w:rFonts w:hint="eastAsia" w:asciiTheme="majorEastAsia" w:hAnsiTheme="majorEastAsia" w:eastAsiaTheme="majorEastAsia" w:cstheme="majorEastAsia"/>
                <w:color w:val="auto"/>
                <w:kern w:val="0"/>
                <w:sz w:val="18"/>
                <w:szCs w:val="18"/>
                <w:highlight w:val="none"/>
              </w:rPr>
              <w:t>金额不超过签约合同价的5%。</w:t>
            </w:r>
          </w:p>
          <w:p w14:paraId="318640AE">
            <w:pPr>
              <w:pStyle w:val="43"/>
              <w:spacing w:line="360" w:lineRule="exact"/>
              <w:rPr>
                <w:rFonts w:hint="eastAsia" w:ascii="宋体" w:hAnsi="宋体"/>
                <w:b/>
                <w:color w:val="auto"/>
                <w:sz w:val="18"/>
                <w:szCs w:val="18"/>
                <w:highlight w:val="none"/>
              </w:rPr>
            </w:pPr>
            <w:r>
              <w:rPr>
                <w:rFonts w:hint="eastAsia" w:asciiTheme="majorEastAsia" w:hAnsiTheme="majorEastAsia" w:eastAsiaTheme="majorEastAsia" w:cstheme="majorEastAsia"/>
                <w:color w:val="auto"/>
                <w:sz w:val="18"/>
                <w:szCs w:val="18"/>
                <w:highlight w:val="none"/>
              </w:rPr>
              <w:t>同时监理人应按要求重新派符合合同及招标文件要求的总监理工程师。</w:t>
            </w:r>
          </w:p>
        </w:tc>
        <w:tc>
          <w:tcPr>
            <w:tcW w:w="808" w:type="dxa"/>
            <w:vAlign w:val="center"/>
          </w:tcPr>
          <w:p w14:paraId="508AF81F">
            <w:pPr>
              <w:pStyle w:val="2"/>
              <w:rPr>
                <w:color w:val="auto"/>
                <w:highlight w:val="none"/>
              </w:rPr>
            </w:pPr>
          </w:p>
        </w:tc>
      </w:tr>
      <w:tr w14:paraId="7ECFAABD">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98" w:type="dxa"/>
            <w:vAlign w:val="center"/>
          </w:tcPr>
          <w:p w14:paraId="5B2CC416">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21E28958">
            <w:pPr>
              <w:widowControl/>
              <w:jc w:val="left"/>
              <w:rPr>
                <w:rFonts w:hint="eastAsia" w:ascii="宋体" w:hAnsi="宋体" w:cs="Arial"/>
                <w:color w:val="auto"/>
                <w:kern w:val="0"/>
                <w:sz w:val="18"/>
                <w:szCs w:val="18"/>
                <w:highlight w:val="none"/>
              </w:rPr>
            </w:pPr>
            <w:r>
              <w:rPr>
                <w:rFonts w:hint="eastAsia" w:ascii="宋体" w:hAnsi="宋体" w:cs="宋体"/>
                <w:color w:val="auto"/>
                <w:sz w:val="18"/>
                <w:szCs w:val="18"/>
                <w:highlight w:val="none"/>
              </w:rPr>
              <w:t>第三部分</w:t>
            </w:r>
            <w:r>
              <w:rPr>
                <w:rFonts w:hint="eastAsia" w:ascii="宋体" w:hAnsi="宋体" w:cs="Arial"/>
                <w:color w:val="auto"/>
                <w:kern w:val="0"/>
                <w:sz w:val="18"/>
                <w:szCs w:val="18"/>
                <w:highlight w:val="none"/>
              </w:rPr>
              <w:t>专用合同条款</w:t>
            </w:r>
          </w:p>
          <w:p w14:paraId="6F3A32E2">
            <w:pPr>
              <w:spacing w:line="240" w:lineRule="atLeast"/>
              <w:rPr>
                <w:rFonts w:hint="eastAsia" w:ascii="宋体" w:hAnsi="宋体" w:cs="宋体"/>
                <w:color w:val="auto"/>
                <w:sz w:val="18"/>
                <w:szCs w:val="18"/>
                <w:highlight w:val="none"/>
              </w:rPr>
            </w:pPr>
            <w:r>
              <w:rPr>
                <w:rFonts w:hint="eastAsia" w:ascii="宋体" w:hAnsi="宋体" w:cs="Arial"/>
                <w:color w:val="auto"/>
                <w:kern w:val="0"/>
                <w:sz w:val="18"/>
                <w:szCs w:val="18"/>
                <w:highlight w:val="none"/>
              </w:rPr>
              <w:t>第4.6</w:t>
            </w:r>
          </w:p>
        </w:tc>
        <w:tc>
          <w:tcPr>
            <w:tcW w:w="4253" w:type="dxa"/>
            <w:vAlign w:val="center"/>
          </w:tcPr>
          <w:p w14:paraId="71F688E0">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4.6 撤换总监理工程师和其他人员</w:t>
            </w:r>
          </w:p>
          <w:p w14:paraId="7DA3B2FE">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 xml:space="preserve">原条款作为4.6.1，并补充： </w:t>
            </w:r>
          </w:p>
          <w:p w14:paraId="6E06BCEC">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监理人投入的主要监理人员资格及配置不得低于投标承诺（详见附件3）。监理人应在收到书面更换通知后    天内更换总监理工程师和其他人员，并提供更换人员资格、管理经验等资料。</w:t>
            </w:r>
          </w:p>
          <w:p w14:paraId="27B9190B">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监理人无正当理由拒绝或逾期更换人员的，每延期一天，应向委托人支付签约合同价    %的违约金。</w:t>
            </w:r>
          </w:p>
          <w:p w14:paraId="7BC5B0CE">
            <w:pPr>
              <w:rPr>
                <w:rFonts w:hint="eastAsia" w:ascii="宋体" w:hAnsi="宋体" w:cs="宋体"/>
                <w:color w:val="auto"/>
                <w:sz w:val="18"/>
                <w:szCs w:val="18"/>
                <w:highlight w:val="none"/>
              </w:rPr>
            </w:pPr>
          </w:p>
        </w:tc>
        <w:tc>
          <w:tcPr>
            <w:tcW w:w="3969" w:type="dxa"/>
            <w:vAlign w:val="center"/>
          </w:tcPr>
          <w:p w14:paraId="66EEEDBA">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4.6 撤换总监理工程师和其他人员</w:t>
            </w:r>
          </w:p>
          <w:p w14:paraId="0FC9FD2B">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 xml:space="preserve">原条款作为4.6.1，并补充： </w:t>
            </w:r>
          </w:p>
          <w:p w14:paraId="3266C136">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监理人投入的主要监理人员资格及配置不得低于投标承诺（详见附件3）。监理人应在收到书面更换通知后  7天内更换总监理工程师和其他人员，并提供更换人员资格、管理经验等资料。</w:t>
            </w:r>
          </w:p>
          <w:p w14:paraId="5EC1335A">
            <w:pPr>
              <w:spacing w:line="240" w:lineRule="atLeast"/>
              <w:ind w:firstLine="361" w:firstLineChars="200"/>
              <w:rPr>
                <w:rFonts w:hint="eastAsia" w:ascii="宋体" w:hAnsi="宋体" w:cs="宋体"/>
                <w:b/>
                <w:color w:val="auto"/>
                <w:sz w:val="18"/>
                <w:szCs w:val="18"/>
                <w:highlight w:val="none"/>
              </w:rPr>
            </w:pPr>
            <w:r>
              <w:rPr>
                <w:rFonts w:hint="eastAsia" w:ascii="宋体" w:hAnsi="宋体" w:cs="宋体"/>
                <w:b/>
                <w:color w:val="auto"/>
                <w:sz w:val="18"/>
                <w:szCs w:val="18"/>
                <w:highlight w:val="none"/>
              </w:rPr>
              <w:t xml:space="preserve">监理人无正当理由拒绝或逾期更换人员的，每延期一天，应向委托人支付签约合同价 </w:t>
            </w:r>
            <w:r>
              <w:rPr>
                <w:rFonts w:hint="eastAsia" w:ascii="宋体" w:hAnsi="宋体" w:cs="宋体"/>
                <w:b/>
                <w:color w:val="auto"/>
                <w:sz w:val="18"/>
                <w:szCs w:val="18"/>
                <w:highlight w:val="none"/>
                <w:u w:val="single"/>
              </w:rPr>
              <w:t xml:space="preserve">0.1   </w:t>
            </w:r>
            <w:r>
              <w:rPr>
                <w:rFonts w:hint="eastAsia" w:ascii="宋体" w:hAnsi="宋体" w:cs="宋体"/>
                <w:b/>
                <w:color w:val="auto"/>
                <w:sz w:val="18"/>
                <w:szCs w:val="18"/>
                <w:highlight w:val="none"/>
              </w:rPr>
              <w:t xml:space="preserve">%的违约金。 </w:t>
            </w:r>
          </w:p>
        </w:tc>
        <w:tc>
          <w:tcPr>
            <w:tcW w:w="808" w:type="dxa"/>
            <w:vAlign w:val="center"/>
          </w:tcPr>
          <w:p w14:paraId="5730BFB1">
            <w:pPr>
              <w:widowControl/>
              <w:jc w:val="center"/>
              <w:rPr>
                <w:rFonts w:hint="eastAsia" w:ascii="宋体" w:hAnsi="宋体" w:cs="宋体"/>
                <w:b/>
                <w:bCs/>
                <w:color w:val="auto"/>
                <w:kern w:val="0"/>
                <w:sz w:val="18"/>
                <w:szCs w:val="18"/>
                <w:highlight w:val="none"/>
              </w:rPr>
            </w:pPr>
          </w:p>
        </w:tc>
      </w:tr>
      <w:tr w14:paraId="00586CBE">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8" w:type="dxa"/>
            <w:vAlign w:val="center"/>
          </w:tcPr>
          <w:p w14:paraId="627D06D1">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4B15DFEC">
            <w:pPr>
              <w:widowControl/>
              <w:jc w:val="left"/>
              <w:rPr>
                <w:rFonts w:hint="eastAsia" w:ascii="宋体" w:hAnsi="宋体" w:cs="Arial"/>
                <w:color w:val="auto"/>
                <w:kern w:val="0"/>
                <w:sz w:val="18"/>
                <w:szCs w:val="18"/>
                <w:highlight w:val="none"/>
              </w:rPr>
            </w:pPr>
            <w:r>
              <w:rPr>
                <w:rFonts w:hint="eastAsia" w:ascii="宋体" w:hAnsi="宋体" w:cs="宋体"/>
                <w:color w:val="auto"/>
                <w:sz w:val="18"/>
                <w:szCs w:val="18"/>
                <w:highlight w:val="none"/>
              </w:rPr>
              <w:t>第三部分</w:t>
            </w:r>
            <w:r>
              <w:rPr>
                <w:rFonts w:hint="eastAsia" w:ascii="宋体" w:hAnsi="宋体" w:cs="Arial"/>
                <w:color w:val="auto"/>
                <w:kern w:val="0"/>
                <w:sz w:val="18"/>
                <w:szCs w:val="18"/>
                <w:highlight w:val="none"/>
              </w:rPr>
              <w:t>专用合同条款</w:t>
            </w:r>
          </w:p>
          <w:p w14:paraId="6DFA72EF">
            <w:pPr>
              <w:widowControl/>
              <w:jc w:val="left"/>
              <w:rPr>
                <w:rFonts w:hint="eastAsia" w:ascii="宋体" w:hAnsi="宋体" w:cs="宋体"/>
                <w:color w:val="auto"/>
                <w:sz w:val="18"/>
                <w:szCs w:val="18"/>
                <w:highlight w:val="none"/>
              </w:rPr>
            </w:pPr>
            <w:r>
              <w:rPr>
                <w:rFonts w:hint="eastAsia" w:ascii="宋体" w:hAnsi="宋体" w:cs="Arial"/>
                <w:color w:val="auto"/>
                <w:kern w:val="0"/>
                <w:sz w:val="18"/>
                <w:szCs w:val="18"/>
                <w:highlight w:val="none"/>
              </w:rPr>
              <w:t>第5.1.4.2 施工阶段监理范围及内容</w:t>
            </w:r>
          </w:p>
        </w:tc>
        <w:tc>
          <w:tcPr>
            <w:tcW w:w="4253" w:type="dxa"/>
            <w:vAlign w:val="center"/>
          </w:tcPr>
          <w:p w14:paraId="1496BA0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（1）变电监理服务范围包括但不限于：</w:t>
            </w:r>
          </w:p>
          <w:p w14:paraId="7831C2DA">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①负责变电站四通一平、建筑、安装、调试、通信部分施工监理；</w:t>
            </w:r>
          </w:p>
          <w:p w14:paraId="3559A17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②施工、安装、调试、隐蔽工程的中间验收、竣工验收及启动投运，资料整理归档、工程移交、环保及水保监理并配合验收、创优、结算工程量审核、竣工结算、质量保修，工程监理总结等全方位、全过程建设监理工作（包括工程质量控制、进度控制、投资控制，工程建设合同管理、信息管理以及履行建设工程安全生产管理法定职责等）；</w:t>
            </w:r>
          </w:p>
          <w:p w14:paraId="66853E1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③协调工程建设施工、供货、设计等各有关单位间的工作关系，并将“三控制、两管理、一协调”的工作内容以及履行建设工程安全生产管理法定职责的服务始终贯穿于工程建设的各阶段中。工程试运行消缺完成并且系统带电正常后，征得建设管理单位同意可离开现场，创优及工程后期各阶段活动时，根据有关通知进行配合工作，直至工程保修期和创优工作结束。</w:t>
            </w:r>
          </w:p>
          <w:p w14:paraId="24FFB20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（2）输电线路工程（包括大跨越工程）的监理服务范围包括但不限于：</w:t>
            </w:r>
          </w:p>
          <w:p w14:paraId="4441518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①线路工程（包括大跨越）的主要材料采购、工程协调、施工、竣工验收及启动投运、资料整理归档、工程移交、环保及水保监理并配合验收、达标投产创优、结算工程量审核、竣工结算、质量保修、工程监理总结等全方位、全过程建设监理工作（包括工程质量控制、进度控制、投资控制，工程建设合同管理、信息管理以及履行建设工程安全生产管理法定职责等）；</w:t>
            </w:r>
          </w:p>
          <w:p w14:paraId="45E7738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②协调工程建设施工、供货、设计等各有关单位间工作关系，并将“三控制、两管理、一协调”的工作内容以及履行建设工程安全生产管理法定职责的服务始终贯穿于工程建设各阶段。工程试运行消缺完成并且系统带电正常后，征得建设管理单位同意可离开现场，达标投产、创优各阶段活动时，根据有关通知进行配合工作，直至保修期和创优工作结束。</w:t>
            </w:r>
          </w:p>
        </w:tc>
        <w:tc>
          <w:tcPr>
            <w:tcW w:w="3969" w:type="dxa"/>
            <w:vAlign w:val="center"/>
          </w:tcPr>
          <w:p w14:paraId="6243A335">
            <w:pPr>
              <w:spacing w:line="240" w:lineRule="atLeast"/>
              <w:rPr>
                <w:rFonts w:hint="eastAsia" w:ascii="宋体" w:hAnsi="宋体"/>
                <w:b/>
                <w:color w:val="auto"/>
                <w:sz w:val="18"/>
                <w:szCs w:val="18"/>
                <w:highlight w:val="none"/>
                <w:shd w:val="clear" w:color="auto" w:fill="FFFF00"/>
              </w:rPr>
            </w:pPr>
            <w:r>
              <w:rPr>
                <w:rFonts w:hint="eastAsia" w:ascii="宋体" w:hAnsi="宋体"/>
                <w:b/>
                <w:color w:val="auto"/>
                <w:sz w:val="18"/>
                <w:szCs w:val="18"/>
                <w:highlight w:val="none"/>
              </w:rPr>
              <w:t>修改</w:t>
            </w:r>
            <w:r>
              <w:rPr>
                <w:rFonts w:ascii="宋体" w:hAnsi="宋体"/>
                <w:b/>
                <w:color w:val="auto"/>
                <w:sz w:val="18"/>
                <w:szCs w:val="18"/>
                <w:highlight w:val="none"/>
              </w:rPr>
              <w:t>为：</w:t>
            </w:r>
          </w:p>
          <w:p w14:paraId="3886950A">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（1）变电监理服务范围包括但不限于：</w:t>
            </w:r>
          </w:p>
          <w:p w14:paraId="2D2F22D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变电监理服务范围为</w:t>
            </w:r>
            <w:r>
              <w:rPr>
                <w:rFonts w:hint="eastAsia" w:ascii="宋体" w:hAnsi="宋体" w:cs="宋体"/>
                <w:color w:val="auto"/>
                <w:sz w:val="18"/>
                <w:szCs w:val="18"/>
                <w:highlight w:val="none"/>
                <w:lang w:val="en-US" w:eastAsia="zh-CN"/>
              </w:rPr>
              <w:t>管廊工程四通一平及隧道盾构施工之外</w:t>
            </w:r>
            <w:r>
              <w:rPr>
                <w:rFonts w:hint="eastAsia" w:ascii="宋体" w:hAnsi="宋体" w:cs="宋体"/>
                <w:color w:val="auto"/>
                <w:sz w:val="18"/>
                <w:szCs w:val="18"/>
                <w:highlight w:val="none"/>
              </w:rPr>
              <w:t>工程全过程、全方位、全覆盖的监理，包括但不限于：</w:t>
            </w:r>
          </w:p>
          <w:p w14:paraId="10C3DBDA">
            <w:pPr>
              <w:numPr>
                <w:ilvl w:val="0"/>
                <w:numId w:val="0"/>
              </w:num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①负责</w:t>
            </w:r>
            <w:r>
              <w:rPr>
                <w:rFonts w:hint="eastAsia" w:ascii="宋体" w:hAnsi="宋体" w:cs="宋体"/>
                <w:color w:val="auto"/>
                <w:sz w:val="18"/>
                <w:szCs w:val="18"/>
                <w:highlight w:val="none"/>
                <w:lang w:val="en-US" w:eastAsia="zh-CN"/>
              </w:rPr>
              <w:t>管廊</w:t>
            </w:r>
            <w:r>
              <w:rPr>
                <w:rFonts w:hint="eastAsia" w:ascii="宋体" w:hAnsi="宋体" w:cs="宋体"/>
                <w:color w:val="auto"/>
                <w:sz w:val="18"/>
                <w:szCs w:val="18"/>
                <w:highlight w:val="none"/>
              </w:rPr>
              <w:t>工程</w:t>
            </w:r>
            <w:r>
              <w:rPr>
                <w:rFonts w:hint="eastAsia" w:ascii="宋体" w:hAnsi="宋体" w:cs="宋体"/>
                <w:color w:val="auto"/>
                <w:sz w:val="18"/>
                <w:szCs w:val="18"/>
                <w:highlight w:val="none"/>
                <w:lang w:val="en-US" w:eastAsia="zh-CN"/>
              </w:rPr>
              <w:t>引接站</w:t>
            </w:r>
            <w:r>
              <w:rPr>
                <w:rFonts w:hint="eastAsia" w:ascii="宋体" w:hAnsi="宋体" w:cs="宋体"/>
                <w:color w:val="auto"/>
                <w:sz w:val="18"/>
                <w:szCs w:val="18"/>
                <w:highlight w:val="none"/>
              </w:rPr>
              <w:t>桩基、建筑（含现场组装厂房）、安装、调试（含特殊交接试验及线路参数测试）、站内通信、复垦等全方位、全过程监理工作（包括工程质量控制、安全控制、进度控制、造价控制、技术管理、环保和水保管理、工程协调、工程合同管理、信息及档案管理以及履行建设工程安全生产管理法定职责等）。</w:t>
            </w:r>
          </w:p>
          <w:p w14:paraId="4D605FBE">
            <w:pPr>
              <w:numPr>
                <w:ilvl w:val="0"/>
                <w:numId w:val="0"/>
              </w:num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②负责安全稳定控制系统（如有）所涉及各电厂、变电站的施工监理。</w:t>
            </w:r>
          </w:p>
          <w:p w14:paraId="21C8FD1A">
            <w:pPr>
              <w:numPr>
                <w:ilvl w:val="0"/>
                <w:numId w:val="0"/>
              </w:num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③配合招标方另行招标确定的第三方水保专项监理、监测、验收和环保监测、验收单位开展相关工作。依据国家环保、水保法律法规要求以及工程批复的环保、水保报告，开展工程环保、水保全过程监理工作：包括负责编制环保水保监理策划文件及监理报告，负责在施工期对施工单位开展环保水保工作监督检查和质量验评，负责按要求向问题施工单位及时发出停工整改通知单、并督促问题整改销号清零，负责向业主项目部、环水保监理单位(若有)及时报告施工单位存在的问题、提出建议，配合接受行政主管部门监督、检查和验收核查，提交环水保监理资料。</w:t>
            </w:r>
          </w:p>
          <w:p w14:paraId="4DE9D479">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④</w:t>
            </w:r>
            <w:r>
              <w:rPr>
                <w:rFonts w:hint="eastAsia" w:ascii="宋体" w:hAnsi="宋体" w:cs="宋体"/>
                <w:color w:val="auto"/>
                <w:sz w:val="18"/>
                <w:szCs w:val="18"/>
                <w:highlight w:val="none"/>
              </w:rPr>
              <w:t>开展项目建设全过程安全控制，包括但不限于：参加项目安委会和安全工作例会；负责审查各施工项目部安全管理制度、安全文明施工策划、安全技术措施和方案；组织安全检查并督促整改闭环，出现重大不符合情况应立即督促停工整改；监督设计、承包商开展安全通病防治、工程建设安全类强制性条文执行工作；负责对工程项目分包情况进行全过程监督和管理；负责监督施工机械、安全信息管理、安全教育培训、安全应急管理；对重要设施和重大工序转接进行安全检查签证；对三级及以上风险等级的施工工序和工程关键部位、关键工序、危险作业项目进行安全旁站；参与项目安全管理评价；参与事故应急和调查处理；组织开展国网公司要求的各类安全主题活动。负责根据施工内容，前往现有运行站点开展施工监理，并依据运行站点要求组织施工单位做好“三措一案”，现场防护等各项工作。</w:t>
            </w:r>
          </w:p>
          <w:p w14:paraId="1467E99F">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⑤</w:t>
            </w:r>
            <w:r>
              <w:rPr>
                <w:rFonts w:hint="eastAsia" w:ascii="宋体" w:hAnsi="宋体" w:cs="宋体"/>
                <w:color w:val="auto"/>
                <w:sz w:val="18"/>
                <w:szCs w:val="18"/>
                <w:highlight w:val="none"/>
              </w:rPr>
              <w:t>负责督促设计、施工单位档案资料的整理、归档，督促设备厂家按期提供厂家资料，负责备品备件、专用工器具的试验监督和组织移交。负责督促指导变电站工程有关档案的收集、整理，负责按照项目档案管理的有关要求，完成纸质档案和数字化档案的同步归档和移交工作。组织项目参建单位参与项目档案专项验收，组织完成验收问题整改。</w:t>
            </w:r>
          </w:p>
          <w:p w14:paraId="6BBA14AC">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⑥</w:t>
            </w:r>
            <w:r>
              <w:rPr>
                <w:rFonts w:hint="eastAsia" w:ascii="宋体" w:hAnsi="宋体" w:cs="宋体"/>
                <w:color w:val="auto"/>
                <w:sz w:val="18"/>
                <w:szCs w:val="18"/>
                <w:highlight w:val="none"/>
              </w:rPr>
              <w:t>负责工程各类会议（含工地例会、月（季）度工程协调会、相关考察调研参观会、工程施工方案审查会等）、各类考察检查（含外单位现场踏勘、现场参观及调研、工程安全专项检查、工程质量专项检查、质量监督、创优检查等）、各阶段验收（含中间验收、监理初检、竣工预验收、专项验收、竣工验收、启动验收等）组织、会务及配合工作；负责组织开展质量通病防治、标准工艺推广应用、质量及安全隐患排查、劳动竞赛、资信评价、科技与管理创新；负责配合示范工地、绿色建造、新技术应用等项目评价创建，以及达标投产、工程创优、移交保修、后评价、审计等工作；协调工程参建各方工作关系，保障进站道路及站内道路畅通；落实质量回访及工程质保期内配合工作。</w:t>
            </w:r>
          </w:p>
          <w:p w14:paraId="1FDEBE82">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⑦</w:t>
            </w:r>
            <w:r>
              <w:rPr>
                <w:rFonts w:hint="eastAsia" w:ascii="宋体" w:hAnsi="宋体" w:cs="宋体"/>
                <w:color w:val="auto"/>
                <w:sz w:val="18"/>
                <w:szCs w:val="18"/>
                <w:highlight w:val="none"/>
              </w:rPr>
              <w:t>负责参加国网公司总部及施工图评审单位（如有）组织的设计文件审查；负责组织甲、乙供厂家配合设计提资及深化设计工作；负责组织现场施工图会检及交底工作，检查设计单位设计成品质量（含甲、乙供厂家配合深化设计成品），核实相关规程规范、强条、质量通病防治、国网公司文件及建设管理单位创优要求等在施工图中的落实情况，发挥设计监督和把关作用；负责施工图纸梳理和催交及收发、建立现场施工图管理台账；负责监督设计工代服务；负责设计变更及现场签证初审；负责施工结算审核，并给出明确的过程审核意见。</w:t>
            </w:r>
          </w:p>
          <w:p w14:paraId="301B5AD7">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⑧</w:t>
            </w:r>
            <w:r>
              <w:rPr>
                <w:rFonts w:hint="eastAsia" w:ascii="宋体" w:hAnsi="宋体" w:cs="宋体"/>
                <w:color w:val="auto"/>
                <w:sz w:val="18"/>
                <w:szCs w:val="18"/>
                <w:highlight w:val="none"/>
              </w:rPr>
              <w:t>及时高质量完成监理及建设管理单位在现场召开的所有会议的纪要编制及其落实情况的跟踪反馈；负责工程数码照片及影像实施和管理，负责配备高质量无人机用于工程管理，负责每周拍摄并提供高清数码照片（含航拍）给建设管理单位。本工程监理需对隐蔽工程进行视频记录，费用自行测算，结算时不予调整。</w:t>
            </w:r>
          </w:p>
          <w:p w14:paraId="6010B54B">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⑨</w:t>
            </w:r>
            <w:r>
              <w:rPr>
                <w:rFonts w:hint="eastAsia" w:ascii="宋体" w:hAnsi="宋体" w:cs="宋体"/>
                <w:color w:val="auto"/>
                <w:sz w:val="18"/>
                <w:szCs w:val="18"/>
                <w:highlight w:val="none"/>
              </w:rPr>
              <w:t>负责强夯（含试夯）检测、锚杆锚索（如有）检测、回填土及地基承载力检测、基坑及边坡监测、桩基检测（含试桩、抗滑桩及工程桩）、沉降观测、工程质量第三方检测等现场各类第三方检测/监测工作全方位、全过程管理，协调施工单位做好各类第三方检测/监测配合；负责依据《国网基建部关于印发输变电工程达标投产考核工作手册和质量验收实测实量项目清单的通知》（基建安质〔2021〕27号）文件要求，配置水准仪、经纬仪、回弹仪、厚度检测仪等必要检测设备，用于现场质量检查。</w:t>
            </w:r>
          </w:p>
          <w:p w14:paraId="1CFC5077">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⑩</w:t>
            </w:r>
            <w:r>
              <w:rPr>
                <w:rFonts w:hint="eastAsia" w:ascii="宋体" w:hAnsi="宋体" w:cs="宋体"/>
                <w:color w:val="auto"/>
                <w:sz w:val="18"/>
                <w:szCs w:val="18"/>
                <w:highlight w:val="none"/>
              </w:rPr>
              <w:t>负责组织监理范围内的设备材料进场验收，检验批、分项工程、分部工程验收，单位工程预验收，隐蔽工程验收。参加设备材料的出厂验收、竣工预验收、启动验收。参加达标投产、结算工程量审核、竣工结算、全过程创优、后评价、工程审计等工作。</w:t>
            </w:r>
          </w:p>
          <w:p w14:paraId="71F0F590">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color w:val="auto"/>
                <w:sz w:val="18"/>
                <w:szCs w:val="18"/>
                <w:highlight w:val="none"/>
              </w:rPr>
              <w:t>⑪</w:t>
            </w:r>
            <w:r>
              <w:rPr>
                <w:rFonts w:hint="eastAsia" w:ascii="宋体" w:hAnsi="宋体" w:cs="宋体"/>
                <w:color w:val="auto"/>
                <w:sz w:val="18"/>
                <w:szCs w:val="18"/>
                <w:highlight w:val="none"/>
              </w:rPr>
              <w:t>协调工程建设施工、供货、设计等各有关单位间的工作关系，按规定三级及以上施工安全风险全程旁站，并将“三控制、两管理、一协调”的工作内容以及履行建设工程安全生产管理法定职责的服务始终贯穿于工程建设的各阶段中。工程试运行消缺完成并且系统带电正常后，征得建设管理单位同意可离开现场，工程后期各阶段活动时，根据有关通知进行配合工作，直至工程质保期及创优完成。</w:t>
            </w:r>
          </w:p>
          <w:p w14:paraId="17F1D6CC">
            <w:pPr>
              <w:numPr>
                <w:ilvl w:val="0"/>
                <w:numId w:val="0"/>
              </w:numPr>
              <w:spacing w:line="240" w:lineRule="atLeast"/>
              <w:rPr>
                <w:rFonts w:hint="eastAsia" w:ascii="宋体" w:hAnsi="宋体" w:cs="宋体"/>
                <w:color w:val="auto"/>
                <w:sz w:val="18"/>
                <w:szCs w:val="18"/>
                <w:highlight w:val="none"/>
              </w:rPr>
            </w:pPr>
            <w:r>
              <w:rPr>
                <w:rFonts w:hint="eastAsia" w:ascii="宋体" w:hAnsi="宋体" w:eastAsia="宋体" w:cs="宋体"/>
                <w:i w:val="0"/>
                <w:iCs w:val="0"/>
                <w:caps w:val="0"/>
                <w:color w:val="auto"/>
                <w:spacing w:val="0"/>
                <w:sz w:val="18"/>
                <w:szCs w:val="18"/>
                <w:highlight w:val="none"/>
                <w:shd w:val="clear"/>
              </w:rPr>
              <w:t>⑫</w:t>
            </w:r>
            <w:r>
              <w:rPr>
                <w:rFonts w:hint="eastAsia" w:ascii="宋体" w:hAnsi="宋体" w:cs="宋体"/>
                <w:color w:val="auto"/>
                <w:sz w:val="18"/>
                <w:szCs w:val="18"/>
                <w:highlight w:val="none"/>
              </w:rPr>
              <w:t>现场应用“数字化智慧工地应用系统”、“e基建2.0系统”、特高压主设备安装升级版措施、主设备智慧安装，投标人应做好配合工作，费用自行测算，结算时不予调整。</w:t>
            </w:r>
          </w:p>
          <w:p w14:paraId="5DFBA3C9">
            <w:pPr>
              <w:numPr>
                <w:ilvl w:val="0"/>
                <w:numId w:val="0"/>
              </w:numPr>
              <w:spacing w:line="240" w:lineRule="atLeast"/>
              <w:rPr>
                <w:rFonts w:hint="eastAsia" w:ascii="宋体" w:hAnsi="宋体" w:cs="宋体"/>
                <w:color w:val="auto"/>
                <w:sz w:val="18"/>
                <w:szCs w:val="18"/>
                <w:highlight w:val="none"/>
              </w:rPr>
            </w:pPr>
            <w:r>
              <w:rPr>
                <w:rFonts w:hint="eastAsia" w:ascii="微软雅黑" w:hAnsi="微软雅黑" w:eastAsia="微软雅黑" w:cs="微软雅黑"/>
                <w:color w:val="auto"/>
                <w:sz w:val="18"/>
                <w:szCs w:val="18"/>
                <w:highlight w:val="none"/>
              </w:rPr>
              <w:t>⑬</w:t>
            </w:r>
            <w:r>
              <w:rPr>
                <w:rFonts w:hint="eastAsia" w:ascii="宋体" w:hAnsi="宋体" w:cs="宋体"/>
                <w:color w:val="auto"/>
                <w:sz w:val="18"/>
                <w:szCs w:val="18"/>
                <w:highlight w:val="none"/>
              </w:rPr>
              <w:t>落实“六精四化”相关要求，投标人应加大施工管理力量投入，强化施工过程安全、质量、进度、技术、造价、队伍方面的管控，费用自行测算，结算时不予调整。</w:t>
            </w:r>
          </w:p>
          <w:p w14:paraId="2DA9511F">
            <w:pPr>
              <w:numPr>
                <w:ilvl w:val="0"/>
                <w:numId w:val="0"/>
              </w:numPr>
              <w:spacing w:line="240" w:lineRule="atLeast"/>
              <w:rPr>
                <w:rFonts w:hint="eastAsia" w:ascii="宋体" w:hAnsi="宋体" w:cs="宋体"/>
                <w:color w:val="auto"/>
                <w:sz w:val="18"/>
                <w:szCs w:val="18"/>
                <w:highlight w:val="none"/>
              </w:rPr>
            </w:pPr>
            <w:r>
              <w:rPr>
                <w:rFonts w:hint="eastAsia" w:ascii="微软雅黑" w:hAnsi="微软雅黑" w:eastAsia="微软雅黑" w:cs="微软雅黑"/>
                <w:color w:val="auto"/>
                <w:sz w:val="18"/>
                <w:szCs w:val="18"/>
                <w:highlight w:val="none"/>
              </w:rPr>
              <w:t>⑭</w:t>
            </w:r>
            <w:r>
              <w:rPr>
                <w:rFonts w:hint="eastAsia" w:ascii="宋体" w:hAnsi="宋体" w:cs="宋体"/>
                <w:color w:val="auto"/>
                <w:sz w:val="18"/>
                <w:szCs w:val="18"/>
                <w:highlight w:val="none"/>
              </w:rPr>
              <w:t>工程特高压油浸设备安装前，现场施工装备性能、安装人员资格应经施工（电气施工承包人）、监理、设备厂家共同签字确认后，方可开展安装。监理人要严格检查全站电缆敷设情况及电缆沟防火措施执行情况。</w:t>
            </w:r>
          </w:p>
          <w:p w14:paraId="5490CE43">
            <w:pPr>
              <w:numPr>
                <w:ilvl w:val="0"/>
                <w:numId w:val="0"/>
              </w:numPr>
              <w:spacing w:line="240" w:lineRule="atLeast"/>
              <w:rPr>
                <w:rFonts w:hint="eastAsia" w:ascii="宋体" w:hAnsi="宋体" w:cs="宋体"/>
                <w:color w:val="auto"/>
                <w:sz w:val="18"/>
                <w:szCs w:val="18"/>
                <w:highlight w:val="none"/>
              </w:rPr>
            </w:pPr>
            <w:r>
              <w:rPr>
                <w:rFonts w:hint="eastAsia" w:ascii="微软雅黑" w:hAnsi="微软雅黑" w:eastAsia="微软雅黑" w:cs="微软雅黑"/>
                <w:color w:val="auto"/>
                <w:sz w:val="18"/>
                <w:szCs w:val="18"/>
                <w:highlight w:val="none"/>
              </w:rPr>
              <w:t>⑮</w:t>
            </w:r>
            <w:r>
              <w:rPr>
                <w:rFonts w:hint="eastAsia" w:ascii="宋体" w:hAnsi="宋体" w:cs="宋体"/>
                <w:color w:val="auto"/>
                <w:sz w:val="18"/>
                <w:szCs w:val="18"/>
                <w:highlight w:val="none"/>
              </w:rPr>
              <w:t>开展质量检测的见证工作，包括但不限于设备运输及上台就位、辅控设备安装等进入现场全部工作纳入监理工作范围。</w:t>
            </w:r>
          </w:p>
          <w:p w14:paraId="0C71ED4C">
            <w:pPr>
              <w:numPr>
                <w:ilvl w:val="0"/>
                <w:numId w:val="0"/>
              </w:numPr>
              <w:spacing w:line="240" w:lineRule="atLeast"/>
              <w:rPr>
                <w:rFonts w:hint="eastAsia" w:ascii="宋体" w:hAnsi="宋体" w:cs="宋体"/>
                <w:color w:val="auto"/>
                <w:sz w:val="18"/>
                <w:szCs w:val="18"/>
                <w:highlight w:val="none"/>
              </w:rPr>
            </w:pPr>
            <w:r>
              <w:rPr>
                <w:rFonts w:hint="eastAsia" w:ascii="微软雅黑" w:hAnsi="微软雅黑" w:eastAsia="微软雅黑" w:cs="微软雅黑"/>
                <w:color w:val="auto"/>
                <w:sz w:val="18"/>
                <w:szCs w:val="18"/>
                <w:highlight w:val="none"/>
              </w:rPr>
              <w:t>⑯</w:t>
            </w:r>
            <w:r>
              <w:rPr>
                <w:rFonts w:hint="eastAsia" w:ascii="宋体" w:hAnsi="宋体" w:cs="宋体"/>
                <w:color w:val="auto"/>
                <w:sz w:val="18"/>
                <w:szCs w:val="18"/>
                <w:highlight w:val="none"/>
              </w:rPr>
              <w:t>应监督施工单位落实国务院办公厅转发国家发改委《关于在重点工程项目中大力实施以工代赈 促进当地群众就业增收工作方案》（国办函〔2022〕58号）的部署要求，加强以工代赈务工人员在施工现场的务工组织管理，及时、足额发放劳务报酬。</w:t>
            </w:r>
          </w:p>
          <w:p w14:paraId="2C4E85DB">
            <w:pPr>
              <w:numPr>
                <w:ilvl w:val="0"/>
                <w:numId w:val="0"/>
              </w:numPr>
              <w:spacing w:line="240" w:lineRule="atLeast"/>
              <w:rPr>
                <w:rFonts w:hint="eastAsia" w:ascii="宋体" w:hAnsi="宋体" w:cs="宋体"/>
                <w:color w:val="auto"/>
                <w:sz w:val="18"/>
                <w:szCs w:val="18"/>
                <w:highlight w:val="none"/>
              </w:rPr>
            </w:pPr>
            <w:r>
              <w:rPr>
                <w:rFonts w:hint="eastAsia" w:ascii="微软雅黑" w:hAnsi="微软雅黑" w:eastAsia="微软雅黑" w:cs="微软雅黑"/>
                <w:color w:val="auto"/>
                <w:sz w:val="18"/>
                <w:szCs w:val="18"/>
                <w:highlight w:val="none"/>
              </w:rPr>
              <w:t>⑰</w:t>
            </w:r>
            <w:r>
              <w:rPr>
                <w:rFonts w:hint="eastAsia" w:ascii="宋体" w:hAnsi="宋体" w:cs="宋体"/>
                <w:color w:val="auto"/>
                <w:sz w:val="18"/>
                <w:szCs w:val="18"/>
                <w:highlight w:val="none"/>
              </w:rPr>
              <w:t>发包人和建设管理单位交办的其它工作任务。</w:t>
            </w:r>
          </w:p>
          <w:p w14:paraId="71ABC183">
            <w:pPr>
              <w:pStyle w:val="2"/>
              <w:rPr>
                <w:rFonts w:hint="eastAsia" w:eastAsia="宋体"/>
                <w:lang w:eastAsia="zh-CN"/>
              </w:rPr>
            </w:pPr>
            <w:r>
              <w:rPr>
                <w:rFonts w:hint="eastAsia"/>
              </w:rPr>
              <w:t>上述服务内容的费用已包含在签约合同价中，监理人不得另行主张费用</w:t>
            </w:r>
            <w:r>
              <w:rPr>
                <w:rFonts w:hint="eastAsia"/>
                <w:lang w:eastAsia="zh-CN"/>
              </w:rPr>
              <w:t>。</w:t>
            </w:r>
          </w:p>
        </w:tc>
        <w:tc>
          <w:tcPr>
            <w:tcW w:w="808" w:type="dxa"/>
            <w:vAlign w:val="center"/>
          </w:tcPr>
          <w:p w14:paraId="1F4883B3">
            <w:pPr>
              <w:pStyle w:val="2"/>
              <w:rPr>
                <w:color w:val="auto"/>
                <w:highlight w:val="none"/>
              </w:rPr>
            </w:pPr>
          </w:p>
        </w:tc>
      </w:tr>
      <w:tr w14:paraId="7498A2A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9" w:hRule="atLeast"/>
        </w:trPr>
        <w:tc>
          <w:tcPr>
            <w:tcW w:w="398" w:type="dxa"/>
            <w:vAlign w:val="center"/>
          </w:tcPr>
          <w:p w14:paraId="2ED4E1EF">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6391562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专用条款5.3.17</w:t>
            </w:r>
          </w:p>
        </w:tc>
        <w:tc>
          <w:tcPr>
            <w:tcW w:w="4253" w:type="dxa"/>
            <w:vAlign w:val="center"/>
          </w:tcPr>
          <w:p w14:paraId="45843A06">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5.3.17其他：</w:t>
            </w:r>
          </w:p>
        </w:tc>
        <w:tc>
          <w:tcPr>
            <w:tcW w:w="3969" w:type="dxa"/>
            <w:vAlign w:val="center"/>
          </w:tcPr>
          <w:p w14:paraId="21560387">
            <w:pPr>
              <w:widowControl/>
              <w:spacing w:line="240" w:lineRule="exact"/>
              <w:rPr>
                <w:rFonts w:hint="eastAsia" w:ascii="宋体" w:hAnsi="宋体"/>
                <w:color w:val="auto"/>
                <w:kern w:val="0"/>
                <w:sz w:val="18"/>
                <w:highlight w:val="none"/>
                <w:u w:val="single"/>
              </w:rPr>
            </w:pPr>
            <w:r>
              <w:rPr>
                <w:rFonts w:hint="eastAsia" w:ascii="宋体" w:hAnsi="宋体"/>
                <w:color w:val="auto"/>
                <w:kern w:val="0"/>
                <w:sz w:val="18"/>
                <w:highlight w:val="none"/>
                <w:u w:val="single"/>
              </w:rPr>
              <w:t>增加：</w:t>
            </w:r>
          </w:p>
          <w:p w14:paraId="779165DA">
            <w:pPr>
              <w:widowControl/>
              <w:spacing w:line="240" w:lineRule="exact"/>
              <w:rPr>
                <w:rFonts w:hint="eastAsia" w:ascii="宋体" w:hAnsi="宋体"/>
                <w:color w:val="auto"/>
                <w:kern w:val="0"/>
                <w:sz w:val="18"/>
                <w:highlight w:val="none"/>
                <w:u w:val="single"/>
              </w:rPr>
            </w:pPr>
            <w:r>
              <w:rPr>
                <w:rFonts w:hint="eastAsia" w:ascii="宋体" w:hAnsi="宋体"/>
                <w:color w:val="auto"/>
                <w:kern w:val="0"/>
                <w:sz w:val="18"/>
                <w:highlight w:val="none"/>
                <w:u w:val="single"/>
              </w:rPr>
              <w:t>5.3.17.1对于工程所用的重要原材料、构配件、设备的规格、型号、性能、质量等发生疑问时，监理人经委托人同意，有权送有资质的检测单位复试。</w:t>
            </w:r>
          </w:p>
          <w:p w14:paraId="3CCE90F7">
            <w:pPr>
              <w:widowControl/>
              <w:spacing w:line="240" w:lineRule="exact"/>
              <w:rPr>
                <w:rFonts w:hint="eastAsia" w:ascii="宋体" w:hAnsi="宋体"/>
                <w:color w:val="auto"/>
                <w:kern w:val="0"/>
                <w:sz w:val="18"/>
                <w:highlight w:val="none"/>
                <w:u w:val="single"/>
              </w:rPr>
            </w:pPr>
            <w:r>
              <w:rPr>
                <w:rFonts w:hint="eastAsia" w:ascii="宋体" w:hAnsi="宋体"/>
                <w:color w:val="auto"/>
                <w:kern w:val="0"/>
                <w:sz w:val="18"/>
                <w:highlight w:val="none"/>
                <w:u w:val="single"/>
              </w:rPr>
              <w:t>5.3.17.2工程设计计划、设计技术方案的审核权。</w:t>
            </w:r>
          </w:p>
          <w:p w14:paraId="5FD24311">
            <w:pPr>
              <w:widowControl/>
              <w:spacing w:line="240" w:lineRule="exact"/>
              <w:rPr>
                <w:rFonts w:hint="eastAsia" w:ascii="宋体" w:hAnsi="宋体"/>
                <w:color w:val="auto"/>
                <w:kern w:val="0"/>
                <w:sz w:val="18"/>
                <w:highlight w:val="none"/>
                <w:u w:val="single"/>
              </w:rPr>
            </w:pPr>
            <w:r>
              <w:rPr>
                <w:rFonts w:hint="eastAsia" w:ascii="宋体" w:hAnsi="宋体"/>
                <w:color w:val="auto"/>
                <w:kern w:val="0"/>
                <w:sz w:val="18"/>
                <w:highlight w:val="none"/>
                <w:u w:val="single"/>
              </w:rPr>
              <w:t>5.3.17.3按照安全和优化的原则，对工程实施中的一般技术问题自主向设计单位提出建议意见，并向委托人提出书面报告。对设计报告、总体布置图、重大设计方案等重要技术文件的监理审核意见应报委托人同意。</w:t>
            </w:r>
          </w:p>
          <w:p w14:paraId="12972261">
            <w:pPr>
              <w:widowControl/>
              <w:spacing w:line="240" w:lineRule="exact"/>
              <w:rPr>
                <w:rFonts w:hint="eastAsia" w:ascii="宋体" w:hAnsi="宋体"/>
                <w:color w:val="auto"/>
                <w:kern w:val="0"/>
                <w:sz w:val="18"/>
                <w:highlight w:val="none"/>
              </w:rPr>
            </w:pPr>
            <w:r>
              <w:rPr>
                <w:rFonts w:hint="eastAsia" w:ascii="宋体" w:hAnsi="宋体"/>
                <w:color w:val="auto"/>
                <w:kern w:val="0"/>
                <w:sz w:val="18"/>
                <w:highlight w:val="none"/>
                <w:u w:val="single"/>
              </w:rPr>
              <w:t xml:space="preserve">5.3.17.4有权取得合同中出现的要求其遵照执行的企业规章制度 </w:t>
            </w:r>
            <w:r>
              <w:rPr>
                <w:rFonts w:hint="eastAsia" w:ascii="宋体" w:hAnsi="宋体"/>
                <w:color w:val="auto"/>
                <w:kern w:val="0"/>
                <w:sz w:val="18"/>
                <w:highlight w:val="none"/>
              </w:rPr>
              <w:t>。</w:t>
            </w:r>
          </w:p>
        </w:tc>
        <w:tc>
          <w:tcPr>
            <w:tcW w:w="808" w:type="dxa"/>
            <w:vAlign w:val="center"/>
          </w:tcPr>
          <w:p w14:paraId="45D5DB9D">
            <w:pPr>
              <w:pStyle w:val="2"/>
              <w:rPr>
                <w:color w:val="auto"/>
                <w:highlight w:val="none"/>
              </w:rPr>
            </w:pPr>
          </w:p>
        </w:tc>
      </w:tr>
      <w:tr w14:paraId="0287322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46" w:hRule="atLeast"/>
        </w:trPr>
        <w:tc>
          <w:tcPr>
            <w:tcW w:w="398" w:type="dxa"/>
            <w:vAlign w:val="center"/>
          </w:tcPr>
          <w:p w14:paraId="0C525DD4">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302201D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专用条款5.4.2</w:t>
            </w:r>
          </w:p>
        </w:tc>
        <w:tc>
          <w:tcPr>
            <w:tcW w:w="4253" w:type="dxa"/>
            <w:vAlign w:val="center"/>
          </w:tcPr>
          <w:p w14:paraId="276C47EB">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5.4.2 监理人文件的深度要求：</w:t>
            </w:r>
          </w:p>
        </w:tc>
        <w:tc>
          <w:tcPr>
            <w:tcW w:w="3969" w:type="dxa"/>
            <w:vAlign w:val="center"/>
          </w:tcPr>
          <w:p w14:paraId="4926DCF7">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rPr>
              <w:t>5.4.2 监理人文件的深度要求：</w:t>
            </w:r>
          </w:p>
          <w:p w14:paraId="4B47B822">
            <w:pPr>
              <w:widowControl/>
              <w:spacing w:line="240" w:lineRule="exact"/>
              <w:ind w:firstLine="420"/>
              <w:jc w:val="left"/>
              <w:rPr>
                <w:rFonts w:hint="eastAsia" w:ascii="宋体" w:hAnsi="宋体"/>
                <w:color w:val="auto"/>
                <w:kern w:val="0"/>
                <w:sz w:val="18"/>
                <w:highlight w:val="none"/>
              </w:rPr>
            </w:pPr>
            <w:permStart w:id="7" w:edGrp="everyone"/>
            <w:r>
              <w:rPr>
                <w:rFonts w:hint="eastAsia" w:ascii="宋体" w:hAnsi="宋体"/>
                <w:color w:val="auto"/>
                <w:kern w:val="0"/>
                <w:sz w:val="18"/>
                <w:highlight w:val="yellow"/>
                <w:u w:val="single"/>
              </w:rPr>
              <w:t>满足国家电网有限公司</w:t>
            </w:r>
            <w:r>
              <w:rPr>
                <w:rFonts w:hint="eastAsia" w:ascii="宋体" w:hAnsi="宋体"/>
                <w:color w:val="auto"/>
                <w:kern w:val="0"/>
                <w:sz w:val="18"/>
                <w:highlight w:val="yellow"/>
                <w:u w:val="single"/>
                <w:lang w:eastAsia="zh-CN"/>
              </w:rPr>
              <w:t>、</w:t>
            </w:r>
            <w:r>
              <w:rPr>
                <w:rFonts w:hint="eastAsia" w:ascii="宋体" w:hAnsi="宋体"/>
                <w:color w:val="auto"/>
                <w:kern w:val="0"/>
                <w:sz w:val="18"/>
                <w:highlight w:val="yellow"/>
                <w:u w:val="single"/>
              </w:rPr>
              <w:t>国网特高压公司</w:t>
            </w:r>
            <w:r>
              <w:rPr>
                <w:rFonts w:hint="eastAsia" w:ascii="宋体" w:hAnsi="宋体"/>
                <w:color w:val="auto"/>
                <w:kern w:val="0"/>
                <w:sz w:val="18"/>
                <w:highlight w:val="yellow"/>
                <w:u w:val="single"/>
                <w:lang w:eastAsia="zh-CN"/>
              </w:rPr>
              <w:t>、</w:t>
            </w:r>
            <w:r>
              <w:rPr>
                <w:rFonts w:hint="eastAsia" w:ascii="宋体" w:hAnsi="宋体"/>
                <w:color w:val="auto"/>
                <w:kern w:val="0"/>
                <w:sz w:val="18"/>
                <w:highlight w:val="yellow"/>
                <w:u w:val="single"/>
                <w:lang w:val="en-US" w:eastAsia="zh-CN"/>
              </w:rPr>
              <w:t>国网信通中心、国网安徽电力</w:t>
            </w:r>
            <w:r>
              <w:rPr>
                <w:rFonts w:hint="eastAsia" w:ascii="宋体" w:hAnsi="宋体"/>
                <w:color w:val="auto"/>
                <w:kern w:val="0"/>
                <w:sz w:val="18"/>
                <w:highlight w:val="yellow"/>
                <w:u w:val="single"/>
              </w:rPr>
              <w:t>相关要求</w:t>
            </w:r>
            <w:permEnd w:id="7"/>
          </w:p>
        </w:tc>
        <w:tc>
          <w:tcPr>
            <w:tcW w:w="808" w:type="dxa"/>
            <w:vAlign w:val="center"/>
          </w:tcPr>
          <w:p w14:paraId="5EA68C73">
            <w:pPr>
              <w:pStyle w:val="2"/>
              <w:rPr>
                <w:color w:val="auto"/>
                <w:highlight w:val="none"/>
              </w:rPr>
            </w:pPr>
          </w:p>
        </w:tc>
      </w:tr>
      <w:tr w14:paraId="290210D4">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9" w:hRule="atLeast"/>
        </w:trPr>
        <w:tc>
          <w:tcPr>
            <w:tcW w:w="398" w:type="dxa"/>
            <w:vAlign w:val="center"/>
          </w:tcPr>
          <w:p w14:paraId="5F819A26">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29F5D50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专用条款5.4.3</w:t>
            </w:r>
          </w:p>
        </w:tc>
        <w:tc>
          <w:tcPr>
            <w:tcW w:w="4253" w:type="dxa"/>
            <w:vAlign w:val="center"/>
          </w:tcPr>
          <w:p w14:paraId="5083CA42">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5.4.3 监理人提交的工程监理文件，应满足下列要求：</w:t>
            </w:r>
          </w:p>
          <w:p w14:paraId="3613CA1E">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5.4.3.1 具体类别：</w:t>
            </w:r>
            <w:permStart w:id="8" w:edGrp="everyone"/>
            <w:permEnd w:id="8"/>
            <w:r>
              <w:rPr>
                <w:rFonts w:hint="eastAsia" w:ascii="宋体" w:hAnsi="宋体" w:cs="宋体"/>
                <w:color w:val="auto"/>
                <w:sz w:val="18"/>
                <w:szCs w:val="18"/>
                <w:highlight w:val="none"/>
              </w:rPr>
              <w:t>。</w:t>
            </w:r>
          </w:p>
          <w:p w14:paraId="42C0B888">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5.4.3.2 提交时间：</w:t>
            </w:r>
            <w:permStart w:id="9" w:edGrp="everyone"/>
            <w:permEnd w:id="9"/>
            <w:r>
              <w:rPr>
                <w:rFonts w:hint="eastAsia" w:ascii="宋体" w:hAnsi="宋体" w:cs="宋体"/>
                <w:color w:val="auto"/>
                <w:sz w:val="18"/>
                <w:szCs w:val="18"/>
                <w:highlight w:val="none"/>
              </w:rPr>
              <w:t>。</w:t>
            </w:r>
          </w:p>
          <w:p w14:paraId="65D950D0">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5.4.3.3 提交份数：</w:t>
            </w:r>
            <w:permStart w:id="10" w:edGrp="everyone"/>
            <w:permEnd w:id="10"/>
            <w:r>
              <w:rPr>
                <w:rFonts w:hint="eastAsia" w:ascii="宋体" w:hAnsi="宋体" w:cs="宋体"/>
                <w:color w:val="auto"/>
                <w:sz w:val="18"/>
                <w:szCs w:val="18"/>
                <w:highlight w:val="none"/>
              </w:rPr>
              <w:t>。</w:t>
            </w:r>
          </w:p>
        </w:tc>
        <w:tc>
          <w:tcPr>
            <w:tcW w:w="3969" w:type="dxa"/>
            <w:vAlign w:val="center"/>
          </w:tcPr>
          <w:p w14:paraId="00A97E4A">
            <w:pPr>
              <w:widowControl/>
              <w:spacing w:line="240" w:lineRule="exact"/>
              <w:jc w:val="left"/>
              <w:rPr>
                <w:rFonts w:hint="eastAsia" w:ascii="宋体" w:hAnsi="宋体"/>
                <w:color w:val="auto"/>
                <w:kern w:val="0"/>
                <w:sz w:val="18"/>
                <w:highlight w:val="none"/>
              </w:rPr>
            </w:pPr>
            <w:r>
              <w:rPr>
                <w:rFonts w:hint="eastAsia" w:ascii="宋体" w:hAnsi="宋体"/>
                <w:color w:val="auto"/>
                <w:kern w:val="0"/>
                <w:sz w:val="18"/>
                <w:highlight w:val="none"/>
              </w:rPr>
              <w:t>5.4.3 监理人提交的工程监理文件，应满足下列要求：</w:t>
            </w:r>
          </w:p>
          <w:p w14:paraId="793FBD6C">
            <w:pPr>
              <w:widowControl/>
              <w:spacing w:line="240" w:lineRule="exact"/>
              <w:jc w:val="left"/>
              <w:rPr>
                <w:rFonts w:hint="eastAsia" w:ascii="宋体" w:hAnsi="宋体"/>
                <w:color w:val="auto"/>
                <w:kern w:val="0"/>
                <w:sz w:val="18"/>
                <w:highlight w:val="none"/>
              </w:rPr>
            </w:pPr>
            <w:r>
              <w:rPr>
                <w:rFonts w:hint="eastAsia" w:ascii="宋体" w:hAnsi="宋体"/>
                <w:color w:val="auto"/>
                <w:kern w:val="0"/>
                <w:sz w:val="18"/>
                <w:highlight w:val="none"/>
              </w:rPr>
              <w:t>5.4.3.1 具体类别：</w:t>
            </w:r>
            <w:permStart w:id="11" w:edGrp="everyone"/>
            <w:r>
              <w:rPr>
                <w:rFonts w:hint="eastAsia" w:ascii="宋体" w:hAnsi="宋体"/>
                <w:color w:val="auto"/>
                <w:kern w:val="0"/>
                <w:sz w:val="18"/>
                <w:highlight w:val="none"/>
                <w:u w:val="single"/>
              </w:rPr>
              <w:t xml:space="preserve">按照《国家电网有限公司建设项目档案管理办法》等有关管理办法执行 </w:t>
            </w:r>
            <w:permEnd w:id="11"/>
            <w:r>
              <w:rPr>
                <w:rFonts w:hint="eastAsia" w:ascii="宋体" w:hAnsi="宋体"/>
                <w:color w:val="auto"/>
                <w:kern w:val="0"/>
                <w:sz w:val="18"/>
                <w:highlight w:val="none"/>
              </w:rPr>
              <w:t>。</w:t>
            </w:r>
          </w:p>
          <w:p w14:paraId="61793D96">
            <w:pPr>
              <w:widowControl/>
              <w:spacing w:line="240" w:lineRule="exact"/>
              <w:jc w:val="left"/>
              <w:rPr>
                <w:rFonts w:hint="eastAsia" w:ascii="宋体" w:hAnsi="宋体"/>
                <w:color w:val="auto"/>
                <w:kern w:val="0"/>
                <w:sz w:val="18"/>
                <w:highlight w:val="none"/>
              </w:rPr>
            </w:pPr>
            <w:r>
              <w:rPr>
                <w:rFonts w:hint="eastAsia" w:ascii="宋体" w:hAnsi="宋体"/>
                <w:color w:val="auto"/>
                <w:kern w:val="0"/>
                <w:sz w:val="18"/>
                <w:highlight w:val="none"/>
              </w:rPr>
              <w:t>5.4.3.2 提交时间：</w:t>
            </w:r>
            <w:permStart w:id="12" w:edGrp="everyone"/>
            <w:r>
              <w:rPr>
                <w:rFonts w:hint="eastAsia" w:ascii="宋体" w:hAnsi="宋体"/>
                <w:color w:val="auto"/>
                <w:kern w:val="0"/>
                <w:sz w:val="18"/>
                <w:highlight w:val="none"/>
                <w:u w:val="single"/>
              </w:rPr>
              <w:t xml:space="preserve">按照《国家电网有限公司建设项目档案管理办法》等有关管理办法执行 </w:t>
            </w:r>
            <w:permEnd w:id="12"/>
            <w:r>
              <w:rPr>
                <w:rFonts w:hint="eastAsia" w:ascii="宋体" w:hAnsi="宋体"/>
                <w:color w:val="auto"/>
                <w:kern w:val="0"/>
                <w:sz w:val="18"/>
                <w:highlight w:val="none"/>
              </w:rPr>
              <w:t>。</w:t>
            </w:r>
          </w:p>
          <w:p w14:paraId="79E4A281">
            <w:pPr>
              <w:widowControl/>
              <w:spacing w:line="240" w:lineRule="exact"/>
              <w:jc w:val="left"/>
              <w:rPr>
                <w:rFonts w:hint="eastAsia" w:ascii="宋体" w:hAnsi="宋体"/>
                <w:color w:val="auto"/>
                <w:kern w:val="0"/>
                <w:sz w:val="18"/>
                <w:highlight w:val="none"/>
              </w:rPr>
            </w:pPr>
            <w:r>
              <w:rPr>
                <w:rFonts w:hint="eastAsia" w:ascii="宋体" w:hAnsi="宋体"/>
                <w:color w:val="auto"/>
                <w:kern w:val="0"/>
                <w:sz w:val="18"/>
                <w:highlight w:val="none"/>
              </w:rPr>
              <w:t>5.4.3.3 提交份数：</w:t>
            </w:r>
            <w:permStart w:id="13" w:edGrp="everyone"/>
            <w:r>
              <w:rPr>
                <w:rFonts w:hint="eastAsia" w:ascii="宋体" w:hAnsi="宋体"/>
                <w:color w:val="auto"/>
                <w:kern w:val="0"/>
                <w:sz w:val="18"/>
                <w:highlight w:val="none"/>
                <w:u w:val="single"/>
              </w:rPr>
              <w:t xml:space="preserve">按照《国家电网有限公司建设项目档案管理办法》等有关管理办法执行 </w:t>
            </w:r>
            <w:permEnd w:id="13"/>
            <w:r>
              <w:rPr>
                <w:rFonts w:hint="eastAsia" w:ascii="宋体" w:hAnsi="宋体"/>
                <w:color w:val="auto"/>
                <w:kern w:val="0"/>
                <w:sz w:val="18"/>
                <w:highlight w:val="none"/>
              </w:rPr>
              <w:t>。</w:t>
            </w:r>
          </w:p>
        </w:tc>
        <w:tc>
          <w:tcPr>
            <w:tcW w:w="808" w:type="dxa"/>
            <w:vAlign w:val="center"/>
          </w:tcPr>
          <w:p w14:paraId="49ABABD9">
            <w:pPr>
              <w:pStyle w:val="2"/>
              <w:rPr>
                <w:color w:val="auto"/>
                <w:highlight w:val="none"/>
              </w:rPr>
            </w:pPr>
          </w:p>
        </w:tc>
      </w:tr>
      <w:tr w14:paraId="294B7C0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9" w:hRule="atLeast"/>
        </w:trPr>
        <w:tc>
          <w:tcPr>
            <w:tcW w:w="398" w:type="dxa"/>
            <w:vAlign w:val="center"/>
          </w:tcPr>
          <w:p w14:paraId="294DAA8F">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62972070">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专用条款6.3.5</w:t>
            </w:r>
          </w:p>
        </w:tc>
        <w:tc>
          <w:tcPr>
            <w:tcW w:w="4253" w:type="dxa"/>
            <w:vAlign w:val="center"/>
          </w:tcPr>
          <w:p w14:paraId="4885126F">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6.3.5 委托人要求监理人提交监理文件的具体形式及要求：</w:t>
            </w:r>
          </w:p>
        </w:tc>
        <w:tc>
          <w:tcPr>
            <w:tcW w:w="3969" w:type="dxa"/>
            <w:vAlign w:val="center"/>
          </w:tcPr>
          <w:p w14:paraId="133677CA">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rPr>
              <w:t>6.3.5 委托人要求监理人提交监理文件的具体形式及要求：</w:t>
            </w:r>
          </w:p>
          <w:p w14:paraId="5D6CA647">
            <w:pPr>
              <w:widowControl/>
              <w:spacing w:line="240" w:lineRule="exact"/>
              <w:jc w:val="left"/>
              <w:rPr>
                <w:rFonts w:hint="eastAsia" w:ascii="宋体" w:hAnsi="宋体"/>
                <w:color w:val="auto"/>
                <w:kern w:val="0"/>
                <w:sz w:val="18"/>
                <w:highlight w:val="none"/>
              </w:rPr>
            </w:pPr>
            <w:permStart w:id="14" w:edGrp="everyone"/>
            <w:r>
              <w:rPr>
                <w:rFonts w:hint="eastAsia" w:ascii="宋体" w:hAnsi="宋体"/>
                <w:color w:val="auto"/>
                <w:kern w:val="0"/>
                <w:sz w:val="18"/>
                <w:highlight w:val="none"/>
                <w:u w:val="single"/>
              </w:rPr>
              <w:t xml:space="preserve">符合《国家电网有限公司建设项目档案管理办法》及相关文件归档与档案整理规范要求 </w:t>
            </w:r>
            <w:permEnd w:id="14"/>
            <w:r>
              <w:rPr>
                <w:rFonts w:hint="eastAsia" w:ascii="宋体" w:hAnsi="宋体"/>
                <w:color w:val="auto"/>
                <w:kern w:val="0"/>
                <w:sz w:val="18"/>
                <w:highlight w:val="none"/>
              </w:rPr>
              <w:t>。</w:t>
            </w:r>
          </w:p>
        </w:tc>
        <w:tc>
          <w:tcPr>
            <w:tcW w:w="808" w:type="dxa"/>
            <w:vAlign w:val="center"/>
          </w:tcPr>
          <w:p w14:paraId="62AE65A0">
            <w:pPr>
              <w:pStyle w:val="2"/>
              <w:rPr>
                <w:color w:val="auto"/>
                <w:highlight w:val="none"/>
              </w:rPr>
            </w:pPr>
          </w:p>
        </w:tc>
      </w:tr>
      <w:tr w14:paraId="42334CF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60CDF9F9">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5DE5C6C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9.5.1</w:t>
            </w:r>
          </w:p>
        </w:tc>
        <w:tc>
          <w:tcPr>
            <w:tcW w:w="4253" w:type="dxa"/>
            <w:vAlign w:val="center"/>
          </w:tcPr>
          <w:p w14:paraId="1250F7E3">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9.5.1 合同价格按以下第    种方式支付：</w:t>
            </w:r>
          </w:p>
          <w:p w14:paraId="17627A10">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合同价格按季度平均支付。监理人在监理合同有效期内提供了合格的监理服务，委托人将按下列公式支付：每期合同价格支付额=签约合同价总额÷（合同工期年度数×4），如果合同工期的首、尾在半年期间，则从下一个半年开始计算。每期合同价格的支付时间不得晚于下个季度第一个月的15日。</w:t>
            </w:r>
          </w:p>
          <w:p w14:paraId="77DBC411">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（2）工程监理合同生效后    天内,委托人支付签约合同价的</w:t>
            </w:r>
          </w:p>
          <w:p w14:paraId="67896DF3">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    %。</w:t>
            </w:r>
          </w:p>
          <w:p w14:paraId="76D36B98">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工程竣工验收通过并提交全部监理资料后（含工程质量评估报告）    天内,委托人支付合同价格的    %。</w:t>
            </w:r>
          </w:p>
          <w:p w14:paraId="7738ED8C">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（3）其他支付方式：</w:t>
            </w:r>
          </w:p>
          <w:p w14:paraId="79BD6B83">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a.合同生效后30天内，支付签约合同价的20%；</w:t>
            </w:r>
          </w:p>
          <w:p w14:paraId="236038D4">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b.工程量（投资额）完成50%时，支付签约合同价的30%；</w:t>
            </w:r>
          </w:p>
          <w:p w14:paraId="513103E9">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c.工程竣工投运且监理资料移交完毕后    天内，支付签约合同价的40%；</w:t>
            </w:r>
          </w:p>
          <w:p w14:paraId="7E5E6845">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d.监理人向委托人办理完竣工验收或工程移交手续，监理人和委托人已签订工程质保责任书，达标投产、完成档案移交及信息化工作后15个工作日内，按照第9.5.2项的约定支付剩余合同价款。</w:t>
            </w:r>
          </w:p>
        </w:tc>
        <w:tc>
          <w:tcPr>
            <w:tcW w:w="3969" w:type="dxa"/>
            <w:vAlign w:val="center"/>
          </w:tcPr>
          <w:p w14:paraId="45D3ABC1">
            <w:pPr>
              <w:widowControl/>
              <w:spacing w:line="240" w:lineRule="exact"/>
              <w:jc w:val="left"/>
              <w:rPr>
                <w:rFonts w:hint="eastAsia" w:ascii="宋体" w:hAnsi="宋体"/>
                <w:color w:val="auto"/>
                <w:kern w:val="0"/>
                <w:sz w:val="18"/>
                <w:highlight w:val="none"/>
                <w:lang w:val="zh-CN"/>
              </w:rPr>
            </w:pPr>
            <w:r>
              <w:rPr>
                <w:rFonts w:hint="eastAsia" w:ascii="宋体" w:hAnsi="宋体"/>
                <w:color w:val="auto"/>
                <w:kern w:val="0"/>
                <w:sz w:val="18"/>
                <w:highlight w:val="none"/>
                <w:lang w:val="zh-CN"/>
              </w:rPr>
              <w:t>修改为：</w:t>
            </w:r>
          </w:p>
          <w:p w14:paraId="361750D7">
            <w:pPr>
              <w:rPr>
                <w:rFonts w:hint="eastAsia" w:ascii="宋体" w:hAnsi="宋体" w:cs="宋体"/>
                <w:color w:val="auto"/>
                <w:sz w:val="18"/>
                <w:szCs w:val="18"/>
                <w:highlight w:val="none"/>
              </w:rPr>
            </w:pPr>
            <w:r>
              <w:rPr>
                <w:rFonts w:hint="eastAsia" w:ascii="宋体" w:hAnsi="宋体" w:cs="宋体"/>
                <w:color w:val="auto"/>
                <w:sz w:val="18"/>
                <w:szCs w:val="18"/>
                <w:highlight w:val="none"/>
              </w:rPr>
              <w:t>修订专用条款9.5.1 合同价格按以下第  1  种方式支付：</w:t>
            </w:r>
          </w:p>
          <w:p w14:paraId="57D303CA">
            <w:pPr>
              <w:rPr>
                <w:rFonts w:hint="eastAsia" w:ascii="宋体" w:hAnsi="宋体" w:cs="宋体"/>
                <w:color w:val="auto"/>
                <w:sz w:val="18"/>
                <w:szCs w:val="18"/>
                <w:highlight w:val="none"/>
              </w:rPr>
            </w:pPr>
            <w:r>
              <w:rPr>
                <w:rFonts w:hint="eastAsia" w:ascii="宋体" w:hAnsi="宋体" w:cs="宋体"/>
                <w:color w:val="auto"/>
                <w:sz w:val="18"/>
                <w:szCs w:val="18"/>
                <w:highlight w:val="none"/>
              </w:rPr>
              <w:t>（1）合同价格按季度平均支付。监理人在监理合同有效期内提供了合格的监理服务，委托人将按下列公式支付：每期合同价格支付额=签约合同价总额÷（合同工期年度数×4），如果合同工期的首、尾在半年期间，则从下一个半年开始计算。</w:t>
            </w:r>
          </w:p>
          <w:p w14:paraId="04081EEB">
            <w:pPr>
              <w:rPr>
                <w:rFonts w:hint="eastAsia" w:ascii="宋体" w:hAnsi="宋体" w:cs="宋体"/>
                <w:color w:val="auto"/>
                <w:sz w:val="18"/>
                <w:szCs w:val="18"/>
                <w:highlight w:val="none"/>
              </w:rPr>
            </w:pPr>
            <w:r>
              <w:rPr>
                <w:rFonts w:hint="eastAsia" w:ascii="宋体" w:hAnsi="宋体" w:cs="宋体"/>
                <w:color w:val="auto"/>
                <w:sz w:val="18"/>
                <w:szCs w:val="18"/>
                <w:highlight w:val="none"/>
              </w:rPr>
              <w:t>申请与支付方式</w:t>
            </w:r>
          </w:p>
          <w:p w14:paraId="485C2D83">
            <w:pPr>
              <w:rPr>
                <w:rFonts w:hint="eastAsia" w:ascii="宋体" w:hAnsi="宋体" w:cs="宋体"/>
                <w:color w:val="auto"/>
                <w:sz w:val="18"/>
                <w:szCs w:val="18"/>
                <w:highlight w:val="none"/>
              </w:rPr>
            </w:pPr>
            <w:r>
              <w:rPr>
                <w:rFonts w:hint="eastAsia" w:ascii="宋体" w:hAnsi="宋体" w:cs="宋体"/>
                <w:color w:val="auto"/>
                <w:sz w:val="18"/>
                <w:szCs w:val="18"/>
                <w:highlight w:val="none"/>
              </w:rPr>
              <w:t>1）特高压工程建设资金按照国家电网有限公司的相关规定，实行月度资金支出预算管理制度，按月批复资金预算。</w:t>
            </w:r>
          </w:p>
          <w:p w14:paraId="0860C6F0">
            <w:pPr>
              <w:rPr>
                <w:rFonts w:hint="eastAsia" w:ascii="宋体" w:hAnsi="宋体" w:cs="宋体"/>
                <w:color w:val="auto"/>
                <w:sz w:val="18"/>
                <w:szCs w:val="18"/>
                <w:highlight w:val="none"/>
              </w:rPr>
            </w:pPr>
            <w:r>
              <w:rPr>
                <w:rFonts w:hint="eastAsia" w:ascii="宋体" w:hAnsi="宋体" w:cs="宋体"/>
                <w:color w:val="auto"/>
                <w:sz w:val="18"/>
                <w:szCs w:val="18"/>
                <w:highlight w:val="none"/>
              </w:rPr>
              <w:t>2）满足合同支付条件时，监理单位应于每月5日前根据合同约定及工程实际进度编制工程监理费付款报审表和监理费付款计算表，连同合规的增值税专用发票、当期大事记、工程进展图片等，报送委托人。委托人对监理单位上报的付款资料进行审核，编制次月月度资金预算申请表，按规定时间上报国家电网有限公司。</w:t>
            </w:r>
          </w:p>
          <w:p w14:paraId="39CD1D3B">
            <w:pPr>
              <w:rPr>
                <w:rFonts w:hint="eastAsia" w:ascii="宋体" w:hAnsi="宋体" w:cs="宋体"/>
                <w:color w:val="auto"/>
                <w:sz w:val="18"/>
                <w:szCs w:val="18"/>
                <w:highlight w:val="none"/>
              </w:rPr>
            </w:pPr>
            <w:r>
              <w:rPr>
                <w:rFonts w:hint="eastAsia" w:ascii="宋体" w:hAnsi="宋体" w:cs="宋体"/>
                <w:color w:val="auto"/>
                <w:sz w:val="18"/>
                <w:szCs w:val="18"/>
                <w:highlight w:val="none"/>
              </w:rPr>
              <w:t>3）委托人在付款月月底前向监理单位支付监理费用。</w:t>
            </w:r>
          </w:p>
        </w:tc>
        <w:tc>
          <w:tcPr>
            <w:tcW w:w="808" w:type="dxa"/>
            <w:vAlign w:val="center"/>
          </w:tcPr>
          <w:p w14:paraId="0542D9A8">
            <w:pPr>
              <w:widowControl/>
              <w:jc w:val="center"/>
              <w:rPr>
                <w:rFonts w:hint="eastAsia" w:ascii="宋体" w:hAnsi="宋体" w:cs="宋体"/>
                <w:b/>
                <w:bCs/>
                <w:color w:val="auto"/>
                <w:kern w:val="0"/>
                <w:sz w:val="18"/>
                <w:szCs w:val="18"/>
                <w:highlight w:val="none"/>
              </w:rPr>
            </w:pPr>
          </w:p>
        </w:tc>
      </w:tr>
      <w:tr w14:paraId="51F4BE1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3B65CCB7">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6D812C26">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9.5.2</w:t>
            </w:r>
          </w:p>
        </w:tc>
        <w:tc>
          <w:tcPr>
            <w:tcW w:w="4253" w:type="dxa"/>
            <w:vAlign w:val="center"/>
          </w:tcPr>
          <w:p w14:paraId="296D45E2">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9.5.2 质量保证金</w:t>
            </w:r>
          </w:p>
          <w:p w14:paraId="2529A61F">
            <w:pPr>
              <w:spacing w:line="240" w:lineRule="atLeast"/>
              <w:ind w:firstLine="360" w:firstLineChars="20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委托人按照第9.5.1项支付合同价款时，预留合同价格3%作为质量保证金，质量保证金在工程质量缺陷期满后，且在工程投运、消除全部质量缺陷后30个工作日内予以支付。</w:t>
            </w:r>
          </w:p>
          <w:p w14:paraId="1E84E6D1">
            <w:pPr>
              <w:spacing w:line="240" w:lineRule="atLeast"/>
              <w:ind w:firstLine="360" w:firstLineChars="20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质量保证金可以质量保证金保函或质量保证保险形式替代，金额为合同价格的3%。监理人提供质保金保函的，应为中国注册的具有担保经营业务资格的银行或有关金融机构开具；监理人投保质量保证保险的，保险公司应具有相应质量保证保险经营业务资格，且该质量保证保险产品应经银行保险监管部门审批或备案。保函或保险应在委托人签发竣工验收证书之日起第29天起至工程投运、工程质量缺陷期满且消除全部质量缺陷前保持足额、有效。</w:t>
            </w:r>
          </w:p>
          <w:p w14:paraId="7B42E746">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监理人以质保金保函或质量保证保险替代预留质量保证金的，应在委托人签发竣工验收证书之日起28天内向委托人提交符合合同约定的质保金保函或质量保证保险，委托人在收到质保金保函或质量保证保险后   天内向监理人支付前述合同价格的3%。监理人逾期不提交或者质保金保函或质量保证保险不符合要求的，视为监理人选择以现金保证金替代质保金保函或质量保证保险。</w:t>
            </w:r>
          </w:p>
          <w:p w14:paraId="085B2E68">
            <w:pPr>
              <w:spacing w:line="240" w:lineRule="atLeast"/>
              <w:ind w:firstLine="360" w:firstLineChars="20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质量保证金的评价按以下约定执行：。</w:t>
            </w:r>
          </w:p>
        </w:tc>
        <w:tc>
          <w:tcPr>
            <w:tcW w:w="3969" w:type="dxa"/>
            <w:vAlign w:val="center"/>
          </w:tcPr>
          <w:p w14:paraId="02E1881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9.5.2 质量保证金</w:t>
            </w:r>
          </w:p>
          <w:p w14:paraId="5021979E">
            <w:pPr>
              <w:spacing w:line="240" w:lineRule="atLeast"/>
              <w:ind w:firstLine="360" w:firstLineChars="200"/>
              <w:rPr>
                <w:rFonts w:hint="eastAsia" w:ascii="宋体" w:hAnsi="宋体" w:cs="宋体"/>
                <w:color w:val="auto"/>
                <w:sz w:val="18"/>
                <w:szCs w:val="18"/>
                <w:highlight w:val="none"/>
              </w:rPr>
            </w:pPr>
            <w:r>
              <w:rPr>
                <w:rFonts w:hint="eastAsia" w:ascii="宋体" w:hAnsi="宋体" w:cs="宋体"/>
                <w:color w:val="auto"/>
                <w:sz w:val="18"/>
                <w:szCs w:val="18"/>
                <w:highlight w:val="none"/>
              </w:rPr>
              <w:t>委托人按照第9.5.1项支付最后一期合同价款时，预留合同价格3%作为质量保证金，质量保证金在工程质量缺陷期满后，且在工程投运、消除全部质量缺陷后60个工作日内予以支付。</w:t>
            </w:r>
          </w:p>
          <w:p w14:paraId="11746ADE">
            <w:pPr>
              <w:spacing w:line="240" w:lineRule="atLeast"/>
              <w:ind w:firstLine="360" w:firstLineChars="200"/>
              <w:rPr>
                <w:rFonts w:hint="eastAsia" w:ascii="宋体" w:hAnsi="宋体" w:cs="宋体"/>
                <w:color w:val="auto"/>
                <w:sz w:val="18"/>
                <w:szCs w:val="18"/>
                <w:highlight w:val="none"/>
              </w:rPr>
            </w:pPr>
            <w:r>
              <w:rPr>
                <w:rFonts w:hint="eastAsia" w:ascii="宋体" w:hAnsi="宋体" w:cs="宋体"/>
                <w:color w:val="auto"/>
                <w:sz w:val="18"/>
                <w:szCs w:val="18"/>
                <w:highlight w:val="none"/>
              </w:rPr>
              <w:t>质量保证金可以质量保证金保函或质量保证保险形式替代，金额为合同价格的3%。监理人提供质保金保函的，应为中国注册的具有担保经营业务资格的银行或有关金融机构开具；监理人投保质量保证保险的，保险公司应具有相应质量保证保险经营业务资格，且该质量保证保险产品应经银行保险监管部门审批或备案。保函或保险应在委托人签发竣工验收证书之日起第29天起至工程投运、工程质量缺陷期满且消除全部质量缺陷前保持足额、有效。监理人以质保金保函或质量保证保险替代预留质量保证金的，应在委托人签发竣工验收证书之日起28天内向委托人提交符合合同约定的质保金保函或质量保证保险，委托人在收到质保金保函或质量保证保险后60天内向监理人支付前述合同价格的3%。监理人逾期不提交或者质保金保函或质量保证保险不符合要求的，视为监理人选择以现金保证金替代质保金保函或质量保证保险。</w:t>
            </w:r>
          </w:p>
          <w:p w14:paraId="1E5D974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质量保证金的评价按以下约定执行：</w:t>
            </w:r>
            <w:r>
              <w:rPr>
                <w:rFonts w:hint="eastAsia" w:ascii="宋体" w:hAnsi="宋体" w:cs="宋体"/>
                <w:color w:val="auto"/>
                <w:sz w:val="18"/>
                <w:szCs w:val="18"/>
                <w:highlight w:val="none"/>
                <w:u w:val="single"/>
              </w:rPr>
              <w:t xml:space="preserve">  /   </w:t>
            </w:r>
            <w:r>
              <w:rPr>
                <w:rFonts w:hint="eastAsia" w:ascii="宋体" w:hAnsi="宋体" w:cs="宋体"/>
                <w:color w:val="auto"/>
                <w:sz w:val="18"/>
                <w:szCs w:val="18"/>
                <w:highlight w:val="none"/>
              </w:rPr>
              <w:t xml:space="preserve"> 。</w:t>
            </w:r>
          </w:p>
        </w:tc>
        <w:tc>
          <w:tcPr>
            <w:tcW w:w="808" w:type="dxa"/>
            <w:vAlign w:val="center"/>
          </w:tcPr>
          <w:p w14:paraId="3F454314">
            <w:pPr>
              <w:widowControl/>
              <w:jc w:val="center"/>
              <w:rPr>
                <w:rFonts w:hint="eastAsia" w:ascii="宋体" w:hAnsi="宋体" w:cs="宋体"/>
                <w:b/>
                <w:bCs/>
                <w:color w:val="auto"/>
                <w:kern w:val="0"/>
                <w:sz w:val="18"/>
                <w:szCs w:val="18"/>
                <w:highlight w:val="none"/>
              </w:rPr>
            </w:pPr>
          </w:p>
        </w:tc>
      </w:tr>
      <w:tr w14:paraId="09EA172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70896C9D">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10310E4C">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9.5.3</w:t>
            </w:r>
          </w:p>
        </w:tc>
        <w:tc>
          <w:tcPr>
            <w:tcW w:w="4253" w:type="dxa"/>
            <w:vAlign w:val="center"/>
          </w:tcPr>
          <w:p w14:paraId="4CA286B6">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9.5.3 发票</w:t>
            </w:r>
          </w:p>
          <w:p w14:paraId="33F4CEA1">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监理人应在合同约定的每次应付款时间之前，向委托人提交支付申请书。支付申请书应当说明当期应付款总额及明细。支付申请书经委托人确认后生效。委托人向监理人支付合同价款前，监理人应向委托人提交税务部门认可的正规等额发票，否则委托人有权暂缓支付合同价款，但监理人仍应按照本合同约定履行义务。</w:t>
            </w:r>
          </w:p>
        </w:tc>
        <w:tc>
          <w:tcPr>
            <w:tcW w:w="3969" w:type="dxa"/>
            <w:vAlign w:val="center"/>
          </w:tcPr>
          <w:p w14:paraId="1E119B2C">
            <w:pPr>
              <w:widowControl/>
              <w:spacing w:line="240" w:lineRule="exact"/>
              <w:jc w:val="left"/>
              <w:rPr>
                <w:color w:val="auto"/>
                <w:highlight w:val="none"/>
              </w:rPr>
            </w:pPr>
            <w:r>
              <w:rPr>
                <w:rFonts w:hint="eastAsia" w:ascii="宋体" w:hAnsi="宋体"/>
                <w:color w:val="auto"/>
                <w:kern w:val="0"/>
                <w:sz w:val="18"/>
                <w:highlight w:val="none"/>
                <w:lang w:val="zh-CN"/>
              </w:rPr>
              <w:t>修改为：</w:t>
            </w:r>
          </w:p>
          <w:p w14:paraId="2FBB76ED">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9.5.3 发票</w:t>
            </w:r>
          </w:p>
          <w:p w14:paraId="08B2F6C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委托人向监理人支付合同价款前，监理人应向委托人提交税务部门认可的正规等额发票，否则委托人有权暂缓支付合同价款，但监理人仍应按照本合同约定履行义务。</w:t>
            </w:r>
          </w:p>
          <w:p w14:paraId="1D0703BC">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监理人向委托人提供增值税专用发票开票信息如下：</w:t>
            </w:r>
          </w:p>
          <w:p w14:paraId="132D665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发票类型：增值税专用发票</w:t>
            </w:r>
          </w:p>
          <w:p w14:paraId="0601D3A7">
            <w:pPr>
              <w:spacing w:line="240" w:lineRule="atLeast"/>
              <w:rPr>
                <w:rFonts w:hint="eastAsia" w:ascii="宋体" w:hAnsi="宋体" w:cs="宋体"/>
                <w:color w:val="auto"/>
                <w:sz w:val="18"/>
                <w:szCs w:val="18"/>
                <w:highlight w:val="none"/>
                <w:u w:val="single"/>
              </w:rPr>
            </w:pPr>
            <w:r>
              <w:rPr>
                <w:rFonts w:hint="eastAsia" w:ascii="宋体" w:hAnsi="宋体" w:cs="宋体"/>
                <w:color w:val="auto"/>
                <w:sz w:val="18"/>
                <w:szCs w:val="18"/>
                <w:highlight w:val="none"/>
              </w:rPr>
              <w:t>发票抬头：</w:t>
            </w:r>
            <w:r>
              <w:rPr>
                <w:rFonts w:hint="eastAsia" w:ascii="宋体" w:hAnsi="宋体" w:eastAsia="宋体" w:cs="宋体"/>
                <w:color w:val="auto"/>
                <w:sz w:val="18"/>
                <w:szCs w:val="18"/>
                <w:highlight w:val="none"/>
                <w:lang w:val="zh-CN"/>
              </w:rPr>
              <w:t>国网</w:t>
            </w:r>
            <w:r>
              <w:rPr>
                <w:rFonts w:hint="eastAsia" w:ascii="宋体" w:hAnsi="宋体" w:eastAsia="宋体" w:cs="宋体"/>
                <w:color w:val="auto"/>
                <w:sz w:val="18"/>
                <w:szCs w:val="18"/>
                <w:highlight w:val="none"/>
                <w:lang w:val="zh-CN" w:eastAsia="zh-CN"/>
              </w:rPr>
              <w:t>浙江</w:t>
            </w:r>
            <w:r>
              <w:rPr>
                <w:rFonts w:hint="eastAsia" w:ascii="宋体" w:hAnsi="宋体" w:eastAsia="宋体" w:cs="宋体"/>
                <w:color w:val="auto"/>
                <w:sz w:val="18"/>
                <w:szCs w:val="18"/>
                <w:highlight w:val="none"/>
                <w:lang w:val="zh-CN"/>
              </w:rPr>
              <w:t>省电力有限公司</w:t>
            </w:r>
          </w:p>
          <w:p w14:paraId="0F458C9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纳税人识别号：</w:t>
            </w:r>
            <w:r>
              <w:rPr>
                <w:rFonts w:hint="eastAsia" w:ascii="宋体" w:hAnsi="宋体" w:eastAsia="宋体" w:cs="宋体"/>
                <w:color w:val="auto"/>
                <w:sz w:val="18"/>
                <w:szCs w:val="18"/>
                <w:highlight w:val="none"/>
                <w:lang w:val="zh-CN"/>
              </w:rPr>
              <w:t>913</w:t>
            </w:r>
            <w:r>
              <w:rPr>
                <w:rFonts w:hint="eastAsia" w:ascii="宋体" w:hAnsi="宋体" w:eastAsia="宋体" w:cs="宋体"/>
                <w:color w:val="auto"/>
                <w:sz w:val="18"/>
                <w:szCs w:val="18"/>
                <w:highlight w:val="none"/>
                <w:lang w:val="zh-CN" w:eastAsia="zh-CN"/>
              </w:rPr>
              <w:t>30000142911635Y</w:t>
            </w:r>
          </w:p>
          <w:p w14:paraId="470F8A8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开户行：</w:t>
            </w:r>
            <w:r>
              <w:rPr>
                <w:rFonts w:hint="eastAsia" w:ascii="宋体" w:hAnsi="宋体" w:eastAsia="宋体" w:cs="宋体"/>
                <w:color w:val="auto"/>
                <w:sz w:val="18"/>
                <w:szCs w:val="18"/>
                <w:highlight w:val="none"/>
                <w:lang w:val="zh-CN" w:eastAsia="zh-CN"/>
              </w:rPr>
              <w:t>工行杭州体育场路</w:t>
            </w:r>
            <w:r>
              <w:rPr>
                <w:rFonts w:hint="eastAsia" w:ascii="宋体" w:hAnsi="宋体" w:eastAsia="宋体" w:cs="宋体"/>
                <w:color w:val="auto"/>
                <w:sz w:val="18"/>
                <w:szCs w:val="18"/>
                <w:highlight w:val="none"/>
                <w:lang w:val="zh-CN"/>
              </w:rPr>
              <w:t>支行</w:t>
            </w:r>
          </w:p>
          <w:p w14:paraId="3F41EC20">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账号：</w:t>
            </w:r>
            <w:r>
              <w:rPr>
                <w:rFonts w:hint="eastAsia" w:ascii="宋体" w:hAnsi="宋体" w:eastAsia="宋体" w:cs="宋体"/>
                <w:color w:val="auto"/>
                <w:sz w:val="18"/>
                <w:szCs w:val="18"/>
                <w:highlight w:val="none"/>
                <w:lang w:val="zh-CN" w:eastAsia="zh-CN"/>
              </w:rPr>
              <w:t>1202021009003400122</w:t>
            </w:r>
          </w:p>
          <w:p w14:paraId="3B4D1AA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电话：</w:t>
            </w:r>
            <w:r>
              <w:rPr>
                <w:rFonts w:hint="eastAsia" w:ascii="宋体" w:hAnsi="宋体" w:eastAsia="宋体" w:cs="宋体"/>
                <w:color w:val="auto"/>
                <w:sz w:val="18"/>
                <w:szCs w:val="18"/>
                <w:highlight w:val="none"/>
                <w:lang w:val="zh-CN" w:eastAsia="zh-CN"/>
              </w:rPr>
              <w:t>0571—51102856</w:t>
            </w:r>
          </w:p>
          <w:p w14:paraId="65E1C5E6">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地址：</w:t>
            </w:r>
            <w:r>
              <w:rPr>
                <w:rFonts w:hint="eastAsia" w:ascii="宋体" w:hAnsi="宋体" w:eastAsia="宋体" w:cs="宋体"/>
                <w:color w:val="auto"/>
                <w:sz w:val="18"/>
                <w:szCs w:val="18"/>
                <w:highlight w:val="none"/>
                <w:lang w:val="zh-CN" w:eastAsia="zh-CN"/>
              </w:rPr>
              <w:t>杭州市黄龙路8号</w:t>
            </w:r>
          </w:p>
          <w:p w14:paraId="327234D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注：发票上必须加盖发票专用章，备注栏须填写单项工程名称。</w:t>
            </w:r>
          </w:p>
        </w:tc>
        <w:tc>
          <w:tcPr>
            <w:tcW w:w="808" w:type="dxa"/>
            <w:vAlign w:val="center"/>
          </w:tcPr>
          <w:p w14:paraId="5A2C9B35">
            <w:pPr>
              <w:widowControl/>
              <w:jc w:val="center"/>
              <w:rPr>
                <w:rFonts w:hint="eastAsia" w:ascii="宋体" w:hAnsi="宋体" w:cs="宋体"/>
                <w:b/>
                <w:bCs/>
                <w:color w:val="auto"/>
                <w:kern w:val="0"/>
                <w:sz w:val="18"/>
                <w:szCs w:val="18"/>
                <w:highlight w:val="none"/>
              </w:rPr>
            </w:pPr>
          </w:p>
        </w:tc>
      </w:tr>
      <w:tr w14:paraId="539313A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98" w:type="dxa"/>
            <w:vAlign w:val="center"/>
          </w:tcPr>
          <w:p w14:paraId="6C28047A">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3732B8E9">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专用条款9.6.2</w:t>
            </w:r>
          </w:p>
        </w:tc>
        <w:tc>
          <w:tcPr>
            <w:tcW w:w="4253" w:type="dxa"/>
            <w:vAlign w:val="center"/>
          </w:tcPr>
          <w:p w14:paraId="746E64F2">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（2）质量违约金</w:t>
            </w:r>
          </w:p>
          <w:p w14:paraId="11E793CB">
            <w:pPr>
              <w:spacing w:line="240" w:lineRule="atLeast"/>
              <w:jc w:val="left"/>
              <w:rPr>
                <w:rFonts w:hint="eastAsia" w:ascii="宋体" w:hAnsi="宋体" w:cs="宋体"/>
                <w:color w:val="auto"/>
                <w:sz w:val="18"/>
                <w:szCs w:val="18"/>
                <w:highlight w:val="none"/>
              </w:rPr>
            </w:pPr>
          </w:p>
        </w:tc>
        <w:tc>
          <w:tcPr>
            <w:tcW w:w="3969" w:type="dxa"/>
            <w:vAlign w:val="center"/>
          </w:tcPr>
          <w:p w14:paraId="11C7B4EF">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合同条款9.6（2）“质量违约金”修改为：</w:t>
            </w:r>
          </w:p>
          <w:p w14:paraId="7A7D5216">
            <w:pPr>
              <w:widowControl/>
              <w:spacing w:line="240" w:lineRule="exact"/>
              <w:jc w:val="left"/>
              <w:rPr>
                <w:rFonts w:hint="eastAsia" w:ascii="宋体" w:hAnsi="宋体"/>
                <w:color w:val="auto"/>
                <w:kern w:val="0"/>
                <w:sz w:val="18"/>
                <w:highlight w:val="none"/>
                <w:u w:val="single"/>
              </w:rPr>
            </w:pPr>
            <w:r>
              <w:rPr>
                <w:rFonts w:hint="eastAsia" w:asciiTheme="minorEastAsia" w:hAnsiTheme="minorEastAsia" w:eastAsiaTheme="minorEastAsia" w:cstheme="minorEastAsia"/>
                <w:color w:val="auto"/>
                <w:kern w:val="0"/>
                <w:sz w:val="18"/>
                <w:highlight w:val="none"/>
              </w:rPr>
              <w:t>质量违约金标准如下，累计扣除金额不超过签约合同价的2%。</w:t>
            </w:r>
            <w:r>
              <w:rPr>
                <w:rFonts w:hint="eastAsia" w:ascii="宋体" w:hAnsi="宋体"/>
                <w:color w:val="auto"/>
                <w:kern w:val="0"/>
                <w:sz w:val="18"/>
                <w:highlight w:val="none"/>
                <w:u w:val="single"/>
              </w:rPr>
              <w:t>扣除质量违约金并不减轻或免除合同约定的监理人应承担的其它质量责任。</w:t>
            </w:r>
          </w:p>
          <w:p w14:paraId="55FCA3AB">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①由于监理人主要责任，因施工原因未达到质量目标：支付签约合同价2％的质量违约金；</w:t>
            </w:r>
          </w:p>
          <w:p w14:paraId="35AADDF2">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②由于监理人主要责任，未实现零缺陷移交：支付签约合同价2％的质量违约金；</w:t>
            </w:r>
          </w:p>
          <w:p w14:paraId="6FFBE974">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③由于监理人主要责任，未实现达标投产及合同创优目标：支付签约合同价2％的质量违约金。</w:t>
            </w:r>
          </w:p>
          <w:p w14:paraId="3436FB19">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④由于监理人主要责任，发生质量事件时：</w:t>
            </w:r>
          </w:p>
          <w:p w14:paraId="17F9AAD4">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a.发生七级质量事件的，视事故影响的大小和严重程度，每次扣签约合同价0.6-1.2%的质量违约金。</w:t>
            </w:r>
          </w:p>
          <w:p w14:paraId="46446FAD">
            <w:pPr>
              <w:widowControl/>
              <w:spacing w:line="240" w:lineRule="exact"/>
              <w:jc w:val="left"/>
              <w:rPr>
                <w:rFonts w:hint="eastAsia" w:ascii="宋体" w:hAnsi="宋体"/>
                <w:color w:val="auto"/>
                <w:kern w:val="0"/>
                <w:sz w:val="18"/>
                <w:highlight w:val="none"/>
                <w:u w:val="single"/>
              </w:rPr>
            </w:pPr>
            <w:r>
              <w:rPr>
                <w:rFonts w:hint="eastAsia" w:ascii="宋体" w:hAnsi="宋体"/>
                <w:color w:val="auto"/>
                <w:kern w:val="0"/>
                <w:sz w:val="18"/>
                <w:highlight w:val="none"/>
                <w:u w:val="single"/>
              </w:rPr>
              <w:t>b.发生八级质量事件的，视事故影响的大小和严重程度，每次扣签约合同价0.2-0.6%的质量违约金。</w:t>
            </w:r>
          </w:p>
          <w:p w14:paraId="3506F5C7">
            <w:pPr>
              <w:widowControl/>
              <w:spacing w:line="240" w:lineRule="exact"/>
              <w:jc w:val="left"/>
              <w:rPr>
                <w:rFonts w:hint="eastAsia" w:ascii="宋体" w:hAnsi="宋体"/>
                <w:color w:val="auto"/>
                <w:kern w:val="0"/>
                <w:sz w:val="18"/>
                <w:highlight w:val="none"/>
              </w:rPr>
            </w:pPr>
            <w:r>
              <w:rPr>
                <w:rFonts w:hint="eastAsia" w:ascii="宋体" w:hAnsi="宋体"/>
                <w:color w:val="auto"/>
                <w:kern w:val="0"/>
                <w:sz w:val="18"/>
                <w:highlight w:val="none"/>
                <w:u w:val="single"/>
              </w:rPr>
              <w:t>c.故意隐瞒事故的，支付签约合同价2％的质量违约金。</w:t>
            </w:r>
          </w:p>
        </w:tc>
        <w:tc>
          <w:tcPr>
            <w:tcW w:w="808" w:type="dxa"/>
            <w:vAlign w:val="center"/>
          </w:tcPr>
          <w:p w14:paraId="1E518F90">
            <w:pPr>
              <w:widowControl/>
              <w:jc w:val="center"/>
              <w:rPr>
                <w:rFonts w:hint="eastAsia" w:ascii="宋体" w:hAnsi="宋体" w:cs="宋体"/>
                <w:b/>
                <w:bCs/>
                <w:color w:val="auto"/>
                <w:kern w:val="0"/>
                <w:sz w:val="18"/>
                <w:szCs w:val="18"/>
                <w:highlight w:val="none"/>
              </w:rPr>
            </w:pPr>
          </w:p>
        </w:tc>
      </w:tr>
      <w:tr w14:paraId="70CADF29">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398" w:type="dxa"/>
            <w:vAlign w:val="center"/>
          </w:tcPr>
          <w:p w14:paraId="3ACAEF90">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047152E2">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11.1.2</w:t>
            </w:r>
          </w:p>
        </w:tc>
        <w:tc>
          <w:tcPr>
            <w:tcW w:w="4253" w:type="dxa"/>
            <w:vAlign w:val="center"/>
          </w:tcPr>
          <w:p w14:paraId="0AC50754">
            <w:pPr>
              <w:spacing w:line="240" w:lineRule="atLeast"/>
              <w:jc w:val="left"/>
              <w:rPr>
                <w:color w:val="auto"/>
                <w:highlight w:val="none"/>
              </w:rPr>
            </w:pPr>
            <w:r>
              <w:rPr>
                <w:rFonts w:hint="eastAsia"/>
                <w:color w:val="auto"/>
                <w:highlight w:val="none"/>
              </w:rPr>
              <w:t>11.1.2 （补充）：</w:t>
            </w:r>
          </w:p>
          <w:p w14:paraId="47BB9E41">
            <w:pPr>
              <w:numPr>
                <w:ilvl w:val="255"/>
                <w:numId w:val="0"/>
              </w:numPr>
              <w:spacing w:line="240" w:lineRule="atLeast"/>
              <w:jc w:val="left"/>
              <w:rPr>
                <w:rFonts w:hint="eastAsia" w:ascii="仿宋" w:hAnsi="仿宋" w:eastAsia="仿宋" w:cs="仿宋"/>
                <w:color w:val="auto"/>
                <w:sz w:val="18"/>
                <w:szCs w:val="18"/>
                <w:highlight w:val="none"/>
              </w:rPr>
            </w:pPr>
            <w:r>
              <w:rPr>
                <w:color w:val="auto"/>
                <w:highlight w:val="none"/>
              </w:rPr>
              <w:t xml:space="preserve"> </w:t>
            </w:r>
            <w:r>
              <w:rPr>
                <w:rFonts w:hint="eastAsia" w:ascii="仿宋" w:hAnsi="仿宋" w:eastAsia="仿宋" w:cs="仿宋"/>
                <w:color w:val="auto"/>
                <w:sz w:val="18"/>
                <w:szCs w:val="18"/>
                <w:highlight w:val="none"/>
              </w:rPr>
              <w:t>监理文件不符合规范标准以及合同约定的，监理人应按照委托人要求进行整改并承担全部费用，并向委托人支付签约合同价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%违约金，且委托人有权解除合同。造成工期延误的，同时应按合同约定承担逾期完工的违约责任。</w:t>
            </w:r>
          </w:p>
          <w:p w14:paraId="2EDB0069">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工程出现承包人违反施工承包合同关于工程分包的约定情形的，或监理人非法将监理工作转包或分包给其他第三人，监理人应按照签约合同价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%支付违约金，且委托人有权解除合同。</w:t>
            </w:r>
          </w:p>
          <w:p w14:paraId="24F74D37">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监理人无法履行或停止履行合同，监理人应退还委托人已支付的全部费用，并按照签约合同价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%支付违约金，且委托人有权解除合同。</w:t>
            </w:r>
          </w:p>
          <w:p w14:paraId="184A1CF3">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监理人未按照双方约定配齐相关人员，或派遣的总监理工程师与合同约定不一致的，或在监理资源投入上没有满足本合同约定和要求的，应向委托人支付签约合同价的</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%作为违约金。</w:t>
            </w:r>
          </w:p>
          <w:p w14:paraId="45534233">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未经委托人同意，监理人未按本合同约定在工程现场提供监理服务或总监理工程师未经允许，擅自离开施工现场，监理人应按总监3000元/天，其他监理人员1000元/天向委托人支付违约金。违约金累计超过签约合同价的</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%时，委托人有权解除合同。</w:t>
            </w:r>
          </w:p>
          <w:p w14:paraId="0B9C6286">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建设期工程建设质量、工艺未满足达标投产要求或不符合合同约定的，或发生重大质量事故的，监理人应按照签约合同价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%支付违约金，且委托人有权解除合同。</w:t>
            </w:r>
          </w:p>
          <w:p w14:paraId="2DC2F145">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监理人未按合同约定交付监理文件的，或者工程未按施工承包合同所约定的工期完成，每延期一天，监理人应向委托人支付签约合同价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%的违约金；延期超过</w:t>
            </w:r>
            <w:r>
              <w:rPr>
                <w:rFonts w:hint="eastAsia" w:ascii="仿宋" w:hAnsi="仿宋" w:eastAsia="仿宋" w:cs="仿宋"/>
                <w:snapToGrid w:val="0"/>
                <w:color w:val="auto"/>
                <w:kern w:val="0"/>
                <w:sz w:val="18"/>
                <w:szCs w:val="18"/>
                <w:highlight w:val="none"/>
              </w:rPr>
              <w:t>30天的，委托人有权单方解除合同，</w:t>
            </w:r>
            <w:r>
              <w:rPr>
                <w:rFonts w:hint="eastAsia" w:ascii="仿宋" w:hAnsi="仿宋" w:eastAsia="仿宋" w:cs="仿宋"/>
                <w:color w:val="auto"/>
                <w:sz w:val="18"/>
                <w:szCs w:val="18"/>
                <w:highlight w:val="none"/>
              </w:rPr>
              <w:t>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w:t>
            </w:r>
          </w:p>
          <w:p w14:paraId="245D35DA">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在监理范围内发生由于施工安全方案措施造成死亡或重大设备事故，每发生一次，监理人应按照签约合同价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%支付违约金，且</w:t>
            </w:r>
            <w:r>
              <w:rPr>
                <w:rFonts w:hint="eastAsia" w:ascii="仿宋" w:hAnsi="仿宋" w:eastAsia="仿宋" w:cs="仿宋"/>
                <w:color w:val="auto"/>
                <w:kern w:val="0"/>
                <w:sz w:val="18"/>
                <w:szCs w:val="18"/>
                <w:highlight w:val="none"/>
              </w:rPr>
              <w:t>委托人</w:t>
            </w:r>
            <w:r>
              <w:rPr>
                <w:rFonts w:hint="eastAsia" w:ascii="仿宋" w:hAnsi="仿宋" w:eastAsia="仿宋" w:cs="仿宋"/>
                <w:color w:val="auto"/>
                <w:sz w:val="18"/>
                <w:szCs w:val="18"/>
                <w:highlight w:val="none"/>
              </w:rPr>
              <w:t>有权解除合同。</w:t>
            </w:r>
          </w:p>
          <w:p w14:paraId="2F317EAF">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工程的静态投资被突破，监理人应按照签约合同价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%支付违约金及承担该项工程增加的投资额，且委托人有权解除合同。</w:t>
            </w:r>
          </w:p>
          <w:p w14:paraId="223439B2">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因工程计量和费用调整不准确造成虚计费用的，监理人应按照签约合同价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w:t>
            </w:r>
          </w:p>
          <w:p w14:paraId="437E0CBB">
            <w:pPr>
              <w:numPr>
                <w:ilvl w:val="0"/>
                <w:numId w:val="2"/>
              </w:numPr>
              <w:wordWrap w:val="0"/>
              <w:snapToGrid w:val="0"/>
              <w:spacing w:line="240" w:lineRule="exact"/>
              <w:ind w:firstLine="56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监理人未按照合同的约定制订监理规划、</w:t>
            </w:r>
            <w:r>
              <w:rPr>
                <w:rFonts w:hint="eastAsia" w:ascii="仿宋" w:hAnsi="仿宋" w:eastAsia="仿宋" w:cs="仿宋"/>
                <w:color w:val="auto"/>
                <w:kern w:val="0"/>
                <w:sz w:val="18"/>
                <w:szCs w:val="18"/>
                <w:highlight w:val="none"/>
              </w:rPr>
              <w:t>工程创优</w:t>
            </w:r>
            <w:r>
              <w:rPr>
                <w:rFonts w:hint="eastAsia" w:ascii="仿宋" w:hAnsi="仿宋" w:eastAsia="仿宋" w:cs="仿宋"/>
                <w:color w:val="auto"/>
                <w:sz w:val="18"/>
                <w:szCs w:val="18"/>
                <w:highlight w:val="none"/>
              </w:rPr>
              <w:t>监理</w:t>
            </w:r>
            <w:r>
              <w:rPr>
                <w:rFonts w:hint="eastAsia" w:ascii="仿宋" w:hAnsi="仿宋" w:eastAsia="仿宋" w:cs="仿宋"/>
                <w:color w:val="auto"/>
                <w:kern w:val="0"/>
                <w:sz w:val="18"/>
                <w:szCs w:val="18"/>
                <w:highlight w:val="none"/>
              </w:rPr>
              <w:t>控制</w:t>
            </w:r>
            <w:r>
              <w:rPr>
                <w:rFonts w:hint="eastAsia" w:ascii="仿宋" w:hAnsi="仿宋" w:eastAsia="仿宋" w:cs="仿宋"/>
                <w:color w:val="auto"/>
                <w:sz w:val="18"/>
                <w:szCs w:val="18"/>
                <w:highlight w:val="none"/>
              </w:rPr>
              <w:t>实施细则、监理实施细则和安全文明施工实施措施的，监理人应按照签约合同价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w:t>
            </w:r>
          </w:p>
          <w:p w14:paraId="3FA98C0B">
            <w:pPr>
              <w:wordWrap w:val="0"/>
              <w:snapToGrid w:val="0"/>
              <w:spacing w:line="240" w:lineRule="exact"/>
              <w:ind w:firstLine="360" w:firstLineChars="20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（12）因监理人原因导致合同解除的，监理人应退还委托人已支付的全部费用，并按照签约合同价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w:t>
            </w:r>
          </w:p>
          <w:p w14:paraId="5B3BF003">
            <w:pPr>
              <w:wordWrap w:val="0"/>
              <w:snapToGrid w:val="0"/>
              <w:spacing w:line="240" w:lineRule="exact"/>
              <w:ind w:firstLine="360" w:firstLineChars="200"/>
              <w:rPr>
                <w:rFonts w:hint="eastAsia" w:ascii="仿宋" w:hAnsi="仿宋" w:eastAsia="仿宋" w:cs="仿宋"/>
                <w:color w:val="auto"/>
                <w:sz w:val="18"/>
                <w:szCs w:val="18"/>
                <w:highlight w:val="none"/>
              </w:rPr>
            </w:pPr>
            <w:r>
              <w:rPr>
                <w:rFonts w:hint="eastAsia" w:ascii="仿宋" w:hAnsi="仿宋" w:eastAsia="仿宋" w:cs="仿宋"/>
                <w:color w:val="auto"/>
                <w:sz w:val="18"/>
                <w:szCs w:val="18"/>
                <w:highlight w:val="none"/>
              </w:rPr>
              <w:t>（13）监理人违反合同第1.10款约定义务的，监理人应按照签约合同价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%支付违约金，且委托人有权解除合同。监理人未经委托人同意转让或许可第三人使用委托人所有的技术成果和知识产权的，所获收益归委托人所有。</w:t>
            </w:r>
          </w:p>
          <w:p w14:paraId="2FB30414">
            <w:pPr>
              <w:wordWrap w:val="0"/>
              <w:snapToGrid w:val="0"/>
              <w:spacing w:line="240" w:lineRule="exact"/>
              <w:ind w:firstLine="360" w:firstLineChars="200"/>
              <w:rPr>
                <w:rFonts w:hint="eastAsia" w:ascii="仿宋" w:hAnsi="仿宋" w:eastAsia="仿宋" w:cs="仿宋"/>
                <w:color w:val="auto"/>
                <w:kern w:val="0"/>
                <w:sz w:val="18"/>
                <w:szCs w:val="18"/>
                <w:highlight w:val="none"/>
              </w:rPr>
            </w:pPr>
            <w:r>
              <w:rPr>
                <w:rFonts w:hint="eastAsia" w:ascii="仿宋" w:hAnsi="仿宋" w:eastAsia="仿宋" w:cs="仿宋"/>
                <w:color w:val="auto"/>
                <w:kern w:val="0"/>
                <w:sz w:val="18"/>
                <w:szCs w:val="18"/>
                <w:highlight w:val="none"/>
              </w:rPr>
              <w:t>监理人违反</w:t>
            </w:r>
            <w:r>
              <w:rPr>
                <w:rFonts w:hint="eastAsia" w:ascii="仿宋" w:hAnsi="仿宋" w:eastAsia="仿宋" w:cs="仿宋"/>
                <w:color w:val="auto"/>
                <w:sz w:val="18"/>
                <w:szCs w:val="18"/>
                <w:highlight w:val="none"/>
              </w:rPr>
              <w:t>合同第1.11款约定义务的</w:t>
            </w:r>
            <w:r>
              <w:rPr>
                <w:rFonts w:hint="eastAsia" w:ascii="仿宋" w:hAnsi="仿宋" w:eastAsia="仿宋" w:cs="仿宋"/>
                <w:color w:val="auto"/>
                <w:kern w:val="0"/>
                <w:sz w:val="18"/>
                <w:szCs w:val="18"/>
                <w:highlight w:val="none"/>
              </w:rPr>
              <w:t>，</w:t>
            </w:r>
            <w:r>
              <w:rPr>
                <w:rFonts w:hint="eastAsia" w:ascii="仿宋" w:hAnsi="仿宋" w:eastAsia="仿宋" w:cs="仿宋"/>
                <w:color w:val="auto"/>
                <w:sz w:val="18"/>
                <w:szCs w:val="18"/>
                <w:highlight w:val="none"/>
              </w:rPr>
              <w:t>应按照签约合同价</w:t>
            </w:r>
            <w:r>
              <w:rPr>
                <w:rFonts w:hint="eastAsia" w:ascii="仿宋" w:hAnsi="仿宋" w:eastAsia="仿宋" w:cs="仿宋"/>
                <w:color w:val="auto"/>
                <w:sz w:val="18"/>
                <w:szCs w:val="18"/>
                <w:highlight w:val="none"/>
                <w:u w:val="single"/>
              </w:rPr>
              <w:t xml:space="preserve">    </w:t>
            </w:r>
            <w:r>
              <w:rPr>
                <w:rFonts w:hint="eastAsia" w:ascii="仿宋" w:hAnsi="仿宋" w:eastAsia="仿宋" w:cs="仿宋"/>
                <w:color w:val="auto"/>
                <w:sz w:val="18"/>
                <w:szCs w:val="18"/>
                <w:highlight w:val="none"/>
              </w:rPr>
              <w:t>%支付违约金，并</w:t>
            </w:r>
            <w:r>
              <w:rPr>
                <w:rFonts w:hint="eastAsia" w:ascii="仿宋" w:hAnsi="仿宋" w:eastAsia="仿宋" w:cs="仿宋"/>
                <w:color w:val="auto"/>
                <w:kern w:val="0"/>
                <w:sz w:val="18"/>
                <w:szCs w:val="18"/>
                <w:highlight w:val="none"/>
              </w:rPr>
              <w:t>应承担一切法律责任</w:t>
            </w:r>
            <w:r>
              <w:rPr>
                <w:rFonts w:hint="eastAsia" w:ascii="仿宋" w:hAnsi="仿宋" w:eastAsia="仿宋" w:cs="仿宋"/>
                <w:color w:val="auto"/>
                <w:sz w:val="18"/>
                <w:szCs w:val="18"/>
                <w:highlight w:val="none"/>
              </w:rPr>
              <w:t>，且委托人有权解除合同</w:t>
            </w:r>
            <w:r>
              <w:rPr>
                <w:rFonts w:hint="eastAsia" w:ascii="仿宋" w:hAnsi="仿宋" w:eastAsia="仿宋" w:cs="仿宋"/>
                <w:color w:val="auto"/>
                <w:kern w:val="0"/>
                <w:sz w:val="18"/>
                <w:szCs w:val="18"/>
                <w:highlight w:val="none"/>
              </w:rPr>
              <w:t>。</w:t>
            </w:r>
          </w:p>
          <w:p w14:paraId="03BACC85">
            <w:pPr>
              <w:wordWrap w:val="0"/>
              <w:snapToGrid w:val="0"/>
              <w:spacing w:line="240" w:lineRule="exact"/>
              <w:ind w:firstLine="360" w:firstLineChars="200"/>
              <w:rPr>
                <w:rFonts w:hint="eastAsia" w:ascii="仿宋" w:hAnsi="仿宋" w:eastAsia="仿宋" w:cs="仿宋"/>
                <w:color w:val="auto"/>
                <w:kern w:val="0"/>
                <w:sz w:val="18"/>
                <w:szCs w:val="18"/>
                <w:highlight w:val="none"/>
              </w:rPr>
            </w:pPr>
            <w:r>
              <w:rPr>
                <w:rFonts w:hint="eastAsia" w:ascii="仿宋" w:hAnsi="仿宋" w:eastAsia="仿宋" w:cs="仿宋"/>
                <w:color w:val="auto"/>
                <w:kern w:val="0"/>
                <w:sz w:val="18"/>
                <w:szCs w:val="18"/>
                <w:highlight w:val="none"/>
              </w:rPr>
              <w:t>（14）监理人违约除应承担相应违约责任外，委托人向监理人主张权利所产生的费用亦由监理人承担。</w:t>
            </w:r>
          </w:p>
          <w:p w14:paraId="705ECED6">
            <w:pPr>
              <w:wordWrap w:val="0"/>
              <w:snapToGrid w:val="0"/>
              <w:spacing w:line="240" w:lineRule="exact"/>
              <w:ind w:firstLine="360" w:firstLineChars="200"/>
              <w:rPr>
                <w:rFonts w:hint="eastAsia" w:ascii="仿宋" w:hAnsi="仿宋" w:eastAsia="仿宋" w:cs="仿宋"/>
                <w:color w:val="auto"/>
                <w:kern w:val="0"/>
                <w:sz w:val="18"/>
                <w:szCs w:val="18"/>
                <w:highlight w:val="none"/>
              </w:rPr>
            </w:pPr>
            <w:r>
              <w:rPr>
                <w:rFonts w:hint="eastAsia" w:ascii="仿宋" w:hAnsi="仿宋" w:eastAsia="仿宋" w:cs="仿宋"/>
                <w:color w:val="auto"/>
                <w:kern w:val="0"/>
                <w:sz w:val="18"/>
                <w:szCs w:val="18"/>
                <w:highlight w:val="none"/>
              </w:rPr>
              <w:t>（15）监理人应支付和承担的所有违约金及赔偿金，委托人可以直接从应付给监理人的任何款项（包括但不限于本合同和双方签订的其他合同的应付价款）中扣除。</w:t>
            </w:r>
          </w:p>
          <w:p w14:paraId="230DF6B3">
            <w:pPr>
              <w:wordWrap w:val="0"/>
              <w:snapToGrid w:val="0"/>
              <w:spacing w:line="240" w:lineRule="exact"/>
              <w:ind w:firstLine="360" w:firstLineChars="200"/>
              <w:rPr>
                <w:rFonts w:hint="eastAsia" w:ascii="仿宋" w:hAnsi="仿宋" w:eastAsia="仿宋" w:cs="仿宋"/>
                <w:color w:val="auto"/>
                <w:kern w:val="0"/>
                <w:sz w:val="18"/>
                <w:szCs w:val="18"/>
                <w:highlight w:val="none"/>
              </w:rPr>
            </w:pPr>
            <w:r>
              <w:rPr>
                <w:rFonts w:hint="eastAsia" w:ascii="仿宋" w:hAnsi="仿宋" w:eastAsia="仿宋" w:cs="仿宋"/>
                <w:color w:val="auto"/>
                <w:kern w:val="0"/>
                <w:sz w:val="18"/>
                <w:szCs w:val="18"/>
                <w:highlight w:val="none"/>
              </w:rPr>
              <w:t>（16）监理人违反合同义务，应按照合同约定支付违约金的，但应当支付的违约金总额累计以不超过签约合同价格的</w:t>
            </w:r>
            <w:r>
              <w:rPr>
                <w:rFonts w:hint="eastAsia" w:ascii="仿宋" w:hAnsi="仿宋" w:eastAsia="仿宋" w:cs="仿宋"/>
                <w:color w:val="auto"/>
                <w:kern w:val="0"/>
                <w:sz w:val="18"/>
                <w:szCs w:val="18"/>
                <w:highlight w:val="none"/>
                <w:u w:val="single"/>
              </w:rPr>
              <w:t xml:space="preserve">   </w:t>
            </w:r>
            <w:r>
              <w:rPr>
                <w:rFonts w:hint="eastAsia" w:ascii="仿宋" w:hAnsi="仿宋" w:eastAsia="仿宋" w:cs="仿宋"/>
                <w:color w:val="auto"/>
                <w:kern w:val="0"/>
                <w:sz w:val="18"/>
                <w:szCs w:val="18"/>
                <w:highlight w:val="none"/>
              </w:rPr>
              <w:t>%为限。但是，监理人应支付的违约金低于给委托人造成的损失的，应就差额部分进行赔偿，且承担的赔偿金额不以签约合同价为限。</w:t>
            </w:r>
          </w:p>
          <w:p w14:paraId="13FE2190">
            <w:pPr>
              <w:wordWrap w:val="0"/>
              <w:snapToGrid w:val="0"/>
              <w:spacing w:line="240" w:lineRule="exact"/>
              <w:ind w:firstLine="360" w:firstLineChars="200"/>
              <w:rPr>
                <w:rFonts w:hint="eastAsia" w:ascii="仿宋" w:hAnsi="仿宋" w:eastAsia="仿宋" w:cs="仿宋"/>
                <w:color w:val="auto"/>
                <w:sz w:val="18"/>
                <w:szCs w:val="18"/>
                <w:highlight w:val="none"/>
              </w:rPr>
            </w:pPr>
            <w:r>
              <w:rPr>
                <w:rFonts w:hint="eastAsia" w:ascii="仿宋" w:hAnsi="仿宋" w:eastAsia="仿宋" w:cs="仿宋"/>
                <w:snapToGrid w:val="0"/>
                <w:color w:val="auto"/>
                <w:kern w:val="0"/>
                <w:sz w:val="18"/>
                <w:szCs w:val="18"/>
                <w:highlight w:val="none"/>
              </w:rPr>
              <w:t>（17）其他</w:t>
            </w:r>
          </w:p>
          <w:p w14:paraId="7355BA31">
            <w:pPr>
              <w:pStyle w:val="2"/>
              <w:rPr>
                <w:color w:val="auto"/>
                <w:highlight w:val="none"/>
              </w:rPr>
            </w:pPr>
          </w:p>
        </w:tc>
        <w:tc>
          <w:tcPr>
            <w:tcW w:w="3969" w:type="dxa"/>
            <w:vAlign w:val="center"/>
          </w:tcPr>
          <w:p w14:paraId="7F6427BD">
            <w:pPr>
              <w:widowControl/>
              <w:spacing w:line="240" w:lineRule="atLeast"/>
              <w:jc w:val="left"/>
              <w:rPr>
                <w:rFonts w:hint="eastAsia" w:ascii="宋体" w:hAnsi="宋体" w:cs="宋体"/>
                <w:color w:val="auto"/>
                <w:sz w:val="18"/>
                <w:szCs w:val="18"/>
                <w:highlight w:val="none"/>
              </w:rPr>
            </w:pPr>
            <w:r>
              <w:rPr>
                <w:rFonts w:hint="eastAsia" w:ascii="宋体" w:hAnsi="宋体"/>
                <w:color w:val="auto"/>
                <w:kern w:val="0"/>
                <w:sz w:val="18"/>
                <w:highlight w:val="none"/>
                <w:lang w:val="zh-CN"/>
              </w:rPr>
              <w:t>修改为：</w:t>
            </w:r>
          </w:p>
          <w:p w14:paraId="77AF91D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11.1.2 （补充）：</w:t>
            </w:r>
          </w:p>
          <w:p w14:paraId="599A83E4">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（1）监理文件不符合规范标准以及合同约定的，监理人应按照委托人要求进行整改并承担全部费用，并向委托人支付签约合同价</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 xml:space="preserve"> %违约金，且委托人有权解除合同。造成工期延误的，同时应按合同约定承担逾期完工的违约责任。</w:t>
            </w:r>
          </w:p>
          <w:p w14:paraId="57AB52F5">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（2）工程出现承包人违反施工承包合同关于工程分包的约定情形的，或监理人非法将监理工作转包或分包给其他第三人，监理人应按照签约合同价</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 xml:space="preserve"> %支付违约金，且委托人有权解除合同。</w:t>
            </w:r>
          </w:p>
          <w:p w14:paraId="5295A693">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（3）监理人无法履行或停止履行合同，监理人应退还委托人已支付的全部费用，并按照签约合同价</w:t>
            </w:r>
            <w:r>
              <w:rPr>
                <w:rFonts w:hint="eastAsia" w:ascii="宋体" w:hAnsi="宋体" w:cs="宋体"/>
                <w:color w:val="auto"/>
                <w:sz w:val="18"/>
                <w:szCs w:val="18"/>
                <w:highlight w:val="none"/>
                <w:u w:val="single"/>
              </w:rPr>
              <w:t xml:space="preserve"> 5 </w:t>
            </w:r>
            <w:r>
              <w:rPr>
                <w:rFonts w:hint="eastAsia" w:ascii="宋体" w:hAnsi="宋体" w:cs="宋体"/>
                <w:color w:val="auto"/>
                <w:sz w:val="18"/>
                <w:szCs w:val="18"/>
                <w:highlight w:val="none"/>
              </w:rPr>
              <w:t xml:space="preserve">  %支付违约金，且委托人有权解除合同。</w:t>
            </w:r>
          </w:p>
          <w:p w14:paraId="3EC8FB1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（4）监理人未按照双方约定配齐相关人员，或在监理资源投入上没有满足本合同约定和要求的，应向委托人支付签约合同价的</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 xml:space="preserve"> %作为违约金。</w:t>
            </w:r>
          </w:p>
          <w:p w14:paraId="29724702">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5）未经委托人同意，监理人未按本合同约定在工程现场提供监理服务或总监理工程师未经允许，擅自离开施工现场，监理人应按总监3000元/天,其他监理人员1000元/天向委托人支付违约金。违约金累计超过签约合同价的</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%时，委托人有权解除合同。</w:t>
            </w:r>
          </w:p>
          <w:p w14:paraId="58AD8A6B">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 xml:space="preserve">（6）建设期工程建设质量、工艺未满足达标投产要求或不符合合同约定的，或发生重大质量事故的，监理人应按照签约合同价 </w:t>
            </w:r>
            <w:r>
              <w:rPr>
                <w:rFonts w:hint="eastAsia" w:ascii="宋体" w:hAnsi="宋体" w:cs="宋体"/>
                <w:color w:val="auto"/>
                <w:sz w:val="18"/>
                <w:szCs w:val="18"/>
                <w:highlight w:val="none"/>
                <w:u w:val="single"/>
              </w:rPr>
              <w:t xml:space="preserve"> 5 </w:t>
            </w:r>
            <w:r>
              <w:rPr>
                <w:rFonts w:hint="eastAsia" w:ascii="宋体" w:hAnsi="宋体" w:cs="宋体"/>
                <w:color w:val="auto"/>
                <w:sz w:val="18"/>
                <w:szCs w:val="18"/>
                <w:highlight w:val="none"/>
              </w:rPr>
              <w:t xml:space="preserve"> %支付违约金，且委托人有权解除合同。</w:t>
            </w:r>
          </w:p>
          <w:p w14:paraId="5E1FD686">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（7）监理人未按合同约定交付监理文件的，或者工程未按施工承包合同所约定的工期完成，每延期一天，监理人应向委托人支付签约合同价</w:t>
            </w:r>
            <w:r>
              <w:rPr>
                <w:rFonts w:hint="eastAsia" w:ascii="宋体" w:hAnsi="宋体" w:cs="宋体"/>
                <w:color w:val="auto"/>
                <w:sz w:val="18"/>
                <w:szCs w:val="18"/>
                <w:highlight w:val="none"/>
                <w:u w:val="single"/>
              </w:rPr>
              <w:t>0.1</w:t>
            </w:r>
            <w:r>
              <w:rPr>
                <w:rFonts w:hint="eastAsia" w:ascii="宋体" w:hAnsi="宋体" w:cs="宋体"/>
                <w:color w:val="auto"/>
                <w:sz w:val="18"/>
                <w:szCs w:val="18"/>
                <w:highlight w:val="none"/>
              </w:rPr>
              <w:t xml:space="preserve">%的违约金；延期超过30天的，委托人有权单方解除合同，监理人应按照签约合同价 </w:t>
            </w:r>
            <w:r>
              <w:rPr>
                <w:rFonts w:hint="eastAsia" w:ascii="宋体" w:hAnsi="宋体" w:cs="宋体"/>
                <w:color w:val="auto"/>
                <w:sz w:val="18"/>
                <w:szCs w:val="18"/>
                <w:highlight w:val="none"/>
                <w:u w:val="single"/>
              </w:rPr>
              <w:t xml:space="preserve">5 </w:t>
            </w:r>
            <w:r>
              <w:rPr>
                <w:rFonts w:hint="eastAsia" w:ascii="宋体" w:hAnsi="宋体" w:cs="宋体"/>
                <w:color w:val="auto"/>
                <w:sz w:val="18"/>
                <w:szCs w:val="18"/>
                <w:highlight w:val="none"/>
              </w:rPr>
              <w:t>%支付违约金。</w:t>
            </w:r>
          </w:p>
          <w:p w14:paraId="57CB8D11">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（8）在监理范围内发生由于施工安全方案措施造成死亡或重大设备事故，每发生一次，监理人应按照签约合同价</w:t>
            </w:r>
            <w:r>
              <w:rPr>
                <w:rFonts w:hint="eastAsia" w:ascii="宋体" w:hAnsi="宋体" w:cs="宋体"/>
                <w:color w:val="auto"/>
                <w:sz w:val="18"/>
                <w:szCs w:val="18"/>
                <w:highlight w:val="none"/>
                <w:u w:val="single"/>
              </w:rPr>
              <w:t>10</w:t>
            </w:r>
            <w:r>
              <w:rPr>
                <w:rFonts w:hint="eastAsia" w:ascii="宋体" w:hAnsi="宋体" w:cs="宋体"/>
                <w:color w:val="auto"/>
                <w:sz w:val="18"/>
                <w:szCs w:val="18"/>
                <w:highlight w:val="none"/>
              </w:rPr>
              <w:t xml:space="preserve"> %支付违约金，且委托人有权解除合同。</w:t>
            </w:r>
          </w:p>
          <w:p w14:paraId="486DB6B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（9）因监理人未履行造价审核职责、违规签证等职责导致工程静态投资突破的，监理人应按签约合同价的</w:t>
            </w:r>
            <w:r>
              <w:rPr>
                <w:rFonts w:hint="eastAsia" w:ascii="宋体" w:hAnsi="宋体" w:cs="宋体"/>
                <w:color w:val="auto"/>
                <w:sz w:val="18"/>
                <w:szCs w:val="18"/>
                <w:highlight w:val="none"/>
                <w:u w:val="single"/>
                <w:lang w:val="en-US" w:eastAsia="zh-CN"/>
              </w:rPr>
              <w:t>1</w:t>
            </w:r>
            <w:r>
              <w:rPr>
                <w:rFonts w:hint="eastAsia" w:ascii="宋体" w:hAnsi="宋体" w:cs="宋体"/>
                <w:color w:val="auto"/>
                <w:sz w:val="18"/>
                <w:szCs w:val="18"/>
                <w:highlight w:val="none"/>
              </w:rPr>
              <w:t>%向委托人支付违约金并承担对应增加的投资额，且委托人有权解除合同。</w:t>
            </w:r>
            <w:bookmarkStart w:id="10" w:name="_GoBack"/>
            <w:bookmarkEnd w:id="10"/>
          </w:p>
          <w:p w14:paraId="1BF6701E">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（10）因工程计量和费用调整不准确造成虚计费用的，监理人应按照签约合同价</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%支付违约金。</w:t>
            </w:r>
          </w:p>
          <w:p w14:paraId="197CC7EA">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（11）监理人未按照合同的约定制订监理规划、监理实施细则的，监理人应按照签约合同价</w:t>
            </w:r>
            <w:r>
              <w:rPr>
                <w:rFonts w:hint="eastAsia" w:ascii="宋体" w:hAnsi="宋体" w:cs="宋体"/>
                <w:color w:val="auto"/>
                <w:sz w:val="18"/>
                <w:szCs w:val="18"/>
                <w:highlight w:val="none"/>
                <w:u w:val="single"/>
              </w:rPr>
              <w:t>1</w:t>
            </w:r>
            <w:r>
              <w:rPr>
                <w:rFonts w:hint="eastAsia" w:ascii="宋体" w:hAnsi="宋体" w:cs="宋体"/>
                <w:color w:val="auto"/>
                <w:sz w:val="18"/>
                <w:szCs w:val="18"/>
                <w:highlight w:val="none"/>
              </w:rPr>
              <w:t>%支付违约金。</w:t>
            </w:r>
          </w:p>
          <w:p w14:paraId="75826E25">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（12）因监理人原因导致合同解除的，监理人应退还委托人已支付的全部费用，并按照签约合同价</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 xml:space="preserve"> %支付违约金。</w:t>
            </w:r>
          </w:p>
          <w:p w14:paraId="5FE59FB0">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（13）监理人违反合同第1.10款约定义务的，监理人应按照签约合同价</w:t>
            </w:r>
            <w:r>
              <w:rPr>
                <w:rFonts w:hint="eastAsia" w:ascii="宋体" w:hAnsi="宋体" w:cs="宋体"/>
                <w:color w:val="auto"/>
                <w:sz w:val="18"/>
                <w:szCs w:val="18"/>
                <w:highlight w:val="none"/>
                <w:u w:val="single"/>
              </w:rPr>
              <w:t xml:space="preserve"> 5</w:t>
            </w:r>
            <w:r>
              <w:rPr>
                <w:rFonts w:hint="eastAsia" w:ascii="宋体" w:hAnsi="宋体" w:cs="宋体"/>
                <w:color w:val="auto"/>
                <w:sz w:val="18"/>
                <w:szCs w:val="18"/>
                <w:highlight w:val="none"/>
              </w:rPr>
              <w:t xml:space="preserve"> %支付违约金，且委托人有权解除合同。监理人未经委托人同意转让或许可第三人使用委托人所有的技术成果和知识产权的，所获收益归委托人所有。</w:t>
            </w:r>
          </w:p>
          <w:p w14:paraId="776478F8">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监理人违反合同第1.11款约定义务的，应按照签约合同价</w:t>
            </w:r>
            <w:r>
              <w:rPr>
                <w:rFonts w:hint="eastAsia" w:ascii="宋体" w:hAnsi="宋体" w:cs="宋体"/>
                <w:color w:val="auto"/>
                <w:sz w:val="18"/>
                <w:szCs w:val="18"/>
                <w:highlight w:val="none"/>
                <w:u w:val="single"/>
              </w:rPr>
              <w:t>5</w:t>
            </w:r>
            <w:r>
              <w:rPr>
                <w:rFonts w:hint="eastAsia" w:ascii="宋体" w:hAnsi="宋体" w:cs="宋体"/>
                <w:color w:val="auto"/>
                <w:sz w:val="18"/>
                <w:szCs w:val="18"/>
                <w:highlight w:val="none"/>
              </w:rPr>
              <w:t xml:space="preserve"> %支付违约金，并应承担一切法律责任，且委托人有权解除合同。</w:t>
            </w:r>
          </w:p>
          <w:p w14:paraId="345378D4">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（14）监理人按合同约定应支付的违约金低于给委托人造成的损失的，并应就差额部分向委托人进行赔偿。监理人承担的赔偿金额不以签约合同价格为限。</w:t>
            </w:r>
          </w:p>
          <w:p w14:paraId="2724A14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（15）监理人违约除应承担相应违约责任外，委托人向监理人主张权利所产生的费用亦由监理人承担。</w:t>
            </w:r>
          </w:p>
          <w:p w14:paraId="23F46C6D">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（16）监理人因违约需向委托人支付违约金或赔偿损失的，委托人有权从任何一期合同应付款项中予以扣除。</w:t>
            </w:r>
          </w:p>
          <w:p w14:paraId="0135FC10">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（17）监理人违反合同义务，应按照合同约定支付违约金的，但应当支付的违约金总额累计以不超过签约合同价格的</w:t>
            </w:r>
            <w:r>
              <w:rPr>
                <w:rFonts w:hint="eastAsia" w:ascii="宋体" w:hAnsi="宋体" w:cs="宋体"/>
                <w:color w:val="auto"/>
                <w:sz w:val="18"/>
                <w:szCs w:val="18"/>
                <w:highlight w:val="none"/>
                <w:u w:val="single"/>
              </w:rPr>
              <w:t>30</w:t>
            </w:r>
            <w:r>
              <w:rPr>
                <w:rFonts w:hint="eastAsia" w:ascii="宋体" w:hAnsi="宋体" w:cs="宋体"/>
                <w:color w:val="auto"/>
                <w:sz w:val="18"/>
                <w:szCs w:val="18"/>
                <w:highlight w:val="none"/>
              </w:rPr>
              <w:t>%为限。但是，监理人应支付的违约金低于给委托人造成的损失的，应就差额部分进行赔偿，且承担的赔偿金额不以签约合同价为限。</w:t>
            </w:r>
          </w:p>
          <w:p w14:paraId="739F01F0">
            <w:pPr>
              <w:spacing w:line="240" w:lineRule="atLeast"/>
              <w:rPr>
                <w:rFonts w:hint="eastAsia" w:ascii="宋体" w:hAnsi="宋体" w:cs="宋体"/>
                <w:color w:val="auto"/>
                <w:sz w:val="18"/>
                <w:szCs w:val="18"/>
                <w:highlight w:val="none"/>
                <w:u w:val="single"/>
              </w:rPr>
            </w:pPr>
            <w:r>
              <w:rPr>
                <w:rFonts w:hint="eastAsia" w:ascii="宋体" w:hAnsi="宋体" w:cs="宋体"/>
                <w:color w:val="auto"/>
                <w:sz w:val="18"/>
                <w:szCs w:val="18"/>
                <w:highlight w:val="none"/>
              </w:rPr>
              <w:t>（18）其他：</w:t>
            </w:r>
            <w:r>
              <w:rPr>
                <w:rFonts w:hint="eastAsia" w:ascii="宋体" w:hAnsi="宋体" w:cs="宋体"/>
                <w:color w:val="auto"/>
                <w:sz w:val="18"/>
                <w:szCs w:val="18"/>
                <w:highlight w:val="none"/>
                <w:u w:val="single"/>
              </w:rPr>
              <w:t>①在工程建设管理过程中，若发现在安全、质量、进度、造价、档案管理等方面存在不满足工作标准要求的（非监理责任的除外），委托人有权对监理人进行经济考核，标准参照委托人基建工程项目管理的有关规定，具体以委托人的工作联系单和书面通知为准。</w:t>
            </w:r>
          </w:p>
          <w:p w14:paraId="31A274D8">
            <w:pPr>
              <w:spacing w:line="240" w:lineRule="atLeast"/>
              <w:rPr>
                <w:rFonts w:hint="eastAsia" w:ascii="宋体" w:hAnsi="宋体" w:cs="宋体"/>
                <w:color w:val="auto"/>
                <w:sz w:val="18"/>
                <w:szCs w:val="18"/>
                <w:highlight w:val="none"/>
                <w:u w:val="single"/>
              </w:rPr>
            </w:pPr>
            <w:r>
              <w:rPr>
                <w:rFonts w:hint="eastAsia" w:ascii="宋体" w:hAnsi="宋体" w:cs="宋体"/>
                <w:color w:val="auto"/>
                <w:sz w:val="18"/>
                <w:szCs w:val="18"/>
                <w:highlight w:val="none"/>
                <w:u w:val="single"/>
              </w:rPr>
              <w:t>②发现竣工图与现场实际不符的，每不符一处扣减监理费3000元；设计变更单、现场签证单与现场实际不符的，每不符一处扣减监理费3000元。不连续编号的设计变更单、现场签证单，每一张单扣减监理费3000元；非合同约定的总监理工程师，不得在设计变更单、现场签证单上签字确认；未按规定期限向委托人移交工程资料的，每逾期一天，监理人应向委托人支付3000元的违约金。</w:t>
            </w:r>
          </w:p>
          <w:p w14:paraId="1A8C9DBF">
            <w:pPr>
              <w:spacing w:line="240" w:lineRule="atLeast"/>
              <w:rPr>
                <w:rFonts w:hint="eastAsia" w:ascii="宋体" w:hAnsi="宋体" w:cs="宋体"/>
                <w:color w:val="auto"/>
                <w:sz w:val="18"/>
                <w:szCs w:val="18"/>
                <w:highlight w:val="none"/>
                <w:u w:val="single"/>
              </w:rPr>
            </w:pPr>
            <w:r>
              <w:rPr>
                <w:rFonts w:hint="eastAsia" w:ascii="宋体" w:hAnsi="宋体" w:cs="宋体"/>
                <w:color w:val="auto"/>
                <w:sz w:val="18"/>
                <w:szCs w:val="18"/>
                <w:highlight w:val="none"/>
                <w:u w:val="single"/>
              </w:rPr>
              <w:t>③监理人未能及时对设计变更及现场签证进行会签的，每延误1天扣除监理人100元。监理人未在工程竣工后5个工作日内编制《设计变更及现场签证汇总表》的，每延误1天扣除监理人100元。《设计变更及现场签证汇总表》出现错误的，每处扣除监理人监理费1000元。</w:t>
            </w:r>
          </w:p>
          <w:p w14:paraId="5128CFBF">
            <w:pPr>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u w:val="single"/>
              </w:rPr>
              <w:t>④监理人未按投标文件配备人员、办公设备、设施等的，委托人有权要求其整改</w:t>
            </w:r>
            <w:r>
              <w:rPr>
                <w:rFonts w:hint="eastAsia" w:ascii="宋体" w:hAnsi="宋体" w:cs="宋体"/>
                <w:color w:val="auto"/>
                <w:sz w:val="18"/>
                <w:szCs w:val="18"/>
                <w:highlight w:val="none"/>
              </w:rPr>
              <w:t>。</w:t>
            </w:r>
          </w:p>
        </w:tc>
        <w:tc>
          <w:tcPr>
            <w:tcW w:w="808" w:type="dxa"/>
            <w:vAlign w:val="center"/>
          </w:tcPr>
          <w:p w14:paraId="2BB0F72D">
            <w:pPr>
              <w:widowControl/>
              <w:jc w:val="center"/>
              <w:rPr>
                <w:rFonts w:hint="eastAsia" w:ascii="宋体" w:hAnsi="宋体" w:cs="宋体"/>
                <w:b/>
                <w:bCs/>
                <w:color w:val="auto"/>
                <w:kern w:val="0"/>
                <w:sz w:val="18"/>
                <w:szCs w:val="18"/>
                <w:highlight w:val="none"/>
              </w:rPr>
            </w:pPr>
          </w:p>
        </w:tc>
      </w:tr>
      <w:tr w14:paraId="6D035BC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398" w:type="dxa"/>
            <w:vAlign w:val="center"/>
          </w:tcPr>
          <w:p w14:paraId="36DE05B9">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5443EBDD">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 11.2.2（1）</w:t>
            </w:r>
          </w:p>
        </w:tc>
        <w:tc>
          <w:tcPr>
            <w:tcW w:w="4253" w:type="dxa"/>
            <w:vAlign w:val="center"/>
          </w:tcPr>
          <w:p w14:paraId="7D0403CF">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11.2 委托人违约</w:t>
            </w:r>
          </w:p>
          <w:p w14:paraId="0049FBE2">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11.2.2 修改为：</w:t>
            </w:r>
          </w:p>
          <w:p w14:paraId="742C8B27">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（1）委托人逾期支付合同价款的，应就逾期部分向监理人支付按照中国人民银行规定的同期贷款基准利率计算的逾期付款违约金，但因监理人原因造成的除外。（此条建议删除,范本已修改为合同中的对比条款）</w:t>
            </w:r>
          </w:p>
        </w:tc>
        <w:tc>
          <w:tcPr>
            <w:tcW w:w="3969" w:type="dxa"/>
            <w:vAlign w:val="center"/>
          </w:tcPr>
          <w:p w14:paraId="4CD9E76C">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11.2 委托人违约</w:t>
            </w:r>
          </w:p>
          <w:p w14:paraId="26CAFFFC">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11.2.2 修改为：</w:t>
            </w:r>
          </w:p>
          <w:p w14:paraId="0634517B">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（1）委托人逾期支付合同价款的，应就逾期部分向监理人支付按照合同订立时全国银行间同业拆借中心公布的1年期贷款市场报价利率计算的逾期付款违约金，但因监理人原因造成的除外。</w:t>
            </w:r>
          </w:p>
        </w:tc>
        <w:tc>
          <w:tcPr>
            <w:tcW w:w="808" w:type="dxa"/>
            <w:vAlign w:val="center"/>
          </w:tcPr>
          <w:p w14:paraId="71D6CDBE">
            <w:pPr>
              <w:widowControl/>
              <w:jc w:val="center"/>
              <w:rPr>
                <w:color w:val="auto"/>
                <w:highlight w:val="none"/>
              </w:rPr>
            </w:pPr>
          </w:p>
          <w:p w14:paraId="6DBCBB9D">
            <w:pPr>
              <w:pStyle w:val="2"/>
              <w:rPr>
                <w:rFonts w:hint="eastAsia" w:ascii="宋体" w:hAnsi="宋体" w:cs="宋体"/>
                <w:b/>
                <w:bCs/>
                <w:color w:val="auto"/>
                <w:kern w:val="0"/>
                <w:highlight w:val="none"/>
              </w:rPr>
            </w:pPr>
          </w:p>
          <w:p w14:paraId="2E4660D6">
            <w:pPr>
              <w:pStyle w:val="2"/>
              <w:rPr>
                <w:rFonts w:hint="eastAsia" w:ascii="宋体" w:hAnsi="宋体" w:cs="宋体"/>
                <w:b/>
                <w:bCs/>
                <w:color w:val="auto"/>
                <w:kern w:val="0"/>
                <w:highlight w:val="none"/>
              </w:rPr>
            </w:pPr>
          </w:p>
        </w:tc>
      </w:tr>
      <w:tr w14:paraId="2DC252E3">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2" w:hRule="atLeast"/>
        </w:trPr>
        <w:tc>
          <w:tcPr>
            <w:tcW w:w="398" w:type="dxa"/>
            <w:vAlign w:val="center"/>
          </w:tcPr>
          <w:p w14:paraId="5E6603AC">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40A3E7DB">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第三部分 专用合同条款12</w:t>
            </w:r>
          </w:p>
        </w:tc>
        <w:tc>
          <w:tcPr>
            <w:tcW w:w="4253" w:type="dxa"/>
            <w:vAlign w:val="center"/>
          </w:tcPr>
          <w:p w14:paraId="4A34C5DD">
            <w:pPr>
              <w:wordWrap w:val="0"/>
              <w:spacing w:line="240" w:lineRule="atLeast"/>
              <w:ind w:firstLine="270" w:firstLineChars="150"/>
              <w:jc w:val="left"/>
              <w:rPr>
                <w:rFonts w:hint="eastAsia" w:ascii="宋体" w:hAnsi="宋体" w:cs="宋体"/>
                <w:color w:val="auto"/>
                <w:sz w:val="18"/>
                <w:szCs w:val="18"/>
                <w:highlight w:val="none"/>
              </w:rPr>
            </w:pPr>
            <w:bookmarkStart w:id="0" w:name="_Toc4146"/>
            <w:bookmarkStart w:id="1" w:name="_Toc29241"/>
            <w:bookmarkStart w:id="2" w:name="_Toc5487"/>
            <w:bookmarkStart w:id="3" w:name="_Toc22719"/>
            <w:bookmarkStart w:id="4" w:name="_Toc1455"/>
            <w:bookmarkStart w:id="5" w:name="_Toc370570763"/>
            <w:bookmarkStart w:id="6" w:name="_Toc23754"/>
            <w:bookmarkStart w:id="7" w:name="_Toc17514"/>
            <w:bookmarkStart w:id="8" w:name="_Toc13635"/>
            <w:bookmarkStart w:id="9" w:name="_Toc27966"/>
            <w:r>
              <w:rPr>
                <w:rFonts w:hint="eastAsia" w:ascii="宋体" w:hAnsi="宋体" w:cs="宋体"/>
                <w:color w:val="auto"/>
                <w:sz w:val="18"/>
                <w:szCs w:val="18"/>
                <w:highlight w:val="none"/>
              </w:rPr>
              <w:t>12. 争议的解决</w:t>
            </w:r>
            <w:bookmarkEnd w:id="0"/>
            <w:bookmarkEnd w:id="1"/>
            <w:bookmarkEnd w:id="2"/>
            <w:bookmarkEnd w:id="3"/>
            <w:bookmarkEnd w:id="4"/>
            <w:bookmarkEnd w:id="5"/>
            <w:bookmarkEnd w:id="6"/>
            <w:bookmarkEnd w:id="7"/>
            <w:bookmarkEnd w:id="8"/>
            <w:bookmarkEnd w:id="9"/>
          </w:p>
          <w:p w14:paraId="3F1CE7DC">
            <w:pPr>
              <w:wordWrap w:val="0"/>
              <w:spacing w:line="240" w:lineRule="atLeast"/>
              <w:ind w:firstLine="270" w:firstLineChars="15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因合同及合同有关事项发生的争议，经协商仍无法达成一致的，按以下第    种方式</w:t>
            </w:r>
            <w:r>
              <w:rPr>
                <w:rFonts w:hint="eastAsia" w:ascii="宋体" w:hAnsi="宋体" w:cs="宋体"/>
                <w:color w:val="auto"/>
                <w:sz w:val="18"/>
                <w:szCs w:val="18"/>
                <w:highlight w:val="none"/>
              </w:rPr>
              <w:footnoteReference w:id="0"/>
            </w:r>
            <w:r>
              <w:rPr>
                <w:rFonts w:hint="eastAsia" w:ascii="宋体" w:hAnsi="宋体" w:cs="宋体"/>
                <w:color w:val="auto"/>
                <w:sz w:val="18"/>
                <w:szCs w:val="18"/>
                <w:highlight w:val="none"/>
              </w:rPr>
              <w:t>处理：</w:t>
            </w:r>
          </w:p>
          <w:p w14:paraId="1C3630BE">
            <w:pPr>
              <w:wordWrap w:val="0"/>
              <w:spacing w:line="240" w:lineRule="atLeast"/>
              <w:ind w:firstLine="270" w:firstLineChars="15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（1）仲裁：提交         仲裁，按照申请仲裁时该仲裁机构有效的仲裁规则</w:t>
            </w:r>
            <w:r>
              <w:rPr>
                <w:rFonts w:hint="eastAsia" w:ascii="宋体" w:hAnsi="宋体" w:cs="宋体"/>
                <w:color w:val="auto"/>
                <w:sz w:val="18"/>
                <w:szCs w:val="18"/>
                <w:highlight w:val="none"/>
              </w:rPr>
              <w:footnoteReference w:id="1"/>
            </w:r>
            <w:r>
              <w:rPr>
                <w:rFonts w:hint="eastAsia" w:ascii="宋体" w:hAnsi="宋体" w:cs="宋体"/>
                <w:color w:val="auto"/>
                <w:sz w:val="18"/>
                <w:szCs w:val="18"/>
                <w:highlight w:val="none"/>
              </w:rPr>
              <w:t>进行仲裁。仲裁裁决是终局的，对双方均有约束力。</w:t>
            </w:r>
          </w:p>
          <w:p w14:paraId="38C94DB1">
            <w:pPr>
              <w:wordWrap w:val="0"/>
              <w:spacing w:line="240" w:lineRule="atLeast"/>
              <w:ind w:firstLine="270" w:firstLineChars="15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（2）诉讼：向         所在地人民法院提起诉讼。</w:t>
            </w:r>
          </w:p>
          <w:p w14:paraId="26A19019">
            <w:pPr>
              <w:wordWrap w:val="0"/>
              <w:spacing w:line="240" w:lineRule="atLeast"/>
              <w:ind w:firstLine="270" w:firstLineChars="150"/>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在争议解决期间，合同中未涉及争议部分的条款仍须履行。</w:t>
            </w:r>
          </w:p>
        </w:tc>
        <w:tc>
          <w:tcPr>
            <w:tcW w:w="3969" w:type="dxa"/>
            <w:vAlign w:val="center"/>
          </w:tcPr>
          <w:p w14:paraId="7E2BA9B5">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12. 争议的解决</w:t>
            </w:r>
          </w:p>
          <w:p w14:paraId="36245664">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因合同及合同有关事项发生的争议，经协商仍无法达成一致的，按以下第（</w:t>
            </w:r>
            <w:r>
              <w:rPr>
                <w:rFonts w:hint="eastAsia" w:ascii="宋体" w:hAnsi="宋体" w:cs="宋体"/>
                <w:color w:val="auto"/>
                <w:sz w:val="18"/>
                <w:szCs w:val="18"/>
                <w:highlight w:val="none"/>
                <w:lang w:val="en-US" w:eastAsia="zh-CN"/>
              </w:rPr>
              <w:t>2</w:t>
            </w:r>
            <w:r>
              <w:rPr>
                <w:rFonts w:hint="eastAsia" w:ascii="宋体" w:hAnsi="宋体" w:cs="宋体"/>
                <w:color w:val="auto"/>
                <w:sz w:val="18"/>
                <w:szCs w:val="18"/>
                <w:highlight w:val="none"/>
              </w:rPr>
              <w:t>）种方式处理：</w:t>
            </w:r>
          </w:p>
          <w:p w14:paraId="2C1A5DB8">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（1）仲裁：提交</w:t>
            </w:r>
            <w:r>
              <w:rPr>
                <w:rFonts w:hint="eastAsia" w:ascii="宋体" w:hAnsi="宋体" w:cs="宋体"/>
                <w:color w:val="auto"/>
                <w:sz w:val="18"/>
                <w:szCs w:val="18"/>
                <w:highlight w:val="none"/>
                <w:u w:val="single"/>
              </w:rPr>
              <w:t xml:space="preserve">/ </w:t>
            </w:r>
            <w:r>
              <w:rPr>
                <w:rFonts w:hint="eastAsia" w:ascii="宋体" w:hAnsi="宋体" w:cs="宋体"/>
                <w:color w:val="auto"/>
                <w:sz w:val="18"/>
                <w:szCs w:val="18"/>
                <w:highlight w:val="none"/>
              </w:rPr>
              <w:t>仲裁，按照申请仲裁时该仲裁机构有效的仲裁规则进行仲裁。仲裁裁决是终局的，对双方均有约束力。</w:t>
            </w:r>
          </w:p>
          <w:p w14:paraId="48CCBE08">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（2）诉讼：向</w:t>
            </w:r>
            <w:r>
              <w:rPr>
                <w:rFonts w:hint="eastAsia" w:ascii="宋体" w:hAnsi="宋体" w:cs="宋体"/>
                <w:color w:val="auto"/>
                <w:sz w:val="18"/>
                <w:szCs w:val="18"/>
                <w:highlight w:val="none"/>
                <w:u w:val="single"/>
                <w:lang w:eastAsia="zh-CN"/>
              </w:rPr>
              <w:t>工程项目</w:t>
            </w:r>
            <w:r>
              <w:rPr>
                <w:rFonts w:hint="eastAsia" w:ascii="宋体" w:hAnsi="宋体" w:cs="宋体"/>
                <w:color w:val="auto"/>
                <w:sz w:val="18"/>
                <w:szCs w:val="18"/>
                <w:highlight w:val="none"/>
              </w:rPr>
              <w:t>所在地人民法院提起诉讼。</w:t>
            </w:r>
          </w:p>
          <w:p w14:paraId="66020CAF">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在争议解决期间，合同中未涉及争议部分的条款仍须履行。</w:t>
            </w:r>
          </w:p>
        </w:tc>
        <w:tc>
          <w:tcPr>
            <w:tcW w:w="808" w:type="dxa"/>
            <w:vAlign w:val="center"/>
          </w:tcPr>
          <w:p w14:paraId="1809AFF1">
            <w:pPr>
              <w:pStyle w:val="2"/>
              <w:rPr>
                <w:rFonts w:hint="eastAsia" w:ascii="宋体" w:hAnsi="宋体" w:cs="宋体"/>
                <w:b/>
                <w:bCs/>
                <w:color w:val="auto"/>
                <w:kern w:val="0"/>
                <w:highlight w:val="none"/>
              </w:rPr>
            </w:pPr>
          </w:p>
        </w:tc>
      </w:tr>
      <w:tr w14:paraId="556ED58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398" w:type="dxa"/>
            <w:vAlign w:val="center"/>
          </w:tcPr>
          <w:p w14:paraId="0FB18E69">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74DFDB7B">
            <w:pPr>
              <w:spacing w:line="240" w:lineRule="atLeast"/>
              <w:jc w:val="left"/>
              <w:rPr>
                <w:rFonts w:hint="eastAsia" w:ascii="宋体" w:hAnsi="宋体" w:cs="宋体"/>
                <w:color w:val="auto"/>
                <w:sz w:val="18"/>
                <w:szCs w:val="18"/>
                <w:highlight w:val="none"/>
              </w:rPr>
            </w:pPr>
          </w:p>
        </w:tc>
        <w:tc>
          <w:tcPr>
            <w:tcW w:w="4253" w:type="dxa"/>
            <w:vAlign w:val="center"/>
          </w:tcPr>
          <w:p w14:paraId="52E5F86F">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13. 特别约定</w:t>
            </w:r>
          </w:p>
          <w:p w14:paraId="143F3D67">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本特别约定是合同各方经协商后对通用合同条款的修改或补充，如有不一致，以特别约定为准。</w:t>
            </w:r>
          </w:p>
        </w:tc>
        <w:tc>
          <w:tcPr>
            <w:tcW w:w="3969" w:type="dxa"/>
            <w:vAlign w:val="center"/>
          </w:tcPr>
          <w:p w14:paraId="4792E1E1">
            <w:pPr>
              <w:pStyle w:val="2"/>
              <w:numPr>
                <w:ilvl w:val="0"/>
                <w:numId w:val="0"/>
              </w:numPr>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13. 特别约定</w:t>
            </w:r>
          </w:p>
          <w:p w14:paraId="505A2C95">
            <w:pPr>
              <w:numPr>
                <w:ilvl w:val="0"/>
                <w:numId w:val="0"/>
              </w:numPr>
              <w:spacing w:line="240" w:lineRule="atLeast"/>
              <w:ind w:firstLine="360" w:firstLineChars="200"/>
              <w:rPr>
                <w:color w:val="auto"/>
                <w:sz w:val="18"/>
                <w:szCs w:val="18"/>
                <w:highlight w:val="none"/>
              </w:rPr>
            </w:pPr>
            <w:r>
              <w:rPr>
                <w:rFonts w:hint="eastAsia"/>
                <w:color w:val="auto"/>
                <w:sz w:val="18"/>
                <w:szCs w:val="18"/>
                <w:highlight w:val="none"/>
                <w:lang w:val="en-US" w:eastAsia="zh-CN"/>
              </w:rPr>
              <w:t>1.</w:t>
            </w:r>
            <w:r>
              <w:rPr>
                <w:rFonts w:hint="eastAsia"/>
                <w:color w:val="auto"/>
                <w:sz w:val="18"/>
                <w:szCs w:val="18"/>
                <w:highlight w:val="none"/>
              </w:rPr>
              <w:t>监理合同总价的</w:t>
            </w:r>
            <w:r>
              <w:rPr>
                <w:color w:val="auto"/>
                <w:sz w:val="18"/>
                <w:szCs w:val="18"/>
                <w:highlight w:val="none"/>
              </w:rPr>
              <w:t>2%作为过程考核金，按《监理承包商现场考核实施细则》（合同附件）执行，考核成绩按下表对应关系执行支付：</w:t>
            </w:r>
          </w:p>
          <w:p w14:paraId="78678328">
            <w:pPr>
              <w:spacing w:line="240" w:lineRule="atLeast"/>
              <w:rPr>
                <w:color w:val="auto"/>
                <w:sz w:val="18"/>
                <w:szCs w:val="18"/>
                <w:highlight w:val="none"/>
              </w:rPr>
            </w:pPr>
            <w:r>
              <w:rPr>
                <w:rFonts w:hint="eastAsia"/>
                <w:color w:val="auto"/>
                <w:sz w:val="18"/>
                <w:szCs w:val="18"/>
                <w:highlight w:val="none"/>
              </w:rPr>
              <w:t>过程考核成绩（分）需支付的过程考核金</w:t>
            </w:r>
          </w:p>
          <w:p w14:paraId="36F6FE27">
            <w:pPr>
              <w:spacing w:line="240" w:lineRule="atLeast"/>
              <w:rPr>
                <w:color w:val="auto"/>
                <w:sz w:val="18"/>
                <w:szCs w:val="18"/>
                <w:highlight w:val="none"/>
              </w:rPr>
            </w:pPr>
            <w:r>
              <w:rPr>
                <w:color w:val="auto"/>
                <w:sz w:val="18"/>
                <w:szCs w:val="18"/>
                <w:highlight w:val="none"/>
              </w:rPr>
              <w:t xml:space="preserve">f＜80              </w:t>
            </w:r>
            <w:r>
              <w:rPr>
                <w:rFonts w:hint="eastAsia"/>
                <w:color w:val="auto"/>
                <w:sz w:val="18"/>
                <w:szCs w:val="18"/>
                <w:highlight w:val="none"/>
              </w:rPr>
              <w:t>合同价格</w:t>
            </w:r>
            <w:r>
              <w:rPr>
                <w:color w:val="auto"/>
                <w:sz w:val="18"/>
                <w:szCs w:val="18"/>
                <w:highlight w:val="none"/>
              </w:rPr>
              <w:t>*（-2%）</w:t>
            </w:r>
          </w:p>
          <w:p w14:paraId="20BA4B16">
            <w:pPr>
              <w:spacing w:line="240" w:lineRule="atLeast"/>
              <w:rPr>
                <w:color w:val="auto"/>
                <w:sz w:val="18"/>
                <w:szCs w:val="18"/>
                <w:highlight w:val="none"/>
              </w:rPr>
            </w:pPr>
            <w:r>
              <w:rPr>
                <w:color w:val="auto"/>
                <w:sz w:val="18"/>
                <w:szCs w:val="18"/>
                <w:highlight w:val="none"/>
              </w:rPr>
              <w:t xml:space="preserve">80≤f＜85            </w:t>
            </w:r>
            <w:r>
              <w:rPr>
                <w:rFonts w:hint="eastAsia"/>
                <w:color w:val="auto"/>
                <w:sz w:val="18"/>
                <w:szCs w:val="18"/>
                <w:highlight w:val="none"/>
              </w:rPr>
              <w:t>合同价格</w:t>
            </w:r>
            <w:r>
              <w:rPr>
                <w:color w:val="auto"/>
                <w:sz w:val="18"/>
                <w:szCs w:val="18"/>
                <w:highlight w:val="none"/>
              </w:rPr>
              <w:t>*（-1.6%）</w:t>
            </w:r>
          </w:p>
          <w:p w14:paraId="38A6CE06">
            <w:pPr>
              <w:spacing w:line="240" w:lineRule="atLeast"/>
              <w:rPr>
                <w:color w:val="auto"/>
                <w:sz w:val="18"/>
                <w:szCs w:val="18"/>
                <w:highlight w:val="none"/>
              </w:rPr>
            </w:pPr>
            <w:r>
              <w:rPr>
                <w:color w:val="auto"/>
                <w:sz w:val="18"/>
                <w:szCs w:val="18"/>
                <w:highlight w:val="none"/>
              </w:rPr>
              <w:t xml:space="preserve">85≤f＜90            </w:t>
            </w:r>
            <w:r>
              <w:rPr>
                <w:rFonts w:hint="eastAsia"/>
                <w:color w:val="auto"/>
                <w:sz w:val="18"/>
                <w:szCs w:val="18"/>
                <w:highlight w:val="none"/>
              </w:rPr>
              <w:t>合同价格</w:t>
            </w:r>
            <w:r>
              <w:rPr>
                <w:color w:val="auto"/>
                <w:sz w:val="18"/>
                <w:szCs w:val="18"/>
                <w:highlight w:val="none"/>
              </w:rPr>
              <w:t>*（-1.2%）</w:t>
            </w:r>
          </w:p>
          <w:p w14:paraId="49557D00">
            <w:pPr>
              <w:spacing w:line="240" w:lineRule="atLeast"/>
              <w:rPr>
                <w:color w:val="auto"/>
                <w:sz w:val="18"/>
                <w:szCs w:val="18"/>
                <w:highlight w:val="none"/>
              </w:rPr>
            </w:pPr>
            <w:r>
              <w:rPr>
                <w:color w:val="auto"/>
                <w:sz w:val="18"/>
                <w:szCs w:val="18"/>
                <w:highlight w:val="none"/>
              </w:rPr>
              <w:t xml:space="preserve">90≤f＜95            </w:t>
            </w:r>
            <w:r>
              <w:rPr>
                <w:rFonts w:hint="eastAsia"/>
                <w:color w:val="auto"/>
                <w:sz w:val="18"/>
                <w:szCs w:val="18"/>
                <w:highlight w:val="none"/>
              </w:rPr>
              <w:t>合同价格</w:t>
            </w:r>
            <w:r>
              <w:rPr>
                <w:color w:val="auto"/>
                <w:sz w:val="18"/>
                <w:szCs w:val="18"/>
                <w:highlight w:val="none"/>
              </w:rPr>
              <w:t>*（-0.8%）</w:t>
            </w:r>
          </w:p>
          <w:p w14:paraId="3CADB063">
            <w:pPr>
              <w:spacing w:line="240" w:lineRule="atLeast"/>
              <w:rPr>
                <w:color w:val="auto"/>
                <w:sz w:val="18"/>
                <w:szCs w:val="18"/>
                <w:highlight w:val="none"/>
              </w:rPr>
            </w:pPr>
            <w:r>
              <w:rPr>
                <w:color w:val="auto"/>
                <w:sz w:val="18"/>
                <w:szCs w:val="18"/>
                <w:highlight w:val="none"/>
              </w:rPr>
              <w:t xml:space="preserve">95≤f＜99            </w:t>
            </w:r>
            <w:r>
              <w:rPr>
                <w:rFonts w:hint="eastAsia"/>
                <w:color w:val="auto"/>
                <w:sz w:val="18"/>
                <w:szCs w:val="18"/>
                <w:highlight w:val="none"/>
              </w:rPr>
              <w:t>合同价格</w:t>
            </w:r>
            <w:r>
              <w:rPr>
                <w:color w:val="auto"/>
                <w:sz w:val="18"/>
                <w:szCs w:val="18"/>
                <w:highlight w:val="none"/>
              </w:rPr>
              <w:t>*（-0.4%）</w:t>
            </w:r>
          </w:p>
          <w:p w14:paraId="2423182E">
            <w:pPr>
              <w:spacing w:line="240" w:lineRule="atLeast"/>
              <w:rPr>
                <w:color w:val="auto"/>
                <w:sz w:val="18"/>
                <w:szCs w:val="18"/>
                <w:highlight w:val="none"/>
              </w:rPr>
            </w:pPr>
            <w:r>
              <w:rPr>
                <w:color w:val="auto"/>
                <w:sz w:val="18"/>
                <w:szCs w:val="18"/>
                <w:highlight w:val="none"/>
              </w:rPr>
              <w:t xml:space="preserve">99≤f≤101           </w:t>
            </w:r>
            <w:r>
              <w:rPr>
                <w:rFonts w:hint="eastAsia"/>
                <w:color w:val="auto"/>
                <w:sz w:val="18"/>
                <w:szCs w:val="18"/>
                <w:highlight w:val="none"/>
              </w:rPr>
              <w:t>合同价格</w:t>
            </w:r>
            <w:r>
              <w:rPr>
                <w:color w:val="auto"/>
                <w:sz w:val="18"/>
                <w:szCs w:val="18"/>
                <w:highlight w:val="none"/>
              </w:rPr>
              <w:t>*0</w:t>
            </w:r>
          </w:p>
          <w:p w14:paraId="5AA2147E">
            <w:pPr>
              <w:spacing w:line="240" w:lineRule="atLeast"/>
              <w:rPr>
                <w:color w:val="auto"/>
                <w:sz w:val="18"/>
                <w:szCs w:val="18"/>
                <w:highlight w:val="none"/>
              </w:rPr>
            </w:pPr>
            <w:r>
              <w:rPr>
                <w:color w:val="auto"/>
                <w:sz w:val="18"/>
                <w:szCs w:val="18"/>
                <w:highlight w:val="none"/>
              </w:rPr>
              <w:t xml:space="preserve">101＜f≤103          </w:t>
            </w:r>
            <w:r>
              <w:rPr>
                <w:rFonts w:hint="eastAsia"/>
                <w:color w:val="auto"/>
                <w:sz w:val="18"/>
                <w:szCs w:val="18"/>
                <w:highlight w:val="none"/>
              </w:rPr>
              <w:t>合同价格</w:t>
            </w:r>
            <w:r>
              <w:rPr>
                <w:color w:val="auto"/>
                <w:sz w:val="18"/>
                <w:szCs w:val="18"/>
                <w:highlight w:val="none"/>
              </w:rPr>
              <w:t>*0.5%</w:t>
            </w:r>
          </w:p>
          <w:p w14:paraId="25BEFDBA">
            <w:pPr>
              <w:spacing w:line="240" w:lineRule="atLeast"/>
              <w:rPr>
                <w:color w:val="auto"/>
                <w:sz w:val="18"/>
                <w:szCs w:val="18"/>
                <w:highlight w:val="none"/>
              </w:rPr>
            </w:pPr>
            <w:r>
              <w:rPr>
                <w:color w:val="auto"/>
                <w:sz w:val="18"/>
                <w:szCs w:val="18"/>
                <w:highlight w:val="none"/>
              </w:rPr>
              <w:t>103＜f≤10</w:t>
            </w:r>
            <w:r>
              <w:rPr>
                <w:rFonts w:hint="eastAsia"/>
                <w:color w:val="auto"/>
                <w:sz w:val="18"/>
                <w:szCs w:val="18"/>
                <w:highlight w:val="none"/>
              </w:rPr>
              <w:t>5</w:t>
            </w:r>
            <w:r>
              <w:rPr>
                <w:color w:val="auto"/>
                <w:sz w:val="18"/>
                <w:szCs w:val="18"/>
                <w:highlight w:val="none"/>
              </w:rPr>
              <w:t xml:space="preserve">          </w:t>
            </w:r>
            <w:r>
              <w:rPr>
                <w:rFonts w:hint="eastAsia"/>
                <w:color w:val="auto"/>
                <w:sz w:val="18"/>
                <w:szCs w:val="18"/>
                <w:highlight w:val="none"/>
              </w:rPr>
              <w:t>合同价格</w:t>
            </w:r>
            <w:r>
              <w:rPr>
                <w:color w:val="auto"/>
                <w:sz w:val="18"/>
                <w:szCs w:val="18"/>
                <w:highlight w:val="none"/>
              </w:rPr>
              <w:t>*1.0%</w:t>
            </w:r>
          </w:p>
          <w:p w14:paraId="7C24E2E5">
            <w:pPr>
              <w:spacing w:line="240" w:lineRule="atLeast"/>
              <w:rPr>
                <w:color w:val="auto"/>
                <w:sz w:val="18"/>
                <w:szCs w:val="18"/>
                <w:highlight w:val="none"/>
              </w:rPr>
            </w:pPr>
            <w:r>
              <w:rPr>
                <w:rFonts w:hint="eastAsia"/>
                <w:color w:val="auto"/>
                <w:sz w:val="18"/>
                <w:szCs w:val="18"/>
                <w:highlight w:val="none"/>
              </w:rPr>
              <w:t>f＞</w:t>
            </w:r>
            <w:r>
              <w:rPr>
                <w:color w:val="auto"/>
                <w:sz w:val="18"/>
                <w:szCs w:val="18"/>
                <w:highlight w:val="none"/>
              </w:rPr>
              <w:t>10</w:t>
            </w:r>
            <w:r>
              <w:rPr>
                <w:rFonts w:hint="eastAsia"/>
                <w:color w:val="auto"/>
                <w:sz w:val="18"/>
                <w:szCs w:val="18"/>
                <w:highlight w:val="none"/>
              </w:rPr>
              <w:t xml:space="preserve">5     </w:t>
            </w:r>
            <w:r>
              <w:rPr>
                <w:color w:val="auto"/>
                <w:sz w:val="18"/>
                <w:szCs w:val="18"/>
                <w:highlight w:val="none"/>
              </w:rPr>
              <w:t xml:space="preserve">          </w:t>
            </w:r>
            <w:r>
              <w:rPr>
                <w:rFonts w:hint="eastAsia"/>
                <w:color w:val="auto"/>
                <w:sz w:val="18"/>
                <w:szCs w:val="18"/>
                <w:highlight w:val="none"/>
              </w:rPr>
              <w:t>合同价格</w:t>
            </w:r>
            <w:r>
              <w:rPr>
                <w:color w:val="auto"/>
                <w:sz w:val="18"/>
                <w:szCs w:val="18"/>
                <w:highlight w:val="none"/>
              </w:rPr>
              <w:t>*1.5%</w:t>
            </w:r>
          </w:p>
          <w:p w14:paraId="050BF893">
            <w:pPr>
              <w:spacing w:line="240" w:lineRule="atLeast"/>
              <w:ind w:firstLine="360" w:firstLineChars="200"/>
              <w:jc w:val="left"/>
              <w:rPr>
                <w:color w:val="auto"/>
                <w:highlight w:val="none"/>
              </w:rPr>
            </w:pPr>
            <w:r>
              <w:rPr>
                <w:rFonts w:hint="eastAsia" w:ascii="宋体" w:hAnsi="宋体" w:eastAsia="宋体" w:cs="宋体"/>
                <w:color w:val="auto"/>
                <w:sz w:val="18"/>
                <w:szCs w:val="18"/>
                <w:highlight w:val="none"/>
                <w:lang w:val="en-US" w:eastAsia="zh-CN"/>
              </w:rPr>
              <w:t>2.承包人应深入贯彻落实《国务院办公厅转发国家发展改革委关于在重点工程项目中大力实施以工代赈促进当地群众就业增收工作方案的通知》（国办函〔2022〕58号）及工程实施期间印发的相关关于以工代赈工作要求，把以工代赈务工人员在施工现场的务工组织管理和劳务报酬发放等作为工程监理的重要内容。落实以工代赈政策相关费用请承包人投标时自行测算，结算不予调整（政府发文明确规定调整的除外）。</w:t>
            </w:r>
          </w:p>
        </w:tc>
        <w:tc>
          <w:tcPr>
            <w:tcW w:w="808" w:type="dxa"/>
            <w:vAlign w:val="center"/>
          </w:tcPr>
          <w:p w14:paraId="50788AAA">
            <w:pPr>
              <w:widowControl/>
              <w:jc w:val="center"/>
              <w:rPr>
                <w:rFonts w:hint="eastAsia" w:ascii="宋体" w:hAnsi="宋体" w:cs="宋体"/>
                <w:b/>
                <w:bCs/>
                <w:color w:val="auto"/>
                <w:kern w:val="0"/>
                <w:sz w:val="18"/>
                <w:szCs w:val="18"/>
                <w:highlight w:val="none"/>
              </w:rPr>
            </w:pPr>
          </w:p>
        </w:tc>
      </w:tr>
      <w:tr w14:paraId="656A18C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87" w:hRule="atLeast"/>
        </w:trPr>
        <w:tc>
          <w:tcPr>
            <w:tcW w:w="398" w:type="dxa"/>
            <w:vAlign w:val="center"/>
          </w:tcPr>
          <w:p w14:paraId="157FE3BE">
            <w:pPr>
              <w:pStyle w:val="42"/>
              <w:widowControl/>
              <w:numPr>
                <w:ilvl w:val="0"/>
                <w:numId w:val="1"/>
              </w:numPr>
              <w:ind w:firstLineChars="0"/>
              <w:jc w:val="center"/>
              <w:rPr>
                <w:rFonts w:hint="eastAsia" w:ascii="宋体" w:hAnsi="宋体" w:cs="宋体"/>
                <w:color w:val="auto"/>
                <w:kern w:val="0"/>
                <w:sz w:val="18"/>
                <w:szCs w:val="18"/>
                <w:highlight w:val="none"/>
              </w:rPr>
            </w:pPr>
          </w:p>
        </w:tc>
        <w:tc>
          <w:tcPr>
            <w:tcW w:w="1020" w:type="dxa"/>
            <w:vAlign w:val="center"/>
          </w:tcPr>
          <w:p w14:paraId="6964E52D">
            <w:pPr>
              <w:spacing w:line="240" w:lineRule="atLeast"/>
              <w:jc w:val="left"/>
              <w:rPr>
                <w:rFonts w:hint="eastAsia" w:ascii="宋体" w:hAnsi="宋体" w:cs="宋体"/>
                <w:color w:val="auto"/>
                <w:sz w:val="18"/>
                <w:szCs w:val="18"/>
                <w:highlight w:val="none"/>
              </w:rPr>
            </w:pPr>
            <w:r>
              <w:rPr>
                <w:rFonts w:hint="eastAsia" w:ascii="宋体" w:hAnsi="宋体" w:cs="宋体"/>
                <w:color w:val="auto"/>
                <w:sz w:val="18"/>
                <w:szCs w:val="18"/>
                <w:highlight w:val="none"/>
              </w:rPr>
              <w:t>（增加）</w:t>
            </w:r>
          </w:p>
        </w:tc>
        <w:tc>
          <w:tcPr>
            <w:tcW w:w="4253" w:type="dxa"/>
            <w:vAlign w:val="center"/>
          </w:tcPr>
          <w:p w14:paraId="0FDDF500">
            <w:pPr>
              <w:spacing w:line="240" w:lineRule="atLeast"/>
              <w:jc w:val="left"/>
              <w:rPr>
                <w:rFonts w:hint="eastAsia" w:ascii="宋体" w:hAnsi="宋体" w:cs="宋体"/>
                <w:color w:val="auto"/>
                <w:sz w:val="18"/>
                <w:szCs w:val="18"/>
                <w:highlight w:val="none"/>
              </w:rPr>
            </w:pPr>
          </w:p>
        </w:tc>
        <w:tc>
          <w:tcPr>
            <w:tcW w:w="3969" w:type="dxa"/>
            <w:vAlign w:val="center"/>
          </w:tcPr>
          <w:p w14:paraId="771001FE">
            <w:pPr>
              <w:topLinePunct/>
              <w:snapToGrid w:val="0"/>
              <w:spacing w:line="240" w:lineRule="atLeast"/>
              <w:rPr>
                <w:rFonts w:hint="eastAsia" w:ascii="宋体" w:hAnsi="宋体" w:cs="宋体"/>
                <w:color w:val="auto"/>
                <w:sz w:val="18"/>
                <w:szCs w:val="18"/>
                <w:highlight w:val="none"/>
              </w:rPr>
            </w:pPr>
            <w:r>
              <w:rPr>
                <w:rFonts w:hint="eastAsia" w:ascii="宋体" w:hAnsi="宋体" w:cs="宋体"/>
                <w:color w:val="auto"/>
                <w:sz w:val="18"/>
                <w:szCs w:val="18"/>
                <w:highlight w:val="none"/>
              </w:rPr>
              <w:t>增加附件《监理承包商过程考核实施细则》</w:t>
            </w:r>
          </w:p>
        </w:tc>
        <w:tc>
          <w:tcPr>
            <w:tcW w:w="808" w:type="dxa"/>
            <w:vAlign w:val="center"/>
          </w:tcPr>
          <w:p w14:paraId="5EB56EA3">
            <w:pPr>
              <w:widowControl/>
              <w:jc w:val="center"/>
              <w:rPr>
                <w:rFonts w:hint="eastAsia" w:ascii="宋体" w:hAnsi="宋体" w:cs="宋体"/>
                <w:b/>
                <w:bCs/>
                <w:color w:val="auto"/>
                <w:kern w:val="0"/>
                <w:sz w:val="18"/>
                <w:szCs w:val="18"/>
                <w:highlight w:val="none"/>
              </w:rPr>
            </w:pPr>
          </w:p>
        </w:tc>
      </w:tr>
    </w:tbl>
    <w:p w14:paraId="4C5EF7E5">
      <w:pPr>
        <w:pStyle w:val="9"/>
        <w:rPr>
          <w:rFonts w:hint="eastAsia" w:ascii="仿宋" w:hAnsi="仿宋" w:eastAsia="仿宋" w:cs="仿宋"/>
          <w:color w:val="auto"/>
          <w:szCs w:val="24"/>
          <w:highlight w:val="none"/>
          <w:u w:val="single"/>
        </w:rPr>
        <w:sectPr>
          <w:footerReference r:id="rId4" w:type="default"/>
          <w:pgSz w:w="11906" w:h="16838"/>
          <w:pgMar w:top="1701" w:right="1247" w:bottom="1560" w:left="1247" w:header="851" w:footer="992" w:gutter="0"/>
          <w:cols w:space="720" w:num="1"/>
          <w:docGrid w:type="lines" w:linePitch="312" w:charSpace="0"/>
        </w:sectPr>
      </w:pPr>
    </w:p>
    <w:p w14:paraId="4C6551A8">
      <w:pPr>
        <w:topLinePunct/>
        <w:snapToGrid w:val="0"/>
        <w:spacing w:line="240" w:lineRule="atLeast"/>
        <w:jc w:val="center"/>
        <w:rPr>
          <w:rFonts w:hint="eastAsia" w:ascii="方正黑体_GBK" w:hAnsi="方正黑体_GBK" w:eastAsia="方正黑体_GBK" w:cs="方正黑体_GBK"/>
          <w:color w:val="auto"/>
          <w:sz w:val="32"/>
          <w:szCs w:val="32"/>
          <w:highlight w:val="none"/>
        </w:rPr>
      </w:pPr>
      <w:r>
        <w:rPr>
          <w:rFonts w:hint="eastAsia" w:ascii="方正黑体_GBK" w:hAnsi="方正黑体_GBK" w:eastAsia="方正黑体_GBK" w:cs="方正黑体_GBK"/>
          <w:color w:val="auto"/>
          <w:sz w:val="32"/>
          <w:szCs w:val="32"/>
          <w:highlight w:val="none"/>
        </w:rPr>
        <w:t>监理承包商过程考核实施细则</w:t>
      </w:r>
    </w:p>
    <w:p w14:paraId="256C8DB9">
      <w:pPr>
        <w:numPr>
          <w:ilvl w:val="0"/>
          <w:numId w:val="3"/>
        </w:numPr>
        <w:topLinePunct/>
        <w:snapToGrid w:val="0"/>
        <w:spacing w:line="240" w:lineRule="atLeast"/>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总则</w:t>
      </w:r>
    </w:p>
    <w:p w14:paraId="5956DD84">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为进一步贯彻落实国家电网有限公司关于基建标准化管理体系建设的要求，加强监理承包商建设和责任制的落实，规范监理行为，激励监理人发挥积极性和创造性，全面提高工程建设和管理水平，结合变电站现场建设实际，特制定本细则。本办法用于变电站工程监理的考核评价工作。</w:t>
      </w:r>
    </w:p>
    <w:p w14:paraId="146F2B91">
      <w:pPr>
        <w:numPr>
          <w:ilvl w:val="0"/>
          <w:numId w:val="3"/>
        </w:numPr>
        <w:topLinePunct/>
        <w:snapToGrid w:val="0"/>
        <w:spacing w:line="240" w:lineRule="atLeast"/>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考核评价方式</w:t>
      </w:r>
    </w:p>
    <w:p w14:paraId="3D695267">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业主项目部负责对监理承包商进行阶段性考核评价，考核期为桩基工程开工至工程投产运行，按月进行考核。业主项目部在工程施工过程中组织相关专责，通过资料查阅和现场实际检查的方式，对监理承包商进行检查评价，并按“监理承包商现场考核表”进行过程考核打分，形成考核评价意见。</w:t>
      </w:r>
    </w:p>
    <w:p w14:paraId="60466D9C">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对于考核评价中发现的主要问题，业主项目部对整改情况进行复查。在监理合同最终结算前，汇总评价情况及相关记录，上报建设管理单位安全质量部门和工程管理部门审核。</w:t>
      </w:r>
    </w:p>
    <w:p w14:paraId="5ACAC536">
      <w:pPr>
        <w:numPr>
          <w:ilvl w:val="0"/>
          <w:numId w:val="3"/>
        </w:numPr>
        <w:topLinePunct/>
        <w:snapToGrid w:val="0"/>
        <w:spacing w:line="240" w:lineRule="atLeast"/>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考核标准</w:t>
      </w:r>
    </w:p>
    <w:p w14:paraId="1B9996D4">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1.对监理承包商在一个考核周期内工作开展情况及实际效果进行考核评价的满分为100分（其中监理项目部标准化建设10分、策划管理5分、安全管理25分、质量管理20分、造价管理10分、技术管理20分、进度管理10分），实际得分作为监理承包商在该考核周期内的基本评价得分。</w:t>
      </w:r>
    </w:p>
    <w:p w14:paraId="4ABDB81A">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2.为鼓励监理承包商加强管理、争先创优，另设加分项10分，作为整个考核期内的总体评价加分，具体考核评价指标及标准件“监理承包商现场考核表”。</w:t>
      </w:r>
    </w:p>
    <w:p w14:paraId="4D1F3E15">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3.每次检查都应在检查表的相应栏目内，记录该次检查得分，并对扣分原因作出简要说明。</w:t>
      </w:r>
    </w:p>
    <w:p w14:paraId="6C494174">
      <w:pPr>
        <w:numPr>
          <w:ilvl w:val="0"/>
          <w:numId w:val="3"/>
        </w:numPr>
        <w:topLinePunct/>
        <w:snapToGrid w:val="0"/>
        <w:spacing w:line="240" w:lineRule="atLeast"/>
        <w:rPr>
          <w:rFonts w:hint="eastAsia" w:ascii="方正仿宋_GBK" w:hAnsi="方正仿宋_GBK" w:eastAsia="方正仿宋_GBK" w:cs="方正仿宋_GBK"/>
          <w:b/>
          <w:bCs/>
          <w:color w:val="auto"/>
          <w:sz w:val="32"/>
          <w:szCs w:val="32"/>
          <w:highlight w:val="none"/>
        </w:rPr>
      </w:pPr>
      <w:r>
        <w:rPr>
          <w:rFonts w:hint="eastAsia" w:ascii="方正仿宋_GBK" w:hAnsi="方正仿宋_GBK" w:eastAsia="方正仿宋_GBK" w:cs="方正仿宋_GBK"/>
          <w:b/>
          <w:bCs/>
          <w:color w:val="auto"/>
          <w:sz w:val="32"/>
          <w:szCs w:val="32"/>
          <w:highlight w:val="none"/>
        </w:rPr>
        <w:t>考核成绩及奖惩措施</w:t>
      </w:r>
    </w:p>
    <w:p w14:paraId="15B853B1">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考核成绩作为监理费最终结算的重要依据，与监理承包商费用结算直接挂钩。具体计算方法如下：</w:t>
      </w:r>
    </w:p>
    <w:p w14:paraId="66F9FAEA">
      <w:pPr>
        <w:numPr>
          <w:ilvl w:val="0"/>
          <w:numId w:val="4"/>
        </w:num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业主项目部在每个考核周期内对监理承包商的打分记为当期基本评价得分a。</w:t>
      </w:r>
    </w:p>
    <w:p w14:paraId="4D8431C8">
      <w:pPr>
        <w:numPr>
          <w:ilvl w:val="0"/>
          <w:numId w:val="4"/>
        </w:num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过程考核成绩</w:t>
      </w:r>
      <w:r>
        <w:rPr>
          <w:rFonts w:ascii="方正仿宋_GBK" w:hAnsi="方正仿宋_GBK" w:eastAsia="方正仿宋_GBK" w:cs="方正仿宋_GBK"/>
          <w:color w:val="auto"/>
          <w:sz w:val="32"/>
          <w:szCs w:val="32"/>
          <w:highlight w:val="none"/>
        </w:rPr>
        <w:t>f</w:t>
      </w:r>
      <w:r>
        <w:rPr>
          <w:rFonts w:hint="eastAsia" w:ascii="方正仿宋_GBK" w:hAnsi="方正仿宋_GBK" w:eastAsia="方正仿宋_GBK" w:cs="方正仿宋_GBK"/>
          <w:color w:val="auto"/>
          <w:sz w:val="32"/>
          <w:szCs w:val="32"/>
          <w:highlight w:val="none"/>
        </w:rPr>
        <w:t>为整个考核期内基本评价得分的平均值与总体评价加分</w:t>
      </w:r>
      <w:r>
        <w:rPr>
          <w:rFonts w:ascii="方正仿宋_GBK" w:hAnsi="方正仿宋_GBK" w:eastAsia="方正仿宋_GBK" w:cs="方正仿宋_GBK"/>
          <w:color w:val="auto"/>
          <w:sz w:val="32"/>
          <w:szCs w:val="32"/>
          <w:highlight w:val="none"/>
        </w:rPr>
        <w:t>c</w:t>
      </w:r>
      <w:r>
        <w:rPr>
          <w:rFonts w:hint="eastAsia" w:ascii="方正仿宋_GBK" w:hAnsi="方正仿宋_GBK" w:eastAsia="方正仿宋_GBK" w:cs="方正仿宋_GBK"/>
          <w:color w:val="auto"/>
          <w:sz w:val="32"/>
          <w:szCs w:val="32"/>
          <w:highlight w:val="none"/>
        </w:rPr>
        <w:t>之和，即：</w:t>
      </w:r>
      <w:r>
        <w:rPr>
          <w:rFonts w:ascii="方正仿宋_GBK" w:hAnsi="方正仿宋_GBK" w:eastAsia="方正仿宋_GBK" w:cs="方正仿宋_GBK"/>
          <w:color w:val="auto"/>
          <w:sz w:val="32"/>
          <w:szCs w:val="32"/>
          <w:highlight w:val="none"/>
        </w:rPr>
        <w:t>f=(a</w:t>
      </w:r>
      <w:r>
        <w:rPr>
          <w:rFonts w:ascii="方正仿宋_GBK" w:hAnsi="方正仿宋_GBK" w:eastAsia="方正仿宋_GBK" w:cs="方正仿宋_GBK"/>
          <w:color w:val="auto"/>
          <w:sz w:val="32"/>
          <w:szCs w:val="32"/>
          <w:highlight w:val="none"/>
          <w:vertAlign w:val="subscript"/>
        </w:rPr>
        <w:t>1</w:t>
      </w:r>
      <w:r>
        <w:rPr>
          <w:rFonts w:ascii="方正仿宋_GBK" w:hAnsi="方正仿宋_GBK" w:eastAsia="方正仿宋_GBK" w:cs="方正仿宋_GBK"/>
          <w:color w:val="auto"/>
          <w:sz w:val="32"/>
          <w:szCs w:val="32"/>
          <w:highlight w:val="none"/>
        </w:rPr>
        <w:t>+a</w:t>
      </w:r>
      <w:r>
        <w:rPr>
          <w:rFonts w:ascii="方正仿宋_GBK" w:hAnsi="方正仿宋_GBK" w:eastAsia="方正仿宋_GBK" w:cs="方正仿宋_GBK"/>
          <w:color w:val="auto"/>
          <w:sz w:val="32"/>
          <w:szCs w:val="32"/>
          <w:highlight w:val="none"/>
          <w:vertAlign w:val="subscript"/>
        </w:rPr>
        <w:t>2</w:t>
      </w:r>
      <w:r>
        <w:rPr>
          <w:rFonts w:ascii="方正仿宋_GBK" w:hAnsi="方正仿宋_GBK" w:eastAsia="方正仿宋_GBK" w:cs="方正仿宋_GBK"/>
          <w:color w:val="auto"/>
          <w:sz w:val="32"/>
          <w:szCs w:val="32"/>
          <w:highlight w:val="none"/>
        </w:rPr>
        <w:t>+</w:t>
      </w:r>
      <w:r>
        <w:rPr>
          <w:rFonts w:hint="eastAsia" w:ascii="方正仿宋_GBK" w:hAnsi="方正仿宋_GBK" w:eastAsia="方正仿宋_GBK" w:cs="方正仿宋_GBK"/>
          <w:color w:val="auto"/>
          <w:sz w:val="32"/>
          <w:szCs w:val="32"/>
          <w:highlight w:val="none"/>
        </w:rPr>
        <w:t>···</w:t>
      </w:r>
      <w:r>
        <w:rPr>
          <w:rFonts w:ascii="方正仿宋_GBK" w:hAnsi="方正仿宋_GBK" w:eastAsia="方正仿宋_GBK" w:cs="方正仿宋_GBK"/>
          <w:color w:val="auto"/>
          <w:sz w:val="32"/>
          <w:szCs w:val="32"/>
          <w:highlight w:val="none"/>
        </w:rPr>
        <w:t>+a</w:t>
      </w:r>
      <w:r>
        <w:rPr>
          <w:rFonts w:ascii="方正仿宋_GBK" w:hAnsi="方正仿宋_GBK" w:eastAsia="方正仿宋_GBK" w:cs="方正仿宋_GBK"/>
          <w:color w:val="auto"/>
          <w:sz w:val="32"/>
          <w:szCs w:val="32"/>
          <w:highlight w:val="none"/>
          <w:vertAlign w:val="subscript"/>
        </w:rPr>
        <w:t>n</w:t>
      </w:r>
      <w:r>
        <w:rPr>
          <w:rFonts w:ascii="方正仿宋_GBK" w:hAnsi="方正仿宋_GBK" w:eastAsia="方正仿宋_GBK" w:cs="方正仿宋_GBK"/>
          <w:color w:val="auto"/>
          <w:sz w:val="32"/>
          <w:szCs w:val="32"/>
          <w:highlight w:val="none"/>
        </w:rPr>
        <w:t>)/n+c</w:t>
      </w:r>
      <w:r>
        <w:rPr>
          <w:rFonts w:hint="eastAsia" w:ascii="方正仿宋_GBK" w:hAnsi="方正仿宋_GBK" w:eastAsia="方正仿宋_GBK" w:cs="方正仿宋_GBK"/>
          <w:color w:val="auto"/>
          <w:sz w:val="32"/>
          <w:szCs w:val="32"/>
          <w:highlight w:val="none"/>
        </w:rPr>
        <w:t>，其中</w:t>
      </w:r>
      <w:r>
        <w:rPr>
          <w:rFonts w:ascii="方正仿宋_GBK" w:hAnsi="方正仿宋_GBK" w:eastAsia="方正仿宋_GBK" w:cs="方正仿宋_GBK"/>
          <w:color w:val="auto"/>
          <w:sz w:val="32"/>
          <w:szCs w:val="32"/>
          <w:highlight w:val="none"/>
        </w:rPr>
        <w:t>n</w:t>
      </w:r>
      <w:r>
        <w:rPr>
          <w:rFonts w:hint="eastAsia" w:ascii="方正仿宋_GBK" w:hAnsi="方正仿宋_GBK" w:eastAsia="方正仿宋_GBK" w:cs="方正仿宋_GBK"/>
          <w:color w:val="auto"/>
          <w:sz w:val="32"/>
          <w:szCs w:val="32"/>
          <w:highlight w:val="none"/>
        </w:rPr>
        <w:t>为整个考核期的考核评价次数，c为总体评价加分。</w:t>
      </w:r>
    </w:p>
    <w:p w14:paraId="6DC2F66D">
      <w:pPr>
        <w:topLinePunct/>
        <w:snapToGrid w:val="0"/>
        <w:spacing w:line="240" w:lineRule="atLeast"/>
        <w:ind w:firstLine="640" w:firstLineChars="200"/>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其中总体评价加分根据监理人在工程监理中做出的突出贡献，按照建设管理单位相关管理规定，由建设管理单位确定。</w:t>
      </w:r>
    </w:p>
    <w:p w14:paraId="56AC4FC9">
      <w:pPr>
        <w:topLinePunct/>
        <w:snapToGrid w:val="0"/>
        <w:spacing w:line="240" w:lineRule="atLeast"/>
        <w:rPr>
          <w:rFonts w:hint="eastAsia" w:ascii="方正仿宋_GBK" w:hAnsi="方正仿宋_GBK" w:eastAsia="方正仿宋_GBK" w:cs="方正仿宋_GBK"/>
          <w:color w:val="auto"/>
          <w:sz w:val="32"/>
          <w:szCs w:val="32"/>
          <w:highlight w:val="none"/>
        </w:rPr>
        <w:sectPr>
          <w:pgSz w:w="11906" w:h="16838"/>
          <w:pgMar w:top="720" w:right="720" w:bottom="720" w:left="720" w:header="851" w:footer="992" w:gutter="0"/>
          <w:cols w:space="720" w:num="1"/>
          <w:docGrid w:type="lines" w:linePitch="312" w:charSpace="0"/>
        </w:sectPr>
      </w:pPr>
    </w:p>
    <w:p w14:paraId="6493A662">
      <w:pPr>
        <w:topLinePunct/>
        <w:snapToGrid w:val="0"/>
        <w:spacing w:line="240" w:lineRule="atLeast"/>
        <w:rPr>
          <w:rFonts w:hint="eastAsia" w:ascii="方正仿宋_GBK" w:hAnsi="方正仿宋_GBK" w:eastAsia="方正仿宋_GBK" w:cs="方正仿宋_GBK"/>
          <w:color w:val="auto"/>
          <w:sz w:val="32"/>
          <w:szCs w:val="32"/>
          <w:highlight w:val="none"/>
        </w:rPr>
      </w:pPr>
      <w:r>
        <w:rPr>
          <w:rFonts w:hint="eastAsia" w:ascii="方正仿宋_GBK" w:hAnsi="方正仿宋_GBK" w:eastAsia="方正仿宋_GBK" w:cs="方正仿宋_GBK"/>
          <w:color w:val="auto"/>
          <w:sz w:val="32"/>
          <w:szCs w:val="32"/>
          <w:highlight w:val="none"/>
        </w:rPr>
        <w:t>附表  监理承包商现场考核表</w:t>
      </w:r>
    </w:p>
    <w:p w14:paraId="1DAA24FB">
      <w:pPr>
        <w:topLinePunct/>
        <w:snapToGrid w:val="0"/>
        <w:jc w:val="center"/>
        <w:rPr>
          <w:b/>
          <w:bCs/>
          <w:color w:val="auto"/>
          <w:sz w:val="28"/>
          <w:szCs w:val="28"/>
          <w:highlight w:val="none"/>
        </w:rPr>
      </w:pPr>
      <w:r>
        <w:rPr>
          <w:rFonts w:hint="eastAsia"/>
          <w:b/>
          <w:bCs/>
          <w:color w:val="auto"/>
          <w:sz w:val="28"/>
          <w:szCs w:val="28"/>
          <w:highlight w:val="none"/>
        </w:rPr>
        <w:t>监理承包商现场考核表</w:t>
      </w:r>
    </w:p>
    <w:tbl>
      <w:tblPr>
        <w:tblStyle w:val="15"/>
        <w:tblW w:w="15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0"/>
        <w:gridCol w:w="872"/>
        <w:gridCol w:w="580"/>
        <w:gridCol w:w="10734"/>
        <w:gridCol w:w="1975"/>
        <w:gridCol w:w="991"/>
      </w:tblGrid>
      <w:tr w14:paraId="39E4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Align w:val="center"/>
          </w:tcPr>
          <w:p w14:paraId="2361D163">
            <w:pPr>
              <w:topLinePunct/>
              <w:snapToGrid w:val="0"/>
              <w:spacing w:line="240" w:lineRule="atLeast"/>
              <w:jc w:val="center"/>
              <w:rPr>
                <w:b/>
                <w:bCs/>
                <w:color w:val="auto"/>
                <w:sz w:val="18"/>
                <w:szCs w:val="18"/>
                <w:highlight w:val="none"/>
              </w:rPr>
            </w:pPr>
            <w:r>
              <w:rPr>
                <w:rFonts w:hint="eastAsia"/>
                <w:b/>
                <w:bCs/>
                <w:color w:val="auto"/>
                <w:sz w:val="18"/>
                <w:szCs w:val="18"/>
                <w:highlight w:val="none"/>
              </w:rPr>
              <w:t>序号</w:t>
            </w:r>
          </w:p>
        </w:tc>
        <w:tc>
          <w:tcPr>
            <w:tcW w:w="872" w:type="dxa"/>
            <w:vAlign w:val="center"/>
          </w:tcPr>
          <w:p w14:paraId="1BEF9DCE">
            <w:pPr>
              <w:topLinePunct/>
              <w:snapToGrid w:val="0"/>
              <w:spacing w:line="240" w:lineRule="atLeast"/>
              <w:jc w:val="center"/>
              <w:rPr>
                <w:b/>
                <w:bCs/>
                <w:color w:val="auto"/>
                <w:sz w:val="18"/>
                <w:szCs w:val="18"/>
                <w:highlight w:val="none"/>
              </w:rPr>
            </w:pPr>
            <w:r>
              <w:rPr>
                <w:rFonts w:hint="eastAsia"/>
                <w:b/>
                <w:bCs/>
                <w:color w:val="auto"/>
                <w:sz w:val="18"/>
                <w:szCs w:val="18"/>
                <w:highlight w:val="none"/>
              </w:rPr>
              <w:t>评价</w:t>
            </w:r>
          </w:p>
          <w:p w14:paraId="112977D1">
            <w:pPr>
              <w:topLinePunct/>
              <w:snapToGrid w:val="0"/>
              <w:spacing w:line="240" w:lineRule="atLeast"/>
              <w:jc w:val="center"/>
              <w:rPr>
                <w:b/>
                <w:bCs/>
                <w:color w:val="auto"/>
                <w:sz w:val="18"/>
                <w:szCs w:val="18"/>
                <w:highlight w:val="none"/>
              </w:rPr>
            </w:pPr>
            <w:r>
              <w:rPr>
                <w:rFonts w:hint="eastAsia"/>
                <w:b/>
                <w:bCs/>
                <w:color w:val="auto"/>
                <w:sz w:val="18"/>
                <w:szCs w:val="18"/>
                <w:highlight w:val="none"/>
              </w:rPr>
              <w:t>指标</w:t>
            </w:r>
          </w:p>
        </w:tc>
        <w:tc>
          <w:tcPr>
            <w:tcW w:w="580" w:type="dxa"/>
            <w:vAlign w:val="center"/>
          </w:tcPr>
          <w:p w14:paraId="7C543AC3">
            <w:pPr>
              <w:topLinePunct/>
              <w:snapToGrid w:val="0"/>
              <w:spacing w:line="240" w:lineRule="atLeast"/>
              <w:jc w:val="center"/>
              <w:rPr>
                <w:b/>
                <w:bCs/>
                <w:color w:val="auto"/>
                <w:sz w:val="18"/>
                <w:szCs w:val="18"/>
                <w:highlight w:val="none"/>
              </w:rPr>
            </w:pPr>
            <w:r>
              <w:rPr>
                <w:rFonts w:hint="eastAsia"/>
                <w:b/>
                <w:bCs/>
                <w:color w:val="auto"/>
                <w:sz w:val="18"/>
                <w:szCs w:val="18"/>
                <w:highlight w:val="none"/>
              </w:rPr>
              <w:t>标准分值</w:t>
            </w:r>
          </w:p>
        </w:tc>
        <w:tc>
          <w:tcPr>
            <w:tcW w:w="10734" w:type="dxa"/>
            <w:vAlign w:val="center"/>
          </w:tcPr>
          <w:p w14:paraId="496E24CA">
            <w:pPr>
              <w:topLinePunct/>
              <w:snapToGrid w:val="0"/>
              <w:spacing w:line="240" w:lineRule="atLeast"/>
              <w:jc w:val="center"/>
              <w:rPr>
                <w:b/>
                <w:bCs/>
                <w:color w:val="auto"/>
                <w:sz w:val="18"/>
                <w:szCs w:val="18"/>
                <w:highlight w:val="none"/>
              </w:rPr>
            </w:pPr>
            <w:r>
              <w:rPr>
                <w:rFonts w:hint="eastAsia"/>
                <w:b/>
                <w:bCs/>
                <w:color w:val="auto"/>
                <w:sz w:val="18"/>
                <w:szCs w:val="18"/>
                <w:highlight w:val="none"/>
              </w:rPr>
              <w:t>评分标准</w:t>
            </w:r>
          </w:p>
          <w:p w14:paraId="63668B9C">
            <w:pPr>
              <w:topLinePunct/>
              <w:snapToGrid w:val="0"/>
              <w:spacing w:line="240" w:lineRule="atLeast"/>
              <w:jc w:val="center"/>
              <w:rPr>
                <w:b/>
                <w:bCs/>
                <w:color w:val="auto"/>
                <w:sz w:val="18"/>
                <w:szCs w:val="18"/>
                <w:highlight w:val="none"/>
              </w:rPr>
            </w:pPr>
            <w:r>
              <w:rPr>
                <w:rFonts w:hint="eastAsia"/>
                <w:color w:val="auto"/>
                <w:sz w:val="18"/>
                <w:szCs w:val="18"/>
                <w:highlight w:val="none"/>
              </w:rPr>
              <w:t>注：每分项扣分最多不超过本分项标准分值。</w:t>
            </w:r>
          </w:p>
        </w:tc>
        <w:tc>
          <w:tcPr>
            <w:tcW w:w="1975" w:type="dxa"/>
            <w:vAlign w:val="center"/>
          </w:tcPr>
          <w:p w14:paraId="3DF0F97F">
            <w:pPr>
              <w:topLinePunct/>
              <w:snapToGrid w:val="0"/>
              <w:spacing w:line="240" w:lineRule="atLeast"/>
              <w:jc w:val="center"/>
              <w:rPr>
                <w:b/>
                <w:bCs/>
                <w:color w:val="auto"/>
                <w:sz w:val="18"/>
                <w:szCs w:val="18"/>
                <w:highlight w:val="none"/>
              </w:rPr>
            </w:pPr>
            <w:r>
              <w:rPr>
                <w:rFonts w:hint="eastAsia"/>
                <w:b/>
                <w:bCs/>
                <w:color w:val="auto"/>
                <w:sz w:val="18"/>
                <w:szCs w:val="18"/>
                <w:highlight w:val="none"/>
              </w:rPr>
              <w:t>检查方法</w:t>
            </w:r>
          </w:p>
        </w:tc>
        <w:tc>
          <w:tcPr>
            <w:tcW w:w="991" w:type="dxa"/>
            <w:vAlign w:val="center"/>
          </w:tcPr>
          <w:p w14:paraId="72B543E5">
            <w:pPr>
              <w:topLinePunct/>
              <w:snapToGrid w:val="0"/>
              <w:spacing w:line="240" w:lineRule="atLeast"/>
              <w:jc w:val="center"/>
              <w:rPr>
                <w:b/>
                <w:bCs/>
                <w:color w:val="auto"/>
                <w:sz w:val="18"/>
                <w:szCs w:val="18"/>
                <w:highlight w:val="none"/>
              </w:rPr>
            </w:pPr>
            <w:r>
              <w:rPr>
                <w:rFonts w:hint="eastAsia"/>
                <w:b/>
                <w:bCs/>
                <w:color w:val="auto"/>
                <w:sz w:val="18"/>
                <w:szCs w:val="18"/>
                <w:highlight w:val="none"/>
              </w:rPr>
              <w:t>检查得分</w:t>
            </w:r>
          </w:p>
        </w:tc>
      </w:tr>
      <w:tr w14:paraId="17F5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390" w:type="dxa"/>
            <w:vAlign w:val="center"/>
          </w:tcPr>
          <w:p w14:paraId="5887DAD6">
            <w:pPr>
              <w:topLinePunct/>
              <w:snapToGrid w:val="0"/>
              <w:spacing w:line="240" w:lineRule="atLeast"/>
              <w:jc w:val="center"/>
              <w:rPr>
                <w:b/>
                <w:bCs/>
                <w:color w:val="auto"/>
                <w:sz w:val="18"/>
                <w:szCs w:val="18"/>
                <w:highlight w:val="none"/>
              </w:rPr>
            </w:pPr>
            <w:r>
              <w:rPr>
                <w:rFonts w:hint="eastAsia"/>
                <w:b/>
                <w:bCs/>
                <w:color w:val="auto"/>
                <w:sz w:val="18"/>
                <w:szCs w:val="18"/>
                <w:highlight w:val="none"/>
              </w:rPr>
              <w:t>一</w:t>
            </w:r>
          </w:p>
        </w:tc>
        <w:tc>
          <w:tcPr>
            <w:tcW w:w="14161" w:type="dxa"/>
            <w:gridSpan w:val="4"/>
            <w:vAlign w:val="center"/>
          </w:tcPr>
          <w:p w14:paraId="19C707E1">
            <w:pPr>
              <w:topLinePunct/>
              <w:snapToGrid w:val="0"/>
              <w:spacing w:line="240" w:lineRule="atLeast"/>
              <w:jc w:val="left"/>
              <w:rPr>
                <w:b/>
                <w:bCs/>
                <w:color w:val="auto"/>
                <w:sz w:val="18"/>
                <w:szCs w:val="18"/>
                <w:highlight w:val="none"/>
              </w:rPr>
            </w:pPr>
            <w:r>
              <w:rPr>
                <w:rFonts w:hint="eastAsia"/>
                <w:b/>
                <w:bCs/>
                <w:color w:val="auto"/>
                <w:sz w:val="18"/>
                <w:szCs w:val="18"/>
                <w:highlight w:val="none"/>
              </w:rPr>
              <w:t>监理项目部标准化建设（10分）</w:t>
            </w:r>
          </w:p>
        </w:tc>
        <w:tc>
          <w:tcPr>
            <w:tcW w:w="991" w:type="dxa"/>
          </w:tcPr>
          <w:p w14:paraId="54C8CF0C">
            <w:pPr>
              <w:topLinePunct/>
              <w:snapToGrid w:val="0"/>
              <w:spacing w:line="240" w:lineRule="atLeast"/>
              <w:rPr>
                <w:b/>
                <w:bCs/>
                <w:color w:val="auto"/>
                <w:sz w:val="18"/>
                <w:szCs w:val="18"/>
                <w:highlight w:val="none"/>
              </w:rPr>
            </w:pPr>
          </w:p>
        </w:tc>
      </w:tr>
      <w:tr w14:paraId="6E18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Align w:val="center"/>
          </w:tcPr>
          <w:p w14:paraId="2F774FE5">
            <w:pPr>
              <w:topLinePunct/>
              <w:snapToGrid w:val="0"/>
              <w:spacing w:line="240" w:lineRule="atLeast"/>
              <w:jc w:val="center"/>
              <w:rPr>
                <w:color w:val="auto"/>
                <w:sz w:val="18"/>
                <w:szCs w:val="18"/>
                <w:highlight w:val="none"/>
              </w:rPr>
            </w:pPr>
            <w:r>
              <w:rPr>
                <w:rFonts w:hint="eastAsia"/>
                <w:color w:val="auto"/>
                <w:sz w:val="18"/>
                <w:szCs w:val="18"/>
                <w:highlight w:val="none"/>
              </w:rPr>
              <w:t>1</w:t>
            </w:r>
          </w:p>
        </w:tc>
        <w:tc>
          <w:tcPr>
            <w:tcW w:w="872" w:type="dxa"/>
            <w:vAlign w:val="center"/>
          </w:tcPr>
          <w:p w14:paraId="0E7BB705">
            <w:pPr>
              <w:topLinePunct/>
              <w:snapToGrid w:val="0"/>
              <w:spacing w:line="240" w:lineRule="atLeast"/>
              <w:jc w:val="center"/>
              <w:rPr>
                <w:color w:val="auto"/>
                <w:sz w:val="18"/>
                <w:szCs w:val="18"/>
                <w:highlight w:val="none"/>
              </w:rPr>
            </w:pPr>
            <w:r>
              <w:rPr>
                <w:rFonts w:hint="eastAsia"/>
                <w:color w:val="auto"/>
                <w:sz w:val="18"/>
                <w:szCs w:val="18"/>
                <w:highlight w:val="none"/>
              </w:rPr>
              <w:t>项目部组建</w:t>
            </w:r>
          </w:p>
        </w:tc>
        <w:tc>
          <w:tcPr>
            <w:tcW w:w="580" w:type="dxa"/>
            <w:vAlign w:val="center"/>
          </w:tcPr>
          <w:p w14:paraId="5010045B">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158FE25F">
            <w:pPr>
              <w:topLinePunct/>
              <w:snapToGrid w:val="0"/>
              <w:spacing w:line="240" w:lineRule="atLeast"/>
              <w:rPr>
                <w:color w:val="auto"/>
                <w:sz w:val="18"/>
                <w:szCs w:val="18"/>
                <w:highlight w:val="none"/>
              </w:rPr>
            </w:pPr>
            <w:r>
              <w:rPr>
                <w:rFonts w:hint="eastAsia"/>
                <w:color w:val="auto"/>
                <w:sz w:val="18"/>
                <w:szCs w:val="18"/>
                <w:highlight w:val="none"/>
              </w:rPr>
              <w:t>1.项目总监或安全副总监、总监代表等主要管理人员与投标承诺不一致，每人扣2分（经业主批准同意并履行相应手续的，每人扣0.5分）；</w:t>
            </w:r>
          </w:p>
          <w:p w14:paraId="4E25B5CD">
            <w:pPr>
              <w:topLinePunct/>
              <w:snapToGrid w:val="0"/>
              <w:spacing w:line="240" w:lineRule="atLeast"/>
              <w:rPr>
                <w:color w:val="auto"/>
                <w:sz w:val="18"/>
                <w:szCs w:val="18"/>
                <w:highlight w:val="none"/>
              </w:rPr>
            </w:pPr>
            <w:r>
              <w:rPr>
                <w:rFonts w:hint="eastAsia"/>
                <w:color w:val="auto"/>
                <w:sz w:val="18"/>
                <w:szCs w:val="18"/>
                <w:highlight w:val="none"/>
              </w:rPr>
              <w:t>2.人员配备数量不满足要求，每缺一人扣1分；</w:t>
            </w:r>
          </w:p>
          <w:p w14:paraId="54A3D506">
            <w:pPr>
              <w:topLinePunct/>
              <w:snapToGrid w:val="0"/>
              <w:spacing w:line="240" w:lineRule="atLeast"/>
              <w:rPr>
                <w:color w:val="auto"/>
                <w:sz w:val="18"/>
                <w:szCs w:val="18"/>
                <w:highlight w:val="none"/>
              </w:rPr>
            </w:pPr>
            <w:r>
              <w:rPr>
                <w:rFonts w:hint="eastAsia"/>
                <w:color w:val="auto"/>
                <w:sz w:val="18"/>
                <w:szCs w:val="18"/>
                <w:highlight w:val="none"/>
              </w:rPr>
              <w:t>3.总监兼职项目数量不符合要求扣1.5分，其他主要管理人员任职资格不符合要求每人扣0.5分。</w:t>
            </w:r>
          </w:p>
          <w:p w14:paraId="429D327F">
            <w:pPr>
              <w:topLinePunct/>
              <w:snapToGrid w:val="0"/>
              <w:spacing w:line="240" w:lineRule="atLeast"/>
              <w:rPr>
                <w:color w:val="auto"/>
                <w:sz w:val="18"/>
                <w:szCs w:val="18"/>
                <w:highlight w:val="none"/>
              </w:rPr>
            </w:pPr>
            <w:r>
              <w:rPr>
                <w:rFonts w:hint="eastAsia"/>
                <w:color w:val="auto"/>
                <w:sz w:val="18"/>
                <w:szCs w:val="18"/>
                <w:highlight w:val="none"/>
              </w:rPr>
              <w:t>4.若业主书面通知要求更换总监理工程师或其他人员，监理单位应在7天内予以更换，无正当理由拒绝或逾期更换人员的，每次扣5分。</w:t>
            </w:r>
          </w:p>
        </w:tc>
        <w:tc>
          <w:tcPr>
            <w:tcW w:w="1975" w:type="dxa"/>
            <w:vAlign w:val="center"/>
          </w:tcPr>
          <w:p w14:paraId="5D00A9B1">
            <w:pPr>
              <w:topLinePunct/>
              <w:snapToGrid w:val="0"/>
              <w:spacing w:line="240" w:lineRule="atLeast"/>
              <w:rPr>
                <w:color w:val="auto"/>
                <w:sz w:val="18"/>
                <w:szCs w:val="18"/>
                <w:highlight w:val="none"/>
              </w:rPr>
            </w:pPr>
            <w:r>
              <w:rPr>
                <w:rFonts w:hint="eastAsia"/>
                <w:color w:val="auto"/>
                <w:sz w:val="18"/>
                <w:szCs w:val="18"/>
                <w:highlight w:val="none"/>
              </w:rPr>
              <w:t>查任命文件、资格证书、投标文件</w:t>
            </w:r>
          </w:p>
        </w:tc>
        <w:tc>
          <w:tcPr>
            <w:tcW w:w="991" w:type="dxa"/>
            <w:vAlign w:val="center"/>
          </w:tcPr>
          <w:p w14:paraId="75914E4F">
            <w:pPr>
              <w:topLinePunct/>
              <w:snapToGrid w:val="0"/>
              <w:spacing w:line="240" w:lineRule="atLeast"/>
              <w:rPr>
                <w:color w:val="auto"/>
                <w:sz w:val="18"/>
                <w:szCs w:val="18"/>
                <w:highlight w:val="none"/>
              </w:rPr>
            </w:pPr>
          </w:p>
        </w:tc>
      </w:tr>
      <w:tr w14:paraId="6F82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Align w:val="center"/>
          </w:tcPr>
          <w:p w14:paraId="2AD0404A">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872" w:type="dxa"/>
            <w:vAlign w:val="center"/>
          </w:tcPr>
          <w:p w14:paraId="5A319E01">
            <w:pPr>
              <w:topLinePunct/>
              <w:snapToGrid w:val="0"/>
              <w:spacing w:line="240" w:lineRule="atLeast"/>
              <w:jc w:val="center"/>
              <w:rPr>
                <w:color w:val="auto"/>
                <w:sz w:val="18"/>
                <w:szCs w:val="18"/>
                <w:highlight w:val="none"/>
              </w:rPr>
            </w:pPr>
            <w:r>
              <w:rPr>
                <w:rFonts w:hint="eastAsia"/>
                <w:color w:val="auto"/>
                <w:sz w:val="18"/>
                <w:szCs w:val="18"/>
                <w:highlight w:val="none"/>
              </w:rPr>
              <w:t>项目部资源配置</w:t>
            </w:r>
          </w:p>
        </w:tc>
        <w:tc>
          <w:tcPr>
            <w:tcW w:w="580" w:type="dxa"/>
            <w:vAlign w:val="center"/>
          </w:tcPr>
          <w:p w14:paraId="53F38DCC">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tcPr>
          <w:p w14:paraId="1BB3E93F">
            <w:pPr>
              <w:numPr>
                <w:ilvl w:val="0"/>
                <w:numId w:val="5"/>
              </w:numPr>
              <w:topLinePunct/>
              <w:snapToGrid w:val="0"/>
              <w:spacing w:line="240" w:lineRule="atLeast"/>
              <w:jc w:val="left"/>
              <w:rPr>
                <w:color w:val="auto"/>
                <w:sz w:val="18"/>
                <w:szCs w:val="18"/>
                <w:highlight w:val="none"/>
              </w:rPr>
            </w:pPr>
            <w:r>
              <w:rPr>
                <w:rFonts w:hint="eastAsia"/>
                <w:color w:val="auto"/>
                <w:sz w:val="18"/>
                <w:szCs w:val="18"/>
                <w:highlight w:val="none"/>
              </w:rPr>
              <w:t>项目部资源配置与投标承诺有明显差异、不满足实际需要或不符合要求，每项扣1分；</w:t>
            </w:r>
          </w:p>
        </w:tc>
        <w:tc>
          <w:tcPr>
            <w:tcW w:w="1975" w:type="dxa"/>
            <w:vAlign w:val="center"/>
          </w:tcPr>
          <w:p w14:paraId="398CCAC5">
            <w:pPr>
              <w:topLinePunct/>
              <w:snapToGrid w:val="0"/>
              <w:spacing w:line="240" w:lineRule="atLeast"/>
              <w:rPr>
                <w:color w:val="auto"/>
                <w:sz w:val="18"/>
                <w:szCs w:val="18"/>
                <w:highlight w:val="none"/>
              </w:rPr>
            </w:pPr>
            <w:r>
              <w:rPr>
                <w:rFonts w:hint="eastAsia"/>
                <w:color w:val="auto"/>
                <w:sz w:val="18"/>
                <w:szCs w:val="18"/>
                <w:highlight w:val="none"/>
              </w:rPr>
              <w:t>对照投标文件和管理手册检查</w:t>
            </w:r>
          </w:p>
        </w:tc>
        <w:tc>
          <w:tcPr>
            <w:tcW w:w="991" w:type="dxa"/>
            <w:vAlign w:val="center"/>
          </w:tcPr>
          <w:p w14:paraId="6BD7439E">
            <w:pPr>
              <w:topLinePunct/>
              <w:snapToGrid w:val="0"/>
              <w:spacing w:line="240" w:lineRule="atLeast"/>
              <w:rPr>
                <w:color w:val="auto"/>
                <w:sz w:val="18"/>
                <w:szCs w:val="18"/>
                <w:highlight w:val="none"/>
              </w:rPr>
            </w:pPr>
          </w:p>
        </w:tc>
      </w:tr>
      <w:tr w14:paraId="00389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390" w:type="dxa"/>
            <w:vAlign w:val="center"/>
          </w:tcPr>
          <w:p w14:paraId="37EAF443">
            <w:pPr>
              <w:topLinePunct/>
              <w:snapToGrid w:val="0"/>
              <w:spacing w:line="240" w:lineRule="atLeast"/>
              <w:jc w:val="center"/>
              <w:rPr>
                <w:b/>
                <w:bCs/>
                <w:color w:val="auto"/>
                <w:sz w:val="18"/>
                <w:szCs w:val="18"/>
                <w:highlight w:val="none"/>
              </w:rPr>
            </w:pPr>
            <w:r>
              <w:rPr>
                <w:rFonts w:hint="eastAsia"/>
                <w:b/>
                <w:bCs/>
                <w:color w:val="auto"/>
                <w:sz w:val="18"/>
                <w:szCs w:val="18"/>
                <w:highlight w:val="none"/>
              </w:rPr>
              <w:t>二</w:t>
            </w:r>
          </w:p>
        </w:tc>
        <w:tc>
          <w:tcPr>
            <w:tcW w:w="15152" w:type="dxa"/>
            <w:gridSpan w:val="5"/>
            <w:vAlign w:val="center"/>
          </w:tcPr>
          <w:p w14:paraId="148743FB">
            <w:pPr>
              <w:topLinePunct/>
              <w:snapToGrid w:val="0"/>
              <w:spacing w:line="240" w:lineRule="atLeast"/>
              <w:jc w:val="left"/>
              <w:rPr>
                <w:b/>
                <w:bCs/>
                <w:color w:val="auto"/>
                <w:sz w:val="18"/>
                <w:szCs w:val="18"/>
                <w:highlight w:val="none"/>
              </w:rPr>
            </w:pPr>
            <w:r>
              <w:rPr>
                <w:rFonts w:hint="eastAsia"/>
                <w:b/>
                <w:bCs/>
                <w:color w:val="auto"/>
                <w:sz w:val="18"/>
                <w:szCs w:val="18"/>
                <w:highlight w:val="none"/>
              </w:rPr>
              <w:t>重点工作开展情况（90分）</w:t>
            </w:r>
          </w:p>
        </w:tc>
      </w:tr>
      <w:tr w14:paraId="58D0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restart"/>
            <w:vAlign w:val="center"/>
          </w:tcPr>
          <w:p w14:paraId="2AAD324A">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872" w:type="dxa"/>
            <w:vMerge w:val="restart"/>
          </w:tcPr>
          <w:p w14:paraId="06C7FF64">
            <w:pPr>
              <w:topLinePunct/>
              <w:snapToGrid w:val="0"/>
              <w:spacing w:line="240" w:lineRule="atLeast"/>
              <w:rPr>
                <w:color w:val="auto"/>
                <w:sz w:val="18"/>
                <w:szCs w:val="18"/>
                <w:highlight w:val="none"/>
              </w:rPr>
            </w:pPr>
            <w:r>
              <w:rPr>
                <w:rFonts w:hint="eastAsia"/>
                <w:color w:val="auto"/>
                <w:sz w:val="18"/>
                <w:szCs w:val="18"/>
                <w:highlight w:val="none"/>
              </w:rPr>
              <w:t>策划管理（共5分）</w:t>
            </w:r>
          </w:p>
        </w:tc>
        <w:tc>
          <w:tcPr>
            <w:tcW w:w="580" w:type="dxa"/>
            <w:vAlign w:val="center"/>
          </w:tcPr>
          <w:p w14:paraId="12022D9A">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56A71E44">
            <w:pPr>
              <w:topLinePunct/>
              <w:snapToGrid w:val="0"/>
              <w:spacing w:line="240" w:lineRule="atLeast"/>
              <w:rPr>
                <w:color w:val="auto"/>
                <w:sz w:val="18"/>
                <w:szCs w:val="18"/>
                <w:highlight w:val="none"/>
              </w:rPr>
            </w:pPr>
            <w:r>
              <w:rPr>
                <w:rFonts w:hint="eastAsia"/>
                <w:color w:val="auto"/>
                <w:sz w:val="18"/>
                <w:szCs w:val="18"/>
                <w:highlight w:val="none"/>
              </w:rPr>
              <w:t>1.对施工单位的报审文件审核流程不规范，审核意见不明确，审核不及时等，每项扣1分。</w:t>
            </w:r>
          </w:p>
        </w:tc>
        <w:tc>
          <w:tcPr>
            <w:tcW w:w="1975" w:type="dxa"/>
            <w:vAlign w:val="center"/>
          </w:tcPr>
          <w:p w14:paraId="2BF6506B">
            <w:pPr>
              <w:topLinePunct/>
              <w:snapToGrid w:val="0"/>
              <w:spacing w:line="240" w:lineRule="atLeast"/>
              <w:rPr>
                <w:color w:val="auto"/>
                <w:sz w:val="18"/>
                <w:szCs w:val="18"/>
                <w:highlight w:val="none"/>
              </w:rPr>
            </w:pPr>
            <w:r>
              <w:rPr>
                <w:rFonts w:hint="eastAsia"/>
                <w:color w:val="auto"/>
                <w:sz w:val="18"/>
                <w:szCs w:val="18"/>
                <w:highlight w:val="none"/>
              </w:rPr>
              <w:t>查开工报审表。</w:t>
            </w:r>
          </w:p>
        </w:tc>
        <w:tc>
          <w:tcPr>
            <w:tcW w:w="991" w:type="dxa"/>
            <w:vAlign w:val="center"/>
          </w:tcPr>
          <w:p w14:paraId="604094EC">
            <w:pPr>
              <w:topLinePunct/>
              <w:snapToGrid w:val="0"/>
              <w:spacing w:line="240" w:lineRule="atLeast"/>
              <w:rPr>
                <w:color w:val="auto"/>
                <w:sz w:val="18"/>
                <w:szCs w:val="18"/>
                <w:highlight w:val="none"/>
              </w:rPr>
            </w:pPr>
          </w:p>
        </w:tc>
      </w:tr>
      <w:tr w14:paraId="7668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vAlign w:val="center"/>
          </w:tcPr>
          <w:p w14:paraId="797FF465">
            <w:pPr>
              <w:topLinePunct/>
              <w:snapToGrid w:val="0"/>
              <w:spacing w:line="240" w:lineRule="atLeast"/>
              <w:jc w:val="center"/>
              <w:rPr>
                <w:color w:val="auto"/>
                <w:sz w:val="18"/>
                <w:szCs w:val="18"/>
                <w:highlight w:val="none"/>
              </w:rPr>
            </w:pPr>
          </w:p>
        </w:tc>
        <w:tc>
          <w:tcPr>
            <w:tcW w:w="872" w:type="dxa"/>
            <w:vMerge w:val="continue"/>
          </w:tcPr>
          <w:p w14:paraId="300B49A3">
            <w:pPr>
              <w:topLinePunct/>
              <w:snapToGrid w:val="0"/>
              <w:spacing w:line="240" w:lineRule="atLeast"/>
              <w:jc w:val="center"/>
              <w:rPr>
                <w:color w:val="auto"/>
                <w:sz w:val="18"/>
                <w:szCs w:val="18"/>
                <w:highlight w:val="none"/>
              </w:rPr>
            </w:pPr>
          </w:p>
        </w:tc>
        <w:tc>
          <w:tcPr>
            <w:tcW w:w="580" w:type="dxa"/>
            <w:vAlign w:val="center"/>
          </w:tcPr>
          <w:p w14:paraId="7D05B694">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0487A1E6">
            <w:pPr>
              <w:topLinePunct/>
              <w:snapToGrid w:val="0"/>
              <w:spacing w:line="240" w:lineRule="atLeast"/>
              <w:rPr>
                <w:color w:val="auto"/>
                <w:sz w:val="18"/>
                <w:szCs w:val="18"/>
                <w:highlight w:val="none"/>
              </w:rPr>
            </w:pPr>
            <w:r>
              <w:rPr>
                <w:rFonts w:hint="eastAsia"/>
                <w:color w:val="auto"/>
                <w:sz w:val="18"/>
                <w:szCs w:val="18"/>
                <w:highlight w:val="none"/>
              </w:rPr>
              <w:t>1.对施工合同执行过程中的分歧或纠纷事项未进行协调或者协调不力，每项扣1分。</w:t>
            </w:r>
          </w:p>
        </w:tc>
        <w:tc>
          <w:tcPr>
            <w:tcW w:w="1975" w:type="dxa"/>
            <w:vAlign w:val="center"/>
          </w:tcPr>
          <w:p w14:paraId="573F80DE">
            <w:pPr>
              <w:topLinePunct/>
              <w:snapToGrid w:val="0"/>
              <w:spacing w:line="240" w:lineRule="atLeast"/>
              <w:rPr>
                <w:color w:val="auto"/>
                <w:sz w:val="18"/>
                <w:szCs w:val="18"/>
                <w:highlight w:val="none"/>
              </w:rPr>
            </w:pPr>
            <w:r>
              <w:rPr>
                <w:rFonts w:hint="eastAsia"/>
                <w:color w:val="auto"/>
                <w:sz w:val="18"/>
                <w:szCs w:val="18"/>
                <w:highlight w:val="none"/>
              </w:rPr>
              <w:t>查会议纪要及相关记录。</w:t>
            </w:r>
          </w:p>
        </w:tc>
        <w:tc>
          <w:tcPr>
            <w:tcW w:w="991" w:type="dxa"/>
            <w:vAlign w:val="center"/>
          </w:tcPr>
          <w:p w14:paraId="2D9BA4E9">
            <w:pPr>
              <w:topLinePunct/>
              <w:snapToGrid w:val="0"/>
              <w:spacing w:line="240" w:lineRule="atLeast"/>
              <w:rPr>
                <w:color w:val="auto"/>
                <w:sz w:val="18"/>
                <w:szCs w:val="18"/>
                <w:highlight w:val="none"/>
              </w:rPr>
            </w:pPr>
          </w:p>
        </w:tc>
      </w:tr>
      <w:tr w14:paraId="6AF6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restart"/>
            <w:vAlign w:val="center"/>
          </w:tcPr>
          <w:p w14:paraId="202A2D98">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872" w:type="dxa"/>
            <w:vMerge w:val="restart"/>
            <w:vAlign w:val="center"/>
          </w:tcPr>
          <w:p w14:paraId="624D9F76">
            <w:pPr>
              <w:topLinePunct/>
              <w:snapToGrid w:val="0"/>
              <w:spacing w:line="240" w:lineRule="atLeast"/>
              <w:jc w:val="center"/>
              <w:rPr>
                <w:color w:val="auto"/>
                <w:sz w:val="18"/>
                <w:szCs w:val="18"/>
                <w:highlight w:val="none"/>
              </w:rPr>
            </w:pPr>
            <w:r>
              <w:rPr>
                <w:rFonts w:hint="eastAsia"/>
                <w:color w:val="auto"/>
                <w:sz w:val="18"/>
                <w:szCs w:val="18"/>
                <w:highlight w:val="none"/>
              </w:rPr>
              <w:t>安全</w:t>
            </w:r>
          </w:p>
          <w:p w14:paraId="45D2770E">
            <w:pPr>
              <w:topLinePunct/>
              <w:snapToGrid w:val="0"/>
              <w:spacing w:line="240" w:lineRule="atLeast"/>
              <w:jc w:val="center"/>
              <w:rPr>
                <w:color w:val="auto"/>
                <w:sz w:val="18"/>
                <w:szCs w:val="18"/>
                <w:highlight w:val="none"/>
              </w:rPr>
            </w:pPr>
            <w:r>
              <w:rPr>
                <w:rFonts w:hint="eastAsia"/>
                <w:color w:val="auto"/>
                <w:sz w:val="18"/>
                <w:szCs w:val="18"/>
                <w:highlight w:val="none"/>
              </w:rPr>
              <w:t>管理（共25分）</w:t>
            </w:r>
          </w:p>
        </w:tc>
        <w:tc>
          <w:tcPr>
            <w:tcW w:w="580" w:type="dxa"/>
            <w:vAlign w:val="center"/>
          </w:tcPr>
          <w:p w14:paraId="0B70A2F0">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01C0B3BF">
            <w:pPr>
              <w:numPr>
                <w:ilvl w:val="0"/>
                <w:numId w:val="6"/>
              </w:numPr>
              <w:topLinePunct/>
              <w:snapToGrid w:val="0"/>
              <w:spacing w:line="240" w:lineRule="atLeast"/>
              <w:rPr>
                <w:color w:val="auto"/>
                <w:sz w:val="18"/>
                <w:szCs w:val="18"/>
                <w:highlight w:val="none"/>
              </w:rPr>
            </w:pPr>
            <w:r>
              <w:rPr>
                <w:rFonts w:hint="eastAsia"/>
                <w:color w:val="auto"/>
                <w:sz w:val="18"/>
                <w:szCs w:val="18"/>
                <w:highlight w:val="none"/>
              </w:rPr>
              <w:t>未及时开展监理安全检查，扣2分；</w:t>
            </w:r>
          </w:p>
          <w:p w14:paraId="4024EA81">
            <w:pPr>
              <w:numPr>
                <w:ilvl w:val="0"/>
                <w:numId w:val="6"/>
              </w:numPr>
              <w:topLinePunct/>
              <w:snapToGrid w:val="0"/>
              <w:spacing w:line="240" w:lineRule="atLeast"/>
              <w:rPr>
                <w:color w:val="auto"/>
                <w:sz w:val="18"/>
                <w:szCs w:val="18"/>
                <w:highlight w:val="none"/>
              </w:rPr>
            </w:pPr>
            <w:r>
              <w:rPr>
                <w:rFonts w:hint="eastAsia"/>
                <w:color w:val="auto"/>
                <w:sz w:val="18"/>
                <w:szCs w:val="18"/>
                <w:highlight w:val="none"/>
              </w:rPr>
              <w:t>安全检查记录不规范、与其他资料不对应，每份扣0.5分。</w:t>
            </w:r>
          </w:p>
        </w:tc>
        <w:tc>
          <w:tcPr>
            <w:tcW w:w="1975" w:type="dxa"/>
            <w:vAlign w:val="center"/>
          </w:tcPr>
          <w:p w14:paraId="47C931DE">
            <w:pPr>
              <w:topLinePunct/>
              <w:snapToGrid w:val="0"/>
              <w:spacing w:line="240" w:lineRule="atLeast"/>
              <w:rPr>
                <w:color w:val="auto"/>
                <w:sz w:val="18"/>
                <w:szCs w:val="18"/>
                <w:highlight w:val="none"/>
              </w:rPr>
            </w:pPr>
            <w:r>
              <w:rPr>
                <w:rFonts w:hint="eastAsia"/>
                <w:color w:val="auto"/>
                <w:sz w:val="18"/>
                <w:szCs w:val="18"/>
                <w:highlight w:val="none"/>
              </w:rPr>
              <w:t>查安全检查等记录、监理通知单、监理通知回复单、工程暂停令。</w:t>
            </w:r>
          </w:p>
        </w:tc>
        <w:tc>
          <w:tcPr>
            <w:tcW w:w="991" w:type="dxa"/>
            <w:vAlign w:val="center"/>
          </w:tcPr>
          <w:p w14:paraId="314A269E">
            <w:pPr>
              <w:topLinePunct/>
              <w:snapToGrid w:val="0"/>
              <w:spacing w:line="240" w:lineRule="atLeast"/>
              <w:rPr>
                <w:color w:val="auto"/>
                <w:sz w:val="18"/>
                <w:szCs w:val="18"/>
                <w:highlight w:val="none"/>
              </w:rPr>
            </w:pPr>
          </w:p>
        </w:tc>
      </w:tr>
      <w:tr w14:paraId="1CA10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vAlign w:val="center"/>
          </w:tcPr>
          <w:p w14:paraId="51728F5A">
            <w:pPr>
              <w:topLinePunct/>
              <w:snapToGrid w:val="0"/>
              <w:spacing w:line="240" w:lineRule="atLeast"/>
              <w:jc w:val="center"/>
              <w:rPr>
                <w:color w:val="auto"/>
                <w:sz w:val="18"/>
                <w:szCs w:val="18"/>
                <w:highlight w:val="none"/>
              </w:rPr>
            </w:pPr>
          </w:p>
        </w:tc>
        <w:tc>
          <w:tcPr>
            <w:tcW w:w="872" w:type="dxa"/>
            <w:vMerge w:val="continue"/>
          </w:tcPr>
          <w:p w14:paraId="5F5CE8EA">
            <w:pPr>
              <w:topLinePunct/>
              <w:snapToGrid w:val="0"/>
              <w:spacing w:line="240" w:lineRule="atLeast"/>
              <w:jc w:val="center"/>
              <w:rPr>
                <w:color w:val="auto"/>
                <w:sz w:val="18"/>
                <w:szCs w:val="18"/>
                <w:highlight w:val="none"/>
              </w:rPr>
            </w:pPr>
          </w:p>
        </w:tc>
        <w:tc>
          <w:tcPr>
            <w:tcW w:w="580" w:type="dxa"/>
            <w:vAlign w:val="center"/>
          </w:tcPr>
          <w:p w14:paraId="5FE6E454">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30F0169D">
            <w:pPr>
              <w:topLinePunct/>
              <w:snapToGrid w:val="0"/>
              <w:spacing w:line="240" w:lineRule="atLeast"/>
              <w:rPr>
                <w:color w:val="auto"/>
                <w:sz w:val="18"/>
                <w:szCs w:val="18"/>
                <w:highlight w:val="none"/>
              </w:rPr>
            </w:pPr>
            <w:r>
              <w:rPr>
                <w:rFonts w:hint="eastAsia"/>
                <w:color w:val="auto"/>
                <w:sz w:val="18"/>
                <w:szCs w:val="18"/>
                <w:highlight w:val="none"/>
              </w:rPr>
              <w:t>1.未审查分包单位资质报审表，或审核过程管控不严格，存在分包商资质不合格现象，每份扣1分；</w:t>
            </w:r>
          </w:p>
          <w:p w14:paraId="45A4E6FA">
            <w:pPr>
              <w:topLinePunct/>
              <w:snapToGrid w:val="0"/>
              <w:spacing w:line="240" w:lineRule="atLeast"/>
              <w:rPr>
                <w:color w:val="auto"/>
                <w:sz w:val="18"/>
                <w:szCs w:val="18"/>
                <w:highlight w:val="none"/>
              </w:rPr>
            </w:pPr>
            <w:r>
              <w:rPr>
                <w:rFonts w:hint="eastAsia"/>
                <w:color w:val="auto"/>
                <w:sz w:val="18"/>
                <w:szCs w:val="18"/>
                <w:highlight w:val="none"/>
              </w:rPr>
              <w:t>2.施工分包过程不规范，存在施工违规分包、以包代管等现象而未指出的，每例/项扣2分；</w:t>
            </w:r>
          </w:p>
          <w:p w14:paraId="1FF25559">
            <w:pPr>
              <w:topLinePunct/>
              <w:snapToGrid w:val="0"/>
              <w:spacing w:line="240" w:lineRule="atLeast"/>
              <w:rPr>
                <w:color w:val="auto"/>
                <w:sz w:val="18"/>
                <w:szCs w:val="18"/>
                <w:highlight w:val="none"/>
              </w:rPr>
            </w:pPr>
            <w:r>
              <w:rPr>
                <w:rFonts w:hint="eastAsia"/>
                <w:color w:val="auto"/>
                <w:sz w:val="18"/>
                <w:szCs w:val="18"/>
                <w:highlight w:val="none"/>
              </w:rPr>
              <w:t>3.存在不合格班组而未指出，每次扣1分。</w:t>
            </w:r>
          </w:p>
        </w:tc>
        <w:tc>
          <w:tcPr>
            <w:tcW w:w="1975" w:type="dxa"/>
            <w:vAlign w:val="center"/>
          </w:tcPr>
          <w:p w14:paraId="1A381CCB">
            <w:pPr>
              <w:topLinePunct/>
              <w:snapToGrid w:val="0"/>
              <w:spacing w:line="240" w:lineRule="atLeast"/>
              <w:rPr>
                <w:color w:val="auto"/>
                <w:sz w:val="18"/>
                <w:szCs w:val="18"/>
                <w:highlight w:val="none"/>
              </w:rPr>
            </w:pPr>
            <w:r>
              <w:rPr>
                <w:rFonts w:hint="eastAsia"/>
                <w:color w:val="auto"/>
                <w:sz w:val="18"/>
                <w:szCs w:val="18"/>
                <w:highlight w:val="none"/>
              </w:rPr>
              <w:t>查报审资料。</w:t>
            </w:r>
          </w:p>
        </w:tc>
        <w:tc>
          <w:tcPr>
            <w:tcW w:w="991" w:type="dxa"/>
            <w:vAlign w:val="center"/>
          </w:tcPr>
          <w:p w14:paraId="6A9D5B37">
            <w:pPr>
              <w:topLinePunct/>
              <w:snapToGrid w:val="0"/>
              <w:spacing w:line="240" w:lineRule="atLeast"/>
              <w:rPr>
                <w:color w:val="auto"/>
                <w:sz w:val="18"/>
                <w:szCs w:val="18"/>
                <w:highlight w:val="none"/>
              </w:rPr>
            </w:pPr>
          </w:p>
        </w:tc>
      </w:tr>
      <w:tr w14:paraId="5DAF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vAlign w:val="center"/>
          </w:tcPr>
          <w:p w14:paraId="5D6E4237">
            <w:pPr>
              <w:topLinePunct/>
              <w:snapToGrid w:val="0"/>
              <w:spacing w:line="240" w:lineRule="atLeast"/>
              <w:jc w:val="center"/>
              <w:rPr>
                <w:color w:val="auto"/>
                <w:sz w:val="18"/>
                <w:szCs w:val="18"/>
                <w:highlight w:val="none"/>
              </w:rPr>
            </w:pPr>
          </w:p>
        </w:tc>
        <w:tc>
          <w:tcPr>
            <w:tcW w:w="872" w:type="dxa"/>
            <w:vMerge w:val="continue"/>
          </w:tcPr>
          <w:p w14:paraId="4ED22534">
            <w:pPr>
              <w:topLinePunct/>
              <w:snapToGrid w:val="0"/>
              <w:spacing w:line="240" w:lineRule="atLeast"/>
              <w:jc w:val="center"/>
              <w:rPr>
                <w:color w:val="auto"/>
                <w:sz w:val="18"/>
                <w:szCs w:val="18"/>
                <w:highlight w:val="none"/>
              </w:rPr>
            </w:pPr>
          </w:p>
        </w:tc>
        <w:tc>
          <w:tcPr>
            <w:tcW w:w="580" w:type="dxa"/>
            <w:vAlign w:val="center"/>
          </w:tcPr>
          <w:p w14:paraId="13C94713">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342F3941">
            <w:pPr>
              <w:topLinePunct/>
              <w:snapToGrid w:val="0"/>
              <w:spacing w:line="240" w:lineRule="atLeast"/>
              <w:rPr>
                <w:color w:val="auto"/>
                <w:sz w:val="18"/>
                <w:szCs w:val="18"/>
                <w:highlight w:val="none"/>
              </w:rPr>
            </w:pPr>
            <w:r>
              <w:rPr>
                <w:rFonts w:hint="eastAsia"/>
                <w:color w:val="auto"/>
                <w:sz w:val="18"/>
                <w:szCs w:val="18"/>
                <w:highlight w:val="none"/>
              </w:rPr>
              <w:t>1.审查不严格，未发现特殊工种、特种作业人员资格证明文件缺失或失效，每份扣0.5分；</w:t>
            </w:r>
          </w:p>
          <w:p w14:paraId="3F8BF08E">
            <w:pPr>
              <w:topLinePunct/>
              <w:snapToGrid w:val="0"/>
              <w:spacing w:line="240" w:lineRule="atLeast"/>
              <w:rPr>
                <w:color w:val="auto"/>
                <w:sz w:val="18"/>
                <w:szCs w:val="18"/>
                <w:highlight w:val="none"/>
              </w:rPr>
            </w:pPr>
            <w:r>
              <w:rPr>
                <w:rFonts w:hint="eastAsia"/>
                <w:color w:val="auto"/>
                <w:sz w:val="18"/>
                <w:szCs w:val="18"/>
                <w:highlight w:val="none"/>
              </w:rPr>
              <w:t>2.未对现场作业人员持证情况进行检查，现场发现无证上岗，每例扣1分。</w:t>
            </w:r>
          </w:p>
        </w:tc>
        <w:tc>
          <w:tcPr>
            <w:tcW w:w="1975" w:type="dxa"/>
            <w:vAlign w:val="center"/>
          </w:tcPr>
          <w:p w14:paraId="43ECCE06">
            <w:pPr>
              <w:topLinePunct/>
              <w:snapToGrid w:val="0"/>
              <w:spacing w:line="240" w:lineRule="atLeast"/>
              <w:rPr>
                <w:color w:val="auto"/>
                <w:sz w:val="18"/>
                <w:szCs w:val="18"/>
                <w:highlight w:val="none"/>
              </w:rPr>
            </w:pPr>
            <w:r>
              <w:rPr>
                <w:rFonts w:hint="eastAsia"/>
                <w:color w:val="auto"/>
                <w:sz w:val="18"/>
                <w:szCs w:val="18"/>
                <w:highlight w:val="none"/>
              </w:rPr>
              <w:t>查特殊工种、特种作业人员报审资料。</w:t>
            </w:r>
          </w:p>
        </w:tc>
        <w:tc>
          <w:tcPr>
            <w:tcW w:w="991" w:type="dxa"/>
            <w:vAlign w:val="center"/>
          </w:tcPr>
          <w:p w14:paraId="592823F7">
            <w:pPr>
              <w:topLinePunct/>
              <w:snapToGrid w:val="0"/>
              <w:spacing w:line="240" w:lineRule="atLeast"/>
              <w:rPr>
                <w:color w:val="auto"/>
                <w:sz w:val="18"/>
                <w:szCs w:val="18"/>
                <w:highlight w:val="none"/>
              </w:rPr>
            </w:pPr>
          </w:p>
        </w:tc>
      </w:tr>
      <w:tr w14:paraId="1A16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vAlign w:val="center"/>
          </w:tcPr>
          <w:p w14:paraId="18459207">
            <w:pPr>
              <w:topLinePunct/>
              <w:snapToGrid w:val="0"/>
              <w:spacing w:line="240" w:lineRule="atLeast"/>
              <w:jc w:val="center"/>
              <w:rPr>
                <w:color w:val="auto"/>
                <w:sz w:val="18"/>
                <w:szCs w:val="18"/>
                <w:highlight w:val="none"/>
              </w:rPr>
            </w:pPr>
          </w:p>
        </w:tc>
        <w:tc>
          <w:tcPr>
            <w:tcW w:w="872" w:type="dxa"/>
            <w:vMerge w:val="continue"/>
          </w:tcPr>
          <w:p w14:paraId="51B09B51">
            <w:pPr>
              <w:topLinePunct/>
              <w:snapToGrid w:val="0"/>
              <w:spacing w:line="240" w:lineRule="atLeast"/>
              <w:jc w:val="center"/>
              <w:rPr>
                <w:color w:val="auto"/>
                <w:sz w:val="18"/>
                <w:szCs w:val="18"/>
                <w:highlight w:val="none"/>
              </w:rPr>
            </w:pPr>
          </w:p>
        </w:tc>
        <w:tc>
          <w:tcPr>
            <w:tcW w:w="580" w:type="dxa"/>
            <w:vAlign w:val="center"/>
          </w:tcPr>
          <w:p w14:paraId="0B33356B">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2CEB73A3">
            <w:pPr>
              <w:topLinePunct/>
              <w:snapToGrid w:val="0"/>
              <w:spacing w:line="240" w:lineRule="atLeast"/>
              <w:rPr>
                <w:color w:val="auto"/>
                <w:sz w:val="18"/>
                <w:szCs w:val="18"/>
                <w:highlight w:val="none"/>
              </w:rPr>
            </w:pPr>
            <w:r>
              <w:rPr>
                <w:rFonts w:hint="eastAsia"/>
                <w:color w:val="auto"/>
                <w:sz w:val="18"/>
                <w:szCs w:val="18"/>
                <w:highlight w:val="none"/>
              </w:rPr>
              <w:t>1.应旁站未进行旁站，每处扣1分；</w:t>
            </w:r>
          </w:p>
          <w:p w14:paraId="5176D828">
            <w:pPr>
              <w:topLinePunct/>
              <w:snapToGrid w:val="0"/>
              <w:spacing w:line="240" w:lineRule="atLeast"/>
              <w:rPr>
                <w:color w:val="auto"/>
                <w:sz w:val="18"/>
                <w:szCs w:val="18"/>
                <w:highlight w:val="none"/>
              </w:rPr>
            </w:pPr>
            <w:r>
              <w:rPr>
                <w:rFonts w:hint="eastAsia"/>
                <w:color w:val="auto"/>
                <w:sz w:val="18"/>
                <w:szCs w:val="18"/>
                <w:highlight w:val="none"/>
              </w:rPr>
              <w:t>2.安全记录不规范、与其他资料不对应、问题未闭环，每处扣0.5分；</w:t>
            </w:r>
          </w:p>
          <w:p w14:paraId="2B0B0D12">
            <w:pPr>
              <w:topLinePunct/>
              <w:snapToGrid w:val="0"/>
              <w:spacing w:line="240" w:lineRule="atLeast"/>
              <w:rPr>
                <w:color w:val="auto"/>
                <w:sz w:val="18"/>
                <w:szCs w:val="18"/>
                <w:highlight w:val="none"/>
              </w:rPr>
            </w:pPr>
            <w:r>
              <w:rPr>
                <w:rFonts w:hint="eastAsia"/>
                <w:color w:val="auto"/>
                <w:sz w:val="18"/>
                <w:szCs w:val="18"/>
                <w:highlight w:val="none"/>
              </w:rPr>
              <w:t>3.未按照要求对三级及以上作业风险到岗到位，每次扣1分；</w:t>
            </w:r>
          </w:p>
          <w:p w14:paraId="0F858EFD">
            <w:pPr>
              <w:topLinePunct/>
              <w:snapToGrid w:val="0"/>
              <w:spacing w:line="240" w:lineRule="atLeast"/>
              <w:rPr>
                <w:color w:val="auto"/>
                <w:sz w:val="18"/>
                <w:szCs w:val="18"/>
                <w:highlight w:val="none"/>
              </w:rPr>
            </w:pPr>
            <w:r>
              <w:rPr>
                <w:rFonts w:hint="eastAsia"/>
                <w:color w:val="auto"/>
                <w:sz w:val="18"/>
                <w:szCs w:val="18"/>
                <w:highlight w:val="none"/>
              </w:rPr>
              <w:t>4.未能及时发现施工方案存在重大问题、施工方案与现场严重不符等问题，每处扣1分。</w:t>
            </w:r>
          </w:p>
        </w:tc>
        <w:tc>
          <w:tcPr>
            <w:tcW w:w="1975" w:type="dxa"/>
            <w:vAlign w:val="center"/>
          </w:tcPr>
          <w:p w14:paraId="332C07E7">
            <w:pPr>
              <w:topLinePunct/>
              <w:snapToGrid w:val="0"/>
              <w:spacing w:line="240" w:lineRule="atLeast"/>
              <w:rPr>
                <w:color w:val="auto"/>
                <w:sz w:val="18"/>
                <w:szCs w:val="18"/>
                <w:highlight w:val="none"/>
              </w:rPr>
            </w:pPr>
            <w:r>
              <w:rPr>
                <w:rFonts w:hint="eastAsia"/>
                <w:color w:val="auto"/>
                <w:sz w:val="18"/>
                <w:szCs w:val="18"/>
                <w:highlight w:val="none"/>
              </w:rPr>
              <w:t>查安全旁站监理记录、作业票、到岗到位记录、施工方案、施工现场等。</w:t>
            </w:r>
          </w:p>
        </w:tc>
        <w:tc>
          <w:tcPr>
            <w:tcW w:w="991" w:type="dxa"/>
            <w:vAlign w:val="center"/>
          </w:tcPr>
          <w:p w14:paraId="13C02CB3">
            <w:pPr>
              <w:topLinePunct/>
              <w:snapToGrid w:val="0"/>
              <w:spacing w:line="240" w:lineRule="atLeast"/>
              <w:rPr>
                <w:color w:val="auto"/>
                <w:sz w:val="18"/>
                <w:szCs w:val="18"/>
                <w:highlight w:val="none"/>
              </w:rPr>
            </w:pPr>
          </w:p>
        </w:tc>
      </w:tr>
      <w:tr w14:paraId="09D69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vAlign w:val="center"/>
          </w:tcPr>
          <w:p w14:paraId="7761A4A1">
            <w:pPr>
              <w:topLinePunct/>
              <w:snapToGrid w:val="0"/>
              <w:spacing w:line="240" w:lineRule="atLeast"/>
              <w:jc w:val="center"/>
              <w:rPr>
                <w:color w:val="auto"/>
                <w:sz w:val="18"/>
                <w:szCs w:val="18"/>
                <w:highlight w:val="none"/>
              </w:rPr>
            </w:pPr>
          </w:p>
        </w:tc>
        <w:tc>
          <w:tcPr>
            <w:tcW w:w="872" w:type="dxa"/>
            <w:vMerge w:val="continue"/>
          </w:tcPr>
          <w:p w14:paraId="46C31E2C">
            <w:pPr>
              <w:topLinePunct/>
              <w:snapToGrid w:val="0"/>
              <w:spacing w:line="240" w:lineRule="atLeast"/>
              <w:jc w:val="center"/>
              <w:rPr>
                <w:color w:val="auto"/>
                <w:sz w:val="18"/>
                <w:szCs w:val="18"/>
                <w:highlight w:val="none"/>
              </w:rPr>
            </w:pPr>
          </w:p>
        </w:tc>
        <w:tc>
          <w:tcPr>
            <w:tcW w:w="580" w:type="dxa"/>
            <w:vAlign w:val="center"/>
          </w:tcPr>
          <w:p w14:paraId="520C8CAC">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7F4B00A4">
            <w:pPr>
              <w:topLinePunct/>
              <w:snapToGrid w:val="0"/>
              <w:spacing w:line="240" w:lineRule="atLeast"/>
              <w:rPr>
                <w:color w:val="auto"/>
                <w:sz w:val="18"/>
                <w:szCs w:val="18"/>
                <w:highlight w:val="none"/>
              </w:rPr>
            </w:pPr>
            <w:r>
              <w:rPr>
                <w:rFonts w:hint="eastAsia"/>
                <w:color w:val="auto"/>
                <w:sz w:val="18"/>
                <w:szCs w:val="18"/>
                <w:highlight w:val="none"/>
              </w:rPr>
              <w:t>现场安全文明施工设施布置与计划不符、布置不满足要求而监理未发现或未指出，每处扣0.5分。</w:t>
            </w:r>
          </w:p>
        </w:tc>
        <w:tc>
          <w:tcPr>
            <w:tcW w:w="1975" w:type="dxa"/>
            <w:vAlign w:val="center"/>
          </w:tcPr>
          <w:p w14:paraId="0AAA10F1">
            <w:pPr>
              <w:topLinePunct/>
              <w:snapToGrid w:val="0"/>
              <w:spacing w:line="240" w:lineRule="atLeast"/>
              <w:rPr>
                <w:color w:val="auto"/>
                <w:sz w:val="18"/>
                <w:szCs w:val="18"/>
                <w:highlight w:val="none"/>
              </w:rPr>
            </w:pPr>
            <w:r>
              <w:rPr>
                <w:rFonts w:hint="eastAsia"/>
                <w:color w:val="auto"/>
                <w:sz w:val="18"/>
                <w:szCs w:val="18"/>
                <w:highlight w:val="none"/>
              </w:rPr>
              <w:t>查</w:t>
            </w:r>
            <w:r>
              <w:rPr>
                <w:rFonts w:hint="eastAsia"/>
                <w:color w:val="auto"/>
                <w:sz w:val="18"/>
                <w:highlight w:val="none"/>
              </w:rPr>
              <w:t>《配置表》和《验收单》</w:t>
            </w:r>
            <w:r>
              <w:rPr>
                <w:rFonts w:hint="eastAsia"/>
                <w:color w:val="auto"/>
                <w:sz w:val="18"/>
                <w:szCs w:val="18"/>
                <w:highlight w:val="none"/>
              </w:rPr>
              <w:t>、监理检查记录。</w:t>
            </w:r>
          </w:p>
        </w:tc>
        <w:tc>
          <w:tcPr>
            <w:tcW w:w="991" w:type="dxa"/>
            <w:vAlign w:val="center"/>
          </w:tcPr>
          <w:p w14:paraId="2E216AA1">
            <w:pPr>
              <w:topLinePunct/>
              <w:snapToGrid w:val="0"/>
              <w:spacing w:line="240" w:lineRule="atLeast"/>
              <w:rPr>
                <w:color w:val="auto"/>
                <w:sz w:val="18"/>
                <w:szCs w:val="18"/>
                <w:highlight w:val="none"/>
              </w:rPr>
            </w:pPr>
          </w:p>
        </w:tc>
      </w:tr>
      <w:tr w14:paraId="2A13C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0FD720EE">
            <w:pPr>
              <w:topLinePunct/>
              <w:snapToGrid w:val="0"/>
              <w:spacing w:line="240" w:lineRule="atLeast"/>
              <w:jc w:val="center"/>
              <w:rPr>
                <w:color w:val="auto"/>
                <w:sz w:val="18"/>
                <w:szCs w:val="18"/>
                <w:highlight w:val="none"/>
              </w:rPr>
            </w:pPr>
          </w:p>
        </w:tc>
        <w:tc>
          <w:tcPr>
            <w:tcW w:w="872" w:type="dxa"/>
            <w:vMerge w:val="continue"/>
          </w:tcPr>
          <w:p w14:paraId="4F4025F1">
            <w:pPr>
              <w:topLinePunct/>
              <w:snapToGrid w:val="0"/>
              <w:spacing w:line="240" w:lineRule="atLeast"/>
              <w:jc w:val="center"/>
              <w:rPr>
                <w:color w:val="auto"/>
                <w:sz w:val="18"/>
                <w:szCs w:val="18"/>
                <w:highlight w:val="none"/>
              </w:rPr>
            </w:pPr>
          </w:p>
        </w:tc>
        <w:tc>
          <w:tcPr>
            <w:tcW w:w="580" w:type="dxa"/>
            <w:vAlign w:val="center"/>
          </w:tcPr>
          <w:p w14:paraId="1A4AFB32">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7F7BD632">
            <w:pPr>
              <w:topLinePunct/>
              <w:snapToGrid w:val="0"/>
              <w:spacing w:line="240" w:lineRule="atLeast"/>
              <w:jc w:val="left"/>
              <w:rPr>
                <w:color w:val="auto"/>
                <w:sz w:val="18"/>
                <w:highlight w:val="none"/>
              </w:rPr>
            </w:pPr>
            <w:r>
              <w:rPr>
                <w:rFonts w:hint="eastAsia"/>
                <w:color w:val="auto"/>
                <w:sz w:val="18"/>
                <w:highlight w:val="none"/>
              </w:rPr>
              <w:t>1.现场安全管控不到位，被国网公司级及以上书面通知整改，每项问题扣3分；</w:t>
            </w:r>
          </w:p>
          <w:p w14:paraId="7A76AA0B">
            <w:pPr>
              <w:topLinePunct/>
              <w:snapToGrid w:val="0"/>
              <w:spacing w:line="240" w:lineRule="atLeast"/>
              <w:jc w:val="left"/>
              <w:rPr>
                <w:color w:val="auto"/>
                <w:sz w:val="18"/>
                <w:highlight w:val="none"/>
              </w:rPr>
            </w:pPr>
            <w:r>
              <w:rPr>
                <w:rFonts w:hint="eastAsia"/>
                <w:color w:val="auto"/>
                <w:sz w:val="18"/>
                <w:highlight w:val="none"/>
              </w:rPr>
              <w:t>2.在国网公司安全管理评估中，被评定为“安全管理一般”，每次扣1分；被评定为“安全管理薄弱”，每次扣2分；</w:t>
            </w:r>
          </w:p>
          <w:p w14:paraId="7CB370FD">
            <w:pPr>
              <w:topLinePunct/>
              <w:snapToGrid w:val="0"/>
              <w:spacing w:line="240" w:lineRule="atLeast"/>
              <w:rPr>
                <w:color w:val="auto"/>
                <w:sz w:val="18"/>
                <w:szCs w:val="18"/>
                <w:highlight w:val="none"/>
              </w:rPr>
            </w:pPr>
            <w:r>
              <w:rPr>
                <w:rFonts w:hint="eastAsia"/>
                <w:color w:val="auto"/>
                <w:sz w:val="18"/>
                <w:highlight w:val="none"/>
              </w:rPr>
              <w:t>3.被建设管理单位书面通报批评，每次扣2分；被国网公司级及以上书面通报批评，每次扣3分。</w:t>
            </w:r>
          </w:p>
        </w:tc>
        <w:tc>
          <w:tcPr>
            <w:tcW w:w="1975" w:type="dxa"/>
            <w:vAlign w:val="center"/>
          </w:tcPr>
          <w:p w14:paraId="0E1E441A">
            <w:pPr>
              <w:topLinePunct/>
              <w:snapToGrid w:val="0"/>
              <w:spacing w:line="240" w:lineRule="atLeast"/>
              <w:rPr>
                <w:color w:val="auto"/>
                <w:sz w:val="18"/>
                <w:szCs w:val="18"/>
                <w:highlight w:val="none"/>
              </w:rPr>
            </w:pPr>
            <w:r>
              <w:rPr>
                <w:rFonts w:hint="eastAsia"/>
                <w:color w:val="auto"/>
                <w:sz w:val="18"/>
                <w:highlight w:val="none"/>
              </w:rPr>
              <w:t>查问题整改通知单、通报、工程现场。</w:t>
            </w:r>
          </w:p>
        </w:tc>
        <w:tc>
          <w:tcPr>
            <w:tcW w:w="991" w:type="dxa"/>
            <w:vAlign w:val="center"/>
          </w:tcPr>
          <w:p w14:paraId="1C29FFE7">
            <w:pPr>
              <w:topLinePunct/>
              <w:snapToGrid w:val="0"/>
              <w:spacing w:line="240" w:lineRule="atLeast"/>
              <w:rPr>
                <w:color w:val="auto"/>
                <w:sz w:val="18"/>
                <w:szCs w:val="18"/>
                <w:highlight w:val="none"/>
              </w:rPr>
            </w:pPr>
          </w:p>
        </w:tc>
      </w:tr>
      <w:tr w14:paraId="09C0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5AD1F925">
            <w:pPr>
              <w:topLinePunct/>
              <w:snapToGrid w:val="0"/>
              <w:spacing w:line="240" w:lineRule="atLeast"/>
              <w:jc w:val="center"/>
              <w:rPr>
                <w:color w:val="auto"/>
                <w:sz w:val="18"/>
                <w:szCs w:val="18"/>
                <w:highlight w:val="none"/>
              </w:rPr>
            </w:pPr>
          </w:p>
        </w:tc>
        <w:tc>
          <w:tcPr>
            <w:tcW w:w="872" w:type="dxa"/>
            <w:vMerge w:val="continue"/>
          </w:tcPr>
          <w:p w14:paraId="7BF4BB0D">
            <w:pPr>
              <w:topLinePunct/>
              <w:snapToGrid w:val="0"/>
              <w:spacing w:line="240" w:lineRule="atLeast"/>
              <w:jc w:val="center"/>
              <w:rPr>
                <w:color w:val="auto"/>
                <w:sz w:val="18"/>
                <w:szCs w:val="18"/>
                <w:highlight w:val="none"/>
              </w:rPr>
            </w:pPr>
          </w:p>
        </w:tc>
        <w:tc>
          <w:tcPr>
            <w:tcW w:w="580" w:type="dxa"/>
            <w:vAlign w:val="center"/>
          </w:tcPr>
          <w:p w14:paraId="5A041C1F">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50CD9686">
            <w:pPr>
              <w:topLinePunct/>
              <w:snapToGrid w:val="0"/>
              <w:spacing w:line="240" w:lineRule="atLeast"/>
              <w:rPr>
                <w:color w:val="auto"/>
                <w:sz w:val="18"/>
                <w:szCs w:val="18"/>
                <w:highlight w:val="none"/>
              </w:rPr>
            </w:pPr>
            <w:r>
              <w:rPr>
                <w:rFonts w:hint="eastAsia"/>
                <w:color w:val="auto"/>
                <w:sz w:val="18"/>
                <w:highlight w:val="none"/>
              </w:rPr>
              <w:t>未监督施工单位对各级安全检查所发现的问题进行整改闭环，每项扣0.5分。</w:t>
            </w:r>
          </w:p>
        </w:tc>
        <w:tc>
          <w:tcPr>
            <w:tcW w:w="1975" w:type="dxa"/>
            <w:vAlign w:val="center"/>
          </w:tcPr>
          <w:p w14:paraId="69147280">
            <w:pPr>
              <w:topLinePunct/>
              <w:snapToGrid w:val="0"/>
              <w:spacing w:line="240" w:lineRule="atLeast"/>
              <w:rPr>
                <w:color w:val="auto"/>
                <w:sz w:val="18"/>
                <w:szCs w:val="18"/>
                <w:highlight w:val="none"/>
              </w:rPr>
            </w:pPr>
            <w:r>
              <w:rPr>
                <w:rFonts w:hint="eastAsia"/>
                <w:color w:val="auto"/>
                <w:sz w:val="18"/>
                <w:highlight w:val="none"/>
              </w:rPr>
              <w:t>查问题整改通知单、整改闭环资料等。</w:t>
            </w:r>
          </w:p>
        </w:tc>
        <w:tc>
          <w:tcPr>
            <w:tcW w:w="991" w:type="dxa"/>
            <w:vAlign w:val="center"/>
          </w:tcPr>
          <w:p w14:paraId="1D8CE4DD">
            <w:pPr>
              <w:topLinePunct/>
              <w:snapToGrid w:val="0"/>
              <w:spacing w:line="240" w:lineRule="atLeast"/>
              <w:rPr>
                <w:color w:val="auto"/>
                <w:sz w:val="18"/>
                <w:szCs w:val="18"/>
                <w:highlight w:val="none"/>
              </w:rPr>
            </w:pPr>
          </w:p>
        </w:tc>
      </w:tr>
      <w:tr w14:paraId="55FF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restart"/>
          </w:tcPr>
          <w:p w14:paraId="2CCDA040">
            <w:pPr>
              <w:topLinePunct/>
              <w:snapToGrid w:val="0"/>
              <w:spacing w:line="240" w:lineRule="atLeast"/>
              <w:jc w:val="center"/>
              <w:rPr>
                <w:color w:val="auto"/>
                <w:sz w:val="18"/>
                <w:szCs w:val="18"/>
                <w:highlight w:val="none"/>
              </w:rPr>
            </w:pPr>
            <w:r>
              <w:rPr>
                <w:rFonts w:hint="eastAsia"/>
                <w:color w:val="auto"/>
                <w:sz w:val="18"/>
                <w:szCs w:val="18"/>
                <w:highlight w:val="none"/>
              </w:rPr>
              <w:t>4</w:t>
            </w:r>
          </w:p>
        </w:tc>
        <w:tc>
          <w:tcPr>
            <w:tcW w:w="872" w:type="dxa"/>
            <w:vMerge w:val="restart"/>
          </w:tcPr>
          <w:p w14:paraId="200DF1E7">
            <w:pPr>
              <w:topLinePunct/>
              <w:snapToGrid w:val="0"/>
              <w:spacing w:line="240" w:lineRule="atLeast"/>
              <w:jc w:val="center"/>
              <w:rPr>
                <w:color w:val="auto"/>
                <w:sz w:val="18"/>
                <w:szCs w:val="18"/>
                <w:highlight w:val="none"/>
              </w:rPr>
            </w:pPr>
            <w:r>
              <w:rPr>
                <w:rFonts w:hint="eastAsia"/>
                <w:color w:val="auto"/>
                <w:sz w:val="18"/>
                <w:szCs w:val="18"/>
                <w:highlight w:val="none"/>
              </w:rPr>
              <w:t>质量</w:t>
            </w:r>
          </w:p>
          <w:p w14:paraId="2A6CCF0A">
            <w:pPr>
              <w:topLinePunct/>
              <w:snapToGrid w:val="0"/>
              <w:spacing w:line="240" w:lineRule="atLeast"/>
              <w:jc w:val="center"/>
              <w:rPr>
                <w:color w:val="auto"/>
                <w:sz w:val="18"/>
                <w:szCs w:val="18"/>
                <w:highlight w:val="none"/>
              </w:rPr>
            </w:pPr>
            <w:r>
              <w:rPr>
                <w:rFonts w:hint="eastAsia"/>
                <w:color w:val="auto"/>
                <w:sz w:val="18"/>
                <w:szCs w:val="18"/>
                <w:highlight w:val="none"/>
              </w:rPr>
              <w:t>管理（共20分）</w:t>
            </w:r>
          </w:p>
        </w:tc>
        <w:tc>
          <w:tcPr>
            <w:tcW w:w="580" w:type="dxa"/>
            <w:vAlign w:val="center"/>
          </w:tcPr>
          <w:p w14:paraId="1FB6E07D">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35EDFF79">
            <w:pPr>
              <w:topLinePunct/>
              <w:snapToGrid w:val="0"/>
              <w:spacing w:line="240" w:lineRule="atLeast"/>
              <w:rPr>
                <w:color w:val="auto"/>
                <w:sz w:val="18"/>
                <w:szCs w:val="18"/>
                <w:highlight w:val="none"/>
              </w:rPr>
            </w:pPr>
            <w:r>
              <w:rPr>
                <w:rFonts w:hint="eastAsia"/>
                <w:color w:val="auto"/>
                <w:sz w:val="18"/>
                <w:szCs w:val="18"/>
                <w:highlight w:val="none"/>
              </w:rPr>
              <w:t>1.原材料质量证明文件和复检试验记录等不完备或记录不规范，每份扣0.5分；</w:t>
            </w:r>
          </w:p>
          <w:p w14:paraId="09EE01D5">
            <w:pPr>
              <w:topLinePunct/>
              <w:snapToGrid w:val="0"/>
              <w:spacing w:line="240" w:lineRule="atLeast"/>
              <w:rPr>
                <w:color w:val="auto"/>
                <w:sz w:val="18"/>
                <w:szCs w:val="18"/>
                <w:highlight w:val="none"/>
              </w:rPr>
            </w:pPr>
            <w:r>
              <w:rPr>
                <w:rFonts w:hint="eastAsia"/>
                <w:color w:val="auto"/>
                <w:sz w:val="18"/>
                <w:szCs w:val="18"/>
                <w:highlight w:val="none"/>
              </w:rPr>
              <w:t>2.资质等不符合要求或现场实际供应商、应用的原材料等与报审不符而监理未纠正的，每项扣0.5分。</w:t>
            </w:r>
          </w:p>
        </w:tc>
        <w:tc>
          <w:tcPr>
            <w:tcW w:w="1975" w:type="dxa"/>
            <w:vAlign w:val="center"/>
          </w:tcPr>
          <w:p w14:paraId="0A87AEAB">
            <w:pPr>
              <w:topLinePunct/>
              <w:snapToGrid w:val="0"/>
              <w:spacing w:line="240" w:lineRule="atLeast"/>
              <w:rPr>
                <w:color w:val="auto"/>
                <w:sz w:val="18"/>
                <w:szCs w:val="18"/>
                <w:highlight w:val="none"/>
              </w:rPr>
            </w:pPr>
            <w:r>
              <w:rPr>
                <w:rFonts w:hint="eastAsia"/>
                <w:color w:val="auto"/>
                <w:sz w:val="18"/>
                <w:szCs w:val="18"/>
                <w:highlight w:val="none"/>
              </w:rPr>
              <w:t>查供应商资质报审表、原材料/构配件报审表、设备开箱记录。</w:t>
            </w:r>
          </w:p>
        </w:tc>
        <w:tc>
          <w:tcPr>
            <w:tcW w:w="991" w:type="dxa"/>
            <w:vAlign w:val="center"/>
          </w:tcPr>
          <w:p w14:paraId="3617F0EA">
            <w:pPr>
              <w:topLinePunct/>
              <w:snapToGrid w:val="0"/>
              <w:spacing w:line="240" w:lineRule="atLeast"/>
              <w:rPr>
                <w:color w:val="auto"/>
                <w:sz w:val="18"/>
                <w:szCs w:val="18"/>
                <w:highlight w:val="none"/>
              </w:rPr>
            </w:pPr>
          </w:p>
        </w:tc>
      </w:tr>
      <w:tr w14:paraId="3BF3C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4006750D">
            <w:pPr>
              <w:topLinePunct/>
              <w:snapToGrid w:val="0"/>
              <w:spacing w:line="240" w:lineRule="atLeast"/>
              <w:jc w:val="center"/>
              <w:rPr>
                <w:color w:val="auto"/>
                <w:sz w:val="18"/>
                <w:szCs w:val="18"/>
                <w:highlight w:val="none"/>
              </w:rPr>
            </w:pPr>
          </w:p>
        </w:tc>
        <w:tc>
          <w:tcPr>
            <w:tcW w:w="872" w:type="dxa"/>
            <w:vMerge w:val="continue"/>
          </w:tcPr>
          <w:p w14:paraId="72E62EF8">
            <w:pPr>
              <w:topLinePunct/>
              <w:snapToGrid w:val="0"/>
              <w:spacing w:line="240" w:lineRule="atLeast"/>
              <w:jc w:val="center"/>
              <w:rPr>
                <w:color w:val="auto"/>
                <w:sz w:val="18"/>
                <w:szCs w:val="18"/>
                <w:highlight w:val="none"/>
              </w:rPr>
            </w:pPr>
          </w:p>
        </w:tc>
        <w:tc>
          <w:tcPr>
            <w:tcW w:w="580" w:type="dxa"/>
            <w:vAlign w:val="center"/>
          </w:tcPr>
          <w:p w14:paraId="1341EBB5">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2A0555E6">
            <w:pPr>
              <w:topLinePunct/>
              <w:snapToGrid w:val="0"/>
              <w:spacing w:line="240" w:lineRule="atLeast"/>
              <w:rPr>
                <w:color w:val="auto"/>
                <w:sz w:val="18"/>
                <w:szCs w:val="18"/>
                <w:highlight w:val="none"/>
              </w:rPr>
            </w:pPr>
            <w:r>
              <w:rPr>
                <w:rFonts w:hint="eastAsia"/>
                <w:color w:val="auto"/>
                <w:sz w:val="18"/>
                <w:szCs w:val="18"/>
                <w:highlight w:val="none"/>
              </w:rPr>
              <w:t>1.应旁站未进行旁站，每处扣1分；</w:t>
            </w:r>
          </w:p>
          <w:p w14:paraId="2F3FB2EA">
            <w:pPr>
              <w:topLinePunct/>
              <w:snapToGrid w:val="0"/>
              <w:spacing w:line="240" w:lineRule="atLeast"/>
              <w:rPr>
                <w:color w:val="auto"/>
                <w:sz w:val="18"/>
                <w:szCs w:val="18"/>
                <w:highlight w:val="none"/>
              </w:rPr>
            </w:pPr>
            <w:r>
              <w:rPr>
                <w:rFonts w:hint="eastAsia"/>
                <w:color w:val="auto"/>
                <w:sz w:val="18"/>
                <w:szCs w:val="18"/>
                <w:highlight w:val="none"/>
              </w:rPr>
              <w:t>2.质量旁站记录不规范，与其他资料不对应、问题未闭环，每处扣0.5分。</w:t>
            </w:r>
          </w:p>
        </w:tc>
        <w:tc>
          <w:tcPr>
            <w:tcW w:w="1975" w:type="dxa"/>
            <w:vAlign w:val="center"/>
          </w:tcPr>
          <w:p w14:paraId="75170F9B">
            <w:pPr>
              <w:topLinePunct/>
              <w:snapToGrid w:val="0"/>
              <w:spacing w:line="240" w:lineRule="atLeast"/>
              <w:rPr>
                <w:color w:val="auto"/>
                <w:sz w:val="18"/>
                <w:szCs w:val="18"/>
                <w:highlight w:val="none"/>
              </w:rPr>
            </w:pPr>
            <w:r>
              <w:rPr>
                <w:rFonts w:hint="eastAsia"/>
                <w:color w:val="auto"/>
                <w:sz w:val="18"/>
                <w:szCs w:val="18"/>
                <w:highlight w:val="none"/>
              </w:rPr>
              <w:t>查监理旁站记录。</w:t>
            </w:r>
          </w:p>
        </w:tc>
        <w:tc>
          <w:tcPr>
            <w:tcW w:w="991" w:type="dxa"/>
            <w:vAlign w:val="center"/>
          </w:tcPr>
          <w:p w14:paraId="1484503F">
            <w:pPr>
              <w:topLinePunct/>
              <w:snapToGrid w:val="0"/>
              <w:spacing w:line="240" w:lineRule="atLeast"/>
              <w:rPr>
                <w:color w:val="auto"/>
                <w:sz w:val="18"/>
                <w:szCs w:val="18"/>
                <w:highlight w:val="none"/>
              </w:rPr>
            </w:pPr>
          </w:p>
        </w:tc>
      </w:tr>
      <w:tr w14:paraId="16B6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61B40E54">
            <w:pPr>
              <w:topLinePunct/>
              <w:snapToGrid w:val="0"/>
              <w:spacing w:line="240" w:lineRule="atLeast"/>
              <w:jc w:val="center"/>
              <w:rPr>
                <w:color w:val="auto"/>
                <w:sz w:val="18"/>
                <w:szCs w:val="18"/>
                <w:highlight w:val="none"/>
              </w:rPr>
            </w:pPr>
          </w:p>
        </w:tc>
        <w:tc>
          <w:tcPr>
            <w:tcW w:w="872" w:type="dxa"/>
            <w:vMerge w:val="continue"/>
          </w:tcPr>
          <w:p w14:paraId="5365BA0E">
            <w:pPr>
              <w:topLinePunct/>
              <w:snapToGrid w:val="0"/>
              <w:spacing w:line="240" w:lineRule="atLeast"/>
              <w:jc w:val="center"/>
              <w:rPr>
                <w:color w:val="auto"/>
                <w:sz w:val="18"/>
                <w:szCs w:val="18"/>
                <w:highlight w:val="none"/>
              </w:rPr>
            </w:pPr>
          </w:p>
        </w:tc>
        <w:tc>
          <w:tcPr>
            <w:tcW w:w="580" w:type="dxa"/>
            <w:vAlign w:val="center"/>
          </w:tcPr>
          <w:p w14:paraId="612A2DAC">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10134280">
            <w:pPr>
              <w:topLinePunct/>
              <w:snapToGrid w:val="0"/>
              <w:spacing w:line="240" w:lineRule="atLeast"/>
              <w:rPr>
                <w:color w:val="auto"/>
                <w:sz w:val="18"/>
                <w:szCs w:val="18"/>
                <w:highlight w:val="none"/>
              </w:rPr>
            </w:pPr>
            <w:r>
              <w:rPr>
                <w:rFonts w:hint="eastAsia"/>
                <w:color w:val="auto"/>
                <w:sz w:val="18"/>
                <w:szCs w:val="18"/>
                <w:highlight w:val="none"/>
              </w:rPr>
              <w:t>1.施工单位有未执行强条情况而监理单位未发现或未指出，每条扣1分；</w:t>
            </w:r>
          </w:p>
          <w:p w14:paraId="4C3F7BEE">
            <w:pPr>
              <w:topLinePunct/>
              <w:snapToGrid w:val="0"/>
              <w:spacing w:line="240" w:lineRule="atLeast"/>
              <w:rPr>
                <w:color w:val="auto"/>
                <w:sz w:val="18"/>
                <w:szCs w:val="18"/>
                <w:highlight w:val="none"/>
              </w:rPr>
            </w:pPr>
            <w:r>
              <w:rPr>
                <w:rFonts w:hint="eastAsia"/>
                <w:color w:val="auto"/>
                <w:sz w:val="18"/>
                <w:szCs w:val="18"/>
                <w:highlight w:val="none"/>
              </w:rPr>
              <w:t>2.未将强制性条文执行纳入监理验收，每分部扣除扣1分。</w:t>
            </w:r>
          </w:p>
        </w:tc>
        <w:tc>
          <w:tcPr>
            <w:tcW w:w="1975" w:type="dxa"/>
            <w:vAlign w:val="center"/>
          </w:tcPr>
          <w:p w14:paraId="4BA820DA">
            <w:pPr>
              <w:topLinePunct/>
              <w:snapToGrid w:val="0"/>
              <w:spacing w:line="240" w:lineRule="atLeast"/>
              <w:rPr>
                <w:color w:val="auto"/>
                <w:sz w:val="18"/>
                <w:szCs w:val="18"/>
                <w:highlight w:val="none"/>
              </w:rPr>
            </w:pPr>
            <w:r>
              <w:rPr>
                <w:rFonts w:hint="eastAsia"/>
                <w:color w:val="auto"/>
                <w:sz w:val="18"/>
                <w:szCs w:val="18"/>
                <w:highlight w:val="none"/>
              </w:rPr>
              <w:t>查强制性条文执行检查及汇总记录。</w:t>
            </w:r>
          </w:p>
        </w:tc>
        <w:tc>
          <w:tcPr>
            <w:tcW w:w="991" w:type="dxa"/>
            <w:vAlign w:val="center"/>
          </w:tcPr>
          <w:p w14:paraId="3390C761">
            <w:pPr>
              <w:topLinePunct/>
              <w:snapToGrid w:val="0"/>
              <w:spacing w:line="240" w:lineRule="atLeast"/>
              <w:rPr>
                <w:color w:val="auto"/>
                <w:sz w:val="18"/>
                <w:szCs w:val="18"/>
                <w:highlight w:val="none"/>
              </w:rPr>
            </w:pPr>
          </w:p>
        </w:tc>
      </w:tr>
      <w:tr w14:paraId="02C1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3391030C">
            <w:pPr>
              <w:topLinePunct/>
              <w:snapToGrid w:val="0"/>
              <w:spacing w:line="240" w:lineRule="atLeast"/>
              <w:jc w:val="center"/>
              <w:rPr>
                <w:color w:val="auto"/>
                <w:sz w:val="18"/>
                <w:szCs w:val="18"/>
                <w:highlight w:val="none"/>
              </w:rPr>
            </w:pPr>
          </w:p>
        </w:tc>
        <w:tc>
          <w:tcPr>
            <w:tcW w:w="872" w:type="dxa"/>
            <w:vMerge w:val="continue"/>
          </w:tcPr>
          <w:p w14:paraId="2B176C38">
            <w:pPr>
              <w:topLinePunct/>
              <w:snapToGrid w:val="0"/>
              <w:spacing w:line="240" w:lineRule="atLeast"/>
              <w:jc w:val="center"/>
              <w:rPr>
                <w:color w:val="auto"/>
                <w:sz w:val="18"/>
                <w:szCs w:val="18"/>
                <w:highlight w:val="none"/>
              </w:rPr>
            </w:pPr>
          </w:p>
        </w:tc>
        <w:tc>
          <w:tcPr>
            <w:tcW w:w="580" w:type="dxa"/>
            <w:vAlign w:val="center"/>
          </w:tcPr>
          <w:p w14:paraId="587E8FF5">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2957CF88">
            <w:pPr>
              <w:pStyle w:val="8"/>
              <w:rPr>
                <w:color w:val="auto"/>
                <w:sz w:val="18"/>
                <w:szCs w:val="18"/>
                <w:highlight w:val="none"/>
              </w:rPr>
            </w:pPr>
            <w:r>
              <w:rPr>
                <w:rFonts w:hint="eastAsia"/>
                <w:color w:val="auto"/>
                <w:sz w:val="18"/>
                <w:szCs w:val="18"/>
                <w:highlight w:val="none"/>
              </w:rPr>
              <w:t>1.工程实体发现质量通病，每处扣1分；</w:t>
            </w:r>
          </w:p>
          <w:p w14:paraId="31068B98">
            <w:pPr>
              <w:pStyle w:val="8"/>
              <w:rPr>
                <w:color w:val="auto"/>
                <w:sz w:val="18"/>
                <w:szCs w:val="18"/>
                <w:highlight w:val="none"/>
              </w:rPr>
            </w:pPr>
            <w:r>
              <w:rPr>
                <w:rFonts w:hint="eastAsia"/>
                <w:color w:val="auto"/>
                <w:sz w:val="18"/>
                <w:szCs w:val="18"/>
                <w:highlight w:val="none"/>
              </w:rPr>
              <w:t>2.未将质量通病防治内容纳入监理验收，每分部工程扣1分。</w:t>
            </w:r>
          </w:p>
        </w:tc>
        <w:tc>
          <w:tcPr>
            <w:tcW w:w="1975" w:type="dxa"/>
            <w:vAlign w:val="center"/>
          </w:tcPr>
          <w:p w14:paraId="51137664">
            <w:pPr>
              <w:topLinePunct/>
              <w:snapToGrid w:val="0"/>
              <w:spacing w:line="240" w:lineRule="atLeast"/>
              <w:rPr>
                <w:color w:val="auto"/>
                <w:sz w:val="18"/>
                <w:szCs w:val="18"/>
                <w:highlight w:val="none"/>
              </w:rPr>
            </w:pPr>
            <w:r>
              <w:rPr>
                <w:rFonts w:hint="eastAsia"/>
                <w:color w:val="auto"/>
                <w:sz w:val="18"/>
                <w:szCs w:val="18"/>
                <w:highlight w:val="none"/>
              </w:rPr>
              <w:t>查工程实体、检查整改记录、评估报告。</w:t>
            </w:r>
          </w:p>
        </w:tc>
        <w:tc>
          <w:tcPr>
            <w:tcW w:w="991" w:type="dxa"/>
            <w:vAlign w:val="center"/>
          </w:tcPr>
          <w:p w14:paraId="5BC040C0">
            <w:pPr>
              <w:topLinePunct/>
              <w:snapToGrid w:val="0"/>
              <w:spacing w:line="240" w:lineRule="atLeast"/>
              <w:rPr>
                <w:color w:val="auto"/>
                <w:sz w:val="18"/>
                <w:szCs w:val="18"/>
                <w:highlight w:val="none"/>
              </w:rPr>
            </w:pPr>
          </w:p>
        </w:tc>
      </w:tr>
      <w:tr w14:paraId="20B1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550CFE1E">
            <w:pPr>
              <w:topLinePunct/>
              <w:snapToGrid w:val="0"/>
              <w:spacing w:line="240" w:lineRule="atLeast"/>
              <w:jc w:val="center"/>
              <w:rPr>
                <w:color w:val="auto"/>
                <w:sz w:val="18"/>
                <w:szCs w:val="18"/>
                <w:highlight w:val="none"/>
              </w:rPr>
            </w:pPr>
          </w:p>
        </w:tc>
        <w:tc>
          <w:tcPr>
            <w:tcW w:w="872" w:type="dxa"/>
            <w:vMerge w:val="continue"/>
          </w:tcPr>
          <w:p w14:paraId="0F549E5E">
            <w:pPr>
              <w:topLinePunct/>
              <w:snapToGrid w:val="0"/>
              <w:spacing w:line="240" w:lineRule="atLeast"/>
              <w:jc w:val="center"/>
              <w:rPr>
                <w:color w:val="auto"/>
                <w:sz w:val="18"/>
                <w:szCs w:val="18"/>
                <w:highlight w:val="none"/>
              </w:rPr>
            </w:pPr>
          </w:p>
        </w:tc>
        <w:tc>
          <w:tcPr>
            <w:tcW w:w="580" w:type="dxa"/>
            <w:vAlign w:val="center"/>
          </w:tcPr>
          <w:p w14:paraId="2BBD7D5A">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366F7DCE">
            <w:pPr>
              <w:topLinePunct/>
              <w:snapToGrid w:val="0"/>
              <w:spacing w:line="240" w:lineRule="atLeast"/>
              <w:jc w:val="left"/>
              <w:rPr>
                <w:color w:val="auto"/>
                <w:sz w:val="18"/>
                <w:highlight w:val="none"/>
              </w:rPr>
            </w:pPr>
            <w:r>
              <w:rPr>
                <w:rFonts w:hint="eastAsia"/>
                <w:color w:val="auto"/>
                <w:sz w:val="18"/>
                <w:highlight w:val="none"/>
              </w:rPr>
              <w:t>1.现场质量管控监督不到位，被国网公司级及以上书面通知整改，每项问题扣3分；</w:t>
            </w:r>
          </w:p>
          <w:p w14:paraId="334C4DE4">
            <w:pPr>
              <w:topLinePunct/>
              <w:snapToGrid w:val="0"/>
              <w:spacing w:line="240" w:lineRule="atLeast"/>
              <w:rPr>
                <w:color w:val="auto"/>
                <w:sz w:val="18"/>
                <w:highlight w:val="none"/>
              </w:rPr>
            </w:pPr>
            <w:r>
              <w:rPr>
                <w:rFonts w:hint="eastAsia"/>
                <w:color w:val="auto"/>
                <w:sz w:val="18"/>
                <w:highlight w:val="none"/>
              </w:rPr>
              <w:t>2.被建设管理单位书面通报批评，每次扣2分；被国网公司级及以上书面通报批评，每次扣2分；</w:t>
            </w:r>
          </w:p>
          <w:p w14:paraId="0E1E9A81">
            <w:pPr>
              <w:pStyle w:val="8"/>
              <w:topLinePunct/>
              <w:snapToGrid w:val="0"/>
              <w:spacing w:line="240" w:lineRule="atLeast"/>
              <w:rPr>
                <w:color w:val="auto"/>
                <w:sz w:val="18"/>
                <w:szCs w:val="18"/>
                <w:highlight w:val="none"/>
              </w:rPr>
            </w:pPr>
            <w:r>
              <w:rPr>
                <w:rFonts w:hint="eastAsia"/>
                <w:color w:val="auto"/>
                <w:sz w:val="18"/>
                <w:highlight w:val="none"/>
              </w:rPr>
              <w:t>3.发现永久性质量缺陷，每处扣2分。</w:t>
            </w:r>
          </w:p>
        </w:tc>
        <w:tc>
          <w:tcPr>
            <w:tcW w:w="1975" w:type="dxa"/>
            <w:vAlign w:val="center"/>
          </w:tcPr>
          <w:p w14:paraId="751F07E2">
            <w:pPr>
              <w:topLinePunct/>
              <w:snapToGrid w:val="0"/>
              <w:spacing w:line="240" w:lineRule="atLeast"/>
              <w:rPr>
                <w:color w:val="auto"/>
                <w:sz w:val="18"/>
                <w:szCs w:val="18"/>
                <w:highlight w:val="none"/>
              </w:rPr>
            </w:pPr>
            <w:r>
              <w:rPr>
                <w:rFonts w:hint="eastAsia"/>
                <w:color w:val="auto"/>
                <w:sz w:val="18"/>
                <w:highlight w:val="none"/>
              </w:rPr>
              <w:t>查问题整改通知单、通报、工程现场。</w:t>
            </w:r>
          </w:p>
        </w:tc>
        <w:tc>
          <w:tcPr>
            <w:tcW w:w="991" w:type="dxa"/>
            <w:vAlign w:val="center"/>
          </w:tcPr>
          <w:p w14:paraId="7BB33ED6">
            <w:pPr>
              <w:topLinePunct/>
              <w:snapToGrid w:val="0"/>
              <w:spacing w:line="240" w:lineRule="atLeast"/>
              <w:rPr>
                <w:color w:val="auto"/>
                <w:sz w:val="18"/>
                <w:szCs w:val="18"/>
                <w:highlight w:val="none"/>
              </w:rPr>
            </w:pPr>
          </w:p>
        </w:tc>
      </w:tr>
      <w:tr w14:paraId="7F49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4047522C">
            <w:pPr>
              <w:topLinePunct/>
              <w:snapToGrid w:val="0"/>
              <w:spacing w:line="240" w:lineRule="atLeast"/>
              <w:jc w:val="center"/>
              <w:rPr>
                <w:color w:val="auto"/>
                <w:sz w:val="18"/>
                <w:szCs w:val="18"/>
                <w:highlight w:val="none"/>
              </w:rPr>
            </w:pPr>
          </w:p>
        </w:tc>
        <w:tc>
          <w:tcPr>
            <w:tcW w:w="872" w:type="dxa"/>
            <w:vMerge w:val="continue"/>
          </w:tcPr>
          <w:p w14:paraId="3C96B841">
            <w:pPr>
              <w:topLinePunct/>
              <w:snapToGrid w:val="0"/>
              <w:spacing w:line="240" w:lineRule="atLeast"/>
              <w:jc w:val="center"/>
              <w:rPr>
                <w:color w:val="auto"/>
                <w:sz w:val="18"/>
                <w:szCs w:val="18"/>
                <w:highlight w:val="none"/>
              </w:rPr>
            </w:pPr>
          </w:p>
        </w:tc>
        <w:tc>
          <w:tcPr>
            <w:tcW w:w="580" w:type="dxa"/>
            <w:vAlign w:val="center"/>
          </w:tcPr>
          <w:p w14:paraId="1C71641E">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79B282AF">
            <w:pPr>
              <w:pStyle w:val="8"/>
              <w:rPr>
                <w:color w:val="auto"/>
                <w:sz w:val="18"/>
                <w:szCs w:val="18"/>
                <w:highlight w:val="none"/>
              </w:rPr>
            </w:pPr>
            <w:r>
              <w:rPr>
                <w:rFonts w:hint="eastAsia"/>
                <w:color w:val="auto"/>
                <w:sz w:val="18"/>
                <w:szCs w:val="18"/>
                <w:highlight w:val="none"/>
              </w:rPr>
              <w:t>1.监理验收记录缺少，每次扣0.2分；监理验收走过场，质量缺陷未发现，每项扣1分；</w:t>
            </w:r>
          </w:p>
          <w:p w14:paraId="17E4E4F2">
            <w:pPr>
              <w:pStyle w:val="8"/>
              <w:rPr>
                <w:color w:val="auto"/>
                <w:sz w:val="18"/>
                <w:szCs w:val="18"/>
                <w:highlight w:val="none"/>
              </w:rPr>
            </w:pPr>
            <w:r>
              <w:rPr>
                <w:rFonts w:hint="eastAsia"/>
                <w:color w:val="auto"/>
                <w:sz w:val="18"/>
                <w:szCs w:val="18"/>
                <w:highlight w:val="none"/>
              </w:rPr>
              <w:t>2.各级质量检查或验收中发现的问题未按要求组织整改闭环，每项扣1分；</w:t>
            </w:r>
          </w:p>
          <w:p w14:paraId="2F52237F">
            <w:pPr>
              <w:pStyle w:val="8"/>
              <w:rPr>
                <w:color w:val="auto"/>
                <w:sz w:val="18"/>
                <w:szCs w:val="18"/>
                <w:highlight w:val="none"/>
              </w:rPr>
            </w:pPr>
            <w:r>
              <w:rPr>
                <w:rFonts w:hint="eastAsia"/>
                <w:color w:val="auto"/>
                <w:sz w:val="18"/>
                <w:szCs w:val="18"/>
                <w:highlight w:val="none"/>
              </w:rPr>
              <w:t>3.未按规定开展监理实测实量检查，每分部工程扣1分。</w:t>
            </w:r>
          </w:p>
        </w:tc>
        <w:tc>
          <w:tcPr>
            <w:tcW w:w="1975" w:type="dxa"/>
            <w:vAlign w:val="center"/>
          </w:tcPr>
          <w:p w14:paraId="2E3086FB">
            <w:pPr>
              <w:topLinePunct/>
              <w:snapToGrid w:val="0"/>
              <w:spacing w:line="240" w:lineRule="atLeast"/>
              <w:rPr>
                <w:color w:val="auto"/>
                <w:sz w:val="18"/>
                <w:szCs w:val="18"/>
                <w:highlight w:val="none"/>
              </w:rPr>
            </w:pPr>
            <w:r>
              <w:rPr>
                <w:rFonts w:hint="eastAsia"/>
                <w:color w:val="auto"/>
                <w:sz w:val="18"/>
                <w:szCs w:val="18"/>
                <w:highlight w:val="none"/>
              </w:rPr>
              <w:t>查监理验收记录、实测实量记录、问题整改通知单及闭环记录。</w:t>
            </w:r>
          </w:p>
        </w:tc>
        <w:tc>
          <w:tcPr>
            <w:tcW w:w="991" w:type="dxa"/>
            <w:vAlign w:val="center"/>
          </w:tcPr>
          <w:p w14:paraId="38178016">
            <w:pPr>
              <w:topLinePunct/>
              <w:snapToGrid w:val="0"/>
              <w:spacing w:line="240" w:lineRule="atLeast"/>
              <w:rPr>
                <w:color w:val="auto"/>
                <w:sz w:val="18"/>
                <w:szCs w:val="18"/>
                <w:highlight w:val="none"/>
              </w:rPr>
            </w:pPr>
          </w:p>
        </w:tc>
      </w:tr>
      <w:tr w14:paraId="7720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restart"/>
          </w:tcPr>
          <w:p w14:paraId="1BB7D59C">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872" w:type="dxa"/>
            <w:vMerge w:val="restart"/>
          </w:tcPr>
          <w:p w14:paraId="415BB4FE">
            <w:pPr>
              <w:topLinePunct/>
              <w:snapToGrid w:val="0"/>
              <w:spacing w:line="240" w:lineRule="atLeast"/>
              <w:jc w:val="center"/>
              <w:rPr>
                <w:color w:val="auto"/>
                <w:sz w:val="18"/>
                <w:szCs w:val="18"/>
                <w:highlight w:val="none"/>
              </w:rPr>
            </w:pPr>
            <w:r>
              <w:rPr>
                <w:rFonts w:hint="eastAsia"/>
                <w:color w:val="auto"/>
                <w:sz w:val="18"/>
                <w:szCs w:val="18"/>
                <w:highlight w:val="none"/>
              </w:rPr>
              <w:t>造价</w:t>
            </w:r>
          </w:p>
          <w:p w14:paraId="21D51226">
            <w:pPr>
              <w:topLinePunct/>
              <w:snapToGrid w:val="0"/>
              <w:spacing w:line="240" w:lineRule="atLeast"/>
              <w:jc w:val="center"/>
              <w:rPr>
                <w:color w:val="auto"/>
                <w:sz w:val="18"/>
                <w:szCs w:val="18"/>
                <w:highlight w:val="none"/>
              </w:rPr>
            </w:pPr>
            <w:r>
              <w:rPr>
                <w:rFonts w:hint="eastAsia"/>
                <w:color w:val="auto"/>
                <w:sz w:val="18"/>
                <w:szCs w:val="18"/>
                <w:highlight w:val="none"/>
              </w:rPr>
              <w:t>管理（共10分）</w:t>
            </w:r>
          </w:p>
        </w:tc>
        <w:tc>
          <w:tcPr>
            <w:tcW w:w="580" w:type="dxa"/>
            <w:vAlign w:val="center"/>
          </w:tcPr>
          <w:p w14:paraId="41C15A0C">
            <w:pPr>
              <w:topLinePunct/>
              <w:snapToGrid w:val="0"/>
              <w:spacing w:line="240" w:lineRule="atLeast"/>
              <w:jc w:val="center"/>
              <w:rPr>
                <w:color w:val="auto"/>
                <w:sz w:val="18"/>
                <w:szCs w:val="18"/>
                <w:highlight w:val="none"/>
              </w:rPr>
            </w:pPr>
            <w:r>
              <w:rPr>
                <w:rFonts w:hint="eastAsia"/>
                <w:color w:val="auto"/>
                <w:sz w:val="18"/>
                <w:szCs w:val="18"/>
                <w:highlight w:val="none"/>
              </w:rPr>
              <w:t>4</w:t>
            </w:r>
          </w:p>
        </w:tc>
        <w:tc>
          <w:tcPr>
            <w:tcW w:w="10734" w:type="dxa"/>
            <w:vAlign w:val="center"/>
          </w:tcPr>
          <w:p w14:paraId="1D079242">
            <w:pPr>
              <w:topLinePunct/>
              <w:snapToGrid w:val="0"/>
              <w:spacing w:line="240" w:lineRule="atLeast"/>
              <w:rPr>
                <w:color w:val="auto"/>
                <w:sz w:val="18"/>
                <w:szCs w:val="18"/>
                <w:highlight w:val="none"/>
              </w:rPr>
            </w:pPr>
            <w:r>
              <w:rPr>
                <w:rFonts w:hint="eastAsia"/>
                <w:color w:val="auto"/>
                <w:sz w:val="18"/>
                <w:szCs w:val="18"/>
                <w:highlight w:val="none"/>
              </w:rPr>
              <w:t>1.未及时审核施工项目部预付款和进度款支付申请，每次扣0.5分；</w:t>
            </w:r>
          </w:p>
          <w:p w14:paraId="329F7483">
            <w:pPr>
              <w:topLinePunct/>
              <w:snapToGrid w:val="0"/>
              <w:spacing w:line="240" w:lineRule="atLeast"/>
              <w:rPr>
                <w:color w:val="auto"/>
                <w:sz w:val="18"/>
                <w:szCs w:val="18"/>
                <w:highlight w:val="none"/>
              </w:rPr>
            </w:pPr>
            <w:r>
              <w:rPr>
                <w:rFonts w:hint="eastAsia"/>
                <w:color w:val="auto"/>
                <w:sz w:val="18"/>
                <w:szCs w:val="18"/>
                <w:highlight w:val="none"/>
              </w:rPr>
              <w:t>2.工程量审核不准确，每次扣1分；</w:t>
            </w:r>
          </w:p>
          <w:p w14:paraId="77FD8F25">
            <w:pPr>
              <w:topLinePunct/>
              <w:snapToGrid w:val="0"/>
              <w:spacing w:line="240" w:lineRule="atLeast"/>
              <w:rPr>
                <w:color w:val="auto"/>
                <w:sz w:val="18"/>
                <w:szCs w:val="18"/>
                <w:highlight w:val="none"/>
              </w:rPr>
            </w:pPr>
            <w:r>
              <w:rPr>
                <w:rFonts w:hint="eastAsia"/>
                <w:color w:val="auto"/>
                <w:sz w:val="18"/>
                <w:szCs w:val="18"/>
                <w:highlight w:val="none"/>
              </w:rPr>
              <w:t>3.未提供结算监理意见，扣1分。</w:t>
            </w:r>
          </w:p>
        </w:tc>
        <w:tc>
          <w:tcPr>
            <w:tcW w:w="1975" w:type="dxa"/>
            <w:vAlign w:val="center"/>
          </w:tcPr>
          <w:p w14:paraId="1AB5B956">
            <w:pPr>
              <w:topLinePunct/>
              <w:snapToGrid w:val="0"/>
              <w:spacing w:line="240" w:lineRule="atLeast"/>
              <w:rPr>
                <w:color w:val="auto"/>
                <w:sz w:val="18"/>
                <w:szCs w:val="18"/>
                <w:highlight w:val="none"/>
              </w:rPr>
            </w:pPr>
            <w:r>
              <w:rPr>
                <w:rFonts w:hint="eastAsia"/>
                <w:color w:val="auto"/>
                <w:sz w:val="18"/>
                <w:szCs w:val="18"/>
                <w:highlight w:val="none"/>
              </w:rPr>
              <w:t>查施工工程款报审资料、监理结算意见</w:t>
            </w:r>
          </w:p>
        </w:tc>
        <w:tc>
          <w:tcPr>
            <w:tcW w:w="991" w:type="dxa"/>
            <w:vAlign w:val="center"/>
          </w:tcPr>
          <w:p w14:paraId="0C96ECC1">
            <w:pPr>
              <w:topLinePunct/>
              <w:snapToGrid w:val="0"/>
              <w:spacing w:line="240" w:lineRule="atLeast"/>
              <w:rPr>
                <w:color w:val="auto"/>
                <w:sz w:val="18"/>
                <w:szCs w:val="18"/>
                <w:highlight w:val="none"/>
              </w:rPr>
            </w:pPr>
          </w:p>
        </w:tc>
      </w:tr>
      <w:tr w14:paraId="73D6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2C8B0333">
            <w:pPr>
              <w:topLinePunct/>
              <w:snapToGrid w:val="0"/>
              <w:spacing w:line="240" w:lineRule="atLeast"/>
              <w:jc w:val="center"/>
              <w:rPr>
                <w:color w:val="auto"/>
                <w:sz w:val="18"/>
                <w:szCs w:val="18"/>
                <w:highlight w:val="none"/>
              </w:rPr>
            </w:pPr>
          </w:p>
        </w:tc>
        <w:tc>
          <w:tcPr>
            <w:tcW w:w="872" w:type="dxa"/>
            <w:vMerge w:val="continue"/>
          </w:tcPr>
          <w:p w14:paraId="5A116B5A">
            <w:pPr>
              <w:topLinePunct/>
              <w:snapToGrid w:val="0"/>
              <w:spacing w:line="240" w:lineRule="atLeast"/>
              <w:jc w:val="center"/>
              <w:rPr>
                <w:color w:val="auto"/>
                <w:sz w:val="18"/>
                <w:szCs w:val="18"/>
                <w:highlight w:val="none"/>
              </w:rPr>
            </w:pPr>
          </w:p>
        </w:tc>
        <w:tc>
          <w:tcPr>
            <w:tcW w:w="580" w:type="dxa"/>
            <w:vAlign w:val="center"/>
          </w:tcPr>
          <w:p w14:paraId="4D072640">
            <w:pPr>
              <w:topLinePunct/>
              <w:snapToGrid w:val="0"/>
              <w:spacing w:line="240" w:lineRule="atLeast"/>
              <w:jc w:val="center"/>
              <w:rPr>
                <w:color w:val="auto"/>
                <w:sz w:val="18"/>
                <w:szCs w:val="18"/>
                <w:highlight w:val="none"/>
              </w:rPr>
            </w:pPr>
            <w:r>
              <w:rPr>
                <w:rFonts w:hint="eastAsia"/>
                <w:color w:val="auto"/>
                <w:sz w:val="18"/>
                <w:szCs w:val="18"/>
                <w:highlight w:val="none"/>
              </w:rPr>
              <w:t>6</w:t>
            </w:r>
          </w:p>
        </w:tc>
        <w:tc>
          <w:tcPr>
            <w:tcW w:w="10734" w:type="dxa"/>
            <w:vAlign w:val="center"/>
          </w:tcPr>
          <w:p w14:paraId="397CBF68">
            <w:pPr>
              <w:jc w:val="left"/>
              <w:rPr>
                <w:color w:val="auto"/>
                <w:sz w:val="18"/>
                <w:highlight w:val="none"/>
              </w:rPr>
            </w:pPr>
            <w:r>
              <w:rPr>
                <w:rFonts w:hint="eastAsia"/>
                <w:color w:val="auto"/>
                <w:sz w:val="18"/>
                <w:highlight w:val="none"/>
              </w:rPr>
              <w:t>1.未安排专人负责结算审核工作，扣3分；</w:t>
            </w:r>
          </w:p>
          <w:p w14:paraId="7ABAFC09">
            <w:pPr>
              <w:jc w:val="left"/>
              <w:rPr>
                <w:color w:val="auto"/>
                <w:sz w:val="18"/>
                <w:highlight w:val="none"/>
              </w:rPr>
            </w:pPr>
            <w:r>
              <w:rPr>
                <w:rFonts w:hint="eastAsia"/>
                <w:color w:val="auto"/>
                <w:sz w:val="18"/>
                <w:highlight w:val="none"/>
              </w:rPr>
              <w:t>2.未按要求安排人员参加结算会议，每次扣0.5分；.未按时提交分部结算或竣工结算报审文件审核意见，每次扣0.5分；</w:t>
            </w:r>
          </w:p>
          <w:p w14:paraId="56E22A73">
            <w:pPr>
              <w:jc w:val="left"/>
              <w:rPr>
                <w:color w:val="auto"/>
                <w:sz w:val="18"/>
                <w:szCs w:val="18"/>
                <w:highlight w:val="none"/>
              </w:rPr>
            </w:pPr>
            <w:r>
              <w:rPr>
                <w:rFonts w:hint="eastAsia"/>
                <w:color w:val="auto"/>
                <w:sz w:val="18"/>
                <w:highlight w:val="none"/>
              </w:rPr>
              <w:t>3.未按要求核实结算审查意见落实情况，每项扣0.5分。</w:t>
            </w:r>
          </w:p>
        </w:tc>
        <w:tc>
          <w:tcPr>
            <w:tcW w:w="1975" w:type="dxa"/>
            <w:vAlign w:val="center"/>
          </w:tcPr>
          <w:p w14:paraId="4EB100D2">
            <w:pPr>
              <w:rPr>
                <w:color w:val="auto"/>
                <w:sz w:val="18"/>
                <w:szCs w:val="18"/>
                <w:highlight w:val="none"/>
              </w:rPr>
            </w:pPr>
            <w:r>
              <w:rPr>
                <w:rFonts w:hint="eastAsia"/>
                <w:color w:val="auto"/>
                <w:sz w:val="18"/>
                <w:highlight w:val="none"/>
              </w:rPr>
              <w:t>监理结算审核意见</w:t>
            </w:r>
          </w:p>
        </w:tc>
        <w:tc>
          <w:tcPr>
            <w:tcW w:w="991" w:type="dxa"/>
            <w:vAlign w:val="center"/>
          </w:tcPr>
          <w:p w14:paraId="1FEE6BB9">
            <w:pPr>
              <w:rPr>
                <w:color w:val="auto"/>
                <w:sz w:val="18"/>
                <w:szCs w:val="18"/>
                <w:highlight w:val="none"/>
              </w:rPr>
            </w:pPr>
          </w:p>
        </w:tc>
      </w:tr>
      <w:tr w14:paraId="3EAB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restart"/>
          </w:tcPr>
          <w:p w14:paraId="46DA7618">
            <w:pPr>
              <w:topLinePunct/>
              <w:snapToGrid w:val="0"/>
              <w:spacing w:line="240" w:lineRule="atLeast"/>
              <w:jc w:val="center"/>
              <w:rPr>
                <w:color w:val="auto"/>
                <w:sz w:val="18"/>
                <w:szCs w:val="18"/>
                <w:highlight w:val="none"/>
              </w:rPr>
            </w:pPr>
            <w:r>
              <w:rPr>
                <w:rFonts w:hint="eastAsia"/>
                <w:color w:val="auto"/>
                <w:sz w:val="18"/>
                <w:szCs w:val="18"/>
                <w:highlight w:val="none"/>
              </w:rPr>
              <w:t>6</w:t>
            </w:r>
          </w:p>
        </w:tc>
        <w:tc>
          <w:tcPr>
            <w:tcW w:w="872" w:type="dxa"/>
            <w:vMerge w:val="restart"/>
          </w:tcPr>
          <w:p w14:paraId="0DFCB1E5">
            <w:pPr>
              <w:topLinePunct/>
              <w:snapToGrid w:val="0"/>
              <w:spacing w:line="240" w:lineRule="atLeast"/>
              <w:jc w:val="center"/>
              <w:rPr>
                <w:color w:val="auto"/>
                <w:sz w:val="18"/>
                <w:szCs w:val="18"/>
                <w:highlight w:val="none"/>
              </w:rPr>
            </w:pPr>
            <w:r>
              <w:rPr>
                <w:rFonts w:hint="eastAsia"/>
                <w:color w:val="auto"/>
                <w:sz w:val="18"/>
                <w:szCs w:val="18"/>
                <w:highlight w:val="none"/>
              </w:rPr>
              <w:t>技术管理（共20分）</w:t>
            </w:r>
          </w:p>
        </w:tc>
        <w:tc>
          <w:tcPr>
            <w:tcW w:w="580" w:type="dxa"/>
            <w:vAlign w:val="center"/>
          </w:tcPr>
          <w:p w14:paraId="78E25D29">
            <w:pPr>
              <w:topLinePunct/>
              <w:snapToGrid w:val="0"/>
              <w:spacing w:line="240" w:lineRule="atLeast"/>
              <w:jc w:val="center"/>
              <w:rPr>
                <w:color w:val="auto"/>
                <w:sz w:val="18"/>
                <w:szCs w:val="18"/>
                <w:highlight w:val="none"/>
              </w:rPr>
            </w:pPr>
            <w:r>
              <w:rPr>
                <w:rFonts w:hint="eastAsia"/>
                <w:color w:val="auto"/>
                <w:sz w:val="18"/>
                <w:szCs w:val="18"/>
                <w:highlight w:val="none"/>
              </w:rPr>
              <w:t>1</w:t>
            </w:r>
          </w:p>
        </w:tc>
        <w:tc>
          <w:tcPr>
            <w:tcW w:w="10734" w:type="dxa"/>
            <w:vAlign w:val="center"/>
          </w:tcPr>
          <w:p w14:paraId="747BDB08">
            <w:pPr>
              <w:topLinePunct/>
              <w:snapToGrid w:val="0"/>
              <w:spacing w:line="240" w:lineRule="atLeast"/>
              <w:rPr>
                <w:color w:val="auto"/>
                <w:sz w:val="18"/>
                <w:szCs w:val="18"/>
                <w:highlight w:val="none"/>
              </w:rPr>
            </w:pPr>
            <w:r>
              <w:rPr>
                <w:rFonts w:hint="eastAsia"/>
                <w:color w:val="auto"/>
                <w:sz w:val="18"/>
                <w:szCs w:val="18"/>
                <w:highlight w:val="none"/>
              </w:rPr>
              <w:t>1.未按规定开展施工图预检，每次扣0.5分。</w:t>
            </w:r>
          </w:p>
        </w:tc>
        <w:tc>
          <w:tcPr>
            <w:tcW w:w="1975" w:type="dxa"/>
            <w:vAlign w:val="center"/>
          </w:tcPr>
          <w:p w14:paraId="69A3331A">
            <w:pPr>
              <w:topLinePunct/>
              <w:snapToGrid w:val="0"/>
              <w:spacing w:line="240" w:lineRule="atLeast"/>
              <w:rPr>
                <w:color w:val="auto"/>
                <w:sz w:val="18"/>
                <w:szCs w:val="18"/>
                <w:highlight w:val="none"/>
              </w:rPr>
            </w:pPr>
            <w:r>
              <w:rPr>
                <w:rFonts w:hint="eastAsia"/>
                <w:color w:val="auto"/>
                <w:sz w:val="18"/>
                <w:szCs w:val="18"/>
                <w:highlight w:val="none"/>
              </w:rPr>
              <w:t>查施工图预检记录。</w:t>
            </w:r>
          </w:p>
        </w:tc>
        <w:tc>
          <w:tcPr>
            <w:tcW w:w="991" w:type="dxa"/>
            <w:vAlign w:val="center"/>
          </w:tcPr>
          <w:p w14:paraId="132A8FA2">
            <w:pPr>
              <w:topLinePunct/>
              <w:snapToGrid w:val="0"/>
              <w:spacing w:line="240" w:lineRule="atLeast"/>
              <w:rPr>
                <w:color w:val="auto"/>
                <w:sz w:val="18"/>
                <w:szCs w:val="18"/>
                <w:highlight w:val="none"/>
              </w:rPr>
            </w:pPr>
          </w:p>
        </w:tc>
      </w:tr>
      <w:tr w14:paraId="21A6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0CC5739E">
            <w:pPr>
              <w:topLinePunct/>
              <w:snapToGrid w:val="0"/>
              <w:spacing w:line="240" w:lineRule="atLeast"/>
              <w:jc w:val="center"/>
              <w:rPr>
                <w:color w:val="auto"/>
                <w:sz w:val="18"/>
                <w:szCs w:val="18"/>
                <w:highlight w:val="none"/>
              </w:rPr>
            </w:pPr>
          </w:p>
        </w:tc>
        <w:tc>
          <w:tcPr>
            <w:tcW w:w="872" w:type="dxa"/>
            <w:vMerge w:val="continue"/>
          </w:tcPr>
          <w:p w14:paraId="7E671B12">
            <w:pPr>
              <w:topLinePunct/>
              <w:snapToGrid w:val="0"/>
              <w:spacing w:line="240" w:lineRule="atLeast"/>
              <w:jc w:val="center"/>
              <w:rPr>
                <w:color w:val="auto"/>
                <w:sz w:val="18"/>
                <w:szCs w:val="18"/>
                <w:highlight w:val="none"/>
              </w:rPr>
            </w:pPr>
          </w:p>
        </w:tc>
        <w:tc>
          <w:tcPr>
            <w:tcW w:w="580" w:type="dxa"/>
            <w:vAlign w:val="center"/>
          </w:tcPr>
          <w:p w14:paraId="4D797674">
            <w:pPr>
              <w:topLinePunct/>
              <w:snapToGrid w:val="0"/>
              <w:spacing w:line="240" w:lineRule="atLeast"/>
              <w:jc w:val="center"/>
              <w:rPr>
                <w:color w:val="auto"/>
                <w:sz w:val="18"/>
                <w:szCs w:val="18"/>
                <w:highlight w:val="none"/>
              </w:rPr>
            </w:pPr>
            <w:r>
              <w:rPr>
                <w:rFonts w:hint="eastAsia"/>
                <w:color w:val="auto"/>
                <w:sz w:val="18"/>
                <w:szCs w:val="18"/>
                <w:highlight w:val="none"/>
              </w:rPr>
              <w:t>3</w:t>
            </w:r>
          </w:p>
        </w:tc>
        <w:tc>
          <w:tcPr>
            <w:tcW w:w="10734" w:type="dxa"/>
            <w:vAlign w:val="center"/>
          </w:tcPr>
          <w:p w14:paraId="72C6DA57">
            <w:pPr>
              <w:rPr>
                <w:color w:val="auto"/>
                <w:sz w:val="18"/>
                <w:highlight w:val="none"/>
              </w:rPr>
            </w:pPr>
            <w:r>
              <w:rPr>
                <w:rFonts w:hint="eastAsia"/>
                <w:color w:val="auto"/>
                <w:sz w:val="18"/>
                <w:highlight w:val="none"/>
              </w:rPr>
              <w:t>1.未及时按要求配合业主组织开展已施工部分的设计施工一致性核查，每次扣0.5分；</w:t>
            </w:r>
          </w:p>
          <w:p w14:paraId="67B21151">
            <w:pPr>
              <w:rPr>
                <w:color w:val="auto"/>
                <w:sz w:val="18"/>
                <w:szCs w:val="18"/>
                <w:highlight w:val="none"/>
              </w:rPr>
            </w:pPr>
            <w:r>
              <w:rPr>
                <w:rFonts w:hint="eastAsia"/>
                <w:color w:val="auto"/>
                <w:sz w:val="18"/>
                <w:highlight w:val="none"/>
              </w:rPr>
              <w:t>2.未及时按要求完成锁定施工蓝图的签章确认，每次扣0.5分。</w:t>
            </w:r>
          </w:p>
        </w:tc>
        <w:tc>
          <w:tcPr>
            <w:tcW w:w="1975" w:type="dxa"/>
            <w:vAlign w:val="center"/>
          </w:tcPr>
          <w:p w14:paraId="1201DB82">
            <w:pPr>
              <w:rPr>
                <w:color w:val="auto"/>
                <w:sz w:val="18"/>
                <w:szCs w:val="18"/>
                <w:highlight w:val="none"/>
              </w:rPr>
            </w:pPr>
            <w:r>
              <w:rPr>
                <w:rFonts w:hint="eastAsia"/>
                <w:color w:val="auto"/>
                <w:sz w:val="18"/>
                <w:highlight w:val="none"/>
              </w:rPr>
              <w:t>锁定施工蓝图</w:t>
            </w:r>
          </w:p>
        </w:tc>
        <w:tc>
          <w:tcPr>
            <w:tcW w:w="991" w:type="dxa"/>
            <w:vAlign w:val="center"/>
          </w:tcPr>
          <w:p w14:paraId="10FBF340">
            <w:pPr>
              <w:rPr>
                <w:color w:val="auto"/>
                <w:sz w:val="18"/>
                <w:szCs w:val="18"/>
                <w:highlight w:val="none"/>
              </w:rPr>
            </w:pPr>
          </w:p>
        </w:tc>
      </w:tr>
      <w:tr w14:paraId="58D5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5A2D83B4">
            <w:pPr>
              <w:topLinePunct/>
              <w:snapToGrid w:val="0"/>
              <w:spacing w:line="240" w:lineRule="atLeast"/>
              <w:jc w:val="center"/>
              <w:rPr>
                <w:color w:val="auto"/>
                <w:sz w:val="18"/>
                <w:szCs w:val="18"/>
                <w:highlight w:val="none"/>
              </w:rPr>
            </w:pPr>
          </w:p>
        </w:tc>
        <w:tc>
          <w:tcPr>
            <w:tcW w:w="872" w:type="dxa"/>
            <w:vMerge w:val="continue"/>
          </w:tcPr>
          <w:p w14:paraId="43653C5D">
            <w:pPr>
              <w:topLinePunct/>
              <w:snapToGrid w:val="0"/>
              <w:spacing w:line="240" w:lineRule="atLeast"/>
              <w:jc w:val="center"/>
              <w:rPr>
                <w:color w:val="auto"/>
                <w:sz w:val="18"/>
                <w:szCs w:val="18"/>
                <w:highlight w:val="none"/>
              </w:rPr>
            </w:pPr>
          </w:p>
        </w:tc>
        <w:tc>
          <w:tcPr>
            <w:tcW w:w="580" w:type="dxa"/>
            <w:vAlign w:val="center"/>
          </w:tcPr>
          <w:p w14:paraId="1FDF4574">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065DB8E7">
            <w:pPr>
              <w:topLinePunct/>
              <w:snapToGrid w:val="0"/>
              <w:spacing w:line="240" w:lineRule="atLeast"/>
              <w:rPr>
                <w:color w:val="auto"/>
                <w:sz w:val="18"/>
                <w:szCs w:val="18"/>
                <w:highlight w:val="none"/>
              </w:rPr>
            </w:pPr>
            <w:r>
              <w:rPr>
                <w:rFonts w:hint="eastAsia"/>
                <w:color w:val="auto"/>
                <w:sz w:val="18"/>
                <w:szCs w:val="18"/>
                <w:highlight w:val="none"/>
              </w:rPr>
              <w:t>1.参加施工过程中重要（关键）环节的施工技术交底会，缺少一次扣0.5分；</w:t>
            </w:r>
          </w:p>
          <w:p w14:paraId="787C92D7">
            <w:pPr>
              <w:topLinePunct/>
              <w:snapToGrid w:val="0"/>
              <w:spacing w:line="240" w:lineRule="atLeast"/>
              <w:rPr>
                <w:color w:val="auto"/>
                <w:sz w:val="18"/>
                <w:szCs w:val="18"/>
                <w:highlight w:val="none"/>
              </w:rPr>
            </w:pPr>
            <w:r>
              <w:rPr>
                <w:rFonts w:hint="eastAsia"/>
                <w:color w:val="auto"/>
                <w:sz w:val="18"/>
                <w:szCs w:val="18"/>
                <w:highlight w:val="none"/>
              </w:rPr>
              <w:t>2.施工单位未进行交底或交底走过场、内容没有针对性而监理单位未发现或未指出，每次扣1分。</w:t>
            </w:r>
          </w:p>
        </w:tc>
        <w:tc>
          <w:tcPr>
            <w:tcW w:w="1975" w:type="dxa"/>
            <w:vAlign w:val="center"/>
          </w:tcPr>
          <w:p w14:paraId="175402E5">
            <w:pPr>
              <w:topLinePunct/>
              <w:snapToGrid w:val="0"/>
              <w:spacing w:line="240" w:lineRule="atLeast"/>
              <w:rPr>
                <w:color w:val="auto"/>
                <w:sz w:val="18"/>
                <w:szCs w:val="18"/>
                <w:highlight w:val="none"/>
              </w:rPr>
            </w:pPr>
            <w:r>
              <w:rPr>
                <w:rFonts w:hint="eastAsia"/>
                <w:color w:val="auto"/>
                <w:sz w:val="18"/>
                <w:szCs w:val="18"/>
                <w:highlight w:val="none"/>
              </w:rPr>
              <w:t>查项目部级施工技术交底记录。</w:t>
            </w:r>
          </w:p>
        </w:tc>
        <w:tc>
          <w:tcPr>
            <w:tcW w:w="991" w:type="dxa"/>
            <w:vAlign w:val="center"/>
          </w:tcPr>
          <w:p w14:paraId="509ADEA6">
            <w:pPr>
              <w:topLinePunct/>
              <w:snapToGrid w:val="0"/>
              <w:spacing w:line="240" w:lineRule="atLeast"/>
              <w:rPr>
                <w:color w:val="auto"/>
                <w:sz w:val="18"/>
                <w:szCs w:val="18"/>
                <w:highlight w:val="none"/>
              </w:rPr>
            </w:pPr>
          </w:p>
        </w:tc>
      </w:tr>
      <w:tr w14:paraId="0112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5475FBBF">
            <w:pPr>
              <w:topLinePunct/>
              <w:snapToGrid w:val="0"/>
              <w:spacing w:line="240" w:lineRule="atLeast"/>
              <w:jc w:val="center"/>
              <w:rPr>
                <w:color w:val="auto"/>
                <w:sz w:val="18"/>
                <w:szCs w:val="18"/>
                <w:highlight w:val="none"/>
              </w:rPr>
            </w:pPr>
          </w:p>
        </w:tc>
        <w:tc>
          <w:tcPr>
            <w:tcW w:w="872" w:type="dxa"/>
            <w:vMerge w:val="continue"/>
          </w:tcPr>
          <w:p w14:paraId="48EAE233">
            <w:pPr>
              <w:topLinePunct/>
              <w:snapToGrid w:val="0"/>
              <w:spacing w:line="240" w:lineRule="atLeast"/>
              <w:jc w:val="center"/>
              <w:rPr>
                <w:color w:val="auto"/>
                <w:sz w:val="18"/>
                <w:szCs w:val="18"/>
                <w:highlight w:val="none"/>
              </w:rPr>
            </w:pPr>
          </w:p>
        </w:tc>
        <w:tc>
          <w:tcPr>
            <w:tcW w:w="580" w:type="dxa"/>
            <w:vAlign w:val="center"/>
          </w:tcPr>
          <w:p w14:paraId="29A63081">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0FF764C2">
            <w:pPr>
              <w:topLinePunct/>
              <w:snapToGrid w:val="0"/>
              <w:spacing w:line="240" w:lineRule="atLeast"/>
              <w:rPr>
                <w:color w:val="auto"/>
                <w:sz w:val="18"/>
                <w:szCs w:val="18"/>
                <w:highlight w:val="none"/>
              </w:rPr>
            </w:pPr>
            <w:r>
              <w:rPr>
                <w:rFonts w:hint="eastAsia"/>
                <w:color w:val="auto"/>
                <w:sz w:val="18"/>
                <w:szCs w:val="18"/>
                <w:highlight w:val="none"/>
              </w:rPr>
              <w:t>1.未按规定进行岗前教育培训和技术交底，每人次扣0.5分；</w:t>
            </w:r>
          </w:p>
          <w:p w14:paraId="569E5EBB">
            <w:pPr>
              <w:topLinePunct/>
              <w:snapToGrid w:val="0"/>
              <w:spacing w:line="240" w:lineRule="atLeast"/>
              <w:rPr>
                <w:color w:val="auto"/>
                <w:sz w:val="18"/>
                <w:szCs w:val="18"/>
                <w:highlight w:val="none"/>
              </w:rPr>
            </w:pPr>
            <w:r>
              <w:rPr>
                <w:rFonts w:hint="eastAsia"/>
                <w:color w:val="auto"/>
                <w:sz w:val="18"/>
                <w:szCs w:val="18"/>
                <w:highlight w:val="none"/>
              </w:rPr>
              <w:t>2.培训或交底记录存在后补、虚假以及代签字等现象，每次扣1分。</w:t>
            </w:r>
          </w:p>
        </w:tc>
        <w:tc>
          <w:tcPr>
            <w:tcW w:w="1975" w:type="dxa"/>
            <w:vAlign w:val="center"/>
          </w:tcPr>
          <w:p w14:paraId="51E8576A">
            <w:pPr>
              <w:topLinePunct/>
              <w:snapToGrid w:val="0"/>
              <w:spacing w:line="240" w:lineRule="atLeast"/>
              <w:rPr>
                <w:color w:val="auto"/>
                <w:sz w:val="18"/>
                <w:szCs w:val="18"/>
                <w:highlight w:val="none"/>
              </w:rPr>
            </w:pPr>
            <w:r>
              <w:rPr>
                <w:rFonts w:hint="eastAsia"/>
                <w:color w:val="auto"/>
                <w:sz w:val="18"/>
                <w:szCs w:val="18"/>
                <w:highlight w:val="none"/>
              </w:rPr>
              <w:t>查安全/质量活动记录表、试卷及成绩。</w:t>
            </w:r>
          </w:p>
        </w:tc>
        <w:tc>
          <w:tcPr>
            <w:tcW w:w="991" w:type="dxa"/>
            <w:vAlign w:val="center"/>
          </w:tcPr>
          <w:p w14:paraId="1A9A5859">
            <w:pPr>
              <w:topLinePunct/>
              <w:snapToGrid w:val="0"/>
              <w:spacing w:line="240" w:lineRule="atLeast"/>
              <w:rPr>
                <w:color w:val="auto"/>
                <w:sz w:val="18"/>
                <w:szCs w:val="18"/>
                <w:highlight w:val="none"/>
              </w:rPr>
            </w:pPr>
          </w:p>
        </w:tc>
      </w:tr>
      <w:tr w14:paraId="5556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409B1455">
            <w:pPr>
              <w:topLinePunct/>
              <w:snapToGrid w:val="0"/>
              <w:spacing w:line="240" w:lineRule="atLeast"/>
              <w:jc w:val="center"/>
              <w:rPr>
                <w:color w:val="auto"/>
                <w:sz w:val="18"/>
                <w:szCs w:val="18"/>
                <w:highlight w:val="none"/>
              </w:rPr>
            </w:pPr>
          </w:p>
        </w:tc>
        <w:tc>
          <w:tcPr>
            <w:tcW w:w="872" w:type="dxa"/>
            <w:vMerge w:val="continue"/>
          </w:tcPr>
          <w:p w14:paraId="2A98DD3D">
            <w:pPr>
              <w:topLinePunct/>
              <w:snapToGrid w:val="0"/>
              <w:spacing w:line="240" w:lineRule="atLeast"/>
              <w:jc w:val="center"/>
              <w:rPr>
                <w:color w:val="auto"/>
                <w:sz w:val="18"/>
                <w:szCs w:val="18"/>
                <w:highlight w:val="none"/>
              </w:rPr>
            </w:pPr>
          </w:p>
        </w:tc>
        <w:tc>
          <w:tcPr>
            <w:tcW w:w="580" w:type="dxa"/>
            <w:vAlign w:val="center"/>
          </w:tcPr>
          <w:p w14:paraId="223F3A29">
            <w:pPr>
              <w:topLinePunct/>
              <w:snapToGrid w:val="0"/>
              <w:spacing w:line="240" w:lineRule="atLeast"/>
              <w:jc w:val="center"/>
              <w:rPr>
                <w:color w:val="auto"/>
                <w:sz w:val="18"/>
                <w:szCs w:val="18"/>
                <w:highlight w:val="none"/>
              </w:rPr>
            </w:pPr>
            <w:r>
              <w:rPr>
                <w:rFonts w:hint="eastAsia"/>
                <w:color w:val="auto"/>
                <w:sz w:val="18"/>
                <w:szCs w:val="18"/>
                <w:highlight w:val="none"/>
              </w:rPr>
              <w:t>2</w:t>
            </w:r>
          </w:p>
        </w:tc>
        <w:tc>
          <w:tcPr>
            <w:tcW w:w="10734" w:type="dxa"/>
            <w:vAlign w:val="center"/>
          </w:tcPr>
          <w:p w14:paraId="1DF3A755">
            <w:pPr>
              <w:topLinePunct/>
              <w:snapToGrid w:val="0"/>
              <w:spacing w:line="240" w:lineRule="atLeast"/>
              <w:rPr>
                <w:color w:val="auto"/>
                <w:sz w:val="18"/>
                <w:szCs w:val="18"/>
                <w:highlight w:val="none"/>
              </w:rPr>
            </w:pPr>
            <w:r>
              <w:rPr>
                <w:rFonts w:hint="eastAsia"/>
                <w:color w:val="auto"/>
                <w:sz w:val="18"/>
                <w:szCs w:val="18"/>
                <w:highlight w:val="none"/>
              </w:rPr>
              <w:t>1.组织审查专项施工方案，每少一项扣1分；审查意见不准确、没有针对性，每项扣0.5分；.反馈意见不及时，每项扣0.5分；</w:t>
            </w:r>
          </w:p>
          <w:p w14:paraId="0385A6E9">
            <w:pPr>
              <w:topLinePunct/>
              <w:snapToGrid w:val="0"/>
              <w:spacing w:line="240" w:lineRule="atLeast"/>
              <w:rPr>
                <w:color w:val="auto"/>
                <w:sz w:val="18"/>
                <w:szCs w:val="18"/>
                <w:highlight w:val="none"/>
              </w:rPr>
            </w:pPr>
            <w:r>
              <w:rPr>
                <w:rFonts w:hint="eastAsia"/>
                <w:color w:val="auto"/>
                <w:sz w:val="18"/>
                <w:szCs w:val="18"/>
                <w:highlight w:val="none"/>
              </w:rPr>
              <w:t>2.施工方案与现场实际执行不符而监理未指出并纠正，每项扣2分。</w:t>
            </w:r>
          </w:p>
        </w:tc>
        <w:tc>
          <w:tcPr>
            <w:tcW w:w="1975" w:type="dxa"/>
            <w:vAlign w:val="center"/>
          </w:tcPr>
          <w:p w14:paraId="24562514">
            <w:pPr>
              <w:topLinePunct/>
              <w:snapToGrid w:val="0"/>
              <w:spacing w:line="240" w:lineRule="atLeast"/>
              <w:rPr>
                <w:color w:val="auto"/>
                <w:sz w:val="18"/>
                <w:szCs w:val="18"/>
                <w:highlight w:val="none"/>
              </w:rPr>
            </w:pPr>
            <w:r>
              <w:rPr>
                <w:rFonts w:hint="eastAsia"/>
                <w:color w:val="auto"/>
                <w:sz w:val="18"/>
                <w:szCs w:val="18"/>
                <w:highlight w:val="none"/>
              </w:rPr>
              <w:t>查专项施工方案报审表、文件审查记录表。</w:t>
            </w:r>
          </w:p>
        </w:tc>
        <w:tc>
          <w:tcPr>
            <w:tcW w:w="991" w:type="dxa"/>
            <w:vAlign w:val="center"/>
          </w:tcPr>
          <w:p w14:paraId="192BAB4C">
            <w:pPr>
              <w:topLinePunct/>
              <w:snapToGrid w:val="0"/>
              <w:spacing w:line="240" w:lineRule="atLeast"/>
              <w:rPr>
                <w:color w:val="auto"/>
                <w:sz w:val="18"/>
                <w:szCs w:val="18"/>
                <w:highlight w:val="none"/>
              </w:rPr>
            </w:pPr>
          </w:p>
        </w:tc>
      </w:tr>
      <w:tr w14:paraId="13BC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6B98E052">
            <w:pPr>
              <w:topLinePunct/>
              <w:snapToGrid w:val="0"/>
              <w:spacing w:line="240" w:lineRule="atLeast"/>
              <w:jc w:val="center"/>
              <w:rPr>
                <w:color w:val="auto"/>
                <w:sz w:val="18"/>
                <w:szCs w:val="18"/>
                <w:highlight w:val="none"/>
              </w:rPr>
            </w:pPr>
          </w:p>
        </w:tc>
        <w:tc>
          <w:tcPr>
            <w:tcW w:w="872" w:type="dxa"/>
            <w:vMerge w:val="continue"/>
          </w:tcPr>
          <w:p w14:paraId="1677F402">
            <w:pPr>
              <w:topLinePunct/>
              <w:snapToGrid w:val="0"/>
              <w:spacing w:line="240" w:lineRule="atLeast"/>
              <w:jc w:val="center"/>
              <w:rPr>
                <w:color w:val="auto"/>
                <w:sz w:val="18"/>
                <w:szCs w:val="18"/>
                <w:highlight w:val="none"/>
              </w:rPr>
            </w:pPr>
          </w:p>
        </w:tc>
        <w:tc>
          <w:tcPr>
            <w:tcW w:w="580" w:type="dxa"/>
            <w:vAlign w:val="center"/>
          </w:tcPr>
          <w:p w14:paraId="650F4896">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3FCBD90A">
            <w:pPr>
              <w:topLinePunct/>
              <w:snapToGrid w:val="0"/>
              <w:spacing w:line="240" w:lineRule="atLeast"/>
              <w:rPr>
                <w:color w:val="auto"/>
                <w:sz w:val="18"/>
                <w:szCs w:val="18"/>
                <w:highlight w:val="none"/>
              </w:rPr>
            </w:pPr>
            <w:r>
              <w:rPr>
                <w:rFonts w:hint="eastAsia"/>
                <w:color w:val="auto"/>
                <w:sz w:val="18"/>
                <w:szCs w:val="18"/>
                <w:highlight w:val="none"/>
              </w:rPr>
              <w:t>1.设计变更审核不及时，每份0.5分；签署意见表述不清晰或不准确，每份扣1分；</w:t>
            </w:r>
          </w:p>
          <w:p w14:paraId="2712DD4F">
            <w:pPr>
              <w:topLinePunct/>
              <w:snapToGrid w:val="0"/>
              <w:spacing w:line="240" w:lineRule="atLeast"/>
              <w:rPr>
                <w:color w:val="auto"/>
                <w:sz w:val="18"/>
                <w:szCs w:val="18"/>
                <w:highlight w:val="none"/>
              </w:rPr>
            </w:pPr>
            <w:r>
              <w:rPr>
                <w:rFonts w:hint="eastAsia"/>
                <w:color w:val="auto"/>
                <w:sz w:val="18"/>
                <w:szCs w:val="18"/>
                <w:highlight w:val="none"/>
              </w:rPr>
              <w:t>2.施工单位未严格执行审批后的设计变更而监理单位未发现或未指出，每份扣1分。</w:t>
            </w:r>
          </w:p>
        </w:tc>
        <w:tc>
          <w:tcPr>
            <w:tcW w:w="1975" w:type="dxa"/>
            <w:vAlign w:val="center"/>
          </w:tcPr>
          <w:p w14:paraId="60BF41B7">
            <w:pPr>
              <w:topLinePunct/>
              <w:snapToGrid w:val="0"/>
              <w:spacing w:line="240" w:lineRule="atLeast"/>
              <w:rPr>
                <w:color w:val="auto"/>
                <w:sz w:val="18"/>
                <w:szCs w:val="18"/>
                <w:highlight w:val="none"/>
              </w:rPr>
            </w:pPr>
            <w:r>
              <w:rPr>
                <w:rFonts w:hint="eastAsia"/>
                <w:color w:val="auto"/>
                <w:sz w:val="18"/>
                <w:szCs w:val="18"/>
                <w:highlight w:val="none"/>
              </w:rPr>
              <w:t>查设计变更通知单和设计变更执行报验单。</w:t>
            </w:r>
          </w:p>
        </w:tc>
        <w:tc>
          <w:tcPr>
            <w:tcW w:w="991" w:type="dxa"/>
            <w:vAlign w:val="center"/>
          </w:tcPr>
          <w:p w14:paraId="4CE6507A">
            <w:pPr>
              <w:topLinePunct/>
              <w:snapToGrid w:val="0"/>
              <w:spacing w:line="240" w:lineRule="atLeast"/>
              <w:rPr>
                <w:color w:val="auto"/>
                <w:sz w:val="18"/>
                <w:szCs w:val="18"/>
                <w:highlight w:val="none"/>
              </w:rPr>
            </w:pPr>
          </w:p>
        </w:tc>
      </w:tr>
      <w:tr w14:paraId="1EBF2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vMerge w:val="continue"/>
          </w:tcPr>
          <w:p w14:paraId="5E08D0E7">
            <w:pPr>
              <w:topLinePunct/>
              <w:snapToGrid w:val="0"/>
              <w:spacing w:line="240" w:lineRule="atLeast"/>
              <w:jc w:val="center"/>
              <w:rPr>
                <w:color w:val="auto"/>
                <w:sz w:val="18"/>
                <w:szCs w:val="18"/>
                <w:highlight w:val="none"/>
              </w:rPr>
            </w:pPr>
          </w:p>
        </w:tc>
        <w:tc>
          <w:tcPr>
            <w:tcW w:w="872" w:type="dxa"/>
            <w:vMerge w:val="continue"/>
          </w:tcPr>
          <w:p w14:paraId="04DB690D">
            <w:pPr>
              <w:topLinePunct/>
              <w:snapToGrid w:val="0"/>
              <w:spacing w:line="240" w:lineRule="atLeast"/>
              <w:jc w:val="center"/>
              <w:rPr>
                <w:color w:val="auto"/>
                <w:sz w:val="18"/>
                <w:szCs w:val="18"/>
                <w:highlight w:val="none"/>
              </w:rPr>
            </w:pPr>
          </w:p>
        </w:tc>
        <w:tc>
          <w:tcPr>
            <w:tcW w:w="580" w:type="dxa"/>
            <w:vAlign w:val="center"/>
          </w:tcPr>
          <w:p w14:paraId="4B54A58A">
            <w:pPr>
              <w:topLinePunct/>
              <w:snapToGrid w:val="0"/>
              <w:spacing w:line="240" w:lineRule="atLeast"/>
              <w:jc w:val="center"/>
              <w:rPr>
                <w:color w:val="auto"/>
                <w:sz w:val="18"/>
                <w:szCs w:val="18"/>
                <w:highlight w:val="none"/>
              </w:rPr>
            </w:pPr>
            <w:r>
              <w:rPr>
                <w:rFonts w:hint="eastAsia"/>
                <w:color w:val="auto"/>
                <w:sz w:val="18"/>
                <w:szCs w:val="18"/>
                <w:highlight w:val="none"/>
              </w:rPr>
              <w:t>5</w:t>
            </w:r>
          </w:p>
        </w:tc>
        <w:tc>
          <w:tcPr>
            <w:tcW w:w="10734" w:type="dxa"/>
            <w:vAlign w:val="center"/>
          </w:tcPr>
          <w:p w14:paraId="791FE6EF">
            <w:pPr>
              <w:topLinePunct/>
              <w:snapToGrid w:val="0"/>
              <w:spacing w:line="240" w:lineRule="atLeast"/>
              <w:rPr>
                <w:color w:val="auto"/>
                <w:sz w:val="18"/>
                <w:szCs w:val="18"/>
                <w:highlight w:val="none"/>
              </w:rPr>
            </w:pPr>
            <w:r>
              <w:rPr>
                <w:rFonts w:hint="eastAsia"/>
                <w:color w:val="auto"/>
                <w:sz w:val="18"/>
                <w:szCs w:val="18"/>
                <w:highlight w:val="none"/>
              </w:rPr>
              <w:t>现场签证审核不及时，每份扣0.5分；签署意见表述不清晰或不准确，每份扣1分。</w:t>
            </w:r>
          </w:p>
        </w:tc>
        <w:tc>
          <w:tcPr>
            <w:tcW w:w="1975" w:type="dxa"/>
            <w:vAlign w:val="center"/>
          </w:tcPr>
          <w:p w14:paraId="49CBC0CD">
            <w:pPr>
              <w:topLinePunct/>
              <w:snapToGrid w:val="0"/>
              <w:spacing w:line="240" w:lineRule="atLeast"/>
              <w:rPr>
                <w:color w:val="auto"/>
                <w:sz w:val="18"/>
                <w:szCs w:val="18"/>
                <w:highlight w:val="none"/>
              </w:rPr>
            </w:pPr>
            <w:r>
              <w:rPr>
                <w:rFonts w:hint="eastAsia"/>
                <w:color w:val="auto"/>
                <w:sz w:val="18"/>
                <w:szCs w:val="18"/>
                <w:highlight w:val="none"/>
              </w:rPr>
              <w:t>查现场签证审批单。</w:t>
            </w:r>
          </w:p>
        </w:tc>
        <w:tc>
          <w:tcPr>
            <w:tcW w:w="991" w:type="dxa"/>
            <w:vAlign w:val="center"/>
          </w:tcPr>
          <w:p w14:paraId="6694B76B">
            <w:pPr>
              <w:topLinePunct/>
              <w:snapToGrid w:val="0"/>
              <w:spacing w:line="240" w:lineRule="atLeast"/>
              <w:rPr>
                <w:color w:val="auto"/>
                <w:sz w:val="18"/>
                <w:szCs w:val="18"/>
                <w:highlight w:val="none"/>
              </w:rPr>
            </w:pPr>
          </w:p>
        </w:tc>
      </w:tr>
      <w:tr w14:paraId="3339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0" w:type="dxa"/>
          </w:tcPr>
          <w:p w14:paraId="47F77785">
            <w:pPr>
              <w:topLinePunct/>
              <w:snapToGrid w:val="0"/>
              <w:spacing w:line="240" w:lineRule="atLeast"/>
              <w:jc w:val="center"/>
              <w:rPr>
                <w:color w:val="auto"/>
                <w:sz w:val="18"/>
                <w:szCs w:val="18"/>
                <w:highlight w:val="none"/>
              </w:rPr>
            </w:pPr>
            <w:r>
              <w:rPr>
                <w:rFonts w:hint="eastAsia"/>
                <w:color w:val="auto"/>
                <w:sz w:val="18"/>
                <w:szCs w:val="18"/>
                <w:highlight w:val="none"/>
              </w:rPr>
              <w:t>7</w:t>
            </w:r>
          </w:p>
        </w:tc>
        <w:tc>
          <w:tcPr>
            <w:tcW w:w="872" w:type="dxa"/>
          </w:tcPr>
          <w:p w14:paraId="137A5A73">
            <w:pPr>
              <w:topLinePunct/>
              <w:snapToGrid w:val="0"/>
              <w:spacing w:line="240" w:lineRule="atLeast"/>
              <w:jc w:val="center"/>
              <w:rPr>
                <w:color w:val="auto"/>
                <w:sz w:val="18"/>
                <w:szCs w:val="18"/>
                <w:highlight w:val="none"/>
              </w:rPr>
            </w:pPr>
            <w:r>
              <w:rPr>
                <w:rFonts w:hint="eastAsia"/>
                <w:color w:val="auto"/>
                <w:sz w:val="18"/>
                <w:szCs w:val="18"/>
                <w:highlight w:val="none"/>
              </w:rPr>
              <w:t>进度管理（10分）</w:t>
            </w:r>
          </w:p>
        </w:tc>
        <w:tc>
          <w:tcPr>
            <w:tcW w:w="580" w:type="dxa"/>
            <w:vAlign w:val="center"/>
          </w:tcPr>
          <w:p w14:paraId="4981ECF0">
            <w:pPr>
              <w:topLinePunct/>
              <w:snapToGrid w:val="0"/>
              <w:spacing w:line="240" w:lineRule="atLeast"/>
              <w:jc w:val="center"/>
              <w:rPr>
                <w:color w:val="auto"/>
                <w:sz w:val="18"/>
                <w:szCs w:val="18"/>
                <w:highlight w:val="none"/>
              </w:rPr>
            </w:pPr>
            <w:r>
              <w:rPr>
                <w:rFonts w:hint="eastAsia"/>
                <w:color w:val="auto"/>
                <w:sz w:val="18"/>
                <w:szCs w:val="18"/>
                <w:highlight w:val="none"/>
              </w:rPr>
              <w:t>10</w:t>
            </w:r>
          </w:p>
        </w:tc>
        <w:tc>
          <w:tcPr>
            <w:tcW w:w="10734" w:type="dxa"/>
            <w:vAlign w:val="center"/>
          </w:tcPr>
          <w:p w14:paraId="44E5E638">
            <w:pPr>
              <w:topLinePunct/>
              <w:snapToGrid w:val="0"/>
              <w:spacing w:line="240" w:lineRule="atLeast"/>
              <w:rPr>
                <w:color w:val="auto"/>
                <w:sz w:val="18"/>
                <w:szCs w:val="18"/>
                <w:highlight w:val="none"/>
              </w:rPr>
            </w:pPr>
            <w:r>
              <w:rPr>
                <w:rFonts w:hint="eastAsia"/>
                <w:color w:val="auto"/>
                <w:sz w:val="18"/>
                <w:szCs w:val="18"/>
                <w:highlight w:val="none"/>
              </w:rPr>
              <w:t>1.未审批施工进度计划或审查不准确，扣1分；</w:t>
            </w:r>
          </w:p>
          <w:p w14:paraId="41E591A0">
            <w:pPr>
              <w:topLinePunct/>
              <w:snapToGrid w:val="0"/>
              <w:spacing w:line="240" w:lineRule="atLeast"/>
              <w:rPr>
                <w:color w:val="auto"/>
                <w:sz w:val="18"/>
                <w:szCs w:val="18"/>
                <w:highlight w:val="none"/>
              </w:rPr>
            </w:pPr>
            <w:r>
              <w:rPr>
                <w:rFonts w:hint="eastAsia"/>
                <w:color w:val="auto"/>
                <w:sz w:val="18"/>
                <w:szCs w:val="18"/>
                <w:highlight w:val="none"/>
              </w:rPr>
              <w:t>2.未对计划执行情况进行分析和纠偏，1次扣2分。</w:t>
            </w:r>
          </w:p>
        </w:tc>
        <w:tc>
          <w:tcPr>
            <w:tcW w:w="1975" w:type="dxa"/>
            <w:vAlign w:val="center"/>
          </w:tcPr>
          <w:p w14:paraId="132FDB7B">
            <w:pPr>
              <w:topLinePunct/>
              <w:snapToGrid w:val="0"/>
              <w:spacing w:line="240" w:lineRule="atLeast"/>
              <w:rPr>
                <w:color w:val="auto"/>
                <w:sz w:val="18"/>
                <w:szCs w:val="18"/>
                <w:highlight w:val="none"/>
              </w:rPr>
            </w:pPr>
            <w:r>
              <w:rPr>
                <w:rFonts w:hint="eastAsia"/>
                <w:color w:val="auto"/>
                <w:sz w:val="18"/>
                <w:szCs w:val="18"/>
                <w:highlight w:val="none"/>
              </w:rPr>
              <w:t>查相关记录。</w:t>
            </w:r>
          </w:p>
        </w:tc>
        <w:tc>
          <w:tcPr>
            <w:tcW w:w="991" w:type="dxa"/>
            <w:vAlign w:val="center"/>
          </w:tcPr>
          <w:p w14:paraId="35D493A1">
            <w:pPr>
              <w:topLinePunct/>
              <w:snapToGrid w:val="0"/>
              <w:spacing w:line="240" w:lineRule="atLeast"/>
              <w:rPr>
                <w:color w:val="auto"/>
                <w:sz w:val="18"/>
                <w:szCs w:val="18"/>
                <w:highlight w:val="none"/>
              </w:rPr>
            </w:pPr>
          </w:p>
        </w:tc>
      </w:tr>
      <w:tr w14:paraId="3ED8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2" w:type="dxa"/>
            <w:gridSpan w:val="6"/>
          </w:tcPr>
          <w:p w14:paraId="2A443408">
            <w:pPr>
              <w:topLinePunct/>
              <w:snapToGrid w:val="0"/>
              <w:spacing w:line="240" w:lineRule="atLeast"/>
              <w:jc w:val="center"/>
              <w:rPr>
                <w:color w:val="auto"/>
                <w:sz w:val="18"/>
                <w:szCs w:val="18"/>
                <w:highlight w:val="none"/>
              </w:rPr>
            </w:pPr>
            <w:r>
              <w:rPr>
                <w:rFonts w:hint="eastAsia"/>
                <w:b/>
                <w:color w:val="auto"/>
                <w:sz w:val="18"/>
                <w:highlight w:val="none"/>
              </w:rPr>
              <w:t>基本评价得分（满分100分）</w:t>
            </w:r>
          </w:p>
        </w:tc>
      </w:tr>
    </w:tbl>
    <w:p w14:paraId="45DBD18D">
      <w:pPr>
        <w:topLinePunct/>
        <w:snapToGrid w:val="0"/>
        <w:spacing w:line="240" w:lineRule="atLeast"/>
        <w:jc w:val="center"/>
        <w:rPr>
          <w:color w:val="auto"/>
          <w:highlight w:val="none"/>
        </w:rPr>
      </w:pPr>
    </w:p>
    <w:p w14:paraId="296453E8">
      <w:pPr>
        <w:ind w:firstLine="420" w:firstLineChars="200"/>
        <w:rPr>
          <w:color w:val="auto"/>
          <w:highlight w:val="none"/>
        </w:rPr>
      </w:pPr>
      <w:r>
        <w:rPr>
          <w:rFonts w:hint="eastAsia"/>
          <w:color w:val="auto"/>
          <w:highlight w:val="none"/>
        </w:rPr>
        <w:t>备注：1. 表内各检查子项的标准分是该项工作评价的最高得分，也是检查扣分的上限。</w:t>
      </w:r>
    </w:p>
    <w:p w14:paraId="506C190D">
      <w:pPr>
        <w:numPr>
          <w:ilvl w:val="0"/>
          <w:numId w:val="7"/>
        </w:numPr>
        <w:ind w:firstLine="1050" w:firstLineChars="500"/>
        <w:rPr>
          <w:color w:val="auto"/>
          <w:highlight w:val="none"/>
        </w:rPr>
      </w:pPr>
      <w:r>
        <w:rPr>
          <w:rFonts w:hint="eastAsia"/>
          <w:color w:val="auto"/>
          <w:highlight w:val="none"/>
        </w:rPr>
        <w:t>每月由业主项目部按《监理承包商现场过程评价细则》进行评分。</w:t>
      </w:r>
    </w:p>
    <w:p w14:paraId="53D0587B">
      <w:pPr>
        <w:rPr>
          <w:color w:val="auto"/>
          <w:highlight w:val="none"/>
        </w:rPr>
      </w:pPr>
    </w:p>
    <w:p w14:paraId="285D81D9">
      <w:pPr>
        <w:ind w:firstLine="6930" w:firstLineChars="3300"/>
        <w:rPr>
          <w:color w:val="auto"/>
          <w:highlight w:val="none"/>
        </w:rPr>
      </w:pPr>
      <w:r>
        <w:rPr>
          <w:rFonts w:hint="eastAsia"/>
          <w:color w:val="auto"/>
          <w:highlight w:val="none"/>
        </w:rPr>
        <w:t>业主项目副经理（签名）：              总监理工程师（签名）：</w:t>
      </w:r>
    </w:p>
    <w:p w14:paraId="4CDB88AD">
      <w:pPr>
        <w:ind w:firstLine="6930" w:firstLineChars="3300"/>
        <w:rPr>
          <w:color w:val="auto"/>
          <w:highlight w:val="none"/>
        </w:rPr>
      </w:pPr>
    </w:p>
    <w:p w14:paraId="61976703">
      <w:pPr>
        <w:ind w:firstLine="7770" w:firstLineChars="3700"/>
        <w:rPr>
          <w:color w:val="auto"/>
          <w:highlight w:val="none"/>
        </w:rPr>
      </w:pPr>
      <w:r>
        <w:rPr>
          <w:rFonts w:hint="eastAsia"/>
          <w:color w:val="auto"/>
          <w:highlight w:val="none"/>
        </w:rPr>
        <w:t>年  月  日                       年   月   日</w:t>
      </w:r>
    </w:p>
    <w:p w14:paraId="68B470F5">
      <w:pPr>
        <w:ind w:firstLine="422" w:firstLineChars="200"/>
        <w:jc w:val="center"/>
        <w:rPr>
          <w:b/>
          <w:bCs/>
          <w:color w:val="auto"/>
          <w:highlight w:val="none"/>
        </w:rPr>
      </w:pPr>
    </w:p>
    <w:p w14:paraId="5A49EB1C">
      <w:pPr>
        <w:topLinePunct/>
        <w:snapToGrid w:val="0"/>
        <w:spacing w:line="240" w:lineRule="atLeast"/>
        <w:ind w:firstLine="211" w:firstLineChars="100"/>
        <w:jc w:val="center"/>
        <w:rPr>
          <w:b/>
          <w:bCs/>
          <w:color w:val="auto"/>
          <w:highlight w:val="none"/>
        </w:rPr>
      </w:pPr>
    </w:p>
    <w:p w14:paraId="783FBA25">
      <w:pPr>
        <w:topLinePunct/>
        <w:snapToGrid w:val="0"/>
        <w:spacing w:line="240" w:lineRule="atLeast"/>
        <w:ind w:firstLine="211" w:firstLineChars="100"/>
        <w:jc w:val="center"/>
        <w:rPr>
          <w:color w:val="auto"/>
          <w:highlight w:val="none"/>
        </w:rPr>
      </w:pPr>
      <w:r>
        <w:rPr>
          <w:rFonts w:hint="eastAsia"/>
          <w:b/>
          <w:bCs/>
          <w:color w:val="auto"/>
          <w:highlight w:val="none"/>
        </w:rPr>
        <w:t>总体评价加分表</w:t>
      </w:r>
    </w:p>
    <w:tbl>
      <w:tblPr>
        <w:tblStyle w:val="14"/>
        <w:tblW w:w="149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7"/>
        <w:gridCol w:w="4433"/>
        <w:gridCol w:w="867"/>
        <w:gridCol w:w="5820"/>
        <w:gridCol w:w="2150"/>
        <w:gridCol w:w="1009"/>
      </w:tblGrid>
      <w:tr w14:paraId="7951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717" w:type="dxa"/>
          </w:tcPr>
          <w:p w14:paraId="335B955B">
            <w:pPr>
              <w:jc w:val="center"/>
              <w:rPr>
                <w:b/>
                <w:bCs/>
                <w:color w:val="auto"/>
                <w:highlight w:val="none"/>
              </w:rPr>
            </w:pPr>
            <w:r>
              <w:rPr>
                <w:rFonts w:hint="eastAsia"/>
                <w:b/>
                <w:bCs/>
                <w:color w:val="auto"/>
                <w:highlight w:val="none"/>
              </w:rPr>
              <w:t>序号</w:t>
            </w:r>
          </w:p>
        </w:tc>
        <w:tc>
          <w:tcPr>
            <w:tcW w:w="4433" w:type="dxa"/>
          </w:tcPr>
          <w:p w14:paraId="0F19FCBD">
            <w:pPr>
              <w:jc w:val="center"/>
              <w:rPr>
                <w:b/>
                <w:bCs/>
                <w:color w:val="auto"/>
                <w:highlight w:val="none"/>
              </w:rPr>
            </w:pPr>
            <w:r>
              <w:rPr>
                <w:rFonts w:hint="eastAsia"/>
                <w:b/>
                <w:bCs/>
                <w:color w:val="auto"/>
                <w:highlight w:val="none"/>
              </w:rPr>
              <w:t>评价项目</w:t>
            </w:r>
          </w:p>
        </w:tc>
        <w:tc>
          <w:tcPr>
            <w:tcW w:w="867" w:type="dxa"/>
          </w:tcPr>
          <w:p w14:paraId="67BF2A7D">
            <w:pPr>
              <w:jc w:val="center"/>
              <w:rPr>
                <w:b/>
                <w:bCs/>
                <w:color w:val="auto"/>
                <w:highlight w:val="none"/>
              </w:rPr>
            </w:pPr>
            <w:r>
              <w:rPr>
                <w:rFonts w:hint="eastAsia"/>
                <w:b/>
                <w:bCs/>
                <w:color w:val="auto"/>
                <w:highlight w:val="none"/>
              </w:rPr>
              <w:t>标准分</w:t>
            </w:r>
          </w:p>
        </w:tc>
        <w:tc>
          <w:tcPr>
            <w:tcW w:w="5820" w:type="dxa"/>
          </w:tcPr>
          <w:p w14:paraId="5C42BACA">
            <w:pPr>
              <w:jc w:val="center"/>
              <w:rPr>
                <w:b/>
                <w:bCs/>
                <w:color w:val="auto"/>
                <w:highlight w:val="none"/>
              </w:rPr>
            </w:pPr>
            <w:r>
              <w:rPr>
                <w:rFonts w:hint="eastAsia"/>
                <w:b/>
                <w:bCs/>
                <w:color w:val="auto"/>
                <w:highlight w:val="none"/>
              </w:rPr>
              <w:t>评分标准</w:t>
            </w:r>
          </w:p>
        </w:tc>
        <w:tc>
          <w:tcPr>
            <w:tcW w:w="2150" w:type="dxa"/>
          </w:tcPr>
          <w:p w14:paraId="4931D869">
            <w:pPr>
              <w:jc w:val="center"/>
              <w:rPr>
                <w:b/>
                <w:bCs/>
                <w:color w:val="auto"/>
                <w:highlight w:val="none"/>
              </w:rPr>
            </w:pPr>
            <w:r>
              <w:rPr>
                <w:rFonts w:hint="eastAsia"/>
                <w:b/>
                <w:bCs/>
                <w:color w:val="auto"/>
                <w:highlight w:val="none"/>
              </w:rPr>
              <w:t>检查方法</w:t>
            </w:r>
          </w:p>
        </w:tc>
        <w:tc>
          <w:tcPr>
            <w:tcW w:w="1009" w:type="dxa"/>
          </w:tcPr>
          <w:p w14:paraId="36AAE97A">
            <w:pPr>
              <w:jc w:val="center"/>
              <w:rPr>
                <w:b/>
                <w:bCs/>
                <w:color w:val="auto"/>
                <w:highlight w:val="none"/>
              </w:rPr>
            </w:pPr>
            <w:r>
              <w:rPr>
                <w:rFonts w:hint="eastAsia"/>
                <w:b/>
                <w:bCs/>
                <w:color w:val="auto"/>
                <w:highlight w:val="none"/>
              </w:rPr>
              <w:t>得分</w:t>
            </w:r>
          </w:p>
        </w:tc>
      </w:tr>
      <w:tr w14:paraId="5B62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0999BBB5">
            <w:pPr>
              <w:jc w:val="center"/>
              <w:rPr>
                <w:color w:val="auto"/>
                <w:highlight w:val="none"/>
              </w:rPr>
            </w:pPr>
            <w:r>
              <w:rPr>
                <w:rFonts w:hint="eastAsia"/>
                <w:color w:val="auto"/>
                <w:highlight w:val="none"/>
              </w:rPr>
              <w:t>1</w:t>
            </w:r>
          </w:p>
        </w:tc>
        <w:tc>
          <w:tcPr>
            <w:tcW w:w="4433" w:type="dxa"/>
            <w:vAlign w:val="center"/>
          </w:tcPr>
          <w:p w14:paraId="24876BBD">
            <w:pPr>
              <w:rPr>
                <w:color w:val="auto"/>
                <w:highlight w:val="none"/>
              </w:rPr>
            </w:pPr>
            <w:r>
              <w:rPr>
                <w:rFonts w:hint="eastAsia"/>
                <w:color w:val="auto"/>
                <w:highlight w:val="none"/>
              </w:rPr>
              <w:t>获得通报表扬</w:t>
            </w:r>
          </w:p>
        </w:tc>
        <w:tc>
          <w:tcPr>
            <w:tcW w:w="867" w:type="dxa"/>
          </w:tcPr>
          <w:p w14:paraId="15621E0F">
            <w:pPr>
              <w:jc w:val="center"/>
              <w:rPr>
                <w:color w:val="auto"/>
                <w:highlight w:val="none"/>
              </w:rPr>
            </w:pPr>
            <w:r>
              <w:rPr>
                <w:rFonts w:hint="eastAsia"/>
                <w:color w:val="auto"/>
                <w:highlight w:val="none"/>
              </w:rPr>
              <w:t>2</w:t>
            </w:r>
          </w:p>
        </w:tc>
        <w:tc>
          <w:tcPr>
            <w:tcW w:w="5820" w:type="dxa"/>
          </w:tcPr>
          <w:p w14:paraId="74E50699">
            <w:pPr>
              <w:rPr>
                <w:color w:val="auto"/>
                <w:highlight w:val="none"/>
              </w:rPr>
            </w:pPr>
            <w:r>
              <w:rPr>
                <w:rFonts w:hint="eastAsia"/>
                <w:color w:val="auto"/>
                <w:highlight w:val="none"/>
              </w:rPr>
              <w:t>国网公司及以上通报表扬，一次加1分。</w:t>
            </w:r>
          </w:p>
          <w:p w14:paraId="0BF640FF">
            <w:pPr>
              <w:rPr>
                <w:color w:val="auto"/>
                <w:highlight w:val="none"/>
              </w:rPr>
            </w:pPr>
            <w:r>
              <w:rPr>
                <w:rFonts w:hint="eastAsia"/>
                <w:color w:val="auto"/>
                <w:highlight w:val="none"/>
              </w:rPr>
              <w:t>建设管理单位通报表扬，一次加0.5分。</w:t>
            </w:r>
          </w:p>
          <w:p w14:paraId="7A58C293">
            <w:pPr>
              <w:rPr>
                <w:color w:val="auto"/>
                <w:highlight w:val="none"/>
              </w:rPr>
            </w:pPr>
            <w:r>
              <w:rPr>
                <w:rFonts w:hint="eastAsia"/>
                <w:color w:val="auto"/>
                <w:highlight w:val="none"/>
              </w:rPr>
              <w:t>业主项目部通报表扬，一次加0.2分。</w:t>
            </w:r>
          </w:p>
        </w:tc>
        <w:tc>
          <w:tcPr>
            <w:tcW w:w="2150" w:type="dxa"/>
            <w:vAlign w:val="center"/>
          </w:tcPr>
          <w:p w14:paraId="525A61F6">
            <w:pPr>
              <w:rPr>
                <w:color w:val="auto"/>
                <w:highlight w:val="none"/>
              </w:rPr>
            </w:pPr>
            <w:r>
              <w:rPr>
                <w:rFonts w:hint="eastAsia"/>
                <w:color w:val="auto"/>
                <w:highlight w:val="none"/>
              </w:rPr>
              <w:t>查记录。</w:t>
            </w:r>
          </w:p>
        </w:tc>
        <w:tc>
          <w:tcPr>
            <w:tcW w:w="1009" w:type="dxa"/>
          </w:tcPr>
          <w:p w14:paraId="1BE04685">
            <w:pPr>
              <w:jc w:val="center"/>
              <w:rPr>
                <w:color w:val="auto"/>
                <w:highlight w:val="none"/>
              </w:rPr>
            </w:pPr>
          </w:p>
        </w:tc>
      </w:tr>
      <w:tr w14:paraId="2F3D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5B118852">
            <w:pPr>
              <w:jc w:val="center"/>
              <w:rPr>
                <w:color w:val="auto"/>
                <w:highlight w:val="none"/>
              </w:rPr>
            </w:pPr>
            <w:r>
              <w:rPr>
                <w:rFonts w:hint="eastAsia"/>
                <w:color w:val="auto"/>
                <w:highlight w:val="none"/>
              </w:rPr>
              <w:t>2</w:t>
            </w:r>
          </w:p>
        </w:tc>
        <w:tc>
          <w:tcPr>
            <w:tcW w:w="4433" w:type="dxa"/>
            <w:vAlign w:val="center"/>
          </w:tcPr>
          <w:p w14:paraId="63241DCF">
            <w:pPr>
              <w:rPr>
                <w:color w:val="auto"/>
                <w:highlight w:val="none"/>
              </w:rPr>
            </w:pPr>
            <w:r>
              <w:rPr>
                <w:rFonts w:hint="eastAsia"/>
                <w:color w:val="auto"/>
                <w:highlight w:val="none"/>
              </w:rPr>
              <w:t>国家电网公司及以上级别科学技术进步奖</w:t>
            </w:r>
          </w:p>
        </w:tc>
        <w:tc>
          <w:tcPr>
            <w:tcW w:w="867" w:type="dxa"/>
          </w:tcPr>
          <w:p w14:paraId="78D4ECC4">
            <w:pPr>
              <w:jc w:val="center"/>
              <w:rPr>
                <w:color w:val="auto"/>
                <w:highlight w:val="none"/>
              </w:rPr>
            </w:pPr>
            <w:r>
              <w:rPr>
                <w:rFonts w:hint="eastAsia"/>
                <w:color w:val="auto"/>
                <w:highlight w:val="none"/>
              </w:rPr>
              <w:t>2</w:t>
            </w:r>
          </w:p>
        </w:tc>
        <w:tc>
          <w:tcPr>
            <w:tcW w:w="5820" w:type="dxa"/>
          </w:tcPr>
          <w:p w14:paraId="30FCD4DE">
            <w:pPr>
              <w:rPr>
                <w:color w:val="auto"/>
                <w:highlight w:val="none"/>
              </w:rPr>
            </w:pPr>
            <w:r>
              <w:rPr>
                <w:rFonts w:hint="eastAsia"/>
                <w:color w:val="auto"/>
                <w:highlight w:val="none"/>
              </w:rPr>
              <w:t>第一单位，每项加1分。</w:t>
            </w:r>
          </w:p>
          <w:p w14:paraId="0E3BBA61">
            <w:pPr>
              <w:rPr>
                <w:color w:val="auto"/>
                <w:highlight w:val="none"/>
              </w:rPr>
            </w:pPr>
            <w:r>
              <w:rPr>
                <w:rFonts w:hint="eastAsia"/>
                <w:color w:val="auto"/>
                <w:highlight w:val="none"/>
              </w:rPr>
              <w:t>第二单位，每项加0.5分。</w:t>
            </w:r>
          </w:p>
        </w:tc>
        <w:tc>
          <w:tcPr>
            <w:tcW w:w="2150" w:type="dxa"/>
            <w:vAlign w:val="center"/>
          </w:tcPr>
          <w:p w14:paraId="4547C9D0">
            <w:pPr>
              <w:rPr>
                <w:color w:val="auto"/>
                <w:highlight w:val="none"/>
              </w:rPr>
            </w:pPr>
            <w:r>
              <w:rPr>
                <w:rFonts w:hint="eastAsia"/>
                <w:color w:val="auto"/>
                <w:highlight w:val="none"/>
              </w:rPr>
              <w:t>查获奖证明。</w:t>
            </w:r>
          </w:p>
        </w:tc>
        <w:tc>
          <w:tcPr>
            <w:tcW w:w="1009" w:type="dxa"/>
          </w:tcPr>
          <w:p w14:paraId="61A005BA">
            <w:pPr>
              <w:jc w:val="center"/>
              <w:rPr>
                <w:color w:val="auto"/>
                <w:highlight w:val="none"/>
              </w:rPr>
            </w:pPr>
          </w:p>
        </w:tc>
      </w:tr>
      <w:tr w14:paraId="2B77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2F21E0B8">
            <w:pPr>
              <w:jc w:val="center"/>
              <w:rPr>
                <w:color w:val="auto"/>
                <w:highlight w:val="none"/>
              </w:rPr>
            </w:pPr>
            <w:r>
              <w:rPr>
                <w:rFonts w:hint="eastAsia"/>
                <w:color w:val="auto"/>
                <w:highlight w:val="none"/>
              </w:rPr>
              <w:t>3</w:t>
            </w:r>
          </w:p>
        </w:tc>
        <w:tc>
          <w:tcPr>
            <w:tcW w:w="4433" w:type="dxa"/>
            <w:vAlign w:val="center"/>
          </w:tcPr>
          <w:p w14:paraId="356DF209">
            <w:pPr>
              <w:rPr>
                <w:color w:val="auto"/>
                <w:highlight w:val="none"/>
              </w:rPr>
            </w:pPr>
            <w:r>
              <w:rPr>
                <w:rFonts w:hint="eastAsia"/>
                <w:color w:val="auto"/>
                <w:highlight w:val="none"/>
              </w:rPr>
              <w:t>专利</w:t>
            </w:r>
          </w:p>
        </w:tc>
        <w:tc>
          <w:tcPr>
            <w:tcW w:w="867" w:type="dxa"/>
          </w:tcPr>
          <w:p w14:paraId="53077075">
            <w:pPr>
              <w:jc w:val="center"/>
              <w:rPr>
                <w:color w:val="auto"/>
                <w:highlight w:val="none"/>
              </w:rPr>
            </w:pPr>
            <w:r>
              <w:rPr>
                <w:rFonts w:hint="eastAsia"/>
                <w:color w:val="auto"/>
                <w:highlight w:val="none"/>
              </w:rPr>
              <w:t>1</w:t>
            </w:r>
          </w:p>
        </w:tc>
        <w:tc>
          <w:tcPr>
            <w:tcW w:w="5820" w:type="dxa"/>
          </w:tcPr>
          <w:p w14:paraId="31F65A12">
            <w:pPr>
              <w:rPr>
                <w:color w:val="auto"/>
                <w:highlight w:val="none"/>
              </w:rPr>
            </w:pPr>
            <w:r>
              <w:rPr>
                <w:rFonts w:hint="eastAsia"/>
                <w:color w:val="auto"/>
                <w:highlight w:val="none"/>
              </w:rPr>
              <w:t>第一单位，每项加0.5分。</w:t>
            </w:r>
          </w:p>
          <w:p w14:paraId="430E1562">
            <w:pPr>
              <w:rPr>
                <w:color w:val="auto"/>
                <w:highlight w:val="none"/>
              </w:rPr>
            </w:pPr>
            <w:r>
              <w:rPr>
                <w:rFonts w:hint="eastAsia"/>
                <w:color w:val="auto"/>
                <w:highlight w:val="none"/>
              </w:rPr>
              <w:t>第二单位，每项加0.3分。</w:t>
            </w:r>
          </w:p>
        </w:tc>
        <w:tc>
          <w:tcPr>
            <w:tcW w:w="2150" w:type="dxa"/>
            <w:vAlign w:val="center"/>
          </w:tcPr>
          <w:p w14:paraId="73F20965">
            <w:pPr>
              <w:rPr>
                <w:color w:val="auto"/>
                <w:highlight w:val="none"/>
              </w:rPr>
            </w:pPr>
            <w:r>
              <w:rPr>
                <w:rFonts w:hint="eastAsia"/>
                <w:color w:val="auto"/>
                <w:highlight w:val="none"/>
              </w:rPr>
              <w:t>查专利证书。</w:t>
            </w:r>
          </w:p>
        </w:tc>
        <w:tc>
          <w:tcPr>
            <w:tcW w:w="1009" w:type="dxa"/>
          </w:tcPr>
          <w:p w14:paraId="782EA734">
            <w:pPr>
              <w:jc w:val="center"/>
              <w:rPr>
                <w:color w:val="auto"/>
                <w:highlight w:val="none"/>
              </w:rPr>
            </w:pPr>
          </w:p>
        </w:tc>
      </w:tr>
      <w:tr w14:paraId="2971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717" w:type="dxa"/>
            <w:vAlign w:val="center"/>
          </w:tcPr>
          <w:p w14:paraId="013E6BF7">
            <w:pPr>
              <w:jc w:val="center"/>
              <w:rPr>
                <w:color w:val="auto"/>
                <w:highlight w:val="none"/>
              </w:rPr>
            </w:pPr>
            <w:r>
              <w:rPr>
                <w:rFonts w:hint="eastAsia"/>
                <w:color w:val="auto"/>
                <w:highlight w:val="none"/>
              </w:rPr>
              <w:t>4</w:t>
            </w:r>
          </w:p>
        </w:tc>
        <w:tc>
          <w:tcPr>
            <w:tcW w:w="4433" w:type="dxa"/>
            <w:vAlign w:val="center"/>
          </w:tcPr>
          <w:p w14:paraId="599FC728">
            <w:pPr>
              <w:rPr>
                <w:color w:val="auto"/>
                <w:highlight w:val="none"/>
              </w:rPr>
            </w:pPr>
            <w:r>
              <w:rPr>
                <w:rFonts w:hint="eastAsia"/>
                <w:color w:val="auto"/>
                <w:highlight w:val="none"/>
              </w:rPr>
              <w:t>论文</w:t>
            </w:r>
          </w:p>
        </w:tc>
        <w:tc>
          <w:tcPr>
            <w:tcW w:w="867" w:type="dxa"/>
          </w:tcPr>
          <w:p w14:paraId="5E3B1588">
            <w:pPr>
              <w:jc w:val="center"/>
              <w:rPr>
                <w:color w:val="auto"/>
                <w:highlight w:val="none"/>
              </w:rPr>
            </w:pPr>
            <w:r>
              <w:rPr>
                <w:rFonts w:hint="eastAsia"/>
                <w:color w:val="auto"/>
                <w:highlight w:val="none"/>
              </w:rPr>
              <w:t>1</w:t>
            </w:r>
          </w:p>
        </w:tc>
        <w:tc>
          <w:tcPr>
            <w:tcW w:w="5820" w:type="dxa"/>
          </w:tcPr>
          <w:p w14:paraId="21432CE0">
            <w:pPr>
              <w:rPr>
                <w:color w:val="auto"/>
                <w:highlight w:val="none"/>
              </w:rPr>
            </w:pPr>
            <w:r>
              <w:rPr>
                <w:rFonts w:hint="eastAsia"/>
                <w:color w:val="auto"/>
                <w:highlight w:val="none"/>
              </w:rPr>
              <w:t>第一完成单位，普通期刊每篇加0.2分。</w:t>
            </w:r>
          </w:p>
          <w:p w14:paraId="30E7E6A7">
            <w:pPr>
              <w:rPr>
                <w:color w:val="auto"/>
                <w:highlight w:val="none"/>
              </w:rPr>
            </w:pPr>
            <w:r>
              <w:rPr>
                <w:rFonts w:hint="eastAsia"/>
                <w:color w:val="auto"/>
                <w:highlight w:val="none"/>
              </w:rPr>
              <w:t>第一完成单位，核心期刊每篇加0.5分。</w:t>
            </w:r>
          </w:p>
        </w:tc>
        <w:tc>
          <w:tcPr>
            <w:tcW w:w="2150" w:type="dxa"/>
            <w:vAlign w:val="center"/>
          </w:tcPr>
          <w:p w14:paraId="23F646A1">
            <w:pPr>
              <w:rPr>
                <w:color w:val="auto"/>
                <w:highlight w:val="none"/>
              </w:rPr>
            </w:pPr>
            <w:r>
              <w:rPr>
                <w:rFonts w:hint="eastAsia"/>
                <w:color w:val="auto"/>
                <w:highlight w:val="none"/>
              </w:rPr>
              <w:t>查出版物</w:t>
            </w:r>
          </w:p>
        </w:tc>
        <w:tc>
          <w:tcPr>
            <w:tcW w:w="1009" w:type="dxa"/>
          </w:tcPr>
          <w:p w14:paraId="4B645F1F">
            <w:pPr>
              <w:jc w:val="center"/>
              <w:rPr>
                <w:color w:val="auto"/>
                <w:highlight w:val="none"/>
              </w:rPr>
            </w:pPr>
          </w:p>
        </w:tc>
      </w:tr>
      <w:tr w14:paraId="0DF5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13EF0F6B">
            <w:pPr>
              <w:jc w:val="center"/>
              <w:rPr>
                <w:color w:val="auto"/>
                <w:highlight w:val="none"/>
              </w:rPr>
            </w:pPr>
            <w:r>
              <w:rPr>
                <w:rFonts w:hint="eastAsia"/>
                <w:color w:val="auto"/>
                <w:highlight w:val="none"/>
              </w:rPr>
              <w:t>5</w:t>
            </w:r>
          </w:p>
        </w:tc>
        <w:tc>
          <w:tcPr>
            <w:tcW w:w="4433" w:type="dxa"/>
            <w:vAlign w:val="center"/>
          </w:tcPr>
          <w:p w14:paraId="04C1546F">
            <w:pPr>
              <w:rPr>
                <w:color w:val="auto"/>
                <w:highlight w:val="none"/>
              </w:rPr>
            </w:pPr>
            <w:r>
              <w:rPr>
                <w:rFonts w:hint="eastAsia"/>
                <w:color w:val="auto"/>
                <w:highlight w:val="none"/>
              </w:rPr>
              <w:t>电力建设工法或同等级及以上工法</w:t>
            </w:r>
          </w:p>
        </w:tc>
        <w:tc>
          <w:tcPr>
            <w:tcW w:w="867" w:type="dxa"/>
          </w:tcPr>
          <w:p w14:paraId="3AC6246B">
            <w:pPr>
              <w:jc w:val="center"/>
              <w:rPr>
                <w:color w:val="auto"/>
                <w:highlight w:val="none"/>
              </w:rPr>
            </w:pPr>
            <w:r>
              <w:rPr>
                <w:rFonts w:hint="eastAsia"/>
                <w:color w:val="auto"/>
                <w:highlight w:val="none"/>
              </w:rPr>
              <w:t>1</w:t>
            </w:r>
          </w:p>
        </w:tc>
        <w:tc>
          <w:tcPr>
            <w:tcW w:w="5820" w:type="dxa"/>
          </w:tcPr>
          <w:p w14:paraId="40BF0847">
            <w:pPr>
              <w:rPr>
                <w:color w:val="auto"/>
                <w:highlight w:val="none"/>
              </w:rPr>
            </w:pPr>
            <w:r>
              <w:rPr>
                <w:rFonts w:hint="eastAsia"/>
                <w:color w:val="auto"/>
                <w:highlight w:val="none"/>
              </w:rPr>
              <w:t>第一单位，每项加0.5分。</w:t>
            </w:r>
          </w:p>
        </w:tc>
        <w:tc>
          <w:tcPr>
            <w:tcW w:w="2150" w:type="dxa"/>
            <w:vAlign w:val="center"/>
          </w:tcPr>
          <w:p w14:paraId="5CC8712B">
            <w:pPr>
              <w:rPr>
                <w:color w:val="auto"/>
                <w:highlight w:val="none"/>
              </w:rPr>
            </w:pPr>
            <w:r>
              <w:rPr>
                <w:rFonts w:hint="eastAsia"/>
                <w:color w:val="auto"/>
                <w:highlight w:val="none"/>
              </w:rPr>
              <w:t>查相关证明。</w:t>
            </w:r>
          </w:p>
        </w:tc>
        <w:tc>
          <w:tcPr>
            <w:tcW w:w="1009" w:type="dxa"/>
          </w:tcPr>
          <w:p w14:paraId="57C7CEF7">
            <w:pPr>
              <w:jc w:val="center"/>
              <w:rPr>
                <w:color w:val="auto"/>
                <w:highlight w:val="none"/>
              </w:rPr>
            </w:pPr>
          </w:p>
        </w:tc>
      </w:tr>
      <w:tr w14:paraId="4C78B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0F5703BB">
            <w:pPr>
              <w:jc w:val="center"/>
              <w:rPr>
                <w:color w:val="auto"/>
                <w:highlight w:val="none"/>
              </w:rPr>
            </w:pPr>
            <w:r>
              <w:rPr>
                <w:rFonts w:hint="eastAsia"/>
                <w:color w:val="auto"/>
                <w:highlight w:val="none"/>
              </w:rPr>
              <w:t>6</w:t>
            </w:r>
          </w:p>
        </w:tc>
        <w:tc>
          <w:tcPr>
            <w:tcW w:w="4433" w:type="dxa"/>
            <w:vAlign w:val="center"/>
          </w:tcPr>
          <w:p w14:paraId="32623FE4">
            <w:pPr>
              <w:rPr>
                <w:color w:val="auto"/>
                <w:highlight w:val="none"/>
              </w:rPr>
            </w:pPr>
            <w:r>
              <w:rPr>
                <w:rFonts w:hint="eastAsia"/>
                <w:color w:val="auto"/>
                <w:highlight w:val="none"/>
              </w:rPr>
              <w:t>电力建设优秀质量管理（QC）小组成果奖或同等级及以上成果奖</w:t>
            </w:r>
          </w:p>
        </w:tc>
        <w:tc>
          <w:tcPr>
            <w:tcW w:w="867" w:type="dxa"/>
          </w:tcPr>
          <w:p w14:paraId="17644AAC">
            <w:pPr>
              <w:jc w:val="center"/>
              <w:rPr>
                <w:color w:val="auto"/>
                <w:highlight w:val="none"/>
              </w:rPr>
            </w:pPr>
            <w:r>
              <w:rPr>
                <w:rFonts w:hint="eastAsia"/>
                <w:color w:val="auto"/>
                <w:highlight w:val="none"/>
              </w:rPr>
              <w:t>1</w:t>
            </w:r>
          </w:p>
        </w:tc>
        <w:tc>
          <w:tcPr>
            <w:tcW w:w="5820" w:type="dxa"/>
            <w:vAlign w:val="center"/>
          </w:tcPr>
          <w:p w14:paraId="2925CC71">
            <w:pPr>
              <w:rPr>
                <w:color w:val="auto"/>
                <w:highlight w:val="none"/>
              </w:rPr>
            </w:pPr>
            <w:r>
              <w:rPr>
                <w:rFonts w:hint="eastAsia"/>
                <w:color w:val="auto"/>
                <w:highlight w:val="none"/>
              </w:rPr>
              <w:t>第一单位，每项加0.2分。</w:t>
            </w:r>
          </w:p>
        </w:tc>
        <w:tc>
          <w:tcPr>
            <w:tcW w:w="2150" w:type="dxa"/>
            <w:vAlign w:val="center"/>
          </w:tcPr>
          <w:p w14:paraId="72714BD5">
            <w:pPr>
              <w:rPr>
                <w:color w:val="auto"/>
                <w:highlight w:val="none"/>
              </w:rPr>
            </w:pPr>
            <w:r>
              <w:rPr>
                <w:rFonts w:hint="eastAsia"/>
                <w:color w:val="auto"/>
                <w:highlight w:val="none"/>
              </w:rPr>
              <w:t>查获奖证明。</w:t>
            </w:r>
          </w:p>
        </w:tc>
        <w:tc>
          <w:tcPr>
            <w:tcW w:w="1009" w:type="dxa"/>
          </w:tcPr>
          <w:p w14:paraId="257158DD">
            <w:pPr>
              <w:jc w:val="center"/>
              <w:rPr>
                <w:color w:val="auto"/>
                <w:highlight w:val="none"/>
              </w:rPr>
            </w:pPr>
          </w:p>
        </w:tc>
      </w:tr>
      <w:tr w14:paraId="6B1C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7" w:type="dxa"/>
            <w:vAlign w:val="center"/>
          </w:tcPr>
          <w:p w14:paraId="23B81F03">
            <w:pPr>
              <w:jc w:val="center"/>
              <w:rPr>
                <w:color w:val="auto"/>
                <w:highlight w:val="none"/>
              </w:rPr>
            </w:pPr>
            <w:r>
              <w:rPr>
                <w:rFonts w:hint="eastAsia"/>
                <w:color w:val="auto"/>
                <w:highlight w:val="none"/>
              </w:rPr>
              <w:t>7</w:t>
            </w:r>
          </w:p>
        </w:tc>
        <w:tc>
          <w:tcPr>
            <w:tcW w:w="4433" w:type="dxa"/>
            <w:vAlign w:val="center"/>
          </w:tcPr>
          <w:p w14:paraId="08F017DB">
            <w:pPr>
              <w:rPr>
                <w:color w:val="auto"/>
                <w:highlight w:val="none"/>
              </w:rPr>
            </w:pPr>
            <w:r>
              <w:rPr>
                <w:rFonts w:hint="eastAsia"/>
                <w:color w:val="auto"/>
                <w:highlight w:val="none"/>
              </w:rPr>
              <w:t>宣传报道</w:t>
            </w:r>
          </w:p>
        </w:tc>
        <w:tc>
          <w:tcPr>
            <w:tcW w:w="867" w:type="dxa"/>
          </w:tcPr>
          <w:p w14:paraId="708F4949">
            <w:pPr>
              <w:jc w:val="center"/>
              <w:rPr>
                <w:color w:val="auto"/>
                <w:highlight w:val="none"/>
              </w:rPr>
            </w:pPr>
            <w:r>
              <w:rPr>
                <w:rFonts w:hint="eastAsia"/>
                <w:color w:val="auto"/>
                <w:highlight w:val="none"/>
              </w:rPr>
              <w:t>2</w:t>
            </w:r>
          </w:p>
        </w:tc>
        <w:tc>
          <w:tcPr>
            <w:tcW w:w="5820" w:type="dxa"/>
          </w:tcPr>
          <w:p w14:paraId="65611B64">
            <w:pPr>
              <w:rPr>
                <w:color w:val="auto"/>
                <w:highlight w:val="none"/>
              </w:rPr>
            </w:pPr>
            <w:r>
              <w:rPr>
                <w:rFonts w:hint="eastAsia"/>
                <w:color w:val="auto"/>
                <w:highlight w:val="none"/>
              </w:rPr>
              <w:t>国网公司级、行业级媒体，每篇加0.4分。</w:t>
            </w:r>
          </w:p>
          <w:p w14:paraId="63014875">
            <w:pPr>
              <w:pStyle w:val="2"/>
              <w:rPr>
                <w:color w:val="auto"/>
                <w:highlight w:val="none"/>
              </w:rPr>
            </w:pPr>
            <w:r>
              <w:rPr>
                <w:rFonts w:hint="eastAsia"/>
                <w:color w:val="auto"/>
                <w:sz w:val="21"/>
                <w:szCs w:val="22"/>
                <w:highlight w:val="none"/>
              </w:rPr>
              <w:t>中央级媒体，每篇加1分。</w:t>
            </w:r>
          </w:p>
        </w:tc>
        <w:tc>
          <w:tcPr>
            <w:tcW w:w="2150" w:type="dxa"/>
            <w:vAlign w:val="center"/>
          </w:tcPr>
          <w:p w14:paraId="40738A03">
            <w:pPr>
              <w:rPr>
                <w:color w:val="auto"/>
                <w:highlight w:val="none"/>
              </w:rPr>
            </w:pPr>
            <w:r>
              <w:rPr>
                <w:rFonts w:hint="eastAsia"/>
                <w:color w:val="auto"/>
                <w:highlight w:val="none"/>
              </w:rPr>
              <w:t>查出版物或音像制品。</w:t>
            </w:r>
          </w:p>
        </w:tc>
        <w:tc>
          <w:tcPr>
            <w:tcW w:w="1009" w:type="dxa"/>
          </w:tcPr>
          <w:p w14:paraId="4BE3525B">
            <w:pPr>
              <w:jc w:val="center"/>
              <w:rPr>
                <w:color w:val="auto"/>
                <w:highlight w:val="none"/>
              </w:rPr>
            </w:pPr>
          </w:p>
        </w:tc>
      </w:tr>
      <w:tr w14:paraId="7754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96" w:type="dxa"/>
            <w:gridSpan w:val="6"/>
          </w:tcPr>
          <w:p w14:paraId="1CA96E90">
            <w:pPr>
              <w:jc w:val="center"/>
              <w:rPr>
                <w:color w:val="auto"/>
                <w:highlight w:val="none"/>
              </w:rPr>
            </w:pPr>
            <w:r>
              <w:rPr>
                <w:rFonts w:hint="eastAsia"/>
                <w:b/>
                <w:bCs/>
                <w:color w:val="auto"/>
                <w:highlight w:val="none"/>
              </w:rPr>
              <w:t>总体评价加分</w:t>
            </w:r>
          </w:p>
        </w:tc>
      </w:tr>
    </w:tbl>
    <w:p w14:paraId="5231B39F">
      <w:pPr>
        <w:ind w:firstLine="2310" w:firstLineChars="1100"/>
        <w:rPr>
          <w:color w:val="auto"/>
          <w:highlight w:val="none"/>
        </w:rPr>
      </w:pPr>
    </w:p>
    <w:p w14:paraId="44D9B646">
      <w:pPr>
        <w:ind w:firstLine="2310" w:firstLineChars="1100"/>
        <w:rPr>
          <w:color w:val="auto"/>
          <w:highlight w:val="none"/>
        </w:rPr>
      </w:pPr>
      <w:r>
        <w:rPr>
          <w:rFonts w:hint="eastAsia"/>
          <w:color w:val="auto"/>
          <w:highlight w:val="none"/>
        </w:rPr>
        <w:t>备注：1. 表内各检查子项的标准分是该项工作评价的最高得分，也是检查加分的上限。</w:t>
      </w:r>
    </w:p>
    <w:p w14:paraId="186D586E">
      <w:pPr>
        <w:topLinePunct/>
        <w:snapToGrid w:val="0"/>
        <w:spacing w:line="240" w:lineRule="atLeast"/>
        <w:ind w:firstLine="2940" w:firstLineChars="1400"/>
        <w:rPr>
          <w:rFonts w:hint="eastAsia" w:ascii="仿宋" w:hAnsi="仿宋" w:eastAsia="仿宋" w:cs="仿宋"/>
          <w:color w:val="auto"/>
          <w:szCs w:val="24"/>
          <w:highlight w:val="none"/>
          <w:u w:val="single"/>
        </w:rPr>
      </w:pPr>
      <w:r>
        <w:rPr>
          <w:rFonts w:hint="eastAsia"/>
          <w:color w:val="auto"/>
          <w:highlight w:val="none"/>
        </w:rPr>
        <w:t>2. 在工程结算时，由建设管理单位按《总体评价加分表》给予评分。</w:t>
      </w:r>
    </w:p>
    <w:p w14:paraId="237FDB42">
      <w:pPr>
        <w:pStyle w:val="9"/>
        <w:rPr>
          <w:rFonts w:hint="eastAsia" w:ascii="仿宋" w:hAnsi="仿宋" w:eastAsia="仿宋" w:cs="仿宋"/>
          <w:color w:val="auto"/>
          <w:szCs w:val="24"/>
          <w:highlight w:val="none"/>
          <w:u w:val="single"/>
        </w:rPr>
      </w:pPr>
    </w:p>
    <w:sectPr>
      <w:pgSz w:w="16838" w:h="11906" w:orient="landscape"/>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0"/>
    <w:family w:val="modern"/>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国标宋体-超大字符集扩"/>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国标宋体-超大字符集扩"/>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Noto Sans Syriac Eastern"/>
    <w:panose1 w:val="02040503050406030204"/>
    <w:charset w:val="00"/>
    <w:family w:val="roman"/>
    <w:pitch w:val="default"/>
    <w:sig w:usb0="00000000" w:usb1="00000000" w:usb2="02000000" w:usb3="00000000" w:csb0="2000019F" w:csb1="00000000"/>
  </w:font>
  <w:font w:name="Noto Sans Syriac Eastern">
    <w:panose1 w:val="02040503050306020203"/>
    <w:charset w:val="86"/>
    <w:family w:val="auto"/>
    <w:pitch w:val="default"/>
    <w:sig w:usb0="00000000" w:usb1="00000000" w:usb2="00000080" w:usb3="00000000" w:csb0="203E0161" w:csb1="D7FF0000"/>
  </w:font>
  <w:font w:name="EU-F1">
    <w:altName w:val="国标仿宋"/>
    <w:panose1 w:val="00000000000000000000"/>
    <w:charset w:val="86"/>
    <w:family w:val="auto"/>
    <w:pitch w:val="default"/>
    <w:sig w:usb0="00000000" w:usb1="00000000" w:usb2="00000010" w:usb3="00000000" w:csb0="00040000" w:csb1="00000000"/>
  </w:font>
  <w:font w:name="国标仿宋">
    <w:panose1 w:val="02000500000000000000"/>
    <w:charset w:val="86"/>
    <w:family w:val="auto"/>
    <w:pitch w:val="default"/>
    <w:sig w:usb0="A00002BF" w:usb1="38C77CFA" w:usb2="00000016" w:usb3="00000000" w:csb0="00060007" w:csb1="00000000"/>
  </w:font>
  <w:font w:name="方正仿宋_GBK">
    <w:panose1 w:val="02000000000000000000"/>
    <w:charset w:val="86"/>
    <w:family w:val="script"/>
    <w:pitch w:val="default"/>
    <w:sig w:usb0="00000001" w:usb1="08000000" w:usb2="00000000" w:usb3="00000000" w:csb0="00040000" w:csb1="00000000"/>
  </w:font>
  <w:font w:name="微软雅黑">
    <w:altName w:val="方正黑体_GBK"/>
    <w:panose1 w:val="020B0503020204020204"/>
    <w:charset w:val="86"/>
    <w:family w:val="auto"/>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等线">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思源宋体">
    <w:panose1 w:val="02020400000000000000"/>
    <w:charset w:val="86"/>
    <w:family w:val="auto"/>
    <w:pitch w:val="default"/>
    <w:sig w:usb0="30000083" w:usb1="2BDF3C10" w:usb2="00000016" w:usb3="00000000" w:csb0="602E0107" w:csb1="00000000"/>
  </w:font>
  <w:font w:name="国标宋体-超大字符集扩">
    <w:panose1 w:val="000005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14F0D">
    <w:pPr>
      <w:pStyle w:val="2"/>
      <w:jc w:val="center"/>
      <w:rPr>
        <w:sz w:val="22"/>
      </w:rPr>
    </w:pPr>
    <w:r>
      <w:rPr>
        <w:sz w:val="22"/>
      </w:rPr>
      <w:fldChar w:fldCharType="begin"/>
    </w:r>
    <w:r>
      <w:rPr>
        <w:sz w:val="22"/>
      </w:rPr>
      <w:instrText xml:space="preserve">PAGE   \* MERGEFORMAT</w:instrText>
    </w:r>
    <w:r>
      <w:rPr>
        <w:sz w:val="22"/>
      </w:rPr>
      <w:fldChar w:fldCharType="separate"/>
    </w:r>
    <w:r>
      <w:rPr>
        <w:sz w:val="22"/>
        <w:lang w:val="zh-CN"/>
      </w:rPr>
      <w:t>4</w:t>
    </w:r>
    <w:r>
      <w:rPr>
        <w:sz w:val="22"/>
      </w:rPr>
      <w:fldChar w:fldCharType="end"/>
    </w:r>
  </w:p>
  <w:p w14:paraId="07636718">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206700F5">
      <w:pPr>
        <w:pStyle w:val="12"/>
        <w:adjustRightInd w:val="0"/>
      </w:pPr>
      <w:r>
        <w:rPr>
          <w:rStyle w:val="20"/>
        </w:rPr>
        <w:footnoteRef/>
      </w:r>
      <w:r>
        <w:t xml:space="preserve"> </w:t>
      </w:r>
      <w:r>
        <w:rPr>
          <w:rFonts w:hint="eastAsia" w:ascii="等线" w:hAnsi="等线"/>
        </w:rPr>
        <w:t>建议在签订合同时选择诉讼方式。</w:t>
      </w:r>
    </w:p>
  </w:footnote>
  <w:footnote w:id="1">
    <w:p w14:paraId="0C38FA72">
      <w:pPr>
        <w:pStyle w:val="12"/>
        <w:adjustRightInd w:val="0"/>
      </w:pPr>
      <w:r>
        <w:rPr>
          <w:rStyle w:val="20"/>
        </w:rPr>
        <w:footnoteRef/>
      </w:r>
      <w:r>
        <w:t xml:space="preserve"> </w:t>
      </w:r>
      <w:r>
        <w:rPr>
          <w:rFonts w:hint="eastAsia" w:ascii="等线" w:hAnsi="等线"/>
        </w:rPr>
        <w:t>如选择其他仲裁规则，可以在专用合同条款中明确。</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69AFB"/>
    <w:multiLevelType w:val="singleLevel"/>
    <w:tmpl w:val="93669AFB"/>
    <w:lvl w:ilvl="0" w:tentative="0">
      <w:start w:val="1"/>
      <w:numFmt w:val="decimal"/>
      <w:lvlText w:val="%1."/>
      <w:lvlJc w:val="left"/>
      <w:pPr>
        <w:tabs>
          <w:tab w:val="left" w:pos="312"/>
        </w:tabs>
      </w:pPr>
    </w:lvl>
  </w:abstractNum>
  <w:abstractNum w:abstractNumId="1">
    <w:nsid w:val="E7586F38"/>
    <w:multiLevelType w:val="singleLevel"/>
    <w:tmpl w:val="E7586F38"/>
    <w:lvl w:ilvl="0" w:tentative="0">
      <w:start w:val="1"/>
      <w:numFmt w:val="decimal"/>
      <w:lvlText w:val="%1."/>
      <w:lvlJc w:val="left"/>
      <w:pPr>
        <w:tabs>
          <w:tab w:val="left" w:pos="312"/>
        </w:tabs>
      </w:pPr>
    </w:lvl>
  </w:abstractNum>
  <w:abstractNum w:abstractNumId="2">
    <w:nsid w:val="F29AB328"/>
    <w:multiLevelType w:val="singleLevel"/>
    <w:tmpl w:val="F29AB328"/>
    <w:lvl w:ilvl="0" w:tentative="0">
      <w:start w:val="1"/>
      <w:numFmt w:val="decimal"/>
      <w:lvlText w:val="%1."/>
      <w:lvlJc w:val="left"/>
      <w:pPr>
        <w:tabs>
          <w:tab w:val="left" w:pos="312"/>
        </w:tabs>
      </w:pPr>
    </w:lvl>
  </w:abstractNum>
  <w:abstractNum w:abstractNumId="3">
    <w:nsid w:val="00000003"/>
    <w:multiLevelType w:val="singleLevel"/>
    <w:tmpl w:val="00000003"/>
    <w:lvl w:ilvl="0" w:tentative="0">
      <w:start w:val="1"/>
      <w:numFmt w:val="decimal"/>
      <w:suff w:val="nothing"/>
      <w:lvlText w:val="（%1）"/>
      <w:lvlJc w:val="left"/>
      <w:pPr>
        <w:ind w:left="-140"/>
      </w:pPr>
    </w:lvl>
  </w:abstractNum>
  <w:abstractNum w:abstractNumId="4">
    <w:nsid w:val="00000007"/>
    <w:multiLevelType w:val="multilevel"/>
    <w:tmpl w:val="0000000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6C3C3B2"/>
    <w:multiLevelType w:val="singleLevel"/>
    <w:tmpl w:val="56C3C3B2"/>
    <w:lvl w:ilvl="0" w:tentative="0">
      <w:start w:val="2"/>
      <w:numFmt w:val="decimal"/>
      <w:suff w:val="space"/>
      <w:lvlText w:val="%1."/>
      <w:lvlJc w:val="left"/>
    </w:lvl>
  </w:abstractNum>
  <w:abstractNum w:abstractNumId="6">
    <w:nsid w:val="56CB0785"/>
    <w:multiLevelType w:val="singleLevel"/>
    <w:tmpl w:val="56CB0785"/>
    <w:lvl w:ilvl="0" w:tentative="0">
      <w:start w:val="1"/>
      <w:numFmt w:val="chineseCounting"/>
      <w:suff w:val="nothing"/>
      <w:lvlText w:val="%1、"/>
      <w:lvlJc w:val="left"/>
      <w:rPr>
        <w:rFonts w:hint="eastAsia"/>
      </w:rPr>
    </w:lvl>
  </w:abstractNum>
  <w:num w:numId="1">
    <w:abstractNumId w:val="4"/>
  </w:num>
  <w:num w:numId="2">
    <w:abstractNumId w:val="3"/>
  </w:num>
  <w:num w:numId="3">
    <w:abstractNumId w:val="6"/>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mIwYzhhNGNmYWFhYjgwODY0YjdiOGUyNzQ0NDkifQ=="/>
  </w:docVars>
  <w:rsids>
    <w:rsidRoot w:val="004E3D88"/>
    <w:rsid w:val="0001004A"/>
    <w:rsid w:val="0001324A"/>
    <w:rsid w:val="00013E26"/>
    <w:rsid w:val="00015C16"/>
    <w:rsid w:val="00023DE3"/>
    <w:rsid w:val="00024639"/>
    <w:rsid w:val="000246CC"/>
    <w:rsid w:val="00026CB9"/>
    <w:rsid w:val="00027A42"/>
    <w:rsid w:val="00031419"/>
    <w:rsid w:val="00032DD8"/>
    <w:rsid w:val="00032FAA"/>
    <w:rsid w:val="00033554"/>
    <w:rsid w:val="0003682F"/>
    <w:rsid w:val="0003750B"/>
    <w:rsid w:val="00041783"/>
    <w:rsid w:val="00043C72"/>
    <w:rsid w:val="00043C75"/>
    <w:rsid w:val="00044FC6"/>
    <w:rsid w:val="000458AB"/>
    <w:rsid w:val="00050492"/>
    <w:rsid w:val="000507F8"/>
    <w:rsid w:val="00052DDC"/>
    <w:rsid w:val="00053413"/>
    <w:rsid w:val="00055AC4"/>
    <w:rsid w:val="00060A03"/>
    <w:rsid w:val="00062E8D"/>
    <w:rsid w:val="00063B06"/>
    <w:rsid w:val="00063DF7"/>
    <w:rsid w:val="00065DF7"/>
    <w:rsid w:val="00071413"/>
    <w:rsid w:val="0008147B"/>
    <w:rsid w:val="000846E7"/>
    <w:rsid w:val="000875AB"/>
    <w:rsid w:val="000879F4"/>
    <w:rsid w:val="00087E92"/>
    <w:rsid w:val="00090AB2"/>
    <w:rsid w:val="00090B55"/>
    <w:rsid w:val="0009187E"/>
    <w:rsid w:val="0009416A"/>
    <w:rsid w:val="00096140"/>
    <w:rsid w:val="000A268E"/>
    <w:rsid w:val="000A546B"/>
    <w:rsid w:val="000B04BF"/>
    <w:rsid w:val="000B27B3"/>
    <w:rsid w:val="000B369E"/>
    <w:rsid w:val="000B5AFB"/>
    <w:rsid w:val="000B5D26"/>
    <w:rsid w:val="000B6D80"/>
    <w:rsid w:val="000B70E4"/>
    <w:rsid w:val="000B7EB5"/>
    <w:rsid w:val="000C0B2F"/>
    <w:rsid w:val="000C7425"/>
    <w:rsid w:val="000D0603"/>
    <w:rsid w:val="000D35C2"/>
    <w:rsid w:val="000D768F"/>
    <w:rsid w:val="000E6185"/>
    <w:rsid w:val="000F1EF5"/>
    <w:rsid w:val="000F51A9"/>
    <w:rsid w:val="000F7240"/>
    <w:rsid w:val="000F7998"/>
    <w:rsid w:val="000F7CDE"/>
    <w:rsid w:val="001024CA"/>
    <w:rsid w:val="00103109"/>
    <w:rsid w:val="00103E65"/>
    <w:rsid w:val="001060F5"/>
    <w:rsid w:val="00106BA7"/>
    <w:rsid w:val="00110059"/>
    <w:rsid w:val="00111678"/>
    <w:rsid w:val="00111E34"/>
    <w:rsid w:val="001139FD"/>
    <w:rsid w:val="00113F43"/>
    <w:rsid w:val="001153F6"/>
    <w:rsid w:val="001266C3"/>
    <w:rsid w:val="00130C75"/>
    <w:rsid w:val="00133514"/>
    <w:rsid w:val="001347EC"/>
    <w:rsid w:val="0013632A"/>
    <w:rsid w:val="001406F8"/>
    <w:rsid w:val="00140F6B"/>
    <w:rsid w:val="001414C5"/>
    <w:rsid w:val="001433AF"/>
    <w:rsid w:val="0014424F"/>
    <w:rsid w:val="0014757E"/>
    <w:rsid w:val="00152E27"/>
    <w:rsid w:val="00153618"/>
    <w:rsid w:val="00153F14"/>
    <w:rsid w:val="0015409A"/>
    <w:rsid w:val="00154509"/>
    <w:rsid w:val="0015571F"/>
    <w:rsid w:val="00164EDC"/>
    <w:rsid w:val="001663FA"/>
    <w:rsid w:val="00167BCA"/>
    <w:rsid w:val="00167FD2"/>
    <w:rsid w:val="00170304"/>
    <w:rsid w:val="00170537"/>
    <w:rsid w:val="001721DA"/>
    <w:rsid w:val="001746B9"/>
    <w:rsid w:val="00175400"/>
    <w:rsid w:val="00175AB4"/>
    <w:rsid w:val="00176C16"/>
    <w:rsid w:val="001801E7"/>
    <w:rsid w:val="0018104B"/>
    <w:rsid w:val="001819FC"/>
    <w:rsid w:val="00183B57"/>
    <w:rsid w:val="00187ADF"/>
    <w:rsid w:val="001903D7"/>
    <w:rsid w:val="0019109B"/>
    <w:rsid w:val="00192520"/>
    <w:rsid w:val="00193082"/>
    <w:rsid w:val="001A13ED"/>
    <w:rsid w:val="001A2218"/>
    <w:rsid w:val="001A267F"/>
    <w:rsid w:val="001A5A84"/>
    <w:rsid w:val="001B0F8C"/>
    <w:rsid w:val="001B18EE"/>
    <w:rsid w:val="001B6261"/>
    <w:rsid w:val="001B7EAB"/>
    <w:rsid w:val="001C0E33"/>
    <w:rsid w:val="001C2BF0"/>
    <w:rsid w:val="001C646E"/>
    <w:rsid w:val="001D3171"/>
    <w:rsid w:val="001D3D72"/>
    <w:rsid w:val="001D419A"/>
    <w:rsid w:val="001D482A"/>
    <w:rsid w:val="001D49FA"/>
    <w:rsid w:val="001D6D63"/>
    <w:rsid w:val="001D7418"/>
    <w:rsid w:val="001E0F6C"/>
    <w:rsid w:val="001E1056"/>
    <w:rsid w:val="001E1BCF"/>
    <w:rsid w:val="001E2D52"/>
    <w:rsid w:val="001F0032"/>
    <w:rsid w:val="001F0DD5"/>
    <w:rsid w:val="001F239D"/>
    <w:rsid w:val="001F4634"/>
    <w:rsid w:val="001F46BF"/>
    <w:rsid w:val="002011AA"/>
    <w:rsid w:val="00203477"/>
    <w:rsid w:val="00203BC0"/>
    <w:rsid w:val="00203F34"/>
    <w:rsid w:val="00205822"/>
    <w:rsid w:val="00205E87"/>
    <w:rsid w:val="0020730D"/>
    <w:rsid w:val="00216E5A"/>
    <w:rsid w:val="00220E9A"/>
    <w:rsid w:val="00224B80"/>
    <w:rsid w:val="00226B26"/>
    <w:rsid w:val="00226F12"/>
    <w:rsid w:val="00227570"/>
    <w:rsid w:val="00231C9A"/>
    <w:rsid w:val="002337CF"/>
    <w:rsid w:val="002347DD"/>
    <w:rsid w:val="002376F0"/>
    <w:rsid w:val="0023798B"/>
    <w:rsid w:val="00237F47"/>
    <w:rsid w:val="002407BA"/>
    <w:rsid w:val="00251CB5"/>
    <w:rsid w:val="0025310F"/>
    <w:rsid w:val="00254E58"/>
    <w:rsid w:val="0025562F"/>
    <w:rsid w:val="00255A42"/>
    <w:rsid w:val="00256FEC"/>
    <w:rsid w:val="0026069E"/>
    <w:rsid w:val="002607A8"/>
    <w:rsid w:val="0026204B"/>
    <w:rsid w:val="00263B82"/>
    <w:rsid w:val="002644FF"/>
    <w:rsid w:val="00270CF3"/>
    <w:rsid w:val="00272738"/>
    <w:rsid w:val="002758FA"/>
    <w:rsid w:val="002831D5"/>
    <w:rsid w:val="00286AA2"/>
    <w:rsid w:val="0029098E"/>
    <w:rsid w:val="002928B3"/>
    <w:rsid w:val="002929A5"/>
    <w:rsid w:val="0029381F"/>
    <w:rsid w:val="002939C8"/>
    <w:rsid w:val="00294024"/>
    <w:rsid w:val="002956A8"/>
    <w:rsid w:val="002A4F93"/>
    <w:rsid w:val="002B13E0"/>
    <w:rsid w:val="002B362A"/>
    <w:rsid w:val="002B5584"/>
    <w:rsid w:val="002C1D2B"/>
    <w:rsid w:val="002D07B9"/>
    <w:rsid w:val="002D2B99"/>
    <w:rsid w:val="002D5AC5"/>
    <w:rsid w:val="002D7132"/>
    <w:rsid w:val="002E3594"/>
    <w:rsid w:val="002E629D"/>
    <w:rsid w:val="002E786E"/>
    <w:rsid w:val="002E7943"/>
    <w:rsid w:val="002F5FC0"/>
    <w:rsid w:val="00301E8B"/>
    <w:rsid w:val="00304E35"/>
    <w:rsid w:val="003052BD"/>
    <w:rsid w:val="00307608"/>
    <w:rsid w:val="00313CC0"/>
    <w:rsid w:val="00314979"/>
    <w:rsid w:val="003150E7"/>
    <w:rsid w:val="00320F7B"/>
    <w:rsid w:val="003212F1"/>
    <w:rsid w:val="003219D8"/>
    <w:rsid w:val="003231D9"/>
    <w:rsid w:val="00324B55"/>
    <w:rsid w:val="00327C78"/>
    <w:rsid w:val="00331701"/>
    <w:rsid w:val="00333642"/>
    <w:rsid w:val="003346FE"/>
    <w:rsid w:val="00337251"/>
    <w:rsid w:val="0034338B"/>
    <w:rsid w:val="003471B6"/>
    <w:rsid w:val="003507AD"/>
    <w:rsid w:val="00350968"/>
    <w:rsid w:val="00353959"/>
    <w:rsid w:val="00355B61"/>
    <w:rsid w:val="00360096"/>
    <w:rsid w:val="0036053E"/>
    <w:rsid w:val="0036138B"/>
    <w:rsid w:val="00362311"/>
    <w:rsid w:val="003645F8"/>
    <w:rsid w:val="003670AD"/>
    <w:rsid w:val="003727F7"/>
    <w:rsid w:val="00391F30"/>
    <w:rsid w:val="0039233B"/>
    <w:rsid w:val="00396238"/>
    <w:rsid w:val="003A3E92"/>
    <w:rsid w:val="003B04A9"/>
    <w:rsid w:val="003B1FD7"/>
    <w:rsid w:val="003B2816"/>
    <w:rsid w:val="003B2B2C"/>
    <w:rsid w:val="003B424C"/>
    <w:rsid w:val="003B505D"/>
    <w:rsid w:val="003B5266"/>
    <w:rsid w:val="003B7411"/>
    <w:rsid w:val="003B75DF"/>
    <w:rsid w:val="003C16ED"/>
    <w:rsid w:val="003C4273"/>
    <w:rsid w:val="003C436D"/>
    <w:rsid w:val="003D017E"/>
    <w:rsid w:val="003D62B0"/>
    <w:rsid w:val="003E33E0"/>
    <w:rsid w:val="003E427D"/>
    <w:rsid w:val="003E4C12"/>
    <w:rsid w:val="003E5541"/>
    <w:rsid w:val="003F3909"/>
    <w:rsid w:val="003F3AF2"/>
    <w:rsid w:val="003F59C5"/>
    <w:rsid w:val="00400C1B"/>
    <w:rsid w:val="0040202C"/>
    <w:rsid w:val="00405B6A"/>
    <w:rsid w:val="004074E7"/>
    <w:rsid w:val="00411DF6"/>
    <w:rsid w:val="00412619"/>
    <w:rsid w:val="00413E56"/>
    <w:rsid w:val="0042014C"/>
    <w:rsid w:val="00420BFA"/>
    <w:rsid w:val="0042337B"/>
    <w:rsid w:val="004268C5"/>
    <w:rsid w:val="00426DCD"/>
    <w:rsid w:val="00431244"/>
    <w:rsid w:val="00433156"/>
    <w:rsid w:val="00435E61"/>
    <w:rsid w:val="00436CBF"/>
    <w:rsid w:val="00437132"/>
    <w:rsid w:val="0043780E"/>
    <w:rsid w:val="00440931"/>
    <w:rsid w:val="004511D4"/>
    <w:rsid w:val="00451B8E"/>
    <w:rsid w:val="00452B13"/>
    <w:rsid w:val="0045423C"/>
    <w:rsid w:val="004542B7"/>
    <w:rsid w:val="00455AB6"/>
    <w:rsid w:val="004565E9"/>
    <w:rsid w:val="004648DD"/>
    <w:rsid w:val="004741AA"/>
    <w:rsid w:val="00475B5A"/>
    <w:rsid w:val="004770E3"/>
    <w:rsid w:val="00477EF9"/>
    <w:rsid w:val="00484BA8"/>
    <w:rsid w:val="00485CDB"/>
    <w:rsid w:val="00486825"/>
    <w:rsid w:val="00486F1F"/>
    <w:rsid w:val="0049004A"/>
    <w:rsid w:val="00491E35"/>
    <w:rsid w:val="00492293"/>
    <w:rsid w:val="004942A7"/>
    <w:rsid w:val="004A3BF8"/>
    <w:rsid w:val="004B23FC"/>
    <w:rsid w:val="004B2E8A"/>
    <w:rsid w:val="004B3789"/>
    <w:rsid w:val="004B7329"/>
    <w:rsid w:val="004C050D"/>
    <w:rsid w:val="004C0782"/>
    <w:rsid w:val="004C3179"/>
    <w:rsid w:val="004C3929"/>
    <w:rsid w:val="004C489A"/>
    <w:rsid w:val="004D779F"/>
    <w:rsid w:val="004E004F"/>
    <w:rsid w:val="004E3D88"/>
    <w:rsid w:val="004F5466"/>
    <w:rsid w:val="004F67A0"/>
    <w:rsid w:val="004F7060"/>
    <w:rsid w:val="004F74BF"/>
    <w:rsid w:val="005001CF"/>
    <w:rsid w:val="00502481"/>
    <w:rsid w:val="00503906"/>
    <w:rsid w:val="00505DF7"/>
    <w:rsid w:val="00507EBB"/>
    <w:rsid w:val="00511B94"/>
    <w:rsid w:val="00512836"/>
    <w:rsid w:val="00512AD2"/>
    <w:rsid w:val="00512D19"/>
    <w:rsid w:val="00512E43"/>
    <w:rsid w:val="00513746"/>
    <w:rsid w:val="00516E3D"/>
    <w:rsid w:val="005255EE"/>
    <w:rsid w:val="00531FAE"/>
    <w:rsid w:val="00532AC5"/>
    <w:rsid w:val="005378E8"/>
    <w:rsid w:val="005411EF"/>
    <w:rsid w:val="00544619"/>
    <w:rsid w:val="00547805"/>
    <w:rsid w:val="00550533"/>
    <w:rsid w:val="005511EF"/>
    <w:rsid w:val="00552FD2"/>
    <w:rsid w:val="00561A3D"/>
    <w:rsid w:val="00563865"/>
    <w:rsid w:val="005711D3"/>
    <w:rsid w:val="00572CD5"/>
    <w:rsid w:val="00573331"/>
    <w:rsid w:val="005749DE"/>
    <w:rsid w:val="00575BB4"/>
    <w:rsid w:val="00575C61"/>
    <w:rsid w:val="00576551"/>
    <w:rsid w:val="005768F9"/>
    <w:rsid w:val="00576C6E"/>
    <w:rsid w:val="00580065"/>
    <w:rsid w:val="005808E7"/>
    <w:rsid w:val="005817CB"/>
    <w:rsid w:val="00581D26"/>
    <w:rsid w:val="005840C2"/>
    <w:rsid w:val="005915DF"/>
    <w:rsid w:val="00592D9B"/>
    <w:rsid w:val="005A39B2"/>
    <w:rsid w:val="005A3D74"/>
    <w:rsid w:val="005A5C7A"/>
    <w:rsid w:val="005B0CB9"/>
    <w:rsid w:val="005B36CD"/>
    <w:rsid w:val="005B528A"/>
    <w:rsid w:val="005B5E60"/>
    <w:rsid w:val="005B7A44"/>
    <w:rsid w:val="005C0D68"/>
    <w:rsid w:val="005C1662"/>
    <w:rsid w:val="005C4940"/>
    <w:rsid w:val="005C651C"/>
    <w:rsid w:val="005D4636"/>
    <w:rsid w:val="005D69B6"/>
    <w:rsid w:val="005D772F"/>
    <w:rsid w:val="005E031C"/>
    <w:rsid w:val="005E10B0"/>
    <w:rsid w:val="005E17C3"/>
    <w:rsid w:val="005F2F55"/>
    <w:rsid w:val="005F3BC2"/>
    <w:rsid w:val="005F4C9B"/>
    <w:rsid w:val="005F5C6F"/>
    <w:rsid w:val="0060446D"/>
    <w:rsid w:val="00605451"/>
    <w:rsid w:val="00607722"/>
    <w:rsid w:val="00613D2B"/>
    <w:rsid w:val="00614678"/>
    <w:rsid w:val="00616F31"/>
    <w:rsid w:val="0062041C"/>
    <w:rsid w:val="00624FB0"/>
    <w:rsid w:val="00632160"/>
    <w:rsid w:val="00633E92"/>
    <w:rsid w:val="006340E8"/>
    <w:rsid w:val="00634487"/>
    <w:rsid w:val="00635DC0"/>
    <w:rsid w:val="0064305E"/>
    <w:rsid w:val="006468CA"/>
    <w:rsid w:val="00647D8B"/>
    <w:rsid w:val="00652E75"/>
    <w:rsid w:val="006533CF"/>
    <w:rsid w:val="00653DDC"/>
    <w:rsid w:val="006572A3"/>
    <w:rsid w:val="00657313"/>
    <w:rsid w:val="006605EC"/>
    <w:rsid w:val="00663DC7"/>
    <w:rsid w:val="00664FC3"/>
    <w:rsid w:val="006674FF"/>
    <w:rsid w:val="006710BD"/>
    <w:rsid w:val="00671A3F"/>
    <w:rsid w:val="0067408A"/>
    <w:rsid w:val="00674DE4"/>
    <w:rsid w:val="00677ADD"/>
    <w:rsid w:val="006830C6"/>
    <w:rsid w:val="00685197"/>
    <w:rsid w:val="00687AA2"/>
    <w:rsid w:val="00687DE2"/>
    <w:rsid w:val="00691B86"/>
    <w:rsid w:val="00692515"/>
    <w:rsid w:val="006935D8"/>
    <w:rsid w:val="006A47C5"/>
    <w:rsid w:val="006A4F97"/>
    <w:rsid w:val="006A618B"/>
    <w:rsid w:val="006A76CB"/>
    <w:rsid w:val="006A7EB6"/>
    <w:rsid w:val="006B0BAB"/>
    <w:rsid w:val="006B4822"/>
    <w:rsid w:val="006B586A"/>
    <w:rsid w:val="006B5CBA"/>
    <w:rsid w:val="006B6404"/>
    <w:rsid w:val="006C346B"/>
    <w:rsid w:val="006C485D"/>
    <w:rsid w:val="006C689E"/>
    <w:rsid w:val="006C72F4"/>
    <w:rsid w:val="006D1537"/>
    <w:rsid w:val="006D26F8"/>
    <w:rsid w:val="006D3AAB"/>
    <w:rsid w:val="006D5B47"/>
    <w:rsid w:val="006D671A"/>
    <w:rsid w:val="006E0770"/>
    <w:rsid w:val="006E5051"/>
    <w:rsid w:val="006E5DB4"/>
    <w:rsid w:val="006E6526"/>
    <w:rsid w:val="006E6F81"/>
    <w:rsid w:val="006F0329"/>
    <w:rsid w:val="006F3827"/>
    <w:rsid w:val="007016C4"/>
    <w:rsid w:val="00710ADC"/>
    <w:rsid w:val="00713193"/>
    <w:rsid w:val="00713DBC"/>
    <w:rsid w:val="00716A69"/>
    <w:rsid w:val="007203C8"/>
    <w:rsid w:val="00721377"/>
    <w:rsid w:val="00721385"/>
    <w:rsid w:val="00725098"/>
    <w:rsid w:val="00734ECC"/>
    <w:rsid w:val="007526C8"/>
    <w:rsid w:val="00753E2F"/>
    <w:rsid w:val="0075630D"/>
    <w:rsid w:val="00756B67"/>
    <w:rsid w:val="0075714D"/>
    <w:rsid w:val="00760B96"/>
    <w:rsid w:val="007646BC"/>
    <w:rsid w:val="00767CA5"/>
    <w:rsid w:val="00772D7D"/>
    <w:rsid w:val="00774700"/>
    <w:rsid w:val="007826DD"/>
    <w:rsid w:val="00783E57"/>
    <w:rsid w:val="00783F10"/>
    <w:rsid w:val="00784509"/>
    <w:rsid w:val="00785A16"/>
    <w:rsid w:val="00791F19"/>
    <w:rsid w:val="007929C3"/>
    <w:rsid w:val="00797A8C"/>
    <w:rsid w:val="007A0ADA"/>
    <w:rsid w:val="007A30AC"/>
    <w:rsid w:val="007A3B85"/>
    <w:rsid w:val="007A4F0D"/>
    <w:rsid w:val="007B0378"/>
    <w:rsid w:val="007B0B7A"/>
    <w:rsid w:val="007B1171"/>
    <w:rsid w:val="007B3A5B"/>
    <w:rsid w:val="007B4CAC"/>
    <w:rsid w:val="007B61C8"/>
    <w:rsid w:val="007D0E6D"/>
    <w:rsid w:val="007D1872"/>
    <w:rsid w:val="007D4D2E"/>
    <w:rsid w:val="007D556A"/>
    <w:rsid w:val="007D6445"/>
    <w:rsid w:val="007E23EF"/>
    <w:rsid w:val="007E244C"/>
    <w:rsid w:val="007E2C23"/>
    <w:rsid w:val="007E6D22"/>
    <w:rsid w:val="007E7B7E"/>
    <w:rsid w:val="007F13FD"/>
    <w:rsid w:val="007F27E7"/>
    <w:rsid w:val="007F3934"/>
    <w:rsid w:val="008044D1"/>
    <w:rsid w:val="008048E4"/>
    <w:rsid w:val="008068DC"/>
    <w:rsid w:val="0080700F"/>
    <w:rsid w:val="0081013A"/>
    <w:rsid w:val="00811FA3"/>
    <w:rsid w:val="00816823"/>
    <w:rsid w:val="008179EF"/>
    <w:rsid w:val="008211BF"/>
    <w:rsid w:val="0082284C"/>
    <w:rsid w:val="0082725F"/>
    <w:rsid w:val="0083160E"/>
    <w:rsid w:val="00837064"/>
    <w:rsid w:val="00837AA4"/>
    <w:rsid w:val="008402B2"/>
    <w:rsid w:val="008435BB"/>
    <w:rsid w:val="008447C9"/>
    <w:rsid w:val="00846993"/>
    <w:rsid w:val="00852AD9"/>
    <w:rsid w:val="008543AF"/>
    <w:rsid w:val="00854C41"/>
    <w:rsid w:val="00854C70"/>
    <w:rsid w:val="00856B75"/>
    <w:rsid w:val="008613E8"/>
    <w:rsid w:val="00862876"/>
    <w:rsid w:val="0086691C"/>
    <w:rsid w:val="00867D1F"/>
    <w:rsid w:val="00871F76"/>
    <w:rsid w:val="00872D87"/>
    <w:rsid w:val="008757CF"/>
    <w:rsid w:val="008827BC"/>
    <w:rsid w:val="0088490F"/>
    <w:rsid w:val="00892F5E"/>
    <w:rsid w:val="008970BC"/>
    <w:rsid w:val="008A0889"/>
    <w:rsid w:val="008A1B41"/>
    <w:rsid w:val="008A33A9"/>
    <w:rsid w:val="008A4247"/>
    <w:rsid w:val="008A5CC5"/>
    <w:rsid w:val="008A69C9"/>
    <w:rsid w:val="008B59DB"/>
    <w:rsid w:val="008B7F1A"/>
    <w:rsid w:val="008C1725"/>
    <w:rsid w:val="008C7999"/>
    <w:rsid w:val="008D38FC"/>
    <w:rsid w:val="008D3C97"/>
    <w:rsid w:val="008E064F"/>
    <w:rsid w:val="008E31F1"/>
    <w:rsid w:val="008F6DFB"/>
    <w:rsid w:val="008F70A2"/>
    <w:rsid w:val="0090174A"/>
    <w:rsid w:val="009049FE"/>
    <w:rsid w:val="00904EEF"/>
    <w:rsid w:val="009069A7"/>
    <w:rsid w:val="009100F4"/>
    <w:rsid w:val="00910F14"/>
    <w:rsid w:val="00912F4B"/>
    <w:rsid w:val="0092035F"/>
    <w:rsid w:val="00922D87"/>
    <w:rsid w:val="0092301B"/>
    <w:rsid w:val="00926A93"/>
    <w:rsid w:val="0092710E"/>
    <w:rsid w:val="00930490"/>
    <w:rsid w:val="00932A10"/>
    <w:rsid w:val="0093421E"/>
    <w:rsid w:val="009347BE"/>
    <w:rsid w:val="00935C46"/>
    <w:rsid w:val="00943002"/>
    <w:rsid w:val="00943106"/>
    <w:rsid w:val="00947E28"/>
    <w:rsid w:val="00951C20"/>
    <w:rsid w:val="00954FC5"/>
    <w:rsid w:val="00960844"/>
    <w:rsid w:val="00962415"/>
    <w:rsid w:val="00962A92"/>
    <w:rsid w:val="00975C33"/>
    <w:rsid w:val="009821F7"/>
    <w:rsid w:val="0098533F"/>
    <w:rsid w:val="00985557"/>
    <w:rsid w:val="00985872"/>
    <w:rsid w:val="00991290"/>
    <w:rsid w:val="00991A39"/>
    <w:rsid w:val="00994A63"/>
    <w:rsid w:val="00995405"/>
    <w:rsid w:val="009971E4"/>
    <w:rsid w:val="00997CF0"/>
    <w:rsid w:val="009A0D1A"/>
    <w:rsid w:val="009A25A9"/>
    <w:rsid w:val="009A26D4"/>
    <w:rsid w:val="009A5334"/>
    <w:rsid w:val="009A759C"/>
    <w:rsid w:val="009B09FA"/>
    <w:rsid w:val="009B0E02"/>
    <w:rsid w:val="009B24FD"/>
    <w:rsid w:val="009B3334"/>
    <w:rsid w:val="009B435A"/>
    <w:rsid w:val="009B5171"/>
    <w:rsid w:val="009C0327"/>
    <w:rsid w:val="009C082E"/>
    <w:rsid w:val="009C0E54"/>
    <w:rsid w:val="009C257A"/>
    <w:rsid w:val="009C27FB"/>
    <w:rsid w:val="009C2DFE"/>
    <w:rsid w:val="009C4D27"/>
    <w:rsid w:val="009C647B"/>
    <w:rsid w:val="009C78D8"/>
    <w:rsid w:val="009D0B49"/>
    <w:rsid w:val="009D1FA6"/>
    <w:rsid w:val="009D4734"/>
    <w:rsid w:val="009D7B63"/>
    <w:rsid w:val="009E16AE"/>
    <w:rsid w:val="009E4543"/>
    <w:rsid w:val="009E456E"/>
    <w:rsid w:val="009E593A"/>
    <w:rsid w:val="009E6277"/>
    <w:rsid w:val="009E6420"/>
    <w:rsid w:val="009F7777"/>
    <w:rsid w:val="009F7BE7"/>
    <w:rsid w:val="009F7EC1"/>
    <w:rsid w:val="00A002FD"/>
    <w:rsid w:val="00A028A5"/>
    <w:rsid w:val="00A02C48"/>
    <w:rsid w:val="00A05F32"/>
    <w:rsid w:val="00A07E04"/>
    <w:rsid w:val="00A11A6C"/>
    <w:rsid w:val="00A12531"/>
    <w:rsid w:val="00A147E6"/>
    <w:rsid w:val="00A23560"/>
    <w:rsid w:val="00A268CA"/>
    <w:rsid w:val="00A26AF2"/>
    <w:rsid w:val="00A32BE2"/>
    <w:rsid w:val="00A37C40"/>
    <w:rsid w:val="00A40941"/>
    <w:rsid w:val="00A44352"/>
    <w:rsid w:val="00A4633E"/>
    <w:rsid w:val="00A47204"/>
    <w:rsid w:val="00A506D6"/>
    <w:rsid w:val="00A51194"/>
    <w:rsid w:val="00A52ACA"/>
    <w:rsid w:val="00A53499"/>
    <w:rsid w:val="00A606D6"/>
    <w:rsid w:val="00A60940"/>
    <w:rsid w:val="00A61C32"/>
    <w:rsid w:val="00A63854"/>
    <w:rsid w:val="00A64299"/>
    <w:rsid w:val="00A64B08"/>
    <w:rsid w:val="00A665A1"/>
    <w:rsid w:val="00A729FC"/>
    <w:rsid w:val="00A73952"/>
    <w:rsid w:val="00A74B9B"/>
    <w:rsid w:val="00A76C8A"/>
    <w:rsid w:val="00A76E92"/>
    <w:rsid w:val="00A77C7C"/>
    <w:rsid w:val="00A80F9F"/>
    <w:rsid w:val="00A8193D"/>
    <w:rsid w:val="00A83AEE"/>
    <w:rsid w:val="00A87B95"/>
    <w:rsid w:val="00A93E6A"/>
    <w:rsid w:val="00AA22EF"/>
    <w:rsid w:val="00AA3972"/>
    <w:rsid w:val="00AA4072"/>
    <w:rsid w:val="00AA44A4"/>
    <w:rsid w:val="00AA50BD"/>
    <w:rsid w:val="00AA63A0"/>
    <w:rsid w:val="00AA6692"/>
    <w:rsid w:val="00AC035D"/>
    <w:rsid w:val="00AC2F53"/>
    <w:rsid w:val="00AC531A"/>
    <w:rsid w:val="00AC558D"/>
    <w:rsid w:val="00AD2094"/>
    <w:rsid w:val="00AD5C44"/>
    <w:rsid w:val="00AD6AA4"/>
    <w:rsid w:val="00AD7562"/>
    <w:rsid w:val="00AE0067"/>
    <w:rsid w:val="00AE26AE"/>
    <w:rsid w:val="00AE26C2"/>
    <w:rsid w:val="00AE6B74"/>
    <w:rsid w:val="00AE7328"/>
    <w:rsid w:val="00AF342D"/>
    <w:rsid w:val="00AF4E94"/>
    <w:rsid w:val="00AF5CFF"/>
    <w:rsid w:val="00B00605"/>
    <w:rsid w:val="00B03FF4"/>
    <w:rsid w:val="00B07CA1"/>
    <w:rsid w:val="00B13EFC"/>
    <w:rsid w:val="00B14F51"/>
    <w:rsid w:val="00B321C0"/>
    <w:rsid w:val="00B34166"/>
    <w:rsid w:val="00B35B21"/>
    <w:rsid w:val="00B35C54"/>
    <w:rsid w:val="00B442E0"/>
    <w:rsid w:val="00B45A16"/>
    <w:rsid w:val="00B50AC4"/>
    <w:rsid w:val="00B516D1"/>
    <w:rsid w:val="00B52937"/>
    <w:rsid w:val="00B560A2"/>
    <w:rsid w:val="00B568E7"/>
    <w:rsid w:val="00B57B1A"/>
    <w:rsid w:val="00B60BD2"/>
    <w:rsid w:val="00B6131E"/>
    <w:rsid w:val="00B65BC6"/>
    <w:rsid w:val="00B65CD5"/>
    <w:rsid w:val="00B7006D"/>
    <w:rsid w:val="00B7344A"/>
    <w:rsid w:val="00B75B37"/>
    <w:rsid w:val="00B7791B"/>
    <w:rsid w:val="00B806DA"/>
    <w:rsid w:val="00B812E2"/>
    <w:rsid w:val="00B82DA4"/>
    <w:rsid w:val="00B91B50"/>
    <w:rsid w:val="00B937CE"/>
    <w:rsid w:val="00B95CEA"/>
    <w:rsid w:val="00B961C1"/>
    <w:rsid w:val="00BA702B"/>
    <w:rsid w:val="00BA771C"/>
    <w:rsid w:val="00BA7A3E"/>
    <w:rsid w:val="00BB3E76"/>
    <w:rsid w:val="00BB509A"/>
    <w:rsid w:val="00BB54C8"/>
    <w:rsid w:val="00BB55A1"/>
    <w:rsid w:val="00BB609B"/>
    <w:rsid w:val="00BB7C8F"/>
    <w:rsid w:val="00BC2BBD"/>
    <w:rsid w:val="00BC34F1"/>
    <w:rsid w:val="00BC377D"/>
    <w:rsid w:val="00BC4C83"/>
    <w:rsid w:val="00BC777C"/>
    <w:rsid w:val="00BD0854"/>
    <w:rsid w:val="00BD1F74"/>
    <w:rsid w:val="00BD2A3D"/>
    <w:rsid w:val="00BD4256"/>
    <w:rsid w:val="00BD42D1"/>
    <w:rsid w:val="00BD4950"/>
    <w:rsid w:val="00BD5642"/>
    <w:rsid w:val="00BE1F7E"/>
    <w:rsid w:val="00BE3FD4"/>
    <w:rsid w:val="00BE4469"/>
    <w:rsid w:val="00BF1F54"/>
    <w:rsid w:val="00C0562B"/>
    <w:rsid w:val="00C0566D"/>
    <w:rsid w:val="00C066BA"/>
    <w:rsid w:val="00C13EA5"/>
    <w:rsid w:val="00C1536B"/>
    <w:rsid w:val="00C1771D"/>
    <w:rsid w:val="00C2593C"/>
    <w:rsid w:val="00C25D9C"/>
    <w:rsid w:val="00C26CE6"/>
    <w:rsid w:val="00C27957"/>
    <w:rsid w:val="00C30D1D"/>
    <w:rsid w:val="00C32BA0"/>
    <w:rsid w:val="00C33A96"/>
    <w:rsid w:val="00C33ED8"/>
    <w:rsid w:val="00C34B4D"/>
    <w:rsid w:val="00C36ED0"/>
    <w:rsid w:val="00C4613E"/>
    <w:rsid w:val="00C47113"/>
    <w:rsid w:val="00C50216"/>
    <w:rsid w:val="00C5044C"/>
    <w:rsid w:val="00C524BA"/>
    <w:rsid w:val="00C5466D"/>
    <w:rsid w:val="00C63832"/>
    <w:rsid w:val="00C63C09"/>
    <w:rsid w:val="00C6598F"/>
    <w:rsid w:val="00C66D7D"/>
    <w:rsid w:val="00C676B2"/>
    <w:rsid w:val="00C70F2D"/>
    <w:rsid w:val="00C74836"/>
    <w:rsid w:val="00C74F4C"/>
    <w:rsid w:val="00C80036"/>
    <w:rsid w:val="00C8014C"/>
    <w:rsid w:val="00C83F53"/>
    <w:rsid w:val="00C8545A"/>
    <w:rsid w:val="00C863E4"/>
    <w:rsid w:val="00C87C04"/>
    <w:rsid w:val="00C93B43"/>
    <w:rsid w:val="00C95961"/>
    <w:rsid w:val="00C97472"/>
    <w:rsid w:val="00C97FC5"/>
    <w:rsid w:val="00CA06D3"/>
    <w:rsid w:val="00CA5743"/>
    <w:rsid w:val="00CA65DB"/>
    <w:rsid w:val="00CA6CE2"/>
    <w:rsid w:val="00CA75BE"/>
    <w:rsid w:val="00CB003E"/>
    <w:rsid w:val="00CB178F"/>
    <w:rsid w:val="00CB2075"/>
    <w:rsid w:val="00CB38C3"/>
    <w:rsid w:val="00CB3DD9"/>
    <w:rsid w:val="00CB5F67"/>
    <w:rsid w:val="00CB742A"/>
    <w:rsid w:val="00CB7A78"/>
    <w:rsid w:val="00CC0F81"/>
    <w:rsid w:val="00CC4FED"/>
    <w:rsid w:val="00CC531F"/>
    <w:rsid w:val="00CC6F9E"/>
    <w:rsid w:val="00CD2011"/>
    <w:rsid w:val="00CD2305"/>
    <w:rsid w:val="00CD32EE"/>
    <w:rsid w:val="00CE45D3"/>
    <w:rsid w:val="00CF00A4"/>
    <w:rsid w:val="00CF1AD9"/>
    <w:rsid w:val="00CF1D94"/>
    <w:rsid w:val="00CF3D2A"/>
    <w:rsid w:val="00D05603"/>
    <w:rsid w:val="00D0668F"/>
    <w:rsid w:val="00D07633"/>
    <w:rsid w:val="00D11A2C"/>
    <w:rsid w:val="00D17E97"/>
    <w:rsid w:val="00D201F1"/>
    <w:rsid w:val="00D20359"/>
    <w:rsid w:val="00D20760"/>
    <w:rsid w:val="00D21995"/>
    <w:rsid w:val="00D23553"/>
    <w:rsid w:val="00D23939"/>
    <w:rsid w:val="00D23F45"/>
    <w:rsid w:val="00D27B09"/>
    <w:rsid w:val="00D31AE4"/>
    <w:rsid w:val="00D3414F"/>
    <w:rsid w:val="00D34A25"/>
    <w:rsid w:val="00D34A4E"/>
    <w:rsid w:val="00D37181"/>
    <w:rsid w:val="00D410CB"/>
    <w:rsid w:val="00D448C4"/>
    <w:rsid w:val="00D45FD2"/>
    <w:rsid w:val="00D52CEC"/>
    <w:rsid w:val="00D55A9D"/>
    <w:rsid w:val="00D6462F"/>
    <w:rsid w:val="00D66010"/>
    <w:rsid w:val="00D671A9"/>
    <w:rsid w:val="00D759BA"/>
    <w:rsid w:val="00D80E45"/>
    <w:rsid w:val="00D80FD9"/>
    <w:rsid w:val="00D82D99"/>
    <w:rsid w:val="00D90FD4"/>
    <w:rsid w:val="00D93F06"/>
    <w:rsid w:val="00DA37BA"/>
    <w:rsid w:val="00DA4496"/>
    <w:rsid w:val="00DB02C6"/>
    <w:rsid w:val="00DB46C8"/>
    <w:rsid w:val="00DB67BA"/>
    <w:rsid w:val="00DC0AB6"/>
    <w:rsid w:val="00DC33BF"/>
    <w:rsid w:val="00DD07BB"/>
    <w:rsid w:val="00DD3B21"/>
    <w:rsid w:val="00DD5F6F"/>
    <w:rsid w:val="00DD7485"/>
    <w:rsid w:val="00DD7C6F"/>
    <w:rsid w:val="00DE27C3"/>
    <w:rsid w:val="00DF1692"/>
    <w:rsid w:val="00DF4126"/>
    <w:rsid w:val="00DF5C50"/>
    <w:rsid w:val="00DF736C"/>
    <w:rsid w:val="00DF7F16"/>
    <w:rsid w:val="00E000E7"/>
    <w:rsid w:val="00E00F98"/>
    <w:rsid w:val="00E01B88"/>
    <w:rsid w:val="00E02ED5"/>
    <w:rsid w:val="00E119AE"/>
    <w:rsid w:val="00E123E9"/>
    <w:rsid w:val="00E1611E"/>
    <w:rsid w:val="00E165E0"/>
    <w:rsid w:val="00E17327"/>
    <w:rsid w:val="00E22E71"/>
    <w:rsid w:val="00E236AF"/>
    <w:rsid w:val="00E238CE"/>
    <w:rsid w:val="00E2565D"/>
    <w:rsid w:val="00E311EC"/>
    <w:rsid w:val="00E31345"/>
    <w:rsid w:val="00E31369"/>
    <w:rsid w:val="00E34512"/>
    <w:rsid w:val="00E3528E"/>
    <w:rsid w:val="00E41148"/>
    <w:rsid w:val="00E42DC3"/>
    <w:rsid w:val="00E44829"/>
    <w:rsid w:val="00E460B6"/>
    <w:rsid w:val="00E46563"/>
    <w:rsid w:val="00E46ED0"/>
    <w:rsid w:val="00E47DCB"/>
    <w:rsid w:val="00E47EC8"/>
    <w:rsid w:val="00E5262A"/>
    <w:rsid w:val="00E5368A"/>
    <w:rsid w:val="00E53A37"/>
    <w:rsid w:val="00E560F7"/>
    <w:rsid w:val="00E57319"/>
    <w:rsid w:val="00E60278"/>
    <w:rsid w:val="00E6170C"/>
    <w:rsid w:val="00E66840"/>
    <w:rsid w:val="00E708AB"/>
    <w:rsid w:val="00E751B9"/>
    <w:rsid w:val="00E753AE"/>
    <w:rsid w:val="00E77261"/>
    <w:rsid w:val="00E77717"/>
    <w:rsid w:val="00E82CAB"/>
    <w:rsid w:val="00E82DBC"/>
    <w:rsid w:val="00E83CFC"/>
    <w:rsid w:val="00E86E80"/>
    <w:rsid w:val="00E86F31"/>
    <w:rsid w:val="00E925B9"/>
    <w:rsid w:val="00E93C76"/>
    <w:rsid w:val="00E9606B"/>
    <w:rsid w:val="00E96500"/>
    <w:rsid w:val="00EA28FA"/>
    <w:rsid w:val="00EA2B6E"/>
    <w:rsid w:val="00EA37BA"/>
    <w:rsid w:val="00EA3FD0"/>
    <w:rsid w:val="00EA6C4D"/>
    <w:rsid w:val="00EA785E"/>
    <w:rsid w:val="00EB2903"/>
    <w:rsid w:val="00EB2CA9"/>
    <w:rsid w:val="00EB75C8"/>
    <w:rsid w:val="00EC213C"/>
    <w:rsid w:val="00EC26FD"/>
    <w:rsid w:val="00EC3E75"/>
    <w:rsid w:val="00EC639E"/>
    <w:rsid w:val="00ED38C1"/>
    <w:rsid w:val="00ED59E3"/>
    <w:rsid w:val="00ED6B8E"/>
    <w:rsid w:val="00EE0C35"/>
    <w:rsid w:val="00EE42D3"/>
    <w:rsid w:val="00EE515F"/>
    <w:rsid w:val="00EE5477"/>
    <w:rsid w:val="00EE7A36"/>
    <w:rsid w:val="00EF274B"/>
    <w:rsid w:val="00EF3CAD"/>
    <w:rsid w:val="00EF6DB5"/>
    <w:rsid w:val="00F0093E"/>
    <w:rsid w:val="00F073E3"/>
    <w:rsid w:val="00F16F3B"/>
    <w:rsid w:val="00F360CF"/>
    <w:rsid w:val="00F366A0"/>
    <w:rsid w:val="00F36D73"/>
    <w:rsid w:val="00F414CB"/>
    <w:rsid w:val="00F420B7"/>
    <w:rsid w:val="00F52006"/>
    <w:rsid w:val="00F53264"/>
    <w:rsid w:val="00F54DE8"/>
    <w:rsid w:val="00F56304"/>
    <w:rsid w:val="00F64D0C"/>
    <w:rsid w:val="00F65621"/>
    <w:rsid w:val="00F65DA6"/>
    <w:rsid w:val="00F66809"/>
    <w:rsid w:val="00F74252"/>
    <w:rsid w:val="00F811E1"/>
    <w:rsid w:val="00F8272E"/>
    <w:rsid w:val="00F85AE2"/>
    <w:rsid w:val="00FA3C19"/>
    <w:rsid w:val="00FA45C8"/>
    <w:rsid w:val="00FA58E1"/>
    <w:rsid w:val="00FA65B8"/>
    <w:rsid w:val="00FA7BC5"/>
    <w:rsid w:val="00FB01D0"/>
    <w:rsid w:val="00FB14DD"/>
    <w:rsid w:val="00FB7D7D"/>
    <w:rsid w:val="00FC0975"/>
    <w:rsid w:val="00FC3471"/>
    <w:rsid w:val="00FC55AE"/>
    <w:rsid w:val="00FC5723"/>
    <w:rsid w:val="00FC6930"/>
    <w:rsid w:val="00FC7D8A"/>
    <w:rsid w:val="00FD01AD"/>
    <w:rsid w:val="00FD1A3E"/>
    <w:rsid w:val="00FD5AE3"/>
    <w:rsid w:val="00FD7002"/>
    <w:rsid w:val="00FE0437"/>
    <w:rsid w:val="00FE215D"/>
    <w:rsid w:val="00FE3B60"/>
    <w:rsid w:val="00FE406D"/>
    <w:rsid w:val="00FE433F"/>
    <w:rsid w:val="00FE5B41"/>
    <w:rsid w:val="00FE75A1"/>
    <w:rsid w:val="00FF0153"/>
    <w:rsid w:val="00FF0F21"/>
    <w:rsid w:val="00FF1579"/>
    <w:rsid w:val="00FF1704"/>
    <w:rsid w:val="00FF2ECE"/>
    <w:rsid w:val="00FF5545"/>
    <w:rsid w:val="00FF56B3"/>
    <w:rsid w:val="01571A0B"/>
    <w:rsid w:val="016374A2"/>
    <w:rsid w:val="01A57758"/>
    <w:rsid w:val="01B341F8"/>
    <w:rsid w:val="01BC1FDE"/>
    <w:rsid w:val="01E342BC"/>
    <w:rsid w:val="0243002A"/>
    <w:rsid w:val="0289447D"/>
    <w:rsid w:val="02D16251"/>
    <w:rsid w:val="030E4B1A"/>
    <w:rsid w:val="04B835C2"/>
    <w:rsid w:val="056E5CA3"/>
    <w:rsid w:val="05921EC7"/>
    <w:rsid w:val="06DD2429"/>
    <w:rsid w:val="07D00C53"/>
    <w:rsid w:val="08787374"/>
    <w:rsid w:val="09836F37"/>
    <w:rsid w:val="09C226AC"/>
    <w:rsid w:val="0B952B8D"/>
    <w:rsid w:val="0CA4271A"/>
    <w:rsid w:val="0CD90A4D"/>
    <w:rsid w:val="0E573A15"/>
    <w:rsid w:val="0EB43DAF"/>
    <w:rsid w:val="0FF56939"/>
    <w:rsid w:val="105B312A"/>
    <w:rsid w:val="127C26B9"/>
    <w:rsid w:val="14177D19"/>
    <w:rsid w:val="151A4108"/>
    <w:rsid w:val="152C2036"/>
    <w:rsid w:val="156F0FA9"/>
    <w:rsid w:val="159E5CF4"/>
    <w:rsid w:val="17DE1F20"/>
    <w:rsid w:val="17EA1E2F"/>
    <w:rsid w:val="17FF5737"/>
    <w:rsid w:val="18041EF0"/>
    <w:rsid w:val="18B34294"/>
    <w:rsid w:val="1A542ACE"/>
    <w:rsid w:val="1AB01E52"/>
    <w:rsid w:val="1BAE2864"/>
    <w:rsid w:val="1CE71162"/>
    <w:rsid w:val="1D3D4708"/>
    <w:rsid w:val="1E1B5FB3"/>
    <w:rsid w:val="1EA75ED9"/>
    <w:rsid w:val="1F390CCB"/>
    <w:rsid w:val="1FBE0035"/>
    <w:rsid w:val="222F1F58"/>
    <w:rsid w:val="240A48B8"/>
    <w:rsid w:val="242842CA"/>
    <w:rsid w:val="24A563F4"/>
    <w:rsid w:val="24BA06A5"/>
    <w:rsid w:val="250821BC"/>
    <w:rsid w:val="25357D1C"/>
    <w:rsid w:val="2549150C"/>
    <w:rsid w:val="275644FD"/>
    <w:rsid w:val="275B0FEC"/>
    <w:rsid w:val="277E1399"/>
    <w:rsid w:val="279A0BAB"/>
    <w:rsid w:val="279D6A43"/>
    <w:rsid w:val="28347384"/>
    <w:rsid w:val="28A563BE"/>
    <w:rsid w:val="296A218D"/>
    <w:rsid w:val="29CD19DA"/>
    <w:rsid w:val="29D56AB0"/>
    <w:rsid w:val="2D2171C0"/>
    <w:rsid w:val="2D342CBA"/>
    <w:rsid w:val="2DD54567"/>
    <w:rsid w:val="2E8D6F68"/>
    <w:rsid w:val="2EAF72B9"/>
    <w:rsid w:val="2EBF3CB9"/>
    <w:rsid w:val="309D3F50"/>
    <w:rsid w:val="30E667BD"/>
    <w:rsid w:val="323F2116"/>
    <w:rsid w:val="32FB5E48"/>
    <w:rsid w:val="337D2DDC"/>
    <w:rsid w:val="33EB6F58"/>
    <w:rsid w:val="345B684D"/>
    <w:rsid w:val="35341E2C"/>
    <w:rsid w:val="356E1147"/>
    <w:rsid w:val="3662023F"/>
    <w:rsid w:val="36CF74EB"/>
    <w:rsid w:val="3848097E"/>
    <w:rsid w:val="39887AA9"/>
    <w:rsid w:val="39D302AA"/>
    <w:rsid w:val="3A602C62"/>
    <w:rsid w:val="3BB10663"/>
    <w:rsid w:val="3BB53B6F"/>
    <w:rsid w:val="3BCD60A8"/>
    <w:rsid w:val="3BF70CEE"/>
    <w:rsid w:val="3C507EE6"/>
    <w:rsid w:val="3C7243B0"/>
    <w:rsid w:val="3C9640B2"/>
    <w:rsid w:val="3D215D20"/>
    <w:rsid w:val="3D4628A2"/>
    <w:rsid w:val="3E1F7BAE"/>
    <w:rsid w:val="3F94295F"/>
    <w:rsid w:val="408F05F9"/>
    <w:rsid w:val="40B07558"/>
    <w:rsid w:val="412907F7"/>
    <w:rsid w:val="412D1153"/>
    <w:rsid w:val="423563AB"/>
    <w:rsid w:val="42372720"/>
    <w:rsid w:val="42A10EFF"/>
    <w:rsid w:val="43987287"/>
    <w:rsid w:val="43AD1D66"/>
    <w:rsid w:val="445A641D"/>
    <w:rsid w:val="461021AE"/>
    <w:rsid w:val="46945A20"/>
    <w:rsid w:val="46B3080E"/>
    <w:rsid w:val="470A6AA5"/>
    <w:rsid w:val="47751E26"/>
    <w:rsid w:val="478B2A70"/>
    <w:rsid w:val="47CA4753"/>
    <w:rsid w:val="47EF7CC8"/>
    <w:rsid w:val="48566E36"/>
    <w:rsid w:val="498176A7"/>
    <w:rsid w:val="4A236EB1"/>
    <w:rsid w:val="4A8F25E7"/>
    <w:rsid w:val="4AEC68F9"/>
    <w:rsid w:val="4C53753C"/>
    <w:rsid w:val="4CD36723"/>
    <w:rsid w:val="4DF7045D"/>
    <w:rsid w:val="4F7D9A90"/>
    <w:rsid w:val="4FB158CE"/>
    <w:rsid w:val="50D94B44"/>
    <w:rsid w:val="51570FAB"/>
    <w:rsid w:val="5294325D"/>
    <w:rsid w:val="52DB7C4C"/>
    <w:rsid w:val="52DE58EE"/>
    <w:rsid w:val="54ED7D64"/>
    <w:rsid w:val="56B33FEC"/>
    <w:rsid w:val="56B543A8"/>
    <w:rsid w:val="56FF5271"/>
    <w:rsid w:val="57043DDE"/>
    <w:rsid w:val="571E173E"/>
    <w:rsid w:val="577D5B7B"/>
    <w:rsid w:val="57FB5472"/>
    <w:rsid w:val="58221AA4"/>
    <w:rsid w:val="583E71D6"/>
    <w:rsid w:val="587518AF"/>
    <w:rsid w:val="5A533C62"/>
    <w:rsid w:val="5A721380"/>
    <w:rsid w:val="5B0B05EE"/>
    <w:rsid w:val="5B443C4B"/>
    <w:rsid w:val="5B9836D5"/>
    <w:rsid w:val="5BEF03B0"/>
    <w:rsid w:val="5C4671AF"/>
    <w:rsid w:val="5C8567D6"/>
    <w:rsid w:val="5CDE5F6B"/>
    <w:rsid w:val="5DE87218"/>
    <w:rsid w:val="5EFFAB54"/>
    <w:rsid w:val="5F3F3CBA"/>
    <w:rsid w:val="5F597206"/>
    <w:rsid w:val="5FDC455F"/>
    <w:rsid w:val="61A05A02"/>
    <w:rsid w:val="61CA2018"/>
    <w:rsid w:val="63A46AC7"/>
    <w:rsid w:val="64205E1E"/>
    <w:rsid w:val="64887916"/>
    <w:rsid w:val="64972023"/>
    <w:rsid w:val="64C703D1"/>
    <w:rsid w:val="64FC6BF0"/>
    <w:rsid w:val="65147D0D"/>
    <w:rsid w:val="656D2D76"/>
    <w:rsid w:val="65F83F0A"/>
    <w:rsid w:val="66166687"/>
    <w:rsid w:val="662B5DF5"/>
    <w:rsid w:val="66A63D78"/>
    <w:rsid w:val="670A088A"/>
    <w:rsid w:val="67D61EEB"/>
    <w:rsid w:val="67F418D4"/>
    <w:rsid w:val="69A1245C"/>
    <w:rsid w:val="6AB16157"/>
    <w:rsid w:val="6B7B01B0"/>
    <w:rsid w:val="6BCE4FEF"/>
    <w:rsid w:val="6C3D30A4"/>
    <w:rsid w:val="6DD07BEA"/>
    <w:rsid w:val="6EF20153"/>
    <w:rsid w:val="6EFD2C28"/>
    <w:rsid w:val="6F003BAD"/>
    <w:rsid w:val="6F7FB7B1"/>
    <w:rsid w:val="6F985025"/>
    <w:rsid w:val="703A71BF"/>
    <w:rsid w:val="70A37617"/>
    <w:rsid w:val="71986DF4"/>
    <w:rsid w:val="71D90A76"/>
    <w:rsid w:val="72B44C5D"/>
    <w:rsid w:val="738000A4"/>
    <w:rsid w:val="7551380F"/>
    <w:rsid w:val="755A390D"/>
    <w:rsid w:val="755F4EA1"/>
    <w:rsid w:val="76392501"/>
    <w:rsid w:val="76C65115"/>
    <w:rsid w:val="771D68F4"/>
    <w:rsid w:val="7727250D"/>
    <w:rsid w:val="77A043AC"/>
    <w:rsid w:val="77B61AE8"/>
    <w:rsid w:val="780E5A4F"/>
    <w:rsid w:val="78666062"/>
    <w:rsid w:val="78CC583B"/>
    <w:rsid w:val="78D750CC"/>
    <w:rsid w:val="79742AA8"/>
    <w:rsid w:val="7A6D18F8"/>
    <w:rsid w:val="7AE51144"/>
    <w:rsid w:val="7B090AA8"/>
    <w:rsid w:val="7B1A2674"/>
    <w:rsid w:val="7B6FDC7F"/>
    <w:rsid w:val="7BB12CF6"/>
    <w:rsid w:val="7C37B4F1"/>
    <w:rsid w:val="7DF92C37"/>
    <w:rsid w:val="7EB46DFA"/>
    <w:rsid w:val="7EC6610C"/>
    <w:rsid w:val="7EFD492E"/>
    <w:rsid w:val="7F296452"/>
    <w:rsid w:val="7F3157BC"/>
    <w:rsid w:val="7FFDA238"/>
    <w:rsid w:val="9FEFFC5D"/>
    <w:rsid w:val="AFE7CFC0"/>
    <w:rsid w:val="B87E1049"/>
    <w:rsid w:val="BC1352EA"/>
    <w:rsid w:val="CC7EA8BC"/>
    <w:rsid w:val="DBDB6722"/>
    <w:rsid w:val="DCFFEBE3"/>
    <w:rsid w:val="DDAF4F30"/>
    <w:rsid w:val="DDED7ACF"/>
    <w:rsid w:val="DEAFCA38"/>
    <w:rsid w:val="DFBE9A92"/>
    <w:rsid w:val="F24E6543"/>
    <w:rsid w:val="F3DFF8ED"/>
    <w:rsid w:val="F3FF8C6C"/>
    <w:rsid w:val="F5FB1A80"/>
    <w:rsid w:val="FBA5FB4B"/>
    <w:rsid w:val="FD7E7705"/>
    <w:rsid w:val="FF3F9D19"/>
    <w:rsid w:val="FF678513"/>
    <w:rsid w:val="FFF37F2F"/>
    <w:rsid w:val="FFF7940B"/>
    <w:rsid w:val="FFFB7E6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28"/>
    <w:qFormat/>
    <w:uiPriority w:val="0"/>
    <w:pPr>
      <w:keepNext/>
      <w:keepLines/>
      <w:snapToGrid w:val="0"/>
      <w:spacing w:line="360" w:lineRule="auto"/>
      <w:jc w:val="center"/>
      <w:outlineLvl w:val="0"/>
    </w:pPr>
    <w:rPr>
      <w:rFonts w:ascii="Times New Roman" w:hAnsi="Times New Roman" w:eastAsia="黑体"/>
      <w:kern w:val="44"/>
      <w:sz w:val="32"/>
      <w:szCs w:val="20"/>
      <w:lang w:bidi="mn-Mong-CN"/>
    </w:rPr>
  </w:style>
  <w:style w:type="paragraph" w:styleId="4">
    <w:name w:val="heading 2"/>
    <w:basedOn w:val="1"/>
    <w:next w:val="1"/>
    <w:link w:val="35"/>
    <w:qFormat/>
    <w:uiPriority w:val="9"/>
    <w:pPr>
      <w:keepNext/>
      <w:keepLines/>
      <w:topLinePunct/>
      <w:adjustRightInd w:val="0"/>
      <w:snapToGrid w:val="0"/>
      <w:spacing w:beforeLines="80" w:afterLines="80"/>
      <w:jc w:val="left"/>
      <w:outlineLvl w:val="1"/>
    </w:pPr>
    <w:rPr>
      <w:rFonts w:ascii="Arial" w:hAnsi="Arial" w:eastAsia="黑体"/>
      <w:szCs w:val="20"/>
    </w:rPr>
  </w:style>
  <w:style w:type="paragraph" w:styleId="5">
    <w:name w:val="heading 3"/>
    <w:basedOn w:val="1"/>
    <w:next w:val="1"/>
    <w:link w:val="34"/>
    <w:qFormat/>
    <w:uiPriority w:val="9"/>
    <w:pPr>
      <w:keepNext/>
      <w:keepLines/>
      <w:spacing w:before="260" w:after="260" w:line="416" w:lineRule="auto"/>
      <w:outlineLvl w:val="2"/>
    </w:pPr>
    <w:rPr>
      <w:b/>
      <w:bCs/>
      <w:sz w:val="32"/>
      <w:szCs w:val="32"/>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29"/>
    <w:qFormat/>
    <w:uiPriority w:val="99"/>
    <w:pPr>
      <w:tabs>
        <w:tab w:val="center" w:pos="4153"/>
        <w:tab w:val="right" w:pos="8306"/>
      </w:tabs>
      <w:snapToGrid w:val="0"/>
      <w:jc w:val="left"/>
    </w:pPr>
    <w:rPr>
      <w:sz w:val="18"/>
      <w:szCs w:val="18"/>
    </w:rPr>
  </w:style>
  <w:style w:type="paragraph" w:styleId="6">
    <w:name w:val="Normal Indent"/>
    <w:basedOn w:val="1"/>
    <w:next w:val="1"/>
    <w:qFormat/>
    <w:uiPriority w:val="0"/>
    <w:pPr>
      <w:ind w:firstLine="420"/>
    </w:pPr>
    <w:rPr>
      <w:sz w:val="24"/>
      <w:szCs w:val="20"/>
    </w:rPr>
  </w:style>
  <w:style w:type="paragraph" w:styleId="7">
    <w:name w:val="Document Map"/>
    <w:basedOn w:val="1"/>
    <w:link w:val="24"/>
    <w:unhideWhenUsed/>
    <w:qFormat/>
    <w:uiPriority w:val="99"/>
    <w:rPr>
      <w:rFonts w:ascii="宋体"/>
      <w:sz w:val="18"/>
      <w:szCs w:val="18"/>
    </w:rPr>
  </w:style>
  <w:style w:type="paragraph" w:styleId="8">
    <w:name w:val="annotation text"/>
    <w:basedOn w:val="1"/>
    <w:link w:val="30"/>
    <w:unhideWhenUsed/>
    <w:qFormat/>
    <w:uiPriority w:val="99"/>
    <w:pPr>
      <w:jc w:val="left"/>
    </w:pPr>
  </w:style>
  <w:style w:type="paragraph" w:styleId="9">
    <w:name w:val="Body Text"/>
    <w:basedOn w:val="1"/>
    <w:qFormat/>
    <w:uiPriority w:val="0"/>
    <w:rPr>
      <w:sz w:val="24"/>
      <w:lang w:bidi="mn-Mong-CN"/>
    </w:rPr>
  </w:style>
  <w:style w:type="paragraph" w:styleId="10">
    <w:name w:val="Balloon Text"/>
    <w:basedOn w:val="1"/>
    <w:link w:val="25"/>
    <w:unhideWhenUsed/>
    <w:qFormat/>
    <w:uiPriority w:val="99"/>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3"/>
    <w:unhideWhenUsed/>
    <w:qFormat/>
    <w:uiPriority w:val="99"/>
    <w:pPr>
      <w:snapToGrid w:val="0"/>
      <w:jc w:val="left"/>
    </w:pPr>
    <w:rPr>
      <w:sz w:val="18"/>
    </w:rPr>
  </w:style>
  <w:style w:type="paragraph" w:styleId="13">
    <w:name w:val="annotation subject"/>
    <w:basedOn w:val="8"/>
    <w:next w:val="8"/>
    <w:link w:val="23"/>
    <w:unhideWhenUsed/>
    <w:qFormat/>
    <w:uiPriority w:val="99"/>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0"/>
    <w:rPr>
      <w:b/>
      <w:bCs/>
    </w:rPr>
  </w:style>
  <w:style w:type="character" w:styleId="18">
    <w:name w:val="Hyperlink"/>
    <w:qFormat/>
    <w:uiPriority w:val="99"/>
    <w:rPr>
      <w:color w:val="0000FF"/>
      <w:u w:val="single"/>
    </w:rPr>
  </w:style>
  <w:style w:type="character" w:styleId="19">
    <w:name w:val="annotation reference"/>
    <w:unhideWhenUsed/>
    <w:qFormat/>
    <w:uiPriority w:val="0"/>
    <w:rPr>
      <w:sz w:val="21"/>
      <w:szCs w:val="21"/>
    </w:rPr>
  </w:style>
  <w:style w:type="character" w:styleId="20">
    <w:name w:val="footnote reference"/>
    <w:unhideWhenUsed/>
    <w:qFormat/>
    <w:uiPriority w:val="99"/>
    <w:rPr>
      <w:rFonts w:hint="default" w:ascii="Times New Roman"/>
      <w:vertAlign w:val="superscript"/>
    </w:rPr>
  </w:style>
  <w:style w:type="character" w:customStyle="1" w:styleId="21">
    <w:name w:val="Heading 2 Char"/>
    <w:qFormat/>
    <w:uiPriority w:val="0"/>
    <w:rPr>
      <w:rFonts w:ascii="Cambria" w:hAnsi="Cambria" w:eastAsia="宋体"/>
      <w:b/>
      <w:sz w:val="32"/>
    </w:rPr>
  </w:style>
  <w:style w:type="character" w:customStyle="1" w:styleId="22">
    <w:name w:val="页眉 字符"/>
    <w:link w:val="11"/>
    <w:qFormat/>
    <w:uiPriority w:val="99"/>
    <w:rPr>
      <w:rFonts w:ascii="Calibri" w:hAnsi="Calibri" w:eastAsia="宋体" w:cs="Times New Roman"/>
      <w:sz w:val="18"/>
      <w:szCs w:val="18"/>
    </w:rPr>
  </w:style>
  <w:style w:type="character" w:customStyle="1" w:styleId="23">
    <w:name w:val="批注主题 字符"/>
    <w:link w:val="13"/>
    <w:qFormat/>
    <w:uiPriority w:val="99"/>
    <w:rPr>
      <w:rFonts w:ascii="Calibri" w:hAnsi="Calibri" w:eastAsia="宋体" w:cs="Times New Roman"/>
      <w:b/>
      <w:bCs/>
    </w:rPr>
  </w:style>
  <w:style w:type="character" w:customStyle="1" w:styleId="24">
    <w:name w:val="文档结构图 字符"/>
    <w:link w:val="7"/>
    <w:semiHidden/>
    <w:qFormat/>
    <w:uiPriority w:val="99"/>
    <w:rPr>
      <w:rFonts w:ascii="宋体" w:hAnsi="Calibri" w:eastAsia="宋体" w:cs="Times New Roman"/>
      <w:kern w:val="2"/>
      <w:sz w:val="18"/>
      <w:szCs w:val="18"/>
    </w:rPr>
  </w:style>
  <w:style w:type="character" w:customStyle="1" w:styleId="25">
    <w:name w:val="批注框文本 字符"/>
    <w:link w:val="10"/>
    <w:semiHidden/>
    <w:qFormat/>
    <w:uiPriority w:val="99"/>
    <w:rPr>
      <w:rFonts w:ascii="Calibri" w:hAnsi="Calibri" w:eastAsia="宋体" w:cs="Times New Roman"/>
      <w:sz w:val="18"/>
      <w:szCs w:val="18"/>
    </w:rPr>
  </w:style>
  <w:style w:type="character" w:customStyle="1" w:styleId="26">
    <w:name w:val="样式3 Char Char"/>
    <w:link w:val="27"/>
    <w:qFormat/>
    <w:uiPriority w:val="0"/>
    <w:rPr>
      <w:rFonts w:ascii="EU-F1" w:eastAsia="黑体"/>
    </w:rPr>
  </w:style>
  <w:style w:type="paragraph" w:customStyle="1" w:styleId="27">
    <w:name w:val="样式3"/>
    <w:basedOn w:val="1"/>
    <w:link w:val="26"/>
    <w:qFormat/>
    <w:uiPriority w:val="0"/>
    <w:pPr>
      <w:keepNext/>
      <w:keepLines/>
      <w:topLinePunct/>
      <w:spacing w:line="312" w:lineRule="exact"/>
    </w:pPr>
    <w:rPr>
      <w:rFonts w:ascii="EU-F1" w:hAnsi="Times New Roman" w:eastAsia="黑体"/>
      <w:kern w:val="0"/>
      <w:sz w:val="20"/>
      <w:szCs w:val="20"/>
      <w:lang w:bidi="mn-Mong-CN"/>
    </w:rPr>
  </w:style>
  <w:style w:type="character" w:customStyle="1" w:styleId="28">
    <w:name w:val="标题 1 字符"/>
    <w:link w:val="3"/>
    <w:qFormat/>
    <w:uiPriority w:val="0"/>
    <w:rPr>
      <w:rFonts w:eastAsia="黑体"/>
      <w:kern w:val="44"/>
      <w:sz w:val="32"/>
    </w:rPr>
  </w:style>
  <w:style w:type="character" w:customStyle="1" w:styleId="29">
    <w:name w:val="页脚 字符"/>
    <w:link w:val="2"/>
    <w:qFormat/>
    <w:uiPriority w:val="99"/>
    <w:rPr>
      <w:rFonts w:ascii="Calibri" w:hAnsi="Calibri" w:eastAsia="宋体" w:cs="Times New Roman"/>
      <w:sz w:val="18"/>
      <w:szCs w:val="18"/>
    </w:rPr>
  </w:style>
  <w:style w:type="character" w:customStyle="1" w:styleId="30">
    <w:name w:val="批注文字 字符"/>
    <w:link w:val="8"/>
    <w:qFormat/>
    <w:uiPriority w:val="99"/>
    <w:rPr>
      <w:rFonts w:ascii="Calibri" w:hAnsi="Calibri" w:eastAsia="宋体" w:cs="Times New Roman"/>
    </w:rPr>
  </w:style>
  <w:style w:type="character" w:customStyle="1" w:styleId="31">
    <w:name w:val="Char Char16"/>
    <w:qFormat/>
    <w:uiPriority w:val="0"/>
    <w:rPr>
      <w:b/>
      <w:kern w:val="2"/>
      <w:sz w:val="32"/>
    </w:rPr>
  </w:style>
  <w:style w:type="character" w:customStyle="1" w:styleId="32">
    <w:name w:val="font11"/>
    <w:qFormat/>
    <w:uiPriority w:val="0"/>
    <w:rPr>
      <w:rFonts w:hint="eastAsia" w:ascii="宋体" w:hAnsi="宋体" w:eastAsia="宋体"/>
      <w:color w:val="FF0000"/>
      <w:sz w:val="18"/>
      <w:u w:val="none"/>
    </w:rPr>
  </w:style>
  <w:style w:type="character" w:customStyle="1" w:styleId="33">
    <w:name w:val="脚注文本 字符"/>
    <w:link w:val="12"/>
    <w:qFormat/>
    <w:uiPriority w:val="99"/>
    <w:rPr>
      <w:kern w:val="2"/>
      <w:sz w:val="18"/>
      <w:szCs w:val="22"/>
    </w:rPr>
  </w:style>
  <w:style w:type="character" w:customStyle="1" w:styleId="34">
    <w:name w:val="标题 3 字符"/>
    <w:link w:val="5"/>
    <w:qFormat/>
    <w:uiPriority w:val="9"/>
    <w:rPr>
      <w:rFonts w:ascii="Calibri" w:hAnsi="Calibri" w:eastAsia="宋体" w:cs="Times New Roman"/>
      <w:b/>
      <w:bCs/>
      <w:sz w:val="32"/>
      <w:szCs w:val="32"/>
    </w:rPr>
  </w:style>
  <w:style w:type="character" w:customStyle="1" w:styleId="35">
    <w:name w:val="标题 2 字符"/>
    <w:link w:val="4"/>
    <w:qFormat/>
    <w:uiPriority w:val="9"/>
    <w:rPr>
      <w:rFonts w:ascii="Arial" w:hAnsi="Arial" w:eastAsia="黑体" w:cs="Times New Roman"/>
      <w:szCs w:val="20"/>
    </w:rPr>
  </w:style>
  <w:style w:type="character" w:customStyle="1" w:styleId="36">
    <w:name w:val="16"/>
    <w:qFormat/>
    <w:uiPriority w:val="0"/>
    <w:rPr>
      <w:rFonts w:hint="eastAsia" w:ascii="方正仿宋_GBK" w:eastAsia="方正仿宋_GBK"/>
      <w:b/>
      <w:bCs/>
      <w:sz w:val="32"/>
      <w:szCs w:val="32"/>
    </w:rPr>
  </w:style>
  <w:style w:type="paragraph" w:customStyle="1" w:styleId="37">
    <w:name w:val="p15"/>
    <w:basedOn w:val="1"/>
    <w:qFormat/>
    <w:uiPriority w:val="0"/>
    <w:pPr>
      <w:widowControl/>
    </w:pPr>
    <w:rPr>
      <w:rFonts w:cs="Calibri"/>
      <w:kern w:val="0"/>
      <w:szCs w:val="21"/>
    </w:rPr>
  </w:style>
  <w:style w:type="paragraph" w:customStyle="1" w:styleId="38">
    <w:name w:val="修订2"/>
    <w:semiHidden/>
    <w:qFormat/>
    <w:uiPriority w:val="99"/>
    <w:rPr>
      <w:rFonts w:ascii="Calibri" w:hAnsi="Calibri" w:eastAsia="宋体" w:cs="Times New Roman"/>
      <w:kern w:val="2"/>
      <w:sz w:val="21"/>
      <w:szCs w:val="22"/>
      <w:lang w:val="en-US" w:eastAsia="zh-CN" w:bidi="ar-SA"/>
    </w:rPr>
  </w:style>
  <w:style w:type="paragraph" w:customStyle="1" w:styleId="39">
    <w:name w:val="样式 标题 2 + 首行缩进:  1.13 厘米"/>
    <w:basedOn w:val="1"/>
    <w:qFormat/>
    <w:uiPriority w:val="0"/>
    <w:pPr>
      <w:keepNext/>
      <w:keepLines/>
      <w:spacing w:line="408" w:lineRule="auto"/>
      <w:ind w:firstLine="641"/>
      <w:outlineLvl w:val="1"/>
    </w:pPr>
    <w:rPr>
      <w:rFonts w:ascii="Cambria" w:hAnsi="Cambria"/>
      <w:b/>
      <w:kern w:val="0"/>
      <w:sz w:val="32"/>
    </w:rPr>
  </w:style>
  <w:style w:type="paragraph" w:customStyle="1" w:styleId="40">
    <w:name w:val="p16"/>
    <w:basedOn w:val="1"/>
    <w:qFormat/>
    <w:uiPriority w:val="0"/>
    <w:pPr>
      <w:widowControl/>
    </w:pPr>
    <w:rPr>
      <w:rFonts w:cs="Calibri"/>
      <w:kern w:val="0"/>
      <w:szCs w:val="21"/>
    </w:rPr>
  </w:style>
  <w:style w:type="paragraph" w:customStyle="1" w:styleId="41">
    <w:name w:val="普通(网站)1"/>
    <w:basedOn w:val="1"/>
    <w:qFormat/>
    <w:uiPriority w:val="0"/>
    <w:pPr>
      <w:widowControl/>
      <w:spacing w:before="100" w:beforeAutospacing="1" w:after="100" w:afterAutospacing="1"/>
      <w:jc w:val="left"/>
    </w:pPr>
    <w:rPr>
      <w:rFonts w:hint="eastAsia" w:ascii="宋体" w:hAnsi="宋体"/>
      <w:kern w:val="0"/>
      <w:sz w:val="24"/>
      <w:szCs w:val="20"/>
    </w:rPr>
  </w:style>
  <w:style w:type="paragraph" w:styleId="42">
    <w:name w:val="List Paragraph"/>
    <w:basedOn w:val="1"/>
    <w:qFormat/>
    <w:uiPriority w:val="0"/>
    <w:pPr>
      <w:ind w:firstLine="420" w:firstLineChars="200"/>
    </w:pPr>
  </w:style>
  <w:style w:type="paragraph" w:customStyle="1" w:styleId="43">
    <w:name w:val="p0"/>
    <w:basedOn w:val="1"/>
    <w:qFormat/>
    <w:uiPriority w:val="0"/>
    <w:pPr>
      <w:widowControl/>
    </w:pPr>
    <w:rPr>
      <w:rFonts w:ascii="Times New Roman" w:hAnsi="Times New Roman"/>
      <w:kern w:val="0"/>
      <w:szCs w:val="21"/>
    </w:rPr>
  </w:style>
  <w:style w:type="paragraph" w:customStyle="1" w:styleId="44">
    <w:name w:val="修订1"/>
    <w:semiHidden/>
    <w:qFormat/>
    <w:uiPriority w:val="99"/>
    <w:rPr>
      <w:rFonts w:ascii="Calibri" w:hAnsi="Calibri" w:eastAsia="宋体" w:cs="Times New Roman"/>
      <w:kern w:val="2"/>
      <w:sz w:val="21"/>
      <w:szCs w:val="22"/>
      <w:lang w:val="en-US" w:eastAsia="zh-CN" w:bidi="ar-SA"/>
    </w:rPr>
  </w:style>
  <w:style w:type="paragraph" w:customStyle="1" w:styleId="45">
    <w:name w:val="bgg"/>
    <w:basedOn w:val="1"/>
    <w:qFormat/>
    <w:uiPriority w:val="0"/>
    <w:pPr>
      <w:snapToGrid w:val="0"/>
      <w:ind w:left="52" w:leftChars="25" w:right="25" w:rightChars="25"/>
      <w:jc w:val="center"/>
    </w:pPr>
    <w:rPr>
      <w:rFonts w:ascii="Times New Roman" w:hAnsi="Times New Roman"/>
      <w:sz w:val="18"/>
    </w:rPr>
  </w:style>
  <w:style w:type="paragraph" w:customStyle="1" w:styleId="46">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47">
    <w:name w:val="正文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48">
    <w:name w:val="Table Paragraph"/>
    <w:basedOn w:val="1"/>
    <w:qFormat/>
    <w:uiPriority w:val="1"/>
    <w:pPr>
      <w:autoSpaceDE w:val="0"/>
      <w:autoSpaceDN w:val="0"/>
      <w:jc w:val="left"/>
    </w:pPr>
    <w:rPr>
      <w:rFonts w:ascii="宋体" w:hAnsi="宋体" w:cs="宋体"/>
      <w:kern w:val="0"/>
      <w:sz w:val="22"/>
      <w:lang w:val="zh-CN" w:bidi="zh-CN"/>
    </w:rPr>
  </w:style>
  <w:style w:type="paragraph" w:customStyle="1" w:styleId="49">
    <w:name w:val="列出段落1"/>
    <w:basedOn w:val="1"/>
    <w:qFormat/>
    <w:uiPriority w:val="0"/>
    <w:pPr>
      <w:ind w:firstLine="420" w:firstLineChars="200"/>
    </w:pPr>
  </w:style>
  <w:style w:type="paragraph" w:customStyle="1" w:styleId="50">
    <w:name w:val="修订11"/>
    <w:semiHidden/>
    <w:qFormat/>
    <w:uiPriority w:val="99"/>
    <w:rPr>
      <w:rFonts w:ascii="Calibri" w:hAnsi="Calibri" w:eastAsia="宋体" w:cs="Times New Roman"/>
      <w:kern w:val="2"/>
      <w:sz w:val="21"/>
      <w:szCs w:val="22"/>
      <w:lang w:val="en-US" w:eastAsia="zh-CN" w:bidi="ar-SA"/>
    </w:rPr>
  </w:style>
  <w:style w:type="paragraph" w:customStyle="1" w:styleId="51">
    <w:name w:val="p18"/>
    <w:basedOn w:val="1"/>
    <w:qFormat/>
    <w:uiPriority w:val="0"/>
    <w:pPr>
      <w:widowControl/>
    </w:pPr>
    <w:rPr>
      <w:rFonts w:ascii="Times New Roman" w:hAnsi="Times New Roman"/>
      <w:kern w:val="0"/>
      <w:szCs w:val="21"/>
    </w:rPr>
  </w:style>
  <w:style w:type="character" w:customStyle="1" w:styleId="52">
    <w:name w:val="NormalCharacter"/>
    <w:qFormat/>
    <w:uiPriority w:val="0"/>
  </w:style>
  <w:style w:type="paragraph" w:customStyle="1" w:styleId="53">
    <w:name w:val="正文文本1"/>
    <w:basedOn w:val="1"/>
    <w:next w:val="1"/>
    <w:qFormat/>
    <w:uiPriority w:val="0"/>
    <w:pPr>
      <w:spacing w:after="120"/>
    </w:pPr>
    <w:rPr>
      <w:sz w:val="24"/>
    </w:rPr>
  </w:style>
  <w:style w:type="paragraph" w:customStyle="1" w:styleId="54">
    <w:name w:val="正文文本2"/>
    <w:basedOn w:val="1"/>
    <w:next w:val="1"/>
    <w:qFormat/>
    <w:uiPriority w:val="0"/>
    <w:rPr>
      <w:sz w:val="24"/>
    </w:rPr>
  </w:style>
  <w:style w:type="paragraph" w:customStyle="1" w:styleId="55">
    <w:name w:val="正文-规范书"/>
    <w:basedOn w:val="1"/>
    <w:qFormat/>
    <w:uiPriority w:val="0"/>
    <w:pPr>
      <w:adjustRightInd w:val="0"/>
      <w:snapToGrid w:val="0"/>
      <w:spacing w:line="560" w:lineRule="exact"/>
      <w:ind w:firstLine="640" w:firstLineChars="200"/>
    </w:pPr>
    <w:rPr>
      <w:rFonts w:ascii="方正仿宋_GBK" w:hAnsi="方正仿宋_GBK" w:eastAsia="方正仿宋_GBK" w:cs="方正仿宋_GBK"/>
      <w:sz w:val="32"/>
      <w:szCs w:val="32"/>
      <w:lang w:val="zh-CN"/>
    </w:rPr>
  </w:style>
  <w:style w:type="paragraph" w:customStyle="1" w:styleId="56">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19</Pages>
  <Words>17681</Words>
  <Characters>18466</Characters>
  <Lines>126</Lines>
  <Paragraphs>35</Paragraphs>
  <TotalTime>10</TotalTime>
  <ScaleCrop>false</ScaleCrop>
  <LinksUpToDate>false</LinksUpToDate>
  <CharactersWithSpaces>18875</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2024-11-19T16:58:00Z</dcterms:created>
  <dc:creator>liuruoqiao</dc:creator>
  <cp:lastModifiedBy>chenwei</cp:lastModifiedBy>
  <cp:lastPrinted>2020-03-18T08:43:00Z</cp:lastPrinted>
  <dcterms:modified xsi:type="dcterms:W3CDTF">2026-08-09T14:50:01Z</dcterms:modified>
  <dc:title>合同条款差异对比表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194961D3D48340A3A4A7F70B4A00B1E6</vt:lpwstr>
  </property>
  <property fmtid="{D5CDD505-2E9C-101B-9397-08002B2CF9AE}" pid="4" name="KSOTemplateDocerSaveRecord">
    <vt:lpwstr>eyJoZGlkIjoiOTE2NzM1ZDI4MzdhMmJiYWVjNjQ3M2U1YjhmYjY0OGIiLCJ1c2VySWQiOiIzMTc2MjU4MDMifQ==</vt:lpwstr>
  </property>
</Properties>
</file>