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B39F7">
      <w:pPr>
        <w:spacing w:line="400" w:lineRule="exact"/>
        <w:jc w:val="center"/>
        <w:outlineLvl w:val="0"/>
        <w:rPr>
          <w:rFonts w:ascii="黑体" w:hAnsi="黑体" w:eastAsia="黑体" w:cs="黑体"/>
          <w:b/>
          <w:sz w:val="28"/>
          <w:szCs w:val="28"/>
          <w:highlight w:val="none"/>
        </w:rPr>
      </w:pPr>
      <w:r>
        <w:rPr>
          <w:rFonts w:hint="eastAsia" w:ascii="黑体" w:hAnsi="黑体" w:eastAsia="黑体" w:cs="黑体"/>
          <w:b/>
          <w:sz w:val="28"/>
          <w:szCs w:val="28"/>
          <w:highlight w:val="none"/>
        </w:rPr>
        <w:t>合同条款差异对比表</w:t>
      </w:r>
    </w:p>
    <w:p w14:paraId="0BB04AFD">
      <w:pPr>
        <w:pStyle w:val="2"/>
        <w:jc w:val="center"/>
        <w:rPr>
          <w:highlight w:val="none"/>
        </w:rPr>
      </w:pPr>
      <w:r>
        <w:rPr>
          <w:rFonts w:hint="eastAsia" w:ascii="仿宋" w:hAnsi="仿宋" w:eastAsia="仿宋"/>
          <w:b/>
          <w:sz w:val="24"/>
          <w:szCs w:val="24"/>
          <w:highlight w:val="none"/>
        </w:rPr>
        <w:t>适用于：换流站土建施工</w:t>
      </w:r>
    </w:p>
    <w:p w14:paraId="52F649FC">
      <w:pPr>
        <w:jc w:val="center"/>
        <w:rPr>
          <w:rFonts w:ascii="方正仿宋_GBK" w:hAnsi="方正仿宋_GBK" w:eastAsia="方正仿宋_GBK" w:cs="方正仿宋_GBK"/>
          <w:b/>
          <w:sz w:val="18"/>
          <w:szCs w:val="18"/>
          <w:highlight w:val="none"/>
        </w:rPr>
      </w:pPr>
    </w:p>
    <w:tbl>
      <w:tblPr>
        <w:tblStyle w:val="15"/>
        <w:tblW w:w="10031" w:type="dxa"/>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040"/>
        <w:gridCol w:w="954"/>
        <w:gridCol w:w="3582"/>
        <w:gridCol w:w="4455"/>
      </w:tblGrid>
      <w:tr w14:paraId="1C2C37A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0031" w:type="dxa"/>
            <w:gridSpan w:val="4"/>
            <w:vAlign w:val="center"/>
          </w:tcPr>
          <w:p w14:paraId="1F0AF3EB">
            <w:pPr>
              <w:widowControl/>
              <w:jc w:val="center"/>
              <w:rPr>
                <w:rFonts w:ascii="方正仿宋_GBK" w:hAnsi="方正仿宋_GBK" w:eastAsia="方正仿宋_GBK" w:cs="方正仿宋_GBK"/>
                <w:b/>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b/>
                <w:color w:val="000000" w:themeColor="text1"/>
                <w:sz w:val="18"/>
                <w:szCs w:val="18"/>
                <w:highlight w:val="none"/>
                <w14:textFill>
                  <w14:solidFill>
                    <w14:schemeClr w14:val="tx1"/>
                  </w14:solidFill>
                </w14:textFill>
              </w:rPr>
              <w:t>针对经法系统最新合同范本：《</w:t>
            </w:r>
            <w:r>
              <w:rPr>
                <w:rFonts w:hint="eastAsia" w:ascii="方正仿宋_GBK" w:hAnsi="方正仿宋_GBK" w:eastAsia="方正仿宋_GBK" w:cs="方正仿宋_GBK"/>
                <w:color w:val="000000"/>
                <w:kern w:val="0"/>
                <w:sz w:val="18"/>
                <w:szCs w:val="18"/>
                <w:highlight w:val="none"/>
              </w:rPr>
              <w:t>SGTYHT/25-GC-007</w:t>
            </w:r>
            <w:r>
              <w:rPr>
                <w:rFonts w:hint="eastAsia" w:ascii="方正仿宋_GBK" w:hAnsi="方正仿宋_GBK" w:eastAsia="方正仿宋_GBK" w:cs="方正仿宋_GBK"/>
                <w:b/>
                <w:color w:val="000000" w:themeColor="text1"/>
                <w:sz w:val="18"/>
                <w:szCs w:val="18"/>
                <w:highlight w:val="none"/>
                <w14:textFill>
                  <w14:solidFill>
                    <w14:schemeClr w14:val="tx1"/>
                  </w14:solidFill>
                </w14:textFill>
              </w:rPr>
              <w:t xml:space="preserve">  输变电工程施工合同》</w:t>
            </w:r>
          </w:p>
        </w:tc>
      </w:tr>
      <w:tr w14:paraId="51621D8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58D4E0FE">
            <w:pPr>
              <w:widowControl/>
              <w:adjustRightInd w:val="0"/>
              <w:snapToGrid w:val="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
                <w:color w:val="000000" w:themeColor="text1"/>
                <w:kern w:val="0"/>
                <w:sz w:val="18"/>
                <w:szCs w:val="18"/>
                <w:highlight w:val="none"/>
                <w14:textFill>
                  <w14:solidFill>
                    <w14:schemeClr w14:val="tx1"/>
                  </w14:solidFill>
                </w14:textFill>
              </w:rPr>
              <w:t>序号</w:t>
            </w:r>
          </w:p>
        </w:tc>
        <w:tc>
          <w:tcPr>
            <w:tcW w:w="954" w:type="dxa"/>
            <w:vAlign w:val="center"/>
          </w:tcPr>
          <w:p w14:paraId="459A5553">
            <w:pPr>
              <w:widowControl/>
              <w:adjustRightInd w:val="0"/>
              <w:snapToGrid w:val="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
                <w:color w:val="000000" w:themeColor="text1"/>
                <w:kern w:val="0"/>
                <w:sz w:val="18"/>
                <w:szCs w:val="18"/>
                <w:highlight w:val="none"/>
                <w14:textFill>
                  <w14:solidFill>
                    <w14:schemeClr w14:val="tx1"/>
                  </w14:solidFill>
                </w14:textFill>
              </w:rPr>
              <w:t>条款号</w:t>
            </w:r>
          </w:p>
        </w:tc>
        <w:tc>
          <w:tcPr>
            <w:tcW w:w="3582" w:type="dxa"/>
            <w:vAlign w:val="center"/>
          </w:tcPr>
          <w:p w14:paraId="6E035A4A">
            <w:pPr>
              <w:widowControl/>
              <w:adjustRightInd w:val="0"/>
              <w:snapToGrid w:val="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
                <w:color w:val="000000" w:themeColor="text1"/>
                <w:kern w:val="0"/>
                <w:sz w:val="18"/>
                <w:szCs w:val="18"/>
                <w:highlight w:val="none"/>
                <w14:textFill>
                  <w14:solidFill>
                    <w14:schemeClr w14:val="tx1"/>
                  </w14:solidFill>
                </w14:textFill>
              </w:rPr>
              <w:t>统一合同文本表述</w:t>
            </w:r>
          </w:p>
        </w:tc>
        <w:tc>
          <w:tcPr>
            <w:tcW w:w="4455" w:type="dxa"/>
            <w:vAlign w:val="center"/>
          </w:tcPr>
          <w:p w14:paraId="7C7FCD33">
            <w:pPr>
              <w:widowControl/>
              <w:adjustRightInd w:val="0"/>
              <w:snapToGrid w:val="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
                <w:color w:val="000000" w:themeColor="text1"/>
                <w:kern w:val="0"/>
                <w:sz w:val="18"/>
                <w:szCs w:val="18"/>
                <w:highlight w:val="none"/>
                <w14:textFill>
                  <w14:solidFill>
                    <w14:schemeClr w14:val="tx1"/>
                  </w14:solidFill>
                </w14:textFill>
              </w:rPr>
              <w:t>修改后表述</w:t>
            </w:r>
          </w:p>
        </w:tc>
      </w:tr>
      <w:tr w14:paraId="4609F22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6577F2C7">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200AAF17">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合同协议书</w:t>
            </w: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四、工程建设目标 1. 工程质量要求</w:t>
            </w:r>
          </w:p>
          <w:p w14:paraId="5F26BFC9">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p w14:paraId="2774CBDB">
            <w:pPr>
              <w:widowControl/>
              <w:adjustRightInd w:val="0"/>
              <w:snapToGrid w:val="0"/>
              <w:jc w:val="center"/>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p>
        </w:tc>
        <w:tc>
          <w:tcPr>
            <w:tcW w:w="3582" w:type="dxa"/>
            <w:vAlign w:val="center"/>
          </w:tcPr>
          <w:p w14:paraId="1BA68E73">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 质量总体要求</w:t>
            </w:r>
          </w:p>
          <w:p w14:paraId="10062667">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严格执行国家、行业、国家电网有限公司有关工程建设质量管理的法律、法规和规章制度，贯彻实施工程设计技术原则，满足国家和行业施工验收规范的要求。</w:t>
            </w:r>
          </w:p>
          <w:p w14:paraId="217B9A7B">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全面应用输变电工程“标准工艺”；工程“零缺陷”投运；实现工程达标投产及优质工程目标；工程使用寿命满足国家电网有限公司质量要求；不发生因工程建设原因造成的六级及以上工程质量事件。</w:t>
            </w:r>
          </w:p>
          <w:p w14:paraId="708D8B8C">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1.2 专项目标要求</w:t>
            </w:r>
          </w:p>
          <w:p w14:paraId="76986214">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35千伏及以下项目：工程质量总评为优良，分项工程合格率100％，单位工程合格率100％，观感得分率（土建）≥90％。</w:t>
            </w:r>
          </w:p>
          <w:p w14:paraId="7C288D55">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110（66）千伏项目：工程质量总评为优良，分项工程合格率100％，单位工程合格率100％，观感得分率（土建）≥90％。</w:t>
            </w:r>
          </w:p>
          <w:p w14:paraId="3228AC44">
            <w:pPr>
              <w:rPr>
                <w:highlight w:val="none"/>
              </w:rPr>
            </w:pPr>
            <w:r>
              <w:rPr>
                <w:rFonts w:hint="eastAsia" w:ascii="方正仿宋_GBK" w:hAnsi="方正仿宋_GBK" w:eastAsia="方正仿宋_GBK" w:cs="方正仿宋_GBK"/>
                <w:sz w:val="18"/>
                <w:szCs w:val="18"/>
                <w:highlight w:val="none"/>
              </w:rPr>
              <w:t>220千伏及以上项目：工程质量总评为优良，分项工程合格率100％，单位工程合格率100％，观感得分率（土建）≥95％。</w:t>
            </w:r>
          </w:p>
          <w:p w14:paraId="199E55B3">
            <w:pPr>
              <w:rPr>
                <w:highlight w:val="none"/>
              </w:rPr>
            </w:pPr>
          </w:p>
          <w:p w14:paraId="3941D395">
            <w:pPr>
              <w:rPr>
                <w:highlight w:val="none"/>
              </w:rPr>
            </w:pPr>
          </w:p>
          <w:p w14:paraId="3B8ED489">
            <w:pPr>
              <w:rPr>
                <w:highlight w:val="none"/>
              </w:rPr>
            </w:pPr>
          </w:p>
          <w:p w14:paraId="1EA815A0">
            <w:pPr>
              <w:rPr>
                <w:highlight w:val="none"/>
              </w:rPr>
            </w:pPr>
          </w:p>
          <w:p w14:paraId="46FBF4BF">
            <w:pPr>
              <w:rPr>
                <w:highlight w:val="none"/>
              </w:rPr>
            </w:pPr>
          </w:p>
          <w:p w14:paraId="7743B77E">
            <w:pPr>
              <w:rPr>
                <w:rFonts w:ascii="方正仿宋_GBK" w:hAnsi="方正仿宋_GBK" w:eastAsia="方正仿宋_GBK" w:cs="方正仿宋_GBK"/>
                <w:color w:val="000000" w:themeColor="text1"/>
                <w:highlight w:val="none"/>
                <w14:textFill>
                  <w14:solidFill>
                    <w14:schemeClr w14:val="tx1"/>
                  </w14:solidFill>
                </w14:textFill>
              </w:rPr>
            </w:pPr>
          </w:p>
        </w:tc>
        <w:tc>
          <w:tcPr>
            <w:tcW w:w="4455" w:type="dxa"/>
            <w:vAlign w:val="center"/>
          </w:tcPr>
          <w:p w14:paraId="74056892">
            <w:pPr>
              <w:pBdr>
                <w:bottom w:val="none" w:color="auto" w:sz="0" w:space="0"/>
              </w:pBdr>
              <w:snapToGrid/>
              <w:spacing w:line="240" w:lineRule="auto"/>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质量总体目标：全面应用通用设计、通用设备、通用造价、标准工艺；输变电工程“标准工艺”应用率≥95%，工程质量达到国家、行业和公司标准、规范以及设计要求，实现“零缺陷”投运；实现工程达标投产、国家电网有限公司优质工程、中国电力优质工程目标，争创中国建设工程鲁班奖；工程使用寿命满足设计及公司质量管理要求；不发生因工程建设原因造成的六级及以上工程质量事件。</w:t>
            </w:r>
          </w:p>
          <w:p w14:paraId="120392A4">
            <w:pPr>
              <w:widowControl/>
              <w:adjustRightInd w:val="0"/>
              <w:snapToGrid w:val="0"/>
              <w:jc w:val="left"/>
              <w:rPr>
                <w:rFonts w:hint="eastAsia" w:ascii="方正仿宋_GBK" w:hAnsi="方正仿宋_GBK" w:eastAsia="方正仿宋_GBK" w:cs="方正仿宋_GBK"/>
                <w:sz w:val="18"/>
                <w:szCs w:val="18"/>
                <w:highlight w:val="none"/>
                <w:lang w:eastAsia="zh-CN"/>
              </w:rPr>
            </w:pPr>
            <w:r>
              <w:rPr>
                <w:rFonts w:hint="eastAsia" w:ascii="方正仿宋_GBK" w:hAnsi="方正仿宋_GBK" w:eastAsia="方正仿宋_GBK" w:cs="方正仿宋_GBK"/>
                <w:sz w:val="18"/>
                <w:szCs w:val="18"/>
                <w:highlight w:val="none"/>
              </w:rPr>
              <w:t>工程质量总评为优良，分项工程合格率100％、单位工程优良率100％，观感得分率≥95％</w:t>
            </w:r>
            <w:r>
              <w:rPr>
                <w:rFonts w:hint="eastAsia" w:ascii="方正仿宋_GBK" w:hAnsi="方正仿宋_GBK" w:eastAsia="方正仿宋_GBK" w:cs="方正仿宋_GBK"/>
                <w:sz w:val="18"/>
                <w:szCs w:val="18"/>
                <w:highlight w:val="none"/>
                <w:lang w:eastAsia="zh-CN"/>
              </w:rPr>
              <w:t>。</w:t>
            </w:r>
          </w:p>
          <w:p w14:paraId="42DB671D">
            <w:pPr>
              <w:snapToGrid w:val="0"/>
              <w:spacing w:line="240" w:lineRule="atLeast"/>
              <w:ind w:firstLine="360" w:firstLineChars="20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p>
        </w:tc>
      </w:tr>
      <w:tr w14:paraId="638DD81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5E48880E">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4046DBE1">
            <w:pPr>
              <w:widowControl/>
              <w:adjustRightInd w:val="0"/>
              <w:snapToGrid w:val="0"/>
              <w:jc w:val="center"/>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合同协议书</w:t>
            </w: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四、工程建设目标</w:t>
            </w:r>
          </w:p>
        </w:tc>
        <w:tc>
          <w:tcPr>
            <w:tcW w:w="3582" w:type="dxa"/>
            <w:vAlign w:val="center"/>
          </w:tcPr>
          <w:p w14:paraId="33408D6A">
            <w:pPr>
              <w:numPr>
                <w:ilvl w:val="255"/>
                <w:numId w:val="0"/>
              </w:num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2.安全目标：</w:t>
            </w:r>
          </w:p>
          <w:p w14:paraId="3F34A0DE">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严格执行国家、行业、国家电网有限公司有关工程建设安全管理的法律、法规和规章制度，确保工程建设安全文明施工，采取积极的安全措施，确保实现以下安全目标：</w:t>
            </w:r>
          </w:p>
          <w:p w14:paraId="7C0039CB">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（1）不发生六级及以上人身事件；</w:t>
            </w:r>
          </w:p>
          <w:p w14:paraId="7344CCDA">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（2）不发生因工程建设引起的六级及以上电网及设备事件；</w:t>
            </w:r>
          </w:p>
          <w:p w14:paraId="1CF449EE">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（3）不发生六级及以上施工机械设备事件；</w:t>
            </w:r>
          </w:p>
          <w:p w14:paraId="4184ED76">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（4）不发生火灾事故；</w:t>
            </w:r>
          </w:p>
          <w:p w14:paraId="7FEE728C">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（5）不发生环境污染事件；</w:t>
            </w:r>
          </w:p>
          <w:p w14:paraId="2BA97BDD">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（6）不发生负主要责任的一般交通事故；</w:t>
            </w:r>
          </w:p>
          <w:p w14:paraId="75870AF5">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（7）不发生基建信息安全事件；</w:t>
            </w:r>
          </w:p>
          <w:p w14:paraId="6CD38839">
            <w:pPr>
              <w:rPr>
                <w:rFonts w:ascii="方正仿宋_GBK" w:hAnsi="方正仿宋_GBK" w:eastAsia="方正仿宋_GBK" w:cs="方正仿宋_GBK"/>
                <w:color w:val="000000" w:themeColor="text1"/>
                <w:highlight w:val="none"/>
                <w14:textFill>
                  <w14:solidFill>
                    <w14:schemeClr w14:val="tx1"/>
                  </w14:solidFill>
                </w14:textFill>
              </w:rPr>
            </w:pPr>
            <w:r>
              <w:rPr>
                <w:rFonts w:hint="eastAsia" w:ascii="方正仿宋_GBK" w:hAnsi="方正仿宋_GBK" w:eastAsia="方正仿宋_GBK" w:cs="方正仿宋_GBK"/>
                <w:sz w:val="18"/>
                <w:szCs w:val="18"/>
                <w:highlight w:val="none"/>
              </w:rPr>
              <w:t>（8）不发生对国家电网有限公司系统单位造成影响的安全稳定事件。</w:t>
            </w:r>
          </w:p>
        </w:tc>
        <w:tc>
          <w:tcPr>
            <w:tcW w:w="4455" w:type="dxa"/>
            <w:vAlign w:val="center"/>
          </w:tcPr>
          <w:p w14:paraId="1757E356">
            <w:pPr>
              <w:rPr>
                <w:rFonts w:hint="eastAsia" w:ascii="方正仿宋_GBK" w:hAnsi="方正仿宋_GBK" w:eastAsia="方正仿宋_GBK" w:cs="方正仿宋_GBK"/>
                <w:sz w:val="18"/>
                <w:szCs w:val="18"/>
                <w:highlight w:val="none"/>
              </w:rPr>
            </w:pPr>
            <w:r>
              <w:rPr>
                <w:rFonts w:hint="eastAsia" w:ascii="仿宋" w:hAnsi="仿宋" w:eastAsia="仿宋" w:cs="仿宋"/>
                <w:sz w:val="18"/>
                <w:szCs w:val="18"/>
                <w:highlight w:val="none"/>
              </w:rPr>
              <w:t>安全目标：</w:t>
            </w:r>
            <w:r>
              <w:rPr>
                <w:rFonts w:hint="eastAsia" w:ascii="方正仿宋_GBK" w:hAnsi="方正仿宋_GBK" w:eastAsia="方正仿宋_GBK" w:cs="方正仿宋_GBK"/>
                <w:sz w:val="18"/>
                <w:szCs w:val="18"/>
                <w:highlight w:val="none"/>
              </w:rPr>
              <w:br w:type="textWrapping"/>
            </w:r>
            <w:r>
              <w:rPr>
                <w:rFonts w:ascii="方正仿宋_GBK" w:hAnsi="方正仿宋_GBK" w:eastAsia="方正仿宋_GBK" w:cs="方正仿宋_GBK"/>
                <w:i w:val="0"/>
                <w:strike w:val="0"/>
                <w:color w:val="000000"/>
                <w:sz w:val="18"/>
                <w:highlight w:val="none"/>
                <w:u w:val="none"/>
              </w:rPr>
              <w:t>严格执行国家、行业、国家电网有限公司有关工程建设安全管理的法律、法规和规章制度，确保工程建设安全文明施工，采取积极的安全措施，确保实现以下安全目标：</w:t>
            </w:r>
            <w:r>
              <w:rPr>
                <w:rFonts w:hint="eastAsia"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（1）不发生六级及以上人身事件；</w:t>
            </w:r>
            <w:r>
              <w:rPr>
                <w:rFonts w:hint="eastAsia"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（2）不发生因工程建设引起的六级及以上电网及设备事件；</w:t>
            </w:r>
            <w:r>
              <w:rPr>
                <w:rFonts w:hint="eastAsia"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（3）不发生六级及以上施工机械设备事件；</w:t>
            </w:r>
            <w:r>
              <w:rPr>
                <w:rFonts w:hint="eastAsia"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（4）不发生火灾事故（含引发森林草原火灾）；</w:t>
            </w:r>
            <w:r>
              <w:rPr>
                <w:rFonts w:hint="eastAsia"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（5）不发生环境污染事件；</w:t>
            </w:r>
            <w:r>
              <w:rPr>
                <w:rFonts w:hint="eastAsia"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（6）不发生负主要责任的一般交通事故；</w:t>
            </w:r>
            <w:r>
              <w:rPr>
                <w:rFonts w:hint="eastAsia"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（7）不发生输变电工程建设信息安全事件；</w:t>
            </w:r>
            <w:r>
              <w:rPr>
                <w:rFonts w:hint="eastAsia"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（8）不发生对委托方造成影响的安全稳定事件。</w:t>
            </w:r>
          </w:p>
          <w:p w14:paraId="0068624D">
            <w:pPr>
              <w:snapToGrid w:val="0"/>
              <w:spacing w:line="240" w:lineRule="atLeast"/>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p>
        </w:tc>
      </w:tr>
      <w:tr w14:paraId="716AB79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1B489975">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5F2D9E9D">
            <w:pPr>
              <w:widowControl/>
              <w:adjustRightInd w:val="0"/>
              <w:snapToGrid w:val="0"/>
              <w:jc w:val="center"/>
              <w:rPr>
                <w:rFonts w:ascii="方正仿宋_GBK" w:hAnsi="方正仿宋_GBK" w:eastAsia="方正仿宋_GBK" w:cs="方正仿宋_GBK"/>
                <w:i/>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合同协议书</w:t>
            </w: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四、工程建设目标</w:t>
            </w:r>
          </w:p>
        </w:tc>
        <w:tc>
          <w:tcPr>
            <w:tcW w:w="3582" w:type="dxa"/>
            <w:vAlign w:val="center"/>
          </w:tcPr>
          <w:p w14:paraId="6952DEB0">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4.投资控制目标：</w:t>
            </w:r>
          </w:p>
          <w:p w14:paraId="7ABC8DAA">
            <w:pPr>
              <w:rPr>
                <w:highlight w:val="none"/>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在满足安全质量的前提下，优化工程技术方案，合理控制工程造价，严格规范建设过程中设计变更、现场签证，严格执行合同，做好工程项目结算工作，实现工程造价与结算管理目标。</w:t>
            </w:r>
          </w:p>
          <w:p w14:paraId="184F129C">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tcPr>
          <w:p w14:paraId="4DBC3C6F">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投资目标：合理确定工程造价，确保工程资金需求，依法合规开展建设管理，严格执行工程建设程序，规范资金使用，坚持造价全过程全面管控，坚持降本增效，持续提升工程投资效益，实现项目全寿命周期效益最优，实现公司整体利益最大化。按期完成工程项目结算，竣工结算不超同口径批复概算。</w:t>
            </w:r>
          </w:p>
          <w:p w14:paraId="641DA00D">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tc>
      </w:tr>
      <w:tr w14:paraId="0954699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335FAB60">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36BF0DEA">
            <w:pPr>
              <w:widowControl/>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合同协议书四、工程建设目标5.环境保护与水土保持目标： </w:t>
            </w:r>
          </w:p>
        </w:tc>
        <w:tc>
          <w:tcPr>
            <w:tcW w:w="3582" w:type="dxa"/>
            <w:vAlign w:val="center"/>
          </w:tcPr>
          <w:p w14:paraId="3A61BEA6">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确保工程环保、水保设施建设“三同时”，落实工程环保、水保方案及批复意见，推行绿色施工，建设资源节约型、环境友好型的绿色和谐工程；确保竣工前完成工程拆迁、迹地恢复；确保工程顺利通过环保和水保验收。</w:t>
            </w:r>
          </w:p>
        </w:tc>
        <w:tc>
          <w:tcPr>
            <w:tcW w:w="4455" w:type="dxa"/>
            <w:vAlign w:val="center"/>
          </w:tcPr>
          <w:p w14:paraId="39477F7E">
            <w:pPr>
              <w:widowControl/>
              <w:adjustRightInd w:val="0"/>
              <w:snapToGrid w:val="0"/>
              <w:jc w:val="left"/>
              <w:rPr>
                <w:rFonts w:ascii="方正仿宋_GBK" w:hAnsi="方正仿宋_GBK" w:eastAsia="方正仿宋_GBK" w:cs="方正仿宋_GBK"/>
                <w:color w:val="000000" w:themeColor="text1"/>
                <w:highlight w:val="none"/>
                <w14:textFill>
                  <w14:solidFill>
                    <w14:schemeClr w14:val="tx1"/>
                  </w14:solidFill>
                </w14:textFill>
              </w:rPr>
            </w:pPr>
            <w:r>
              <w:rPr>
                <w:rFonts w:hint="eastAsia" w:ascii="方正仿宋_GBK" w:hAnsi="方正仿宋_GBK" w:eastAsia="方正仿宋_GBK" w:cs="方正仿宋_GBK"/>
                <w:sz w:val="18"/>
                <w:szCs w:val="18"/>
                <w:highlight w:val="none"/>
              </w:rPr>
              <w:t>确保工程环保、水保设施建设“三同时”，落实工程环保、水保方案及批复意见，推行绿色施工，建设资源节约型、环境友好型的绿色和谐工程；不发生国家电网公司或行政机关通告较大问题、被纳入重点关注名单等处罚；确保竣工前完成工程拆迁、迹地恢复；确保工程顺利通过环保和水保验收。</w:t>
            </w:r>
          </w:p>
        </w:tc>
      </w:tr>
      <w:tr w14:paraId="490D157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73C17635">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5FCDA6AE">
            <w:pPr>
              <w:widowControl/>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合同协议书四、工程建设目标6.基建管理信息系统应用目标：</w:t>
            </w:r>
          </w:p>
        </w:tc>
        <w:tc>
          <w:tcPr>
            <w:tcW w:w="3582" w:type="dxa"/>
            <w:vAlign w:val="center"/>
          </w:tcPr>
          <w:p w14:paraId="5A46942C">
            <w:pPr>
              <w:jc w:val="left"/>
              <w:rPr>
                <w:rFonts w:ascii="方正仿宋_GBK" w:hAnsi="方正仿宋_GBK" w:eastAsia="方正仿宋_GBK" w:cs="方正仿宋_GBK"/>
                <w:sz w:val="18"/>
                <w:szCs w:val="18"/>
                <w:highlight w:val="none"/>
              </w:rPr>
            </w:pPr>
          </w:p>
          <w:p w14:paraId="4D4B0560">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完整性、及时性、准确性100%。</w:t>
            </w:r>
          </w:p>
        </w:tc>
        <w:tc>
          <w:tcPr>
            <w:tcW w:w="4455" w:type="dxa"/>
          </w:tcPr>
          <w:p w14:paraId="70AD0FAA">
            <w:pPr>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完整性、及时性、准确性100%。利用现代信息技术为工程服务，建设并应用e基建2.0系统。利用视频监控、三维深化设计、智能工器具等手段，提升工程现场安全、质量、环保、水保管控水平和工程整体建设效率。</w:t>
            </w:r>
          </w:p>
        </w:tc>
      </w:tr>
      <w:tr w14:paraId="60E85DE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02C1223D">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72A86D0B">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合同协议书四、工程建设目标7．档案管理目标：</w:t>
            </w:r>
          </w:p>
          <w:p w14:paraId="76E52DD0">
            <w:pPr>
              <w:widowControl/>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p>
        </w:tc>
        <w:tc>
          <w:tcPr>
            <w:tcW w:w="3582" w:type="dxa"/>
            <w:vAlign w:val="center"/>
          </w:tcPr>
          <w:p w14:paraId="29F8AD93">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严格按照国家、行业、国家电网有限公司和项目建设管理单位的有关档案管理规定进行档案管理，将档案管理纳入整个现场管理程序，坚持归档与工程同步进行。确保实现档案归档率100％、资料准确率100％、案卷合格率100％，保证档案资料的齐全、准确、规范、真实、系统、完整；同时保证在合同规定的时间移交竣工档案。</w:t>
            </w:r>
          </w:p>
        </w:tc>
        <w:tc>
          <w:tcPr>
            <w:tcW w:w="4455" w:type="dxa"/>
          </w:tcPr>
          <w:p w14:paraId="534EF4C7">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lang w:val="zh-CN"/>
              </w:rPr>
              <w:t>工程档案工作与工程建设同步完成，建设过程实现分阶段预立卷，档案完整、准确、系统、规范和安全，工程投运后三个月内完成移交，按规定通过国家电网公司档案专项验收。</w:t>
            </w:r>
          </w:p>
        </w:tc>
      </w:tr>
      <w:tr w14:paraId="14CCBD7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73" w:hRule="atLeast"/>
        </w:trPr>
        <w:tc>
          <w:tcPr>
            <w:tcW w:w="1040" w:type="dxa"/>
            <w:vAlign w:val="center"/>
          </w:tcPr>
          <w:p w14:paraId="374F7F76">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6F499900">
            <w:pPr>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合同协议书四、工程建设目标 </w:t>
            </w:r>
          </w:p>
          <w:p w14:paraId="7B4C31E1">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 8. 创优目标：</w:t>
            </w:r>
          </w:p>
        </w:tc>
        <w:tc>
          <w:tcPr>
            <w:tcW w:w="3582" w:type="dxa"/>
            <w:vAlign w:val="center"/>
          </w:tcPr>
          <w:p w14:paraId="55B7AE64">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110千伏及以上项目：确保达标投产，确保国家电网有限公司输变电优质工程银奖。 </w:t>
            </w:r>
          </w:p>
          <w:p w14:paraId="43559294">
            <w:pPr>
              <w:rPr>
                <w:highlight w:val="none"/>
              </w:rPr>
            </w:pPr>
            <w:r>
              <w:rPr>
                <w:rFonts w:hint="eastAsia" w:ascii="方正仿宋_GBK" w:hAnsi="方正仿宋_GBK" w:eastAsia="方正仿宋_GBK" w:cs="方正仿宋_GBK"/>
                <w:sz w:val="18"/>
                <w:szCs w:val="18"/>
                <w:highlight w:val="none"/>
              </w:rPr>
              <w:t>500千伏及以上项目：确保达标投产，确保国家电网有限公司输变电优质工程金奖。</w:t>
            </w:r>
          </w:p>
          <w:p w14:paraId="55E07FBE">
            <w:pPr>
              <w:widowControl/>
              <w:adjustRightInd w:val="0"/>
              <w:snapToGrid w:val="0"/>
              <w:jc w:val="left"/>
              <w:rPr>
                <w:rFonts w:ascii="方正仿宋_GBK" w:hAnsi="方正仿宋_GBK" w:eastAsia="方正仿宋_GBK" w:cs="方正仿宋_GBK"/>
                <w:color w:val="000000" w:themeColor="text1"/>
                <w:highlight w:val="none"/>
                <w14:textFill>
                  <w14:solidFill>
                    <w14:schemeClr w14:val="tx1"/>
                  </w14:solidFill>
                </w14:textFill>
              </w:rPr>
            </w:pPr>
          </w:p>
        </w:tc>
        <w:tc>
          <w:tcPr>
            <w:tcW w:w="4455" w:type="dxa"/>
          </w:tcPr>
          <w:p w14:paraId="0630D2F6">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实现工程达标投产、国家电网有限公司输变电优质工程金奖、中国电力优质工程奖目标，</w:t>
            </w:r>
            <w:bookmarkStart w:id="0" w:name="OLE_LINK2"/>
            <w:r>
              <w:rPr>
                <w:rFonts w:hint="eastAsia" w:ascii="方正仿宋_GBK" w:hAnsi="方正仿宋_GBK" w:eastAsia="方正仿宋_GBK" w:cs="方正仿宋_GBK"/>
                <w:sz w:val="18"/>
                <w:szCs w:val="18"/>
                <w:highlight w:val="none"/>
              </w:rPr>
              <w:t>工程质量达到国家优质工程金奖、鲁班奖质量标准。</w:t>
            </w:r>
            <w:bookmarkEnd w:id="0"/>
          </w:p>
        </w:tc>
      </w:tr>
      <w:tr w14:paraId="20B3A70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73" w:hRule="atLeast"/>
        </w:trPr>
        <w:tc>
          <w:tcPr>
            <w:tcW w:w="1040" w:type="dxa"/>
            <w:vAlign w:val="center"/>
          </w:tcPr>
          <w:p w14:paraId="61E5B4E3">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2B0DF8F5">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合同协议书四、工程建设目标 </w:t>
            </w:r>
          </w:p>
          <w:p w14:paraId="6817233A">
            <w:pPr>
              <w:widowControl/>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9. 其他目标：</w:t>
            </w:r>
          </w:p>
        </w:tc>
        <w:tc>
          <w:tcPr>
            <w:tcW w:w="3582" w:type="dxa"/>
            <w:vAlign w:val="center"/>
          </w:tcPr>
          <w:p w14:paraId="40938DE6">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承包人应切实贯彻国家电网有限公司“三通一标”、“两型三新一化”、智能变电站模块化建设及线路全过程机械化施工等相关要求。</w:t>
            </w:r>
          </w:p>
        </w:tc>
        <w:tc>
          <w:tcPr>
            <w:tcW w:w="4455" w:type="dxa"/>
          </w:tcPr>
          <w:p w14:paraId="64C508A1">
            <w:pPr>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创新目标：工程创新需围绕工程特点，主动作为、超前谋划、积极准备、强化执行。按照“以管理创新为基础，以科技创新为主导，以工艺水平提升、新材料、新技术运用为支撑”的工程建设创新的整体工作原则，积极开展设计创新、施工创新、组织管理创新、现场信息管理创新、现场文明施工创新。</w:t>
            </w:r>
            <w:r>
              <w:rPr>
                <w:rFonts w:hint="eastAsia"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(2)党建目标：坚持以习近平新时代中国特色社会主义思想为指导，切实增强“四个意识”、坚定“四个自信”、做到“两个维护”，围绕新时代精品工程建设，坚持“党建引领·和谐团队·精品工程”机制，持续深化党的政治建设、思想建设、组织建设、作风建设、党风廉政建设，充分发挥党支部战斗堡垒作用和党员先锋模范作用，努力把工程现场党组织打造成思想教育的前沿阵地、专业公司形象的展示窗口、攻坚克难的坚强堡垒、联系群众的桥梁纽带、党风廉政的重要关口、企业文化的实践阵地，不断提高工程现场党组织的组织力、凝聚力、战斗力，打造新时代特高压输电升级版样板工程，为建设具有中国特色国际领先的能源互联网企业提供有力支撑。</w:t>
            </w:r>
            <w:r>
              <w:rPr>
                <w:rFonts w:hint="eastAsia"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(3)其他：承包人应切实贯彻国家电网有限公司“三通一标”、“两型三新一化”、智能变电站模块化建设及线路全过程机械化施工等相关要求。</w:t>
            </w:r>
          </w:p>
          <w:p w14:paraId="34757DE1">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r>
      <w:tr w14:paraId="4A92B9E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180930AB">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2AA703BC">
            <w:pPr>
              <w:widowControl/>
              <w:adjustRightInd w:val="0"/>
              <w:snapToGrid w:val="0"/>
              <w:jc w:val="center"/>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合同协议书五、签约合同价与合同价格形式</w:t>
            </w:r>
            <w:r>
              <w:rPr>
                <w:rFonts w:hint="eastAsia" w:ascii="方正仿宋_GBK" w:hAnsi="方正仿宋_GBK" w:eastAsia="方正仿宋_GBK" w:cs="方正仿宋_GBK"/>
                <w:kern w:val="0"/>
                <w:sz w:val="18"/>
                <w:szCs w:val="18"/>
                <w:highlight w:val="none"/>
              </w:rPr>
              <w:tab/>
            </w:r>
          </w:p>
        </w:tc>
        <w:tc>
          <w:tcPr>
            <w:tcW w:w="3582" w:type="dxa"/>
            <w:vAlign w:val="center"/>
          </w:tcPr>
          <w:p w14:paraId="41947804">
            <w:pPr>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 合同价格形式：</w:t>
            </w:r>
          </w:p>
          <w:p w14:paraId="418674C7">
            <w:pPr>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发包人和承包人同意合同价格形式采用下列第种形式：           </w:t>
            </w:r>
          </w:p>
          <w:p w14:paraId="475EC91E">
            <w:pPr>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2.1单价合同                            </w:t>
            </w:r>
          </w:p>
          <w:p w14:paraId="6022BF78">
            <w:pPr>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2.2总价合同                                 </w:t>
            </w:r>
          </w:p>
          <w:p w14:paraId="600EDCD3">
            <w:pPr>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 xml:space="preserve">2.3其他合同价格形式：     </w:t>
            </w:r>
          </w:p>
        </w:tc>
        <w:tc>
          <w:tcPr>
            <w:tcW w:w="4455" w:type="dxa"/>
          </w:tcPr>
          <w:p w14:paraId="4AD544BC">
            <w:pPr>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 合同价格形式：</w:t>
            </w:r>
          </w:p>
          <w:p w14:paraId="6BEA67BC">
            <w:pPr>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发包人和承包人同意合同价格形式采用下列第</w:t>
            </w:r>
            <w:permStart w:id="0" w:edGrp="everyone"/>
            <w:r>
              <w:rPr>
                <w:rFonts w:hint="eastAsia" w:ascii="方正仿宋_GBK" w:hAnsi="方正仿宋_GBK" w:eastAsia="方正仿宋_GBK" w:cs="方正仿宋_GBK"/>
                <w:sz w:val="18"/>
                <w:szCs w:val="18"/>
                <w:highlight w:val="none"/>
              </w:rPr>
              <w:t>2.3</w:t>
            </w:r>
            <w:permEnd w:id="0"/>
            <w:r>
              <w:rPr>
                <w:rFonts w:hint="eastAsia" w:ascii="方正仿宋_GBK" w:hAnsi="方正仿宋_GBK" w:eastAsia="方正仿宋_GBK" w:cs="方正仿宋_GBK"/>
                <w:sz w:val="18"/>
                <w:szCs w:val="18"/>
                <w:highlight w:val="none"/>
              </w:rPr>
              <w:t xml:space="preserve">种形式：           </w:t>
            </w:r>
          </w:p>
          <w:p w14:paraId="26B97C70">
            <w:pPr>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2.1单价合同                            </w:t>
            </w:r>
          </w:p>
          <w:p w14:paraId="06F42F83">
            <w:pPr>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2.2总价合同                                 </w:t>
            </w:r>
          </w:p>
          <w:p w14:paraId="15EBCD6D">
            <w:pPr>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2.3其他合同价格形式：</w:t>
            </w:r>
            <w:permStart w:id="1" w:edGrp="everyone"/>
            <w:r>
              <w:rPr>
                <w:rFonts w:hint="eastAsia" w:ascii="方正仿宋_GBK" w:hAnsi="方正仿宋_GBK" w:eastAsia="方正仿宋_GBK" w:cs="方正仿宋_GBK"/>
                <w:sz w:val="18"/>
                <w:szCs w:val="18"/>
                <w:highlight w:val="none"/>
              </w:rPr>
              <w:t xml:space="preserve">  2.1+2.2相结合    </w:t>
            </w:r>
            <w:permEnd w:id="1"/>
            <w:r>
              <w:rPr>
                <w:rFonts w:hint="eastAsia" w:ascii="方正仿宋_GBK" w:hAnsi="方正仿宋_GBK" w:eastAsia="方正仿宋_GBK" w:cs="方正仿宋_GBK"/>
                <w:sz w:val="18"/>
                <w:szCs w:val="18"/>
                <w:highlight w:val="none"/>
              </w:rPr>
              <w:t>。</w:t>
            </w:r>
          </w:p>
        </w:tc>
      </w:tr>
      <w:tr w14:paraId="3583E11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1880BEE0">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64FEE158">
            <w:pPr>
              <w:widowControl/>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合同协议书</w:t>
            </w:r>
            <w:r>
              <w:rPr>
                <w:rFonts w:hint="eastAsia" w:ascii="方正仿宋_GBK" w:hAnsi="方正仿宋_GBK" w:eastAsia="方正仿宋_GBK" w:cs="方正仿宋_GBK"/>
                <w:snapToGrid w:val="0"/>
                <w:kern w:val="0"/>
                <w:sz w:val="18"/>
                <w:szCs w:val="18"/>
                <w:highlight w:val="none"/>
              </w:rPr>
              <w:t>六、工程款支付担保</w:t>
            </w:r>
          </w:p>
        </w:tc>
        <w:tc>
          <w:tcPr>
            <w:tcW w:w="3582" w:type="dxa"/>
            <w:vAlign w:val="center"/>
          </w:tcPr>
          <w:p w14:paraId="327054FA">
            <w:pPr>
              <w:spacing w:line="480" w:lineRule="exact"/>
              <w:ind w:firstLine="360" w:firstLineChars="20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发包人应按下列时间、方式、金额向承包人提供工程款支付担保。</w:t>
            </w:r>
          </w:p>
          <w:p w14:paraId="20536E88">
            <w:pPr>
              <w:spacing w:line="480" w:lineRule="exact"/>
              <w:ind w:firstLine="450" w:firstLineChars="25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1.时间：</w:t>
            </w:r>
            <w:permStart w:id="2" w:edGrp="everyone"/>
            <w:permEnd w:id="2"/>
            <w:r>
              <w:rPr>
                <w:rFonts w:hint="eastAsia" w:ascii="方正仿宋_GBK" w:hAnsi="方正仿宋_GBK" w:eastAsia="方正仿宋_GBK" w:cs="方正仿宋_GBK"/>
                <w:snapToGrid w:val="0"/>
                <w:kern w:val="0"/>
                <w:sz w:val="18"/>
                <w:szCs w:val="18"/>
                <w:highlight w:val="none"/>
              </w:rPr>
              <w:t>。</w:t>
            </w:r>
          </w:p>
          <w:p w14:paraId="274EA73D">
            <w:pPr>
              <w:spacing w:line="480" w:lineRule="exact"/>
              <w:ind w:firstLine="450" w:firstLineChars="25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2.方式：</w:t>
            </w:r>
          </w:p>
          <w:p w14:paraId="09918403">
            <w:pPr>
              <w:spacing w:line="480" w:lineRule="exact"/>
              <w:ind w:firstLine="450" w:firstLineChars="250"/>
              <w:rPr>
                <w:rFonts w:ascii="方正仿宋_GBK" w:hAnsi="方正仿宋_GBK" w:eastAsia="方正仿宋_GBK" w:cs="方正仿宋_GBK"/>
                <w:snapToGrid w:val="0"/>
                <w:kern w:val="0"/>
                <w:sz w:val="18"/>
                <w:szCs w:val="18"/>
                <w:highlight w:val="none"/>
              </w:rPr>
            </w:pPr>
            <w:r>
              <w:rPr>
                <w:rFonts w:ascii="方正仿宋_GBK" w:hAnsi="方正仿宋_GBK" w:eastAsia="方正仿宋_GBK" w:cs="方正仿宋_GBK"/>
                <w:sz w:val="18"/>
                <w:szCs w:val="18"/>
                <w:highlight w:val="none"/>
              </w:rPr>
              <w:pict>
                <v:shape id="_x0000_s1035" o:spid="_x0000_s1035" o:spt="75" type="#_x0000_t75" style="position:absolute;left:0pt;margin-left:35.9pt;margin-top:5.35pt;height:14.5pt;width:11.5pt;z-index:251659264;mso-width-relative:page;mso-height-relative:page;" filled="f" o:preferrelative="t" stroked="f" coordsize="21600,21600">
                  <v:path/>
                  <v:fill on="f" focussize="0,0"/>
                  <v:stroke on="f"/>
                  <v:imagedata r:id="rId6" o:title=""/>
                  <o:lock v:ext="edit" aspectratio="f"/>
                </v:shape>
              </w:pict>
            </w:r>
            <w:r>
              <w:rPr>
                <w:rFonts w:hint="eastAsia" w:ascii="方正仿宋_GBK" w:hAnsi="方正仿宋_GBK" w:eastAsia="方正仿宋_GBK" w:cs="方正仿宋_GBK"/>
                <w:snapToGrid w:val="0"/>
                <w:kern w:val="0"/>
                <w:sz w:val="18"/>
                <w:szCs w:val="18"/>
                <w:highlight w:val="none"/>
              </w:rPr>
              <w:t>□工程款支付保函</w:t>
            </w:r>
          </w:p>
          <w:p w14:paraId="15BA6C82">
            <w:pPr>
              <w:spacing w:line="480" w:lineRule="exact"/>
              <w:ind w:firstLine="450" w:firstLineChars="250"/>
              <w:rPr>
                <w:rFonts w:ascii="方正仿宋_GBK" w:hAnsi="方正仿宋_GBK" w:eastAsia="方正仿宋_GBK" w:cs="方正仿宋_GBK"/>
                <w:snapToGrid w:val="0"/>
                <w:kern w:val="0"/>
                <w:sz w:val="18"/>
                <w:szCs w:val="18"/>
                <w:highlight w:val="none"/>
              </w:rPr>
            </w:pPr>
            <w:r>
              <w:rPr>
                <w:rFonts w:ascii="方正仿宋_GBK" w:hAnsi="方正仿宋_GBK" w:eastAsia="方正仿宋_GBK" w:cs="方正仿宋_GBK"/>
                <w:sz w:val="18"/>
                <w:szCs w:val="18"/>
                <w:highlight w:val="none"/>
              </w:rPr>
              <w:pict>
                <v:shape id="_x0000_s1036" o:spid="_x0000_s1036" o:spt="75" type="#_x0000_t75" style="position:absolute;left:0pt;margin-left:35.9pt;margin-top:6.85pt;height:14.5pt;width:12pt;z-index:251660288;mso-width-relative:page;mso-height-relative:page;" filled="f" o:preferrelative="t" stroked="f" coordsize="21600,21600">
                  <v:path/>
                  <v:fill on="f" focussize="0,0"/>
                  <v:stroke on="f"/>
                  <v:imagedata r:id="rId6" o:title=""/>
                  <o:lock v:ext="edit" aspectratio="f"/>
                </v:shape>
              </w:pict>
            </w:r>
            <w:r>
              <w:rPr>
                <w:rFonts w:hint="eastAsia" w:ascii="方正仿宋_GBK" w:hAnsi="方正仿宋_GBK" w:eastAsia="方正仿宋_GBK" w:cs="方正仿宋_GBK"/>
                <w:snapToGrid w:val="0"/>
                <w:kern w:val="0"/>
                <w:sz w:val="18"/>
                <w:szCs w:val="18"/>
                <w:highlight w:val="none"/>
              </w:rPr>
              <w:t>□工程款支付保险</w:t>
            </w:r>
          </w:p>
          <w:p w14:paraId="68F0446F">
            <w:pPr>
              <w:spacing w:line="480" w:lineRule="exact"/>
              <w:ind w:firstLine="450" w:firstLineChars="250"/>
              <w:rPr>
                <w:rFonts w:ascii="方正仿宋_GBK" w:hAnsi="方正仿宋_GBK" w:eastAsia="方正仿宋_GBK" w:cs="方正仿宋_GBK"/>
                <w:snapToGrid w:val="0"/>
                <w:kern w:val="0"/>
                <w:sz w:val="18"/>
                <w:szCs w:val="18"/>
                <w:highlight w:val="none"/>
              </w:rPr>
            </w:pPr>
            <w:r>
              <w:rPr>
                <w:rFonts w:ascii="方正仿宋_GBK" w:hAnsi="方正仿宋_GBK" w:eastAsia="方正仿宋_GBK" w:cs="方正仿宋_GBK"/>
                <w:sz w:val="18"/>
                <w:szCs w:val="18"/>
                <w:highlight w:val="none"/>
              </w:rPr>
              <w:pict>
                <v:shape id="_x0000_s1037" o:spid="_x0000_s1037" o:spt="75" type="#_x0000_t75" style="position:absolute;left:0pt;margin-left:36.65pt;margin-top:5.35pt;height:16.5pt;width:10.5pt;z-index:251661312;mso-width-relative:page;mso-height-relative:page;" filled="f" o:preferrelative="t" stroked="f" coordsize="21600,21600">
                  <v:path/>
                  <v:fill on="f" focussize="0,0"/>
                  <v:stroke on="f"/>
                  <v:imagedata r:id="rId7" o:title=""/>
                  <o:lock v:ext="edit" aspectratio="f"/>
                </v:shape>
              </w:pict>
            </w:r>
            <w:r>
              <w:rPr>
                <w:rFonts w:hint="eastAsia" w:ascii="方正仿宋_GBK" w:hAnsi="方正仿宋_GBK" w:eastAsia="方正仿宋_GBK" w:cs="方正仿宋_GBK"/>
                <w:snapToGrid w:val="0"/>
                <w:kern w:val="0"/>
                <w:sz w:val="18"/>
                <w:szCs w:val="18"/>
                <w:highlight w:val="none"/>
              </w:rPr>
              <w:t>□其他：</w:t>
            </w:r>
            <w:permStart w:id="3" w:edGrp="everyone"/>
            <w:permEnd w:id="3"/>
            <w:r>
              <w:rPr>
                <w:rFonts w:hint="eastAsia" w:ascii="方正仿宋_GBK" w:hAnsi="方正仿宋_GBK" w:eastAsia="方正仿宋_GBK" w:cs="方正仿宋_GBK"/>
                <w:snapToGrid w:val="0"/>
                <w:kern w:val="0"/>
                <w:sz w:val="18"/>
                <w:szCs w:val="18"/>
                <w:highlight w:val="none"/>
              </w:rPr>
              <w:t>。</w:t>
            </w:r>
          </w:p>
          <w:p w14:paraId="26FE0A0E">
            <w:pPr>
              <w:spacing w:line="480" w:lineRule="exact"/>
              <w:ind w:firstLine="450" w:firstLineChars="25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3.金额：</w:t>
            </w:r>
            <w:permStart w:id="4" w:edGrp="everyone"/>
            <w:permEnd w:id="4"/>
            <w:r>
              <w:rPr>
                <w:rFonts w:hint="eastAsia" w:ascii="方正仿宋_GBK" w:hAnsi="方正仿宋_GBK" w:eastAsia="方正仿宋_GBK" w:cs="方正仿宋_GBK"/>
                <w:snapToGrid w:val="0"/>
                <w:kern w:val="0"/>
                <w:sz w:val="18"/>
                <w:szCs w:val="18"/>
                <w:highlight w:val="none"/>
              </w:rPr>
              <w:t>。</w:t>
            </w:r>
          </w:p>
          <w:p w14:paraId="71433A39">
            <w:pPr>
              <w:widowControl/>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p>
        </w:tc>
        <w:tc>
          <w:tcPr>
            <w:tcW w:w="4455" w:type="dxa"/>
          </w:tcPr>
          <w:p w14:paraId="2C390DA3">
            <w:pPr>
              <w:ind w:firstLine="450" w:firstLineChars="25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发包人应按下列时间、方式、金额向承包人提供工程款支付担保。</w:t>
            </w:r>
          </w:p>
          <w:p w14:paraId="67AD3D37">
            <w:pPr>
              <w:ind w:firstLine="450" w:firstLineChars="25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1.时间：</w:t>
            </w:r>
            <w:r>
              <w:rPr>
                <w:rFonts w:hint="eastAsia" w:ascii="方正仿宋_GBK" w:hAnsi="方正仿宋_GBK" w:eastAsia="方正仿宋_GBK" w:cs="方正仿宋_GBK"/>
                <w:snapToGrid w:val="0"/>
                <w:kern w:val="0"/>
                <w:sz w:val="18"/>
                <w:szCs w:val="18"/>
                <w:highlight w:val="none"/>
                <w:u w:val="single"/>
              </w:rPr>
              <w:t>自工程款支付保险单起保之日至施工合同（含补充协议）约定的除工程质量保证金以外的工程款结清之日起60天内止，如当地政府对支付担保期限有明确要求的，按照当地政策执行。</w:t>
            </w:r>
          </w:p>
          <w:p w14:paraId="232F82B6">
            <w:pPr>
              <w:ind w:firstLine="450" w:firstLineChars="25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2.方式：</w:t>
            </w:r>
          </w:p>
          <w:p w14:paraId="38AD9B8F">
            <w:pPr>
              <w:ind w:firstLine="450" w:firstLineChars="25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□工程款支付保函</w:t>
            </w:r>
          </w:p>
          <w:p w14:paraId="2EDA371E">
            <w:pPr>
              <w:ind w:firstLine="452" w:firstLineChars="250"/>
              <w:rPr>
                <w:rFonts w:ascii="方正仿宋_GBK" w:hAnsi="方正仿宋_GBK" w:eastAsia="方正仿宋_GBK" w:cs="方正仿宋_GBK"/>
                <w:b/>
                <w:bCs/>
                <w:snapToGrid w:val="0"/>
                <w:kern w:val="0"/>
                <w:sz w:val="18"/>
                <w:szCs w:val="18"/>
                <w:highlight w:val="none"/>
              </w:rPr>
            </w:pPr>
            <w:r>
              <w:rPr>
                <w:rFonts w:hint="eastAsia" w:ascii="方正仿宋_GBK" w:hAnsi="方正仿宋_GBK" w:eastAsia="方正仿宋_GBK" w:cs="方正仿宋_GBK"/>
                <w:b/>
                <w:bCs/>
                <w:snapToGrid w:val="0"/>
                <w:kern w:val="0"/>
                <w:sz w:val="18"/>
                <w:szCs w:val="18"/>
                <w:highlight w:val="none"/>
              </w:rPr>
              <w:sym w:font="Wingdings 2" w:char="0052"/>
            </w:r>
            <w:r>
              <w:rPr>
                <w:rFonts w:hint="eastAsia" w:ascii="方正仿宋_GBK" w:hAnsi="方正仿宋_GBK" w:eastAsia="方正仿宋_GBK" w:cs="方正仿宋_GBK"/>
                <w:b/>
                <w:bCs/>
                <w:snapToGrid w:val="0"/>
                <w:kern w:val="0"/>
                <w:sz w:val="18"/>
                <w:szCs w:val="18"/>
                <w:highlight w:val="none"/>
              </w:rPr>
              <w:t>工程款支付保险</w:t>
            </w:r>
          </w:p>
          <w:p w14:paraId="5FF39D14">
            <w:pPr>
              <w:ind w:firstLine="450" w:firstLineChars="25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□其他：</w:t>
            </w:r>
            <w:permStart w:id="5" w:edGrp="everyone"/>
            <w:permEnd w:id="5"/>
            <w:r>
              <w:rPr>
                <w:rFonts w:hint="eastAsia" w:ascii="方正仿宋_GBK" w:hAnsi="方正仿宋_GBK" w:eastAsia="方正仿宋_GBK" w:cs="方正仿宋_GBK"/>
                <w:snapToGrid w:val="0"/>
                <w:kern w:val="0"/>
                <w:sz w:val="18"/>
                <w:szCs w:val="18"/>
                <w:highlight w:val="none"/>
              </w:rPr>
              <w:t>。</w:t>
            </w:r>
          </w:p>
          <w:p w14:paraId="0070FD94">
            <w:pPr>
              <w:widowControl/>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3.金额：</w:t>
            </w:r>
            <w:r>
              <w:rPr>
                <w:rFonts w:hint="eastAsia" w:ascii="方正仿宋_GBK" w:hAnsi="方正仿宋_GBK" w:eastAsia="方正仿宋_GBK" w:cs="方正仿宋_GBK"/>
                <w:snapToGrid w:val="0"/>
                <w:kern w:val="0"/>
                <w:sz w:val="18"/>
                <w:szCs w:val="18"/>
                <w:highlight w:val="none"/>
                <w:u w:val="single"/>
              </w:rPr>
              <w:t>按照投保时工程项目所在地政府要求确定担保金额，如属地政府无明确要求，则按“工程款支付担保与履约担保对等原则”—即工程合同款的5%确定。如合同执行期间，政府调整政策规定的，按照规定调整担保金额。</w:t>
            </w:r>
          </w:p>
        </w:tc>
      </w:tr>
      <w:tr w14:paraId="398B349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7AD171D8">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1C9C5CD9">
            <w:pPr>
              <w:widowControl/>
              <w:adjustRightInd w:val="0"/>
              <w:snapToGrid w:val="0"/>
              <w:jc w:val="center"/>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合同协议书</w:t>
            </w:r>
          </w:p>
        </w:tc>
        <w:tc>
          <w:tcPr>
            <w:tcW w:w="3582" w:type="dxa"/>
            <w:vAlign w:val="center"/>
          </w:tcPr>
          <w:p w14:paraId="5831896B">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七、合同组成部分</w:t>
            </w:r>
          </w:p>
          <w:p w14:paraId="27692A93">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下列文件为本合同的组成部分：</w:t>
            </w:r>
          </w:p>
          <w:p w14:paraId="258C2FBF">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（1）双方在合同履行过程中达成的纪要、协议等文件；</w:t>
            </w:r>
          </w:p>
          <w:p w14:paraId="28A5F9F1">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（2）合同协议书及其附件；</w:t>
            </w:r>
          </w:p>
          <w:p w14:paraId="61ACC536">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（3）中标通知书；</w:t>
            </w:r>
          </w:p>
          <w:p w14:paraId="4E987DEF">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（4）专用合同条款及其附件；</w:t>
            </w:r>
          </w:p>
          <w:p w14:paraId="4179D837">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（5）通用合同条款； </w:t>
            </w:r>
          </w:p>
          <w:p w14:paraId="486D1DC4">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（6）技术标准和要求；</w:t>
            </w:r>
          </w:p>
          <w:p w14:paraId="7F79597E">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（7）图纸；</w:t>
            </w:r>
          </w:p>
          <w:p w14:paraId="2515F62A">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（8）已标价工程量清单；</w:t>
            </w:r>
          </w:p>
          <w:p w14:paraId="39CC9760">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（9）招标文件和投标文件；</w:t>
            </w:r>
          </w:p>
          <w:p w14:paraId="47786B96">
            <w:pPr>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（10）构成合同的其他文件。</w:t>
            </w:r>
          </w:p>
        </w:tc>
        <w:tc>
          <w:tcPr>
            <w:tcW w:w="4455" w:type="dxa"/>
          </w:tcPr>
          <w:p w14:paraId="76978FC0">
            <w:pPr>
              <w:autoSpaceDE w:val="0"/>
              <w:autoSpaceDN w:val="0"/>
              <w:adjustRightInd w:val="0"/>
              <w:snapToGrid w:val="0"/>
              <w:spacing w:line="480" w:lineRule="exact"/>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七、合同组成部分</w:t>
            </w:r>
          </w:p>
          <w:p w14:paraId="08E29517">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下列文件为本合同的组成部分：</w:t>
            </w:r>
          </w:p>
          <w:p w14:paraId="60BF1DB8">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（1）双方在合同履行过程中达成的纪要、协议等文件；</w:t>
            </w:r>
          </w:p>
          <w:p w14:paraId="55FFB663">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（2）合同协议书；</w:t>
            </w:r>
          </w:p>
          <w:p w14:paraId="2A6E5C39">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（3）中标通知书；</w:t>
            </w:r>
          </w:p>
          <w:p w14:paraId="74F5B811">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（4）专用合同条款及合同附件；</w:t>
            </w:r>
          </w:p>
          <w:p w14:paraId="7360C2D4">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 xml:space="preserve">（5）通用合同条款； </w:t>
            </w:r>
          </w:p>
          <w:p w14:paraId="43AFE6C1">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（6）技术标准和要求；</w:t>
            </w:r>
          </w:p>
          <w:p w14:paraId="363E19C9">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（7）图纸；</w:t>
            </w:r>
          </w:p>
          <w:p w14:paraId="11BF1F9A">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（8）已标价工程量清单；</w:t>
            </w:r>
          </w:p>
          <w:p w14:paraId="7E6BC2AF">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（9）招标文件和投标文件；</w:t>
            </w:r>
          </w:p>
          <w:p w14:paraId="20028204">
            <w:pPr>
              <w:spacing w:line="320" w:lineRule="exact"/>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（10）构成合同的其他文件。</w:t>
            </w:r>
          </w:p>
        </w:tc>
      </w:tr>
      <w:tr w14:paraId="7178443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6B27EA5F">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489AEEF0">
            <w:pPr>
              <w:widowControl/>
              <w:adjustRightInd w:val="0"/>
              <w:snapToGrid w:val="0"/>
              <w:jc w:val="center"/>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合同协议书</w:t>
            </w:r>
          </w:p>
        </w:tc>
        <w:tc>
          <w:tcPr>
            <w:tcW w:w="3582" w:type="dxa"/>
            <w:vAlign w:val="center"/>
          </w:tcPr>
          <w:p w14:paraId="693BB966">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十二、合同生效</w:t>
            </w:r>
          </w:p>
          <w:p w14:paraId="0DB6F78A">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本合同在以下条件全部满足之日起生效：</w:t>
            </w:r>
          </w:p>
          <w:p w14:paraId="0823F352">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（1）本合同经双方法定代表人（负责人）或其授权代表签署并加盖双方公章或合同专用章；</w:t>
            </w:r>
          </w:p>
          <w:p w14:paraId="2334899F">
            <w:pPr>
              <w:rPr>
                <w:highlight w:val="none"/>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（2） 。</w:t>
            </w:r>
          </w:p>
          <w:p w14:paraId="517176FC">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tcPr>
          <w:p w14:paraId="106A4E05">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十二、合同生效</w:t>
            </w:r>
          </w:p>
          <w:p w14:paraId="7104EFCB">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本合同在以下条件全部满足之日起生效：</w:t>
            </w:r>
          </w:p>
          <w:p w14:paraId="2B163DC2">
            <w:pPr>
              <w:widowControl/>
              <w:numPr>
                <w:ilvl w:val="0"/>
                <w:numId w:val="4"/>
              </w:num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本合同经双方法定代表人（负责人）或其授权代表签署并加盖双方公章或合同专用章。</w:t>
            </w:r>
          </w:p>
          <w:p w14:paraId="740EABE7">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（2）</w:t>
            </w:r>
            <w:r>
              <w:rPr>
                <w:rFonts w:hint="eastAsia" w:ascii="方正仿宋_GBK" w:hAnsi="方正仿宋_GBK" w:eastAsia="方正仿宋_GBK" w:cs="方正仿宋_GBK"/>
                <w:color w:val="000000" w:themeColor="text1"/>
                <w:sz w:val="18"/>
                <w:szCs w:val="18"/>
                <w:highlight w:val="none"/>
                <w:u w:val="single"/>
                <w14:textFill>
                  <w14:solidFill>
                    <w14:schemeClr w14:val="tx1"/>
                  </w14:solidFill>
                </w14:textFill>
              </w:rPr>
              <w:t xml:space="preserve">项目已经按照国家有关规定履行了核准手续   </w:t>
            </w: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w:t>
            </w:r>
          </w:p>
        </w:tc>
      </w:tr>
      <w:tr w14:paraId="33B0846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040" w:type="dxa"/>
            <w:vAlign w:val="center"/>
          </w:tcPr>
          <w:p w14:paraId="307301B3">
            <w:pPr>
              <w:pStyle w:val="34"/>
              <w:widowControl/>
              <w:numPr>
                <w:ilvl w:val="0"/>
                <w:numId w:val="3"/>
              </w:numPr>
              <w:adjustRightInd w:val="0"/>
              <w:snapToGrid w:val="0"/>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3AEE9121">
            <w:pPr>
              <w:widowControl/>
              <w:adjustRightInd w:val="0"/>
              <w:snapToGrid w:val="0"/>
              <w:jc w:val="center"/>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合同协议书</w:t>
            </w:r>
          </w:p>
        </w:tc>
        <w:tc>
          <w:tcPr>
            <w:tcW w:w="3582" w:type="dxa"/>
            <w:vAlign w:val="center"/>
          </w:tcPr>
          <w:p w14:paraId="5B9308A6">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十四、份数</w:t>
            </w:r>
          </w:p>
          <w:p w14:paraId="29BD93DA">
            <w:pPr>
              <w:rPr>
                <w:highlight w:val="none"/>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本合同一式    份，发包人执    份，承包人执    份，具有同等法律效力。</w:t>
            </w:r>
          </w:p>
          <w:p w14:paraId="5F3691B4">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tcPr>
          <w:p w14:paraId="160C9940">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十四、份数</w:t>
            </w:r>
          </w:p>
          <w:p w14:paraId="3F4517E2">
            <w:pPr>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本合同一式</w:t>
            </w:r>
            <w:r>
              <w:rPr>
                <w:rFonts w:hint="eastAsia" w:ascii="方正仿宋_GBK" w:hAnsi="方正仿宋_GBK" w:eastAsia="方正仿宋_GBK" w:cs="方正仿宋_GBK"/>
                <w:color w:val="000000" w:themeColor="text1"/>
                <w:sz w:val="18"/>
                <w:szCs w:val="18"/>
                <w:highlight w:val="none"/>
                <w:u w:val="single"/>
                <w14:textFill>
                  <w14:solidFill>
                    <w14:schemeClr w14:val="tx1"/>
                  </w14:solidFill>
                </w14:textFill>
              </w:rPr>
              <w:t xml:space="preserve">15  </w:t>
            </w: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份，发包人执</w:t>
            </w:r>
            <w:r>
              <w:rPr>
                <w:rFonts w:hint="eastAsia" w:ascii="方正仿宋_GBK" w:hAnsi="方正仿宋_GBK" w:eastAsia="方正仿宋_GBK" w:cs="方正仿宋_GBK"/>
                <w:color w:val="000000" w:themeColor="text1"/>
                <w:sz w:val="18"/>
                <w:szCs w:val="18"/>
                <w:highlight w:val="none"/>
                <w:u w:val="single"/>
                <w14:textFill>
                  <w14:solidFill>
                    <w14:schemeClr w14:val="tx1"/>
                  </w14:solidFill>
                </w14:textFill>
              </w:rPr>
              <w:t>8</w:t>
            </w: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份，承包人执</w:t>
            </w:r>
            <w:r>
              <w:rPr>
                <w:rFonts w:hint="eastAsia" w:ascii="方正仿宋_GBK" w:hAnsi="方正仿宋_GBK" w:eastAsia="方正仿宋_GBK" w:cs="方正仿宋_GBK"/>
                <w:color w:val="000000" w:themeColor="text1"/>
                <w:sz w:val="18"/>
                <w:szCs w:val="18"/>
                <w:highlight w:val="none"/>
                <w:u w:val="single"/>
                <w14:textFill>
                  <w14:solidFill>
                    <w14:schemeClr w14:val="tx1"/>
                  </w14:solidFill>
                </w14:textFill>
              </w:rPr>
              <w:t>7</w:t>
            </w: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份，具有同等法律效力。</w:t>
            </w:r>
          </w:p>
        </w:tc>
      </w:tr>
      <w:tr w14:paraId="2B9A03B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40" w:type="dxa"/>
            <w:vAlign w:val="center"/>
          </w:tcPr>
          <w:p w14:paraId="13245EAB">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76890A37">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专用条款</w:t>
            </w:r>
          </w:p>
          <w:p w14:paraId="34C15F99">
            <w:pPr>
              <w:widowControl/>
              <w:adjustRightInd w:val="0"/>
              <w:snapToGrid w:val="0"/>
              <w:jc w:val="center"/>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1.1.4.5</w:t>
            </w:r>
          </w:p>
        </w:tc>
        <w:tc>
          <w:tcPr>
            <w:tcW w:w="3582" w:type="dxa"/>
            <w:vAlign w:val="center"/>
          </w:tcPr>
          <w:p w14:paraId="06A95A42">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1.1.4.5 缺陷责任期期限为：</w:t>
            </w:r>
          </w:p>
          <w:p w14:paraId="08707731">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12个月。</w:t>
            </w:r>
          </w:p>
        </w:tc>
        <w:tc>
          <w:tcPr>
            <w:tcW w:w="4455" w:type="dxa"/>
            <w:vAlign w:val="center"/>
          </w:tcPr>
          <w:p w14:paraId="07917FB5">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1.1.4.5修改为：</w:t>
            </w:r>
          </w:p>
          <w:p w14:paraId="1FB739F8">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缺陷责任期期限为：自竣工验收合格之日起至24个月止。</w:t>
            </w:r>
            <w:bookmarkStart w:id="4" w:name="_GoBack"/>
            <w:bookmarkEnd w:id="4"/>
          </w:p>
        </w:tc>
      </w:tr>
      <w:tr w14:paraId="501948A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1031F9A3">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113410BB">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专用条款</w:t>
            </w:r>
          </w:p>
          <w:p w14:paraId="20F328CD">
            <w:pPr>
              <w:widowControl/>
              <w:adjustRightInd w:val="0"/>
              <w:snapToGrid w:val="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1.1.6.2</w:t>
            </w:r>
          </w:p>
        </w:tc>
        <w:tc>
          <w:tcPr>
            <w:tcW w:w="3582" w:type="dxa"/>
            <w:vAlign w:val="center"/>
          </w:tcPr>
          <w:p w14:paraId="77F1B28E">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1.1.6.2 工程竣工验收签证书：即通用合同条款中的“工程接收证书”。</w:t>
            </w:r>
          </w:p>
        </w:tc>
        <w:tc>
          <w:tcPr>
            <w:tcW w:w="4455" w:type="dxa"/>
            <w:vAlign w:val="center"/>
          </w:tcPr>
          <w:p w14:paraId="58042EE9">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1.1.6.2 工程启动验收证书：即通用合同条款中的“工程接收证书”。</w:t>
            </w:r>
          </w:p>
        </w:tc>
      </w:tr>
      <w:tr w14:paraId="301C1EF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58317D48">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3309B8C6">
            <w:pPr>
              <w:snapToGrid w:val="0"/>
              <w:spacing w:line="240" w:lineRule="atLeast"/>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52"/>
                <w:rFonts w:hint="eastAsia" w:ascii="方正仿宋_GBK" w:hAnsi="方正仿宋_GBK" w:eastAsia="方正仿宋_GBK" w:cs="方正仿宋_GBK"/>
                <w:kern w:val="0"/>
                <w:sz w:val="18"/>
                <w:szCs w:val="18"/>
                <w:highlight w:val="none"/>
              </w:rPr>
              <w:t>专用条款第1.1.6.3条</w:t>
            </w:r>
          </w:p>
        </w:tc>
        <w:tc>
          <w:tcPr>
            <w:tcW w:w="3582" w:type="dxa"/>
            <w:vAlign w:val="center"/>
          </w:tcPr>
          <w:p w14:paraId="4EF236FB">
            <w:pPr>
              <w:snapToGrid w:val="0"/>
              <w:spacing w:line="240" w:lineRule="atLeast"/>
              <w:ind w:firstLine="360" w:firstLineChars="20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52"/>
                <w:rFonts w:hint="eastAsia" w:ascii="方正仿宋_GBK" w:hAnsi="方正仿宋_GBK" w:eastAsia="方正仿宋_GBK" w:cs="方正仿宋_GBK"/>
                <w:kern w:val="0"/>
                <w:sz w:val="18"/>
                <w:szCs w:val="18"/>
                <w:highlight w:val="none"/>
              </w:rPr>
              <w:t>1.1.6.3 重大设计变更、签证:重大设计变更指改变了初步设计审定的设计方案、主要设备选型、工程规模、建设标准等原则意见，或单项设计变更投资变化超过20万元的设计变更;重大签证是指单项签证投资增减额超过10万元的签证。</w:t>
            </w:r>
          </w:p>
        </w:tc>
        <w:tc>
          <w:tcPr>
            <w:tcW w:w="4455" w:type="dxa"/>
            <w:vAlign w:val="center"/>
          </w:tcPr>
          <w:p w14:paraId="7AB62BE5">
            <w:pPr>
              <w:snapToGrid w:val="0"/>
              <w:spacing w:line="240" w:lineRule="atLeast"/>
              <w:jc w:val="left"/>
              <w:rPr>
                <w:rFonts w:ascii="方正仿宋_GBK" w:hAnsi="方正仿宋_GBK" w:eastAsia="方正仿宋_GBK" w:cs="方正仿宋_GBK"/>
                <w:b/>
                <w:kern w:val="0"/>
                <w:sz w:val="18"/>
                <w:szCs w:val="18"/>
                <w:highlight w:val="none"/>
              </w:rPr>
            </w:pPr>
            <w:r>
              <w:rPr>
                <w:rStyle w:val="52"/>
                <w:rFonts w:hint="eastAsia" w:ascii="方正仿宋_GBK" w:hAnsi="方正仿宋_GBK" w:eastAsia="方正仿宋_GBK" w:cs="方正仿宋_GBK"/>
                <w:b/>
                <w:kern w:val="0"/>
                <w:sz w:val="18"/>
                <w:szCs w:val="18"/>
                <w:highlight w:val="none"/>
              </w:rPr>
              <w:t>修改为：</w:t>
            </w:r>
          </w:p>
          <w:p w14:paraId="102BB7ED">
            <w:pPr>
              <w:snapToGrid w:val="0"/>
              <w:spacing w:line="240" w:lineRule="atLeast"/>
              <w:ind w:firstLine="360" w:firstLineChars="200"/>
              <w:jc w:val="left"/>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kern w:val="0"/>
                <w:sz w:val="18"/>
                <w:szCs w:val="18"/>
                <w:highlight w:val="none"/>
              </w:rPr>
              <w:t>1.1.6.3重大设计变更、签证:重大设计变更是指改变了初步设计审定的设计方案、主要设备选型、工程规模、建设标准等原则意见，或单项设计变更投资变化超过20万元的设计变更，重大签证是指单项签证投资增减额超过10万元的签证。</w:t>
            </w:r>
          </w:p>
          <w:p w14:paraId="0D17D594">
            <w:pPr>
              <w:snapToGrid w:val="0"/>
              <w:spacing w:line="240" w:lineRule="atLeast"/>
              <w:ind w:firstLine="360" w:firstLineChars="20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52"/>
                <w:rFonts w:hint="eastAsia" w:ascii="方正仿宋_GBK" w:hAnsi="方正仿宋_GBK" w:eastAsia="方正仿宋_GBK" w:cs="方正仿宋_GBK"/>
                <w:bCs/>
                <w:kern w:val="0"/>
                <w:sz w:val="18"/>
                <w:szCs w:val="18"/>
                <w:highlight w:val="none"/>
              </w:rPr>
              <w:t>根据《国网特高压部关于印发特高压工程第一批“放管服”事项工作分工的通知》（特综合【2019】50号）及《国网特高压部关于进一步强化特高压及直流工程设计变更管理工作的通知》，国网特高压部负责特高压工程改变初步设计原则或金额200万元以上等重大设计变更审批。</w:t>
            </w:r>
          </w:p>
        </w:tc>
      </w:tr>
      <w:tr w14:paraId="7083767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38C7F8BA">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51F89D60">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专用条款1.1.6.6</w:t>
            </w:r>
          </w:p>
        </w:tc>
        <w:tc>
          <w:tcPr>
            <w:tcW w:w="3582" w:type="dxa"/>
            <w:vAlign w:val="center"/>
          </w:tcPr>
          <w:p w14:paraId="0E8DDB57">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竣工验收：指承包人完成了本合同中规定的工程项目后，发包人按合同要求进行的验收。</w:t>
            </w:r>
          </w:p>
        </w:tc>
        <w:tc>
          <w:tcPr>
            <w:tcW w:w="4455" w:type="dxa"/>
          </w:tcPr>
          <w:p w14:paraId="0DA4BD58">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竣工（预）验收：指承包人完成了本合同中规定的工程项目后，发包人按合同要求进行的（预）验收。</w:t>
            </w:r>
          </w:p>
        </w:tc>
      </w:tr>
      <w:tr w14:paraId="739B25C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7D739F62">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7FB94CD4">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专用1.1.6 其他</w:t>
            </w:r>
          </w:p>
        </w:tc>
        <w:tc>
          <w:tcPr>
            <w:tcW w:w="3582" w:type="dxa"/>
            <w:vAlign w:val="center"/>
          </w:tcPr>
          <w:p w14:paraId="78219149">
            <w:pPr>
              <w:widowControl/>
              <w:adjustRightInd w:val="0"/>
              <w:snapToGrid w:val="0"/>
              <w:rPr>
                <w:rFonts w:ascii="方正仿宋_GBK" w:hAnsi="方正仿宋_GBK" w:eastAsia="方正仿宋_GBK" w:cs="方正仿宋_GBK"/>
                <w:sz w:val="18"/>
                <w:szCs w:val="18"/>
                <w:highlight w:val="none"/>
              </w:rPr>
            </w:pPr>
          </w:p>
        </w:tc>
        <w:tc>
          <w:tcPr>
            <w:tcW w:w="4455" w:type="dxa"/>
          </w:tcPr>
          <w:p w14:paraId="60149F9C">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增加：</w:t>
            </w:r>
            <w:r>
              <w:rPr>
                <w:rFonts w:hint="eastAsia" w:ascii="方正仿宋_GBK" w:hAnsi="方正仿宋_GBK" w:eastAsia="方正仿宋_GBK" w:cs="方正仿宋_GBK"/>
                <w:kern w:val="0"/>
                <w:sz w:val="18"/>
                <w:szCs w:val="18"/>
                <w:highlight w:val="none"/>
              </w:rPr>
              <w:br w:type="textWrapping"/>
            </w:r>
            <w:r>
              <w:rPr>
                <w:rStyle w:val="41"/>
                <w:rFonts w:hint="default"/>
                <w:color w:val="auto"/>
                <w:sz w:val="18"/>
                <w:szCs w:val="18"/>
                <w:highlight w:val="none"/>
              </w:rPr>
              <w:t>分部工程质量签证、单位工程质量鉴定书：分部工程</w:t>
            </w:r>
            <w:r>
              <w:rPr>
                <w:rStyle w:val="41"/>
                <w:rFonts w:hint="eastAsia" w:eastAsia="方正仿宋_GBK"/>
                <w:color w:val="auto"/>
                <w:sz w:val="18"/>
                <w:szCs w:val="18"/>
                <w:highlight w:val="none"/>
                <w:lang w:eastAsia="zh-CN"/>
              </w:rPr>
              <w:t>质量</w:t>
            </w:r>
            <w:r>
              <w:rPr>
                <w:rStyle w:val="41"/>
                <w:rFonts w:hint="default"/>
                <w:color w:val="auto"/>
                <w:sz w:val="18"/>
                <w:szCs w:val="18"/>
                <w:highlight w:val="none"/>
              </w:rPr>
              <w:t>签证是依据GB/T22490-2016规定，在水土保持设施分部工程自查初验后应填写的内容，作为单位工程自查初验资料的组成部分。单位工程质量鉴定书是在水土保持设施单位工程自查初验后应填写的内容，作为单位工程完工自验和行政验收的依据。</w:t>
            </w:r>
          </w:p>
        </w:tc>
      </w:tr>
      <w:tr w14:paraId="1D1D767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0F9E75AE">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57D009EB">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专用条款</w:t>
            </w:r>
          </w:p>
          <w:p w14:paraId="46524A25">
            <w:pPr>
              <w:widowControl/>
              <w:adjustRightInd w:val="0"/>
              <w:snapToGrid w:val="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1.4</w:t>
            </w:r>
          </w:p>
        </w:tc>
        <w:tc>
          <w:tcPr>
            <w:tcW w:w="3582" w:type="dxa"/>
            <w:vAlign w:val="center"/>
          </w:tcPr>
          <w:p w14:paraId="08732CC0">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1.4 合同文件的优先顺序</w:t>
            </w:r>
          </w:p>
          <w:p w14:paraId="2200463A">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修改为：</w:t>
            </w:r>
          </w:p>
          <w:p w14:paraId="32667678">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下列文件为本合同的组成部分：</w:t>
            </w:r>
          </w:p>
          <w:p w14:paraId="1FB6F98D">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（1）双方在合同履行过程中达成的纪要、协议等文件；</w:t>
            </w:r>
          </w:p>
          <w:p w14:paraId="3C46816B">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（2）合同协议书及其附件；</w:t>
            </w:r>
          </w:p>
          <w:p w14:paraId="2E9DD656">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（3）中标通知书；</w:t>
            </w:r>
          </w:p>
          <w:p w14:paraId="445E3623">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（4）专用合同条款及其附件；</w:t>
            </w:r>
          </w:p>
          <w:p w14:paraId="23AC4004">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 xml:space="preserve">（5）通用合同条款； </w:t>
            </w:r>
          </w:p>
          <w:p w14:paraId="4558CCB4">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（6）技术标准和要求；</w:t>
            </w:r>
          </w:p>
          <w:p w14:paraId="31320C7B">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（7）图纸；</w:t>
            </w:r>
          </w:p>
          <w:p w14:paraId="433BF408">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（8）已标价工程量清单；</w:t>
            </w:r>
          </w:p>
          <w:p w14:paraId="0E79D5A4">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（9）招标文件和投标文件；</w:t>
            </w:r>
          </w:p>
          <w:p w14:paraId="3ADA09B1">
            <w:pPr>
              <w:ind w:firstLine="450" w:firstLineChars="250"/>
              <w:rPr>
                <w:highlight w:val="none"/>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（10）构成合同的其他文件。</w:t>
            </w:r>
          </w:p>
          <w:p w14:paraId="67F0B75B">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4F36E2C9">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1.4 合同文件的优先顺序</w:t>
            </w:r>
          </w:p>
          <w:p w14:paraId="6E03FBA9">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修改为：</w:t>
            </w:r>
          </w:p>
          <w:p w14:paraId="6F5D299B">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下列文件为本合同的组成部分：</w:t>
            </w:r>
          </w:p>
          <w:p w14:paraId="399BF8BE">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（1）双方在合同履行过程中达成的纪要、协议等文件；</w:t>
            </w:r>
          </w:p>
          <w:p w14:paraId="1393FDE5">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（2）合同协议书；</w:t>
            </w:r>
          </w:p>
          <w:p w14:paraId="082E4675">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（3）中标通知书；</w:t>
            </w:r>
          </w:p>
          <w:p w14:paraId="52CEB3A9">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（4）专用合同条款及合同附件；</w:t>
            </w:r>
          </w:p>
          <w:p w14:paraId="4EC94461">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 xml:space="preserve">（5）通用合同条款； </w:t>
            </w:r>
          </w:p>
          <w:p w14:paraId="79CC4FDC">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（6）技术标准和要求；</w:t>
            </w:r>
          </w:p>
          <w:p w14:paraId="72727ACA">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（7）图纸；</w:t>
            </w:r>
          </w:p>
          <w:p w14:paraId="54BFB4F8">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（8）已标价工程量清单；</w:t>
            </w:r>
          </w:p>
          <w:p w14:paraId="2C6E83D4">
            <w:pPr>
              <w:ind w:firstLine="450" w:firstLineChars="25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（9）招标文件和投标文件；</w:t>
            </w:r>
          </w:p>
          <w:p w14:paraId="347559F9">
            <w:pPr>
              <w:ind w:firstLine="450" w:firstLineChars="25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t>（10）构成合同的其他文件。</w:t>
            </w:r>
          </w:p>
        </w:tc>
      </w:tr>
      <w:tr w14:paraId="20CCD07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03675E3D">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7E972702">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专用合同条款1.11.8</w:t>
            </w:r>
          </w:p>
        </w:tc>
        <w:tc>
          <w:tcPr>
            <w:tcW w:w="3582" w:type="dxa"/>
            <w:vAlign w:val="center"/>
          </w:tcPr>
          <w:p w14:paraId="3DD72D4C">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承包人利用发包人提供的技术资料和工作条件所完成的新的技术成果和知识产权,归发包人单独所有。</w:t>
            </w:r>
          </w:p>
        </w:tc>
        <w:tc>
          <w:tcPr>
            <w:tcW w:w="4455" w:type="dxa"/>
          </w:tcPr>
          <w:p w14:paraId="00096B9F">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承包人利用发包人提供的技术资料和工作条件所完成的新的技术成果和知识产权，其中专利申请权、版权（著作权）、研究成果署名权、奖项申报申请权归发包人和承包人双方所有，未经发包人许可，承包人不得单独开展相关工作。获得报酬权、非专利技术所有权、商誉等归发包人单独所有。</w:t>
            </w:r>
          </w:p>
        </w:tc>
      </w:tr>
      <w:tr w14:paraId="77C2825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1040" w:type="dxa"/>
            <w:vAlign w:val="center"/>
          </w:tcPr>
          <w:p w14:paraId="3394DCE4">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1F1C929B">
            <w:pPr>
              <w:widowControl/>
              <w:adjustRightInd w:val="0"/>
              <w:snapToGrid w:val="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专用合同条款1.11.9 </w:t>
            </w:r>
          </w:p>
        </w:tc>
        <w:tc>
          <w:tcPr>
            <w:tcW w:w="3582" w:type="dxa"/>
            <w:vAlign w:val="center"/>
          </w:tcPr>
          <w:p w14:paraId="7DBB4F05">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上述知识产权及相关权利主要包括但不限于专利申请权、版权（著作权）、研究成果署名权、奖项申报申请权、获得报酬权、非专利技术所有权、商誉等。</w:t>
            </w:r>
          </w:p>
        </w:tc>
        <w:tc>
          <w:tcPr>
            <w:tcW w:w="4455" w:type="dxa"/>
            <w:vAlign w:val="center"/>
          </w:tcPr>
          <w:p w14:paraId="7A2092F2">
            <w:pPr>
              <w:snapToGrid w:val="0"/>
              <w:jc w:val="center"/>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删除</w:t>
            </w:r>
          </w:p>
        </w:tc>
      </w:tr>
      <w:tr w14:paraId="39CCC77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40" w:type="dxa"/>
            <w:vAlign w:val="center"/>
          </w:tcPr>
          <w:p w14:paraId="1947246C">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075EDAA4">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专用合同条款2.9.1</w:t>
            </w:r>
          </w:p>
        </w:tc>
        <w:tc>
          <w:tcPr>
            <w:tcW w:w="3582" w:type="dxa"/>
            <w:vAlign w:val="center"/>
          </w:tcPr>
          <w:p w14:paraId="6954CE82">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2.9.1 水、电、通讯等施工管线进入施工场地现场;</w:t>
            </w:r>
          </w:p>
          <w:p w14:paraId="6AD71B14">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水、电、通讯等施工管线进入施工现场的时间、地点和供应要求：</w:t>
            </w:r>
          </w:p>
          <w:p w14:paraId="050C29FA">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变电工程：</w:t>
            </w:r>
          </w:p>
          <w:p w14:paraId="21189D35">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水：    。 </w:t>
            </w:r>
          </w:p>
          <w:p w14:paraId="537F70C7">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电：   。 </w:t>
            </w:r>
          </w:p>
          <w:p w14:paraId="5F307772">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通讯：            。</w:t>
            </w:r>
          </w:p>
          <w:p w14:paraId="0A90491C">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线路工程（适用于线路工程和输变电工程中线路部分）：</w:t>
            </w:r>
          </w:p>
          <w:p w14:paraId="6F688869">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水：承包人自行解决，费用已包含在合同价格中。</w:t>
            </w:r>
          </w:p>
          <w:p w14:paraId="0C5EC327">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电：承包人自行解决，费用已包含在合同价格中。</w:t>
            </w:r>
          </w:p>
          <w:p w14:paraId="6215D46F">
            <w:pPr>
              <w:rPr>
                <w:highlight w:val="none"/>
              </w:rPr>
            </w:pPr>
            <w:r>
              <w:rPr>
                <w:rFonts w:hint="eastAsia" w:ascii="方正仿宋_GBK" w:hAnsi="方正仿宋_GBK" w:eastAsia="方正仿宋_GBK" w:cs="方正仿宋_GBK"/>
                <w:sz w:val="18"/>
                <w:szCs w:val="18"/>
                <w:highlight w:val="none"/>
              </w:rPr>
              <w:t>通讯：承包人自行解决，费用已包含在合同价格中。</w:t>
            </w:r>
          </w:p>
          <w:p w14:paraId="756E92DA">
            <w:pPr>
              <w:rPr>
                <w:highlight w:val="none"/>
              </w:rPr>
            </w:pPr>
          </w:p>
          <w:p w14:paraId="6810B1B7">
            <w:pPr>
              <w:rPr>
                <w:highlight w:val="none"/>
              </w:rPr>
            </w:pPr>
          </w:p>
          <w:p w14:paraId="499DDA0F">
            <w:pPr>
              <w:rPr>
                <w:highlight w:val="none"/>
              </w:rPr>
            </w:pPr>
          </w:p>
          <w:p w14:paraId="5DAE5ADF">
            <w:pPr>
              <w:rPr>
                <w:highlight w:val="none"/>
              </w:rPr>
            </w:pPr>
          </w:p>
          <w:p w14:paraId="0E650456">
            <w:pPr>
              <w:rPr>
                <w:highlight w:val="none"/>
              </w:rPr>
            </w:pPr>
          </w:p>
          <w:p w14:paraId="2E435AE8">
            <w:pPr>
              <w:rPr>
                <w:highlight w:val="none"/>
              </w:rPr>
            </w:pPr>
          </w:p>
          <w:p w14:paraId="0A4AC5E0">
            <w:pPr>
              <w:rPr>
                <w:highlight w:val="none"/>
              </w:rPr>
            </w:pPr>
          </w:p>
          <w:p w14:paraId="578F79B8">
            <w:pPr>
              <w:rPr>
                <w:highlight w:val="none"/>
              </w:rPr>
            </w:pPr>
          </w:p>
          <w:p w14:paraId="307310A1">
            <w:pPr>
              <w:rPr>
                <w:highlight w:val="none"/>
              </w:rPr>
            </w:pPr>
          </w:p>
          <w:p w14:paraId="44D4A1ED">
            <w:pPr>
              <w:adjustRightInd w:val="0"/>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4ED1BBB8">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2.9.1 水、电、通讯等施工管线进入施工场地现场;</w:t>
            </w:r>
          </w:p>
          <w:p w14:paraId="26A70937">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水、电、通讯等施工管线进入施工现场的时间、地点和供应要求：</w:t>
            </w:r>
          </w:p>
          <w:p w14:paraId="44C9E9A5">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变电工程：</w:t>
            </w:r>
          </w:p>
          <w:p w14:paraId="2FEE1FF3">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水：开工前一周提供，施工生活、生产用水在施工报价中统一考虑，不进行单独报价。临建区域公共区域供水系统的建设由土建A包负责牵头，各包各自临建区域内的供水管道、流量计等自行负责。建设期间的水源管理工作由土建A包负责。</w:t>
            </w:r>
          </w:p>
          <w:p w14:paraId="2FA50AA4">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电：开工前一周提供，站外电源已由四通一平施工单位引至施工用电变压器高压侧（变压器的租赁及维护由四通一平施工单位负责），向换流站土建A包移交，移交后由土建A包负责从变压器低压侧引至站内及临建区一级电源箱，整个工程建设期间的施工电源变压器及其高压侧线路由四通一平单位负责维护和管理，变压器低压侧（包括临建区域和站内</w:t>
            </w:r>
            <w:r>
              <w:rPr>
                <w:rFonts w:hint="eastAsia" w:ascii="方正仿宋_GBK" w:hAnsi="方正仿宋_GBK" w:eastAsia="方正仿宋_GBK" w:cs="方正仿宋_GBK"/>
                <w:strike/>
                <w:sz w:val="18"/>
                <w:szCs w:val="18"/>
                <w:highlight w:val="none"/>
              </w:rPr>
              <w:t>2</w:t>
            </w:r>
            <w:r>
              <w:rPr>
                <w:rFonts w:hint="eastAsia" w:ascii="方正仿宋_GBK" w:hAnsi="方正仿宋_GBK" w:eastAsia="方正仿宋_GBK" w:cs="方正仿宋_GBK"/>
                <w:sz w:val="18"/>
                <w:szCs w:val="18"/>
                <w:highlight w:val="none"/>
              </w:rPr>
              <w:t>1级配电箱及以上部分）由土建A包负责维护和管理。</w:t>
            </w:r>
          </w:p>
          <w:p w14:paraId="3179FA0C">
            <w:pPr>
              <w:adjustRightInd w:val="0"/>
              <w:snapToGrid w:val="0"/>
              <w:ind w:firstLine="360" w:firstLineChars="200"/>
              <w:rPr>
                <w:rFonts w:ascii="方正仿宋_GBK" w:hAnsi="方正仿宋_GBK" w:eastAsia="方正仿宋_GBK" w:cs="方正仿宋_GBK"/>
                <w:color w:val="auto"/>
                <w:sz w:val="18"/>
                <w:szCs w:val="18"/>
                <w:highlight w:val="none"/>
              </w:rPr>
            </w:pPr>
            <w:r>
              <w:rPr>
                <w:rFonts w:hint="eastAsia" w:ascii="方正仿宋_GBK" w:hAnsi="方正仿宋_GBK" w:eastAsia="方正仿宋_GBK" w:cs="方正仿宋_GBK"/>
                <w:sz w:val="18"/>
                <w:szCs w:val="18"/>
                <w:highlight w:val="none"/>
              </w:rPr>
              <w:t>通讯：开工前一周提供，四通一平单位负责将公网运营商的宽带接入、市话延伸至换流站施工现场；换流站本体施工单位负责临建区域内市话和宽带接入涉及的所有电话、网络信息布点及综合布线。固话及外网通讯接入及维护由土建A包负责。固话及外网通讯由土建A包负责牵头，各参建单位分别承担自己范围内的费用，业主生活区及公共办公区网络费用由各单位按合同比例分摊。</w:t>
            </w:r>
            <w:r>
              <w:rPr>
                <w:rFonts w:ascii="方正仿宋_GBK" w:hAnsi="方正仿宋_GBK" w:eastAsia="方正仿宋_GBK" w:cs="方正仿宋_GBK"/>
                <w:sz w:val="18"/>
                <w:szCs w:val="18"/>
                <w:highlight w:val="none"/>
              </w:rPr>
              <w:br w:type="textWrapping"/>
            </w:r>
            <w:r>
              <w:rPr>
                <w:rFonts w:hint="eastAsia" w:ascii="方正仿宋_GBK" w:hAnsi="方正仿宋_GBK" w:eastAsia="方正仿宋_GBK" w:cs="方正仿宋_GBK"/>
                <w:sz w:val="18"/>
                <w:szCs w:val="18"/>
                <w:highlight w:val="none"/>
              </w:rPr>
              <w:t xml:space="preserve">    详见技术规范书。</w:t>
            </w:r>
          </w:p>
        </w:tc>
      </w:tr>
      <w:tr w14:paraId="4569E62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40" w:type="dxa"/>
            <w:vAlign w:val="center"/>
          </w:tcPr>
          <w:p w14:paraId="76100756">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64EF5B9D">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专用合同条款2.9.2</w:t>
            </w:r>
          </w:p>
        </w:tc>
        <w:tc>
          <w:tcPr>
            <w:tcW w:w="3582" w:type="dxa"/>
            <w:vAlign w:val="center"/>
          </w:tcPr>
          <w:p w14:paraId="3BDCEFCB">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2.9.2 除合同另有约定外，开通施工场地与公共道路之间的通道;</w:t>
            </w:r>
          </w:p>
          <w:p w14:paraId="7C5D0E75">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施工场地与公共道路之间通道的开通时间、起止地点和要求：</w:t>
            </w:r>
          </w:p>
          <w:p w14:paraId="15213887">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变电工程：        。</w:t>
            </w:r>
          </w:p>
          <w:p w14:paraId="153FE1F0">
            <w:pPr>
              <w:rPr>
                <w:highlight w:val="none"/>
              </w:rPr>
            </w:pPr>
            <w:r>
              <w:rPr>
                <w:rFonts w:hint="eastAsia" w:ascii="方正仿宋_GBK" w:hAnsi="方正仿宋_GBK" w:eastAsia="方正仿宋_GBK" w:cs="方正仿宋_GBK"/>
                <w:sz w:val="18"/>
                <w:szCs w:val="18"/>
                <w:highlight w:val="none"/>
              </w:rPr>
              <w:t>线路工程（适用于线路工程和输变电工程中线路部分）：承包人自行解决。</w:t>
            </w:r>
          </w:p>
          <w:p w14:paraId="0BA0C78E">
            <w:pPr>
              <w:rPr>
                <w:highlight w:val="none"/>
              </w:rPr>
            </w:pPr>
          </w:p>
          <w:p w14:paraId="38BA8DCC">
            <w:pPr>
              <w:rPr>
                <w:highlight w:val="none"/>
              </w:rPr>
            </w:pPr>
          </w:p>
          <w:p w14:paraId="33624D64">
            <w:pPr>
              <w:adjustRightInd w:val="0"/>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12B48351">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2.9.2 除合同另有约定外，开通施工场地与公共道路之间的通道;</w:t>
            </w:r>
          </w:p>
          <w:p w14:paraId="6B35CEE6">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施工场地与公共道路之间通道的开通时间、起止地点和要求：</w:t>
            </w:r>
          </w:p>
          <w:p w14:paraId="0DA7EDA5">
            <w:pPr>
              <w:adjustRightInd w:val="0"/>
              <w:snapToGrid w:val="0"/>
              <w:ind w:firstLine="360" w:firstLineChars="20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rPr>
              <w:t>变电工程：</w:t>
            </w:r>
            <w:r>
              <w:rPr>
                <w:rFonts w:hint="eastAsia" w:ascii="方正仿宋_GBK" w:hAnsi="方正仿宋_GBK" w:eastAsia="方正仿宋_GBK" w:cs="方正仿宋_GBK"/>
                <w:sz w:val="18"/>
                <w:szCs w:val="18"/>
                <w:highlight w:val="none"/>
                <w:u w:val="single"/>
              </w:rPr>
              <w:t xml:space="preserve">  开工前一周提供    </w:t>
            </w:r>
            <w:r>
              <w:rPr>
                <w:rFonts w:hint="eastAsia" w:ascii="方正仿宋_GBK" w:hAnsi="方正仿宋_GBK" w:eastAsia="方正仿宋_GBK" w:cs="方正仿宋_GBK"/>
                <w:sz w:val="18"/>
                <w:szCs w:val="18"/>
                <w:highlight w:val="none"/>
              </w:rPr>
              <w:t>。</w:t>
            </w:r>
          </w:p>
          <w:p w14:paraId="02B72C06">
            <w:pPr>
              <w:adjustRightInd w:val="0"/>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线路工程（适用于线路工程和输变电工程中线路部分）：承包人自行解决。</w:t>
            </w:r>
          </w:p>
        </w:tc>
      </w:tr>
      <w:tr w14:paraId="1B7B44A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40" w:type="dxa"/>
            <w:vAlign w:val="center"/>
          </w:tcPr>
          <w:p w14:paraId="0903818C">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7C0DB1CD">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专用合同条款2.9.4</w:t>
            </w:r>
          </w:p>
        </w:tc>
        <w:tc>
          <w:tcPr>
            <w:tcW w:w="3582" w:type="dxa"/>
            <w:vAlign w:val="center"/>
          </w:tcPr>
          <w:p w14:paraId="52A50825">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2.9.4 办理应由发包人负责的相关证件、批件；</w:t>
            </w:r>
          </w:p>
          <w:p w14:paraId="137F9F3A">
            <w:pPr>
              <w:rPr>
                <w:highlight w:val="none"/>
              </w:rPr>
            </w:pPr>
            <w:r>
              <w:rPr>
                <w:rFonts w:hint="eastAsia" w:ascii="方正仿宋_GBK" w:hAnsi="方正仿宋_GBK" w:eastAsia="方正仿宋_GBK" w:cs="方正仿宋_GBK"/>
                <w:sz w:val="18"/>
                <w:szCs w:val="18"/>
                <w:highlight w:val="none"/>
              </w:rPr>
              <w:t>应由发包人办理的证件、批件的名称和完成时间： 。</w:t>
            </w:r>
          </w:p>
          <w:p w14:paraId="6E017043">
            <w:pPr>
              <w:adjustRightInd w:val="0"/>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21A4626D">
            <w:pPr>
              <w:adjustRightInd w:val="0"/>
              <w:snapToGrid w:val="0"/>
              <w:ind w:firstLine="360" w:firstLineChars="200"/>
              <w:rPr>
                <w:rFonts w:ascii="方正仿宋_GBK" w:hAnsi="方正仿宋_GBK" w:eastAsia="方正仿宋_GBK" w:cs="方正仿宋_GBK"/>
                <w:color w:val="000000" w:themeColor="text1"/>
                <w:sz w:val="18"/>
                <w:szCs w:val="18"/>
                <w:highlight w:val="none"/>
                <w:u w:val="single"/>
                <w14:textFill>
                  <w14:solidFill>
                    <w14:schemeClr w14:val="tx1"/>
                  </w14:solidFill>
                </w14:textFill>
              </w:rPr>
            </w:pPr>
            <w:r>
              <w:rPr>
                <w:rFonts w:hint="eastAsia" w:ascii="方正仿宋_GBK" w:hAnsi="方正仿宋_GBK" w:eastAsia="方正仿宋_GBK" w:cs="方正仿宋_GBK"/>
                <w:sz w:val="18"/>
                <w:szCs w:val="18"/>
                <w:highlight w:val="none"/>
              </w:rPr>
              <w:t>2.9.4 办理应由发包人负责的相关证件、批件；应由发包人办理的证件、批件的名称和完成时间：</w:t>
            </w:r>
            <w:r>
              <w:rPr>
                <w:rFonts w:hint="eastAsia" w:ascii="方正仿宋_GBK" w:hAnsi="方正仿宋_GBK" w:eastAsia="方正仿宋_GBK" w:cs="方正仿宋_GBK"/>
                <w:sz w:val="18"/>
                <w:szCs w:val="18"/>
                <w:highlight w:val="none"/>
                <w:u w:val="single"/>
              </w:rPr>
              <w:t xml:space="preserve">    无     </w:t>
            </w:r>
            <w:r>
              <w:rPr>
                <w:rFonts w:hint="eastAsia" w:ascii="方正仿宋_GBK" w:hAnsi="方正仿宋_GBK" w:eastAsia="方正仿宋_GBK" w:cs="方正仿宋_GBK"/>
                <w:sz w:val="18"/>
                <w:szCs w:val="18"/>
                <w:highlight w:val="none"/>
              </w:rPr>
              <w:t>。</w:t>
            </w:r>
          </w:p>
        </w:tc>
      </w:tr>
      <w:tr w14:paraId="5F5715F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40" w:type="dxa"/>
            <w:vAlign w:val="center"/>
          </w:tcPr>
          <w:p w14:paraId="3E3BE3CC">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170F1AFC">
            <w:pPr>
              <w:widowControl/>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专用条款2.10.3</w:t>
            </w:r>
          </w:p>
        </w:tc>
        <w:tc>
          <w:tcPr>
            <w:tcW w:w="3582" w:type="dxa"/>
            <w:vAlign w:val="center"/>
          </w:tcPr>
          <w:p w14:paraId="75AFDC4D">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其他：</w:t>
            </w:r>
          </w:p>
        </w:tc>
        <w:tc>
          <w:tcPr>
            <w:tcW w:w="4455" w:type="dxa"/>
            <w:vAlign w:val="center"/>
          </w:tcPr>
          <w:p w14:paraId="2F637C41">
            <w:pPr>
              <w:widowControl/>
              <w:adjustRightInd w:val="0"/>
              <w:snapToGrid w:val="0"/>
              <w:jc w:val="left"/>
              <w:rPr>
                <w:rFonts w:hint="eastAsia" w:ascii="方正仿宋_GBK" w:hAnsi="方正仿宋_GBK" w:eastAsia="方正仿宋_GBK" w:cs="方正仿宋_GBK"/>
                <w:bCs/>
                <w:color w:val="000000" w:themeColor="text1"/>
                <w:sz w:val="18"/>
                <w:szCs w:val="18"/>
                <w:highlight w:val="none"/>
                <w:lang w:eastAsia="zh-CN"/>
                <w14:textFill>
                  <w14:solidFill>
                    <w14:schemeClr w14:val="tx1"/>
                  </w14:solidFill>
                </w14:textFill>
              </w:rPr>
            </w:pPr>
            <w:r>
              <w:rPr>
                <w:rFonts w:hint="eastAsia" w:ascii="方正仿宋_GBK" w:hAnsi="方正仿宋_GBK" w:eastAsia="方正仿宋_GBK" w:cs="方正仿宋_GBK"/>
                <w:bCs/>
                <w:color w:val="000000" w:themeColor="text1"/>
                <w:sz w:val="18"/>
                <w:szCs w:val="18"/>
                <w:highlight w:val="none"/>
                <w14:textFill>
                  <w14:solidFill>
                    <w14:schemeClr w14:val="tx1"/>
                  </w14:solidFill>
                </w14:textFill>
              </w:rPr>
              <w:t>其他：承包人应通过国网“e基建”等相应信息平台进行用工实名登记、管理；加强用工台账管理；按月及时足额支付农民工工资</w:t>
            </w:r>
            <w:r>
              <w:rPr>
                <w:rFonts w:hint="eastAsia" w:ascii="方正仿宋_GBK" w:hAnsi="方正仿宋_GBK" w:eastAsia="方正仿宋_GBK" w:cs="方正仿宋_GBK"/>
                <w:bCs/>
                <w:color w:val="000000" w:themeColor="text1"/>
                <w:sz w:val="18"/>
                <w:szCs w:val="18"/>
                <w:highlight w:val="none"/>
                <w:lang w:eastAsia="zh-CN"/>
                <w14:textFill>
                  <w14:solidFill>
                    <w14:schemeClr w14:val="tx1"/>
                  </w14:solidFill>
                </w14:textFill>
              </w:rPr>
              <w:t>。</w:t>
            </w:r>
          </w:p>
          <w:p w14:paraId="60BFC5D9">
            <w:pPr>
              <w:pStyle w:val="2"/>
              <w:rPr>
                <w:rFonts w:hint="eastAsia"/>
                <w:highlight w:val="none"/>
              </w:rPr>
            </w:pPr>
            <w:r>
              <w:rPr>
                <w:rFonts w:hint="eastAsia"/>
                <w:highlight w:val="none"/>
                <w:lang w:eastAsia="zh-CN"/>
              </w:rPr>
              <w:t>（</w:t>
            </w:r>
            <w:r>
              <w:rPr>
                <w:rFonts w:hint="eastAsia"/>
                <w:highlight w:val="none"/>
                <w:lang w:val="en-US" w:eastAsia="zh-CN"/>
              </w:rPr>
              <w:t>1</w:t>
            </w:r>
            <w:r>
              <w:rPr>
                <w:rFonts w:hint="eastAsia"/>
                <w:highlight w:val="none"/>
                <w:lang w:eastAsia="zh-CN"/>
              </w:rPr>
              <w:t>）</w:t>
            </w:r>
            <w:r>
              <w:rPr>
                <w:rFonts w:hint="eastAsia"/>
                <w:highlight w:val="none"/>
              </w:rPr>
              <w:t>承包人应当按照《国家电网有限公司关于保障输变电工程建设农民工工资支付的通知》（国家电网基建〔2020〕151号）、《国网基建部关于应用“e安全”加强输变电工程现场农民工工资支付工作的通知》（基建技经〔2020〕70号）等文件要求，落实农民工工资支付相关要求。</w:t>
            </w:r>
          </w:p>
          <w:p w14:paraId="659054F5">
            <w:pPr>
              <w:pStyle w:val="2"/>
              <w:rPr>
                <w:rFonts w:hint="eastAsia"/>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rPr>
              <w:t>发包人监督承包人劳务费或工资发放情况，若承包人或其分包单位所负责的工程因承包人未按要求执行或出现拖欠农民工工资纠纷，发包人应要求承包人限期整改，并从履约保证金或工程款中扣除相应金额用于纠纷处理，因此造成的损失由承包方承担。</w:t>
            </w:r>
          </w:p>
          <w:p w14:paraId="402BD092">
            <w:pPr>
              <w:pStyle w:val="2"/>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w:t>
            </w:r>
            <w:r>
              <w:rPr>
                <w:rFonts w:hint="eastAsia"/>
                <w:highlight w:val="none"/>
              </w:rPr>
              <w:t>承包人视情况与分包单位签订关于保障农民工工资支付的相关承诺书，加强对分包单位的监督管理。若发生分包单位拖欠农民工工资的，应由承包人先行清偿，再依法进行追偿。</w:t>
            </w:r>
          </w:p>
        </w:tc>
      </w:tr>
      <w:tr w14:paraId="1CA1F90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40" w:type="dxa"/>
            <w:vAlign w:val="center"/>
          </w:tcPr>
          <w:p w14:paraId="664691F0">
            <w:pPr>
              <w:pStyle w:val="34"/>
              <w:widowControl/>
              <w:numPr>
                <w:ilvl w:val="0"/>
                <w:numId w:val="3"/>
              </w:numPr>
              <w:ind w:left="0" w:firstLine="0" w:firstLineChars="0"/>
              <w:jc w:val="center"/>
              <w:rPr>
                <w:rFonts w:ascii="方正仿宋_GBK" w:hAnsi="方正仿宋_GBK" w:eastAsia="方正仿宋_GBK" w:cs="方正仿宋_GBK"/>
                <w:b/>
                <w:color w:val="000000" w:themeColor="text1"/>
                <w:kern w:val="0"/>
                <w:sz w:val="18"/>
                <w:szCs w:val="18"/>
                <w:highlight w:val="none"/>
                <w14:textFill>
                  <w14:solidFill>
                    <w14:schemeClr w14:val="tx1"/>
                  </w14:solidFill>
                </w14:textFill>
              </w:rPr>
            </w:pPr>
          </w:p>
        </w:tc>
        <w:tc>
          <w:tcPr>
            <w:tcW w:w="954" w:type="dxa"/>
            <w:vAlign w:val="center"/>
          </w:tcPr>
          <w:p w14:paraId="65449C2D">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专用条款</w:t>
            </w: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 xml:space="preserve">4.1.3 </w:t>
            </w:r>
          </w:p>
        </w:tc>
        <w:tc>
          <w:tcPr>
            <w:tcW w:w="3582" w:type="dxa"/>
            <w:vAlign w:val="center"/>
          </w:tcPr>
          <w:p w14:paraId="2676B9D0">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4.1.3 完成各项承包工作（补充）</w:t>
            </w:r>
          </w:p>
          <w:p w14:paraId="3C054909">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承包人应按照合同约定完成的工作内容为：</w:t>
            </w:r>
          </w:p>
          <w:p w14:paraId="7D62A748">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（1）全部承包项目工程施工、验收、移交、保修等。</w:t>
            </w:r>
          </w:p>
          <w:p w14:paraId="3B1CA7DC">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2）协助发包人进行工程建设协调，办理各种施工手续，缴纳相应税费及承担工作协调的费用；工程安全质量监督检查、交叉互查、工程验收、环保、水保、劳动卫生、安全、档案等专项验收的自验和配合工作；配合达标投产、国家电网有限公司及国家优质工程创建、工程后评估等各项工作。</w:t>
            </w:r>
          </w:p>
          <w:p w14:paraId="729FAF89">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（3）负责竣工资料（含电子版）、声像资料的收集、整理、组卷、归档与移交。</w:t>
            </w:r>
          </w:p>
          <w:p w14:paraId="71419691">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（4）保修期内的保修工作。</w:t>
            </w:r>
          </w:p>
          <w:p w14:paraId="0E1F10DC">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5）在工程建设期间，施工项目部需设置一名专职信息化人员，负责国网信息化管理系统进行相关数据录入工作，使用基建管理信息系统进行工程管理及相关数据录入工作，使用档案系统上线挂接模块进行竣工资料移交。</w:t>
            </w:r>
          </w:p>
          <w:p w14:paraId="515F26A5">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（6）在工程建设期间施工项目部需设置一名专职协调人员，负责协助业主项目部做好协调工作。</w:t>
            </w:r>
          </w:p>
          <w:p w14:paraId="02ACE357">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（7）变电工程：</w:t>
            </w:r>
          </w:p>
          <w:p w14:paraId="2D683DDF">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①设备基础及主控室和各小室施工、构架吊装、发包人供应的设备和材料的验收和保管、现场设备和材料的二次搬运、一次和二次设备的安装和试验、系统试验及调试、工程档案及资料移交、工程竣工和保修、配合完成达标投产和工程创优。承包范围内的所有工程施工需满足“国家电网有限公司输变电工程标准工艺”要求，并实行实物样板制。</w:t>
            </w:r>
          </w:p>
          <w:p w14:paraId="4163B2D5">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②承包人负责的设备材料采购，应按进度计划及时开展，并将有关的采购结果及时向设计单位、监理人报告，以便设计单位及时开展施工图设计。如采购延误承包人应全权负责。</w:t>
            </w:r>
          </w:p>
          <w:p w14:paraId="2EAF4760">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③承包人的临建设施，包括：</w:t>
            </w:r>
          </w:p>
          <w:p w14:paraId="533139B0">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所(站)内：机具、材料、办公等用房，设备及材料堆场，所（站）内临建设施占地须经监理人批准；</w:t>
            </w:r>
          </w:p>
          <w:p w14:paraId="48858F72">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所(站)外：为保证全站安全文明施工形象，本工程按照国家电网有限公司输变电工程安全文明施工标准化管理规定的标准在站外搭建统一的生产、生活临时设施。</w:t>
            </w:r>
          </w:p>
          <w:p w14:paraId="3D5B9F49">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④承包人在施工准备及施工过程中，应关注工程周边的财产、工程建设以及场地周围建筑物和地下管线等情况，对有可能造成发包人方损失或对本工程建设有影响的情况及时通过监理人向发包人报告。因承包人盲目施工或未充分考虑外部环境因素造成损失的，视情况由承包人承担相应的赔偿责任。</w:t>
            </w:r>
          </w:p>
          <w:p w14:paraId="477F6340">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⑤负责甲供设备材料保管工作，负责甲供设备材料卸车（不含主变压器及线路高抗）和协助发包人做好甲供设备材料催交工作。</w:t>
            </w:r>
          </w:p>
          <w:p w14:paraId="4694511C">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⑥承包人需做好工程现场的治安保卫工作，确保现场安全有序。</w:t>
            </w:r>
          </w:p>
          <w:p w14:paraId="625DF98D">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⑦负责拆除工程物资的拆除、回收、保管及迹地恢复等工作。</w:t>
            </w:r>
          </w:p>
          <w:p w14:paraId="409C4E0D">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（8）线路工程（适用于线路工程和输变电工程中线路部分）：</w:t>
            </w:r>
          </w:p>
          <w:p w14:paraId="21E493F2">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①承包人承包的工程范围为本标段（标包）对应的所有工作量并按规定办理各种施工手续。</w:t>
            </w:r>
          </w:p>
          <w:p w14:paraId="745587C2">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②承包人承包的工作内容为上述工程范围内的如下工作：</w:t>
            </w:r>
          </w:p>
          <w:p w14:paraId="7680BDD9">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a.全部本体线路复测、基础开挖和浇筑、余土外运、发包人供应的材料的验收、现场材料的保管和运输、铁塔组立、绝缘子和金具安装、架线、线路参数测试、配合运行单位完成标志牌、警示牌、相序牌的安装，工程相关试验、检测工作，架空地线复合光缆（OPGW）的测试及接续工作、工程档案及资料移交、工程竣工和保修；</w:t>
            </w:r>
          </w:p>
          <w:p w14:paraId="39B5127A">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b.提供施工所需所有施工机具、人力及其他施工资源；</w:t>
            </w:r>
          </w:p>
          <w:p w14:paraId="1E7449D8">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c.负责发包人供应材料的保管工作，负责发包人供应设备材料的卸车、验收和催交工作；</w:t>
            </w:r>
          </w:p>
          <w:p w14:paraId="079133C3">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d.负责发包人供应的材料运输至承包人中心材料站的质量交接验收工作；</w:t>
            </w:r>
          </w:p>
          <w:p w14:paraId="4FF272F4">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e.负责发包人供应的材料在指定交货地点的场地（港口、车站或至各标段（标包）中心材料站等）协调及临时场地租赁，并负责运输至施工现场或材料站的装卸、运输进行现场保管；</w:t>
            </w:r>
          </w:p>
          <w:p w14:paraId="633A5052">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f.发包人供应的材料以外的其他材料的采购、运输、保管；</w:t>
            </w:r>
          </w:p>
          <w:p w14:paraId="49286139">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g.为保证施工安全、质量、进度所采取的各种措施，以及为保证正常施工进行的各种协调工作；</w:t>
            </w:r>
          </w:p>
          <w:p w14:paraId="1E6511C2">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h.配合完成由发包人或建管单位负责的障碍物拆迁及赔偿等工作，负责招标采购文件确定的有关通道清理赔偿事项；</w:t>
            </w:r>
          </w:p>
          <w:p w14:paraId="2B371EF0">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i.承包人进场后应对线路走廊和工程本体进行看护和移交前的维护，并确保其在启动验收前满足设计及基建验收相关规程要求。承包人应承担线路走廊和工程本体的毁损灭失以及造成第三人财产或人身损害等全部法律责任；</w:t>
            </w:r>
          </w:p>
          <w:p w14:paraId="3F7B4362">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j.配合中间验收、竣工预验收、竣工验收、系统调试、启动验收、保证线路畅通。</w:t>
            </w:r>
          </w:p>
          <w:p w14:paraId="4BF9F415">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（9）承包人应积极配合发包人开展工程创优相关工作。</w:t>
            </w:r>
          </w:p>
          <w:p w14:paraId="3250E167">
            <w:pPr>
              <w:rPr>
                <w:highlight w:val="none"/>
              </w:rPr>
            </w:pPr>
            <w:r>
              <w:rPr>
                <w:rFonts w:hint="eastAsia" w:ascii="方正仿宋_GBK" w:hAnsi="方正仿宋_GBK" w:eastAsia="方正仿宋_GBK" w:cs="方正仿宋_GBK"/>
                <w:bCs/>
                <w:color w:val="000000" w:themeColor="text1"/>
                <w:kern w:val="0"/>
                <w:sz w:val="18"/>
                <w:szCs w:val="18"/>
                <w:highlight w:val="none"/>
                <w14:textFill>
                  <w14:solidFill>
                    <w14:schemeClr w14:val="tx1"/>
                  </w14:solidFill>
                </w14:textFill>
              </w:rPr>
              <w:t>（10）完成合同文件规定的其他工作。</w:t>
            </w:r>
          </w:p>
          <w:p w14:paraId="3680C4D5">
            <w:pPr>
              <w:rPr>
                <w:highlight w:val="none"/>
              </w:rPr>
            </w:pPr>
          </w:p>
          <w:p w14:paraId="616930B1">
            <w:pPr>
              <w:rPr>
                <w:highlight w:val="none"/>
              </w:rPr>
            </w:pPr>
          </w:p>
          <w:p w14:paraId="03A7B1AB">
            <w:pPr>
              <w:rPr>
                <w:highlight w:val="none"/>
              </w:rPr>
            </w:pPr>
          </w:p>
          <w:p w14:paraId="0396A6E3">
            <w:pPr>
              <w:rPr>
                <w:highlight w:val="none"/>
              </w:rPr>
            </w:pPr>
          </w:p>
          <w:p w14:paraId="630D364E">
            <w:pPr>
              <w:rPr>
                <w:highlight w:val="none"/>
              </w:rPr>
            </w:pPr>
          </w:p>
          <w:p w14:paraId="4733EE9A">
            <w:pPr>
              <w:rPr>
                <w:highlight w:val="none"/>
              </w:rPr>
            </w:pPr>
          </w:p>
          <w:p w14:paraId="4BC3A72E">
            <w:pPr>
              <w:rPr>
                <w:highlight w:val="none"/>
              </w:rPr>
            </w:pPr>
          </w:p>
          <w:p w14:paraId="628F84EF">
            <w:pPr>
              <w:rPr>
                <w:highlight w:val="none"/>
              </w:rPr>
            </w:pPr>
          </w:p>
          <w:p w14:paraId="31152633">
            <w:pPr>
              <w:rPr>
                <w:highlight w:val="none"/>
              </w:rPr>
            </w:pPr>
          </w:p>
          <w:p w14:paraId="5A6C2953">
            <w:pPr>
              <w:rPr>
                <w:highlight w:val="none"/>
              </w:rPr>
            </w:pPr>
          </w:p>
          <w:p w14:paraId="7DFF5F42">
            <w:pPr>
              <w:rPr>
                <w:highlight w:val="none"/>
              </w:rPr>
            </w:pPr>
          </w:p>
          <w:p w14:paraId="27CB6B15">
            <w:pPr>
              <w:rPr>
                <w:highlight w:val="none"/>
              </w:rPr>
            </w:pPr>
          </w:p>
          <w:p w14:paraId="4D8A1EFF">
            <w:pPr>
              <w:rPr>
                <w:highlight w:val="none"/>
              </w:rPr>
            </w:pPr>
          </w:p>
          <w:p w14:paraId="597F04E2">
            <w:pPr>
              <w:rPr>
                <w:highlight w:val="none"/>
              </w:rPr>
            </w:pPr>
          </w:p>
          <w:p w14:paraId="7648679A">
            <w:pPr>
              <w:rPr>
                <w:highlight w:val="none"/>
              </w:rPr>
            </w:pPr>
          </w:p>
          <w:p w14:paraId="5DD3D2A5">
            <w:pPr>
              <w:rPr>
                <w:highlight w:val="none"/>
              </w:rPr>
            </w:pPr>
          </w:p>
          <w:p w14:paraId="5E0B4FC8">
            <w:pPr>
              <w:rPr>
                <w:highlight w:val="none"/>
              </w:rPr>
            </w:pPr>
          </w:p>
          <w:p w14:paraId="11058110">
            <w:pPr>
              <w:rPr>
                <w:highlight w:val="none"/>
              </w:rPr>
            </w:pPr>
          </w:p>
          <w:p w14:paraId="71FCBE20">
            <w:pPr>
              <w:rPr>
                <w:highlight w:val="none"/>
              </w:rPr>
            </w:pPr>
          </w:p>
          <w:p w14:paraId="1F025C79">
            <w:pPr>
              <w:rPr>
                <w:highlight w:val="none"/>
              </w:rPr>
            </w:pPr>
          </w:p>
          <w:p w14:paraId="087AB0FB">
            <w:pPr>
              <w:rPr>
                <w:highlight w:val="none"/>
              </w:rPr>
            </w:pPr>
          </w:p>
          <w:p w14:paraId="31CDBF2E">
            <w:pPr>
              <w:rPr>
                <w:highlight w:val="none"/>
              </w:rPr>
            </w:pPr>
          </w:p>
          <w:p w14:paraId="5F18FBB6">
            <w:pPr>
              <w:rPr>
                <w:highlight w:val="none"/>
              </w:rPr>
            </w:pPr>
          </w:p>
          <w:p w14:paraId="785F2E73">
            <w:pPr>
              <w:rPr>
                <w:highlight w:val="none"/>
              </w:rPr>
            </w:pPr>
          </w:p>
          <w:p w14:paraId="41183BB7">
            <w:pPr>
              <w:rPr>
                <w:highlight w:val="none"/>
              </w:rPr>
            </w:pPr>
          </w:p>
          <w:p w14:paraId="234B4950">
            <w:pPr>
              <w:rPr>
                <w:highlight w:val="none"/>
              </w:rPr>
            </w:pPr>
          </w:p>
          <w:p w14:paraId="054CC128">
            <w:pPr>
              <w:rPr>
                <w:highlight w:val="none"/>
              </w:rPr>
            </w:pPr>
          </w:p>
          <w:p w14:paraId="76B72665">
            <w:pPr>
              <w:rPr>
                <w:highlight w:val="none"/>
              </w:rPr>
            </w:pPr>
          </w:p>
          <w:p w14:paraId="43EC4A0F">
            <w:pPr>
              <w:rPr>
                <w:highlight w:val="none"/>
              </w:rPr>
            </w:pPr>
          </w:p>
          <w:p w14:paraId="612E57DB">
            <w:pPr>
              <w:rPr>
                <w:highlight w:val="none"/>
              </w:rPr>
            </w:pPr>
          </w:p>
          <w:p w14:paraId="55DC0A17">
            <w:pPr>
              <w:rPr>
                <w:highlight w:val="none"/>
              </w:rPr>
            </w:pPr>
          </w:p>
          <w:p w14:paraId="4F089DD8">
            <w:pPr>
              <w:widowControl/>
              <w:adjustRightInd w:val="0"/>
              <w:snapToGrid w:val="0"/>
              <w:jc w:val="left"/>
              <w:rPr>
                <w:rFonts w:ascii="方正仿宋_GBK" w:hAnsi="方正仿宋_GBK" w:eastAsia="方正仿宋_GBK" w:cs="方正仿宋_GBK"/>
                <w:bCs/>
                <w:color w:val="000000" w:themeColor="text1"/>
                <w:kern w:val="0"/>
                <w:sz w:val="18"/>
                <w:szCs w:val="18"/>
                <w:highlight w:val="none"/>
                <w14:textFill>
                  <w14:solidFill>
                    <w14:schemeClr w14:val="tx1"/>
                  </w14:solidFill>
                </w14:textFill>
              </w:rPr>
            </w:pPr>
          </w:p>
          <w:p w14:paraId="16EF7797">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p>
        </w:tc>
        <w:tc>
          <w:tcPr>
            <w:tcW w:w="4455" w:type="dxa"/>
            <w:vAlign w:val="center"/>
          </w:tcPr>
          <w:p w14:paraId="30902F19">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4.1.3完成各项承包工作（补充）修改为：</w:t>
            </w:r>
          </w:p>
          <w:p w14:paraId="78BB5C32">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承包人应按照合同约定完成的工作内容为：</w:t>
            </w:r>
          </w:p>
          <w:p w14:paraId="453858B1">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（1）全部承包项目工程施工、验收、移交、保修等。</w:t>
            </w:r>
          </w:p>
          <w:p w14:paraId="5AF8BAC7">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2）协助发包人进行工程建设协调，办理各种施工手续，缴纳相应税费及承担工作协调的费用；开展工程安全质量监督检查、交叉互查、工程验收、环保、水保、劳动保障、职业卫生、安全、消防、规划、节能等专项验收的自验和配合工作；接受工程依法合规建设综合检查；配合竣工验收备案工作；配合达标投产、国家电网有限公司及国家优质工程创建、工程投产后质量评价等各项工作。</w:t>
            </w:r>
          </w:p>
          <w:p w14:paraId="16D890C2">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（3）负责竣工资料、声像资料的制作、收集、整理、组卷、归档与移交。负责配合开展档案专项验收及进馆移交工作。</w:t>
            </w:r>
          </w:p>
          <w:p w14:paraId="6699B521">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（4）保修期内的修补工程缺陷工作。</w:t>
            </w:r>
          </w:p>
          <w:p w14:paraId="728C8140">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（5）在工程建设期间，施工项目部需设置以下专职人员：</w:t>
            </w:r>
          </w:p>
          <w:p w14:paraId="0D635D34">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1）</w:t>
            </w:r>
            <w:r>
              <w:rPr>
                <w:rFonts w:hint="eastAsia" w:ascii="方正仿宋_GBK" w:hAnsi="方正仿宋_GBK" w:eastAsia="方正仿宋_GBK" w:cs="方正仿宋_GBK"/>
                <w:b/>
                <w:bCs/>
                <w:color w:val="000000" w:themeColor="text1"/>
                <w:kern w:val="0"/>
                <w:sz w:val="18"/>
                <w:szCs w:val="18"/>
                <w:highlight w:val="none"/>
                <w14:textFill>
                  <w14:solidFill>
                    <w14:schemeClr w14:val="tx1"/>
                  </w14:solidFill>
                </w14:textFill>
              </w:rPr>
              <w:t>专职档案资料人员：1或2人</w:t>
            </w: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工作职责：档案资料专责应为项目档案工作组成员，负责参与、落实项目档案工作组的工作要求；负责编写项目部过程管控方案；负责对项目部人员进行档案交底培训；负责项目部建设过程文件的收集、整理，对文件规范性进行定期审查；负责项目部文件管理工作的内、外部协调；负责建立项目部文件管控清单，按月更新并报业主项目部；负责督促协调项目部资料检查问题整改闭环，建立问题整改对照表；负责项目部竣工文件的整理、组卷、移交及档案系统信息著录；负责编制项目部档案工作总结，提炼档案工作亮点、创新点；负责项目档案检查、验收等工作的牵头联系；使用档案系统上线挂接模块进行竣工资料移交等。</w:t>
            </w:r>
          </w:p>
          <w:p w14:paraId="725EB327">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2）</w:t>
            </w:r>
            <w:r>
              <w:rPr>
                <w:rFonts w:hint="eastAsia" w:ascii="方正仿宋_GBK" w:hAnsi="方正仿宋_GBK" w:eastAsia="方正仿宋_GBK" w:cs="方正仿宋_GBK"/>
                <w:b/>
                <w:bCs/>
                <w:color w:val="000000" w:themeColor="text1"/>
                <w:kern w:val="0"/>
                <w:sz w:val="18"/>
                <w:szCs w:val="18"/>
                <w:highlight w:val="none"/>
                <w14:textFill>
                  <w14:solidFill>
                    <w14:schemeClr w14:val="tx1"/>
                  </w14:solidFill>
                </w14:textFill>
              </w:rPr>
              <w:t>专职信息化人员</w:t>
            </w: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w:t>
            </w:r>
            <w:r>
              <w:rPr>
                <w:rFonts w:hint="eastAsia" w:ascii="方正仿宋_GBK" w:hAnsi="方正仿宋_GBK" w:eastAsia="方正仿宋_GBK" w:cs="方正仿宋_GBK"/>
                <w:b/>
                <w:bCs/>
                <w:color w:val="000000" w:themeColor="text1"/>
                <w:kern w:val="0"/>
                <w:sz w:val="18"/>
                <w:szCs w:val="18"/>
                <w:highlight w:val="none"/>
                <w14:textFill>
                  <w14:solidFill>
                    <w14:schemeClr w14:val="tx1"/>
                  </w14:solidFill>
                </w14:textFill>
              </w:rPr>
              <w:t>1人。</w:t>
            </w: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工作职责：负责国网信息化管理系统进行相关数据录入工作，使用基建管理信息系统进行工程管理及相关数据录入工作。负责直流管控平台的使用维护及现场配套智慧工地的运行维护等工作。负责开展“e基建2.0”、数字化管控平台、“五库一平台”等标准化成果应用。</w:t>
            </w:r>
          </w:p>
          <w:p w14:paraId="3ECCC070">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3）</w:t>
            </w:r>
            <w:r>
              <w:rPr>
                <w:rFonts w:hint="eastAsia" w:ascii="方正仿宋_GBK" w:hAnsi="方正仿宋_GBK" w:eastAsia="方正仿宋_GBK" w:cs="方正仿宋_GBK"/>
                <w:b/>
                <w:bCs/>
                <w:color w:val="000000" w:themeColor="text1"/>
                <w:kern w:val="0"/>
                <w:sz w:val="18"/>
                <w:szCs w:val="18"/>
                <w:highlight w:val="none"/>
                <w14:textFill>
                  <w14:solidFill>
                    <w14:schemeClr w14:val="tx1"/>
                  </w14:solidFill>
                </w14:textFill>
              </w:rPr>
              <w:t>专职协助业主工作人员：2名，不含会务及后勤人员。</w:t>
            </w: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工作职责：负责协助建设管理单位（业主项目部）做好各项工作，具体岗位由业主项目部确定。</w:t>
            </w:r>
          </w:p>
          <w:p w14:paraId="195166E3">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4）</w:t>
            </w:r>
            <w:r>
              <w:rPr>
                <w:rFonts w:hint="eastAsia" w:ascii="方正仿宋_GBK" w:hAnsi="方正仿宋_GBK" w:eastAsia="方正仿宋_GBK" w:cs="方正仿宋_GBK"/>
                <w:b/>
                <w:bCs/>
                <w:color w:val="000000" w:themeColor="text1"/>
                <w:kern w:val="0"/>
                <w:sz w:val="18"/>
                <w:szCs w:val="18"/>
                <w:highlight w:val="none"/>
                <w14:textFill>
                  <w14:solidFill>
                    <w14:schemeClr w14:val="tx1"/>
                  </w14:solidFill>
                </w14:textFill>
              </w:rPr>
              <w:t>专职拍照摄像人员：1名。</w:t>
            </w: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要求：该摄像人员应经过摄像专业培训，具备电气工程专业背景。工作职责：负责按照发包人要求开展各阶段宣传、汇报、工法及科技项目、申报优质工程等影像资料（含视频片）的采集与制作，并归档。</w:t>
            </w:r>
          </w:p>
          <w:p w14:paraId="122CE78C">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5）</w:t>
            </w:r>
            <w:r>
              <w:rPr>
                <w:rFonts w:hint="eastAsia" w:ascii="方正仿宋_GBK" w:hAnsi="方正仿宋_GBK" w:eastAsia="方正仿宋_GBK" w:cs="方正仿宋_GBK"/>
                <w:b/>
                <w:bCs/>
                <w:color w:val="000000" w:themeColor="text1"/>
                <w:kern w:val="0"/>
                <w:sz w:val="18"/>
                <w:szCs w:val="18"/>
                <w:highlight w:val="none"/>
                <w14:textFill>
                  <w14:solidFill>
                    <w14:schemeClr w14:val="tx1"/>
                  </w14:solidFill>
                </w14:textFill>
              </w:rPr>
              <w:t>专职环保及水保管理人员：各1人。</w:t>
            </w: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工作职责：负责定期对环保、水保施工进行监督检查。</w:t>
            </w:r>
          </w:p>
          <w:p w14:paraId="59B30EC0">
            <w:pPr>
              <w:widowControl/>
              <w:adjustRightInd w:val="0"/>
              <w:snapToGrid w:val="0"/>
              <w:jc w:val="left"/>
              <w:rPr>
                <w:rFonts w:ascii="方正仿宋_GBK" w:hAnsi="方正仿宋_GBK" w:eastAsia="方正仿宋_GBK" w:cs="方正仿宋_GBK"/>
                <w:b/>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
                <w:bCs/>
                <w:color w:val="000000" w:themeColor="text1"/>
                <w:kern w:val="0"/>
                <w:sz w:val="18"/>
                <w:szCs w:val="18"/>
                <w:highlight w:val="none"/>
                <w14:textFill>
                  <w14:solidFill>
                    <w14:schemeClr w14:val="tx1"/>
                  </w14:solidFill>
                </w14:textFill>
              </w:rPr>
              <w:t>（7）变电工程：</w:t>
            </w:r>
          </w:p>
          <w:p w14:paraId="327B1F41">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①承包范围内的所有工程施工需满足“国家电网有限公司输变电工程标准工艺”要求，并实行实物样板制。</w:t>
            </w:r>
          </w:p>
          <w:p w14:paraId="7003E900">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②承包人负责的设备材料采购，应按进度计划及时开展，并将有关的采购结果及时向设计单位、监理人报告，以便设计单位及时开展施工图设计。如采购延误承包人应全权负责。</w:t>
            </w:r>
          </w:p>
          <w:p w14:paraId="5B40C25C">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③承包人的临建设施，应符合《建设工程施工现场消防安全技术规范》（GB 50720-2011）、《国家电网有限公司输变电工程建设安全管理规定》（国网（基建2）173-2021）、《特高压变电（换流）站工程安全文明施工标准化手册》的要求，并经过监理及业主项目部批准。</w:t>
            </w:r>
          </w:p>
          <w:p w14:paraId="19115A10">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包括：</w:t>
            </w:r>
          </w:p>
          <w:p w14:paraId="4176AE86">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所(站)内：机具、材料、办公等用房，设备及材料堆场，所（站）内临建设施占地须经监理人、发包人批准；</w:t>
            </w:r>
          </w:p>
          <w:p w14:paraId="5CD6E1A4">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所(站)外：为保证全站安全文明施工形象，本工程由属地省公司负责在站</w:t>
            </w:r>
            <w:bookmarkStart w:id="1" w:name="OLE_LINK3"/>
            <w:bookmarkStart w:id="2" w:name="OLE_LINK4"/>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外统一租赁集中办公、生产、生活临建用地。除此之外，如需要增加临时占地的，由承包人自己向有关部门办理申请手续并承担与之相关的所有费用（含租地、场平、复垦以及植被恢复等），所需费用由投标人在报价中自行考虑。</w:t>
            </w:r>
            <w:bookmarkEnd w:id="1"/>
            <w:bookmarkEnd w:id="2"/>
          </w:p>
          <w:p w14:paraId="72B08E48">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临时建设用地由业主统一提供，在业主指定区域内建设集中办公临建、生产临建和生活临建。集中办公区临建等公共区域、附属设施由土建A包负责设计、建设、运行维护、拆除（具备复耕条件），相关费用由各标包承包人按合同价分摊（此费用包含了公用会议室、活动室、接待室、业主值班室等家具，空调取暖设施，水电及网络电话设施装设，公共区域水电费、网络使用费等）。临建建设完成后1个月内，土建、电气施工单位完成与土建A包临建建设和拆除分摊协议签订，签订协议后2个月内完成临建建设和拆除全部分摊款项支付。临建生活用房、生产加工场地的建设、使用、维护及拆除由投标方自行考虑，并满足相关环保水保的要求，费用包含在投标报价中。生产临建和生活临建按照“谁使用、谁建设、谁维护、谁拆除”的原则，由使用方自行承担相关费用。生产临建和生活临建搭设位置、拆除计划需报业主项目部审批。</w:t>
            </w:r>
          </w:p>
          <w:p w14:paraId="3AB9BE36">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④承包人在施工准备及施工过程中，应关注工程周边的财产、工程建设以及场地周围建筑物和地下管线等情况，对有可能造成发包人方损失或对本工程建设有影响的情况及时通过监理人向发包人报告。承包人应采取切实有效措施保护周边建筑物、道路、水系和地下管线，不得超越征地红线范围施工。因承包人盲目施工或未充分考虑外部环境因素造成损失的，视情况由承包人承担相应的赔偿责任。</w:t>
            </w:r>
          </w:p>
          <w:p w14:paraId="0A466023">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⑤负责承包范围内的甲供设备材料接收、保管工作，负责承包范围内的车板交货的甲供设备材料卸车，配合承包范围内的指定位置交货的甲供设备材料的卸车，协助发包人做好甲供设备材料催交工作。</w:t>
            </w:r>
          </w:p>
          <w:p w14:paraId="3CF1A961">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⑥承包人需做好工程现场的治安保卫工作，确保现场安全有序。承包人自身工作范围内安全保障由其自身负责。安保工作及费用由土建单位负责（具体分工见招标技术规范书），协调地方公安机关在现场设置警务室加强安保工作。安保工作的范围包括所有施工区域（征地红线范围内）、所有进出口（含临建区大门、集中办公区大门、临时及永久围墙进出口，土建施工单位安保范围具体分工见招标技术规范书），集中办公区的安全保卫工作（包含整个工程建设期间）。负责安保的单位须配备有公安机关注册并许可的有专业资质的保安公司担任保安工作。人数满足现场（临建区域、站内区域）三班倒、4人巡逻的安全保卫的要求，总人数不得少于16人。安保方案需业主项目部审核后执行，保安队伍须接受监理项目部的领导和考核。各单位责任区域内（含站内、生产临建、生活临建）的设备、物资、工器具等由各单位自行负责安全保卫工作。</w:t>
            </w:r>
          </w:p>
          <w:p w14:paraId="7D616A53">
            <w:pPr>
              <w:widowControl/>
              <w:adjustRightInd w:val="0"/>
              <w:snapToGrid w:val="0"/>
              <w:jc w:val="left"/>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⑦负责拆除工程物资的拆除、回收、保管及迹地恢复等工作。因建设引起，使周围耕种土地原有灌溉系统遭到破坏的恢复是承包人的承包范围，应认真、彻底、不遗留任何问题地解决好。</w:t>
            </w:r>
          </w:p>
          <w:p w14:paraId="3E845C97">
            <w:pPr>
              <w:pStyle w:val="2"/>
              <w:widowControl/>
              <w:adjustRightInd w:val="0"/>
              <w:snapToGrid w:val="0"/>
              <w:jc w:val="left"/>
              <w:rPr>
                <w:rFonts w:ascii="方正仿宋_GBK" w:hAnsi="方正仿宋_GBK" w:eastAsia="方正仿宋_GBK" w:cs="方正仿宋_GBK"/>
                <w:color w:val="auto"/>
                <w:kern w:val="0"/>
                <w:sz w:val="18"/>
                <w:szCs w:val="18"/>
                <w:highlight w:val="none"/>
                <w:lang w:val="en-US"/>
              </w:rPr>
            </w:pPr>
            <w:r>
              <w:rPr>
                <w:rFonts w:hint="eastAsia"/>
                <w:highlight w:val="none"/>
                <w:lang w:val="en-US"/>
              </w:rPr>
              <w:t>以上分工界面详见技术规范书。</w:t>
            </w:r>
          </w:p>
          <w:p w14:paraId="426E1B78">
            <w:pPr>
              <w:widowControl/>
              <w:adjustRightInd w:val="0"/>
              <w:snapToGrid w:val="0"/>
              <w:jc w:val="left"/>
              <w:rPr>
                <w:rFonts w:ascii="方正仿宋_GBK" w:hAnsi="方正仿宋_GBK" w:eastAsia="方正仿宋_GBK" w:cs="方正仿宋_GBK"/>
                <w:b/>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（8）</w:t>
            </w:r>
            <w:r>
              <w:rPr>
                <w:rFonts w:hint="eastAsia" w:ascii="方正仿宋_GBK" w:hAnsi="方正仿宋_GBK" w:eastAsia="方正仿宋_GBK" w:cs="方正仿宋_GBK"/>
                <w:b/>
                <w:bCs/>
                <w:color w:val="000000" w:themeColor="text1"/>
                <w:kern w:val="0"/>
                <w:sz w:val="18"/>
                <w:szCs w:val="18"/>
                <w:highlight w:val="none"/>
                <w14:textFill>
                  <w14:solidFill>
                    <w14:schemeClr w14:val="tx1"/>
                  </w14:solidFill>
                </w14:textFill>
              </w:rPr>
              <w:t>承包人应积极配合发包人开展工程创优相关工作：</w:t>
            </w:r>
          </w:p>
          <w:p w14:paraId="76813B4D">
            <w:pPr>
              <w:widowControl/>
              <w:numPr>
                <w:ilvl w:val="0"/>
                <w:numId w:val="5"/>
              </w:numPr>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创优工作所需的由地方政府部门出具的相关证书(含向相关部门报备、委托开展第三方工作并出具报告及评审等)统一由土建A包负责办理，包括但不限于：①建设项目职业卫生专项验收；②建设项目安全设施竣工验收；③建设期未发生安全事故等相关证明；④劳动保障专项验收证书；⑤主要建筑物防雷接地检测报告；⑥建设项目安全设施“三同时”评价报告，以及办理上述证书所需要的其它支撑性文件、材料办理。其它各承包人负责相关配合工作。</w:t>
            </w:r>
          </w:p>
          <w:p w14:paraId="1B2D5767">
            <w:pPr>
              <w:widowControl/>
              <w:numPr>
                <w:ilvl w:val="0"/>
                <w:numId w:val="5"/>
              </w:numPr>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承包人应按照发包人要求开展各阶段宣传、汇报、工法及科技项目、申报优质工程等影像资料（含PPT、视频片）的采集与制作，并归档。根据业主项目部安排，每个承包单位至少制作2个视频（不含承包单位自己制作的科技、宣传等视频）。</w:t>
            </w:r>
          </w:p>
          <w:p w14:paraId="328A1700">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3）根据发包人安排，承包人应配合设备、材料厂家现场安装工作。各承包单位负责统筹负责所施工区域（按单位工程）的供货厂家施工项目的质量工艺落实及创优工作、施工资料的归档工作、安全管理工作。</w:t>
            </w:r>
          </w:p>
          <w:p w14:paraId="5B5105EB">
            <w:pPr>
              <w:widowControl/>
              <w:adjustRightInd w:val="0"/>
              <w:snapToGrid w:val="0"/>
              <w:jc w:val="left"/>
              <w:rPr>
                <w:rFonts w:ascii="方正仿宋_GBK" w:hAnsi="方正仿宋_GBK" w:eastAsia="方正仿宋_GBK" w:cs="方正仿宋_GBK"/>
                <w:b/>
                <w:bCs/>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
                <w:bCs/>
                <w:color w:val="000000" w:themeColor="text1"/>
                <w:kern w:val="0"/>
                <w:sz w:val="18"/>
                <w:szCs w:val="18"/>
                <w:highlight w:val="none"/>
                <w14:textFill>
                  <w14:solidFill>
                    <w14:schemeClr w14:val="tx1"/>
                  </w14:solidFill>
                </w14:textFill>
              </w:rPr>
              <w:t>（9）按发包人要求负责承担换流站工程施工标准化相关工作。</w:t>
            </w:r>
          </w:p>
          <w:p w14:paraId="64CEDA3E">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10）根据工程总体部署和安排，当工程进度调整或遇特殊情况，保证人力资源和设备的投入满足工程建设及调整后里程碑计划的需要。根据建设管理单位下发的一级进度计划节点合理安排充足的资源和设备投入，确保满足进度节点要求。（最终里程碑进度计划以国网特高压部印发的里程碑进度计划为准）</w:t>
            </w:r>
          </w:p>
          <w:p w14:paraId="6EC3F2DA">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（11）临时施工电源（包括临建区域和站内1级配电箱及以上部分）的管理由土建A包负责,各单位配合。要求各承包单位的2-3级电源箱大小、规格、型号、颜色及配置完全一样。</w:t>
            </w:r>
          </w:p>
          <w:p w14:paraId="31582310">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b/>
                <w:bCs/>
                <w:color w:val="000000" w:themeColor="text1"/>
                <w:kern w:val="0"/>
                <w:sz w:val="18"/>
                <w:szCs w:val="18"/>
                <w:highlight w:val="none"/>
                <w14:textFill>
                  <w14:solidFill>
                    <w14:schemeClr w14:val="tx1"/>
                  </w14:solidFill>
                </w14:textFill>
              </w:rPr>
              <w:t>（12）施工单位负责以下会议的会务工作：</w:t>
            </w: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国家部委级、国家电网有限公司总部级组织的各项检查、各类会议，建设管理单位组织的方案审查会、专题研讨总结会、专项成果总结编写会等集中工作会，按照建设管理单位统一安排的会议地点，办理会议的施工单位按要求负责会务工作及相关费用，详见技术规范书。</w:t>
            </w:r>
          </w:p>
          <w:p w14:paraId="1303DB68">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（13）根据发包人安排，承包人选派公司专家人员参与建设单位组织的本工程及相关专题方案审查会议、专题研究会议、重要技术研究会议、施工图审查会议、专项检查等。承包人负责专家的差旅费用。</w:t>
            </w:r>
          </w:p>
          <w:p w14:paraId="085E388D">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（14）因设备质量问题造成的安装单位返工安装、单体调试、分系统重复调试等费用，应由责任方承担，承包人与责任方单独签订补偿协议，不计入总体结算。</w:t>
            </w:r>
          </w:p>
          <w:p w14:paraId="1D1787C2">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（15）完成合同文件规定的其他工作。</w:t>
            </w:r>
          </w:p>
        </w:tc>
      </w:tr>
      <w:tr w14:paraId="015DFB5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E1A021C">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74B4354">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专用条款</w:t>
            </w:r>
          </w:p>
          <w:p w14:paraId="675AB4E7">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4.1.9</w:t>
            </w:r>
          </w:p>
        </w:tc>
        <w:tc>
          <w:tcPr>
            <w:tcW w:w="3582" w:type="dxa"/>
            <w:vAlign w:val="center"/>
          </w:tcPr>
          <w:p w14:paraId="734245A7">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4.1.9 工程的维护和照管</w:t>
            </w:r>
          </w:p>
          <w:p w14:paraId="77F48D4B">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修改为：</w:t>
            </w:r>
          </w:p>
          <w:p w14:paraId="3167FF00">
            <w:pPr>
              <w:rPr>
                <w:highlight w:val="none"/>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工程竣工验收签证书颁发前，承包人应负责免费照管和维护工程，包括已办理领用的工程材料、待安装的设备及工程本身。工程竣工验收签证书颁发时尚有部分未竣工工程的，承包人还应负责该未竣工工程的照管和维护工作，直至竣工后移交给发包人为止。</w:t>
            </w:r>
          </w:p>
          <w:p w14:paraId="4CC1C230">
            <w:pPr>
              <w:rPr>
                <w:highlight w:val="none"/>
              </w:rPr>
            </w:pPr>
          </w:p>
          <w:p w14:paraId="26E7ED24">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6338E126">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4.1.9 工程的维护和照管</w:t>
            </w:r>
          </w:p>
          <w:p w14:paraId="627515F8">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修改为：</w:t>
            </w:r>
          </w:p>
          <w:p w14:paraId="5770C8D4">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工程竣工验收签证书颁发前，承包人应负责免费照管和维护工程，包括已办理领用的工程材料、待安装的设备及工程本身。工程竣工验收签证书颁发时尚有部分未竣工工程的，承包人还应负责该未竣工工程的照管和维护工作，直至竣工后移交给运行单位为止。</w:t>
            </w:r>
          </w:p>
        </w:tc>
      </w:tr>
      <w:tr w14:paraId="7A9F94B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0696C99">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2D52986">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专用4.1.13.1 </w:t>
            </w:r>
          </w:p>
        </w:tc>
        <w:tc>
          <w:tcPr>
            <w:tcW w:w="3582" w:type="dxa"/>
            <w:vAlign w:val="center"/>
          </w:tcPr>
          <w:p w14:paraId="6CF968E9">
            <w:pPr>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4.1.13.1 安全文明施工费必须专款专用。项目提取的安全文明施工费立足满足工程现场安全防护和环境改善需要，优先用于保证工程建设过程达到安全生产标准化要求所需的支出，承包人应按照发包人提供的安全文明施工设施标准化配置表的要求编制工程开工报验单，经监理项目部审核、业主项目部批准后，严格按上报计划实施。承包人要及时向施工项目部支付安全文明施工费用，并履行检查监督职责。对达不到安全标准化要求、安全文明施工费用不足的工程项目，施工企业应补充资金，满足安全标准化要求，超出部分由承包人自行承担。</w:t>
            </w:r>
          </w:p>
          <w:p w14:paraId="595D67AE">
            <w:pPr>
              <w:widowControl/>
              <w:autoSpaceDE w:val="0"/>
              <w:adjustRightInd w:val="0"/>
              <w:snapToGrid w:val="0"/>
              <w:spacing w:line="300" w:lineRule="auto"/>
              <w:jc w:val="left"/>
              <w:textAlignment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45F3E8C5">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4.1.13.1 </w:t>
            </w: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安全文明施工费必须专款专用。项目提取的安全文明施工费立足满足工程现场安全防护和环境改善需要，优先用于保证工程建设过程达到安全生产标准化要求所需的支出，承包人应按照《输变电工程建设安全文明施工规程》Q/GDW 10250-2021、国网特高压建设公司《特高压换流站安全文明施工标准化实施方案》及业主项目部编制的现场安全文明施工总体策划的要求开展安全文明施工。根据发包人提供的安全文明施工设施标准化配置表的要求编制工程开工报验单及分部工程开工报验单，经监理项目部审核、业主项目部批准后，严格按上报计划实施。承包人要及时向施工项目部支付安全文明施工费用，并履行检查监督职责。施工现场的安全文明施工设施实施后应经监理、业主单位</w:t>
            </w:r>
            <w:r>
              <w:rPr>
                <w:rFonts w:hint="eastAsia" w:ascii="方正仿宋_GBK" w:hAnsi="方正仿宋_GBK" w:eastAsia="方正仿宋_GBK" w:cs="方正仿宋_GBK"/>
                <w:snapToGrid w:val="0"/>
                <w:kern w:val="0"/>
                <w:sz w:val="18"/>
                <w:szCs w:val="18"/>
                <w:highlight w:val="none"/>
              </w:rPr>
              <w:t>验收签证</w:t>
            </w:r>
            <w:r>
              <w:rPr>
                <w:rFonts w:hint="eastAsia" w:ascii="方正仿宋_GBK" w:hAnsi="方正仿宋_GBK" w:eastAsia="方正仿宋_GBK" w:cs="方正仿宋_GBK"/>
                <w:kern w:val="0"/>
                <w:sz w:val="18"/>
                <w:szCs w:val="18"/>
                <w:highlight w:val="none"/>
              </w:rPr>
              <w:t>确认，</w:t>
            </w:r>
            <w:r>
              <w:rPr>
                <w:rFonts w:hint="eastAsia" w:ascii="方正仿宋_GBK" w:hAnsi="方正仿宋_GBK" w:eastAsia="方正仿宋_GBK" w:cs="方正仿宋_GBK"/>
                <w:snapToGrid w:val="0"/>
                <w:kern w:val="0"/>
                <w:sz w:val="18"/>
                <w:szCs w:val="18"/>
                <w:highlight w:val="none"/>
              </w:rPr>
              <w:t>安全文明施工费用支付前应提供当前已完成验收签证记录和相应的票据据实结算。</w:t>
            </w:r>
            <w:r>
              <w:rPr>
                <w:rFonts w:hint="eastAsia" w:ascii="方正仿宋_GBK" w:hAnsi="方正仿宋_GBK" w:eastAsia="方正仿宋_GBK" w:cs="方正仿宋_GBK"/>
                <w:color w:val="000000" w:themeColor="text1"/>
                <w:kern w:val="0"/>
                <w:sz w:val="18"/>
                <w:szCs w:val="18"/>
                <w:highlight w:val="none"/>
                <w14:textFill>
                  <w14:solidFill>
                    <w14:schemeClr w14:val="tx1"/>
                  </w14:solidFill>
                </w14:textFill>
              </w:rPr>
              <w:t>对达不到安全标准化要求、安全文明施工费用不足的工程项目，施工企业应补充资金，满足安全标准化要求，超出部分由承包人自行承担。</w:t>
            </w:r>
          </w:p>
        </w:tc>
      </w:tr>
      <w:tr w14:paraId="3A68A17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5EE196D">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5FFF79C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专用条款  4.1.13.3</w:t>
            </w:r>
          </w:p>
        </w:tc>
        <w:tc>
          <w:tcPr>
            <w:tcW w:w="3582" w:type="dxa"/>
            <w:vAlign w:val="center"/>
          </w:tcPr>
          <w:p w14:paraId="37D6C771">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4.1.13.3 保持施工场地整洁</w:t>
            </w:r>
          </w:p>
          <w:p w14:paraId="6E3FB76F">
            <w:pPr>
              <w:rPr>
                <w:highlight w:val="none"/>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在施工期间，承包人应保持施工场地不出现不必要的障碍，排除雨水或污水，并应将任何承包人的装备和多余材料储存并作出妥善安排，及时拆除不再需要的临时工程，并从现场运走任何废料、垃圾。</w:t>
            </w:r>
          </w:p>
          <w:p w14:paraId="1447E18F">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576C8599">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4.1.13.3保持施工场地整洁</w:t>
            </w:r>
          </w:p>
          <w:p w14:paraId="616D5C42">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修改为：</w:t>
            </w:r>
          </w:p>
          <w:p w14:paraId="7E00E94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在施工期间，承包人应每天保持施工场地整洁，排除雨水或污水，并应将任何承包人的装备和多余材料储存并作出妥善安排，及时拆除不再需要的临时工程，并从现场运走任何废料、垃圾。每月垃圾处理结果将直接纳入承包人过程考核中。</w:t>
            </w:r>
          </w:p>
        </w:tc>
      </w:tr>
      <w:tr w14:paraId="1CF8385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F59421E">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842666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第三部分 专用条款  </w:t>
            </w:r>
          </w:p>
          <w:p w14:paraId="4EA0F97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4.1.13.11 保障农民工工资支付</w:t>
            </w:r>
          </w:p>
        </w:tc>
        <w:tc>
          <w:tcPr>
            <w:tcW w:w="3582" w:type="dxa"/>
            <w:vAlign w:val="center"/>
          </w:tcPr>
          <w:p w14:paraId="43DA015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4.1.13.11 保障农民工工资支付                    </w:t>
            </w:r>
          </w:p>
          <w:p w14:paraId="1017744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（1）承包人应当开设农民工工资款专用账户（户名：  ；账号：   ；开户银行：  ），专项用于支付本工程建设项目农民工工资，并妥善保存农民工工资专用账户开设、使用的有关资料。</w:t>
            </w:r>
          </w:p>
          <w:p w14:paraId="01C1B51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（2）对于发包人按照合同约定拨付的人工费用，承包人应当按照保障农民工工资按时足额支付的要求专款专用。                                                                           </w:t>
            </w:r>
          </w:p>
          <w:p w14:paraId="1632589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（3）承包人应当按照有关规定存储工资保证金，专项用于支付为所承包工程提供劳动的农民工被拖欠的工资。 </w:t>
            </w:r>
          </w:p>
          <w:p w14:paraId="25DF597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4）承包人应当将农民工工资支付纳入基建工程施工实名制管理，加强支付信息实名登记、审核。工资支付实名制信息应包括工资支付对象姓名、身份证号码、社会保障卡号或工资银行卡号、工资支付周期、工资支付日期等信息，以及劳动合同或协议复印件、身份证复印件、银行卡复印件等材料。                                           </w:t>
            </w:r>
          </w:p>
          <w:p w14:paraId="19B2D27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5）承包人应当建立用工管理台账，并保存至工程完工且工资全部结清后至少3年；承包人、分包人应按照工资支付周期编制书面工资支付台账，并至少保存3年。书面工资支付台账应当包括单位名称、支付周期、支付日期、支付对象姓名、身份证号码、联系方式、工作时间，应发工资项目及数额、代扣、代缴、扣除项目和数额，实发工资数额，银行代发工资凭证和农民工人员签字等内容。                  </w:t>
            </w:r>
          </w:p>
          <w:p w14:paraId="28D6B01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（6）承包人应当在施工项目部醒目位置设立维权信息告示牌，并按照国家相关规定明示相关事项。        </w:t>
            </w:r>
          </w:p>
          <w:p w14:paraId="44061F6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7）承包人应当依法与其所招用的农民工订立劳动合同并进行用工实名登记，及时、准确、全面的录入国家电网有限公司相关管理系统，否则施工人员不得进入项目现场施工；未在进场前编制《农民工实名制工资信息报审表》或该报审表未经施工项目部、监理项目部审核通过的，施工人员不得进入项目现场施工。                                                                          </w:t>
            </w:r>
          </w:p>
          <w:p w14:paraId="7FCF58B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（8）承包人应按照前款有关劳动用工要求对分包人劳动用工实施监督管理，同时，依法推行分包人农民工工资委托承包人代发制度。</w:t>
            </w:r>
          </w:p>
          <w:p w14:paraId="6226411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①承包人依法分包的，应与分包人依法签订分包合同，并明确约定工程款计量周期、工程款进度结算管理办法以及农民工工资支付流程、规定等内容。 </w:t>
            </w:r>
          </w:p>
          <w:p w14:paraId="5CB2AC0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②承包人应当在工程项目部配备劳资专管员或兼职劳资专管员，掌握施工现场用工、考勤、工资支付等情况，审核分包人编制的农民工工资支付表。</w:t>
            </w:r>
          </w:p>
          <w:p w14:paraId="6D77AA9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③承包人根据分包人编制的工资支付表，通过农民工工资专用账户直接将工资支付到农民工本人银行账户，完成工资支付后，承包人向分包人提供代发工资银行转账凭证复印件，原件作为财务凭证附件由承包人存档保存。</w:t>
            </w:r>
          </w:p>
          <w:p w14:paraId="3EE9945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（9）承包人与发包人、分包人因工程数量、质量、造价等产生争议的，承包人不得因争议不按照约定代发农民工工资。发生下列情形之一的，由承包人负责清偿：</w:t>
            </w:r>
          </w:p>
          <w:p w14:paraId="65F9BE1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①分包人拖欠农民工工资的；</w:t>
            </w:r>
          </w:p>
          <w:p w14:paraId="7B6A8E3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②因工程建设项目转包或违法分包拖欠农民工工资的。                              </w:t>
            </w:r>
          </w:p>
          <w:p w14:paraId="3196F31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10）承包人或其分包人所负责的工程出现拖欠农民工工资纠纷，发包人有权从未结工程款中扣减与拖欠工资对应款项，并向农民工支付。承包人认可发包人扣减工程款项的行为，该行为视为发包人已按期履行相应的工程款支付义务。</w:t>
            </w:r>
          </w:p>
          <w:p w14:paraId="12EDF43C">
            <w:pPr>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（11）其他 ：  。     </w:t>
            </w:r>
          </w:p>
        </w:tc>
        <w:tc>
          <w:tcPr>
            <w:tcW w:w="4455" w:type="dxa"/>
            <w:vAlign w:val="center"/>
          </w:tcPr>
          <w:p w14:paraId="22C4F37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（1）承包人应当开设农民工工资款专用账户（户名：         ；账号：          ；开户银行：          开户行联行号：），专项用于支付本工程建设项目农民工工资，并妥善保存农民工工资专用账户开设、使用的有关资料，</w:t>
            </w:r>
            <w:r>
              <w:rPr>
                <w:rFonts w:hint="eastAsia" w:ascii="方正仿宋_GBK" w:hAnsi="方正仿宋_GBK" w:eastAsia="方正仿宋_GBK" w:cs="方正仿宋_GBK"/>
                <w:kern w:val="0"/>
                <w:sz w:val="18"/>
                <w:szCs w:val="18"/>
                <w:highlight w:val="none"/>
              </w:rPr>
              <w:t>在工程竣工结算后依据签订结算书进行专用账户余款清算。如工程所在地政府对农民工工资款专用账户开设有其他要求的，以地方政府要求为准。</w:t>
            </w:r>
          </w:p>
          <w:p w14:paraId="455D9CF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2）对于发包人按照合同约定拨付的人工费用，承包人应当按照保障农民工工资按时足额支付的要求专款专用。承包人须在工程开工前分解预付款、工程开工后分解进度款中的农民工工资份额，及时向建设管理单位申请拨付。在工程非停工状态时，承包人应每月向监理人申报工程量计量，发包人审核后向承包人及农民工工资专用账户分别支付工程款和农民工工资。若承包人未按期申报计量，应在每月15日前向发包人提出书面说明，并保证农民工工资专用账户内的资金能足额满足当期农民工工资按时发放。承包人若挪用农民工工资专用账户资金造成余额不足以支付当期农民工工资的，视情节严重程度将承包人纳入不良供应商评价，产生的一切损失由承包人负责。                                                                           </w:t>
            </w:r>
          </w:p>
          <w:p w14:paraId="53BD2CD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（3）承包人应当按照有关规定存储工资保证金，专项用于支付为所承包工程提供劳动的农民工被拖欠的工资。如工程所在地地方政府要求缴纳农民工工资保证金，须按照地方政府要求缴纳。</w:t>
            </w:r>
          </w:p>
          <w:p w14:paraId="0BEBBCF9">
            <w:pPr>
              <w:pStyle w:val="2"/>
              <w:spacing w:line="240" w:lineRule="exact"/>
              <w:rPr>
                <w:rFonts w:ascii="方正仿宋_GBK" w:hAnsi="方正仿宋_GBK" w:eastAsia="方正仿宋_GBK" w:cs="方正仿宋_GBK"/>
                <w:kern w:val="2"/>
                <w:highlight w:val="none"/>
                <w:lang w:val="en-US"/>
              </w:rPr>
            </w:pPr>
            <w:r>
              <w:rPr>
                <w:rFonts w:hint="eastAsia" w:ascii="方正仿宋_GBK" w:hAnsi="方正仿宋_GBK" w:eastAsia="方正仿宋_GBK" w:cs="方正仿宋_GBK"/>
                <w:kern w:val="2"/>
                <w:highlight w:val="none"/>
                <w:lang w:val="en-US"/>
              </w:rPr>
              <w:t>（4）承包人应当将农民工工资支付纳入基建工程施工实名制管理，加强支付信息实名登记、审核。工资支付实名制信息应包括工资支付对象姓名、身份证号码、社会保障卡号或工资银行卡号、工资支付周期、工资支付日期等信息，以及劳动合同或协议复印件、身份证复印件、银行卡复印件等材料。</w:t>
            </w:r>
          </w:p>
          <w:p w14:paraId="4053D045">
            <w:pPr>
              <w:pStyle w:val="49"/>
              <w:numPr>
                <w:ilvl w:val="0"/>
                <w:numId w:val="0"/>
              </w:numPr>
              <w:spacing w:line="240" w:lineRule="exact"/>
              <w:rPr>
                <w:rFonts w:hint="default" w:ascii="方正仿宋_GBK" w:hAnsi="方正仿宋_GBK" w:eastAsia="方正仿宋_GBK" w:cs="方正仿宋_GBK"/>
                <w:sz w:val="18"/>
                <w:szCs w:val="18"/>
                <w:highlight w:val="none"/>
              </w:rPr>
            </w:pPr>
            <w:r>
              <w:rPr>
                <w:rFonts w:ascii="方正仿宋_GBK" w:hAnsi="方正仿宋_GBK" w:eastAsia="方正仿宋_GBK" w:cs="方正仿宋_GBK"/>
                <w:sz w:val="18"/>
                <w:szCs w:val="18"/>
                <w:highlight w:val="none"/>
              </w:rPr>
              <w:t>（5）承包人应当建立用工管理台账，并保存至工程完工且工资全部结清后至少3年；承包人、分包人应按照工资支付周期编制书面工资支付台账，并至少保存10年。书面工资支付台账应当包括单位名称、支付周期、支付日期、支付对象姓名、身份证号码、联系方式、工作时间，应发工资项目及数额、代扣、代缴、扣除项目和数额，实发工资数额，银行代发工资凭证和农民工人员签字等内容。</w:t>
            </w:r>
          </w:p>
          <w:p w14:paraId="37EFBBCC">
            <w:pPr>
              <w:adjustRightInd w:val="0"/>
              <w:snapToGrid w:val="0"/>
              <w:spacing w:line="240" w:lineRule="exact"/>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（6）承包人应当在施工项目部醒目位置设立维权信息告示牌，并按照国家相关规定明示相关事项。        </w:t>
            </w:r>
          </w:p>
          <w:p w14:paraId="4A440659">
            <w:pPr>
              <w:adjustRightInd w:val="0"/>
              <w:snapToGrid w:val="0"/>
              <w:spacing w:line="240" w:lineRule="exact"/>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7）承包人应当依法与其所招用的农民工订立劳动合同并进行用工实名登记，及时、准确、全面的录入国家电网有限公司相关管理系统，否则施工人员不得进入项目现场施工；未在进场前编制《农民工实名制工资信息报审表》或该报审表未经施工项目部、监理项目部审核通过的，施工人员不得进入项目现场施工。                                                                          </w:t>
            </w:r>
          </w:p>
          <w:p w14:paraId="0ED7089B">
            <w:pPr>
              <w:adjustRightInd w:val="0"/>
              <w:snapToGrid w:val="0"/>
              <w:spacing w:line="240" w:lineRule="exact"/>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（8）承包人应按照前款有关劳动用工要求对分包人劳动用工实施监督管理，同时，依法推行分包人农民工工资委托承包人代发制度。</w:t>
            </w:r>
          </w:p>
          <w:p w14:paraId="52B0AB79">
            <w:pPr>
              <w:adjustRightInd w:val="0"/>
              <w:snapToGrid w:val="0"/>
              <w:spacing w:line="240" w:lineRule="exact"/>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①承包人依法分包的，应与分包人依法签订分包合同，并明确约定工程款计量周期、工程款进度结算管理办法以及农民工工资支付流程、规定等内容。 </w:t>
            </w:r>
          </w:p>
          <w:p w14:paraId="768663C8">
            <w:pPr>
              <w:adjustRightInd w:val="0"/>
              <w:snapToGrid w:val="0"/>
              <w:spacing w:line="240" w:lineRule="exact"/>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②承包人应当在工程项目部配备劳资专管员或兼职劳资专管员，掌握施工现场用工、考勤、工资支付等情况，审核分包人编制的农民工工资支付表。</w:t>
            </w:r>
          </w:p>
          <w:p w14:paraId="64216EBB">
            <w:pPr>
              <w:adjustRightInd w:val="0"/>
              <w:snapToGrid w:val="0"/>
              <w:spacing w:line="240" w:lineRule="exact"/>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③承包人根据分包人编制的工资支付表，通过农民工工资专用账户直接将工资支付到农民工本人银行账户，完成工资支付后，承包人向分包人提供代发工资银行转账凭证复印件，原件作为财务凭证附件由承包人存档保存。</w:t>
            </w:r>
          </w:p>
          <w:p w14:paraId="554EA6AD">
            <w:pPr>
              <w:adjustRightInd w:val="0"/>
              <w:snapToGrid w:val="0"/>
              <w:spacing w:line="240" w:lineRule="exact"/>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（9）承包人与发包人、分包人因工程数量、质量、造价等产生争议的，承包人不得因争议不按照约定代发农民工工资。发生下列情形之一的，由承包人负责清偿：</w:t>
            </w:r>
          </w:p>
          <w:p w14:paraId="6B6EE7AE">
            <w:pPr>
              <w:adjustRightInd w:val="0"/>
              <w:snapToGrid w:val="0"/>
              <w:spacing w:line="240" w:lineRule="exact"/>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①分包人拖欠农民工工资的；</w:t>
            </w:r>
          </w:p>
          <w:p w14:paraId="547806AB">
            <w:pPr>
              <w:adjustRightInd w:val="0"/>
              <w:snapToGrid w:val="0"/>
              <w:spacing w:line="240" w:lineRule="exact"/>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②因工程建设项目转包或违法分包拖欠农民工工资的。</w:t>
            </w:r>
          </w:p>
          <w:p w14:paraId="16770DF5">
            <w:pPr>
              <w:adjustRightInd w:val="0"/>
              <w:snapToGrid w:val="0"/>
              <w:spacing w:line="240" w:lineRule="exact"/>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10）承包人或其分包人所负责的工程出现拖欠农民工工资纠纷，发包人有权从未结工程款中扣减与拖欠工资对应款项，并向农民工支付。承包人认可发包人扣减工程款项的行为，该行为视为发包人已按期履行相应的工程款支付义务。</w:t>
            </w:r>
          </w:p>
          <w:p w14:paraId="56BAC6E9">
            <w:pPr>
              <w:pStyle w:val="2"/>
              <w:pBdr>
                <w:bottom w:val="none" w:color="auto" w:sz="0" w:space="0"/>
              </w:pBdr>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rPr>
              <w:t>（11）其他 ：</w:t>
            </w:r>
            <w:permStart w:id="6" w:edGrp="everyone"/>
            <w:r>
              <w:rPr>
                <w:rFonts w:hint="eastAsia" w:ascii="方正仿宋_GBK" w:hAnsi="方正仿宋_GBK" w:eastAsia="方正仿宋_GBK" w:cs="方正仿宋_GBK"/>
                <w:snapToGrid w:val="0"/>
                <w:kern w:val="0"/>
                <w:sz w:val="18"/>
                <w:szCs w:val="18"/>
                <w:highlight w:val="none"/>
              </w:rPr>
              <w:t>每发生一次农民工工资投诉问题支付10000元违约金，农民工工资投诉问题包括但不限于95598投诉、人社系统及政务系统投诉</w:t>
            </w:r>
            <w:permEnd w:id="6"/>
            <w:r>
              <w:rPr>
                <w:rFonts w:hint="eastAsia" w:ascii="方正仿宋_GBK" w:hAnsi="方正仿宋_GBK" w:eastAsia="方正仿宋_GBK" w:cs="方正仿宋_GBK"/>
                <w:sz w:val="18"/>
                <w:szCs w:val="18"/>
                <w:highlight w:val="none"/>
                <w:u w:val="single"/>
              </w:rPr>
              <w:t>。</w:t>
            </w:r>
          </w:p>
          <w:p w14:paraId="57693B04">
            <w:pPr>
              <w:widowControl/>
              <w:autoSpaceDE w:val="0"/>
              <w:adjustRightInd w:val="0"/>
              <w:snapToGrid w:val="0"/>
              <w:spacing w:line="300" w:lineRule="auto"/>
              <w:textAlignment w:val="center"/>
              <w:rPr>
                <w:rFonts w:ascii="方正仿宋_GBK" w:hAnsi="方正仿宋_GBK" w:eastAsia="方正仿宋_GBK" w:cs="方正仿宋_GBK"/>
                <w:sz w:val="18"/>
                <w:szCs w:val="18"/>
                <w:highlight w:val="none"/>
              </w:rPr>
            </w:pPr>
          </w:p>
        </w:tc>
      </w:tr>
      <w:tr w14:paraId="60AF0B9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6B9E4B9">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7488A2E">
            <w:pPr>
              <w:widowControl/>
              <w:adjustRightInd w:val="0"/>
              <w:snapToGrid w:val="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专用4.1.13.14 其他义务</w:t>
            </w:r>
          </w:p>
          <w:p w14:paraId="2282624A">
            <w:pPr>
              <w:widowControl/>
              <w:adjustRightInd w:val="0"/>
              <w:snapToGrid w:val="0"/>
              <w:rPr>
                <w:rFonts w:ascii="方正仿宋_GBK" w:hAnsi="方正仿宋_GBK" w:eastAsia="方正仿宋_GBK" w:cs="方正仿宋_GBK"/>
                <w:kern w:val="0"/>
                <w:sz w:val="18"/>
                <w:szCs w:val="18"/>
                <w:highlight w:val="none"/>
              </w:rPr>
            </w:pPr>
            <w:permStart w:id="7" w:edGrp="everyone"/>
            <w:permEnd w:id="7"/>
            <w:r>
              <w:rPr>
                <w:rFonts w:hint="eastAsia" w:ascii="方正仿宋_GBK" w:hAnsi="方正仿宋_GBK" w:eastAsia="方正仿宋_GBK" w:cs="方正仿宋_GBK"/>
                <w:kern w:val="0"/>
                <w:sz w:val="18"/>
                <w:szCs w:val="18"/>
                <w:highlight w:val="none"/>
              </w:rPr>
              <w:t>。</w:t>
            </w:r>
          </w:p>
          <w:p w14:paraId="43B89F3C">
            <w:pPr>
              <w:widowControl/>
              <w:adjustRightInd w:val="0"/>
              <w:snapToGrid w:val="0"/>
              <w:rPr>
                <w:rFonts w:ascii="方正仿宋_GBK" w:hAnsi="方正仿宋_GBK" w:eastAsia="方正仿宋_GBK" w:cs="方正仿宋_GBK"/>
                <w:sz w:val="18"/>
                <w:szCs w:val="18"/>
                <w:highlight w:val="none"/>
              </w:rPr>
            </w:pPr>
          </w:p>
        </w:tc>
        <w:tc>
          <w:tcPr>
            <w:tcW w:w="3582" w:type="dxa"/>
            <w:vAlign w:val="center"/>
          </w:tcPr>
          <w:p w14:paraId="1D385A90">
            <w:pPr>
              <w:widowControl/>
              <w:autoSpaceDE w:val="0"/>
              <w:adjustRightInd w:val="0"/>
              <w:snapToGrid w:val="0"/>
              <w:spacing w:line="300" w:lineRule="auto"/>
              <w:jc w:val="left"/>
              <w:textAlignment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253959A9">
            <w:pPr>
              <w:pStyle w:val="2"/>
              <w:rPr>
                <w:rFonts w:hint="default"/>
                <w:color w:val="auto"/>
                <w:kern w:val="2"/>
                <w:sz w:val="18"/>
                <w:szCs w:val="18"/>
                <w:highlight w:val="none"/>
                <w:lang w:val="en-US"/>
              </w:rPr>
            </w:pPr>
            <w:r>
              <w:rPr>
                <w:rFonts w:hint="eastAsia" w:ascii="方正仿宋_GBK" w:hAnsi="方正仿宋_GBK" w:eastAsia="方正仿宋_GBK" w:cs="方正仿宋_GBK"/>
                <w:highlight w:val="none"/>
                <w:lang w:val="en-US"/>
              </w:rPr>
              <w:t>承包人应按照现场环保水保监理机构要求，按照</w:t>
            </w:r>
            <w:r>
              <w:rPr>
                <w:rStyle w:val="41"/>
                <w:rFonts w:hint="default"/>
                <w:color w:val="auto"/>
                <w:kern w:val="2"/>
                <w:sz w:val="18"/>
                <w:szCs w:val="18"/>
                <w:highlight w:val="none"/>
                <w:lang w:val="en-US"/>
              </w:rPr>
              <w:t>《水土保持监理规范》SL/T 523-2024</w:t>
            </w:r>
            <w:r>
              <w:rPr>
                <w:rStyle w:val="33"/>
                <w:rFonts w:hint="default"/>
                <w:color w:val="auto"/>
                <w:kern w:val="2"/>
                <w:sz w:val="18"/>
                <w:szCs w:val="18"/>
                <w:highlight w:val="none"/>
                <w:lang w:val="en-US"/>
              </w:rPr>
              <w:t>、</w:t>
            </w:r>
            <w:r>
              <w:rPr>
                <w:rStyle w:val="41"/>
                <w:rFonts w:hint="default"/>
                <w:color w:val="auto"/>
                <w:kern w:val="2"/>
                <w:sz w:val="18"/>
                <w:szCs w:val="18"/>
                <w:highlight w:val="none"/>
                <w:lang w:val="en-US"/>
              </w:rPr>
              <w:t>《开发建设项目水土保持设施验收技术规程》GB/T22490-2016</w:t>
            </w:r>
            <w:r>
              <w:rPr>
                <w:rStyle w:val="33"/>
                <w:rFonts w:hint="default"/>
                <w:color w:val="auto"/>
                <w:kern w:val="2"/>
                <w:sz w:val="18"/>
                <w:szCs w:val="18"/>
                <w:highlight w:val="none"/>
                <w:lang w:val="en-US"/>
              </w:rPr>
              <w:t>、《国家电网公司输变电工程环境监理规范》等标准实施，落实相应工程环保、水保措施。</w:t>
            </w:r>
            <w:r>
              <w:rPr>
                <w:rStyle w:val="41"/>
                <w:rFonts w:hint="default"/>
                <w:color w:val="auto"/>
                <w:kern w:val="2"/>
                <w:sz w:val="18"/>
                <w:szCs w:val="18"/>
                <w:highlight w:val="none"/>
                <w:lang w:val="en-US"/>
              </w:rPr>
              <w:t>其中工程涉及的环保临时措施、水保临时措施纳入安全文明施工费专款专用，特殊临时措施另行计量。</w:t>
            </w:r>
          </w:p>
          <w:p w14:paraId="105E49E5">
            <w:pPr>
              <w:pStyle w:val="2"/>
              <w:rPr>
                <w:rFonts w:hint="default"/>
                <w:color w:val="auto"/>
                <w:kern w:val="2"/>
                <w:sz w:val="18"/>
                <w:szCs w:val="18"/>
                <w:highlight w:val="none"/>
                <w:lang w:val="en-US"/>
              </w:rPr>
            </w:pPr>
            <w:r>
              <w:rPr>
                <w:rStyle w:val="33"/>
                <w:rFonts w:hint="default"/>
                <w:color w:val="auto"/>
                <w:kern w:val="2"/>
                <w:sz w:val="18"/>
                <w:szCs w:val="18"/>
                <w:highlight w:val="none"/>
                <w:lang w:val="en-US"/>
              </w:rPr>
              <w:t>各施工承包人应严格落实《国务院办公厅转发国家发改委关于在重点工程项目中大力实施以工代赈 促进当地群众就业增收工作方案的通知》（国办函〔2022〕58号）、《国家发展改革委等部门关于印发2022年度适用以工代振的国家重点工程项目清单的通知》（发改振兴〔2022〕1563号）等有关以工代赈的要求，做好以工代赈工作，充分吸纳带动更多项目所在地群众实现就近就业增收；同时，充分吸纳中西部欠发达地区农民工参与工程项目建设。重点包括不限于：</w:t>
            </w:r>
          </w:p>
          <w:p w14:paraId="41233672">
            <w:pPr>
              <w:pStyle w:val="2"/>
              <w:rPr>
                <w:rFonts w:hint="default"/>
                <w:color w:val="auto"/>
                <w:kern w:val="2"/>
                <w:sz w:val="18"/>
                <w:szCs w:val="18"/>
                <w:highlight w:val="none"/>
                <w:lang w:val="en-US"/>
              </w:rPr>
            </w:pPr>
            <w:r>
              <w:rPr>
                <w:rStyle w:val="33"/>
                <w:rFonts w:hint="default"/>
                <w:color w:val="auto"/>
                <w:kern w:val="2"/>
                <w:sz w:val="18"/>
                <w:szCs w:val="18"/>
                <w:highlight w:val="none"/>
                <w:lang w:val="en-US"/>
              </w:rPr>
              <w:t>1.及时掌握属地政府和上级单位有关要求，尽量扩充以工代赈就业岗位，合理确定以工代赈劳务报酬标准，尽可能增加劳务报酬发放规模。</w:t>
            </w:r>
          </w:p>
          <w:p w14:paraId="3DD6CF69">
            <w:pPr>
              <w:pStyle w:val="2"/>
              <w:rPr>
                <w:rFonts w:hint="default"/>
                <w:color w:val="auto"/>
                <w:kern w:val="2"/>
                <w:sz w:val="18"/>
                <w:szCs w:val="18"/>
                <w:highlight w:val="none"/>
                <w:lang w:val="en-US"/>
              </w:rPr>
            </w:pPr>
            <w:r>
              <w:rPr>
                <w:rStyle w:val="33"/>
                <w:rFonts w:hint="default"/>
                <w:color w:val="auto"/>
                <w:kern w:val="2"/>
                <w:sz w:val="18"/>
                <w:szCs w:val="18"/>
                <w:highlight w:val="none"/>
                <w:lang w:val="en-US"/>
              </w:rPr>
              <w:t>2.及时与项目所在地县政府充分沟通，按照当地政府要求，充分利用项目施工场地机械设备等，开展劳动技能培训和安全生产培训。组织工程项目有针对性地开展劳动技能培训和安全生产培训，培养熟练劳动力。</w:t>
            </w:r>
          </w:p>
          <w:p w14:paraId="3E965717">
            <w:pPr>
              <w:pStyle w:val="2"/>
              <w:rPr>
                <w:rFonts w:hint="default"/>
                <w:color w:val="auto"/>
                <w:kern w:val="2"/>
                <w:sz w:val="18"/>
                <w:szCs w:val="18"/>
                <w:highlight w:val="none"/>
                <w:lang w:val="en-US"/>
              </w:rPr>
            </w:pPr>
            <w:r>
              <w:rPr>
                <w:rStyle w:val="33"/>
                <w:rFonts w:hint="default"/>
                <w:color w:val="auto"/>
                <w:kern w:val="2"/>
                <w:sz w:val="18"/>
                <w:szCs w:val="18"/>
                <w:highlight w:val="none"/>
                <w:lang w:val="en-US"/>
              </w:rPr>
              <w:t>3.规范用工名册和劳务报酬发放台账，经务工人员签字确认后，原则上将劳务报酬通过银行卡发放至本人，并将劳务报酬发放台账送县级相关部门备案。坚决杜绝劳务报酬发放过程中拖欠克扣、弄虚作假等行为。</w:t>
            </w:r>
          </w:p>
          <w:p w14:paraId="692EC42B">
            <w:pPr>
              <w:pStyle w:val="2"/>
              <w:rPr>
                <w:rFonts w:ascii="方正仿宋_GBK" w:hAnsi="方正仿宋_GBK" w:eastAsia="方正仿宋_GBK" w:cs="方正仿宋_GBK"/>
                <w:highlight w:val="none"/>
              </w:rPr>
            </w:pPr>
            <w:r>
              <w:rPr>
                <w:rStyle w:val="33"/>
                <w:rFonts w:hint="default"/>
                <w:color w:val="auto"/>
                <w:kern w:val="2"/>
                <w:sz w:val="18"/>
                <w:szCs w:val="18"/>
                <w:highlight w:val="none"/>
                <w:lang w:val="en-US"/>
              </w:rPr>
              <w:t>做好以工代赈策划、执行、统计、自评价工作，积极配合竣工验收评价等工作。</w:t>
            </w:r>
          </w:p>
        </w:tc>
      </w:tr>
      <w:tr w14:paraId="7B9F73C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7CB0703">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8DC5F9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77CD08A2">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4.2.1</w:t>
            </w:r>
          </w:p>
        </w:tc>
        <w:tc>
          <w:tcPr>
            <w:tcW w:w="3582" w:type="dxa"/>
            <w:vAlign w:val="center"/>
          </w:tcPr>
          <w:p w14:paraId="350CAA96">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4.2.1 为适当履行合同，承包人应按合同约定时间向发包人提供履约担保，该履约担保应为中国注册的具有担保经营业务资格的银行或有关金融机构开具的履约保函或向具有建设工程类保证保险经营业务资格的保险公司投保工程履约保证保险，数额按照下列约定。承包人向发包人提供履约保函或工程履约保证保险时，应通知监理人。承包人提供履约保函的，应符合招标文件规定或本合同约定的格式。承包人投保工程履约保证保险的，保险公司相关建设工程履约保证保险产品应经银行保险监管部门审批或备案。因执行本条款所发生的费用由承包人承担。</w:t>
            </w:r>
          </w:p>
          <w:p w14:paraId="16B535E5">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承包人应按以下时间、数额向发包人提供履约担保：</w:t>
            </w:r>
          </w:p>
          <w:p w14:paraId="3FA182BC">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（1）时间：合同签订后5个工作日内。</w:t>
            </w:r>
          </w:p>
          <w:p w14:paraId="7B141FA8">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（2）数额：签约合同价的5%。</w:t>
            </w:r>
          </w:p>
        </w:tc>
        <w:tc>
          <w:tcPr>
            <w:tcW w:w="4455" w:type="dxa"/>
          </w:tcPr>
          <w:p w14:paraId="5A10D341">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4.2.1 为适当履行合同，承包人应按合同约定时间向发包人提供履约担保，该履约担保应为中国注册的具有担保经营业务资格的银行或有关金融机构开具的履约保函或向具有建设工程类保证保险经营业务资格的保险公司投保工程履约保证保险，数额按照下列约定。承包人向发包人提供履约保函或工程履约保证保险时，应通知监理人。承包人提供履约保函的，应符合招标文件规定或本合同约定的格式。承包人投保工程履约保证保险的，保险公司相关建设工程履约保证保险产品应经银行保险监管部门审批或备案。因执行本条款所发生的费用由承包人承担。</w:t>
            </w:r>
          </w:p>
          <w:p w14:paraId="141E0B61">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承包人应按以下时间、数额向发包人提供履约担保：</w:t>
            </w:r>
          </w:p>
          <w:p w14:paraId="667DB72A">
            <w:pPr>
              <w:autoSpaceDE w:val="0"/>
              <w:autoSpaceDN w:val="0"/>
              <w:adjustRightInd w:val="0"/>
              <w:snapToGrid w:val="0"/>
              <w:ind w:right="-16" w:firstLine="360" w:firstLineChars="20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（1）时间：</w:t>
            </w:r>
            <w:r>
              <w:rPr>
                <w:rFonts w:hint="eastAsia" w:ascii="方正仿宋_GBK" w:hAnsi="方正仿宋_GBK" w:eastAsia="方正仿宋_GBK" w:cs="方正仿宋_GBK"/>
                <w:sz w:val="18"/>
                <w:szCs w:val="18"/>
                <w:highlight w:val="none"/>
                <w:u w:val="single"/>
              </w:rPr>
              <w:t>合同签订后1个月内。</w:t>
            </w:r>
          </w:p>
          <w:p w14:paraId="75F219C3">
            <w:pPr>
              <w:autoSpaceDE w:val="0"/>
              <w:autoSpaceDN w:val="0"/>
              <w:adjustRightInd w:val="0"/>
              <w:snapToGrid w:val="0"/>
              <w:ind w:right="-16"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（2）数额：签约合同价的5%。</w:t>
            </w:r>
          </w:p>
        </w:tc>
      </w:tr>
      <w:tr w14:paraId="01D909C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D4C33FD">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5983EDF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783CAA18">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4.3.1 （补充）</w:t>
            </w:r>
          </w:p>
        </w:tc>
        <w:tc>
          <w:tcPr>
            <w:tcW w:w="3582" w:type="dxa"/>
            <w:vAlign w:val="center"/>
          </w:tcPr>
          <w:p w14:paraId="210D604F">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4.3.1 （补充）：</w:t>
            </w:r>
          </w:p>
          <w:p w14:paraId="065BA0AA">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承包人可以根据工程实际，按照国家和国家电网有限公司有关规定允许范围进行分包。承包人的分包应严格执行投标文件中承诺及下列约定。</w:t>
            </w:r>
          </w:p>
          <w:p w14:paraId="5E638A24">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承包人的分包应遵守国家电网有限公司电网建设工程施工分包管理相关规定、国家电网有限公司施工分包安全管理相关规定及国家电网有限公司其他相关规定。具体要求如下：</w:t>
            </w:r>
          </w:p>
          <w:p w14:paraId="6680696E">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工程建设全过程，执行国家电网有限公司输变电工程施工分包管理相关规定以及国家电网有限公司现行相关规定要求，承包人可实施工程分包许可范围，在开工前必须先提出具体分包项目，在施工前按照国家电网有限公司建设工程安全分包协议范本与分包商签订安全协议。</w:t>
            </w:r>
          </w:p>
          <w:p w14:paraId="672865C1">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2）工程建设过程中，按照国家电网有限公司输变电工程施工分包安全管理办法与国家电网有限公司关于“深化基建队伍改革、强化施工安全管理”有关配套政策的通知要求执行，发包人负责审查分包项目负责人资质情况，对承包人的工程分包出具评价意见。对于线路工程的组塔、架线劳务分包作业，承包人应采用核心劳务分包队伍。</w:t>
            </w:r>
          </w:p>
        </w:tc>
        <w:tc>
          <w:tcPr>
            <w:tcW w:w="4455" w:type="dxa"/>
            <w:vAlign w:val="center"/>
          </w:tcPr>
          <w:p w14:paraId="6730F0F6">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4.3.1 （补充）修改为：承包人可以根据工程实际，按照国家和国家电网有限公司有关规定允许范围进行分包。承包人的分包应严格执行投标文件中承诺及下列约定。</w:t>
            </w:r>
          </w:p>
          <w:p w14:paraId="12D14B7B">
            <w:pPr>
              <w:autoSpaceDE w:val="0"/>
              <w:autoSpaceDN w:val="0"/>
              <w:adjustRightInd w:val="0"/>
              <w:snapToGrid w:val="0"/>
              <w:ind w:right="-16"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承包人的分包应遵守国家电网有限公司业务外包安全监督管理办法、国家相关法律法规、国家电网有限公司有关制度规定。具体要求如下：</w:t>
            </w:r>
          </w:p>
          <w:p w14:paraId="6865245D">
            <w:pPr>
              <w:autoSpaceDE w:val="0"/>
              <w:autoSpaceDN w:val="0"/>
              <w:adjustRightInd w:val="0"/>
              <w:snapToGrid w:val="0"/>
              <w:ind w:right="-16" w:firstLine="360" w:firstLineChars="20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napToGrid w:val="0"/>
                <w:kern w:val="0"/>
                <w:sz w:val="18"/>
                <w:szCs w:val="18"/>
                <w:highlight w:val="none"/>
              </w:rPr>
              <w:t>（1）工程建设全过程，执行</w:t>
            </w:r>
            <w:r>
              <w:rPr>
                <w:rFonts w:hint="eastAsia" w:ascii="方正仿宋_GBK" w:hAnsi="方正仿宋_GBK" w:eastAsia="方正仿宋_GBK" w:cs="方正仿宋_GBK"/>
                <w:sz w:val="18"/>
                <w:szCs w:val="18"/>
                <w:highlight w:val="none"/>
              </w:rPr>
              <w:t>国家电网有限公司输变电工程施工分包管理</w:t>
            </w:r>
            <w:r>
              <w:rPr>
                <w:rFonts w:hint="eastAsia" w:ascii="方正仿宋_GBK" w:hAnsi="方正仿宋_GBK" w:eastAsia="方正仿宋_GBK" w:cs="方正仿宋_GBK"/>
                <w:snapToGrid w:val="0"/>
                <w:kern w:val="0"/>
                <w:sz w:val="18"/>
                <w:szCs w:val="18"/>
                <w:highlight w:val="none"/>
              </w:rPr>
              <w:t>相关规定</w:t>
            </w:r>
            <w:r>
              <w:rPr>
                <w:rFonts w:hint="eastAsia" w:ascii="方正仿宋_GBK" w:hAnsi="方正仿宋_GBK" w:eastAsia="方正仿宋_GBK" w:cs="方正仿宋_GBK"/>
                <w:sz w:val="18"/>
                <w:szCs w:val="18"/>
                <w:highlight w:val="none"/>
              </w:rPr>
              <w:t>以及国家电网有限公司现行相关规定要求，承包人可实施工程分包许可范围，在投标时必须先提出具体分包项目，在合同谈判时提出潜在的分包队伍名单，在施工前按照国家电网有限公司建设工程安全分包协议范本与分包商签订安全协议。</w:t>
            </w:r>
          </w:p>
          <w:p w14:paraId="27E350B7">
            <w:pPr>
              <w:autoSpaceDE w:val="0"/>
              <w:autoSpaceDN w:val="0"/>
              <w:adjustRightInd w:val="0"/>
              <w:snapToGrid w:val="0"/>
              <w:ind w:firstLine="360" w:firstLineChars="20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工程建设过程中，按照《国家电网有限公司输变电工程建设安全管理规定》与国家电网有限公司关于“深化基建队伍改革、强化施工安全管理”有关配套政策的通知要求执行，业主项目部及监理项目部负责审查经承包人严格审查后的分包单位及主要负责人资质情况。</w:t>
            </w:r>
          </w:p>
          <w:p w14:paraId="0E996527">
            <w:pPr>
              <w:autoSpaceDE w:val="0"/>
              <w:autoSpaceDN w:val="0"/>
              <w:adjustRightInd w:val="0"/>
              <w:snapToGrid w:val="0"/>
              <w:ind w:firstLine="360" w:firstLineChars="20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（3）承包人不得将由一个分包人完成的建设工程支解成若干部分，发包给数个分包人，否则分包无效。</w:t>
            </w:r>
          </w:p>
          <w:p w14:paraId="7FAF3E4C">
            <w:pPr>
              <w:autoSpaceDE w:val="0"/>
              <w:autoSpaceDN w:val="0"/>
              <w:adjustRightInd w:val="0"/>
              <w:snapToGrid w:val="0"/>
              <w:ind w:firstLine="360" w:firstLineChars="20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4）投标文件承诺的施工分包计划作为合同组成部分列入合同附件3：施工分包计划。承包人应严格执行投标文件承诺的施工分包计划，承包人拟对分包计划外的工程开展施工分包时，须经发包人书面同意，否则，承包人不得实施分包。</w:t>
            </w:r>
          </w:p>
        </w:tc>
      </w:tr>
      <w:tr w14:paraId="2902DC7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835EBFD">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BBDD97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458CFC1E">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4.3.2</w:t>
            </w:r>
          </w:p>
        </w:tc>
        <w:tc>
          <w:tcPr>
            <w:tcW w:w="3582" w:type="dxa"/>
            <w:vAlign w:val="center"/>
          </w:tcPr>
          <w:p w14:paraId="43269D0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4.3.2 修改为：</w:t>
            </w:r>
          </w:p>
          <w:p w14:paraId="7EFC6DC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承包人不得将工程主体、关键性工作专业分包给第三人。除合同另有约定外，未经发包人同意，承包人不得将工程的其他部分或工作专业分包给第三人。除劳务分包外，下列工程不得专业分包：</w:t>
            </w:r>
          </w:p>
          <w:p w14:paraId="4DC104B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（1）变电（包括换流站、开关站）工程的构支架组立和一次、二次等电气设备安装工程。</w:t>
            </w:r>
          </w:p>
          <w:p w14:paraId="4A62B80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（2）送电线路（包括直流换流站的接地极线路）工程的组塔、架线和附件安装。</w:t>
            </w:r>
          </w:p>
          <w:p w14:paraId="52BEFF3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（3）电缆线路工程的电缆安装（含敷设、连接）。</w:t>
            </w:r>
          </w:p>
          <w:p w14:paraId="797D6A30">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承包人应严格执行投标文件承诺的施工分包计划（见附件3），承包人拟对分包计划外的工程开展施工分包时，须经发包人同意，否则，承包人不得实施分包。</w:t>
            </w:r>
          </w:p>
        </w:tc>
        <w:tc>
          <w:tcPr>
            <w:tcW w:w="4455" w:type="dxa"/>
            <w:vAlign w:val="center"/>
          </w:tcPr>
          <w:p w14:paraId="1A183FF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4.3.2 修改为：</w:t>
            </w:r>
          </w:p>
          <w:p w14:paraId="3276D88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不得将工程主体、关键性工作专业分包给第三人。除合同另有约定外，未经发包人同意，承包人不得将工程的其他部分或工作专业分包给第三人。除劳务分包及国家法律法规允许的专业分包外，下列工程不得专业分包：</w:t>
            </w:r>
          </w:p>
          <w:p w14:paraId="5A26789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（1）变电（包括换流站、开关站）工程的工程主体结构（钢结构工程除外）、设备基础、构支架组立和一次、二次等电气设备安装工程。</w:t>
            </w:r>
          </w:p>
          <w:p w14:paraId="040B00C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（2）送电线路（包括直流换流站的接地极线路）工程的组塔、架线和附件安装。</w:t>
            </w:r>
          </w:p>
          <w:p w14:paraId="41E3B9F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（3）电缆线路工程的电缆安装（含敷设、连接）。</w:t>
            </w:r>
          </w:p>
          <w:p w14:paraId="69BCAE2E">
            <w:pPr>
              <w:autoSpaceDE w:val="0"/>
              <w:autoSpaceDN w:val="0"/>
              <w:adjustRightInd w:val="0"/>
              <w:snapToGrid w:val="0"/>
              <w:ind w:firstLine="360" w:firstLineChars="20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承包人应严格执行投标文件承诺的施工分包计划（见附件3），承包人拟对分包计划外的工程开展施工分包时，须经发包人同意，否则，承包人不得实施分包。</w:t>
            </w:r>
          </w:p>
        </w:tc>
      </w:tr>
      <w:tr w14:paraId="0AC2F02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1B885C6">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1D603D6">
            <w:pPr>
              <w:widowControl/>
              <w:adjustRightInd w:val="0"/>
              <w:snapToGrid w:val="0"/>
              <w:jc w:val="cente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专用条款</w:t>
            </w:r>
          </w:p>
          <w:p w14:paraId="39DA0475">
            <w:pPr>
              <w:widowControl/>
              <w:adjustRightInd w:val="0"/>
              <w:snapToGrid w:val="0"/>
              <w:jc w:val="cente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color w:val="000000"/>
                <w:kern w:val="0"/>
                <w:sz w:val="18"/>
                <w:szCs w:val="18"/>
                <w:highlight w:val="none"/>
              </w:rPr>
              <w:t>4.3.3</w:t>
            </w:r>
          </w:p>
        </w:tc>
        <w:tc>
          <w:tcPr>
            <w:tcW w:w="3582" w:type="dxa"/>
            <w:vAlign w:val="center"/>
          </w:tcPr>
          <w:p w14:paraId="0597200E">
            <w:pPr>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color w:val="000000"/>
                <w:kern w:val="0"/>
                <w:sz w:val="18"/>
                <w:szCs w:val="18"/>
                <w:highlight w:val="none"/>
              </w:rPr>
              <w:t>其他要求：</w:t>
            </w:r>
          </w:p>
          <w:p w14:paraId="5642013A">
            <w:pPr>
              <w:rPr>
                <w:highlight w:val="none"/>
              </w:rPr>
            </w:pPr>
            <w:r>
              <w:rPr>
                <w:rFonts w:hint="eastAsia" w:ascii="方正仿宋_GBK" w:hAnsi="方正仿宋_GBK" w:eastAsia="方正仿宋_GBK" w:cs="方正仿宋_GBK"/>
                <w:color w:val="000000"/>
                <w:kern w:val="0"/>
                <w:sz w:val="18"/>
                <w:szCs w:val="18"/>
                <w:highlight w:val="none"/>
              </w:rPr>
              <w:t>从事输变电工程安装作业的分包商须同时取得国家电力监管部门颁发的《承装（修、试）电力设施许可证》相应的许可资质。</w:t>
            </w:r>
          </w:p>
          <w:p w14:paraId="50D98992">
            <w:pPr>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7CE9F945">
            <w:pPr>
              <w:spacing w:line="320" w:lineRule="exac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color w:val="000000"/>
                <w:kern w:val="0"/>
                <w:sz w:val="18"/>
                <w:szCs w:val="18"/>
                <w:highlight w:val="none"/>
              </w:rPr>
              <w:t>删除</w:t>
            </w:r>
          </w:p>
        </w:tc>
      </w:tr>
      <w:tr w14:paraId="6694C57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20749E7">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07EAF98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1D4CD931">
            <w:pPr>
              <w:adjustRightInd w:val="0"/>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sz w:val="18"/>
                <w:szCs w:val="18"/>
                <w:highlight w:val="none"/>
              </w:rPr>
              <w:t xml:space="preserve">4.3.6 </w:t>
            </w:r>
          </w:p>
        </w:tc>
        <w:tc>
          <w:tcPr>
            <w:tcW w:w="3582" w:type="dxa"/>
            <w:vAlign w:val="center"/>
          </w:tcPr>
          <w:p w14:paraId="1D2DE83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除合同已有约定外，承包人进行分包须遵循以下约定：</w:t>
            </w:r>
          </w:p>
          <w:p w14:paraId="1F1C4A88">
            <w:pPr>
              <w:rPr>
                <w:highlight w:val="none"/>
              </w:rPr>
            </w:pPr>
            <w:r>
              <w:rPr>
                <w:rFonts w:hint="eastAsia" w:ascii="方正仿宋_GBK" w:hAnsi="方正仿宋_GBK" w:eastAsia="方正仿宋_GBK" w:cs="方正仿宋_GBK"/>
                <w:sz w:val="18"/>
                <w:szCs w:val="18"/>
                <w:highlight w:val="none"/>
              </w:rPr>
              <w:t>（1）承包人按投标文件计划开展分包的，应在施工策划阶段向监理人书面提出关于全部拟分包内容和类别的分包计划，经监理人审核同意后报发包人批准。相关分包队伍进场前，施工项目部要提交具体分包申请，经监理人审核，报发包人批准后，报项目承包人，开展分包人选择。</w:t>
            </w:r>
          </w:p>
          <w:p w14:paraId="2F02282C">
            <w:pPr>
              <w:adjustRightInd w:val="0"/>
              <w:snapToGrid w:val="0"/>
              <w:rPr>
                <w:rFonts w:ascii="方正仿宋_GBK" w:hAnsi="方正仿宋_GBK" w:eastAsia="方正仿宋_GBK" w:cs="方正仿宋_GBK"/>
                <w:color w:val="000000"/>
                <w:kern w:val="0"/>
                <w:sz w:val="18"/>
                <w:szCs w:val="18"/>
                <w:highlight w:val="none"/>
              </w:rPr>
            </w:pPr>
          </w:p>
        </w:tc>
        <w:tc>
          <w:tcPr>
            <w:tcW w:w="4455" w:type="dxa"/>
            <w:vAlign w:val="center"/>
          </w:tcPr>
          <w:p w14:paraId="1485F52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除合同已有约定外，承包人进行分包须遵循以下约定：</w:t>
            </w:r>
          </w:p>
          <w:p w14:paraId="1D6F516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承包人按投标文件计划开展分包的，应在施工策划阶段向监理人书面提出关于全部拟分包内容和类别的分包计划，经监理人审核同意后报发包人批准。相关分包队伍进场前，承包人要提交具体分包申请，经监理人审核，报发包人批准。</w:t>
            </w:r>
          </w:p>
          <w:p w14:paraId="13FE75FA">
            <w:pPr>
              <w:adjustRightInd w:val="0"/>
              <w:snapToGrid w:val="0"/>
              <w:rPr>
                <w:rFonts w:ascii="方正仿宋_GBK" w:hAnsi="方正仿宋_GBK" w:eastAsia="方正仿宋_GBK" w:cs="方正仿宋_GBK"/>
                <w:color w:val="000000"/>
                <w:kern w:val="0"/>
                <w:sz w:val="18"/>
                <w:szCs w:val="18"/>
                <w:highlight w:val="none"/>
              </w:rPr>
            </w:pPr>
          </w:p>
        </w:tc>
      </w:tr>
      <w:tr w14:paraId="4E6A7CE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E10111B">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7D636D1">
            <w:pPr>
              <w:adjustRightInd w:val="0"/>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sz w:val="18"/>
                <w:szCs w:val="18"/>
                <w:highlight w:val="none"/>
              </w:rPr>
              <w:t>专用条款4.3.6 （增加）：</w:t>
            </w:r>
          </w:p>
        </w:tc>
        <w:tc>
          <w:tcPr>
            <w:tcW w:w="3582" w:type="dxa"/>
            <w:vAlign w:val="center"/>
          </w:tcPr>
          <w:p w14:paraId="5BED56ED">
            <w:pPr>
              <w:adjustRightInd w:val="0"/>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sz w:val="18"/>
                <w:szCs w:val="18"/>
                <w:highlight w:val="none"/>
              </w:rPr>
              <w:t>（2）承包人应按照本合同约定的分包工程范围、分包类别以及发包人批准的分包计划，确定分包商，签订书面分包合同和安全协议。分包合同必须满足履行本合同下承包商义务的要求，明确分包性质，分包人进场作业主要人员，工程款、劳务费的支付办法，合同双方在工期、质量、安全文明施工、作业人员培训、工资发放、施工现场应急处置、信息报送等方面的责任和义务。分包合同应报监理人和发包人备案。</w:t>
            </w:r>
          </w:p>
        </w:tc>
        <w:tc>
          <w:tcPr>
            <w:tcW w:w="4455" w:type="dxa"/>
            <w:vAlign w:val="center"/>
          </w:tcPr>
          <w:p w14:paraId="2E49F74E">
            <w:pPr>
              <w:adjustRightInd w:val="0"/>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sz w:val="18"/>
                <w:szCs w:val="18"/>
                <w:highlight w:val="none"/>
              </w:rPr>
              <w:t>（2）承包人应按照本合同约定的分包工程范围、分包类别以及发包人批准的分包计划，确定分包商，签订书面分包合同和安全协议。分包合同应使用</w:t>
            </w:r>
            <w:r>
              <w:rPr>
                <w:rFonts w:hint="eastAsia" w:ascii="方正仿宋_GBK" w:hAnsi="方正仿宋_GBK" w:eastAsia="方正仿宋_GBK" w:cs="方正仿宋_GBK"/>
                <w:sz w:val="18"/>
                <w:szCs w:val="18"/>
                <w:highlight w:val="none"/>
                <w:lang w:eastAsia="zh-CN"/>
              </w:rPr>
              <w:t>国家电网</w:t>
            </w:r>
            <w:r>
              <w:rPr>
                <w:rFonts w:hint="eastAsia" w:ascii="方正仿宋_GBK" w:hAnsi="方正仿宋_GBK" w:eastAsia="方正仿宋_GBK" w:cs="方正仿宋_GBK"/>
                <w:sz w:val="18"/>
                <w:szCs w:val="18"/>
                <w:highlight w:val="none"/>
              </w:rPr>
              <w:t>公司或政府部门发布的标准化分包合同文本，必须满足履行本合同下承包商义务的要求，明确分包性质，分包人进场作业主要人员，工程款、劳务费的支付办法，合同双方在工期、质量、安全文明施工、作业人员培训、工资发放、施工现场应急处置、信息报送等方面的责任和义务。分包合同范本应报建管单位审核，分包合同应报监理人和发包人备案。</w:t>
            </w:r>
          </w:p>
        </w:tc>
      </w:tr>
      <w:tr w14:paraId="7D97BD2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151D4AA">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05B71E9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6B21DC65">
            <w:pPr>
              <w:adjustRightInd w:val="0"/>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sz w:val="18"/>
                <w:szCs w:val="18"/>
                <w:highlight w:val="none"/>
              </w:rPr>
              <w:t>4.3.7分包管理（9）（增加）</w:t>
            </w:r>
          </w:p>
        </w:tc>
        <w:tc>
          <w:tcPr>
            <w:tcW w:w="3582" w:type="dxa"/>
            <w:vAlign w:val="center"/>
          </w:tcPr>
          <w:p w14:paraId="03A40FF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4.3.7 分包管理（增加）：</w:t>
            </w:r>
          </w:p>
          <w:p w14:paraId="237D9736">
            <w:pPr>
              <w:adjustRightInd w:val="0"/>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sz w:val="18"/>
                <w:szCs w:val="18"/>
                <w:highlight w:val="none"/>
              </w:rPr>
              <w:t>无</w:t>
            </w:r>
          </w:p>
        </w:tc>
        <w:tc>
          <w:tcPr>
            <w:tcW w:w="4455" w:type="dxa"/>
            <w:vAlign w:val="center"/>
          </w:tcPr>
          <w:p w14:paraId="638FBC0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4.3.7 分包管理（增加）：</w:t>
            </w:r>
          </w:p>
          <w:p w14:paraId="68B8828C">
            <w:pPr>
              <w:adjustRightInd w:val="0"/>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sz w:val="18"/>
                <w:szCs w:val="18"/>
                <w:highlight w:val="none"/>
              </w:rPr>
              <w:t>（9）劳务或专业分包合同需由承包人和分包人的法人代表签订，分包合同中需明确分包人的主要管理人员信息（</w:t>
            </w:r>
            <w:r>
              <w:rPr>
                <w:rFonts w:hint="eastAsia" w:ascii="方正仿宋_GBK" w:hAnsi="方正仿宋_GBK" w:eastAsia="方正仿宋_GBK" w:cs="方正仿宋_GBK"/>
                <w:sz w:val="18"/>
                <w:szCs w:val="18"/>
                <w:highlight w:val="none"/>
                <w:lang w:val="en-US" w:eastAsia="zh-CN"/>
              </w:rPr>
              <w:t>包括</w:t>
            </w:r>
            <w:r>
              <w:rPr>
                <w:rFonts w:hint="eastAsia" w:ascii="方正仿宋_GBK" w:hAnsi="方正仿宋_GBK" w:eastAsia="方正仿宋_GBK" w:cs="方正仿宋_GBK"/>
                <w:sz w:val="18"/>
                <w:szCs w:val="18"/>
                <w:highlight w:val="none"/>
              </w:rPr>
              <w:t>姓名、身份证号、社保信息等）。</w:t>
            </w:r>
          </w:p>
        </w:tc>
      </w:tr>
      <w:tr w14:paraId="6F2DCCF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C87C4BA">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6E75D6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639AC142">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4.3.8</w:t>
            </w:r>
          </w:p>
        </w:tc>
        <w:tc>
          <w:tcPr>
            <w:tcW w:w="3582" w:type="dxa"/>
            <w:vAlign w:val="center"/>
          </w:tcPr>
          <w:p w14:paraId="45B510B4">
            <w:pPr>
              <w:autoSpaceDE w:val="0"/>
              <w:autoSpaceDN w:val="0"/>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4.3.8 违约分包的处理（增加）：</w:t>
            </w:r>
          </w:p>
          <w:p w14:paraId="5F5512BB">
            <w:pPr>
              <w:autoSpaceDE w:val="0"/>
              <w:autoSpaceDN w:val="0"/>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承包人违反合同约定进行分包的，发包人有权采取以下（但不限于）处理措施：</w:t>
            </w:r>
          </w:p>
          <w:p w14:paraId="3F458694">
            <w:pPr>
              <w:autoSpaceDE w:val="0"/>
              <w:autoSpaceDN w:val="0"/>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（1）责令分包商停工或退出工程现场，由此产生的相关责任由承包人承担；</w:t>
            </w:r>
          </w:p>
          <w:p w14:paraId="2CE75962">
            <w:pPr>
              <w:autoSpaceDE w:val="0"/>
              <w:autoSpaceDN w:val="0"/>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（2）责令承包人改进或停工整顿，由此产生的相关责任由承包人承担；</w:t>
            </w:r>
          </w:p>
          <w:p w14:paraId="10B6A73D">
            <w:pPr>
              <w:autoSpaceDE w:val="0"/>
              <w:autoSpaceDN w:val="0"/>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（3）要求承包人承担相应的赔偿责任；</w:t>
            </w:r>
          </w:p>
          <w:p w14:paraId="5A24783B">
            <w:pPr>
              <w:autoSpaceDE w:val="0"/>
              <w:autoSpaceDN w:val="0"/>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（4）在工程评价考核中扣除一定分值（评价考核为后续施工招标评标的评价指标之一）；</w:t>
            </w:r>
          </w:p>
          <w:p w14:paraId="4757C53B">
            <w:pPr>
              <w:rPr>
                <w:highlight w:val="none"/>
              </w:rPr>
            </w:pPr>
            <w:r>
              <w:rPr>
                <w:rFonts w:hint="eastAsia" w:ascii="方正仿宋_GBK" w:hAnsi="方正仿宋_GBK" w:eastAsia="方正仿宋_GBK" w:cs="方正仿宋_GBK"/>
                <w:sz w:val="18"/>
                <w:szCs w:val="18"/>
                <w:highlight w:val="none"/>
              </w:rPr>
              <w:t xml:space="preserve">（5）其他处理措施： </w:t>
            </w:r>
          </w:p>
          <w:p w14:paraId="7E945D60">
            <w:pPr>
              <w:rPr>
                <w:highlight w:val="none"/>
              </w:rPr>
            </w:pPr>
          </w:p>
          <w:p w14:paraId="1966B3B4">
            <w:pPr>
              <w:rPr>
                <w:highlight w:val="none"/>
              </w:rPr>
            </w:pPr>
          </w:p>
          <w:p w14:paraId="4BD4B30F">
            <w:pPr>
              <w:rPr>
                <w:highlight w:val="none"/>
              </w:rPr>
            </w:pPr>
          </w:p>
          <w:p w14:paraId="4C7A4D75">
            <w:pPr>
              <w:rPr>
                <w:highlight w:val="none"/>
              </w:rPr>
            </w:pPr>
          </w:p>
          <w:p w14:paraId="7A10D2EC">
            <w:pPr>
              <w:rPr>
                <w:highlight w:val="none"/>
              </w:rPr>
            </w:pPr>
          </w:p>
          <w:p w14:paraId="589BAECB">
            <w:pPr>
              <w:rPr>
                <w:highlight w:val="none"/>
              </w:rPr>
            </w:pPr>
          </w:p>
          <w:p w14:paraId="6AC02BE1">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w:t>
            </w:r>
          </w:p>
        </w:tc>
        <w:tc>
          <w:tcPr>
            <w:tcW w:w="4455" w:type="dxa"/>
            <w:vAlign w:val="center"/>
          </w:tcPr>
          <w:p w14:paraId="4FD53EB7">
            <w:pPr>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4.3.8 违约分包的处理（增加）：</w:t>
            </w:r>
          </w:p>
          <w:p w14:paraId="428C6651">
            <w:pPr>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承包人违反合同约定进行分包的，发包人有权采取以下（但不限于）处理措施：</w:t>
            </w:r>
          </w:p>
          <w:p w14:paraId="28002B43">
            <w:pPr>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（1）责令分包商停工或退出工程现场，由此产生的相关责任由承包人承担；</w:t>
            </w:r>
          </w:p>
          <w:p w14:paraId="28691463">
            <w:pPr>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（2）责令承包人改进或停工整顿，由此产生的相关责任由承包人承担；如分包商原因导致承包人出现施工进度、质量、安全等问题，</w:t>
            </w:r>
            <w:r>
              <w:rPr>
                <w:rFonts w:hint="eastAsia" w:ascii="方正仿宋_GBK" w:hAnsi="方正仿宋_GBK" w:eastAsia="方正仿宋_GBK" w:cs="方正仿宋_GBK"/>
                <w:sz w:val="18"/>
                <w:szCs w:val="18"/>
                <w:highlight w:val="none"/>
                <w:lang w:eastAsia="zh-CN"/>
              </w:rPr>
              <w:t>发包人</w:t>
            </w:r>
            <w:r>
              <w:rPr>
                <w:rFonts w:hint="eastAsia" w:ascii="方正仿宋_GBK" w:hAnsi="方正仿宋_GBK" w:eastAsia="方正仿宋_GBK" w:cs="方正仿宋_GBK"/>
                <w:sz w:val="18"/>
                <w:szCs w:val="18"/>
                <w:highlight w:val="none"/>
              </w:rPr>
              <w:t>有权延迟支付承包人工程进度款（农名工工资按期支付，不予延迟）；</w:t>
            </w:r>
          </w:p>
          <w:p w14:paraId="3A721E48">
            <w:pPr>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（3）要求承包人承担相应的赔偿责任；</w:t>
            </w:r>
          </w:p>
          <w:p w14:paraId="53AA7E7A">
            <w:pPr>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（4）在工程评价考核中扣除一定分值（评价考核为后续施工招标评标的评价指标之一）；</w:t>
            </w:r>
          </w:p>
          <w:p w14:paraId="387B4D23">
            <w:pPr>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（5）其他处理措施：</w:t>
            </w:r>
          </w:p>
          <w:p w14:paraId="26C87C85">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u w:val="single"/>
              </w:rPr>
              <w:t xml:space="preserve">    对于承包人违反合同的规定进行分包、分包商的施工行为不能满足工程质量安全环保及文明施工要求的，情况严重的将在发包人对承包人的年度资信评价中可评价为“不合格”并上报国家电网有限公司基建部。采取管理措施后无改进或者改进后仍达不到工程管理标准，工程发包方有权要求承包方及时更换分包商。因更换分包商带来的对施工进度影响和其他后果，由承包方承担责任  </w:t>
            </w:r>
            <w:r>
              <w:rPr>
                <w:rFonts w:hint="eastAsia" w:ascii="方正仿宋_GBK" w:hAnsi="方正仿宋_GBK" w:eastAsia="方正仿宋_GBK" w:cs="方正仿宋_GBK"/>
                <w:sz w:val="18"/>
                <w:szCs w:val="18"/>
                <w:highlight w:val="none"/>
              </w:rPr>
              <w:t>。</w:t>
            </w:r>
          </w:p>
        </w:tc>
      </w:tr>
      <w:tr w14:paraId="4019823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0370C38">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694904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1908BCB9">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4.5.5</w:t>
            </w:r>
          </w:p>
        </w:tc>
        <w:tc>
          <w:tcPr>
            <w:tcW w:w="3582" w:type="dxa"/>
            <w:vAlign w:val="center"/>
          </w:tcPr>
          <w:p w14:paraId="09F5BE7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4.5.5 （增加）：</w:t>
            </w:r>
          </w:p>
          <w:p w14:paraId="47F2A01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根据注册建造师有关法律法规及相关文件规定，承包人项目经理必须是与承包人签订有劳动合同且具有下列约定资质和施工管理经验的本单位职工。</w:t>
            </w:r>
          </w:p>
          <w:p w14:paraId="2FA1283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承包人项目经理必须满足以下第  项资格要求：</w:t>
            </w:r>
          </w:p>
          <w:p w14:paraId="5865D83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（1）具有一级注册建造师资格；</w:t>
            </w:r>
          </w:p>
          <w:p w14:paraId="5F128F3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（2）具有二级注册建造师资格。</w:t>
            </w:r>
          </w:p>
          <w:p w14:paraId="77BF6FA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本工程项目经理要求同招标公告。</w:t>
            </w:r>
          </w:p>
          <w:p w14:paraId="1085687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本工程项目经理每月驻现场应不少于22天。</w:t>
            </w:r>
          </w:p>
          <w:p w14:paraId="0BD0CC9D">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承包人项目经理同一时期只能承担一个工程项目的管理工作,同一工程相邻分段发包或分期施工的、合同约定的工程验收合格的、因非承包人原因致使工程项目停工超过120天（含），经发包人同意的除外。</w:t>
            </w:r>
          </w:p>
        </w:tc>
        <w:tc>
          <w:tcPr>
            <w:tcW w:w="4455" w:type="dxa"/>
            <w:vAlign w:val="center"/>
          </w:tcPr>
          <w:p w14:paraId="5C4B133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4.5.5（增加）修改为：</w:t>
            </w:r>
          </w:p>
          <w:p w14:paraId="29EE89B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根据注册建造师有关法律法规及相关文件规定，承包人项目经理必须是与承包人签订有劳动合同且具有招标公告约定资质和施工管理经验的本单位职工。</w:t>
            </w:r>
          </w:p>
          <w:p w14:paraId="12CC8E8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承包人项目经理必须满足以下要求：</w:t>
            </w:r>
          </w:p>
          <w:p w14:paraId="6DE41B3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（1）具有一级注册建造师资格；</w:t>
            </w:r>
          </w:p>
          <w:p w14:paraId="4B303C4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（2）具有项目负责人安全生产考核合格证书；</w:t>
            </w:r>
          </w:p>
          <w:p w14:paraId="7554C261">
            <w:pPr>
              <w:adjustRightInd w:val="0"/>
              <w:snapToGrid w:val="0"/>
              <w:rPr>
                <w:rFonts w:hint="eastAsia"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（3）业绩满足招标公告要求；</w:t>
            </w:r>
          </w:p>
          <w:p w14:paraId="5830E44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（4）投标人的正式员工；</w:t>
            </w:r>
          </w:p>
          <w:p w14:paraId="6710772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（5）专职，不得兼任；</w:t>
            </w:r>
          </w:p>
          <w:p w14:paraId="6C059F5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（6）不设A、B 角。</w:t>
            </w:r>
          </w:p>
          <w:p w14:paraId="5CC6E10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本工程项目经理每月驻现场应不少于25天</w:t>
            </w:r>
            <w:r>
              <w:rPr>
                <w:rFonts w:hint="eastAsia" w:ascii="方正仿宋_GBK" w:hAnsi="方正仿宋_GBK" w:eastAsia="方正仿宋_GBK" w:cs="方正仿宋_GBK"/>
                <w:sz w:val="18"/>
                <w:szCs w:val="18"/>
                <w:highlight w:val="none"/>
                <w:lang w:eastAsia="zh-CN"/>
              </w:rPr>
              <w:t>，</w:t>
            </w:r>
            <w:r>
              <w:rPr>
                <w:rFonts w:hint="eastAsia" w:ascii="方正仿宋_GBK" w:hAnsi="方正仿宋_GBK" w:eastAsia="方正仿宋_GBK" w:cs="方正仿宋_GBK"/>
                <w:sz w:val="18"/>
                <w:szCs w:val="18"/>
                <w:highlight w:val="none"/>
              </w:rPr>
              <w:t>以现场签到记录和监理人确认的考勤为准。</w:t>
            </w:r>
          </w:p>
          <w:p w14:paraId="620CA0FC">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承包人项目经理应具有特高压换流站施工管理经验，同一时期只能承担一个工程项目的管理工作,同一工程相邻分段发包或分期施工的、合同约定的工程验收合格的、因非承包人原因致使工程项目停工超过120天（含），经发包人同意的除外。</w:t>
            </w:r>
          </w:p>
        </w:tc>
      </w:tr>
      <w:tr w14:paraId="236A51F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B031771">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0E8C9808">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专用条款</w:t>
            </w:r>
          </w:p>
          <w:p w14:paraId="687A6B67">
            <w:pPr>
              <w:autoSpaceDE w:val="0"/>
              <w:autoSpaceDN w:val="0"/>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4.6.6（增加）：</w:t>
            </w:r>
          </w:p>
        </w:tc>
        <w:tc>
          <w:tcPr>
            <w:tcW w:w="3582" w:type="dxa"/>
            <w:vAlign w:val="center"/>
          </w:tcPr>
          <w:p w14:paraId="34AC3A10">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4.6.6（增加）：</w:t>
            </w:r>
          </w:p>
          <w:p w14:paraId="6456056B">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承包人投入的关键人员资格及配置（见附表8）不得低于投标承诺。其中：</w:t>
            </w:r>
          </w:p>
          <w:p w14:paraId="1082475C">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项目经理应与投标文件保持一致，且不应同时承担2个及以上未完项目的管理工作，同一工程相邻分段发包或分期施工的、合同约定的工程验收合格的、因非承包人原因致使工程项目停工超过120天（含），经发包人同意的除外。</w:t>
            </w:r>
          </w:p>
          <w:p w14:paraId="7FB294A0">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（2）项目部安全员、质检员必须为专职，不可兼任项目其他岗位。</w:t>
            </w:r>
          </w:p>
          <w:p w14:paraId="43A461C7">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（3）所有施工作业必须以作业层班组为单元组织。作业层班组骨干（班长兼指挥、安全员、技术兼质检员）必须为承包人自有人员，数量须满足建设需要。</w:t>
            </w:r>
          </w:p>
          <w:p w14:paraId="7CE8F31D">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（4）特殊原因需要撤换项目经理、安全员、质检员时，应征得发包人书面同意，并应在更换14天前将拟更换的项目经理的姓名和详细资料提交发包人。</w:t>
            </w:r>
          </w:p>
          <w:p w14:paraId="29D14632">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（5）特殊原因需要撤换关键人员时，应征得发包人书面同意，并应在更换14天前将拟更换的关键人员的姓名和详细资料提交发包人。</w:t>
            </w:r>
          </w:p>
          <w:p w14:paraId="39747EEA">
            <w:pPr>
              <w:rPr>
                <w:highlight w:val="none"/>
              </w:rPr>
            </w:pPr>
            <w:r>
              <w:rPr>
                <w:rFonts w:hint="eastAsia" w:ascii="方正仿宋_GBK" w:hAnsi="方正仿宋_GBK" w:eastAsia="方正仿宋_GBK" w:cs="方正仿宋_GBK"/>
                <w:snapToGrid w:val="0"/>
                <w:kern w:val="0"/>
                <w:sz w:val="18"/>
                <w:szCs w:val="18"/>
                <w:highlight w:val="none"/>
              </w:rPr>
              <w:t>（6）承包人在工程建设过程中经发包人同意只能更换一次项目经理，再次因承包人原因或不满足“深化基建队伍改革、强化施工安全管理”12项配套政策要求需更换的，发包人有权向承包人索赔人员变更对工程工期影响，且更换一次，承包人应向发包人支付合同价款    %违约金。</w:t>
            </w:r>
          </w:p>
          <w:p w14:paraId="5E8D5668">
            <w:pPr>
              <w:rPr>
                <w:highlight w:val="none"/>
              </w:rPr>
            </w:pPr>
          </w:p>
          <w:p w14:paraId="1ACD9E8D">
            <w:pPr>
              <w:rPr>
                <w:highlight w:val="none"/>
              </w:rPr>
            </w:pPr>
          </w:p>
          <w:p w14:paraId="24229AEC">
            <w:pPr>
              <w:rPr>
                <w:highlight w:val="none"/>
              </w:rPr>
            </w:pPr>
          </w:p>
          <w:p w14:paraId="3B81F161">
            <w:pPr>
              <w:rPr>
                <w:highlight w:val="none"/>
              </w:rPr>
            </w:pPr>
          </w:p>
          <w:p w14:paraId="56A71941">
            <w:pPr>
              <w:rPr>
                <w:highlight w:val="none"/>
              </w:rPr>
            </w:pPr>
          </w:p>
          <w:p w14:paraId="1FF20A86">
            <w:pPr>
              <w:rPr>
                <w:highlight w:val="none"/>
              </w:rPr>
            </w:pPr>
          </w:p>
          <w:p w14:paraId="427B3AFD">
            <w:pPr>
              <w:autoSpaceDE w:val="0"/>
              <w:autoSpaceDN w:val="0"/>
              <w:adjustRightInd w:val="0"/>
              <w:snapToGrid w:val="0"/>
              <w:rPr>
                <w:rFonts w:ascii="方正仿宋_GBK" w:hAnsi="方正仿宋_GBK" w:eastAsia="方正仿宋_GBK" w:cs="方正仿宋_GBK"/>
                <w:snapToGrid w:val="0"/>
                <w:kern w:val="0"/>
                <w:sz w:val="18"/>
                <w:szCs w:val="18"/>
                <w:highlight w:val="none"/>
              </w:rPr>
            </w:pPr>
          </w:p>
          <w:p w14:paraId="645C9555">
            <w:pPr>
              <w:autoSpaceDE w:val="0"/>
              <w:autoSpaceDN w:val="0"/>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6B4BF998">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4.6.6（增加）修改为：</w:t>
            </w:r>
          </w:p>
          <w:p w14:paraId="05976AB3">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承包人投入的关键人员资格及配置（见附表8）不得低于投标承诺。其中：</w:t>
            </w:r>
          </w:p>
          <w:p w14:paraId="6ECD9B9A">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项目经理应与投标文件保持一致，且不应同时承担2个及以上未完项目的管理工作，同一工程相邻分段发包或分期施工的、合同约定的工程验收合格的、因非承包人原因致使工程项目停工超过120天（含），经发包人同意的除外。承包人更换项目经理、项目总工的，应当选派不低于原项目经理、项目总工资格条件的人员作为继任项目经理。施工承包人有不低于原项目经理、项目总工资格条件的人员而不选派，属于严重不履行合同的违约行为。</w:t>
            </w:r>
          </w:p>
          <w:p w14:paraId="277B527C">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（2）项目部安全总监、安全员、质检员必须为专职，不可兼任项目其他岗位。质检员须持证上岗,专职安全管理人员需持安全C证上岗。</w:t>
            </w:r>
          </w:p>
          <w:p w14:paraId="62842F03">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（3）所有施工作业必须以作业层班组为单元组织。作业层班组骨干（班长兼指挥、安全员、技术兼质检员）必须为承包人自有人员，数量须满足建设需要。</w:t>
            </w:r>
          </w:p>
          <w:p w14:paraId="2C13329E">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（4）特殊原因需要撤换项目副经理、技术负责人、安全总监时，应征得发包人书面同意，并应在更换14天前将拟更换的项目经理的姓名和详细资料提交发包人。</w:t>
            </w:r>
          </w:p>
          <w:p w14:paraId="52E241AF">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项目经理更换的特殊原因指下列情形之一：</w:t>
            </w:r>
          </w:p>
          <w:p w14:paraId="594F9501">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1）因自身原因导致工程项目发生重大质量、安全事故的；</w:t>
            </w:r>
          </w:p>
          <w:p w14:paraId="776DBA91">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2）有违法、违规、违纪行为，被暂停或者吊销担任项目经理资格； </w:t>
            </w:r>
          </w:p>
          <w:p w14:paraId="7F6521E6">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3）不能胜任所承担的工程任务，发包人要求更换； </w:t>
            </w:r>
          </w:p>
          <w:p w14:paraId="3D40D562">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4）变更工作单位； </w:t>
            </w:r>
          </w:p>
          <w:p w14:paraId="1240CBA9">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5）罹患严重疾病需要治疗或者修养，时间在一个月以上或者超过合同工期二分之一以上。</w:t>
            </w:r>
          </w:p>
          <w:p w14:paraId="27E01D3B">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提供必要的证明文件属于第3项情形的，应当提供现场监理项目部总监理工程师和业主项目部项目经理共同签署的要求更换项目经理的通知。更换属于第4项情形的，应当提供原企业出具的离职证明。更换属于第5项情形的，应当提供由二级甲等及以上等级的医疗机构出具、经主治医师签名的疾病诊断书和住院、修养证明。</w:t>
            </w:r>
          </w:p>
          <w:p w14:paraId="12BB63C6">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（5）特殊原因需要撤换安全员、质检员等关键人员时，应征得发包人书面同意，并应在更换14天前将拟更换的关键人员的姓名和详细资料提交发包人。</w:t>
            </w:r>
          </w:p>
          <w:p w14:paraId="1E97FA75">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（6）为便于现场工作的正常开展，承包人项目经理及副经理、总工、副总工每月驻现场履职天数不得少于25天。</w:t>
            </w:r>
          </w:p>
          <w:p w14:paraId="4BD7CE42">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（7）承包人项目经理离开工程所在地必须进行书面请假，先征得监理同意（监理权限为1天，不需征得业主项目部的同意），2天及以上的请假还须征得业主项目部经理或副经理同意。</w:t>
            </w:r>
          </w:p>
          <w:p w14:paraId="7A901819">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（8）承包人项目经理短期离开施工场地，应事先征得监理人同意，并委派代表代行其职责。</w:t>
            </w:r>
          </w:p>
          <w:p w14:paraId="47259D71">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（9）有下列情形之一的，属于承包人违约，承包人应向发包人支付签约合同价的4‰违约金，且发包人有权解除本合同。</w:t>
            </w:r>
          </w:p>
          <w:p w14:paraId="65F9D1FE">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1）承包人项目经理因“不能胜任所承担的工程任务，发包人要求更换”原因被要求变更项目经理的；</w:t>
            </w:r>
          </w:p>
          <w:p w14:paraId="5D1E54F9">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2）半年内两次以上以“变更工作单位”或“罹患严重疾病需要治疗或者修养，时间在一个月以上或者超过合同工期二分之一以上”理由变更项目经理的。</w:t>
            </w:r>
          </w:p>
          <w:p w14:paraId="3B34DD8B">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3）拟选派项目经理以项目经理变更前的业绩作为招标文件对项目经理要求业绩之一的。</w:t>
            </w:r>
          </w:p>
          <w:p w14:paraId="7A53C768">
            <w:pPr>
              <w:pStyle w:val="49"/>
              <w:numPr>
                <w:ilvl w:val="0"/>
                <w:numId w:val="0"/>
              </w:numPr>
              <w:rPr>
                <w:rFonts w:hint="default" w:ascii="方正仿宋_GBK" w:hAnsi="方正仿宋_GBK" w:eastAsia="方正仿宋_GBK" w:cs="方正仿宋_GBK"/>
                <w:color w:val="000000" w:themeColor="text1"/>
                <w:sz w:val="18"/>
                <w:szCs w:val="18"/>
                <w:highlight w:val="none"/>
                <w14:textFill>
                  <w14:solidFill>
                    <w14:schemeClr w14:val="tx1"/>
                  </w14:solidFill>
                </w14:textFill>
              </w:rPr>
            </w:pPr>
            <w:r>
              <w:rPr>
                <w:rFonts w:ascii="方正仿宋_GBK" w:hAnsi="方正仿宋_GBK" w:eastAsia="方正仿宋_GBK" w:cs="方正仿宋_GBK"/>
                <w:snapToGrid w:val="0"/>
                <w:kern w:val="0"/>
                <w:sz w:val="18"/>
                <w:szCs w:val="18"/>
                <w:highlight w:val="none"/>
              </w:rPr>
              <w:t>4）未先征得发包人同意而擅自更换项目经理的;或更换项目经理未按照4.6.6(4)要求提供必要证明文件的;或继任项目经理低于原项目经理资格条件的。</w:t>
            </w:r>
          </w:p>
        </w:tc>
      </w:tr>
      <w:tr w14:paraId="3F182C3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86E3100">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C5D299F">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专用条款</w:t>
            </w:r>
          </w:p>
          <w:p w14:paraId="4A6BACC1">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4.8.9 （增加）</w:t>
            </w:r>
          </w:p>
        </w:tc>
        <w:tc>
          <w:tcPr>
            <w:tcW w:w="3582" w:type="dxa"/>
            <w:vAlign w:val="center"/>
          </w:tcPr>
          <w:p w14:paraId="7C938DC6">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4.8.9 （增加）：</w:t>
            </w:r>
          </w:p>
          <w:p w14:paraId="5FB80CC7">
            <w:pPr>
              <w:autoSpaceDE w:val="0"/>
              <w:autoSpaceDN w:val="0"/>
              <w:adjustRightInd w:val="0"/>
              <w:snapToGrid w:val="0"/>
              <w:ind w:firstLine="360" w:firstLineChars="20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承包人工程项目部至少应有一名胜任的专职安全员，施工队每30人至少有一名兼职安全员，在每个作业点应有一名及以上合格的值日安全员和监护，负责处理全体雇佣人员的安全保护和事故防范等问题，安全员有权发布指令并采取保护性措施以防止事故的发生。</w:t>
            </w:r>
          </w:p>
        </w:tc>
        <w:tc>
          <w:tcPr>
            <w:tcW w:w="4455" w:type="dxa"/>
          </w:tcPr>
          <w:p w14:paraId="07C04217">
            <w:pPr>
              <w:autoSpaceDE w:val="0"/>
              <w:autoSpaceDN w:val="0"/>
              <w:adjustRightInd w:val="0"/>
              <w:snapToGrid w:val="0"/>
              <w:ind w:firstLine="360" w:firstLineChars="20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ascii="方正仿宋_GBK" w:hAnsi="方正仿宋_GBK" w:eastAsia="方正仿宋_GBK" w:cs="方正仿宋_GBK"/>
                <w:i w:val="0"/>
                <w:strike w:val="0"/>
                <w:color w:val="000000"/>
                <w:sz w:val="18"/>
                <w:highlight w:val="none"/>
                <w:u w:val="none"/>
              </w:rPr>
              <w:t>承包人工程项目部至少应有胜任的安全总监1名、专职安全员2名，并要求劳务分包单位按要求配备专职安全管理人员（施工人员不足50人配1名、50人-200人配2名、200人以上配备3人名），在每个作业点应有一名及以上合格的值日安全员和监护，负责处理全体雇佣人员的安全保护和事故防范等问题，安全员有权发布指令并采取保护性措施以防止事故的发生。</w:t>
            </w:r>
          </w:p>
        </w:tc>
      </w:tr>
      <w:tr w14:paraId="1FCF911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104F0A3">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F97A193">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专用条款</w:t>
            </w:r>
          </w:p>
          <w:p w14:paraId="265FFE75">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4.11.1</w:t>
            </w:r>
          </w:p>
        </w:tc>
        <w:tc>
          <w:tcPr>
            <w:tcW w:w="3582" w:type="dxa"/>
            <w:vAlign w:val="center"/>
          </w:tcPr>
          <w:p w14:paraId="1DC81C17">
            <w:pPr>
              <w:rPr>
                <w:highlight w:val="none"/>
              </w:rPr>
            </w:pPr>
            <w:r>
              <w:rPr>
                <w:rFonts w:hint="eastAsia" w:ascii="方正仿宋_GBK" w:hAnsi="方正仿宋_GBK" w:eastAsia="方正仿宋_GBK" w:cs="方正仿宋_GBK"/>
                <w:snapToGrid w:val="0"/>
                <w:kern w:val="0"/>
                <w:sz w:val="18"/>
                <w:szCs w:val="18"/>
                <w:highlight w:val="none"/>
              </w:rPr>
              <w:t>4.11.1 不利物质条件的其他情形和有关约定：。</w:t>
            </w:r>
          </w:p>
          <w:p w14:paraId="3706BC3C">
            <w:pPr>
              <w:adjustRightInd w:val="0"/>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2145E385">
            <w:pPr>
              <w:adjustRightInd w:val="0"/>
              <w:snapToGrid w:val="0"/>
              <w:ind w:firstLine="360" w:firstLineChars="200"/>
              <w:jc w:val="left"/>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napToGrid w:val="0"/>
                <w:kern w:val="0"/>
                <w:sz w:val="18"/>
                <w:szCs w:val="18"/>
                <w:highlight w:val="none"/>
              </w:rPr>
              <w:t xml:space="preserve">4.11.1 不利物质条件的其他情形和有关约定：  </w:t>
            </w:r>
          </w:p>
          <w:p w14:paraId="187BFFA4">
            <w:pPr>
              <w:adjustRightInd w:val="0"/>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u w:val="single"/>
              </w:rPr>
              <w:t>合同报价已包含相关风险，发包人不承担合同明确约定外的任何额外费用</w:t>
            </w:r>
            <w:r>
              <w:rPr>
                <w:rFonts w:hint="eastAsia" w:ascii="方正仿宋_GBK" w:hAnsi="方正仿宋_GBK" w:eastAsia="方正仿宋_GBK" w:cs="方正仿宋_GBK"/>
                <w:sz w:val="18"/>
                <w:szCs w:val="18"/>
                <w:highlight w:val="none"/>
                <w:u w:val="single"/>
                <w:lang w:eastAsia="zh-CN"/>
              </w:rPr>
              <w:t>。</w:t>
            </w:r>
            <w:r>
              <w:rPr>
                <w:rFonts w:hint="eastAsia" w:ascii="方正仿宋_GBK" w:hAnsi="方正仿宋_GBK" w:eastAsia="方正仿宋_GBK" w:cs="方正仿宋_GBK"/>
                <w:sz w:val="18"/>
                <w:szCs w:val="18"/>
                <w:highlight w:val="none"/>
              </w:rPr>
              <w:t xml:space="preserve"> </w:t>
            </w:r>
          </w:p>
        </w:tc>
      </w:tr>
      <w:tr w14:paraId="680BB4A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FA9652B">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006A777B">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z w:val="18"/>
                <w:szCs w:val="18"/>
                <w:highlight w:val="none"/>
              </w:rPr>
              <w:t>专用条款5.1.3</w:t>
            </w:r>
          </w:p>
        </w:tc>
        <w:tc>
          <w:tcPr>
            <w:tcW w:w="3582" w:type="dxa"/>
            <w:vAlign w:val="center"/>
          </w:tcPr>
          <w:p w14:paraId="623E7854">
            <w:pPr>
              <w:adjustRightInd w:val="0"/>
              <w:snapToGrid w:val="0"/>
              <w:ind w:firstLine="360" w:firstLineChars="20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5.1.3 （补充）：</w:t>
            </w:r>
          </w:p>
          <w:p w14:paraId="4249C5C8">
            <w:pPr>
              <w:rPr>
                <w:highlight w:val="none"/>
              </w:rPr>
            </w:pPr>
            <w:r>
              <w:rPr>
                <w:rFonts w:hint="eastAsia" w:ascii="方正仿宋_GBK" w:hAnsi="方正仿宋_GBK" w:eastAsia="方正仿宋_GBK" w:cs="方正仿宋_GBK"/>
                <w:kern w:val="0"/>
                <w:sz w:val="18"/>
                <w:szCs w:val="18"/>
                <w:highlight w:val="none"/>
              </w:rPr>
              <w:t>承包人应提供检验、测试及试验任何材料或设备通常所需要的协助，包括劳力、电力、燃料、储藏室、仪器及仪表，并应在这些材料或设备等用于工程之前，按监理人的选择和要求，提供材料样品以供试验。</w:t>
            </w:r>
          </w:p>
          <w:p w14:paraId="445076A4">
            <w:pPr>
              <w:adjustRightInd w:val="0"/>
              <w:snapToGrid w:val="0"/>
              <w:ind w:firstLine="360" w:firstLineChars="200"/>
              <w:rPr>
                <w:rFonts w:ascii="方正仿宋_GBK" w:hAnsi="方正仿宋_GBK" w:eastAsia="方正仿宋_GBK" w:cs="方正仿宋_GBK"/>
                <w:sz w:val="18"/>
                <w:szCs w:val="18"/>
                <w:highlight w:val="none"/>
              </w:rPr>
            </w:pPr>
          </w:p>
        </w:tc>
        <w:tc>
          <w:tcPr>
            <w:tcW w:w="4455" w:type="dxa"/>
            <w:vAlign w:val="center"/>
          </w:tcPr>
          <w:p w14:paraId="66A274F1">
            <w:pPr>
              <w:adjustRightInd w:val="0"/>
              <w:snapToGrid w:val="0"/>
              <w:ind w:firstLine="361" w:firstLineChars="200"/>
              <w:rPr>
                <w:rFonts w:ascii="方正仿宋_GBK" w:hAnsi="方正仿宋_GBK" w:eastAsia="方正仿宋_GBK" w:cs="方正仿宋_GBK"/>
                <w:b/>
                <w:bCs/>
                <w:kern w:val="0"/>
                <w:sz w:val="18"/>
                <w:szCs w:val="18"/>
                <w:highlight w:val="none"/>
              </w:rPr>
            </w:pPr>
            <w:r>
              <w:rPr>
                <w:rFonts w:hint="eastAsia" w:ascii="方正仿宋_GBK" w:hAnsi="方正仿宋_GBK" w:eastAsia="方正仿宋_GBK" w:cs="方正仿宋_GBK"/>
                <w:b/>
                <w:bCs/>
                <w:kern w:val="0"/>
                <w:sz w:val="18"/>
                <w:szCs w:val="18"/>
                <w:highlight w:val="none"/>
              </w:rPr>
              <w:t>修改为：</w:t>
            </w:r>
          </w:p>
          <w:p w14:paraId="5E3B62AA">
            <w:pPr>
              <w:adjustRightInd w:val="0"/>
              <w:snapToGrid w:val="0"/>
              <w:ind w:firstLine="360" w:firstLineChars="20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5.1.3（补充）：</w:t>
            </w:r>
          </w:p>
          <w:p w14:paraId="7A62BC4D">
            <w:pPr>
              <w:adjustRightInd w:val="0"/>
              <w:snapToGrid w:val="0"/>
              <w:ind w:firstLine="360" w:firstLineChars="20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承包人应提供检验、测试及试验任何材料或设备通常所需要的协助，包括劳力、电力、燃料、储藏室、仪器及仪表，并应在这些材料或设备等用于工程之前，按监理人的选择和要求，提供材料样品以供试验。</w:t>
            </w:r>
          </w:p>
          <w:p w14:paraId="47E035AE">
            <w:pPr>
              <w:adjustRightInd w:val="0"/>
              <w:snapToGrid w:val="0"/>
              <w:ind w:firstLine="360" w:firstLineChars="20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kern w:val="0"/>
                <w:sz w:val="18"/>
                <w:szCs w:val="18"/>
                <w:highlight w:val="none"/>
              </w:rPr>
              <w:t>承包人负责采购的水泵、电梯、行车、防火涂料、动力箱、检修配电箱、CAFS灭火系统、电缆、地脚螺栓、接地材料、及其他业主认为重要的乙供设备或材料，应满足业主提供的技术规范要求。承包人需提供质量可靠、性能优越的设备。</w:t>
            </w:r>
          </w:p>
        </w:tc>
      </w:tr>
      <w:tr w14:paraId="27DE283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B6C8C8F">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35B073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4CC3A53B">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z w:val="18"/>
                <w:szCs w:val="18"/>
                <w:highlight w:val="none"/>
              </w:rPr>
              <w:t>5.1.4（增加）</w:t>
            </w:r>
          </w:p>
        </w:tc>
        <w:tc>
          <w:tcPr>
            <w:tcW w:w="3582" w:type="dxa"/>
            <w:vAlign w:val="center"/>
          </w:tcPr>
          <w:p w14:paraId="7974E7D2">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5.1.4 （增加）：</w:t>
            </w:r>
          </w:p>
          <w:p w14:paraId="47C30C0F">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承包人所采购的材料和工程设备所使用的原材料及其制成品质量必须达到国家标准或行业标准、施工验收规范以及设计技术要求，承包人应对其质量负完全责任。</w:t>
            </w:r>
          </w:p>
          <w:p w14:paraId="3A0B965F">
            <w:pPr>
              <w:rPr>
                <w:highlight w:val="none"/>
              </w:rPr>
            </w:pPr>
            <w:r>
              <w:rPr>
                <w:rFonts w:hint="eastAsia" w:ascii="方正仿宋_GBK" w:hAnsi="方正仿宋_GBK" w:eastAsia="方正仿宋_GBK" w:cs="方正仿宋_GBK"/>
                <w:sz w:val="18"/>
                <w:szCs w:val="18"/>
                <w:highlight w:val="none"/>
              </w:rPr>
              <w:t>承包人采购的材料和工程设备不符合设计或有关标准要求时，承包人应在监理人要求的合理期限内将不符合设计或有关标准要求的材料、工程设备运出施工现场，并重新采购符合要求的材料、工程设备，由此增加的费用和（或）延误的工期，由承包人承担。</w:t>
            </w:r>
          </w:p>
          <w:p w14:paraId="06F64FB7">
            <w:pPr>
              <w:rPr>
                <w:highlight w:val="none"/>
              </w:rPr>
            </w:pPr>
          </w:p>
          <w:p w14:paraId="23200BFD">
            <w:pPr>
              <w:rPr>
                <w:highlight w:val="none"/>
              </w:rPr>
            </w:pPr>
          </w:p>
          <w:p w14:paraId="4B334F67">
            <w:pPr>
              <w:widowControl/>
              <w:adjustRightInd w:val="0"/>
              <w:snapToGrid w:val="0"/>
              <w:jc w:val="left"/>
              <w:rPr>
                <w:rFonts w:ascii="方正仿宋_GBK" w:hAnsi="方正仿宋_GBK" w:eastAsia="方正仿宋_GBK" w:cs="方正仿宋_GBK"/>
                <w:sz w:val="18"/>
                <w:szCs w:val="18"/>
                <w:highlight w:val="none"/>
              </w:rPr>
            </w:pPr>
          </w:p>
        </w:tc>
        <w:tc>
          <w:tcPr>
            <w:tcW w:w="4455" w:type="dxa"/>
            <w:vAlign w:val="center"/>
          </w:tcPr>
          <w:p w14:paraId="05CA8117">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5.1.4（增加）修改为：</w:t>
            </w:r>
          </w:p>
          <w:p w14:paraId="306F8D39">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承包人所采购的材料和工程设备所使用的原材料及其制成品质量必须达到国家标准或行业标准、施工验收规范以及设计技术要求，承包人应对其质量负完全责任。</w:t>
            </w:r>
          </w:p>
          <w:p w14:paraId="0FB26224">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采购的材料和工程设备不符合设计或有关标准要求时，承包人应在监理人要求的合理期限内将不符合设计或有关标准要求的材料、工程设备运出施工现场，并重新采购符合要求的材料、工程设备，由此增加的费用和（或）延误工期所造成的损失，由承包人承担。</w:t>
            </w:r>
          </w:p>
          <w:p w14:paraId="3C56CDF4">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对承包人提供的材料和工程设备，承包人应会同监理人进行检验和交货验收，查验材料合格证明和产品合格证书，并按合同约定和监理人指示，进行材料的抽样检验和工程设备的检验测试，检验和测试结果应提交监理人，所需费用由承包人承担。</w:t>
            </w:r>
          </w:p>
          <w:p w14:paraId="3B41362C">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负责采购的材料设备应满足业主提供的技术规范要求并征得审查同意。承包人采购的设备材料到现场后，监理人将组织对其进行抽检，抽检不满足国家标准或行业标准、技术监督、施工验收规范以及设计技术要求，该设备材料不得在本工程使用，并扣除承包人质保金的10%。</w:t>
            </w:r>
          </w:p>
          <w:p w14:paraId="78849E28">
            <w:pPr>
              <w:widowControl/>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由于承包人采购的泵、电梯、防火涂料、CAFS灭火系统、所有电力电缆、控制电缆及电缆桥架、户内外端子箱、电源箱、检修箱、起重设备等乙供材料设备故障引起报警及以上影响，或不按设计要求规范使用电缆中间接头等情况的，除承担本合同其他条款约定的违约责任外，尚应扣除质保金的10%。</w:t>
            </w:r>
          </w:p>
          <w:p w14:paraId="11952D29">
            <w:pPr>
              <w:autoSpaceDE w:val="0"/>
              <w:autoSpaceDN w:val="0"/>
              <w:adjustRightInd w:val="0"/>
              <w:ind w:firstLine="360" w:firstLineChars="20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承包人负责采购的材料，由发包人或监理人明确封样管理范围，经发包人、监理人和设计等单位确认规格、质量、数量、供货期等要求后进行封样，所需费用由承包人承担。</w:t>
            </w:r>
          </w:p>
        </w:tc>
      </w:tr>
      <w:tr w14:paraId="1627CDE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8A2BDA0">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2FA1EBD">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专用</w:t>
            </w:r>
            <w:r>
              <w:rPr>
                <w:rStyle w:val="41"/>
                <w:rFonts w:hint="default"/>
                <w:color w:val="auto"/>
                <w:sz w:val="18"/>
                <w:szCs w:val="18"/>
                <w:highlight w:val="none"/>
              </w:rPr>
              <w:t>5.1.5</w:t>
            </w:r>
          </w:p>
        </w:tc>
        <w:tc>
          <w:tcPr>
            <w:tcW w:w="3582" w:type="dxa"/>
            <w:vAlign w:val="center"/>
          </w:tcPr>
          <w:p w14:paraId="4FC780E9">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5.1.5 （增加）：</w:t>
            </w:r>
          </w:p>
          <w:p w14:paraId="35E51244">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承包人在现场加工制作的预制件，必须首先征得监理人的同意，严格按图加工制作，并应有相应的材料检验合格的证明。</w:t>
            </w:r>
          </w:p>
          <w:p w14:paraId="0C2BED1B">
            <w:pPr>
              <w:rPr>
                <w:highlight w:val="none"/>
              </w:rPr>
            </w:pPr>
            <w:r>
              <w:rPr>
                <w:rStyle w:val="41"/>
                <w:rFonts w:hint="default"/>
                <w:color w:val="auto"/>
                <w:sz w:val="18"/>
                <w:szCs w:val="18"/>
                <w:highlight w:val="none"/>
              </w:rPr>
              <w:t>承包人选定的砂、石、水、水泥、水泥掺加剂、钢筋、砼试块等必须按规范规定抽样，送至省级及以上建设行政管理部门批准的质量检验部门进行检验；送检样品必须由监理人见证取样，工程中使用的材料与送检样品必须一致，检验项目必须满足现行国家标准或行业标准。</w:t>
            </w:r>
          </w:p>
          <w:p w14:paraId="60FB7285">
            <w:pPr>
              <w:rPr>
                <w:highlight w:val="none"/>
              </w:rPr>
            </w:pPr>
          </w:p>
          <w:p w14:paraId="491D1056">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tcPr>
          <w:p w14:paraId="780A056F">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5.1.5 （增加）：</w:t>
            </w:r>
          </w:p>
          <w:p w14:paraId="284463DB">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承包人在现场加工制作的预制件，必须首先征得监理人的同意，严格按图加工制作，并应有相应的材料检验合格的证明。</w:t>
            </w:r>
          </w:p>
          <w:p w14:paraId="79BA6639">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承包人选定的砂、石、水、水泥、水泥掺加剂、钢筋、砼试块等必须按规范规定抽样，送至省级及以上建设行政管理部门批准的质量检验部门进行检验；送检样品必须由监理人见证取样，工程中使用的材料与送检样品必须一致，检验项目必须满足现行国家标准或行业标准。</w:t>
            </w:r>
          </w:p>
          <w:p w14:paraId="50078153">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41"/>
                <w:rFonts w:hint="default"/>
                <w:color w:val="auto"/>
                <w:sz w:val="18"/>
                <w:szCs w:val="18"/>
                <w:highlight w:val="none"/>
              </w:rPr>
              <w:t>施工承包人负责采购的进口设备或跨省域运输的设备所需木质包装箱应符合国家及地方政府关于外来物种入侵（包括但不限于国家或地方政府禁止的虫卵、污染物等外来物种）的各类检疫检测要求，相关检疫检测所需费用由施工承包人自行负责。若因检验、检疫不合格造成设备无法进场或延误，一切损失由承包人承担，给发包人造成损失的应予赔偿。</w:t>
            </w:r>
          </w:p>
        </w:tc>
      </w:tr>
      <w:tr w14:paraId="341DB0E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227924A">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98EB19F">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专用条款5.2.1</w:t>
            </w:r>
          </w:p>
        </w:tc>
        <w:tc>
          <w:tcPr>
            <w:tcW w:w="3582" w:type="dxa"/>
            <w:vAlign w:val="center"/>
          </w:tcPr>
          <w:p w14:paraId="4E0975C6">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5.2.1 发包人提供的材料和工程设备的名称如下：</w:t>
            </w:r>
          </w:p>
          <w:p w14:paraId="1DBDDBA9">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变电站工程：一、二次设备、支柱绝缘子、管母及配套金具、电力电缆等设备及材料（以工程量清单及相关合同文件为准）。</w:t>
            </w:r>
          </w:p>
          <w:p w14:paraId="5B763E66">
            <w:pPr>
              <w:rPr>
                <w:highlight w:val="none"/>
              </w:rPr>
            </w:pPr>
            <w:r>
              <w:rPr>
                <w:rFonts w:hint="eastAsia" w:ascii="方正仿宋_GBK" w:hAnsi="方正仿宋_GBK" w:eastAsia="方正仿宋_GBK" w:cs="方正仿宋_GBK"/>
                <w:sz w:val="18"/>
                <w:szCs w:val="18"/>
                <w:highlight w:val="none"/>
              </w:rPr>
              <w:t>线路工程：导线、地线、铁塔（不含地脚螺栓、插入角钢）、绝缘子、金具、OPGW及其配套金具（以工程量清单及合同文件为准）。</w:t>
            </w:r>
          </w:p>
          <w:p w14:paraId="716D3D88">
            <w:pPr>
              <w:rPr>
                <w:highlight w:val="none"/>
              </w:rPr>
            </w:pPr>
          </w:p>
          <w:p w14:paraId="6127BC02">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5818ABBB">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5.2.1修改为：</w:t>
            </w:r>
          </w:p>
          <w:p w14:paraId="6430D311">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发包人提供的材料和工程设备的名称如下：</w:t>
            </w:r>
          </w:p>
          <w:p w14:paraId="73040F87">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变电站工程：建筑钢结构、压型钢板、暖通空调、构支架、一、二次设备、支柱绝缘子、管母及配套金具、35kV及以上电压等级的电力电缆等设备及材料（以工程量清单及相关合同文件为准）。注：发包人供应的材料损耗量已按《电网工程建设预算编制与计算规定（20</w:t>
            </w:r>
            <w:r>
              <w:rPr>
                <w:rFonts w:hint="eastAsia" w:ascii="方正仿宋_GBK" w:hAnsi="方正仿宋_GBK" w:eastAsia="方正仿宋_GBK" w:cs="方正仿宋_GBK"/>
                <w:sz w:val="18"/>
                <w:szCs w:val="18"/>
                <w:highlight w:val="none"/>
                <w:lang w:val="en-US" w:eastAsia="zh-CN"/>
              </w:rPr>
              <w:t>25</w:t>
            </w:r>
            <w:r>
              <w:rPr>
                <w:rFonts w:hint="eastAsia" w:ascii="方正仿宋_GBK" w:hAnsi="方正仿宋_GBK" w:eastAsia="方正仿宋_GBK" w:cs="方正仿宋_GBK"/>
                <w:sz w:val="18"/>
                <w:szCs w:val="18"/>
                <w:highlight w:val="none"/>
              </w:rPr>
              <w:t>版）》配套定额损耗量供应，因承包人原因所增加的部分必须到原供应厂家采购，费用自负，发包人负责协助协调。</w:t>
            </w:r>
          </w:p>
          <w:p w14:paraId="5B5CF971">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线路工程：导线、地线、铁塔（不含地脚螺栓、插入角钢）、绝缘子、金具、OPGW及其配套金具（以工程量清单及合同文件为准）。</w:t>
            </w:r>
          </w:p>
        </w:tc>
      </w:tr>
      <w:tr w14:paraId="265CAF9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0602B2D">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53FDDC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3E5C7795">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6.1.4（新增）</w:t>
            </w:r>
          </w:p>
        </w:tc>
        <w:tc>
          <w:tcPr>
            <w:tcW w:w="3582" w:type="dxa"/>
            <w:vAlign w:val="center"/>
          </w:tcPr>
          <w:p w14:paraId="2D7368AF">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无</w:t>
            </w:r>
          </w:p>
        </w:tc>
        <w:tc>
          <w:tcPr>
            <w:tcW w:w="4455" w:type="dxa"/>
            <w:vAlign w:val="center"/>
          </w:tcPr>
          <w:p w14:paraId="72345A9C">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6.1.4（增加）：</w:t>
            </w:r>
          </w:p>
          <w:p w14:paraId="6D34EF3D">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（1）各承包单位分别负责站内各自施工区域的卫生清扫。交叉施工时，各个承包人负责自身施工区域的卫生清扫，做到工完料尽场地清，各承包人负责自身施工设备、材料和工机具的保卫工作。</w:t>
            </w:r>
          </w:p>
          <w:p w14:paraId="7828A1C3">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（2）临时施工电源的管理由土建A包牵头负责。正式站用电设备的任何临时投运部分由安装包负责照看、运行、管理、维护。</w:t>
            </w:r>
          </w:p>
          <w:p w14:paraId="52B411EF">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（3）建筑物室内临时照明由土建单位装设并维护。</w:t>
            </w:r>
          </w:p>
          <w:p w14:paraId="428C6B4E">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（4）集中办公区固话及外网通讯接入及维护由土建A包负责。各参建单位分别承担自己范围内的费用。</w:t>
            </w:r>
          </w:p>
          <w:p w14:paraId="79009A95">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（5）土建A包负责制作、维护、管理临建及站区公共区域图牌及安全体验区设施、集中办公区内所有设施，费用由各承包单位按照合同比例分摊，详见技术规范书。</w:t>
            </w:r>
          </w:p>
        </w:tc>
      </w:tr>
      <w:tr w14:paraId="14A518D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F49BC56">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B0E2CF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3A48EF24">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6.2</w:t>
            </w:r>
          </w:p>
        </w:tc>
        <w:tc>
          <w:tcPr>
            <w:tcW w:w="3582" w:type="dxa"/>
            <w:vAlign w:val="center"/>
          </w:tcPr>
          <w:p w14:paraId="1A056E0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6.2 发包人提供的施工设备和临时设施</w:t>
            </w:r>
          </w:p>
          <w:p w14:paraId="28405BB3">
            <w:pPr>
              <w:rPr>
                <w:highlight w:val="none"/>
              </w:rPr>
            </w:pPr>
            <w:r>
              <w:rPr>
                <w:rFonts w:hint="eastAsia" w:ascii="方正仿宋_GBK" w:hAnsi="方正仿宋_GBK" w:eastAsia="方正仿宋_GBK" w:cs="方正仿宋_GBK"/>
                <w:sz w:val="18"/>
                <w:szCs w:val="18"/>
                <w:highlight w:val="none"/>
              </w:rPr>
              <w:t>所有施工设备或装备均由承包人根据自身施工需要提供，发包人不提供任何有关的施工设备。发包人的现场办公场所，由承包人解决，费用含在合同价格中。设计及监理的现场办公场所由其自行负责。</w:t>
            </w:r>
          </w:p>
          <w:p w14:paraId="30B89C78">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05B9C9A9">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6.2发包人提供的施工设备和临时设施修改为：</w:t>
            </w:r>
          </w:p>
          <w:p w14:paraId="4CBA70DC">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所有施工设备或装备均由承包人根据自身施工需要提供，发包人不提供任何有关的施工设备。发包人及现场运行、物资、监理、设计的现场集中办公场所，由承包人负责解决，费用含在承包人合同价格中。</w:t>
            </w:r>
          </w:p>
        </w:tc>
      </w:tr>
      <w:tr w14:paraId="147702C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1040" w:type="dxa"/>
            <w:vAlign w:val="center"/>
          </w:tcPr>
          <w:p w14:paraId="1EFCD5B0">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5F5EF744">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专用条款9.2.1</w:t>
            </w:r>
          </w:p>
        </w:tc>
        <w:tc>
          <w:tcPr>
            <w:tcW w:w="3582" w:type="dxa"/>
            <w:vAlign w:val="center"/>
          </w:tcPr>
          <w:p w14:paraId="57C35CC1">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9.2.1 承包人在现场应遵守并落实所有现行的有关安全、文明施工的规章制度要求。除非本合同另有约定，自在施工场地开始工作直到工程全部移交为止，承包人应：</w:t>
            </w:r>
          </w:p>
          <w:p w14:paraId="509D00BC">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（1）全面负责在施工场地上施工的人员的安全，并使施工场地和工程保持良好的秩序，以避免发生人身事故。</w:t>
            </w:r>
          </w:p>
          <w:p w14:paraId="6834DE47">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（2）为了保护工程或为了公众及其他人员的安全及方便，在监理人或任何有权机关所要求的时间和地点、以其自己的费用提供并维修所有的照明、护栏、围墙、警告标志及守卫设施。</w:t>
            </w:r>
          </w:p>
          <w:p w14:paraId="63158B69">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3）按合同约定履行安全职责,执行监理人有关安全工作的指示,并合同约定的期限内，按合同约定的安全工作内容，编制施工安全措施计划报送监理人审批。承包人应在工程开工7天前，按合同约定的安全工作内容，编制施工安全措施计划报送监理人审批。  </w:t>
            </w:r>
          </w:p>
          <w:p w14:paraId="5668BDE6">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加强施工作业安全管理，特别应加强易燃、易爆材料、火工器材、有毒与腐蚀性材料和其他危险品的管理，以及对爆破作业和地下工程施工等危险作业的管理。承包人应根据国家有关规定布置消防器材，保证消防通道畅通，做好防火防盗工作。</w:t>
            </w:r>
          </w:p>
          <w:p w14:paraId="76E2EA6D">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（5）严格按照国家安全标准制定施工安全操作规程，配备必要的安全生产和劳动保护设施，加强对承包人人员的安全教育，并发放安全工作手册和劳动保护用具。</w:t>
            </w:r>
          </w:p>
          <w:p w14:paraId="03B11050">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（6）按监理人的指示制定应对灾害的紧急预案，报送监理人审批。承包人还应按预案做好安全检查，配置必要的救助物资和器材，切实保护好有关人员的人身和财产安全。</w:t>
            </w:r>
          </w:p>
          <w:p w14:paraId="0CA0A2F2">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7）建立以项目经理为第一安全责任人的各级安全施工责任制。项目承包范围内所有参建人员（包括劳务分包商人员、临时用工）均应纳入项目安全管理网络；制订各级人员的安全职责，建立和健全安全保证体系和监督体系；应指派一位常驻工地的专职安全员，专职安全员应能胜任此项工作，并有权发布各种指示及采取防止事故发生的预防措施。</w:t>
            </w:r>
          </w:p>
          <w:p w14:paraId="55C6E25A">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8）对项目现场安全健康与环境工作负全面责任，负责经常性的内部安全检查，至少每月进行一次对项目现场的安全监督检查，监督安全隐患的整改。参加发包人、监理人组织的安全大检查工作，对发现的问题应在限期内完成整改。</w:t>
            </w:r>
          </w:p>
          <w:p w14:paraId="10454FA2">
            <w:pPr>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（9）建立健全符合工程实际情况、具有可操作性的安全管理制度，建立安全管理、监督网络，根据工程的进展配备足够的安全管理资源，并确保实施到位。</w:t>
            </w:r>
          </w:p>
        </w:tc>
        <w:tc>
          <w:tcPr>
            <w:tcW w:w="4455" w:type="dxa"/>
            <w:vAlign w:val="center"/>
          </w:tcPr>
          <w:p w14:paraId="3E498E67">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9.2.1 承包人在现场应遵守并落实所有现行的有关安全、文明施工的规章制度要求。强化风险管控，二级及以上的重大风险按要求做到“挂牌督查”和主要负责人“到岗到位”检查、落实安全措施及监护工作。除非本合同另有约定，自在施工场地开始工作直到工程全部移交为止，承包人应：</w:t>
            </w:r>
          </w:p>
          <w:p w14:paraId="40A06E8B">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（1）全面负责在施工场地上施工的人员的安全，并使施工场地和工程保持良好的秩序，以避免发生人身事故。</w:t>
            </w:r>
          </w:p>
          <w:p w14:paraId="79F156AA">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（2）为了保护工程或为了公众及其他人员的安全及方便，在监理人或任何有权机关所要求的时间和地点、以其自己的费用提供并维修所有的照明、护栏、围墙、警告标志及守卫设施。</w:t>
            </w:r>
          </w:p>
          <w:p w14:paraId="42424C8F">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3）按合同约定履行安全职责,执行监理人有关安全工作的指示,并合同约定的期限内，按合同约定的安全工作内容，编制施工安全措施计划报送监理人审批。承包人应在工程开工7天前，按合同约定的安全工作内容，编制施工安全措施计划报送监理人审批。  </w:t>
            </w:r>
          </w:p>
          <w:p w14:paraId="221EBF6B">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加强施工作业安全管理，特别应加强易燃、易爆材料、火工器材、有毒与腐蚀性材料和其他危险品的管理，以及对爆破作业和地下工程施工等危险作业的管理。承包人应根据国家有关规定布置消防器材，保证消防通道畅通，做好防火防盗工作。</w:t>
            </w:r>
          </w:p>
          <w:p w14:paraId="3139BC18">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（5）严格按照国家安全标准制定施工安全操作规程，配备必要的安全生产和劳动保护设施，加强对承包人人员的安全教育，并发放安全工作手册和劳动保护用具。</w:t>
            </w:r>
          </w:p>
          <w:p w14:paraId="3EAF3E5F">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（6）按监理人的指示制定应对灾害的紧急预案，报送监理人审批。承包人还应按预案做好安全检查，配置必要的救助物资和器材，切实保护好有关人员的人身和财产安全。</w:t>
            </w:r>
          </w:p>
          <w:p w14:paraId="68F6F907">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7）建立以项目经理为第一安全责任人的各级安全施工责任制。项目承包范围内所有参建人员（包括劳务分包商人员、临时用工）均应纳入项目安全管理网络；制订各级人员的安全职责，建立和健全安全保证体系和监督体系；应指派一位常驻工地的专职安全员，专职安全员应能胜任此项工作，并有权发布各种指示及采取防止事故发生的预防措施。</w:t>
            </w:r>
          </w:p>
          <w:p w14:paraId="5DC32B77">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8）对项目现场安全健康与环境工作负全面责任，负责经常性的内部安全检查，至少每月进行一次对项目现场的安全监督检查，监督安全隐患的整改。参加发包人、监理人组织的安全大检查工作，对发现的问题应在限期内完成整改。</w:t>
            </w:r>
          </w:p>
          <w:p w14:paraId="590B1416">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（9）建立健全符合工程实际情况、具有可操作性的安全管理制度，建立安全管理、监督网络，根据工程的进展配备足够的安全管理资源，并确保实施到位。</w:t>
            </w:r>
          </w:p>
          <w:p w14:paraId="7630298C">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（10）建筑物施工时室外脚手架宜采用盘扣式脚手架，并使用冲孔钢板网保护施工安全。承包人在施工前应编制详细施工方案，报监理、业主单位审核批准。</w:t>
            </w:r>
          </w:p>
        </w:tc>
      </w:tr>
      <w:tr w14:paraId="541075B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1040" w:type="dxa"/>
            <w:vAlign w:val="center"/>
          </w:tcPr>
          <w:p w14:paraId="05A21991">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88BF10E">
            <w:pPr>
              <w:widowControl/>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专用条款9.2.2</w:t>
            </w:r>
          </w:p>
        </w:tc>
        <w:tc>
          <w:tcPr>
            <w:tcW w:w="3582" w:type="dxa"/>
            <w:vAlign w:val="center"/>
          </w:tcPr>
          <w:p w14:paraId="48B373CC">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9.2.2 承包人应按下表约定的时间将下列文件提交发包人及监理人：</w:t>
            </w:r>
          </w:p>
          <w:p w14:paraId="21C86622">
            <w:pPr>
              <w:rPr>
                <w:highlight w:val="none"/>
              </w:rPr>
            </w:pPr>
            <w:r>
              <w:rPr>
                <w:rFonts w:hint="eastAsia" w:ascii="方正仿宋_GBK" w:hAnsi="方正仿宋_GBK" w:eastAsia="方正仿宋_GBK" w:cs="方正仿宋_GBK"/>
                <w:sz w:val="18"/>
                <w:szCs w:val="18"/>
                <w:highlight w:val="none"/>
              </w:rPr>
              <w:t>（3）工程安全管理台帐和施工安全风险管理及风险控制方案；</w:t>
            </w:r>
          </w:p>
          <w:p w14:paraId="5B88F019">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0358C09B">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9.2.2 承包人应按下表约定的时间将下列文件提交发包人及监理人： </w:t>
            </w:r>
          </w:p>
          <w:p w14:paraId="57CFAC94">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（3）工程安全管理台帐和施工安全管控措施；</w:t>
            </w:r>
          </w:p>
        </w:tc>
      </w:tr>
      <w:tr w14:paraId="64D05F8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1040" w:type="dxa"/>
            <w:vAlign w:val="center"/>
          </w:tcPr>
          <w:p w14:paraId="5B0B02F6">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5B0B62D8">
            <w:pPr>
              <w:widowControl/>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专用条款9.3.1</w:t>
            </w:r>
          </w:p>
        </w:tc>
        <w:tc>
          <w:tcPr>
            <w:tcW w:w="3582" w:type="dxa"/>
            <w:vAlign w:val="center"/>
          </w:tcPr>
          <w:p w14:paraId="5EB9A2F4">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9.3.1 承包人是项目治安保卫工作的责任主体。除合同另有约定外，承包人应与当地公安部门协商，在现场建立治安管理机构或联防组织，统一管理施工场地的治安保卫事项，合理安排保卫人员值班，履行治安保卫职责。</w:t>
            </w:r>
          </w:p>
        </w:tc>
        <w:tc>
          <w:tcPr>
            <w:tcW w:w="4455" w:type="dxa"/>
            <w:vAlign w:val="center"/>
          </w:tcPr>
          <w:p w14:paraId="204B0D5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9.3.1 承包人是项目治安保卫工作的责任主体。除合同另有约定外，承包人应与当地公安部门协商，与公安部门、应急管理部门、公共医疗部门签订《安全生产应急救援联动协议》，在现场建立治安管理机构或联防组织，统一管理施工场地的治安保卫事项，合理安排保卫人员值班，履行治安保卫职责。</w:t>
            </w:r>
          </w:p>
        </w:tc>
      </w:tr>
      <w:tr w14:paraId="50B9EC9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1040" w:type="dxa"/>
            <w:vAlign w:val="center"/>
          </w:tcPr>
          <w:p w14:paraId="40BDC0B4">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016CC3A">
            <w:pPr>
              <w:widowControl/>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专用条款9.4.8</w:t>
            </w:r>
          </w:p>
        </w:tc>
        <w:tc>
          <w:tcPr>
            <w:tcW w:w="3582" w:type="dxa"/>
            <w:vAlign w:val="center"/>
          </w:tcPr>
          <w:p w14:paraId="1BD6C838">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9.4.8 承包人应切实做好以下环保施工工作：</w:t>
            </w:r>
          </w:p>
          <w:p w14:paraId="081F7857">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（1）严格落实设计文件中有关环保、水保的设计和施工，制定具体的行之有效的环保施工方案；</w:t>
            </w:r>
          </w:p>
          <w:p w14:paraId="5CE467A4">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（2）项目部设立环保监督管理专职岗位，定期对环保、水保施工进行监督检查；</w:t>
            </w:r>
          </w:p>
          <w:p w14:paraId="465AEB21">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（3）认真配合竣工环保、水保验收工作，确保环保、水保设施与主体工程同时施工、同时竣工验收、同时投产；</w:t>
            </w:r>
          </w:p>
          <w:p w14:paraId="091AE3BE">
            <w:pPr>
              <w:rPr>
                <w:highlight w:val="none"/>
              </w:rPr>
            </w:pPr>
            <w:r>
              <w:rPr>
                <w:rFonts w:hint="eastAsia" w:ascii="方正仿宋_GBK" w:hAnsi="方正仿宋_GBK" w:eastAsia="方正仿宋_GBK" w:cs="方正仿宋_GBK"/>
                <w:snapToGrid w:val="0"/>
                <w:kern w:val="0"/>
                <w:sz w:val="18"/>
                <w:szCs w:val="18"/>
                <w:highlight w:val="none"/>
              </w:rPr>
              <w:t>（4）发生污染事故，应及时采取措施，妥善处理，并在发生事故1小时内向发包人报告；发生重大污染事故时，应立即采取措施，及时处理，并在发生事故后立即向发包人报告。</w:t>
            </w:r>
          </w:p>
          <w:p w14:paraId="6AB6A888">
            <w:pPr>
              <w:rPr>
                <w:highlight w:val="none"/>
              </w:rPr>
            </w:pPr>
          </w:p>
          <w:p w14:paraId="027CAD4D">
            <w:pPr>
              <w:rPr>
                <w:highlight w:val="none"/>
              </w:rPr>
            </w:pPr>
          </w:p>
          <w:p w14:paraId="063EC2CC">
            <w:pPr>
              <w:rPr>
                <w:highlight w:val="none"/>
              </w:rPr>
            </w:pPr>
          </w:p>
          <w:p w14:paraId="6D38D147">
            <w:pPr>
              <w:rPr>
                <w:highlight w:val="none"/>
              </w:rPr>
            </w:pPr>
          </w:p>
          <w:p w14:paraId="1E9CAB9A">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35367631">
            <w:pPr>
              <w:adjustRightInd w:val="0"/>
              <w:snapToGrid w:val="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9.4.8修改为：</w:t>
            </w:r>
          </w:p>
          <w:p w14:paraId="3E250E2B">
            <w:pPr>
              <w:adjustRightInd w:val="0"/>
              <w:snapToGrid w:val="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 xml:space="preserve"> 承包人应切实做好以下环保施工工作：</w:t>
            </w:r>
          </w:p>
          <w:p w14:paraId="14538100">
            <w:pPr>
              <w:adjustRightInd w:val="0"/>
              <w:snapToGrid w:val="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（1）严格落实设计文件中有关环保、水保的设计和施工，制定具体的行之有效的环保施工方案；环保方案及环保设施需到当地环保部门进行备案。</w:t>
            </w:r>
          </w:p>
          <w:p w14:paraId="4AB67DB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项目部设立环保水保管理专职岗位，定期对环保、水保施工进行监督检查。承包人应按照《中华人民共和国固体废弃物污染环境防治法》，与当地有资质处理建筑施工、生活垃圾的单位建立联系，及时处理工程建设过程中产生的垃圾并做好相关记录和签证。</w:t>
            </w:r>
          </w:p>
          <w:p w14:paraId="44F3ECB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（3）认真配合竣工环保、水保验收工作，确保环保、水保设施与主体工程同时施工、同时竣工验收、同时投产；</w:t>
            </w:r>
          </w:p>
          <w:p w14:paraId="4C771F2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（4）发生污染事故，应及时采取措施，妥善处理，并在发生事故1小时内向发包人报告；发生重大污染事故时，应立即采取措施，及时处理，并在发生事故后立即向发包人报告。</w:t>
            </w:r>
          </w:p>
          <w:p w14:paraId="624DFE5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（5）针对现场产生的工程建筑垃圾，施工单位应办理建筑垃圾消纳许可证，或委托有资质的单位处理，不得私自掩埋、倾倒。</w:t>
            </w:r>
          </w:p>
          <w:p w14:paraId="05D6FC9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（6）投标人现场踏勘应收集、了解当地环水保特殊要求，工程建设期间产生的生活、生产废水综合治理后应满足当地政府排放要求，相关费用在投标报价时应综合考虑。</w:t>
            </w:r>
          </w:p>
        </w:tc>
      </w:tr>
      <w:tr w14:paraId="5081981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E8F13A7">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shd w:val="clear" w:color="auto" w:fill="auto"/>
            <w:vAlign w:val="center"/>
          </w:tcPr>
          <w:p w14:paraId="02E9498D">
            <w:pPr>
              <w:autoSpaceDE w:val="0"/>
              <w:autoSpaceDN w:val="0"/>
              <w:adjustRightInd w:val="0"/>
              <w:snapToGrid w:val="0"/>
              <w:rPr>
                <w:rFonts w:hint="eastAsia" w:ascii="方正仿宋_GBK" w:hAnsi="方正仿宋_GBK" w:eastAsia="方正仿宋_GBK" w:cs="方正仿宋_GBK"/>
                <w:kern w:val="2"/>
                <w:sz w:val="18"/>
                <w:szCs w:val="18"/>
                <w:highlight w:val="none"/>
                <w:lang w:val="en-US" w:eastAsia="zh-CN" w:bidi="ar-SA"/>
              </w:rPr>
            </w:pPr>
            <w:r>
              <w:rPr>
                <w:rFonts w:hint="eastAsia" w:ascii="方正仿宋_GBK" w:hAnsi="方正仿宋_GBK" w:eastAsia="方正仿宋_GBK" w:cs="方正仿宋_GBK"/>
                <w:kern w:val="2"/>
                <w:sz w:val="18"/>
                <w:szCs w:val="18"/>
                <w:highlight w:val="none"/>
              </w:rPr>
              <w:t>专用条款第9.</w:t>
            </w:r>
            <w:r>
              <w:rPr>
                <w:rFonts w:hint="eastAsia" w:ascii="方正仿宋_GBK" w:hAnsi="方正仿宋_GBK" w:eastAsia="方正仿宋_GBK" w:cs="方正仿宋_GBK"/>
                <w:kern w:val="2"/>
                <w:sz w:val="18"/>
                <w:szCs w:val="18"/>
                <w:highlight w:val="none"/>
                <w:lang w:val="en-US" w:eastAsia="zh-CN"/>
              </w:rPr>
              <w:t>4.11</w:t>
            </w:r>
            <w:r>
              <w:rPr>
                <w:rFonts w:hint="eastAsia" w:ascii="方正仿宋_GBK" w:hAnsi="方正仿宋_GBK" w:eastAsia="方正仿宋_GBK" w:cs="方正仿宋_GBK"/>
                <w:kern w:val="2"/>
                <w:sz w:val="18"/>
                <w:szCs w:val="18"/>
                <w:highlight w:val="none"/>
              </w:rPr>
              <w:t>条</w:t>
            </w:r>
            <w:r>
              <w:rPr>
                <w:rFonts w:hint="eastAsia" w:ascii="方正仿宋_GBK" w:hAnsi="方正仿宋_GBK" w:eastAsia="方正仿宋_GBK" w:cs="方正仿宋_GBK"/>
                <w:kern w:val="2"/>
                <w:sz w:val="18"/>
                <w:szCs w:val="18"/>
                <w:highlight w:val="none"/>
                <w:lang w:eastAsia="zh-CN"/>
              </w:rPr>
              <w:t>（</w:t>
            </w:r>
            <w:r>
              <w:rPr>
                <w:rFonts w:hint="eastAsia" w:ascii="方正仿宋_GBK" w:hAnsi="方正仿宋_GBK" w:eastAsia="方正仿宋_GBK" w:cs="方正仿宋_GBK"/>
                <w:kern w:val="2"/>
                <w:sz w:val="18"/>
                <w:szCs w:val="18"/>
                <w:highlight w:val="none"/>
                <w:lang w:val="en-US" w:eastAsia="zh-CN"/>
              </w:rPr>
              <w:t>新增</w:t>
            </w:r>
            <w:r>
              <w:rPr>
                <w:rFonts w:hint="eastAsia" w:ascii="方正仿宋_GBK" w:hAnsi="方正仿宋_GBK" w:eastAsia="方正仿宋_GBK" w:cs="方正仿宋_GBK"/>
                <w:kern w:val="2"/>
                <w:sz w:val="18"/>
                <w:szCs w:val="18"/>
                <w:highlight w:val="none"/>
                <w:lang w:eastAsia="zh-CN"/>
              </w:rPr>
              <w:t>）</w:t>
            </w:r>
          </w:p>
        </w:tc>
        <w:tc>
          <w:tcPr>
            <w:tcW w:w="3582" w:type="dxa"/>
            <w:shd w:val="clear" w:color="auto" w:fill="auto"/>
            <w:vAlign w:val="center"/>
          </w:tcPr>
          <w:p w14:paraId="5A6B4E7D">
            <w:pPr>
              <w:autoSpaceDE w:val="0"/>
              <w:autoSpaceDN w:val="0"/>
              <w:adjustRightInd w:val="0"/>
              <w:snapToGrid w:val="0"/>
              <w:rPr>
                <w:rFonts w:hint="eastAsia" w:ascii="方正仿宋_GBK" w:hAnsi="方正仿宋_GBK" w:eastAsia="方正仿宋_GBK" w:cs="方正仿宋_GBK"/>
                <w:kern w:val="2"/>
                <w:sz w:val="18"/>
                <w:szCs w:val="18"/>
                <w:highlight w:val="none"/>
                <w:lang w:val="en-US" w:eastAsia="zh-CN" w:bidi="ar-SA"/>
              </w:rPr>
            </w:pPr>
            <w:r>
              <w:rPr>
                <w:rFonts w:hint="eastAsia" w:ascii="方正仿宋_GBK" w:hAnsi="方正仿宋_GBK" w:eastAsia="方正仿宋_GBK" w:cs="方正仿宋_GBK"/>
                <w:kern w:val="2"/>
                <w:sz w:val="18"/>
                <w:szCs w:val="18"/>
                <w:highlight w:val="none"/>
                <w:lang w:val="en-US" w:eastAsia="zh-CN"/>
              </w:rPr>
              <w:t>无</w:t>
            </w:r>
          </w:p>
        </w:tc>
        <w:tc>
          <w:tcPr>
            <w:tcW w:w="4455" w:type="dxa"/>
            <w:shd w:val="clear" w:color="auto" w:fill="auto"/>
            <w:vAlign w:val="center"/>
          </w:tcPr>
          <w:p w14:paraId="39913286">
            <w:pPr>
              <w:autoSpaceDE w:val="0"/>
              <w:autoSpaceDN w:val="0"/>
              <w:adjustRightInd w:val="0"/>
              <w:snapToGrid w:val="0"/>
              <w:rPr>
                <w:rFonts w:hint="eastAsia" w:ascii="方正仿宋_GBK" w:hAnsi="方正仿宋_GBK" w:eastAsia="方正仿宋_GBK" w:cs="方正仿宋_GBK"/>
                <w:kern w:val="2"/>
                <w:sz w:val="18"/>
                <w:szCs w:val="18"/>
                <w:highlight w:val="none"/>
                <w:lang w:val="en-US" w:eastAsia="zh-CN" w:bidi="ar-SA"/>
              </w:rPr>
            </w:pPr>
            <w:r>
              <w:rPr>
                <w:rFonts w:hint="eastAsia" w:ascii="方正仿宋_GBK" w:hAnsi="方正仿宋_GBK" w:eastAsia="方正仿宋_GBK" w:cs="方正仿宋_GBK"/>
                <w:sz w:val="18"/>
                <w:szCs w:val="18"/>
                <w:highlight w:val="none"/>
              </w:rPr>
              <w:t>9.4.11承包人应接受国网特高压公司组织的环水保监督，施工期间接到国网特高压公司下发的问题督办单，承包人应按问题督办单相关要求开展整改，同时承包人应向发包人承担相应环水保违约罚则。</w:t>
            </w:r>
          </w:p>
        </w:tc>
      </w:tr>
      <w:tr w14:paraId="44249B4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E8DAD10">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C2D75D2">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3139EA2F">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9.6</w:t>
            </w:r>
          </w:p>
        </w:tc>
        <w:tc>
          <w:tcPr>
            <w:tcW w:w="3582" w:type="dxa"/>
            <w:vAlign w:val="center"/>
          </w:tcPr>
          <w:p w14:paraId="731416A2">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9.6 安全文明施工费（增加）：</w:t>
            </w:r>
          </w:p>
          <w:p w14:paraId="2E2EBBD4">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9.6.1 安全文明施工费计入合同价。此项费用由承包人提出申请，经监理人审核，发包人批准后，规范、足额使用，专款专用。</w:t>
            </w:r>
          </w:p>
          <w:p w14:paraId="11C68EBC">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9.6.2 安全文明施工费的支付：</w:t>
            </w:r>
          </w:p>
          <w:p w14:paraId="207681E0">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承包人根据施工组织设计、专项施工方案中的安全措施安排以及按相关规定作出的策划，列出安全文明施工费的使用计划，报监理人审核、发包人批准；在工程建设过程中，发包人及监理人对承包人施工组织设计及专项施工方案中的安全措施以及文明施工措施的落实情况进行监督。</w:t>
            </w:r>
          </w:p>
          <w:p w14:paraId="7FC0CFD4">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承包人根据安全措施以及文明施工策划的实施情况，向发包人提出支付申请，监理人根据实际情况进行核实并签署意见，经过监理人确认并经发包人批准后将安全文明施工费分批支付。若承包人未落实或完全落实施工安全措施和文明施工策划，监理人有权责令其立即整改，对承包人拒不整改或不及时整改的，监理人应拒绝核签支付申请，并及时向发包人报告，提出下达停工令建议，发包人签署停工令，直至承包人整改到位。</w:t>
            </w:r>
          </w:p>
          <w:p w14:paraId="7E3F6067">
            <w:pPr>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(3)承包人对安全文明施工费应专款专用，承包人应在财务账目中单独列项备查，不得挪作他用，否则发包人有权责令其限期改正；逾期未改正的，可以责令其暂停施工，由此增加的费用和（或）延误的工期由承包人承担。</w:t>
            </w:r>
          </w:p>
        </w:tc>
        <w:tc>
          <w:tcPr>
            <w:tcW w:w="4455" w:type="dxa"/>
            <w:vAlign w:val="center"/>
          </w:tcPr>
          <w:p w14:paraId="7AB79C3D">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9.6 安全文明施工费（增加）修改为：</w:t>
            </w:r>
          </w:p>
          <w:p w14:paraId="77F09FBA">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9.6.1安全文明施工费按照《国网（基建3）187-2019  国家电网有限公司输变电工程安全文明施工标准化管理办法》执行，由承包人提出申请，经监理人审核，发包人批准后，规范、足额使用，专款专用。</w:t>
            </w:r>
          </w:p>
          <w:p w14:paraId="2D8595B8">
            <w:pPr>
              <w:widowControl/>
              <w:adjustRightInd w:val="0"/>
              <w:snapToGrid w:val="0"/>
              <w:jc w:val="left"/>
              <w:rPr>
                <w:rFonts w:ascii="方正仿宋_GBK" w:hAnsi="方正仿宋_GBK" w:eastAsia="方正仿宋_GBK" w:cs="方正仿宋_GBK"/>
                <w:sz w:val="18"/>
                <w:szCs w:val="18"/>
                <w:highlight w:val="none"/>
              </w:rPr>
            </w:pPr>
          </w:p>
          <w:p w14:paraId="4423C673">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9.6.2不适用。</w:t>
            </w:r>
          </w:p>
        </w:tc>
      </w:tr>
      <w:tr w14:paraId="50981AB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0D1C0B5">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58BD851">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294BF674">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9.8.2</w:t>
            </w:r>
          </w:p>
        </w:tc>
        <w:tc>
          <w:tcPr>
            <w:tcW w:w="3582" w:type="dxa"/>
            <w:vAlign w:val="center"/>
          </w:tcPr>
          <w:p w14:paraId="0C37FAD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9.8.2 安全考核违约金</w:t>
            </w:r>
          </w:p>
          <w:p w14:paraId="4A07341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违反合同对安全文明施工、保卫及环境保护的有关规定，出现安全事故或不满足安全文明施工管理要求的情况时，应向发包人支付安全考核违约金。发包人将在事实清楚的前提下，书面通知承包人扣款金额；日常检查中发包人扣款时，将开具扣款通知单，可在进行合同价款结算时依据存根汇总后，书面通知承包人后扣除。所扣款项以合同约定的数额为限，在合同结算时执行。支付安全违约金并不减轻或免除承包人的安全文明施工责任。</w:t>
            </w:r>
          </w:p>
          <w:p w14:paraId="0A26ED4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安全考核违约金标准如下：</w:t>
            </w:r>
          </w:p>
          <w:p w14:paraId="7B42242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（1）发生重大安全事故（二级及以上人身、电网、设备安全事件）或人身死亡事故（四级及以上人身安全事件），违约金为签约合同价的2%。</w:t>
            </w:r>
          </w:p>
          <w:p w14:paraId="7072D73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（2）发生人身重伤事故（四级及以上人身安全事件），1人•次违约金为签约合同价的6‰、2人•次违约金为签约合同价的1.2%、3人•次及以上违约金为签约合同价的2%。</w:t>
            </w:r>
          </w:p>
          <w:p w14:paraId="07AF09E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（3）发生设备事故或火灾事故或负主要责任的交通事故，视事故的性质和严重程度，违约金为签约合同价的4‰～2%。</w:t>
            </w:r>
          </w:p>
          <w:p w14:paraId="78A8E72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（4）发生因工程建设而造成的电网停电事故，视事故影响的大小和严重程度，违约金为签约合同价的4‰～2%。</w:t>
            </w:r>
          </w:p>
          <w:p w14:paraId="204261FE">
            <w:pPr>
              <w:rPr>
                <w:highlight w:val="none"/>
              </w:rPr>
            </w:pPr>
            <w:r>
              <w:rPr>
                <w:rFonts w:hint="eastAsia" w:ascii="方正仿宋_GBK" w:hAnsi="方正仿宋_GBK" w:eastAsia="方正仿宋_GBK" w:cs="方正仿宋_GBK"/>
                <w:sz w:val="18"/>
                <w:szCs w:val="18"/>
                <w:highlight w:val="none"/>
              </w:rPr>
              <w:t>（5）发包人组织安全监督检查时，未能达到标准要求的，每次违约金为签约合同价的2‰。</w:t>
            </w:r>
          </w:p>
          <w:p w14:paraId="0C8E027E">
            <w:pPr>
              <w:rPr>
                <w:highlight w:val="none"/>
              </w:rPr>
            </w:pPr>
          </w:p>
          <w:p w14:paraId="7DFB1082">
            <w:pPr>
              <w:rPr>
                <w:highlight w:val="none"/>
              </w:rPr>
            </w:pPr>
          </w:p>
          <w:p w14:paraId="509515A7">
            <w:pPr>
              <w:rPr>
                <w:highlight w:val="none"/>
              </w:rPr>
            </w:pPr>
          </w:p>
          <w:p w14:paraId="5D4E29CC">
            <w:pPr>
              <w:rPr>
                <w:highlight w:val="none"/>
              </w:rPr>
            </w:pPr>
          </w:p>
          <w:p w14:paraId="7411B471">
            <w:pPr>
              <w:rPr>
                <w:highlight w:val="none"/>
              </w:rPr>
            </w:pPr>
          </w:p>
          <w:p w14:paraId="1549C676">
            <w:pPr>
              <w:rPr>
                <w:highlight w:val="none"/>
              </w:rPr>
            </w:pPr>
          </w:p>
          <w:p w14:paraId="386C00E1">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25847B0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9.8.2 安全考核违约金</w:t>
            </w:r>
          </w:p>
          <w:p w14:paraId="7E0E858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违反合同对安全文明施工、保卫及环境保护的有关规定，出现安全事故或不满足安全文明施工管理要求的情况时，应向发包人支付安全考核违约金。发包人将在事实清楚的前提下，书面通知承包人扣款金额；日常检查中发包人扣款时，将开具扣款通知单，可在进行合同价款结算时依据存根汇总后，书面通知承包人后扣除。所扣款项以合同约定的数额为限，在合同结算时执行。支付安全违约金并不减轻或免除承包人的安全文明施工责任。</w:t>
            </w:r>
          </w:p>
          <w:p w14:paraId="7C8C120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安全考核违约金标准如下：</w:t>
            </w:r>
          </w:p>
          <w:p w14:paraId="5AC42CB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（1）发生重大安全事故（二级及以上人身、电网、设备安全事件）或人身死亡事故（四级及以上人身安全事件），违约金为签约合同价的2%。</w:t>
            </w:r>
          </w:p>
          <w:p w14:paraId="003783A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（2）发生人身重伤事故（四级及以上人身安全事件），1人•次违约金为签约合同价的6‰、2人•次违约金为签约合同价的1.2%、3人•次及以上违约金为签约合同价的2%。</w:t>
            </w:r>
          </w:p>
          <w:p w14:paraId="52EA4E1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（3）发生设备事故或火灾事故或负主要责任的交通事故，视事故的性质和严重程度，违约金为签约合同价的4‰～2%。</w:t>
            </w:r>
          </w:p>
          <w:p w14:paraId="2B7FC45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（4）发生因工程建设而造成的电网停电事故，视事故影响的大小和严重程度，违约金为签约合同价的4‰～2%。</w:t>
            </w:r>
          </w:p>
          <w:p w14:paraId="19C202D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（5）发包人及政府部门组织安全监督检查时，未能达到标准要求的，每次违约金为签约合同价的2‰。</w:t>
            </w:r>
          </w:p>
          <w:p w14:paraId="0F9EC92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发生因工程建设引起的六级及以上电网及设备安全事件每次支付签约合同价0.75%的安全违约金；发生六级以上、四级以下人身事件每次支付签约合同价0.75%的安全违约金；发生六级及以上施工机械设备事件每次支付签约合同价0.75%的安全违约金。</w:t>
            </w:r>
          </w:p>
          <w:p w14:paraId="1246CEBA">
            <w:pPr>
              <w:snapToGrid/>
              <w:spacing w:before="0" w:after="0" w:line="240" w:lineRule="auto"/>
              <w:ind w:left="0" w:right="0"/>
              <w:jc w:val="left"/>
              <w:rPr>
                <w:highlight w:val="none"/>
              </w:rPr>
            </w:pPr>
            <w:r>
              <w:rPr>
                <w:rFonts w:ascii="方正仿宋_GBK" w:hAnsi="方正仿宋_GBK" w:eastAsia="方正仿宋_GBK" w:cs="方正仿宋_GBK"/>
                <w:i w:val="0"/>
                <w:strike w:val="0"/>
                <w:color w:val="000000"/>
                <w:sz w:val="18"/>
                <w:highlight w:val="none"/>
                <w:u w:val="none"/>
              </w:rPr>
              <w:t>（7）发生国家电网公司查出的严重违章或重大安全隐患，包括现场安全督查和远程视频督查，每</w:t>
            </w:r>
            <w:r>
              <w:rPr>
                <w:rFonts w:hint="eastAsia" w:ascii="方正仿宋_GBK" w:hAnsi="方正仿宋_GBK" w:eastAsia="方正仿宋_GBK" w:cs="方正仿宋_GBK"/>
                <w:i w:val="0"/>
                <w:strike w:val="0"/>
                <w:color w:val="000000"/>
                <w:sz w:val="18"/>
                <w:highlight w:val="none"/>
                <w:u w:val="none"/>
              </w:rPr>
              <w:t>项</w:t>
            </w:r>
            <w:r>
              <w:rPr>
                <w:rFonts w:ascii="方正仿宋_GBK" w:hAnsi="方正仿宋_GBK" w:eastAsia="方正仿宋_GBK" w:cs="方正仿宋_GBK"/>
                <w:i w:val="0"/>
                <w:strike w:val="0"/>
                <w:color w:val="000000"/>
                <w:sz w:val="18"/>
                <w:highlight w:val="none"/>
                <w:u w:val="none"/>
              </w:rPr>
              <w:t>违约金为签约合同价的0.2%，并在年度及季度资信评价中按五级安全事件扣除分数。</w:t>
            </w:r>
          </w:p>
          <w:p w14:paraId="6A96030B">
            <w:pPr>
              <w:snapToGrid/>
              <w:spacing w:before="0" w:after="0" w:line="240" w:lineRule="auto"/>
              <w:ind w:left="0" w:right="0"/>
              <w:jc w:val="left"/>
              <w:rPr>
                <w:highlight w:val="none"/>
              </w:rPr>
            </w:pPr>
            <w:r>
              <w:rPr>
                <w:rFonts w:ascii="方正仿宋_GBK" w:hAnsi="方正仿宋_GBK" w:eastAsia="方正仿宋_GBK" w:cs="方正仿宋_GBK"/>
                <w:i w:val="0"/>
                <w:strike w:val="0"/>
                <w:color w:val="000000"/>
                <w:sz w:val="18"/>
                <w:highlight w:val="none"/>
                <w:u w:val="none"/>
              </w:rPr>
              <w:t>（8）发生国家电网公司查出的一般违章累计达到3次或3项后，每次违约金为签约合同价的0.1%，并在年度及季度资信评价中按七级安全事件扣除分数。</w:t>
            </w:r>
          </w:p>
          <w:p w14:paraId="553B2F7C">
            <w:pPr>
              <w:snapToGrid w:val="0"/>
              <w:spacing w:before="0" w:after="0" w:line="240" w:lineRule="auto"/>
              <w:ind w:left="0" w:right="0"/>
              <w:jc w:val="left"/>
              <w:rPr>
                <w:highlight w:val="none"/>
              </w:rPr>
            </w:pPr>
            <w:r>
              <w:rPr>
                <w:rFonts w:ascii="方正仿宋_GBK" w:hAnsi="方正仿宋_GBK" w:eastAsia="方正仿宋_GBK" w:cs="方正仿宋_GBK"/>
                <w:i w:val="0"/>
                <w:strike w:val="0"/>
                <w:color w:val="000000"/>
                <w:sz w:val="18"/>
                <w:highlight w:val="none"/>
                <w:u w:val="none"/>
              </w:rPr>
              <w:t>（9）发生省公司和公司查处的严重违章，包括现场安全督查和远程视频督查，每项违约金为签订合同价的0.1%；</w:t>
            </w:r>
          </w:p>
          <w:p w14:paraId="1B1A7D10">
            <w:pPr>
              <w:snapToGrid w:val="0"/>
              <w:spacing w:line="360" w:lineRule="exact"/>
              <w:jc w:val="left"/>
              <w:rPr>
                <w:rFonts w:ascii="方正仿宋_GBK" w:hAnsi="方正仿宋_GBK" w:eastAsia="方正仿宋_GBK" w:cs="方正仿宋_GBK"/>
                <w:color w:val="000000" w:themeColor="text1"/>
                <w:highlight w:val="none"/>
                <w14:textFill>
                  <w14:solidFill>
                    <w14:schemeClr w14:val="tx1"/>
                  </w14:solidFill>
                </w14:textFill>
              </w:rPr>
            </w:pPr>
            <w:r>
              <w:rPr>
                <w:rFonts w:ascii="方正仿宋_GBK" w:hAnsi="方正仿宋_GBK" w:eastAsia="方正仿宋_GBK" w:cs="方正仿宋_GBK"/>
                <w:i w:val="0"/>
                <w:strike w:val="0"/>
                <w:color w:val="000000"/>
                <w:sz w:val="18"/>
                <w:highlight w:val="none"/>
                <w:u w:val="none"/>
              </w:rPr>
              <w:t>（10）发生省公司和公司查处的一般违章，包括现场安全督查和远程视频督查，累计每5项违约金为签订合同价的0.1%，并在年度及季度资信评价中按七级安全事件扣除分数。</w:t>
            </w:r>
          </w:p>
        </w:tc>
      </w:tr>
      <w:tr w14:paraId="73E251A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6CB3A31">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13D825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5AFB06B8">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9.10.2</w:t>
            </w:r>
          </w:p>
        </w:tc>
        <w:tc>
          <w:tcPr>
            <w:tcW w:w="3582" w:type="dxa"/>
            <w:vAlign w:val="center"/>
          </w:tcPr>
          <w:p w14:paraId="1DA34C4E">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对现场常驻人员实施“一人一卡”实名制全程管控，每人配备一张加密“国网芯”信息卡；对现场作业实施“一点一机”全覆盖信息管控，为项目部、作业班组配备经注册的终端机；强化施工安全风险分级管控，三级及以上风险作业应使用施工风险作业监控平台，确保施工现场风险管控措施落实情况和人员到岗到位情况的实时、可视化管理（变电工程适用）。</w:t>
            </w:r>
          </w:p>
        </w:tc>
        <w:tc>
          <w:tcPr>
            <w:tcW w:w="4455" w:type="dxa"/>
          </w:tcPr>
          <w:p w14:paraId="22AB1719">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对现场常驻人员实施“一人一卡”实名制全程管控，每人配备一张加密“国网芯”信息卡；对现场作业实施“一点一机”全覆盖信息管控，为项目部、作业班组配备经注册的终端机；强化施工安全风险分级管控，应配备相关监控设备及流量卡，严格落实作业现场视频监控要求，实现五级以上作业风险全覆盖、三级及以上风险作业配置专用布控球，布控球应具备“一发多收”、APN等接入公司施工风险作业监控平台的功能，确保施工现场风险管控措施落实情况和人员到岗到位情况的实时、可视化管理（变电工程适用）。</w:t>
            </w:r>
          </w:p>
        </w:tc>
      </w:tr>
      <w:tr w14:paraId="610FC7B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19490EC">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5E8DB009">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专用</w:t>
            </w:r>
            <w:r>
              <w:rPr>
                <w:rStyle w:val="41"/>
                <w:rFonts w:hint="default"/>
                <w:color w:val="auto"/>
                <w:sz w:val="18"/>
                <w:szCs w:val="18"/>
                <w:highlight w:val="none"/>
              </w:rPr>
              <w:t xml:space="preserve">9.12 </w:t>
            </w:r>
          </w:p>
        </w:tc>
        <w:tc>
          <w:tcPr>
            <w:tcW w:w="3582" w:type="dxa"/>
            <w:vAlign w:val="center"/>
          </w:tcPr>
          <w:p w14:paraId="1BC67D6C">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9.12 （增加）：</w:t>
            </w:r>
          </w:p>
          <w:p w14:paraId="786ACAC5">
            <w:pPr>
              <w:rPr>
                <w:highlight w:val="none"/>
              </w:rPr>
            </w:pPr>
            <w:r>
              <w:rPr>
                <w:rStyle w:val="41"/>
                <w:rFonts w:hint="default"/>
                <w:color w:val="auto"/>
                <w:sz w:val="18"/>
                <w:szCs w:val="18"/>
                <w:highlight w:val="none"/>
              </w:rPr>
              <w:t>关于安全文明施工、保卫、水土保持和环境保护的其他约定：</w:t>
            </w:r>
          </w:p>
          <w:p w14:paraId="30AE156D">
            <w:pPr>
              <w:rPr>
                <w:highlight w:val="none"/>
              </w:rPr>
            </w:pPr>
          </w:p>
          <w:p w14:paraId="74D88D14">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ermStart w:id="8" w:edGrp="everyone"/>
            <w:permEnd w:id="8"/>
            <w:r>
              <w:rPr>
                <w:rStyle w:val="41"/>
                <w:rFonts w:hint="default"/>
                <w:color w:val="auto"/>
                <w:sz w:val="18"/>
                <w:szCs w:val="18"/>
                <w:highlight w:val="none"/>
              </w:rPr>
              <w:t>。</w:t>
            </w:r>
          </w:p>
        </w:tc>
        <w:tc>
          <w:tcPr>
            <w:tcW w:w="4455" w:type="dxa"/>
          </w:tcPr>
          <w:p w14:paraId="19DE1AB4">
            <w:pPr>
              <w:widowControl/>
              <w:autoSpaceDE w:val="0"/>
              <w:adjustRightInd w:val="0"/>
              <w:snapToGrid w:val="0"/>
              <w:spacing w:line="300" w:lineRule="auto"/>
              <w:textAlignment w:val="center"/>
              <w:rPr>
                <w:rFonts w:hint="default"/>
                <w:color w:val="auto"/>
                <w:sz w:val="18"/>
                <w:szCs w:val="18"/>
                <w:highlight w:val="none"/>
              </w:rPr>
            </w:pPr>
            <w:r>
              <w:rPr>
                <w:rFonts w:hint="eastAsia" w:ascii="方正仿宋_GBK" w:hAnsi="方正仿宋_GBK" w:eastAsia="方正仿宋_GBK" w:cs="方正仿宋_GBK"/>
                <w:highlight w:val="none"/>
              </w:rPr>
              <w:t>增加：</w:t>
            </w:r>
            <w:r>
              <w:rPr>
                <w:rFonts w:hint="eastAsia" w:ascii="方正仿宋_GBK" w:hAnsi="方正仿宋_GBK" w:eastAsia="方正仿宋_GBK" w:cs="方正仿宋_GBK"/>
                <w:highlight w:val="none"/>
              </w:rPr>
              <w:br w:type="textWrapping"/>
            </w:r>
            <w:r>
              <w:rPr>
                <w:rStyle w:val="41"/>
                <w:rFonts w:hint="default"/>
                <w:color w:val="auto"/>
                <w:sz w:val="18"/>
                <w:szCs w:val="18"/>
                <w:highlight w:val="none"/>
              </w:rPr>
              <w:t>9.12.1环境保护</w:t>
            </w:r>
          </w:p>
          <w:p w14:paraId="07E67514">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9.12.1.1环境保护施工要求</w:t>
            </w:r>
            <w:r>
              <w:rPr>
                <w:rStyle w:val="41"/>
                <w:rFonts w:hint="default"/>
                <w:color w:val="auto"/>
                <w:sz w:val="18"/>
                <w:szCs w:val="18"/>
                <w:highlight w:val="none"/>
              </w:rPr>
              <w:br w:type="textWrapping"/>
            </w:r>
            <w:r>
              <w:rPr>
                <w:rStyle w:val="41"/>
                <w:rFonts w:hint="default"/>
                <w:color w:val="auto"/>
                <w:sz w:val="18"/>
                <w:szCs w:val="18"/>
                <w:highlight w:val="none"/>
              </w:rPr>
              <w:t>9.12.1.1.1严格按照经批复的环境影响报告书（表）和本合同约定组织施工，制定详细的环境保护管理策划文件和环保专项施工方案，并报监理单位审查、业主单位审批。</w:t>
            </w:r>
            <w:r>
              <w:rPr>
                <w:rStyle w:val="41"/>
                <w:rFonts w:hint="default"/>
                <w:color w:val="auto"/>
                <w:sz w:val="18"/>
                <w:szCs w:val="18"/>
                <w:highlight w:val="none"/>
              </w:rPr>
              <w:br w:type="textWrapping"/>
            </w:r>
            <w:r>
              <w:rPr>
                <w:rStyle w:val="41"/>
                <w:rFonts w:hint="default"/>
                <w:color w:val="auto"/>
                <w:sz w:val="18"/>
                <w:szCs w:val="18"/>
                <w:highlight w:val="none"/>
              </w:rPr>
              <w:t>9.12.1.1.2按照批准的环境保护管理策划文件和环保专项施工方案，合理安排施工顺序和施工工艺，确保施工期环境得到有效防护，特别是位于生态敏感区内的施工标段。</w:t>
            </w:r>
            <w:r>
              <w:rPr>
                <w:rStyle w:val="41"/>
                <w:rFonts w:hint="default"/>
                <w:color w:val="auto"/>
                <w:sz w:val="18"/>
                <w:szCs w:val="18"/>
                <w:highlight w:val="none"/>
              </w:rPr>
              <w:br w:type="textWrapping"/>
            </w:r>
            <w:r>
              <w:rPr>
                <w:rStyle w:val="41"/>
                <w:rFonts w:hint="default"/>
                <w:color w:val="auto"/>
                <w:sz w:val="18"/>
                <w:szCs w:val="18"/>
                <w:highlight w:val="none"/>
              </w:rPr>
              <w:t>9.12.1.1.3 负责采购、安装和维护环境保护设施设备，确保其正常运行和使用，确保“三同时”的有效推进。</w:t>
            </w:r>
            <w:r>
              <w:rPr>
                <w:rStyle w:val="41"/>
                <w:rFonts w:hint="default"/>
                <w:color w:val="auto"/>
                <w:sz w:val="18"/>
                <w:szCs w:val="18"/>
                <w:highlight w:val="none"/>
              </w:rPr>
              <w:br w:type="textWrapping"/>
            </w:r>
            <w:r>
              <w:rPr>
                <w:rStyle w:val="41"/>
                <w:rFonts w:hint="default"/>
                <w:color w:val="auto"/>
                <w:sz w:val="18"/>
                <w:szCs w:val="18"/>
                <w:highlight w:val="none"/>
              </w:rPr>
              <w:t>9.12.1.1.4 施工过程中应按照环境影响报告书和环境保护专项设计说明的要求，采取有效的防护措施，防止施工过程中的大气污染、水污染、土壤污染、噪声污染、固体废弃物乱丢乱弃等情况的发生，确保达标排放，确保环境保护临时措施费的专款专用。</w:t>
            </w:r>
            <w:r>
              <w:rPr>
                <w:rStyle w:val="41"/>
                <w:rFonts w:hint="default"/>
                <w:color w:val="auto"/>
                <w:sz w:val="18"/>
                <w:szCs w:val="18"/>
                <w:highlight w:val="none"/>
              </w:rPr>
              <w:br w:type="textWrapping"/>
            </w:r>
            <w:r>
              <w:rPr>
                <w:rStyle w:val="41"/>
                <w:rFonts w:hint="default"/>
                <w:color w:val="auto"/>
                <w:sz w:val="18"/>
                <w:szCs w:val="18"/>
                <w:highlight w:val="none"/>
              </w:rPr>
              <w:t>9.12.1.1.5 配合建设单位和相关部门开展的环境保护检查、环境保护验收、“回头看”等监督检查工作，提供必要的资料和条件。</w:t>
            </w:r>
            <w:r>
              <w:rPr>
                <w:rStyle w:val="41"/>
                <w:rFonts w:hint="default"/>
                <w:color w:val="auto"/>
                <w:sz w:val="18"/>
                <w:szCs w:val="18"/>
                <w:highlight w:val="none"/>
              </w:rPr>
              <w:br w:type="textWrapping"/>
            </w:r>
            <w:r>
              <w:rPr>
                <w:rStyle w:val="41"/>
                <w:rFonts w:hint="default"/>
                <w:color w:val="auto"/>
                <w:sz w:val="18"/>
                <w:szCs w:val="18"/>
                <w:highlight w:val="none"/>
              </w:rPr>
              <w:t>9.12.1.2 对施工过程中产生的弃渣、废包装物等建筑垃圾和生活垃圾进行妥善处理，按照指定的地点堆放或处置，避免随意倾倒造成水土流失。</w:t>
            </w:r>
            <w:r>
              <w:rPr>
                <w:rStyle w:val="41"/>
                <w:rFonts w:hint="default"/>
                <w:color w:val="auto"/>
                <w:sz w:val="18"/>
                <w:szCs w:val="18"/>
                <w:highlight w:val="none"/>
              </w:rPr>
              <w:br w:type="textWrapping"/>
            </w:r>
            <w:r>
              <w:rPr>
                <w:rStyle w:val="41"/>
                <w:rFonts w:hint="default"/>
                <w:color w:val="auto"/>
                <w:sz w:val="18"/>
                <w:szCs w:val="18"/>
                <w:highlight w:val="none"/>
              </w:rPr>
              <w:t>9.12.1.3 若施工现场出现环境保护异常情况和重大问题，发包人将向承包人发送整改通知单，限期整改。</w:t>
            </w:r>
            <w:r>
              <w:rPr>
                <w:rStyle w:val="41"/>
                <w:rFonts w:hint="default"/>
                <w:color w:val="auto"/>
                <w:sz w:val="18"/>
                <w:szCs w:val="18"/>
                <w:highlight w:val="none"/>
              </w:rPr>
              <w:br w:type="textWrapping"/>
            </w:r>
            <w:r>
              <w:rPr>
                <w:rStyle w:val="41"/>
                <w:rFonts w:hint="default"/>
                <w:color w:val="auto"/>
                <w:sz w:val="18"/>
                <w:szCs w:val="18"/>
                <w:highlight w:val="none"/>
              </w:rPr>
              <w:t>9.12.1.4 接受</w:t>
            </w:r>
            <w:r>
              <w:rPr>
                <w:rStyle w:val="41"/>
                <w:rFonts w:hint="eastAsia" w:eastAsia="方正仿宋_GBK"/>
                <w:color w:val="auto"/>
                <w:sz w:val="18"/>
                <w:szCs w:val="18"/>
                <w:highlight w:val="none"/>
                <w:lang w:val="en-US" w:eastAsia="zh-CN"/>
              </w:rPr>
              <w:t>发包人</w:t>
            </w:r>
            <w:r>
              <w:rPr>
                <w:rStyle w:val="41"/>
                <w:rFonts w:hint="default"/>
                <w:color w:val="auto"/>
                <w:sz w:val="18"/>
                <w:szCs w:val="18"/>
                <w:highlight w:val="none"/>
              </w:rPr>
              <w:t>的监督检查，对</w:t>
            </w:r>
            <w:r>
              <w:rPr>
                <w:rStyle w:val="41"/>
                <w:rFonts w:hint="eastAsia" w:eastAsia="方正仿宋_GBK"/>
                <w:color w:val="auto"/>
                <w:sz w:val="18"/>
                <w:szCs w:val="18"/>
                <w:highlight w:val="none"/>
                <w:lang w:val="en-US" w:eastAsia="zh-CN"/>
              </w:rPr>
              <w:t>发包人</w:t>
            </w:r>
            <w:r>
              <w:rPr>
                <w:rStyle w:val="41"/>
                <w:rFonts w:hint="default"/>
                <w:color w:val="auto"/>
                <w:sz w:val="18"/>
                <w:szCs w:val="18"/>
                <w:highlight w:val="none"/>
              </w:rPr>
              <w:t>提出的整改意见应认真落实整改。</w:t>
            </w:r>
            <w:r>
              <w:rPr>
                <w:rStyle w:val="41"/>
                <w:rFonts w:hint="default"/>
                <w:color w:val="auto"/>
                <w:sz w:val="18"/>
                <w:szCs w:val="18"/>
                <w:highlight w:val="none"/>
              </w:rPr>
              <w:br w:type="textWrapping"/>
            </w:r>
            <w:r>
              <w:rPr>
                <w:rStyle w:val="41"/>
                <w:rFonts w:hint="default"/>
                <w:color w:val="auto"/>
                <w:sz w:val="18"/>
                <w:szCs w:val="18"/>
                <w:highlight w:val="none"/>
              </w:rPr>
              <w:t>9.12.2水土保持</w:t>
            </w:r>
            <w:r>
              <w:rPr>
                <w:rStyle w:val="41"/>
                <w:rFonts w:hint="default"/>
                <w:color w:val="auto"/>
                <w:sz w:val="18"/>
                <w:szCs w:val="18"/>
                <w:highlight w:val="none"/>
              </w:rPr>
              <w:br w:type="textWrapping"/>
            </w:r>
            <w:r>
              <w:rPr>
                <w:rStyle w:val="41"/>
                <w:rFonts w:hint="default"/>
                <w:color w:val="auto"/>
                <w:sz w:val="18"/>
                <w:szCs w:val="18"/>
                <w:highlight w:val="none"/>
              </w:rPr>
              <w:t>9.12.2.1 水土保持施工要求</w:t>
            </w:r>
            <w:r>
              <w:rPr>
                <w:rStyle w:val="41"/>
                <w:rFonts w:hint="default"/>
                <w:color w:val="auto"/>
                <w:sz w:val="18"/>
                <w:szCs w:val="18"/>
                <w:highlight w:val="none"/>
              </w:rPr>
              <w:br w:type="textWrapping"/>
            </w:r>
            <w:r>
              <w:rPr>
                <w:rStyle w:val="41"/>
                <w:rFonts w:hint="default"/>
                <w:color w:val="auto"/>
                <w:sz w:val="18"/>
                <w:szCs w:val="18"/>
                <w:highlight w:val="none"/>
              </w:rPr>
              <w:t>9.12.2.1.1 严格按照经批复的水土保持方案和本合同约定组织施工，制定详细的水土保持实施计划，并报建设单位和监理单位备案。</w:t>
            </w:r>
            <w:r>
              <w:rPr>
                <w:rStyle w:val="41"/>
                <w:rFonts w:hint="default"/>
                <w:color w:val="auto"/>
                <w:sz w:val="18"/>
                <w:szCs w:val="18"/>
                <w:highlight w:val="none"/>
              </w:rPr>
              <w:br w:type="textWrapping"/>
            </w:r>
            <w:r>
              <w:rPr>
                <w:rStyle w:val="41"/>
                <w:rFonts w:hint="default"/>
                <w:color w:val="auto"/>
                <w:sz w:val="18"/>
                <w:szCs w:val="18"/>
                <w:highlight w:val="none"/>
              </w:rPr>
              <w:t>9.12.2.1.2 按照批准的施工组织设计，合理安排施工顺序和施工工艺，尽量减少对原地貌、植被的扰动和破坏。</w:t>
            </w:r>
            <w:r>
              <w:rPr>
                <w:rStyle w:val="41"/>
                <w:rFonts w:hint="default"/>
                <w:color w:val="auto"/>
                <w:sz w:val="18"/>
                <w:szCs w:val="18"/>
                <w:highlight w:val="none"/>
              </w:rPr>
              <w:br w:type="textWrapping"/>
            </w:r>
            <w:r>
              <w:rPr>
                <w:rStyle w:val="41"/>
                <w:rFonts w:hint="default"/>
                <w:color w:val="auto"/>
                <w:sz w:val="18"/>
                <w:szCs w:val="18"/>
                <w:highlight w:val="none"/>
              </w:rPr>
              <w:t>9.12.2.1.3 负责采购、安装和维护水土保持设施设备，确保其正常运行和使用。</w:t>
            </w:r>
            <w:r>
              <w:rPr>
                <w:rStyle w:val="41"/>
                <w:rFonts w:hint="default"/>
                <w:color w:val="auto"/>
                <w:sz w:val="18"/>
                <w:szCs w:val="18"/>
                <w:highlight w:val="none"/>
              </w:rPr>
              <w:br w:type="textWrapping"/>
            </w:r>
            <w:r>
              <w:rPr>
                <w:rStyle w:val="41"/>
                <w:rFonts w:hint="default"/>
                <w:color w:val="auto"/>
                <w:sz w:val="18"/>
                <w:szCs w:val="18"/>
                <w:highlight w:val="none"/>
              </w:rPr>
              <w:t>9.12.2.1.4 采取有效的防护措施，防止施工过程中的水土流失、土壤扰动和植被破坏等情况的发生，如修建临时排水设施、设置拦挡设施、进行表土剥离和保存等。</w:t>
            </w:r>
            <w:r>
              <w:rPr>
                <w:rStyle w:val="41"/>
                <w:rFonts w:hint="default"/>
                <w:color w:val="auto"/>
                <w:sz w:val="18"/>
                <w:szCs w:val="18"/>
                <w:highlight w:val="none"/>
              </w:rPr>
              <w:br w:type="textWrapping"/>
            </w:r>
            <w:r>
              <w:rPr>
                <w:rStyle w:val="41"/>
                <w:rFonts w:hint="default"/>
                <w:color w:val="auto"/>
                <w:sz w:val="18"/>
                <w:szCs w:val="18"/>
                <w:highlight w:val="none"/>
              </w:rPr>
              <w:t>9.12.2.1.5 配合建设单位和相关部门开展的水土保持监督检查、监测和验收工作，提供必要的资料和条件。</w:t>
            </w:r>
            <w:r>
              <w:rPr>
                <w:rStyle w:val="41"/>
                <w:rFonts w:hint="default"/>
                <w:color w:val="auto"/>
                <w:sz w:val="18"/>
                <w:szCs w:val="18"/>
                <w:highlight w:val="none"/>
              </w:rPr>
              <w:br w:type="textWrapping"/>
            </w:r>
            <w:r>
              <w:rPr>
                <w:rStyle w:val="41"/>
                <w:rFonts w:hint="default"/>
                <w:color w:val="auto"/>
                <w:sz w:val="18"/>
                <w:szCs w:val="18"/>
                <w:highlight w:val="none"/>
              </w:rPr>
              <w:t>9.12.2.2 对施工过程中产生的弃土、弃渣等废弃物进行妥善处理，按照指定的地点堆放或处置，避免随意倾倒造成水土流失。</w:t>
            </w:r>
            <w:r>
              <w:rPr>
                <w:rStyle w:val="41"/>
                <w:rFonts w:hint="default"/>
                <w:color w:val="auto"/>
                <w:sz w:val="18"/>
                <w:szCs w:val="18"/>
                <w:highlight w:val="none"/>
              </w:rPr>
              <w:br w:type="textWrapping"/>
            </w:r>
            <w:r>
              <w:rPr>
                <w:rStyle w:val="41"/>
                <w:rFonts w:hint="default"/>
                <w:color w:val="auto"/>
                <w:sz w:val="18"/>
                <w:szCs w:val="18"/>
                <w:highlight w:val="none"/>
              </w:rPr>
              <w:t>9.12.2.3 若施工现场出现水土保持异常情况和重大问题，发包人将向承包人发送水土保持整改通知单，限期整改。</w:t>
            </w:r>
            <w:r>
              <w:rPr>
                <w:rStyle w:val="41"/>
                <w:rFonts w:hint="default"/>
                <w:color w:val="auto"/>
                <w:sz w:val="18"/>
                <w:szCs w:val="18"/>
                <w:highlight w:val="none"/>
              </w:rPr>
              <w:br w:type="textWrapping"/>
            </w:r>
            <w:r>
              <w:rPr>
                <w:rStyle w:val="41"/>
                <w:rFonts w:hint="default"/>
                <w:color w:val="auto"/>
                <w:sz w:val="18"/>
                <w:szCs w:val="18"/>
                <w:highlight w:val="none"/>
              </w:rPr>
              <w:t>9.12.2.4 接受</w:t>
            </w:r>
            <w:r>
              <w:rPr>
                <w:rStyle w:val="41"/>
                <w:rFonts w:hint="eastAsia" w:eastAsia="方正仿宋_GBK"/>
                <w:color w:val="auto"/>
                <w:sz w:val="18"/>
                <w:szCs w:val="18"/>
                <w:highlight w:val="none"/>
                <w:lang w:val="en-US" w:eastAsia="zh-CN"/>
              </w:rPr>
              <w:t>发包人</w:t>
            </w:r>
            <w:r>
              <w:rPr>
                <w:rStyle w:val="41"/>
                <w:rFonts w:hint="default"/>
                <w:color w:val="auto"/>
                <w:sz w:val="18"/>
                <w:szCs w:val="18"/>
                <w:highlight w:val="none"/>
              </w:rPr>
              <w:t>的监督检查，对</w:t>
            </w:r>
            <w:r>
              <w:rPr>
                <w:rStyle w:val="41"/>
                <w:rFonts w:hint="eastAsia" w:eastAsia="方正仿宋_GBK"/>
                <w:color w:val="auto"/>
                <w:sz w:val="18"/>
                <w:szCs w:val="18"/>
                <w:highlight w:val="none"/>
                <w:lang w:val="en-US" w:eastAsia="zh-CN"/>
              </w:rPr>
              <w:t>发包人</w:t>
            </w:r>
            <w:r>
              <w:rPr>
                <w:rStyle w:val="41"/>
                <w:rFonts w:hint="default"/>
                <w:color w:val="auto"/>
                <w:sz w:val="18"/>
                <w:szCs w:val="18"/>
                <w:highlight w:val="none"/>
              </w:rPr>
              <w:t>提出的整改意见应认真落实整改。</w:t>
            </w:r>
          </w:p>
          <w:p w14:paraId="5489F84D">
            <w:pPr>
              <w:widowControl/>
              <w:autoSpaceDE w:val="0"/>
              <w:adjustRightInd w:val="0"/>
              <w:snapToGrid/>
              <w:spacing w:line="300" w:lineRule="auto"/>
              <w:textAlignment w:val="center"/>
              <w:rPr>
                <w:rFonts w:hint="default"/>
                <w:b/>
                <w:bCs/>
                <w:color w:val="auto"/>
                <w:sz w:val="18"/>
                <w:szCs w:val="18"/>
                <w:highlight w:val="none"/>
              </w:rPr>
            </w:pPr>
            <w:r>
              <w:rPr>
                <w:rStyle w:val="41"/>
                <w:rFonts w:hint="default"/>
                <w:color w:val="auto"/>
                <w:sz w:val="18"/>
                <w:szCs w:val="18"/>
                <w:highlight w:val="none"/>
              </w:rPr>
              <w:t>9.12.2.5</w:t>
            </w:r>
          </w:p>
          <w:p w14:paraId="2E2FD3E0">
            <w:pPr>
              <w:widowControl/>
              <w:autoSpaceDE w:val="0"/>
              <w:adjustRightInd w:val="0"/>
              <w:spacing w:line="300" w:lineRule="auto"/>
              <w:textAlignment w:val="center"/>
              <w:rPr>
                <w:rFonts w:hint="default"/>
                <w:color w:val="auto"/>
                <w:sz w:val="18"/>
                <w:szCs w:val="18"/>
                <w:highlight w:val="none"/>
              </w:rPr>
            </w:pPr>
            <w:r>
              <w:rPr>
                <w:rStyle w:val="41"/>
                <w:rFonts w:hint="default"/>
                <w:color w:val="auto"/>
                <w:sz w:val="18"/>
                <w:szCs w:val="18"/>
                <w:highlight w:val="none"/>
              </w:rPr>
              <w:t>承包人应积极配合建设管理单位办理临时耕地占用税、复垦保证金等退费手续。承包人在工程建设期间应严格落实临时占地的过程管控，工程建设任务完成后及时配合开展复垦(林)相关工作，配合建设管理单位在规定时间内，按照税法、工程相关批复文件和验收部门要求及时完成验收。因承包人责任导致未能全额退还临时耕地占用税、土地复垦保证金等已缴款项，发包人将对承包人进行评价考核，由此产生的损失由承包人承担。</w:t>
            </w:r>
          </w:p>
          <w:p w14:paraId="3DB10BD1">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9.12.3 环水保考核违约金标准如下：</w:t>
            </w:r>
          </w:p>
          <w:p w14:paraId="172868D8">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9.12.3.1 未按照计划足额落实安全文明施工费的环保、水保措施，按月考核，每次违约金为签约合同价的2‰。</w:t>
            </w:r>
          </w:p>
          <w:p w14:paraId="1CF23A14">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9.12.3.2 发生国网公司或行政机关查处的较大或严重问题，被通报、纳入重点关注名单等处罚，每次违约金为签约合同价的5‰。</w:t>
            </w:r>
          </w:p>
          <w:p w14:paraId="5434D24B">
            <w:pPr>
              <w:pStyle w:val="9"/>
              <w:rPr>
                <w:highlight w:val="none"/>
              </w:rPr>
            </w:pPr>
            <w:r>
              <w:rPr>
                <w:rStyle w:val="41"/>
                <w:rFonts w:hint="default"/>
                <w:color w:val="auto"/>
                <w:sz w:val="18"/>
                <w:szCs w:val="18"/>
                <w:highlight w:val="none"/>
              </w:rPr>
              <w:t>9.12.3.3 因风险应急管控不规范，发生一般及以上突发环境事件，每次违约金为签约合同价的5‰。</w:t>
            </w:r>
          </w:p>
          <w:p w14:paraId="1BE66FD7">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41"/>
                <w:rFonts w:hint="default"/>
                <w:color w:val="000000" w:themeColor="text1"/>
                <w:sz w:val="18"/>
                <w:szCs w:val="18"/>
                <w:highlight w:val="none"/>
                <w14:textFill>
                  <w14:solidFill>
                    <w14:schemeClr w14:val="tx1"/>
                  </w14:solidFill>
                </w14:textFill>
              </w:rPr>
              <w:t>9.12.3.4工程投运一年后因</w:t>
            </w:r>
            <w:r>
              <w:rPr>
                <w:rStyle w:val="41"/>
                <w:rFonts w:hint="eastAsia" w:eastAsia="方正仿宋_GBK"/>
                <w:color w:val="000000" w:themeColor="text1"/>
                <w:sz w:val="18"/>
                <w:szCs w:val="18"/>
                <w:highlight w:val="none"/>
                <w:lang w:val="en-US" w:eastAsia="zh-CN"/>
                <w14:textFill>
                  <w14:solidFill>
                    <w14:schemeClr w14:val="tx1"/>
                  </w14:solidFill>
                </w14:textFill>
              </w:rPr>
              <w:t>承包人</w:t>
            </w:r>
            <w:r>
              <w:rPr>
                <w:rStyle w:val="41"/>
                <w:rFonts w:hint="default"/>
                <w:color w:val="000000" w:themeColor="text1"/>
                <w:sz w:val="18"/>
                <w:szCs w:val="18"/>
                <w:highlight w:val="none"/>
                <w14:textFill>
                  <w14:solidFill>
                    <w14:schemeClr w14:val="tx1"/>
                  </w14:solidFill>
                </w14:textFill>
              </w:rPr>
              <w:t>原因未通过政府部门验收的，</w:t>
            </w:r>
            <w:r>
              <w:rPr>
                <w:rStyle w:val="41"/>
                <w:rFonts w:hint="eastAsia" w:eastAsia="方正仿宋_GBK"/>
                <w:color w:val="000000" w:themeColor="text1"/>
                <w:sz w:val="18"/>
                <w:szCs w:val="18"/>
                <w:highlight w:val="none"/>
                <w:lang w:val="en-US" w:eastAsia="zh-CN"/>
                <w14:textFill>
                  <w14:solidFill>
                    <w14:schemeClr w14:val="tx1"/>
                  </w14:solidFill>
                </w14:textFill>
              </w:rPr>
              <w:t>发包人</w:t>
            </w:r>
            <w:r>
              <w:rPr>
                <w:rStyle w:val="41"/>
                <w:rFonts w:hint="default"/>
                <w:color w:val="000000" w:themeColor="text1"/>
                <w:sz w:val="18"/>
                <w:szCs w:val="18"/>
                <w:highlight w:val="none"/>
                <w14:textFill>
                  <w14:solidFill>
                    <w14:schemeClr w14:val="tx1"/>
                  </w14:solidFill>
                </w14:textFill>
              </w:rPr>
              <w:t>单位可对</w:t>
            </w:r>
            <w:r>
              <w:rPr>
                <w:rStyle w:val="41"/>
                <w:rFonts w:hint="eastAsia" w:eastAsia="方正仿宋_GBK"/>
                <w:color w:val="000000" w:themeColor="text1"/>
                <w:sz w:val="18"/>
                <w:szCs w:val="18"/>
                <w:highlight w:val="none"/>
                <w:lang w:val="en-US" w:eastAsia="zh-CN"/>
                <w14:textFill>
                  <w14:solidFill>
                    <w14:schemeClr w14:val="tx1"/>
                  </w14:solidFill>
                </w14:textFill>
              </w:rPr>
              <w:t>承包人</w:t>
            </w:r>
            <w:r>
              <w:rPr>
                <w:rStyle w:val="41"/>
                <w:rFonts w:hint="default"/>
                <w:color w:val="000000" w:themeColor="text1"/>
                <w:sz w:val="18"/>
                <w:szCs w:val="18"/>
                <w:highlight w:val="none"/>
                <w14:textFill>
                  <w14:solidFill>
                    <w14:schemeClr w14:val="tx1"/>
                  </w14:solidFill>
                </w14:textFill>
              </w:rPr>
              <w:t>单位进行考核，考核违约金为未退回的临时耕地占用税/复垦保证金同等金额。</w:t>
            </w:r>
          </w:p>
        </w:tc>
      </w:tr>
      <w:tr w14:paraId="0FB43E1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5C2836B">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5D794DF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2963FA5A">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11.1.2</w:t>
            </w:r>
          </w:p>
        </w:tc>
        <w:tc>
          <w:tcPr>
            <w:tcW w:w="3582" w:type="dxa"/>
            <w:vAlign w:val="center"/>
          </w:tcPr>
          <w:p w14:paraId="2A384EAB">
            <w:pPr>
              <w:adjustRightInd w:val="0"/>
              <w:snapToGrid w:val="0"/>
              <w:rPr>
                <w:rFonts w:ascii="方正仿宋_GBK" w:hAnsi="方正仿宋_GBK" w:eastAsia="方正仿宋_GBK" w:cs="方正仿宋_GBK"/>
                <w:color w:val="000000" w:themeColor="text1"/>
                <w:sz w:val="18"/>
                <w:szCs w:val="18"/>
                <w:highlight w:val="none"/>
                <w:u w:val="single"/>
                <w14:textFill>
                  <w14:solidFill>
                    <w14:schemeClr w14:val="tx1"/>
                  </w14:solidFill>
                </w14:textFill>
              </w:rPr>
            </w:pPr>
            <w:r>
              <w:rPr>
                <w:rFonts w:hint="eastAsia" w:ascii="方正仿宋_GBK" w:hAnsi="方正仿宋_GBK" w:eastAsia="方正仿宋_GBK" w:cs="方正仿宋_GBK"/>
                <w:sz w:val="18"/>
                <w:szCs w:val="18"/>
                <w:highlight w:val="none"/>
              </w:rPr>
              <w:t>无</w:t>
            </w:r>
          </w:p>
        </w:tc>
        <w:tc>
          <w:tcPr>
            <w:tcW w:w="4455" w:type="dxa"/>
            <w:vAlign w:val="center"/>
          </w:tcPr>
          <w:p w14:paraId="022924EF">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11.1.2 修改为：承包人应按第10.1款约定的合同进度计划，向监理人提交工程开工报审表，经监理人、发包人审批后执行。开工报审表应详细说明按合同进度计划正常施工所需的施工道路、临时设施、材料设备、施工人员等施工组织措施的落实情况以及工程的进度安排。</w:t>
            </w:r>
          </w:p>
        </w:tc>
      </w:tr>
      <w:tr w14:paraId="04F3698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C5EEFBD">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63D371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2D87DCA8">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11.1.3</w:t>
            </w:r>
          </w:p>
        </w:tc>
        <w:tc>
          <w:tcPr>
            <w:tcW w:w="3582" w:type="dxa"/>
            <w:vAlign w:val="center"/>
          </w:tcPr>
          <w:p w14:paraId="49E1114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11.1.3 工程开工需具备法律规定和下列约定的条件：</w:t>
            </w:r>
          </w:p>
          <w:p w14:paraId="7800471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变电工程：</w:t>
            </w:r>
          </w:p>
          <w:p w14:paraId="21B6FEFD">
            <w:pPr>
              <w:rPr>
                <w:highlight w:val="none"/>
              </w:rPr>
            </w:pPr>
            <w:r>
              <w:rPr>
                <w:rFonts w:hint="eastAsia" w:ascii="方正仿宋_GBK" w:hAnsi="方正仿宋_GBK" w:eastAsia="方正仿宋_GBK" w:cs="方正仿宋_GBK"/>
                <w:sz w:val="18"/>
                <w:szCs w:val="18"/>
                <w:highlight w:val="none"/>
              </w:rPr>
              <w:t>（14）承包人在工程所在地的施工注册（备案）已经完毕；</w:t>
            </w:r>
          </w:p>
          <w:p w14:paraId="18521B11">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37BC536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11.1.3 工程开工需具备法律规定和下列约定的条件：</w:t>
            </w:r>
          </w:p>
          <w:p w14:paraId="4CA497B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（14）承包人在工程所在地的施工注册（备案）已经完毕</w:t>
            </w:r>
            <w:r>
              <w:rPr>
                <w:rFonts w:hint="eastAsia" w:ascii="方正仿宋_GBK" w:hAnsi="方正仿宋_GBK" w:eastAsia="方正仿宋_GBK" w:cs="方正仿宋_GBK"/>
                <w:sz w:val="18"/>
                <w:szCs w:val="18"/>
                <w:highlight w:val="none"/>
                <w:u w:val="single"/>
              </w:rPr>
              <w:t>（包括向工程属地省级能源监管办公室完成备案）</w:t>
            </w:r>
            <w:r>
              <w:rPr>
                <w:rFonts w:hint="eastAsia" w:ascii="方正仿宋_GBK" w:hAnsi="方正仿宋_GBK" w:eastAsia="方正仿宋_GBK" w:cs="方正仿宋_GBK"/>
                <w:sz w:val="18"/>
                <w:szCs w:val="18"/>
                <w:highlight w:val="none"/>
              </w:rPr>
              <w:t>；</w:t>
            </w:r>
          </w:p>
          <w:p w14:paraId="3677D1F6">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r>
      <w:tr w14:paraId="05B9C2F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C474CAA">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E51ED6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03A9943F">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11.1.4</w:t>
            </w:r>
          </w:p>
        </w:tc>
        <w:tc>
          <w:tcPr>
            <w:tcW w:w="3582" w:type="dxa"/>
            <w:vAlign w:val="center"/>
          </w:tcPr>
          <w:p w14:paraId="58B8F50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11.1.4 承包人应在开工7天前或按照发包人的有关要求，向发包人或监理人提交下述文件，合同另有约定的，按其约定执行： </w:t>
            </w:r>
          </w:p>
          <w:p w14:paraId="00ADDFC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（1）综合的和详细的进度计划。该进度计划应符合监理人提出的一级或二级网络核实进度计划要求；</w:t>
            </w:r>
          </w:p>
          <w:p w14:paraId="152DEE2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（2）拟用于该工程的施工机具清单；</w:t>
            </w:r>
          </w:p>
          <w:p w14:paraId="2660B14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（3）现场管理组织和关键人员安排；</w:t>
            </w:r>
          </w:p>
          <w:p w14:paraId="1F5282C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（4）劳务人员和管理人员需求计划；</w:t>
            </w:r>
          </w:p>
          <w:p w14:paraId="6F008AB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（5）质量保证大纲和质量保证手册；</w:t>
            </w:r>
          </w:p>
          <w:p w14:paraId="39AF58FA">
            <w:pPr>
              <w:rPr>
                <w:highlight w:val="none"/>
              </w:rPr>
            </w:pPr>
            <w:r>
              <w:rPr>
                <w:rFonts w:hint="eastAsia" w:ascii="方正仿宋_GBK" w:hAnsi="方正仿宋_GBK" w:eastAsia="方正仿宋_GBK" w:cs="方正仿宋_GBK"/>
                <w:sz w:val="18"/>
                <w:szCs w:val="18"/>
                <w:highlight w:val="none"/>
              </w:rPr>
              <w:t>（6）施工安全管理及风险控制方案。</w:t>
            </w:r>
          </w:p>
          <w:p w14:paraId="32D2DAE9">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080064B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11.1.4 修改为：</w:t>
            </w:r>
          </w:p>
          <w:p w14:paraId="3A03421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承包人应在开工7天前或按照发包人的有关要求，向发包人或监理人提交下述文件，合同另有约定的，按其约定执行： </w:t>
            </w:r>
          </w:p>
          <w:p w14:paraId="02EF430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（1）综合的和详细的进度计划。该进度计划应符合监理人提出的一级或二级网络核实进度计划要求；</w:t>
            </w:r>
          </w:p>
          <w:p w14:paraId="0B8FFDF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（2）拟用于该工程的施工机具清单；</w:t>
            </w:r>
          </w:p>
          <w:p w14:paraId="14D8788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（3）现场管理组织和关键人员安排；</w:t>
            </w:r>
          </w:p>
          <w:p w14:paraId="22CACBE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（4）劳务人员和管理人员需求计划；</w:t>
            </w:r>
          </w:p>
          <w:p w14:paraId="4DE47E4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（5）质量保证大纲和质量保证手册；</w:t>
            </w:r>
          </w:p>
          <w:p w14:paraId="56993E1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（6）施工安全管理及风险控制方案；</w:t>
            </w:r>
          </w:p>
          <w:p w14:paraId="161E11ED">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（7）工程项目档案资料过程管控方案；</w:t>
            </w:r>
          </w:p>
        </w:tc>
      </w:tr>
      <w:tr w14:paraId="3F70C32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34177C6">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4DDA89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5DA083FA">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11.3</w:t>
            </w:r>
          </w:p>
        </w:tc>
        <w:tc>
          <w:tcPr>
            <w:tcW w:w="3582" w:type="dxa"/>
            <w:vAlign w:val="center"/>
          </w:tcPr>
          <w:p w14:paraId="206639AB">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11.3 发包人的工期延误</w:t>
            </w:r>
          </w:p>
          <w:p w14:paraId="28E096DA">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修改为：</w:t>
            </w:r>
          </w:p>
          <w:p w14:paraId="5E5E3F35">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在履行合同过程中，由于发包人的下列原因造成工期延误的，发包人应承担由此增加的费用和（或）同意延长工期。需要修订合同进度计划的，按照第10.2款的约定办理。</w:t>
            </w:r>
          </w:p>
          <w:p w14:paraId="42C2F950">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（1）发包人对工程进行重大设计变更；</w:t>
            </w:r>
          </w:p>
          <w:p w14:paraId="2BD9A6CA">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（2）发包人迟延提供材料、工程设备或变更交货地点的；</w:t>
            </w:r>
          </w:p>
          <w:p w14:paraId="08F5CB06">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（3）发包人要求暂停施工的；</w:t>
            </w:r>
          </w:p>
          <w:p w14:paraId="4960D862">
            <w:pPr>
              <w:rPr>
                <w:highlight w:val="none"/>
              </w:rPr>
            </w:pPr>
            <w:r>
              <w:rPr>
                <w:rFonts w:hint="eastAsia" w:ascii="方正仿宋_GBK" w:hAnsi="方正仿宋_GBK" w:eastAsia="方正仿宋_GBK" w:cs="方正仿宋_GBK"/>
                <w:sz w:val="18"/>
                <w:szCs w:val="18"/>
                <w:highlight w:val="none"/>
              </w:rPr>
              <w:t>（4）发包人提供图纸延误的。</w:t>
            </w:r>
          </w:p>
          <w:p w14:paraId="7B39EC52">
            <w:pPr>
              <w:rPr>
                <w:highlight w:val="none"/>
              </w:rPr>
            </w:pPr>
          </w:p>
          <w:p w14:paraId="0A0F3105">
            <w:pPr>
              <w:rPr>
                <w:highlight w:val="none"/>
              </w:rPr>
            </w:pPr>
          </w:p>
          <w:p w14:paraId="3D3AFEAE">
            <w:pPr>
              <w:rPr>
                <w:highlight w:val="none"/>
              </w:rPr>
            </w:pPr>
          </w:p>
          <w:p w14:paraId="669B1806">
            <w:pPr>
              <w:rPr>
                <w:highlight w:val="none"/>
              </w:rPr>
            </w:pPr>
          </w:p>
          <w:p w14:paraId="1C03D34A">
            <w:pPr>
              <w:rPr>
                <w:highlight w:val="none"/>
              </w:rPr>
            </w:pPr>
          </w:p>
          <w:p w14:paraId="3B3A4712">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2D3EC8C0">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11.3修改为：</w:t>
            </w:r>
          </w:p>
          <w:p w14:paraId="337F30F2">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发包人的工期延误</w:t>
            </w:r>
          </w:p>
          <w:p w14:paraId="3C9C9C96">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在履行合同过程中，由于发包人的下列原因造成工期延误，承包人也因此增加工程实际投入成本或增加完成其他工作，且发包人未通过其他方式对承包人增加成本或增加工作给予费用补偿的，发包人应承担由此增加的费用和（或）同意延长工期，发包人所承担的由此增加的费用按照本条款所述约定根据延误时间按合同价的一定比例进行计算。需要修订合同进度计划的，按照第10.2款的约定办理。</w:t>
            </w:r>
          </w:p>
          <w:p w14:paraId="7294CE00">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（1）发包人对工程进行重大设计变更；</w:t>
            </w:r>
          </w:p>
          <w:p w14:paraId="6CF6AA59">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（2）发包人迟延提供材料、工程设备或变更交货地点的；</w:t>
            </w:r>
          </w:p>
          <w:p w14:paraId="73230056">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（3）发包人要求暂停施工的；</w:t>
            </w:r>
          </w:p>
          <w:p w14:paraId="12971C65">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（4）发包人提供图纸延误的。</w:t>
            </w:r>
          </w:p>
          <w:p w14:paraId="58825D6A">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发包人原因造成的实际工期较合同工期延误，且造成承包人实际施工周期延长，发包人将按如下原则给予承包人适当补偿。</w:t>
            </w:r>
          </w:p>
          <w:p w14:paraId="50B6FDA9">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（1）工期延误6个月以内，发包人不予费用补偿；</w:t>
            </w:r>
          </w:p>
          <w:p w14:paraId="38987014">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（2）工期延误6个月（含6个月）-9个月，补偿签约合同价的1%；</w:t>
            </w:r>
          </w:p>
          <w:p w14:paraId="4CDB1461">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（3）工期延误9个月（含9个月）及以上，补偿签约合同价的1.5%。</w:t>
            </w:r>
          </w:p>
          <w:p w14:paraId="156071DE">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工期延误计算依据为发包人在土建主体开工前交付承包人的一级网络进度计划中明确的工程竣工时间及实际竣工时间计算。双方确认，按照本条约定给予的补偿是承包人要求工期延误的唯一补偿，除此之外，承包人不得再就工期延误事宜向发包人提出任何其他费用补偿要求或主张。 </w:t>
            </w:r>
          </w:p>
          <w:p w14:paraId="3CD5DA09">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具体因发包人的工期延误给予补偿费用的核算原则应根据具体单位工程分别确定，即对于本标包承包范围内的各单位工程，根据上述一级网络进度计划中明确的竣工时间为基础，发生因发包人的工期延误且达到本合同条款确定的标准的，按照该单位工程合同价为基数计算相应补偿费用。</w:t>
            </w:r>
          </w:p>
        </w:tc>
      </w:tr>
      <w:tr w14:paraId="1BBD72C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2D90FF8">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864963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2D63252A">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11.4</w:t>
            </w:r>
          </w:p>
        </w:tc>
        <w:tc>
          <w:tcPr>
            <w:tcW w:w="3582" w:type="dxa"/>
            <w:vAlign w:val="center"/>
          </w:tcPr>
          <w:p w14:paraId="49E3324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11.4异常恶劣的气候条件</w:t>
            </w:r>
          </w:p>
          <w:p w14:paraId="3EBB4BB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修改为：</w:t>
            </w:r>
          </w:p>
          <w:p w14:paraId="3280565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由于出现合同约定的异常恶劣气候条件导致工期延误的，发包人有权根据工程需要选择延长工期或增加费用。</w:t>
            </w:r>
          </w:p>
          <w:p w14:paraId="377A7C8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出现如下异常恶劣气候条件（指对工程正常施工组织方案执行造成较大影响的，如按原定施工资源投入水平，须调整施工一级网络计划的超出工程所在地多年平均统计水平的特殊气侯条件，包括连续出现降雨、降雪、低温、冰冻或影响户外作业的高温天气等气侯条件）时，承包人应尽最大努力积极采取措施，确保施工进度，若经采取措施施工进度仍被延误的，发包人有权根据工程需要选择延长工期或增加费用：</w:t>
            </w:r>
          </w:p>
          <w:p w14:paraId="6544E5B3">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六级以上大风、沙尘暴、暴风雨、暴风雪、冰雹以及影响户外作业的高温天气等异常恶劣气候持续1周以上，以上情况由监理人根据气象部门提供证明记录确认，及时向发包人提出书面报告。 </w:t>
            </w:r>
          </w:p>
        </w:tc>
        <w:tc>
          <w:tcPr>
            <w:tcW w:w="4455" w:type="dxa"/>
            <w:vAlign w:val="center"/>
          </w:tcPr>
          <w:p w14:paraId="5BB2164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11.4 异常恶劣的气候条件</w:t>
            </w:r>
          </w:p>
          <w:p w14:paraId="4F38BB7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修改为：</w:t>
            </w:r>
          </w:p>
          <w:p w14:paraId="093877E4">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由于出现合同约定的异常恶劣气候条件导致工期延误的，承包人应尽最大努力积极采取措施，确保施工进度，若经采取措施施工进度仍被延误的，发包人有权根据工程需要选择延长工期或调整增加合同费用。</w:t>
            </w:r>
          </w:p>
          <w:p w14:paraId="362E91CE">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异常恶劣气候条件”指对工程正常施工组织方案执行造成较大影响的，如按原定施工资源投入水平，须调整施工一级网络计划的特殊气候条件。包括：（1）超出工程所在地25年平均统计水平的特殊气候条件，包括连续出现降雨、降雪、低温、冰冻、高温等导致户外作业无法进行的气候条件持续7天以上。（2)六级以上大风、沙尘暴、暴风雨、暴风雪、冰雹等导致户外作业无法进行的气候条件持续7天以上。</w:t>
            </w:r>
          </w:p>
          <w:p w14:paraId="13606AFE">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u w:val="single"/>
              </w:rPr>
              <w:t>出现异常恶劣气候条件时，施工单位需整理提交相关资料，监理人根据气象部门提供证明记录确认，及时向发包人提出书面报告。</w:t>
            </w:r>
          </w:p>
        </w:tc>
      </w:tr>
      <w:tr w14:paraId="3721E66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B76793F">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049AE8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00FA7AE4">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11.6</w:t>
            </w:r>
          </w:p>
        </w:tc>
        <w:tc>
          <w:tcPr>
            <w:tcW w:w="3582" w:type="dxa"/>
            <w:vAlign w:val="center"/>
          </w:tcPr>
          <w:p w14:paraId="39F0B2AE">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11.6 工期提前</w:t>
            </w:r>
          </w:p>
          <w:p w14:paraId="150EC847">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修改为：</w:t>
            </w:r>
          </w:p>
          <w:p w14:paraId="7D1C6BA7">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发包人要求工程或其中一部分在合理工期内提前竣工时，承包人应按此要求提前竣工。承包人应在收到发包人要求后与监理人共同协商采取加快工程进度的措施和修订合同进度计划。</w:t>
            </w:r>
          </w:p>
          <w:p w14:paraId="67692B19">
            <w:pPr>
              <w:widowControl/>
              <w:autoSpaceDE w:val="0"/>
              <w:adjustRightInd w:val="0"/>
              <w:snapToGrid w:val="0"/>
              <w:spacing w:line="300" w:lineRule="auto"/>
              <w:textAlignment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41"/>
                <w:rFonts w:hint="default"/>
                <w:color w:val="auto"/>
                <w:sz w:val="18"/>
                <w:szCs w:val="18"/>
                <w:highlight w:val="none"/>
              </w:rPr>
              <w:t>工期提前造成承包人费用增加的，发包人应予以补偿。</w:t>
            </w:r>
          </w:p>
        </w:tc>
        <w:tc>
          <w:tcPr>
            <w:tcW w:w="4455" w:type="dxa"/>
          </w:tcPr>
          <w:p w14:paraId="3244A8C0">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11.6 工期提前</w:t>
            </w:r>
          </w:p>
          <w:p w14:paraId="7A852782">
            <w:pPr>
              <w:widowControl/>
              <w:autoSpaceDE w:val="0"/>
              <w:adjustRightInd w:val="0"/>
              <w:snapToGrid w:val="0"/>
              <w:spacing w:line="300" w:lineRule="auto"/>
              <w:textAlignment w:val="center"/>
              <w:rPr>
                <w:rFonts w:hint="default"/>
                <w:color w:val="auto"/>
                <w:sz w:val="18"/>
                <w:szCs w:val="18"/>
                <w:highlight w:val="none"/>
              </w:rPr>
            </w:pPr>
            <w:r>
              <w:rPr>
                <w:rStyle w:val="41"/>
                <w:rFonts w:hint="default"/>
                <w:color w:val="auto"/>
                <w:sz w:val="18"/>
                <w:szCs w:val="18"/>
                <w:highlight w:val="none"/>
              </w:rPr>
              <w:t>修改为：</w:t>
            </w:r>
          </w:p>
          <w:p w14:paraId="2EE98B50">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 xml:space="preserve">发包人没有要求提前竣工，承包人自行提前竣工的，发包人不予增加费用；承包人按发包人要求提前竣工的，发包人将给予承包人如下补偿： </w:t>
            </w:r>
          </w:p>
          <w:p w14:paraId="68E4624D">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1、提前竣工不足1个月的，发包人不予费用补偿；</w:t>
            </w:r>
          </w:p>
          <w:p w14:paraId="310518F0">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 xml:space="preserve">2、提前竣工1-3个月的，补偿合同总额的0.5%； </w:t>
            </w:r>
          </w:p>
          <w:p w14:paraId="1FA8A7E8">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 xml:space="preserve">3、提前竣工3个月以上-6个月的，补偿合同总额的0.6-1.4%，按照线性内插法计算； </w:t>
            </w:r>
          </w:p>
          <w:p w14:paraId="79B67A62">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 xml:space="preserve">4、提前竣工6个月以上的，补偿合同总额的1.5%。 </w:t>
            </w:r>
          </w:p>
          <w:p w14:paraId="62572EA5">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本项工期提前依据工程发包人交付承包人的第一版一级网络进度计划中明确的本合同工程开工及通过特高压部组织的竣工验收时间计算。双方确认，按照本条约定给予的补偿是承包人按照发包人要求提前竣工的唯一补偿，除此之外，承包人不得再就提前竣工事宜向发包人提出任何其他费用补偿要求或主张。</w:t>
            </w:r>
          </w:p>
          <w:p w14:paraId="45143CA3">
            <w:pPr>
              <w:widowControl/>
              <w:adjustRightInd w:val="0"/>
              <w:snapToGrid w:val="0"/>
              <w:rPr>
                <w:rFonts w:ascii="方正仿宋_GBK" w:hAnsi="方正仿宋_GBK" w:eastAsia="方正仿宋_GBK" w:cs="方正仿宋_GBK"/>
                <w:b/>
                <w:color w:val="000000" w:themeColor="text1"/>
                <w:sz w:val="18"/>
                <w:szCs w:val="18"/>
                <w:highlight w:val="none"/>
                <w14:textFill>
                  <w14:solidFill>
                    <w14:schemeClr w14:val="tx1"/>
                  </w14:solidFill>
                </w14:textFill>
              </w:rPr>
            </w:pPr>
          </w:p>
        </w:tc>
      </w:tr>
      <w:tr w14:paraId="59882F1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B1B3F98">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EF671F2">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专用条款12.1（5）</w:t>
            </w:r>
          </w:p>
        </w:tc>
        <w:tc>
          <w:tcPr>
            <w:tcW w:w="3582" w:type="dxa"/>
            <w:vAlign w:val="center"/>
          </w:tcPr>
          <w:p w14:paraId="1061C3E1">
            <w:pPr>
              <w:adjustRightInd w:val="0"/>
              <w:snapToGrid w:val="0"/>
              <w:rPr>
                <w:rFonts w:ascii="方正仿宋_GBK" w:hAnsi="方正仿宋_GBK" w:eastAsia="方正仿宋_GBK" w:cs="方正仿宋_GBK"/>
                <w:kern w:val="0"/>
                <w:sz w:val="18"/>
                <w:szCs w:val="18"/>
                <w:highlight w:val="none"/>
                <w:u w:val="single"/>
              </w:rPr>
            </w:pPr>
            <w:r>
              <w:rPr>
                <w:rFonts w:hint="eastAsia" w:ascii="方正仿宋_GBK" w:hAnsi="方正仿宋_GBK" w:eastAsia="方正仿宋_GBK" w:cs="方正仿宋_GBK"/>
                <w:kern w:val="0"/>
                <w:sz w:val="18"/>
                <w:szCs w:val="18"/>
                <w:highlight w:val="none"/>
              </w:rPr>
              <w:t>12.1(5) 由承包人承担责任的其他暂停施工如下：</w:t>
            </w:r>
          </w:p>
          <w:p w14:paraId="78F63093">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w:t>
            </w:r>
          </w:p>
        </w:tc>
        <w:tc>
          <w:tcPr>
            <w:tcW w:w="4455" w:type="dxa"/>
            <w:vAlign w:val="center"/>
          </w:tcPr>
          <w:p w14:paraId="5792CD94">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 xml:space="preserve">12.1（5）由承包人承担责任的其他暂停施工如下： </w:t>
            </w:r>
            <w:r>
              <w:rPr>
                <w:rFonts w:hint="eastAsia" w:ascii="方正仿宋_GBK" w:hAnsi="方正仿宋_GBK" w:eastAsia="方正仿宋_GBK" w:cs="方正仿宋_GBK"/>
                <w:kern w:val="0"/>
                <w:sz w:val="18"/>
                <w:szCs w:val="18"/>
                <w:highlight w:val="none"/>
                <w:u w:val="single"/>
              </w:rPr>
              <w:t>由于承包人原因引起的暂停施工造成工期延误连续 10 天及以上时，发包人有权按照专用17.4.5条对承包人进行考核。</w:t>
            </w:r>
          </w:p>
        </w:tc>
      </w:tr>
      <w:tr w14:paraId="38C2D76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639F45C">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77185E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12B5E01D">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12.2</w:t>
            </w:r>
          </w:p>
        </w:tc>
        <w:tc>
          <w:tcPr>
            <w:tcW w:w="3582" w:type="dxa"/>
            <w:vAlign w:val="center"/>
          </w:tcPr>
          <w:p w14:paraId="7015833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12.2 发包人暂停施工的责任</w:t>
            </w:r>
          </w:p>
          <w:p w14:paraId="6B9E022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修改为：</w:t>
            </w:r>
          </w:p>
          <w:p w14:paraId="2EC143EC">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由于发包人原因引起的暂停施工造成工期延误连续天及以上时，承包人有权要求发包人延长工期和（或）增加费用。</w:t>
            </w:r>
          </w:p>
        </w:tc>
        <w:tc>
          <w:tcPr>
            <w:tcW w:w="4455" w:type="dxa"/>
            <w:vAlign w:val="center"/>
          </w:tcPr>
          <w:p w14:paraId="55355032">
            <w:pPr>
              <w:adjustRightInd w:val="0"/>
              <w:snapToGrid w:val="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12.2发包人暂停施工的责任</w:t>
            </w:r>
          </w:p>
          <w:p w14:paraId="02E4E286">
            <w:pPr>
              <w:adjustRightInd w:val="0"/>
              <w:snapToGrid w:val="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修改为：</w:t>
            </w:r>
          </w:p>
          <w:p w14:paraId="0B0FD7C2">
            <w:pPr>
              <w:adjustRightInd w:val="0"/>
              <w:snapToGrid w:val="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由于发包人原因引起的暂停施工造成工期延误的，按照第11.3条执行；</w:t>
            </w:r>
          </w:p>
          <w:p w14:paraId="7FE1D2B2">
            <w:pPr>
              <w:adjustRightInd w:val="0"/>
              <w:snapToGrid w:val="0"/>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由于发包人原因引起的本合同范围内承包人全部施工工作暂停施工连续</w:t>
            </w:r>
            <w:r>
              <w:rPr>
                <w:rFonts w:hint="eastAsia" w:ascii="方正仿宋_GBK" w:hAnsi="方正仿宋_GBK" w:eastAsia="方正仿宋_GBK" w:cs="方正仿宋_GBK"/>
                <w:kern w:val="0"/>
                <w:sz w:val="18"/>
                <w:szCs w:val="18"/>
                <w:highlight w:val="none"/>
                <w:u w:val="single"/>
              </w:rPr>
              <w:t>10</w:t>
            </w:r>
            <w:r>
              <w:rPr>
                <w:rFonts w:hint="eastAsia" w:ascii="方正仿宋_GBK" w:hAnsi="方正仿宋_GBK" w:eastAsia="方正仿宋_GBK" w:cs="方正仿宋_GBK"/>
                <w:kern w:val="0"/>
                <w:sz w:val="18"/>
                <w:szCs w:val="18"/>
                <w:highlight w:val="none"/>
              </w:rPr>
              <w:t>天以上（以现场业主项目部、监理单位签署的工作签证计算），承包人为保证合同工期，调整原施工组织设计、加大投入造成施工成本增加，发包人按如下原则补偿承包人：</w:t>
            </w:r>
          </w:p>
          <w:p w14:paraId="28DD9759">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出现连续10天以上的暂停施工时，该次暂停施工天数可计入补偿费用核算基数，单天暂停施工补偿费用原则上按签约合同价的万分之三计算。如经发包人及监理审核并要求承包人采取增加进退场的方式来减少现场暂停施工天数的，可按签约合同价的百分之一补偿相应增加的承包人进退场费用及进退场期间的看护费用，不再另行计算进退场期间的其他暂停施工补偿费用。</w:t>
            </w:r>
          </w:p>
        </w:tc>
      </w:tr>
      <w:tr w14:paraId="763B21B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FF866C5">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F8C3909">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专用条款13.1.1 （补充）</w:t>
            </w:r>
          </w:p>
        </w:tc>
        <w:tc>
          <w:tcPr>
            <w:tcW w:w="3582" w:type="dxa"/>
            <w:vAlign w:val="center"/>
          </w:tcPr>
          <w:p w14:paraId="650D1FE9">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13.1.1.2 专项目标要求</w:t>
            </w:r>
          </w:p>
          <w:p w14:paraId="16387FE4">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35千伏及以下项目：工程质量总评为优良，分项工程合格率100％，单位工程合格率100％，观感得分率（土建）≥90％。</w:t>
            </w:r>
          </w:p>
          <w:p w14:paraId="73A1E7FF">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110（66）千伏项目：工程质量总评为优良，分项工程合格率100％，单位工程合格率100％，观感得分率（土建）≥90％。</w:t>
            </w:r>
          </w:p>
          <w:p w14:paraId="323FC813">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220千伏及以上项目：工程质量总评为优良，分项工程合格率（100％，单位工程合格率100％，观感得分率（土建）≥95％；通过达标投产考核；不发生因工程建设原因造成的六级及以上工程质量事件。</w:t>
            </w:r>
          </w:p>
          <w:p w14:paraId="6EC7AD62">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其他目标： 。</w:t>
            </w:r>
          </w:p>
        </w:tc>
        <w:tc>
          <w:tcPr>
            <w:tcW w:w="4455" w:type="dxa"/>
          </w:tcPr>
          <w:p w14:paraId="0317A84E">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修改为：</w:t>
            </w:r>
          </w:p>
          <w:p w14:paraId="7CB9C8DD">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13.1.1.2 专项目标要求</w:t>
            </w:r>
          </w:p>
          <w:p w14:paraId="1B703928">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工程质量总评为优良，分项工程合格率100％、单位工程优良率100％，观感得分率≥95％；</w:t>
            </w:r>
          </w:p>
        </w:tc>
      </w:tr>
      <w:tr w14:paraId="2AB0741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0ED6329">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4EB88E5">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专用条款13.2.6</w:t>
            </w:r>
          </w:p>
        </w:tc>
        <w:tc>
          <w:tcPr>
            <w:tcW w:w="3582" w:type="dxa"/>
            <w:vAlign w:val="center"/>
          </w:tcPr>
          <w:p w14:paraId="7186287E">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13.2.6 承包人应建立健全施工质量的检验制度，按规定组织内部的质量检查验收工作；严格工序管理，做好隐蔽工程的质量检查和记录。</w:t>
            </w:r>
          </w:p>
        </w:tc>
        <w:tc>
          <w:tcPr>
            <w:tcW w:w="4455" w:type="dxa"/>
            <w:vAlign w:val="center"/>
          </w:tcPr>
          <w:p w14:paraId="3F8B4DC6">
            <w:pPr>
              <w:widowControl/>
              <w:adjustRightInd w:val="0"/>
              <w:snapToGrid w:val="0"/>
              <w:jc w:val="left"/>
              <w:rPr>
                <w:rFonts w:hint="eastAsia" w:ascii="方正仿宋_GBK" w:hAnsi="方正仿宋_GBK" w:eastAsia="方正仿宋_GBK" w:cs="方正仿宋_GBK"/>
                <w:color w:val="000000" w:themeColor="text1"/>
                <w:sz w:val="18"/>
                <w:szCs w:val="18"/>
                <w:highlight w:val="none"/>
                <w:lang w:eastAsia="zh-CN"/>
                <w14:textFill>
                  <w14:solidFill>
                    <w14:schemeClr w14:val="tx1"/>
                  </w14:solidFill>
                </w14:textFill>
              </w:rPr>
            </w:pPr>
            <w:r>
              <w:rPr>
                <w:rFonts w:hint="eastAsia" w:ascii="方正仿宋_GBK" w:hAnsi="方正仿宋_GBK" w:eastAsia="方正仿宋_GBK" w:cs="方正仿宋_GBK"/>
                <w:sz w:val="18"/>
                <w:szCs w:val="18"/>
                <w:highlight w:val="none"/>
              </w:rPr>
              <w:t>13.2.6（增加）修改为：承包人应建立健全施工质量的检验制度，按规定组织内部的质量检查验收工作；严格工序管理，做好隐蔽工程的质量检查和记录；做实三级（班组、项目部、公司）质量检验，规范验收数据实测实量及实时实地记录，确保验收数据真实、可追溯，以实测实量数据有效验证工程实体质量及质量管理行为，严厉打击验收走形式、弄虚作假。凡发现验收数据弄虚作假、伪造隐蔽工程验收记录的，发包人有权按每次</w:t>
            </w:r>
            <w:r>
              <w:rPr>
                <w:rFonts w:hint="eastAsia" w:ascii="方正仿宋_GBK" w:hAnsi="方正仿宋_GBK" w:eastAsia="方正仿宋_GBK" w:cs="方正仿宋_GBK"/>
                <w:sz w:val="18"/>
                <w:szCs w:val="18"/>
                <w:highlight w:val="none"/>
                <w:lang w:val="en-US" w:eastAsia="zh-CN"/>
              </w:rPr>
              <w:t>1万</w:t>
            </w:r>
            <w:r>
              <w:rPr>
                <w:rFonts w:hint="eastAsia" w:ascii="方正仿宋_GBK" w:hAnsi="方正仿宋_GBK" w:eastAsia="方正仿宋_GBK" w:cs="方正仿宋_GBK"/>
                <w:sz w:val="18"/>
                <w:szCs w:val="18"/>
                <w:highlight w:val="none"/>
              </w:rPr>
              <w:t>元扣除违约金，并责令返工整改。因验收数据造假致工程质量无法确认的，承包人应按监理人及发包人要求无条件返工，重新组织质量验收，由此产生的全部费用及工期延误由承办人承担。</w:t>
            </w:r>
          </w:p>
        </w:tc>
      </w:tr>
      <w:tr w14:paraId="1599192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C59E04F">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BC0E8C6">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专用条款13.2.18（新增）</w:t>
            </w:r>
          </w:p>
        </w:tc>
        <w:tc>
          <w:tcPr>
            <w:tcW w:w="3582" w:type="dxa"/>
            <w:vAlign w:val="center"/>
          </w:tcPr>
          <w:p w14:paraId="1213CBBD">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无</w:t>
            </w:r>
          </w:p>
        </w:tc>
        <w:tc>
          <w:tcPr>
            <w:tcW w:w="4455" w:type="dxa"/>
            <w:vAlign w:val="center"/>
          </w:tcPr>
          <w:p w14:paraId="5601EB83">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13.2.18（增加）：施工过程中，承包人要根据质量评价相关要求每半年（月）进行一次自查和闭环整改。承包人负责中电建协全过程质量管控、质量评价、创优咨询检查、达标投产验收等专项工作。负责申报材料和汇报材料编制、会务组织和迎检工作。</w:t>
            </w:r>
          </w:p>
        </w:tc>
      </w:tr>
      <w:tr w14:paraId="3ED6327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C724D1A">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21DBC57">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专用条款13.2.19（新增）</w:t>
            </w:r>
          </w:p>
        </w:tc>
        <w:tc>
          <w:tcPr>
            <w:tcW w:w="3582" w:type="dxa"/>
            <w:vAlign w:val="center"/>
          </w:tcPr>
          <w:p w14:paraId="7BDF8200">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无</w:t>
            </w:r>
          </w:p>
        </w:tc>
        <w:tc>
          <w:tcPr>
            <w:tcW w:w="4455" w:type="dxa"/>
            <w:vAlign w:val="center"/>
          </w:tcPr>
          <w:p w14:paraId="44CDB842">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13.2.19（增加）：承包人必须在开工前将本工程所开展的科技项目、工法、群众性创新项目、QC小组、专利计划上报业主项目部审核，建设管理单位职能部门批准。承包人在工程进展过程中进行项目实施、总结，每半年形成项目报告，报业主项目部审查。承包人以建设管理单位和承包人联合身份每年参加省部级评比，参加中国电力建设企业协会组织的电力建设科学技术进步奖、电力建设工法、电力建设优秀质量管理（QC）小组成果等评审，并确保获省部级及以上成果奖（包括但不限于科技成果2项，电力行业及以上工法1项，国家电网公司工法1项，QC成果3项，专利3项）并确保将获奖成果用于本工程的国家优质工程奖或鲁班奖的评选中，所有成果归发包人及承包人双方所有。承包人每半年向建设管理单位汇报工作完成情况，并在成果形成后及时向建设管理单位上报，及时汇报参加评奖及获奖成果情况。所有相关工作同时要符合国网公司的规定要求，符合业主项目部的工作要求。</w:t>
            </w:r>
          </w:p>
          <w:p w14:paraId="6FFA05D4">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需开展并取得获奖成果的科技创新工作（科技项目、工法等内容），包括但不限于以下内容：（1）工法：工法成果相关的策划、研究、DVD制作工作要符合国网公司及电力建设工法的要求，确保通过国网公司工法的评审及获得中电建协工法评奖。（2）科技项目：承包人应在投标报价中考虑因此项工作（策划、研究、采购设备、申报专利、查新、报奖）增加的相关费用。（3）专利申报。（4）职工技术创新研究。（5）标准规范修订等增加的相关费用。</w:t>
            </w:r>
          </w:p>
          <w:p w14:paraId="16D4D1F3">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   每个承包人按照建设管理单位安排开展1-2项课题（科技项目或管理提升项目等）的研究工作，负责研究课题所召开的专项调研、专题研讨会议、集中工作、成果制作、成果出版所需的各项会务费用。具体项目由建设管理单位制定。承包人科研能力不能满足项目需要时，应委托第三方科研院所开展相关科研工作，并承担相关费用。</w:t>
            </w:r>
          </w:p>
        </w:tc>
      </w:tr>
      <w:tr w14:paraId="740A6EF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F1843C6">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1E8CBE0">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专用条款13.2.20（新增）</w:t>
            </w:r>
          </w:p>
        </w:tc>
        <w:tc>
          <w:tcPr>
            <w:tcW w:w="3582" w:type="dxa"/>
            <w:vAlign w:val="center"/>
          </w:tcPr>
          <w:p w14:paraId="2AFFA858">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无</w:t>
            </w:r>
          </w:p>
        </w:tc>
        <w:tc>
          <w:tcPr>
            <w:tcW w:w="4455" w:type="dxa"/>
            <w:vAlign w:val="center"/>
          </w:tcPr>
          <w:p w14:paraId="29C8E14B">
            <w:pPr>
              <w:widowControl/>
              <w:adjustRightInd w:val="0"/>
              <w:snapToGrid w:val="0"/>
              <w:jc w:val="left"/>
              <w:rPr>
                <w:rFonts w:ascii="方正仿宋_GBK" w:hAnsi="方正仿宋_GBK" w:eastAsia="方正仿宋_GBK" w:cs="方正仿宋_GBK"/>
                <w:color w:val="000000" w:themeColor="text1"/>
                <w:highlight w:val="none"/>
                <w14:textFill>
                  <w14:solidFill>
                    <w14:schemeClr w14:val="tx1"/>
                  </w14:solidFill>
                </w14:textFill>
              </w:rPr>
            </w:pPr>
            <w:r>
              <w:rPr>
                <w:rFonts w:hint="eastAsia" w:ascii="方正仿宋_GBK" w:hAnsi="方正仿宋_GBK" w:eastAsia="方正仿宋_GBK" w:cs="方正仿宋_GBK"/>
                <w:sz w:val="18"/>
                <w:szCs w:val="18"/>
                <w:highlight w:val="none"/>
              </w:rPr>
              <w:t>13.2.20（增加）：作为工程创优的必备条件，所有工程要通过新技术应用专项评价和绿色施工专项评价。承包人应对新技术应用和绿色施工措施给予充分的关注和重视，并将职责自始至终的落实到人。承包人在开工前要编制绿色施工方案及新技术实施方案（包括国家推广节能项目应用、电力建设五新应用与研发、建设部十项技术应用等）；在过程中每半年要汇报工作情况，建设管理单位组织对其进行检查。在过程中，要组织人员配合绿色施工及新技术专项评价的迎接检查工作（包括材料编写等各种文件提供、迎接专家咨询检查等工作）；工程竣工前后要组织对相关工作进行总结，形成规范性成果；工程投产后，负责绿色施工及新技术专项评价所相关的成果整理、总结、上报工作，负责迎接绿色施工及新技术专项评价的验收相关工作。负责落实建设管理单位绿色施工及新技术专项评价相关的一切工作安排。</w:t>
            </w:r>
          </w:p>
        </w:tc>
      </w:tr>
      <w:tr w14:paraId="0FEFD46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39B15AA">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301D3AE">
            <w:pPr>
              <w:widowControl/>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专用条款13.2.21（新增）</w:t>
            </w:r>
          </w:p>
        </w:tc>
        <w:tc>
          <w:tcPr>
            <w:tcW w:w="3582" w:type="dxa"/>
            <w:vAlign w:val="center"/>
          </w:tcPr>
          <w:p w14:paraId="02B31E2D">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无</w:t>
            </w:r>
          </w:p>
        </w:tc>
        <w:tc>
          <w:tcPr>
            <w:tcW w:w="4455" w:type="dxa"/>
            <w:vAlign w:val="center"/>
          </w:tcPr>
          <w:p w14:paraId="5F058E7F">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13.2.21（增加）：承包人负责所有质量检查和创优相关会议的承办工作，包括但不限于质量专项检查、地基基础及结构验收、质量评价咨询检查、新技术专项评价评比、绿色施工专项评价评比、各阶段创优咨询检查、网优检查、中国电力优质工程检查、国家优质工程检查，负责所有的会务工作和费用。</w:t>
            </w:r>
          </w:p>
        </w:tc>
      </w:tr>
      <w:tr w14:paraId="122AEEC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C7BD85B">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34DCD5B">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专用条款13.2.22（新增）</w:t>
            </w:r>
          </w:p>
        </w:tc>
        <w:tc>
          <w:tcPr>
            <w:tcW w:w="3582" w:type="dxa"/>
            <w:vAlign w:val="center"/>
          </w:tcPr>
          <w:p w14:paraId="708D578B">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无</w:t>
            </w:r>
          </w:p>
        </w:tc>
        <w:tc>
          <w:tcPr>
            <w:tcW w:w="4455" w:type="dxa"/>
            <w:vAlign w:val="center"/>
          </w:tcPr>
          <w:p w14:paraId="09D05AD0">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13.2.22（增加）：承包人要高度重视工程亮点照片和视频材料的拍摄和收集工作，为创优积累重要素材。每半年承包商负责向业主项目部上交符合工程国优申报要求的亮点照片、亮点视频、创新照片、隐蔽工程验收照片（每处隐蔽工程验收合格前必须留有照片，包括但不限于钢筋、回填土、接地等），必须通过业主项目部审查合格，声像照片质量要满足高清片制作标准，像素不小于1920*1080。影像资料拍摄和收集整理还要满足《输变电工程安全质量过程控制数码照片管理工作要求》（基建安质〔2016〕56号）、《换流站工程档案管理手册》、《</w:t>
            </w:r>
            <w:r>
              <w:rPr>
                <w:rFonts w:ascii="方正仿宋_GBK" w:hAnsi="方正仿宋_GBK" w:eastAsia="方正仿宋_GBK" w:cs="方正仿宋_GBK"/>
                <w:i w:val="0"/>
                <w:strike w:val="0"/>
                <w:spacing w:val="0"/>
                <w:sz w:val="18"/>
                <w:highlight w:val="none"/>
                <w:u w:val="none"/>
              </w:rPr>
              <w:t xml:space="preserve"> 建设部通知〔2025〕131号 关于下发35千伏及以上输变电工程关键点质量管控管理措施的通知</w:t>
            </w:r>
            <w:r>
              <w:rPr>
                <w:rFonts w:hint="eastAsia" w:ascii="方正仿宋_GBK" w:hAnsi="方正仿宋_GBK" w:eastAsia="方正仿宋_GBK" w:cs="方正仿宋_GBK"/>
                <w:sz w:val="18"/>
                <w:szCs w:val="18"/>
                <w:highlight w:val="none"/>
              </w:rPr>
              <w:t>》及建设管理单位的要求。以上照片文件定期每月25日前将上月材料报建设管理单位备存。</w:t>
            </w:r>
          </w:p>
        </w:tc>
      </w:tr>
      <w:tr w14:paraId="2532EA3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B2170CD">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A2C505A">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专用条款13.2.23（新增）</w:t>
            </w:r>
          </w:p>
        </w:tc>
        <w:tc>
          <w:tcPr>
            <w:tcW w:w="3582" w:type="dxa"/>
            <w:vAlign w:val="center"/>
          </w:tcPr>
          <w:p w14:paraId="1A9323C4">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无</w:t>
            </w:r>
          </w:p>
        </w:tc>
        <w:tc>
          <w:tcPr>
            <w:tcW w:w="4455" w:type="dxa"/>
            <w:vAlign w:val="center"/>
          </w:tcPr>
          <w:p w14:paraId="44F6BBC2">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 13.2.23（增加）：承包人应随工程进度取得并归档相关质量检测报告。承包人选择的有资质的试验室必须得到监理和业主的批准。试验结果必须及时上报监理和业主项目部。承包人有义务按照业主或监理要求对有争议的部位配合进行质量检测及试验，以确认其质量是否达到标准。</w:t>
            </w:r>
          </w:p>
        </w:tc>
      </w:tr>
      <w:tr w14:paraId="74572F8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64B0B56">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5B8D047C">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专用条款13.2.24（新增）</w:t>
            </w:r>
          </w:p>
        </w:tc>
        <w:tc>
          <w:tcPr>
            <w:tcW w:w="3582" w:type="dxa"/>
            <w:vAlign w:val="center"/>
          </w:tcPr>
          <w:p w14:paraId="4E7DEB19">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无</w:t>
            </w:r>
          </w:p>
        </w:tc>
        <w:tc>
          <w:tcPr>
            <w:tcW w:w="4455" w:type="dxa"/>
          </w:tcPr>
          <w:p w14:paraId="4ACA30CF">
            <w:pPr>
              <w:widowControl/>
              <w:adjustRightInd w:val="0"/>
              <w:snapToGrid w:val="0"/>
              <w:jc w:val="left"/>
              <w:rPr>
                <w:rFonts w:ascii="方正仿宋_GBK" w:hAnsi="方正仿宋_GBK" w:eastAsia="方正仿宋_GBK" w:cs="方正仿宋_GBK"/>
                <w:color w:val="000000" w:themeColor="text1"/>
                <w:sz w:val="18"/>
                <w:szCs w:val="18"/>
                <w:highlight w:val="none"/>
                <w:u w:val="single"/>
                <w14:textFill>
                  <w14:solidFill>
                    <w14:schemeClr w14:val="tx1"/>
                  </w14:solidFill>
                </w14:textFill>
              </w:rPr>
            </w:pPr>
            <w:r>
              <w:rPr>
                <w:rFonts w:hint="eastAsia" w:ascii="方正仿宋_GBK" w:hAnsi="方正仿宋_GBK" w:eastAsia="方正仿宋_GBK" w:cs="方正仿宋_GBK"/>
                <w:sz w:val="18"/>
                <w:szCs w:val="18"/>
                <w:highlight w:val="none"/>
              </w:rPr>
              <w:t>13.2.24 （增加）：换流站工程将推广应用工程现场人员管理系统实践，利用“云、大、物、移”信息化工具实现对现场人员以及车辆、重要工器具的进出场等信息的全面及时掌控，强化工程建设管理、分包队伍管理等薄弱环节，保障电网基建安全，将各项安全质量的管控措施落地生根。施工单位按照业主项目部的要求参与和配合系统建设，负责系统建设和使用、日常维护相关费用，各承包人安排专人负责。“智慧工地”的投入由土建A包牵头负责，各施工单位按合同比例分摊。其中由智慧安装工作产生的费用，由电气承包人自行考虑，不参与分摊。</w:t>
            </w:r>
          </w:p>
        </w:tc>
      </w:tr>
      <w:tr w14:paraId="10E289A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43DFB41">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2A5DAB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49BC669E">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13.8.2</w:t>
            </w:r>
          </w:p>
        </w:tc>
        <w:tc>
          <w:tcPr>
            <w:tcW w:w="3582" w:type="dxa"/>
            <w:vAlign w:val="center"/>
          </w:tcPr>
          <w:p w14:paraId="4BDC70D6">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13.8.2 质量考核违约金</w:t>
            </w:r>
          </w:p>
          <w:p w14:paraId="1586FD73">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违反合同对质量管理的有关规定，出现质量缺陷或造成质量事件时，应向发包人支付质量考核违约金。发包人将在事实清楚的前提下，书面通知承包人扣款金额；日常检查中发包人扣款时，将开具扣款通知单，可在进行合同价款结算时依据存根汇总后，书面通知承包人后扣除。所扣款项以合同约定的数额为限，在合同结算时执行。支付质量违约金并不减轻或免除承包人的质量责任。</w:t>
            </w:r>
          </w:p>
          <w:p w14:paraId="1751662F">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质量考核违约金标准如下：</w:t>
            </w:r>
          </w:p>
          <w:p w14:paraId="285BB5BC">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（1）发生重大工程质量事故（二级及以上质量事件）支付签约合同价的1%。</w:t>
            </w:r>
          </w:p>
          <w:p w14:paraId="7CF3099A">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（2）发生较大质量事故（三级质量事件），每次支付签约合同价的5‰。</w:t>
            </w:r>
          </w:p>
          <w:p w14:paraId="34BD26A1">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（3）发生一般质量事故（四级质量事件），每次支付签约合同价的2‰。</w:t>
            </w:r>
          </w:p>
          <w:p w14:paraId="43976382">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（4）发包人组织质量检查时，未能达到标准要求且未在规定期限完成整改消缺的，每次支付签约合同价的1‰。</w:t>
            </w:r>
          </w:p>
        </w:tc>
        <w:tc>
          <w:tcPr>
            <w:tcW w:w="4455" w:type="dxa"/>
            <w:vAlign w:val="center"/>
          </w:tcPr>
          <w:p w14:paraId="06AE8AD5">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专用条款13.8.2质量考核违约金修改为：</w:t>
            </w:r>
          </w:p>
          <w:p w14:paraId="4F6638FC">
            <w:pPr>
              <w:spacing w:line="360" w:lineRule="exact"/>
              <w:ind w:firstLine="360" w:firstLineChars="200"/>
              <w:rPr>
                <w:rFonts w:ascii="方正仿宋_GBK" w:hAnsi="方正仿宋_GBK" w:eastAsia="方正仿宋_GBK" w:cs="方正仿宋_GBK"/>
                <w:sz w:val="18"/>
                <w:szCs w:val="18"/>
                <w:highlight w:val="none"/>
              </w:rPr>
            </w:pPr>
            <w:r>
              <w:rPr>
                <w:rStyle w:val="52"/>
                <w:rFonts w:hint="eastAsia" w:ascii="方正仿宋_GBK" w:hAnsi="方正仿宋_GBK" w:eastAsia="方正仿宋_GBK" w:cs="方正仿宋_GBK"/>
                <w:bCs/>
                <w:kern w:val="0"/>
                <w:sz w:val="18"/>
                <w:szCs w:val="18"/>
                <w:highlight w:val="none"/>
              </w:rPr>
              <w:t>在承包人违反合同对质量管理的有关规定，出现质量缺陷或造成质量事件时，发包人有权依合同的约定对承包人扣减质量违约金。发包人将在事实清楚的前提下，书面通知承包人扣款金额；日常检查中发包人扣款时，将开具扣款通知单，在进行合同价款结算时依据存根汇总后，书面通知承包人后扣除。所扣款项以合同约定的数额为限，在合同结算时执行。扣除质量违约金并不减轻或免除承包人的质量责任。</w:t>
            </w:r>
          </w:p>
          <w:p w14:paraId="3F0545F7">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质量违约金扣除标准如下：</w:t>
            </w:r>
          </w:p>
          <w:p w14:paraId="6BC2DB2C">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（1）对发生重大工程质量事故（二级及以上质量事件）的承包人，扣除签约合同价的1.5%。</w:t>
            </w:r>
          </w:p>
          <w:p w14:paraId="37E236C5">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（2）对发生较大质量事故（三级质量事件）的承包人，每次扣签约合同价的7.5‰。</w:t>
            </w:r>
          </w:p>
          <w:p w14:paraId="45A879E2">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（3）对发生一般质量事故（四级质量事件）的承包人，每次扣签约合同价的3‰。</w:t>
            </w:r>
          </w:p>
          <w:p w14:paraId="405AB2A3">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（4）发包人组织质量检查时，对未能达到标准要求且未在规定期限完成整改消缺的承包人，每次扣签约合同价的1.5‰。</w:t>
            </w:r>
          </w:p>
          <w:p w14:paraId="60D54554">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（5）对造成五级质量事件负主要责任的承包人，扣签约合同价的1‰；</w:t>
            </w:r>
          </w:p>
          <w:p w14:paraId="247B4AA4">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（6）对造成六级质量事件负主要责任的承包人，扣签约合同价的0.5‰；</w:t>
            </w:r>
          </w:p>
          <w:p w14:paraId="31B4F5D7">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（7）对造成七级及以下质量事件负主要责任的承包人，扣签约合同价的0.2‰。</w:t>
            </w:r>
          </w:p>
          <w:p w14:paraId="19237EDE">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（8）对工程梳理的标准工艺清单未应用100%的承包人，扣签约合同价的0.2‰。</w:t>
            </w:r>
          </w:p>
          <w:p w14:paraId="60469026">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（9）对投运时出现严重缺陷的承包人，扣签约合同价的0.2‰。</w:t>
            </w:r>
          </w:p>
          <w:p w14:paraId="6CFBAE10">
            <w:pPr>
              <w:spacing w:line="360" w:lineRule="exact"/>
              <w:ind w:firstLine="360" w:firstLineChars="200"/>
              <w:rPr>
                <w:rFonts w:ascii="方正仿宋_GBK" w:hAnsi="方正仿宋_GBK" w:eastAsia="方正仿宋_GBK" w:cs="方正仿宋_GBK"/>
                <w:bCs/>
                <w:kern w:val="0"/>
                <w:sz w:val="18"/>
                <w:szCs w:val="18"/>
                <w:highlight w:val="none"/>
              </w:rPr>
            </w:pPr>
            <w:r>
              <w:rPr>
                <w:rStyle w:val="52"/>
                <w:rFonts w:hint="eastAsia" w:ascii="方正仿宋_GBK" w:hAnsi="方正仿宋_GBK" w:eastAsia="方正仿宋_GBK" w:cs="方正仿宋_GBK"/>
                <w:bCs/>
                <w:kern w:val="0"/>
                <w:sz w:val="18"/>
                <w:szCs w:val="18"/>
                <w:highlight w:val="none"/>
              </w:rPr>
              <w:t>（10）工程达标投产复检时，检查表中承包人负主要责任的“基本符合”项达到5项，扣签约合同价的0.1‰；检查表中存在承包人负主要责任的“不符合”项，扣签约合同价的0.5‰。</w:t>
            </w:r>
          </w:p>
          <w:p w14:paraId="339B444D">
            <w:pPr>
              <w:spacing w:line="360" w:lineRule="exact"/>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52"/>
                <w:rFonts w:hint="eastAsia" w:ascii="方正仿宋_GBK" w:hAnsi="方正仿宋_GBK" w:eastAsia="方正仿宋_GBK" w:cs="方正仿宋_GBK"/>
                <w:bCs/>
                <w:kern w:val="0"/>
                <w:sz w:val="18"/>
                <w:szCs w:val="18"/>
                <w:highlight w:val="none"/>
              </w:rPr>
              <w:t>（11）工程标杆工地、标杆工程、国网优质工程检查时，检查评分表中承包人负主要责任的“不足”项和扣分项累计达到10项，扣签约合同价的0.1‰；评分表中存在承包人负主要责任的否决项影响工程创优的，扣签约合同价的0.5‰。</w:t>
            </w:r>
          </w:p>
        </w:tc>
      </w:tr>
      <w:tr w14:paraId="4C54E34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A569A79">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39B8F4B">
            <w:pPr>
              <w:widowControl/>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 xml:space="preserve">专用条款15.4.3 </w:t>
            </w:r>
          </w:p>
        </w:tc>
        <w:tc>
          <w:tcPr>
            <w:tcW w:w="3582" w:type="dxa"/>
            <w:vAlign w:val="center"/>
          </w:tcPr>
          <w:p w14:paraId="788BBCAF">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15.4.3 修改为：</w:t>
            </w:r>
          </w:p>
          <w:p w14:paraId="72B70F17">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工程量清单中无适用或类似子目的单价，由双方按以下原则确定变更工作的单价：</w:t>
            </w:r>
          </w:p>
          <w:p w14:paraId="64084D62">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工程量清单中无适用或类似子目的单价的，由承包人根据变更工程资料、计量规则和计价办法、变更提出时信息价格和承包人报价折扣率提出变更工程项的单价，报发包人确定后调整。承包人报价折扣率=（中标价/投标最高限价）×100%</w:t>
            </w:r>
            <w:r>
              <w:rPr>
                <w:rFonts w:hint="eastAsia" w:ascii="方正仿宋_GBK" w:hAnsi="方正仿宋_GBK" w:eastAsia="方正仿宋_GBK" w:cs="方正仿宋_GBK"/>
                <w:sz w:val="18"/>
                <w:szCs w:val="18"/>
                <w:highlight w:val="none"/>
                <w:vertAlign w:val="superscript"/>
              </w:rPr>
              <w:footnoteReference w:id="0"/>
            </w:r>
            <w:r>
              <w:rPr>
                <w:rFonts w:hint="eastAsia" w:ascii="方正仿宋_GBK" w:hAnsi="方正仿宋_GBK" w:eastAsia="方正仿宋_GBK" w:cs="方正仿宋_GBK"/>
                <w:sz w:val="18"/>
                <w:szCs w:val="18"/>
                <w:highlight w:val="none"/>
              </w:rPr>
              <w:t>。</w:t>
            </w:r>
          </w:p>
          <w:p w14:paraId="76C9F74C">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工程量清单中无适用或类似子目的单价，且信息价缺价的，由承包人根据变更工程资料、计量规则、计价办法和通过市场调查取得合法依据的市场价格，按照本项第（1）条方式提出变更工程项综合单价，报发包人确定后调整。</w:t>
            </w:r>
          </w:p>
          <w:p w14:paraId="063FE619">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（3）在合同履行过程中，因分部分项工程量清单漏项或非承包人原因的工程变更，引起措施项目发生变化，造成施工组织设计或施工方案变更，调整原则如下:</w:t>
            </w:r>
          </w:p>
          <w:p w14:paraId="7153CA6F">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a.以综合单价形式计价的措施项目，措施项目综合单价不作调整，工程量按实际工程进行调整。</w:t>
            </w:r>
          </w:p>
          <w:p w14:paraId="00D20BD8">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b.以“项”计价的措施项目，原措施费中已有的措施项目，按原有措施费的组价方法调整；原措施费中没有的措施项目，由承包人根据措施项目变更情况，提出适当的措施费变更，经发包人确认后调整。</w:t>
            </w:r>
          </w:p>
          <w:p w14:paraId="2239B71B">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（4）因项目特征或工程量发生变更的，按下列原则确定综合单价。</w:t>
            </w:r>
          </w:p>
          <w:p w14:paraId="0101FE7B">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a.因招标工程量清单特征描述不符，且该变化引起该项目工程造价增减变化的。应按实际施工的项目特征和承包人报价折扣率重新确定综合单价。</w:t>
            </w:r>
          </w:p>
          <w:p w14:paraId="35C434D9">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b.因招标工程量清单缺项，应按上述规定确定单价，并调整合同价款。</w:t>
            </w:r>
          </w:p>
          <w:p w14:paraId="677F241D">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p>
        </w:tc>
        <w:tc>
          <w:tcPr>
            <w:tcW w:w="4455" w:type="dxa"/>
            <w:vAlign w:val="center"/>
          </w:tcPr>
          <w:p w14:paraId="3CD93A48">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15.4.3修改为：</w:t>
            </w:r>
          </w:p>
          <w:p w14:paraId="6E43AEC4">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 变更的估价原则</w:t>
            </w:r>
          </w:p>
          <w:p w14:paraId="375B745D">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（1）工程变更估价执行国家能源局批准的《电力建设工程工程量清单计价规范变电工程》（中国电力行业标准DL/T 5341－2021）（以下简称：2021版清单计价规范）中提出的工程变更管理规定（参见2021版清单计价规范9.3）。发包人依据2021版清单计价规范为基础，结合国网公司直流输电工程管理制度及相关要求，对其中部分内容修订而成的2021版清单计价规范专用条款应优先于2021版清单计价规范，本专用条款中另有约定的，优先于2021版清单计价规范专用条款。</w:t>
            </w:r>
          </w:p>
          <w:p w14:paraId="3198FAA7">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（2）工程量清单中无适用或类似子目的单价的，由承包人根据变更工程资料、计量规则和计价办法提出变更工程项的单价，报发包人审核。</w:t>
            </w:r>
            <w:r>
              <w:rPr>
                <w:rFonts w:hint="eastAsia" w:ascii="方正仿宋_GBK" w:hAnsi="方正仿宋_GBK" w:eastAsia="方正仿宋_GBK" w:cs="方正仿宋_GBK"/>
                <w:color w:val="auto"/>
                <w:sz w:val="18"/>
                <w:szCs w:val="18"/>
                <w:highlight w:val="none"/>
              </w:rPr>
              <w:t>发包人依据 《电力建设工程定额和费用计算规定（2025年版）》确定综合单价，承包人结算单价=发包人确定的综合单价*97%。发包人确定的综合单价中如有直接采用实际采购的设备或装材价格直接计列的费用项，且除税金或其他强制性收费项目外未以此类实际采购费用为基数计取其他费用的，此部分实际采购费用可不参与下浮计算，直接计入结算价中。</w:t>
            </w:r>
          </w:p>
        </w:tc>
      </w:tr>
      <w:tr w14:paraId="77E8EA8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227F256">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5CB01990">
            <w:pPr>
              <w:widowControl/>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napToGrid w:val="0"/>
                <w:kern w:val="0"/>
                <w:sz w:val="18"/>
                <w:szCs w:val="18"/>
                <w:highlight w:val="none"/>
              </w:rPr>
              <w:t>15.6.3</w:t>
            </w:r>
          </w:p>
        </w:tc>
        <w:tc>
          <w:tcPr>
            <w:tcW w:w="3582" w:type="dxa"/>
            <w:vAlign w:val="center"/>
          </w:tcPr>
          <w:p w14:paraId="1A38F622">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15.6.3 关于暂列金额的其他约定如下：</w:t>
            </w:r>
          </w:p>
          <w:p w14:paraId="5860B4FA">
            <w:pPr>
              <w:autoSpaceDE w:val="0"/>
              <w:autoSpaceDN w:val="0"/>
              <w:adjustRightInd w:val="0"/>
              <w:snapToGrid w:val="0"/>
              <w:jc w:val="left"/>
              <w:rPr>
                <w:rFonts w:ascii="方正仿宋_GBK" w:hAnsi="方正仿宋_GBK" w:eastAsia="方正仿宋_GBK" w:cs="方正仿宋_GBK"/>
                <w:snapToGrid w:val="0"/>
                <w:kern w:val="0"/>
                <w:sz w:val="18"/>
                <w:szCs w:val="18"/>
                <w:highlight w:val="none"/>
                <w:u w:val="single"/>
              </w:rPr>
            </w:pPr>
          </w:p>
          <w:p w14:paraId="3B9749B0">
            <w:pPr>
              <w:autoSpaceDE w:val="0"/>
              <w:autoSpaceDN w:val="0"/>
              <w:adjustRightInd w:val="0"/>
              <w:snapToGrid w:val="0"/>
              <w:jc w:val="left"/>
              <w:rPr>
                <w:rFonts w:ascii="方正仿宋_GBK" w:hAnsi="方正仿宋_GBK" w:eastAsia="方正仿宋_GBK" w:cs="方正仿宋_GBK"/>
                <w:snapToGrid w:val="0"/>
                <w:kern w:val="0"/>
                <w:sz w:val="18"/>
                <w:szCs w:val="18"/>
                <w:highlight w:val="none"/>
                <w:u w:val="single"/>
              </w:rPr>
            </w:pPr>
          </w:p>
          <w:p w14:paraId="324382E8">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w:t>
            </w:r>
          </w:p>
          <w:p w14:paraId="1E0928C1">
            <w:pPr>
              <w:widowControl/>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77791FE8">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15.6.3 关于暂列金额的其他约定如下：</w:t>
            </w:r>
          </w:p>
          <w:p w14:paraId="360FD28E">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u w:val="single"/>
              </w:rPr>
              <w:t xml:space="preserve">  详见合同附件《国家电网有限公司特高压换流站电力建设工程工程量清单规范（2021年版）应用工作指南》。</w:t>
            </w:r>
          </w:p>
        </w:tc>
      </w:tr>
      <w:tr w14:paraId="31A9D75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A94D670">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CF58D1E">
            <w:pPr>
              <w:widowControl/>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z w:val="18"/>
                <w:szCs w:val="18"/>
                <w:highlight w:val="none"/>
              </w:rPr>
              <w:t>15.8.1</w:t>
            </w:r>
          </w:p>
        </w:tc>
        <w:tc>
          <w:tcPr>
            <w:tcW w:w="3582" w:type="dxa"/>
            <w:vAlign w:val="center"/>
          </w:tcPr>
          <w:p w14:paraId="6451E7EB">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15.8.1 发包人在工程量清单中给定暂估价的材料、工程设备属于依法必须招标的范围并达到规定的规模标准的，由发包人和承包人以招标的方式选择供应商。发包人和承包人的权利义务关系按以下约定执行：</w:t>
            </w:r>
          </w:p>
          <w:p w14:paraId="48E9E068">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z w:val="18"/>
                <w:szCs w:val="18"/>
                <w:highlight w:val="none"/>
              </w:rPr>
              <w:t xml:space="preserve">。 </w:t>
            </w:r>
          </w:p>
          <w:p w14:paraId="08C7F314">
            <w:pPr>
              <w:widowControl/>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11352744">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15.8.1 发包人在工程量清单中给定暂估价的材料、工程设备属于依法必须招标的范围并达到规定的规模标准的，由发包人和承包人以招标的方式选择供应商。发包人和承包人的权利义务关系按以下约定执行：</w:t>
            </w:r>
          </w:p>
          <w:p w14:paraId="0D8FD550">
            <w:pPr>
              <w:widowControl/>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u w:val="single"/>
              </w:rPr>
              <w:t>详见合同附件《国家电网有限公司特高压换流站电力建设工程工程量清单规范（2021年版）应用工作指南》。</w:t>
            </w:r>
          </w:p>
        </w:tc>
      </w:tr>
      <w:tr w14:paraId="1D91119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C5637AA">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23DDB1E">
            <w:pPr>
              <w:widowControl/>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专用条款16.1（1）</w:t>
            </w:r>
          </w:p>
        </w:tc>
        <w:tc>
          <w:tcPr>
            <w:tcW w:w="3582" w:type="dxa"/>
            <w:vAlign w:val="center"/>
          </w:tcPr>
          <w:p w14:paraId="15FE8DF2">
            <w:pPr>
              <w:rPr>
                <w:rFonts w:ascii="方正仿宋_GBK" w:hAnsi="方正仿宋_GBK" w:eastAsia="方正仿宋_GBK" w:cs="方正仿宋_GBK"/>
                <w:snapToGrid w:val="0"/>
                <w:sz w:val="18"/>
                <w:szCs w:val="18"/>
                <w:highlight w:val="none"/>
              </w:rPr>
            </w:pPr>
            <w:r>
              <w:rPr>
                <w:rFonts w:hint="eastAsia" w:ascii="方正仿宋_GBK" w:hAnsi="方正仿宋_GBK" w:eastAsia="方正仿宋_GBK" w:cs="方正仿宋_GBK"/>
                <w:kern w:val="0"/>
                <w:sz w:val="18"/>
                <w:szCs w:val="18"/>
                <w:highlight w:val="none"/>
              </w:rPr>
              <w:t>16.1（1）</w:t>
            </w:r>
            <w:r>
              <w:rPr>
                <w:rFonts w:hint="eastAsia" w:ascii="方正仿宋_GBK" w:hAnsi="方正仿宋_GBK" w:eastAsia="方正仿宋_GBK" w:cs="方正仿宋_GBK"/>
                <w:snapToGrid w:val="0"/>
                <w:sz w:val="18"/>
                <w:szCs w:val="18"/>
                <w:highlight w:val="none"/>
              </w:rPr>
              <w:t>合同价格包括签约合同价以及按照合同约定进行的调整；</w:t>
            </w:r>
          </w:p>
          <w:p w14:paraId="05334AD0">
            <w:pPr>
              <w:widowControl/>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p>
        </w:tc>
        <w:tc>
          <w:tcPr>
            <w:tcW w:w="4455" w:type="dxa"/>
            <w:vAlign w:val="center"/>
          </w:tcPr>
          <w:p w14:paraId="647594F1">
            <w:pPr>
              <w:widowControl/>
              <w:adjustRightInd w:val="0"/>
              <w:snapToGrid w:val="0"/>
              <w:jc w:val="left"/>
              <w:rPr>
                <w:rFonts w:ascii="方正仿宋_GBK" w:hAnsi="方正仿宋_GBK" w:eastAsia="方正仿宋_GBK" w:cs="方正仿宋_GBK"/>
                <w:color w:val="000000" w:themeColor="text1"/>
                <w:kern w:val="0"/>
                <w:sz w:val="18"/>
                <w:szCs w:val="18"/>
                <w:highlight w:val="none"/>
                <w:u w:val="single"/>
                <w14:textFill>
                  <w14:solidFill>
                    <w14:schemeClr w14:val="tx1"/>
                  </w14:solidFill>
                </w14:textFill>
              </w:rPr>
            </w:pPr>
            <w:r>
              <w:rPr>
                <w:rFonts w:hint="eastAsia" w:ascii="方正仿宋_GBK" w:hAnsi="方正仿宋_GBK" w:eastAsia="方正仿宋_GBK" w:cs="方正仿宋_GBK"/>
                <w:sz w:val="18"/>
                <w:szCs w:val="18"/>
                <w:highlight w:val="none"/>
              </w:rPr>
              <w:t>16.1（1）修改为：合同价格包括签约合同价以及按照合同约定进行的调整。本工程签约合同价见合同协议书，最终合同价格根据工程结算时的工程量、总价子目（如有）以及根据合同约定需增减的其他费用确定。中标综合单价（包括分部分项单价、措施单价等）和单列包干费用为固定价，在合同有效期间保持不变，不因不可抗力事件等因素而调整，合同另有约定时除外。</w:t>
            </w:r>
          </w:p>
        </w:tc>
      </w:tr>
      <w:tr w14:paraId="39E1E8D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5C81B39">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5FEC9CB4">
            <w:pPr>
              <w:widowControl/>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napToGrid w:val="0"/>
                <w:sz w:val="18"/>
                <w:szCs w:val="18"/>
                <w:highlight w:val="none"/>
              </w:rPr>
              <w:t>16.1</w:t>
            </w:r>
            <w:r>
              <w:rPr>
                <w:rFonts w:hint="eastAsia" w:ascii="方正仿宋_GBK" w:hAnsi="方正仿宋_GBK" w:eastAsia="方正仿宋_GBK" w:cs="方正仿宋_GBK"/>
                <w:kern w:val="0"/>
                <w:sz w:val="18"/>
                <w:szCs w:val="18"/>
                <w:highlight w:val="none"/>
              </w:rPr>
              <w:t>（4）</w:t>
            </w:r>
          </w:p>
        </w:tc>
        <w:tc>
          <w:tcPr>
            <w:tcW w:w="3582" w:type="dxa"/>
            <w:vAlign w:val="center"/>
          </w:tcPr>
          <w:p w14:paraId="432FA245">
            <w:pPr>
              <w:rPr>
                <w:rFonts w:ascii="方正仿宋_GBK" w:hAnsi="方正仿宋_GBK" w:eastAsia="方正仿宋_GBK" w:cs="方正仿宋_GBK"/>
                <w:snapToGrid w:val="0"/>
                <w:sz w:val="18"/>
                <w:szCs w:val="18"/>
                <w:highlight w:val="none"/>
              </w:rPr>
            </w:pPr>
            <w:r>
              <w:rPr>
                <w:rFonts w:hint="eastAsia" w:ascii="方正仿宋_GBK" w:hAnsi="方正仿宋_GBK" w:eastAsia="方正仿宋_GBK" w:cs="方正仿宋_GBK"/>
                <w:snapToGrid w:val="0"/>
                <w:sz w:val="18"/>
                <w:szCs w:val="18"/>
                <w:highlight w:val="none"/>
              </w:rPr>
              <w:t>16.1（4）工程量清单对应的综合单价与实际完成此清单工作内容的费用存在显著价格差异时，调整原则执行现行的国家电网有限公司输变电工程工程量清单计价规范及下列约定：</w:t>
            </w:r>
          </w:p>
          <w:p w14:paraId="6CC78151">
            <w:pPr>
              <w:overflowPunct w:val="0"/>
              <w:rPr>
                <w:rFonts w:ascii="方正仿宋_GBK" w:hAnsi="方正仿宋_GBK" w:eastAsia="方正仿宋_GBK" w:cs="方正仿宋_GBK"/>
                <w:snapToGrid w:val="0"/>
                <w:sz w:val="18"/>
                <w:szCs w:val="18"/>
                <w:highlight w:val="none"/>
              </w:rPr>
            </w:pPr>
            <w:r>
              <w:rPr>
                <w:rFonts w:hint="eastAsia" w:ascii="方正仿宋_GBK" w:hAnsi="方正仿宋_GBK" w:eastAsia="方正仿宋_GBK" w:cs="方正仿宋_GBK"/>
                <w:snapToGrid w:val="0"/>
                <w:sz w:val="18"/>
                <w:szCs w:val="18"/>
                <w:highlight w:val="none"/>
              </w:rPr>
              <w:t>①合同价格形式为总价合同的，工程量的调整范围及超过约定范围的单价确定方式：</w:t>
            </w:r>
          </w:p>
          <w:p w14:paraId="05BA418D">
            <w:pPr>
              <w:overflowPunct w:val="0"/>
              <w:rPr>
                <w:rFonts w:ascii="方正仿宋_GBK" w:hAnsi="方正仿宋_GBK" w:eastAsia="方正仿宋_GBK" w:cs="方正仿宋_GBK"/>
                <w:snapToGrid w:val="0"/>
                <w:sz w:val="18"/>
                <w:szCs w:val="18"/>
                <w:highlight w:val="none"/>
              </w:rPr>
            </w:pPr>
            <w:r>
              <w:rPr>
                <w:rFonts w:hint="eastAsia" w:ascii="方正仿宋_GBK" w:hAnsi="方正仿宋_GBK" w:eastAsia="方正仿宋_GBK" w:cs="方正仿宋_GBK"/>
                <w:snapToGrid w:val="0"/>
                <w:sz w:val="18"/>
                <w:szCs w:val="18"/>
                <w:highlight w:val="none"/>
              </w:rPr>
              <w:t>。</w:t>
            </w:r>
          </w:p>
          <w:p w14:paraId="1B136587">
            <w:pPr>
              <w:kinsoku w:val="0"/>
              <w:overflowPunct w:val="0"/>
              <w:autoSpaceDE w:val="0"/>
              <w:autoSpaceDN w:val="0"/>
              <w:adjustRightInd w:val="0"/>
              <w:snapToGrid w:val="0"/>
              <w:rPr>
                <w:rFonts w:ascii="方正仿宋_GBK" w:hAnsi="方正仿宋_GBK" w:eastAsia="方正仿宋_GBK" w:cs="方正仿宋_GBK"/>
                <w:snapToGrid w:val="0"/>
                <w:sz w:val="18"/>
                <w:szCs w:val="18"/>
                <w:highlight w:val="none"/>
              </w:rPr>
            </w:pPr>
            <w:r>
              <w:rPr>
                <w:rFonts w:hint="eastAsia" w:ascii="方正仿宋_GBK" w:hAnsi="方正仿宋_GBK" w:eastAsia="方正仿宋_GBK" w:cs="方正仿宋_GBK"/>
                <w:snapToGrid w:val="0"/>
                <w:sz w:val="18"/>
                <w:szCs w:val="18"/>
                <w:highlight w:val="none"/>
              </w:rPr>
              <w:t>②合同价格形式为单价合同的，工程量偏差超过±%时，综合单价的调整方式：</w:t>
            </w:r>
          </w:p>
          <w:p w14:paraId="1960E03F">
            <w:pPr>
              <w:kinsoku w:val="0"/>
              <w:overflowPunct w:val="0"/>
              <w:autoSpaceDE w:val="0"/>
              <w:autoSpaceDN w:val="0"/>
              <w:adjustRightInd w:val="0"/>
              <w:snapToGrid w:val="0"/>
              <w:rPr>
                <w:rFonts w:ascii="方正仿宋_GBK" w:hAnsi="方正仿宋_GBK" w:eastAsia="方正仿宋_GBK" w:cs="方正仿宋_GBK"/>
                <w:snapToGrid w:val="0"/>
                <w:sz w:val="18"/>
                <w:szCs w:val="18"/>
                <w:highlight w:val="none"/>
                <w:u w:val="single"/>
              </w:rPr>
            </w:pPr>
          </w:p>
          <w:p w14:paraId="474FCA8D">
            <w:pPr>
              <w:kinsoku w:val="0"/>
              <w:overflowPunct w:val="0"/>
              <w:autoSpaceDE w:val="0"/>
              <w:autoSpaceDN w:val="0"/>
              <w:adjustRightInd w:val="0"/>
              <w:snapToGrid w:val="0"/>
              <w:rPr>
                <w:rFonts w:ascii="方正仿宋_GBK" w:hAnsi="方正仿宋_GBK" w:eastAsia="方正仿宋_GBK" w:cs="方正仿宋_GBK"/>
                <w:snapToGrid w:val="0"/>
                <w:sz w:val="18"/>
                <w:szCs w:val="18"/>
                <w:highlight w:val="none"/>
              </w:rPr>
            </w:pPr>
            <w:r>
              <w:rPr>
                <w:rFonts w:hint="eastAsia" w:ascii="方正仿宋_GBK" w:hAnsi="方正仿宋_GBK" w:eastAsia="方正仿宋_GBK" w:cs="方正仿宋_GBK"/>
                <w:snapToGrid w:val="0"/>
                <w:sz w:val="18"/>
                <w:szCs w:val="18"/>
                <w:highlight w:val="none"/>
              </w:rPr>
              <w:t>。</w:t>
            </w:r>
          </w:p>
          <w:p w14:paraId="0E1B0D8C">
            <w:pPr>
              <w:rPr>
                <w:rFonts w:ascii="方正仿宋_GBK" w:hAnsi="方正仿宋_GBK" w:eastAsia="方正仿宋_GBK" w:cs="方正仿宋_GBK"/>
                <w:snapToGrid w:val="0"/>
                <w:sz w:val="18"/>
                <w:szCs w:val="18"/>
                <w:highlight w:val="none"/>
                <w:u w:val="single"/>
              </w:rPr>
            </w:pPr>
            <w:r>
              <w:rPr>
                <w:rFonts w:hint="eastAsia" w:ascii="方正仿宋_GBK" w:hAnsi="方正仿宋_GBK" w:eastAsia="方正仿宋_GBK" w:cs="方正仿宋_GBK"/>
                <w:snapToGrid w:val="0"/>
                <w:sz w:val="18"/>
                <w:szCs w:val="18"/>
                <w:highlight w:val="none"/>
              </w:rPr>
              <w:t>③其他：</w:t>
            </w:r>
          </w:p>
          <w:p w14:paraId="376A60F9">
            <w:pPr>
              <w:rPr>
                <w:rFonts w:ascii="方正仿宋_GBK" w:hAnsi="方正仿宋_GBK" w:eastAsia="方正仿宋_GBK" w:cs="方正仿宋_GBK"/>
                <w:snapToGrid w:val="0"/>
                <w:sz w:val="18"/>
                <w:szCs w:val="18"/>
                <w:highlight w:val="none"/>
                <w:u w:val="single"/>
              </w:rPr>
            </w:pPr>
          </w:p>
          <w:p w14:paraId="054A4CA3">
            <w:pPr>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sz w:val="18"/>
                <w:szCs w:val="18"/>
                <w:highlight w:val="none"/>
              </w:rPr>
              <w:t>。</w:t>
            </w:r>
          </w:p>
        </w:tc>
        <w:tc>
          <w:tcPr>
            <w:tcW w:w="4455" w:type="dxa"/>
            <w:vAlign w:val="center"/>
          </w:tcPr>
          <w:p w14:paraId="1739B54D">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16.1（4）工程量清单对应的综合单价与实际完成此清单工作内容的费用存在显著价格差异时，调整原则执行现行的国家电网有限公司输变电工程工程量清单计价规范及下列约定：</w:t>
            </w:r>
          </w:p>
          <w:p w14:paraId="48527420">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①合同价格形式为总价合同的，工程量的调整范围及超过约定范围的单价确定方式：</w:t>
            </w:r>
            <w:r>
              <w:rPr>
                <w:rFonts w:hint="eastAsia" w:ascii="方正仿宋_GBK" w:hAnsi="方正仿宋_GBK" w:eastAsia="方正仿宋_GBK" w:cs="方正仿宋_GBK"/>
                <w:kern w:val="0"/>
                <w:sz w:val="18"/>
                <w:szCs w:val="18"/>
                <w:highlight w:val="none"/>
                <w:u w:val="single"/>
              </w:rPr>
              <w:t xml:space="preserve">不予调整。 </w:t>
            </w:r>
          </w:p>
          <w:p w14:paraId="42E68879">
            <w:pPr>
              <w:widowControl/>
              <w:adjustRightInd w:val="0"/>
              <w:snapToGrid w:val="0"/>
              <w:jc w:val="left"/>
              <w:rPr>
                <w:rFonts w:ascii="方正仿宋_GBK" w:hAnsi="方正仿宋_GBK" w:eastAsia="方正仿宋_GBK" w:cs="方正仿宋_GBK"/>
                <w:kern w:val="0"/>
                <w:sz w:val="18"/>
                <w:szCs w:val="18"/>
                <w:highlight w:val="none"/>
                <w:u w:val="single"/>
              </w:rPr>
            </w:pPr>
            <w:r>
              <w:rPr>
                <w:rFonts w:hint="eastAsia" w:ascii="方正仿宋_GBK" w:hAnsi="方正仿宋_GBK" w:eastAsia="方正仿宋_GBK" w:cs="方正仿宋_GBK"/>
                <w:sz w:val="18"/>
                <w:szCs w:val="18"/>
                <w:highlight w:val="none"/>
              </w:rPr>
              <w:t>②合同价格形式为单价合同的，工程量偏差超过±</w:t>
            </w:r>
            <w:r>
              <w:rPr>
                <w:rFonts w:hint="eastAsia" w:ascii="方正仿宋_GBK" w:hAnsi="方正仿宋_GBK" w:eastAsia="方正仿宋_GBK" w:cs="方正仿宋_GBK"/>
                <w:sz w:val="18"/>
                <w:szCs w:val="18"/>
                <w:highlight w:val="none"/>
                <w:u w:val="single"/>
              </w:rPr>
              <w:t>15</w:t>
            </w:r>
            <w:r>
              <w:rPr>
                <w:rFonts w:hint="eastAsia" w:ascii="方正仿宋_GBK" w:hAnsi="方正仿宋_GBK" w:eastAsia="方正仿宋_GBK" w:cs="方正仿宋_GBK"/>
                <w:sz w:val="18"/>
                <w:szCs w:val="18"/>
                <w:highlight w:val="none"/>
              </w:rPr>
              <w:t>%时，综合单价的调整方式：</w:t>
            </w:r>
            <w:r>
              <w:rPr>
                <w:rFonts w:hint="eastAsia" w:ascii="方正仿宋_GBK" w:hAnsi="方正仿宋_GBK" w:eastAsia="方正仿宋_GBK" w:cs="方正仿宋_GBK"/>
                <w:kern w:val="0"/>
                <w:sz w:val="18"/>
                <w:szCs w:val="18"/>
                <w:highlight w:val="none"/>
                <w:u w:val="single"/>
              </w:rPr>
              <w:t xml:space="preserve">详见合同附件《国家电网有限公司特高压换流站电力建设工程工程量清单规范(2021年版）应用工作指南》计价规范专用条款9.6.2条。 </w:t>
            </w:r>
          </w:p>
          <w:p w14:paraId="0C357A87">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③其他：</w:t>
            </w:r>
            <w:r>
              <w:rPr>
                <w:rFonts w:hint="eastAsia" w:ascii="方正仿宋_GBK" w:hAnsi="方正仿宋_GBK" w:eastAsia="方正仿宋_GBK" w:cs="方正仿宋_GBK"/>
                <w:kern w:val="0"/>
                <w:sz w:val="18"/>
                <w:szCs w:val="18"/>
                <w:highlight w:val="none"/>
                <w:u w:val="single"/>
              </w:rPr>
              <w:t xml:space="preserve">  经合同各方共同确认该工程量清单项目的综合单价明显偏离正常合理范围的，详见合同附件《国家电网有限公司特高压换流站电力建设工程工程量清单规范(2021年版）应用工作指南》计价规范专用条款9.3.1条。</w:t>
            </w:r>
          </w:p>
        </w:tc>
      </w:tr>
      <w:tr w14:paraId="77A463D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D32B938">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76870E4">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专用条款16.1（5）</w:t>
            </w:r>
          </w:p>
        </w:tc>
        <w:tc>
          <w:tcPr>
            <w:tcW w:w="3582" w:type="dxa"/>
            <w:vAlign w:val="center"/>
          </w:tcPr>
          <w:p w14:paraId="1BC9DB91">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无</w:t>
            </w:r>
          </w:p>
        </w:tc>
        <w:tc>
          <w:tcPr>
            <w:tcW w:w="4455" w:type="dxa"/>
            <w:vAlign w:val="center"/>
          </w:tcPr>
          <w:p w14:paraId="463F49D9">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16.1（5）增加：</w:t>
            </w:r>
          </w:p>
          <w:p w14:paraId="523F9FF5">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双方确定签约合同价中已充分考虑且包括了以下费用，除合同另有约定外，结算时合同价格不予调整：</w:t>
            </w:r>
          </w:p>
          <w:p w14:paraId="4A5DE909">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（1）承包人按规定办理各种施工手续所需费用。</w:t>
            </w:r>
          </w:p>
          <w:p w14:paraId="72FD10A9">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承包人施工临时场地、过路过桥费、进退场费、正常施工条件或招标资料对应的施工条件下所需采取的各项措施费、施工过程中的环卫费、建筑垃圾处理费等。超出招标文件规定及合同约定的施工条件，而另行增加的各种特殊施工措施性费用，可适当予以补偿。</w:t>
            </w:r>
          </w:p>
          <w:p w14:paraId="3033AB2D">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（3）发包人采购的材料、设备（即甲供材料、设备）的卸车或配合卸车、保管费及合同规定由承包人负责的站外运输费用。</w:t>
            </w:r>
          </w:p>
          <w:p w14:paraId="3FB85C90">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（4）设备材料在站区围墙内发生的二次或多次倒运发生的费用。</w:t>
            </w:r>
          </w:p>
          <w:p w14:paraId="6C749AEC">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（5）土石方在站内外的周转及倒运发生的费用：含承包人在站内外的土石方的二次或多次临时周转、倒运及碾压、淤泥土的现场翻晒、水土保持措施、场地复垦费用。</w:t>
            </w:r>
          </w:p>
          <w:p w14:paraId="7184C7B9">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（6）承包人围墙内场地平整的费用（包括可能发生的多次平整），及最终按设计零米标高的精平费用。</w:t>
            </w:r>
          </w:p>
          <w:p w14:paraId="03CF1D75">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（7）承包人施工过程中产生的弃土倒运（建筑工程施工结束后，经设计明确界定为永久弃土除外，其转运至永久弃土场所必须的开挖、装卸、运输及永久弃土场的土方平整费用可另行计入结算）。</w:t>
            </w:r>
          </w:p>
          <w:p w14:paraId="7C54B89B">
            <w:pPr>
              <w:widowControl/>
              <w:adjustRightInd w:val="0"/>
              <w:snapToGrid w:val="0"/>
              <w:jc w:val="left"/>
              <w:rPr>
                <w:rFonts w:hint="eastAsia" w:ascii="方正仿宋_GBK" w:hAnsi="方正仿宋_GBK" w:eastAsia="方正仿宋_GBK" w:cs="方正仿宋_GBK"/>
                <w:i w:val="0"/>
                <w:strike w:val="0"/>
                <w:spacing w:val="0"/>
                <w:sz w:val="18"/>
                <w:highlight w:val="none"/>
                <w:u w:val="none"/>
              </w:rPr>
            </w:pPr>
            <w:r>
              <w:rPr>
                <w:rFonts w:hint="eastAsia" w:ascii="方正仿宋_GBK" w:hAnsi="方正仿宋_GBK" w:eastAsia="方正仿宋_GBK" w:cs="方正仿宋_GBK"/>
                <w:sz w:val="18"/>
                <w:szCs w:val="18"/>
                <w:highlight w:val="none"/>
              </w:rPr>
              <w:t>（8）</w:t>
            </w:r>
            <w:r>
              <w:rPr>
                <w:rFonts w:ascii="方正仿宋_GBK" w:hAnsi="方正仿宋_GBK" w:eastAsia="方正仿宋_GBK" w:cs="方正仿宋_GBK"/>
                <w:i w:val="0"/>
                <w:strike w:val="0"/>
                <w:spacing w:val="0"/>
                <w:sz w:val="18"/>
                <w:highlight w:val="none"/>
                <w:u w:val="none"/>
              </w:rPr>
              <w:t>承包人自行改变招标文件、经审定设计文件中的土石方开挖、临时道路修筑、施工</w:t>
            </w:r>
            <w:r>
              <w:rPr>
                <w:rFonts w:hint="eastAsia" w:ascii="方正仿宋_GBK" w:hAnsi="方正仿宋_GBK" w:eastAsia="方正仿宋_GBK" w:cs="方正仿宋_GBK"/>
                <w:i w:val="0"/>
                <w:strike w:val="0"/>
                <w:spacing w:val="0"/>
                <w:sz w:val="18"/>
                <w:highlight w:val="none"/>
                <w:u w:val="none"/>
              </w:rPr>
              <w:t>排水及</w:t>
            </w:r>
            <w:r>
              <w:rPr>
                <w:rFonts w:ascii="方正仿宋_GBK" w:hAnsi="方正仿宋_GBK" w:eastAsia="方正仿宋_GBK" w:cs="方正仿宋_GBK"/>
                <w:i w:val="0"/>
                <w:strike w:val="0"/>
                <w:spacing w:val="0"/>
                <w:sz w:val="18"/>
                <w:highlight w:val="none"/>
                <w:u w:val="none"/>
              </w:rPr>
              <w:t>降水措施、运输方式等施工方案增加的费用</w:t>
            </w:r>
            <w:r>
              <w:rPr>
                <w:rFonts w:hint="eastAsia" w:ascii="方正仿宋_GBK" w:hAnsi="方正仿宋_GBK" w:eastAsia="方正仿宋_GBK" w:cs="方正仿宋_GBK"/>
                <w:i w:val="0"/>
                <w:strike w:val="0"/>
                <w:spacing w:val="0"/>
                <w:sz w:val="18"/>
                <w:highlight w:val="none"/>
                <w:u w:val="none"/>
              </w:rPr>
              <w:t>。</w:t>
            </w:r>
          </w:p>
          <w:p w14:paraId="61D9F265">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（9）混凝土由于水平或垂直运输方式（包括泵车、罐车及管道泵送等）不同，而增加的施工费用。</w:t>
            </w:r>
          </w:p>
          <w:p w14:paraId="14E91A71">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（10）混凝土施工工艺美观措施费及未经设计、监理同意而增加的各种添加剂、超出设计要求的基础二次灌浆材料等增加的费用。</w:t>
            </w:r>
          </w:p>
          <w:p w14:paraId="1995C56B">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（11）承包人采购材料的价格变动未超过基准价±8%费用。</w:t>
            </w:r>
          </w:p>
          <w:p w14:paraId="0D1A5229">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（12）承包人配合其它承包人的配合费用，配合工程质量监督、竣工预验收、竣工验收、环保、水保、档案等专项验收、达标投产及评优、后评估工作等的费用。 </w:t>
            </w:r>
          </w:p>
          <w:p w14:paraId="1AFD0C83">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13）承包人以各种原因提出要求补偿的费用，包括但不限于：合同目标工期内由于承包人自身造成的误工、窝工费，天气等自然因素引起的承包人窝工或施工降效费（不包括因发包人原因造成的窝工以及因自然灾害导致的窝工或施工降效），承包人自行赶工费，交叉施工降效费，承包人为争创国优或鲁班奖而提高标准等而增加的费用，属于承包人应整改、消缺的费用，承包人施工用水、施工用电费，承包人施工期间对周边地方的干扰赔偿费，承包人用于防治新型冠状病毒感染的肺炎等流行性疾病的费用（含低风险区域或三级响应及以下防控措施状态的常态化流行性疾病防控措施费用，不含中、高风险状态或达到二级响应及以上防控措施状态的流行性疾病防控措施费用）。因发包人提出的工期调整原因造成的措施性费用增加除外。</w:t>
            </w:r>
          </w:p>
          <w:p w14:paraId="7D0B021C">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14）未经发包人同意，承包人发生爆破开挖、碾碎回填、现场风化处理的费用，承包人自行外购回填砂或碎石而增加的费用，承包人自行在站内或站外进行预制构件的预制，或采购预制构件所发生的价差及站外运输所发生的费用。</w:t>
            </w:r>
          </w:p>
        </w:tc>
      </w:tr>
      <w:tr w14:paraId="0A624C3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B000E9D">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4462993">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专用条款16.2.4</w:t>
            </w:r>
          </w:p>
        </w:tc>
        <w:tc>
          <w:tcPr>
            <w:tcW w:w="3582" w:type="dxa"/>
            <w:vAlign w:val="center"/>
          </w:tcPr>
          <w:p w14:paraId="2B944BD9">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16.2.4 物价波动引起的价格调整</w:t>
            </w:r>
          </w:p>
          <w:p w14:paraId="683694A8">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因物价波动引起的价格调整，经发包人与承包人协商同意，按照如下约定处理：</w:t>
            </w:r>
          </w:p>
          <w:p w14:paraId="7DA1D4A5">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（1）人工单价发生变化时，以投标时电力工程造价与定额管理总站发布的工程所在地人工调整系数为基准，按工程施工期电力工程造价与定额管理总站发布的人工单价调整系数进行补差。</w:t>
            </w:r>
          </w:p>
          <w:p w14:paraId="49B44C1F">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2）承包人采购的可调整材料调整为：变电站建筑工程、线路工程包括砂、水泥、石子（或商品混凝土）、砖、钢材，以工程所在地投标截止日前一个月的信息价为基准价，施工期（工程开工至建筑工程转序验收或线路工程基础完工验收时间为准）内平均信息价变动超过基准价±5%（不含±5%）时，变动超过±5%部分给予调整。</w:t>
            </w:r>
          </w:p>
          <w:p w14:paraId="45524DF2">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（3）机械、安装工程定额材料价格发生变化时，以投标时电力工程造价与定额管理总站发布的工程所在地价格调整系数为基准，按工程施工期电力工程造价与定额管理总站发布的价格调整系数进行补差。</w:t>
            </w:r>
          </w:p>
          <w:p w14:paraId="6F9E0B5C">
            <w:pPr>
              <w:autoSpaceDN w:val="0"/>
              <w:jc w:val="left"/>
              <w:textAlignment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sz w:val="18"/>
                <w:szCs w:val="18"/>
                <w:highlight w:val="none"/>
              </w:rPr>
              <w:t>（4）人工、材料、机械价格调整费用不作为其他费用的计取基数，只计取税金。</w:t>
            </w:r>
          </w:p>
        </w:tc>
        <w:tc>
          <w:tcPr>
            <w:tcW w:w="4455" w:type="dxa"/>
          </w:tcPr>
          <w:p w14:paraId="3FF72DC8">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16.2.4 修改为：</w:t>
            </w:r>
          </w:p>
          <w:p w14:paraId="3A97DFEB">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物价波动引起的价格调整</w:t>
            </w:r>
          </w:p>
          <w:p w14:paraId="579659A2">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因物价波动引起的价格调整，经发包人与承包人协商同意，按照如下约定处理：</w:t>
            </w:r>
          </w:p>
          <w:p w14:paraId="0B410BCF">
            <w:pPr>
              <w:widowControl/>
              <w:numPr>
                <w:ilvl w:val="0"/>
                <w:numId w:val="6"/>
              </w:numPr>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人工单价发生变化时，以电力工程造价与定额管理总站发布的投标截止日前一个月工程所在地人工调整系数为基准，按电力工程造价与定额管理总站发布的工程施工期人工单价调整系数进行补差。</w:t>
            </w:r>
          </w:p>
          <w:p w14:paraId="2FD66689">
            <w:pPr>
              <w:widowControl/>
              <w:numPr>
                <w:ilvl w:val="0"/>
                <w:numId w:val="6"/>
              </w:numPr>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承包人采购的可调整材料调整为：</w:t>
            </w:r>
          </w:p>
          <w:p w14:paraId="7E84B4A8">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变电站桩基工程、建筑工程、线路工程包括砂、石子、胶凝材料（如水泥、石灰等）、砖、钢材、有色金属以及商品混凝土、预制构件等。</w:t>
            </w:r>
          </w:p>
          <w:p w14:paraId="5F2EED11">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安装工程包括接地主材、电缆、管母、软导线、防火材料等。</w:t>
            </w:r>
          </w:p>
          <w:p w14:paraId="39CEBEA1">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以工程所在地投标截止日前一个月（基准日）的可适用于本工程的信息价（含经发包人确认的公开价格信息网站公布价）为基准价（部分地方性材料信息价来源见下表）；无对应信息价的可以采用基准日现货或期货价格指数平均价格为基准价；既无信息价又无类似价格指数作参照的，则以第三方（经发包人确认的市场主管部门或单位、行业协会等）出具的可适用于本工程的价格支撑材料作为基准价依据；无法取得其他来源的基准价时，经发包人确认的自公开市场取得的价格凭证可作为核定基准价的参考。</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5014"/>
              <w:gridCol w:w="1875"/>
            </w:tblGrid>
            <w:tr w14:paraId="3212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778548E8">
                  <w:pPr>
                    <w:jc w:val="center"/>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地方性材料名称</w:t>
                  </w:r>
                </w:p>
              </w:tc>
              <w:tc>
                <w:tcPr>
                  <w:tcW w:w="5014" w:type="dxa"/>
                </w:tcPr>
                <w:p w14:paraId="3A99372D">
                  <w:pPr>
                    <w:jc w:val="left"/>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信息价来源</w:t>
                  </w:r>
                </w:p>
              </w:tc>
              <w:tc>
                <w:tcPr>
                  <w:tcW w:w="1875" w:type="dxa"/>
                </w:tcPr>
                <w:p w14:paraId="204BB8C4">
                  <w:pPr>
                    <w:rPr>
                      <w:rFonts w:ascii="方正仿宋_GBK" w:hAnsi="方正仿宋_GBK" w:eastAsia="方正仿宋_GBK" w:cs="方正仿宋_GBK"/>
                      <w:color w:val="000000" w:themeColor="text1"/>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信息价之外所增加运距（km）</w:t>
                  </w:r>
                </w:p>
              </w:tc>
            </w:tr>
            <w:tr w14:paraId="748F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vAlign w:val="center"/>
                </w:tcPr>
                <w:p w14:paraId="15D5A0CF">
                  <w:pPr>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砂、石子、石灰、砖</w:t>
                  </w:r>
                </w:p>
              </w:tc>
              <w:tc>
                <w:tcPr>
                  <w:tcW w:w="5014" w:type="dxa"/>
                  <w:vAlign w:val="center"/>
                </w:tcPr>
                <w:p w14:paraId="14C5B921">
                  <w:pPr>
                    <w:jc w:val="left"/>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××县信息价(××工程造价信息网)</w:t>
                  </w:r>
                </w:p>
              </w:tc>
              <w:tc>
                <w:tcPr>
                  <w:tcW w:w="1875" w:type="dxa"/>
                  <w:vAlign w:val="center"/>
                </w:tcPr>
                <w:p w14:paraId="67359929">
                  <w:pPr>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r>
            <w:tr w14:paraId="095D5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49053CCF">
                  <w:pPr>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水泥</w:t>
                  </w:r>
                </w:p>
              </w:tc>
              <w:tc>
                <w:tcPr>
                  <w:tcW w:w="5014" w:type="dxa"/>
                  <w:vAlign w:val="center"/>
                </w:tcPr>
                <w:p w14:paraId="7DB2068D">
                  <w:pPr>
                    <w:jc w:val="left"/>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××县信息价(××工程造价信息网)</w:t>
                  </w:r>
                </w:p>
              </w:tc>
              <w:tc>
                <w:tcPr>
                  <w:tcW w:w="1875" w:type="dxa"/>
                  <w:vAlign w:val="center"/>
                </w:tcPr>
                <w:p w14:paraId="22CE6836">
                  <w:pPr>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r>
            <w:tr w14:paraId="199F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2A1C1876">
                  <w:pPr>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钢材</w:t>
                  </w:r>
                </w:p>
              </w:tc>
              <w:tc>
                <w:tcPr>
                  <w:tcW w:w="5014" w:type="dxa"/>
                </w:tcPr>
                <w:p w14:paraId="38B76CB5">
                  <w:pPr>
                    <w:jc w:val="left"/>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××县信息价(××工程造价信息网)</w:t>
                  </w:r>
                </w:p>
              </w:tc>
              <w:tc>
                <w:tcPr>
                  <w:tcW w:w="1875" w:type="dxa"/>
                </w:tcPr>
                <w:p w14:paraId="5AB5C051">
                  <w:pPr>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r>
            <w:tr w14:paraId="3B58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28C1212C">
                  <w:pPr>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有色金属</w:t>
                  </w:r>
                </w:p>
              </w:tc>
              <w:tc>
                <w:tcPr>
                  <w:tcW w:w="5014" w:type="dxa"/>
                  <w:vAlign w:val="center"/>
                </w:tcPr>
                <w:p w14:paraId="1CE24169">
                  <w:pPr>
                    <w:jc w:val="left"/>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××县信息价(××工程造价信息网)</w:t>
                  </w:r>
                </w:p>
              </w:tc>
              <w:tc>
                <w:tcPr>
                  <w:tcW w:w="1875" w:type="dxa"/>
                  <w:vAlign w:val="center"/>
                </w:tcPr>
                <w:p w14:paraId="21215CD3">
                  <w:pPr>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r>
            <w:tr w14:paraId="2704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tcPr>
                <w:p w14:paraId="69FD3F85">
                  <w:pPr>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商品混凝土</w:t>
                  </w:r>
                </w:p>
              </w:tc>
              <w:tc>
                <w:tcPr>
                  <w:tcW w:w="5014" w:type="dxa"/>
                  <w:vAlign w:val="center"/>
                </w:tcPr>
                <w:p w14:paraId="3C190CB5">
                  <w:pPr>
                    <w:jc w:val="left"/>
                    <w:rPr>
                      <w:rFonts w:ascii="方正仿宋_GBK" w:hAnsi="方正仿宋_GBK" w:eastAsia="方正仿宋_GBK" w:cs="方正仿宋_GBK"/>
                      <w:color w:val="000000" w:themeColor="text1"/>
                      <w:sz w:val="15"/>
                      <w:szCs w:val="15"/>
                      <w:highlight w:val="none"/>
                      <w14:textFill>
                        <w14:solidFill>
                          <w14:schemeClr w14:val="tx1"/>
                        </w14:solidFill>
                      </w14:textFill>
                    </w:rPr>
                  </w:pPr>
                  <w:r>
                    <w:rPr>
                      <w:rFonts w:hint="eastAsia" w:ascii="方正仿宋_GBK" w:hAnsi="方正仿宋_GBK" w:eastAsia="方正仿宋_GBK" w:cs="方正仿宋_GBK"/>
                      <w:color w:val="000000" w:themeColor="text1"/>
                      <w:sz w:val="15"/>
                      <w:szCs w:val="15"/>
                      <w:highlight w:val="none"/>
                      <w14:textFill>
                        <w14:solidFill>
                          <w14:schemeClr w14:val="tx1"/>
                        </w14:solidFill>
                      </w14:textFill>
                    </w:rPr>
                    <w:t>××县信息价(××工程造价信息网)</w:t>
                  </w:r>
                </w:p>
              </w:tc>
              <w:tc>
                <w:tcPr>
                  <w:tcW w:w="1875" w:type="dxa"/>
                  <w:vAlign w:val="center"/>
                </w:tcPr>
                <w:p w14:paraId="5CC388EC">
                  <w:pPr>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r>
          </w:tbl>
          <w:p w14:paraId="7064FF61">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p w14:paraId="4AFD93B7">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施工期内平均信息价变动超过基准价±8%（不含±8%）时，变动超过±8%部分给予调整。</w:t>
            </w:r>
          </w:p>
          <w:p w14:paraId="2B58CE0C">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桩基工程承包合同对应的施工期应按照承包人开工报审表批准日至全站所有桩基全部完成（以经监理和业主共同确认的施工记录时间为准）。</w:t>
            </w:r>
          </w:p>
          <w:p w14:paraId="6E082AF0">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建筑工程承包合同对应的施工期应按照承包人开工报审表批准日至全站主要建（构）筑物全部完成，经验收后交付安装单位施工时间为准。</w:t>
            </w:r>
          </w:p>
          <w:p w14:paraId="24877956">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安装工程承包合同对应的施工期应按照承包人开工报审表批准日至全站当期建设范围均完成分系统调试，交付站系统调试时间为准。</w:t>
            </w:r>
          </w:p>
          <w:p w14:paraId="1771C124">
            <w:pPr>
              <w:widowControl/>
              <w:adjustRightInd w:val="0"/>
              <w:snapToGrid w:val="0"/>
              <w:rPr>
                <w:rFonts w:ascii="方正仿宋_GBK" w:hAnsi="方正仿宋_GBK" w:eastAsia="方正仿宋_GBK" w:cs="方正仿宋_GBK"/>
                <w:color w:val="000000" w:themeColor="text1"/>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3）机械及安装工程消耗性材料调差约定：建筑工程机械费以投标截止日前一个月电力定额总站发布的工程所在地可调价机械台班价格为基准，按工程施工期电力定额总站发布的工程所在地可调价机械台班价格进行补差。安装工程机械及消耗性材料以投标截止日前一个月电力定额总站发布的工程所在地材机调整系数为基准，按工程施工期电力定额总站发布的工程所在地材机调整系数进行补差。</w:t>
            </w:r>
          </w:p>
        </w:tc>
      </w:tr>
      <w:tr w14:paraId="125CADB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4AEAC84">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0A3DBBC6">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专用条款16.3</w:t>
            </w:r>
          </w:p>
        </w:tc>
        <w:tc>
          <w:tcPr>
            <w:tcW w:w="3582" w:type="dxa"/>
            <w:vAlign w:val="center"/>
          </w:tcPr>
          <w:p w14:paraId="366FE6DE">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16.3 其他</w:t>
            </w:r>
          </w:p>
          <w:p w14:paraId="4A46BCE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 </w:t>
            </w:r>
          </w:p>
          <w:p w14:paraId="28DEF85D">
            <w:pPr>
              <w:widowControl/>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vAlign w:val="center"/>
          </w:tcPr>
          <w:p w14:paraId="64B6DD3E">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16.3 其他补充为：</w:t>
            </w:r>
          </w:p>
          <w:p w14:paraId="0BFED26B">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u w:val="single"/>
              </w:rPr>
              <w:t>其他关于合同价款调整的约定详见合同附件《国家电网有限公司特高压换流站电力建设工程工程量清单规范(2021年版）应用工作指南》。</w:t>
            </w:r>
          </w:p>
        </w:tc>
      </w:tr>
      <w:tr w14:paraId="75FE215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39E4D21">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CA215D9">
            <w:pPr>
              <w:snapToGrid w:val="0"/>
              <w:spacing w:line="240" w:lineRule="atLeast"/>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Style w:val="52"/>
                <w:rFonts w:hint="eastAsia" w:ascii="方正仿宋_GBK" w:hAnsi="方正仿宋_GBK" w:eastAsia="方正仿宋_GBK" w:cs="方正仿宋_GBK"/>
                <w:kern w:val="0"/>
                <w:sz w:val="18"/>
                <w:szCs w:val="18"/>
                <w:highlight w:val="none"/>
              </w:rPr>
              <w:t>专用条款第17.1.2条</w:t>
            </w:r>
          </w:p>
        </w:tc>
        <w:tc>
          <w:tcPr>
            <w:tcW w:w="3582" w:type="dxa"/>
            <w:vAlign w:val="center"/>
          </w:tcPr>
          <w:p w14:paraId="143FF402">
            <w:pPr>
              <w:snapToGrid w:val="0"/>
              <w:spacing w:line="240" w:lineRule="atLeast"/>
              <w:ind w:firstLine="360" w:firstLineChars="200"/>
              <w:jc w:val="left"/>
              <w:rPr>
                <w:rFonts w:ascii="方正仿宋_GBK" w:hAnsi="方正仿宋_GBK" w:eastAsia="方正仿宋_GBK" w:cs="方正仿宋_GBK"/>
                <w:kern w:val="0"/>
                <w:sz w:val="18"/>
                <w:szCs w:val="18"/>
                <w:highlight w:val="none"/>
              </w:rPr>
            </w:pPr>
            <w:r>
              <w:rPr>
                <w:rStyle w:val="52"/>
                <w:rFonts w:hint="eastAsia" w:ascii="方正仿宋_GBK" w:hAnsi="方正仿宋_GBK" w:eastAsia="方正仿宋_GBK" w:cs="方正仿宋_GBK"/>
                <w:kern w:val="0"/>
                <w:sz w:val="18"/>
                <w:szCs w:val="18"/>
                <w:highlight w:val="none"/>
              </w:rPr>
              <w:t>17.1.2计量方法（补充）：</w:t>
            </w:r>
          </w:p>
          <w:p w14:paraId="0668DF44">
            <w:pPr>
              <w:snapToGrid w:val="0"/>
              <w:spacing w:line="240" w:lineRule="atLeast"/>
              <w:ind w:firstLine="360" w:firstLineChars="200"/>
              <w:jc w:val="left"/>
              <w:rPr>
                <w:rFonts w:ascii="方正仿宋_GBK" w:hAnsi="方正仿宋_GBK" w:eastAsia="方正仿宋_GBK" w:cs="方正仿宋_GBK"/>
                <w:kern w:val="0"/>
                <w:sz w:val="18"/>
                <w:szCs w:val="18"/>
                <w:highlight w:val="none"/>
              </w:rPr>
            </w:pPr>
            <w:r>
              <w:rPr>
                <w:rStyle w:val="52"/>
                <w:rFonts w:hint="eastAsia" w:ascii="方正仿宋_GBK" w:hAnsi="方正仿宋_GBK" w:eastAsia="方正仿宋_GBK" w:cs="方正仿宋_GBK"/>
                <w:kern w:val="0"/>
                <w:sz w:val="18"/>
                <w:szCs w:val="18"/>
                <w:highlight w:val="none"/>
              </w:rPr>
              <w:t>工程的计量应以净值为准，除非合同另有约定。</w:t>
            </w:r>
          </w:p>
          <w:p w14:paraId="0B0C59A6">
            <w:pPr>
              <w:snapToGrid w:val="0"/>
              <w:spacing w:line="240" w:lineRule="atLeast"/>
              <w:ind w:firstLine="360" w:firstLineChars="20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52"/>
                <w:rFonts w:hint="eastAsia" w:ascii="方正仿宋_GBK" w:hAnsi="方正仿宋_GBK" w:eastAsia="方正仿宋_GBK" w:cs="方正仿宋_GBK"/>
                <w:kern w:val="0"/>
                <w:sz w:val="18"/>
                <w:szCs w:val="18"/>
                <w:highlight w:val="none"/>
              </w:rPr>
              <w:t>承包人有责任对合同约定的工作内容的工程量进行测算或计量。监理人、发包人中的任何一方有权对工作内容中的任何工程量进行计量或不计量。但任何一方或多方共同的计量结果，均不应成为任何一方要求变更、调整合同价格的理由。</w:t>
            </w:r>
          </w:p>
        </w:tc>
        <w:tc>
          <w:tcPr>
            <w:tcW w:w="4455" w:type="dxa"/>
            <w:vAlign w:val="center"/>
          </w:tcPr>
          <w:p w14:paraId="557781B6">
            <w:pPr>
              <w:snapToGrid w:val="0"/>
              <w:spacing w:line="240" w:lineRule="atLeast"/>
              <w:jc w:val="left"/>
              <w:rPr>
                <w:rFonts w:ascii="方正仿宋_GBK" w:hAnsi="方正仿宋_GBK" w:eastAsia="方正仿宋_GBK" w:cs="方正仿宋_GBK"/>
                <w:b/>
                <w:kern w:val="0"/>
                <w:sz w:val="18"/>
                <w:szCs w:val="18"/>
                <w:highlight w:val="none"/>
              </w:rPr>
            </w:pPr>
            <w:r>
              <w:rPr>
                <w:rStyle w:val="52"/>
                <w:rFonts w:hint="eastAsia" w:ascii="方正仿宋_GBK" w:hAnsi="方正仿宋_GBK" w:eastAsia="方正仿宋_GBK" w:cs="方正仿宋_GBK"/>
                <w:b/>
                <w:kern w:val="0"/>
                <w:sz w:val="18"/>
                <w:szCs w:val="18"/>
                <w:highlight w:val="none"/>
              </w:rPr>
              <w:t>修改为：</w:t>
            </w:r>
          </w:p>
          <w:p w14:paraId="2E8D99DC">
            <w:pPr>
              <w:snapToGrid w:val="0"/>
              <w:spacing w:line="240" w:lineRule="atLeast"/>
              <w:ind w:firstLine="360" w:firstLineChars="200"/>
              <w:jc w:val="left"/>
              <w:rPr>
                <w:rFonts w:ascii="方正仿宋_GBK" w:hAnsi="方正仿宋_GBK" w:eastAsia="方正仿宋_GBK" w:cs="方正仿宋_GBK"/>
                <w:kern w:val="0"/>
                <w:sz w:val="18"/>
                <w:szCs w:val="18"/>
                <w:highlight w:val="none"/>
              </w:rPr>
            </w:pPr>
            <w:r>
              <w:rPr>
                <w:rStyle w:val="52"/>
                <w:rFonts w:hint="eastAsia" w:ascii="方正仿宋_GBK" w:hAnsi="方正仿宋_GBK" w:eastAsia="方正仿宋_GBK" w:cs="方正仿宋_GBK"/>
                <w:kern w:val="0"/>
                <w:sz w:val="18"/>
                <w:szCs w:val="18"/>
                <w:highlight w:val="none"/>
              </w:rPr>
              <w:t>17.1.2计量方法（补充）：</w:t>
            </w:r>
          </w:p>
          <w:p w14:paraId="1F2A1B43">
            <w:pPr>
              <w:snapToGrid w:val="0"/>
              <w:spacing w:line="240" w:lineRule="atLeast"/>
              <w:ind w:firstLine="360" w:firstLineChars="20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52"/>
                <w:rFonts w:hint="eastAsia" w:ascii="方正仿宋_GBK" w:hAnsi="方正仿宋_GBK" w:eastAsia="方正仿宋_GBK" w:cs="方正仿宋_GBK"/>
                <w:kern w:val="0"/>
                <w:sz w:val="18"/>
                <w:szCs w:val="18"/>
                <w:highlight w:val="none"/>
              </w:rPr>
              <w:t>工程的结算工程量依据审定的施工图工程量（包括发包人认可的设计变更、签证）计算；中华人民共和国电力行业标准《电力建设工程工程量清单计价规范》（DL/T 5745-2021）、《电力建设工程工程量清单计算规范 变电工程》（DL/T 5341-2021）及招标文件明确的工程量计算规则。承包人有责任对合同约定的工作内容的工程量进行测算或计量。监理人、发包人中的任何一方有权对工作内容中的任何工程量进行计量或不计量。但任何一方或多方共同的计量结果，均不应成为任何一方要求变更、调整合同价格的理由。</w:t>
            </w:r>
          </w:p>
        </w:tc>
      </w:tr>
      <w:tr w14:paraId="74EC5CE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8A211D9">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0F0AE04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029F4BBA">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17.1.3</w:t>
            </w:r>
          </w:p>
        </w:tc>
        <w:tc>
          <w:tcPr>
            <w:tcW w:w="3582" w:type="dxa"/>
            <w:vAlign w:val="center"/>
          </w:tcPr>
          <w:p w14:paraId="6B86695F">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17.1.3 计量周期：</w:t>
            </w:r>
          </w:p>
          <w:p w14:paraId="004B750D">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按月计量。  </w:t>
            </w:r>
          </w:p>
        </w:tc>
        <w:tc>
          <w:tcPr>
            <w:tcW w:w="4455" w:type="dxa"/>
            <w:vAlign w:val="center"/>
          </w:tcPr>
          <w:p w14:paraId="03F15CE4">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17.1.3修改为：计量周期：</w:t>
            </w:r>
          </w:p>
          <w:p w14:paraId="4CBB4D49">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按月计量，自愿申报。</w:t>
            </w:r>
          </w:p>
        </w:tc>
      </w:tr>
      <w:tr w14:paraId="2EF7F03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BB4B27D">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8BB0FA5">
            <w:pPr>
              <w:widowControl/>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专用条款17.2.1</w:t>
            </w:r>
          </w:p>
        </w:tc>
        <w:tc>
          <w:tcPr>
            <w:tcW w:w="3582" w:type="dxa"/>
            <w:vAlign w:val="center"/>
          </w:tcPr>
          <w:p w14:paraId="21E468DA">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17.2.1 预付款的额度和预付办法如下：</w:t>
            </w:r>
          </w:p>
          <w:p w14:paraId="1F2C2882">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（2）工程预付款的支付时间：在具备施工条件的前提下，发包人应在双方签订合同后的一个月内或约定的开工日期前7天内预付工程款。</w:t>
            </w:r>
          </w:p>
          <w:p w14:paraId="2A263E33">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tcPr>
          <w:p w14:paraId="0BC7773C">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17.2.1修改为：</w:t>
            </w:r>
          </w:p>
          <w:p w14:paraId="63BC7C02">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预付款的额度和预付办法如下：                                                    （2）工程预付款的支付时间：发包人应在双方签订合同后，在具备施工条件的前提下，发包人收到承包人提供的有效收据等票据及履约保函，核实承包人提供的相关预付款申请资料后60个工作日内将预付款支付给承包人。</w:t>
            </w:r>
          </w:p>
        </w:tc>
      </w:tr>
      <w:tr w14:paraId="3AC8C4F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74E70F7">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64C4ABF">
            <w:pPr>
              <w:widowControl/>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z w:val="18"/>
                <w:szCs w:val="18"/>
                <w:highlight w:val="none"/>
              </w:rPr>
              <w:t>17.2.3</w:t>
            </w:r>
          </w:p>
        </w:tc>
        <w:tc>
          <w:tcPr>
            <w:tcW w:w="3582" w:type="dxa"/>
            <w:vAlign w:val="center"/>
          </w:tcPr>
          <w:p w14:paraId="015A1B74">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17.2.3 款预付款扣回与还清</w:t>
            </w:r>
          </w:p>
          <w:p w14:paraId="31E215A0">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 xml:space="preserve">预付款的扣回办法如下： </w:t>
            </w:r>
          </w:p>
          <w:p w14:paraId="4A2F6087">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当工程价款支付至合同价款的50%时，开始抵扣工程预付款，每次扣除当月进度款的60%，扣完为止。</w:t>
            </w:r>
          </w:p>
        </w:tc>
        <w:tc>
          <w:tcPr>
            <w:tcW w:w="4455" w:type="dxa"/>
          </w:tcPr>
          <w:p w14:paraId="3BBB7A6B">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17.2.3 款预付款扣回与还清</w:t>
            </w:r>
          </w:p>
          <w:p w14:paraId="32C85DAF">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themeColor="text1"/>
                <w:sz w:val="18"/>
                <w:szCs w:val="18"/>
                <w:highlight w:val="none"/>
                <w14:textFill>
                  <w14:solidFill>
                    <w14:schemeClr w14:val="tx1"/>
                  </w14:solidFill>
                </w14:textFill>
              </w:rPr>
              <w:t>预付款的扣回办法如下：</w:t>
            </w:r>
          </w:p>
          <w:p w14:paraId="012E880F">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sz w:val="18"/>
                <w:szCs w:val="18"/>
                <w:highlight w:val="none"/>
              </w:rPr>
              <w:t>发包人在支付承包人的工程进度款时，扣除当期工程进度款(扣除暂列金额和安全文明措施费)的20%用于抵扣工程预付款，剩下的80%为承包人当期应得工程进度款，其中人工费用应拨付至承包人开设的农民工工资款专用账户。承包人在申报最后一笔进度款时，应将剩余未抵扣完的预付款一次性抵扣完毕。</w:t>
            </w:r>
          </w:p>
        </w:tc>
      </w:tr>
      <w:tr w14:paraId="723F9F1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EB54312">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0AC45C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z w:val="18"/>
                <w:szCs w:val="18"/>
                <w:highlight w:val="none"/>
              </w:rPr>
              <w:t>17.2.4</w:t>
            </w:r>
          </w:p>
          <w:p w14:paraId="40D65075">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p>
        </w:tc>
        <w:tc>
          <w:tcPr>
            <w:tcW w:w="3582" w:type="dxa"/>
            <w:vAlign w:val="center"/>
          </w:tcPr>
          <w:p w14:paraId="7AA4D4E3">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17.2.4 （增加）：</w:t>
            </w:r>
          </w:p>
          <w:p w14:paraId="5C3B1339">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在完成以下工作后，承包人可申请支付预付款：</w:t>
            </w:r>
          </w:p>
          <w:p w14:paraId="72618992">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（1）合同生效并且发包人收到履约保函；</w:t>
            </w:r>
          </w:p>
          <w:p w14:paraId="4F8F5748">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（2）承包人开工准备工作已完成。</w:t>
            </w:r>
          </w:p>
          <w:p w14:paraId="4BA23F3B">
            <w:pPr>
              <w:widowControl/>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4455" w:type="dxa"/>
          </w:tcPr>
          <w:p w14:paraId="1B47DF00">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17.2.4（增加）：</w:t>
            </w:r>
          </w:p>
          <w:p w14:paraId="7DD01557">
            <w:pPr>
              <w:widowControl/>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在完成以下工作后，承包人可申请支付工程预付款，工程预付款支付依据性资料如下：</w:t>
            </w:r>
          </w:p>
          <w:p w14:paraId="628118CE">
            <w:pPr>
              <w:widowControl/>
              <w:adjustRightInd w:val="0"/>
              <w:snapToGrid w:val="0"/>
              <w:ind w:firstLine="360" w:firstLineChars="20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（1）合同生效并且发包人收到履约保函或工程履约保证保险；</w:t>
            </w:r>
          </w:p>
          <w:p w14:paraId="2133F5D3">
            <w:pPr>
              <w:widowControl/>
              <w:adjustRightInd w:val="0"/>
              <w:snapToGrid w:val="0"/>
              <w:ind w:firstLine="360" w:firstLineChars="20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（2）承包人开工准备工作已完成，且发包人收到开工报审表。</w:t>
            </w:r>
          </w:p>
          <w:p w14:paraId="724009DD">
            <w:pPr>
              <w:widowControl/>
              <w:adjustRightInd w:val="0"/>
              <w:snapToGrid w:val="0"/>
              <w:ind w:firstLine="360" w:firstLineChars="20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（3）工程预付款报审表。</w:t>
            </w:r>
          </w:p>
          <w:p w14:paraId="4E4639E3">
            <w:pPr>
              <w:widowControl/>
              <w:adjustRightInd w:val="0"/>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u w:val="single"/>
              </w:rPr>
              <w:t>（4</w:t>
            </w:r>
            <w:r>
              <w:rPr>
                <w:rFonts w:hint="eastAsia" w:ascii="方正仿宋_GBK" w:hAnsi="方正仿宋_GBK" w:eastAsia="方正仿宋_GBK" w:cs="方正仿宋_GBK"/>
                <w:color w:val="auto"/>
                <w:sz w:val="18"/>
                <w:szCs w:val="18"/>
                <w:highlight w:val="none"/>
                <w:u w:val="single"/>
              </w:rPr>
              <w:t>）工程预付款收据</w:t>
            </w:r>
            <w:r>
              <w:rPr>
                <w:rFonts w:hint="eastAsia" w:ascii="方正仿宋_GBK" w:hAnsi="方正仿宋_GBK" w:eastAsia="方正仿宋_GBK" w:cs="方正仿宋_GBK"/>
                <w:sz w:val="18"/>
                <w:szCs w:val="18"/>
                <w:highlight w:val="none"/>
                <w:u w:val="single"/>
              </w:rPr>
              <w:t>(按需)。</w:t>
            </w:r>
          </w:p>
        </w:tc>
      </w:tr>
      <w:tr w14:paraId="306783B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1BDDF1E">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FE6FB85">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z w:val="18"/>
                <w:szCs w:val="18"/>
                <w:highlight w:val="none"/>
              </w:rPr>
              <w:t xml:space="preserve">17.2.5 </w:t>
            </w:r>
          </w:p>
        </w:tc>
        <w:tc>
          <w:tcPr>
            <w:tcW w:w="3582" w:type="dxa"/>
            <w:vAlign w:val="center"/>
          </w:tcPr>
          <w:p w14:paraId="4D1AE176">
            <w:pPr>
              <w:autoSpaceDE w:val="0"/>
              <w:autoSpaceDN w:val="0"/>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17.2.5 （增加）：</w:t>
            </w:r>
          </w:p>
          <w:p w14:paraId="28DD2C18">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符合合同约定的预付款支付条件时，承包人向监理人报送符合发包人要求的预付款支付报审表，经监理人核实、签证并签署意见后，由承包人报发包人，发包人收到上述资料后，在7个工作日内完成审核批准并通知承包人提供有效发票或税务收据，发包人收到承包人提供的有效发票或税务收据等票据后7个工作日内将预付款支付给承包人。</w:t>
            </w:r>
          </w:p>
        </w:tc>
        <w:tc>
          <w:tcPr>
            <w:tcW w:w="4455" w:type="dxa"/>
          </w:tcPr>
          <w:p w14:paraId="5E24866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17.2.5 （增加）：</w:t>
            </w:r>
          </w:p>
          <w:p w14:paraId="59C613F4">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符合合同约定的预付款支付条件时，承包人向监理人报送符合发包人要求的工程预付款报审表（表中分别列明工程预付款、安全文明施工费预付款），经监理人核实、签证并签署意见后，由承包人报发包人，发包人收到上述资料后，在7个工作日内完成审核批准并通知承包人提供有效收据（按需），发包人收到承包人提供的有效收据（按需）等票据后如期将预付款支付给承包人。</w:t>
            </w:r>
          </w:p>
        </w:tc>
      </w:tr>
      <w:tr w14:paraId="1D0B5DE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5E7288F">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CB94059">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专用条款17.3.2（补充）</w:t>
            </w:r>
          </w:p>
        </w:tc>
        <w:tc>
          <w:tcPr>
            <w:tcW w:w="3582" w:type="dxa"/>
            <w:vAlign w:val="center"/>
          </w:tcPr>
          <w:p w14:paraId="41A8020E">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17.3.2 （补充）：</w:t>
            </w:r>
          </w:p>
          <w:p w14:paraId="4E3AA8C2">
            <w:pPr>
              <w:widowControl/>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承包人在每次申请进度款时，应向监理人提交符合发包人要求的工程形象进度表、完成投资额统计表、进度款报审表及价款结算单，经监理人核实、签证并签署意见后，由承包人报发包人。</w:t>
            </w:r>
          </w:p>
        </w:tc>
        <w:tc>
          <w:tcPr>
            <w:tcW w:w="4455" w:type="dxa"/>
            <w:vAlign w:val="center"/>
          </w:tcPr>
          <w:p w14:paraId="6BC04E2D">
            <w:pPr>
              <w:widowControl/>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17.3.2进度付款申请单（补充）：</w:t>
            </w:r>
          </w:p>
          <w:p w14:paraId="37799DAD">
            <w:pPr>
              <w:widowControl/>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工程进度款按照“按月计量，自愿申报”原则进行。承包人在每次申请进度款时，应向监理人提交符合发包人要求的进度款报审表及附件，经监理人核实、签证并签署意见后，由承包人报发包人。所申报每期进度款中，应明确所含农民工工资金额。                                                    工程进度款报审相关表格按照发包人要求的工程进度款申报及审核工作相关规定执行。</w:t>
            </w:r>
          </w:p>
        </w:tc>
      </w:tr>
      <w:tr w14:paraId="6F10597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457F13E">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0ADF56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59A45CC5">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17.3.3（2）</w:t>
            </w:r>
          </w:p>
        </w:tc>
        <w:tc>
          <w:tcPr>
            <w:tcW w:w="3582" w:type="dxa"/>
            <w:vAlign w:val="center"/>
          </w:tcPr>
          <w:p w14:paraId="0AA1A40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17.3.3 （2）修改为：</w:t>
            </w:r>
          </w:p>
          <w:p w14:paraId="620375BE">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发包人收到上述资料后，如确认资料符合要求，应在14个工作日内完成审核并通知监理人向承包人出具经发包人签认的进度付款证书。如资料不合要求，发包人应及时通知承包人，由承包人将资料修改后重新申报。发包人应在签发进度付款证书后的28天内，将进度应付款支付给承包人。</w:t>
            </w:r>
          </w:p>
        </w:tc>
        <w:tc>
          <w:tcPr>
            <w:tcW w:w="4455" w:type="dxa"/>
            <w:vAlign w:val="center"/>
          </w:tcPr>
          <w:p w14:paraId="2605472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17.3.3（2）修改为：</w:t>
            </w:r>
          </w:p>
          <w:p w14:paraId="70AC301B">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发包人收到上述资料后，如确认资料符合要求，应在14个工作日内完成审核并通知监理人向承包人出具经发包人签认的进度付款证书。如资料不合要求，发包人应及时通知承包人，由承包人将资料修改后重新申报。发包人应在签发进度付款证书后的60天内，且收到承包人提供的增值税发票后，将审核通过的进度应付款（含本期需支付的农民工工资）支付给承包人。</w:t>
            </w:r>
          </w:p>
        </w:tc>
      </w:tr>
      <w:tr w14:paraId="063A4B5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DC44840">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8210CA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04B3939A">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17.3.3（5）</w:t>
            </w:r>
          </w:p>
        </w:tc>
        <w:tc>
          <w:tcPr>
            <w:tcW w:w="3582" w:type="dxa"/>
            <w:vAlign w:val="center"/>
          </w:tcPr>
          <w:p w14:paraId="46A7B92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17.3.3 （5）（增加）：</w:t>
            </w:r>
          </w:p>
          <w:p w14:paraId="0154C04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进度付款证书和支付时间的其他约定如下：</w:t>
            </w:r>
          </w:p>
          <w:p w14:paraId="78C4146E">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发包人应在签发进度付款证书后的天内，向承包人按不高于阶段结算计量工程价款的90%向承包人支付工程进度款。</w:t>
            </w:r>
          </w:p>
        </w:tc>
        <w:tc>
          <w:tcPr>
            <w:tcW w:w="4455" w:type="dxa"/>
            <w:vAlign w:val="center"/>
          </w:tcPr>
          <w:p w14:paraId="1B7C4F4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17.3.3（5）（增加）：修改为：</w:t>
            </w:r>
          </w:p>
          <w:p w14:paraId="183224B1">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进度付款证书和支付时间的其他约定如下：发包人应在签发进度付款证书后的60天内，向承包人按不低于阶段结算计量工程价款的80%支付工程进度款，且工程进度款累计支付金额不高于原合同价款的90%，剩余工程价款应在工程验收并完成结算批复后，以经确认的竣工结算合同为结算依据，扣除合同约定的工程质保金后办理单项工程结算支付申请手续。发包人负责核实承包人提供的相关结算款申请资料后，如期办理工程结算款的支付手续。在结算过程中，若发生进度款支付超出实际已完成工程价款的情况，承包人应按规定在结算后30日内向发包人返还多收到的工程进度款。</w:t>
            </w:r>
          </w:p>
        </w:tc>
      </w:tr>
      <w:tr w14:paraId="044FFE7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1D170C3">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BB2A977">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专用条款17.3.6</w:t>
            </w:r>
          </w:p>
        </w:tc>
        <w:tc>
          <w:tcPr>
            <w:tcW w:w="3582" w:type="dxa"/>
            <w:vAlign w:val="center"/>
          </w:tcPr>
          <w:p w14:paraId="3F913C07">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无</w:t>
            </w:r>
          </w:p>
        </w:tc>
        <w:tc>
          <w:tcPr>
            <w:tcW w:w="4455" w:type="dxa"/>
            <w:vAlign w:val="center"/>
          </w:tcPr>
          <w:p w14:paraId="7BA850B2">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b/>
                <w:sz w:val="18"/>
                <w:szCs w:val="18"/>
                <w:highlight w:val="none"/>
                <w:u w:val="single"/>
              </w:rPr>
              <w:t>17.3.6（增加）：</w:t>
            </w:r>
          </w:p>
          <w:p w14:paraId="514079B5">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额外工作款：额外工作款指承包人根据合同约定，有权得到支付的合同价之外的款项。额外工作款与进度款同期支付。承包人完成的合同以外的新增或零星项目工程价款的支付方式如下：</w:t>
            </w:r>
          </w:p>
          <w:p w14:paraId="5A35DF41">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b/>
                <w:bCs/>
                <w:sz w:val="18"/>
                <w:szCs w:val="18"/>
                <w:highlight w:val="none"/>
                <w:u w:val="single"/>
              </w:rPr>
              <w:t>（1）新增完整的单项（位）工程：</w:t>
            </w:r>
            <w:r>
              <w:rPr>
                <w:rFonts w:hint="eastAsia" w:ascii="方正仿宋_GBK" w:hAnsi="方正仿宋_GBK" w:eastAsia="方正仿宋_GBK" w:cs="方正仿宋_GBK"/>
                <w:sz w:val="18"/>
                <w:szCs w:val="18"/>
                <w:highlight w:val="none"/>
                <w:u w:val="single"/>
              </w:rPr>
              <w:t>在14日内，由发包人委托设计方编制施工图预算，在此基础上双方协商确定合同价款后办理补充合同。</w:t>
            </w:r>
          </w:p>
          <w:p w14:paraId="6267205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b/>
                <w:bCs/>
                <w:sz w:val="18"/>
                <w:szCs w:val="18"/>
                <w:highlight w:val="none"/>
                <w:u w:val="single"/>
              </w:rPr>
              <w:t>（2）其他零星项目：</w:t>
            </w:r>
            <w:r>
              <w:rPr>
                <w:rFonts w:hint="eastAsia" w:ascii="方正仿宋_GBK" w:hAnsi="方正仿宋_GBK" w:eastAsia="方正仿宋_GBK" w:cs="方正仿宋_GBK"/>
                <w:sz w:val="18"/>
                <w:szCs w:val="18"/>
                <w:highlight w:val="none"/>
                <w:u w:val="single"/>
              </w:rPr>
              <w:t>承包人应在接受发包人要求的7日内就用工数量和单价、机械台班数量和单价使用材料和金额等向发包人提出施工签证，经设计方、监理人签署意见，并最终经发包人签证后施工。如未办理补充合同或发包人未签证，承包人施工后发生争议的，责任由承包人自负。</w:t>
            </w:r>
          </w:p>
          <w:p w14:paraId="07A7FE58">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p>
        </w:tc>
      </w:tr>
      <w:tr w14:paraId="4017343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5A30BC1">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0B9293D">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专用条款17.4.1</w:t>
            </w:r>
          </w:p>
        </w:tc>
        <w:tc>
          <w:tcPr>
            <w:tcW w:w="3582" w:type="dxa"/>
            <w:vAlign w:val="center"/>
          </w:tcPr>
          <w:p w14:paraId="63E8021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17.4.1 质量保证金为合同结算价格的3％。质量保证金有效期限从颁发工程竣工证书后至承包人完成工程并修补全部缺陷，且发包人根据有关条款发出保修证书。承包人应在竣工结算报告经发、承包双方确认后30日内，向发包人提供质量保证金保函或工程质量保证保险。承包人提供质量保证金保函的，质量保证金保函应为中国注册的具有担保经营业务资格的银行或有关金融机构开具；承包人投保工程质量保证保险的，保险公司应具有建设工程类保证保险经营业务资格，且相关建设工程质量保证保险产品应经银行保险监管部门审批或备案。</w:t>
            </w:r>
          </w:p>
          <w:p w14:paraId="520457F4">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发包人在收到质量保证金保函或工程质量保证保险后向承包人支付质量保证金。逾期不提交或者质量保证金保函或工程质量保证保险不符合要求的，视为承包人选择以现金保证金替代质量保证金保函或工程质量保证保险，发包人将向承包人支付扣除上述保证金后的剩余结算金额。质量保证金应在结算批复下达后一次性从竣工结算款中预留。</w:t>
            </w:r>
          </w:p>
        </w:tc>
        <w:tc>
          <w:tcPr>
            <w:tcW w:w="4455" w:type="dxa"/>
            <w:vAlign w:val="center"/>
          </w:tcPr>
          <w:p w14:paraId="5EE523D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17.4.1修改为：</w:t>
            </w:r>
          </w:p>
          <w:p w14:paraId="701E06F8">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z w:val="18"/>
                <w:szCs w:val="18"/>
                <w:highlight w:val="none"/>
              </w:rPr>
              <w:t>质量保证金为合同结算价格的3％。质量保证金有效期限从工程竣工验收合格之日至承包人完成工程并修补全部缺陷，且发包人根据有关条款发出保修证书，最长不超过24 个月。承包人应在竣工结算报告经发、承包双方确认后30日内，向发包人提供质量保证金保函或工程质量保证保险。承包人提供质量保证金保函的，质量保证金保函应为中国注册的具有担保经营业务资格的银行或有关金融机构开具；承包人投保工程质量保证保险的，保险公司应具有建设工程类保证保险经营业务资格，且相关建设工程质量保证保险产品应经银行保险监管部门审批或备案。</w:t>
            </w:r>
          </w:p>
          <w:p w14:paraId="195E937D">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发包人在收到质量保证金保函或工程质量保证保险后向承包人支付质量保证金。逾期不提交或者质量保证金保函或工程质量保证保险不符合要求的，视为承包人选择以现金保证金替代质量保证金保函或工程质量保证保险，发包人将向承包人支付扣除上述保证金后的剩余结算金额。质量保证金应在结算批复下达后一次性从竣工结算款中预留。</w:t>
            </w:r>
          </w:p>
        </w:tc>
      </w:tr>
      <w:tr w14:paraId="7B2D0E2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C00A67E">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0C3E85E">
            <w:pPr>
              <w:widowControl/>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专用条款17.4.2</w:t>
            </w:r>
          </w:p>
        </w:tc>
        <w:tc>
          <w:tcPr>
            <w:tcW w:w="3582" w:type="dxa"/>
            <w:vAlign w:val="center"/>
          </w:tcPr>
          <w:p w14:paraId="6BF337EF">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无</w:t>
            </w:r>
          </w:p>
        </w:tc>
        <w:tc>
          <w:tcPr>
            <w:tcW w:w="4455" w:type="dxa"/>
            <w:vAlign w:val="center"/>
          </w:tcPr>
          <w:p w14:paraId="04B073A3">
            <w:pPr>
              <w:widowControl/>
              <w:jc w:val="left"/>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17.4.2 修改为：在通用合同条款第1.1.4.5目约定的缺陷责任期满后28天内，承包人应向发包人申请到期应返还承包人剩余的质量保证金金额（或质量保证金保函），发包人应在14天内会同承包人按照合同约定的内容核实承包人是否完成缺陷责任。如无异议，发包人应当在核实后将剩余保证金（或质量保证金保函）返还承包人。缺陷责任期满后，承包人未及时申请到期应返还承包人的质量保证金（或质量保证金保函），造成承包人的损失以及由此引发的责任应由承包人自行承担。</w:t>
            </w:r>
          </w:p>
        </w:tc>
      </w:tr>
      <w:tr w14:paraId="6148E3A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9352D7F">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33E343F">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专用条款17.4.3</w:t>
            </w:r>
            <w:r>
              <w:rPr>
                <w:rFonts w:hint="eastAsia" w:ascii="方正仿宋_GBK" w:hAnsi="方正仿宋_GBK" w:eastAsia="方正仿宋_GBK" w:cs="方正仿宋_GBK"/>
                <w:snapToGrid w:val="0"/>
                <w:kern w:val="0"/>
                <w:sz w:val="18"/>
                <w:szCs w:val="18"/>
                <w:highlight w:val="none"/>
              </w:rPr>
              <w:t>（补充）</w:t>
            </w:r>
          </w:p>
        </w:tc>
        <w:tc>
          <w:tcPr>
            <w:tcW w:w="3582" w:type="dxa"/>
            <w:vAlign w:val="center"/>
          </w:tcPr>
          <w:p w14:paraId="45D8CC5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17.4.3质量保证金按照以下约定扣减（补充）：</w:t>
            </w:r>
          </w:p>
          <w:p w14:paraId="0D558630">
            <w:pPr>
              <w:adjustRightInd w:val="0"/>
              <w:snapToGrid w:val="0"/>
              <w:rPr>
                <w:rFonts w:ascii="方正仿宋_GBK" w:hAnsi="方正仿宋_GBK" w:eastAsia="方正仿宋_GBK" w:cs="方正仿宋_GBK"/>
                <w:sz w:val="18"/>
                <w:szCs w:val="18"/>
                <w:highlight w:val="none"/>
              </w:rPr>
            </w:pPr>
          </w:p>
          <w:p w14:paraId="7A4C3717">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                                                                     。</w:t>
            </w:r>
          </w:p>
        </w:tc>
        <w:tc>
          <w:tcPr>
            <w:tcW w:w="4455" w:type="dxa"/>
            <w:vAlign w:val="center"/>
          </w:tcPr>
          <w:p w14:paraId="7AD315CA">
            <w:pPr>
              <w:widowControl/>
              <w:jc w:val="left"/>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17.4.3质量保证金（质量保证金保函）按照以下约定扣减（补充）：</w:t>
            </w:r>
          </w:p>
          <w:p w14:paraId="0BA2FF2D">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质量保证金按照约定扣减完成后一次性支付剩余部分。工程缺陷责任期满，承包人凭相关单位确认保修工作全部完成的“工程质量保证金付款报审表”签字即可申请全额支付工程质量保证金或退还质量保证金保函。</w:t>
            </w:r>
          </w:p>
          <w:p w14:paraId="3B53F165">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增加：如用质量保证金保函替代工程质量保证金的，保函到期前三个月，承包人开始办理由相关单位签署意见的“工程质量保证金付款报审表”。承包人如不能在质量保证金保函到期前一个月将该表办理完成，则办理保函续期；续期质量保证金保函应不晚于缺陷责任期结束前15天提供，续期时长根据工程具体情况确定，最长不超过一年。如续期保函的提交晚于上述时间点，则发包人则有权向提供保函的各商业银行或财务公司发出无条件扣款通知，办理质量保证金扣款事宜。</w:t>
            </w:r>
          </w:p>
          <w:p w14:paraId="1ACF2C9D">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如每遗留1条缺陷，则扣除工程质量保证金的1%。</w:t>
            </w:r>
            <w:r>
              <w:rPr>
                <w:rFonts w:hint="eastAsia" w:ascii="方正仿宋_GBK" w:hAnsi="方正仿宋_GBK" w:eastAsia="方正仿宋_GBK" w:cs="方正仿宋_GBK"/>
                <w:i w:val="0"/>
                <w:strike w:val="0"/>
                <w:color w:val="000000"/>
                <w:sz w:val="18"/>
                <w:szCs w:val="18"/>
                <w:highlight w:val="none"/>
                <w:u w:val="none"/>
              </w:rPr>
              <w:t>耕植土堆放、临建区复耕等质量缺陷每条扣质保金2%；复耕验收资料、影像缺失，按双倍标准扣减质量保证金。</w:t>
            </w:r>
          </w:p>
          <w:p w14:paraId="34478E18">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1）工程档案自查、预验收以及专项验收等档案专项检查工作配合不到位，且发现问题，未按要求进行整改闭环，则扣除质量保证金的10%；工程竣工后，未按规定办理完成竣工资料归档移交工作，竣工资料的准确性、规范性、系统性不满足档案管理要求，则扣除质量保证金的10%；在项目档案专项验收检查中，因承包商自身资料问题，对项目管理造成不良影响，则扣除质量保证金20%。</w:t>
            </w:r>
          </w:p>
          <w:p w14:paraId="70A3B678">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（2）在收到发包人最终结算合同后15天内，承包人应按照ERP系统中调整后的WBS架构提供全口径施工价款结算分析表，如未能及时正确提供，造成竣工决算报告编制工作滞后，则扣除质量保证金10%。</w:t>
            </w:r>
          </w:p>
          <w:p w14:paraId="2078C330">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3）工程在达标投产复检、四个专项评价、国家电网公司输变电优质工程金银奖、中国电力行业优质工程、国家级优质工程检查中，检查组查出因承包人原因产生的问题和缺陷（包括现场和资料），每1项扣质量保证金的0.1%。</w:t>
            </w:r>
          </w:p>
          <w:p w14:paraId="399DB7F3">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工程在电力行业优质工程申报时，未取得专项验收合格证明，缺1项扣质量保证金的5%。</w:t>
            </w:r>
          </w:p>
          <w:p w14:paraId="5F913823">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工程在电力行业优质工程申报时，承包人未实现取得省（部）级及以上专利、工法、科技成果、QC小组成果奖的目标，缺1项扣质量保证金的2%。</w:t>
            </w:r>
          </w:p>
          <w:p w14:paraId="53973B5B">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在国家优质工程申报前，如因承包人责任工程未取得新技术应用专项评价，扣质量保证金的5%。</w:t>
            </w:r>
          </w:p>
          <w:p w14:paraId="77253760">
            <w:pPr>
              <w:adjustRightInd w:val="0"/>
              <w:snapToGrid w:val="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在国家优质工程申报前，如因承包人责任工程未取得绿色施工专项评价，扣质量保证金的5%。</w:t>
            </w:r>
          </w:p>
          <w:p w14:paraId="1581FA6D">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u w:val="single"/>
              </w:rPr>
              <w:t>在电力行业优质工程申报时，建设管理单位对参建单位提供工程亮点照片和视频资料的质量进行评比排名，该项工作完成较差承包人扣质量保证金的5%。该项工作完成较差是指照片和视频资料的质量或数量不满足优质工程汇报片制作标准，对优质工程汇报片制作带来影响的。</w:t>
            </w:r>
          </w:p>
        </w:tc>
      </w:tr>
      <w:tr w14:paraId="3D3B8B8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8431236">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6A1293C">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专用条款17.4.4（新增）</w:t>
            </w:r>
          </w:p>
        </w:tc>
        <w:tc>
          <w:tcPr>
            <w:tcW w:w="3582" w:type="dxa"/>
            <w:vAlign w:val="center"/>
          </w:tcPr>
          <w:p w14:paraId="72D303A7">
            <w:pPr>
              <w:widowControl/>
              <w:jc w:val="left"/>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无</w:t>
            </w:r>
          </w:p>
        </w:tc>
        <w:tc>
          <w:tcPr>
            <w:tcW w:w="4455" w:type="dxa"/>
          </w:tcPr>
          <w:p w14:paraId="7A42D02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17.4.4（新增）：</w:t>
            </w:r>
          </w:p>
          <w:p w14:paraId="26517A4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b/>
                <w:sz w:val="18"/>
                <w:szCs w:val="18"/>
                <w:highlight w:val="none"/>
              </w:rPr>
              <w:t>考核违约金</w:t>
            </w:r>
            <w:r>
              <w:rPr>
                <w:rFonts w:hint="eastAsia" w:ascii="方正仿宋_GBK" w:hAnsi="方正仿宋_GBK" w:eastAsia="方正仿宋_GBK" w:cs="方正仿宋_GBK"/>
                <w:sz w:val="18"/>
                <w:szCs w:val="18"/>
                <w:highlight w:val="none"/>
              </w:rPr>
              <w:t>包括</w:t>
            </w:r>
            <w:r>
              <w:rPr>
                <w:rFonts w:hint="eastAsia" w:ascii="方正仿宋_GBK" w:hAnsi="方正仿宋_GBK" w:eastAsia="方正仿宋_GBK" w:cs="方正仿宋_GBK"/>
                <w:b/>
                <w:sz w:val="18"/>
                <w:szCs w:val="18"/>
                <w:highlight w:val="none"/>
              </w:rPr>
              <w:t>安全违约金、质量违约金、现场违约金。</w:t>
            </w:r>
          </w:p>
          <w:p w14:paraId="2565A3C8">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承包人未实现考核目标的，应按合同约定支付考核违约金，并按照第22.1.2项的约定承担违约责任。</w:t>
            </w:r>
          </w:p>
        </w:tc>
      </w:tr>
      <w:tr w14:paraId="121E21D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101D4FB">
            <w:pPr>
              <w:pStyle w:val="34"/>
              <w:widowControl/>
              <w:numPr>
                <w:ilvl w:val="0"/>
                <w:numId w:val="3"/>
              </w:numPr>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04B13212">
            <w:pPr>
              <w:widowControl/>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kern w:val="0"/>
                <w:sz w:val="18"/>
                <w:szCs w:val="18"/>
                <w:highlight w:val="none"/>
              </w:rPr>
              <w:t>专用条款</w:t>
            </w:r>
          </w:p>
          <w:p w14:paraId="135081E4">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17.4.5（新增）</w:t>
            </w:r>
          </w:p>
        </w:tc>
        <w:tc>
          <w:tcPr>
            <w:tcW w:w="3582" w:type="dxa"/>
            <w:vAlign w:val="center"/>
          </w:tcPr>
          <w:p w14:paraId="2D4E98E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无</w:t>
            </w:r>
          </w:p>
          <w:p w14:paraId="5D5CB80A">
            <w:pPr>
              <w:widowControl/>
              <w:jc w:val="left"/>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p>
        </w:tc>
        <w:tc>
          <w:tcPr>
            <w:tcW w:w="4455" w:type="dxa"/>
            <w:vAlign w:val="center"/>
          </w:tcPr>
          <w:p w14:paraId="2FED22B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17.4.5考核违约金的执行（增加）：</w:t>
            </w:r>
          </w:p>
          <w:p w14:paraId="493799E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考核违约金按照以下方式执行：</w:t>
            </w:r>
          </w:p>
          <w:p w14:paraId="2B968B8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17.4.5.1安全考核违约金按照以下方式执行：</w:t>
            </w:r>
          </w:p>
          <w:p w14:paraId="6EA40E2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（1）发生重大安全事故（二级及以上人身、电网、设备安全事件）或人身死亡事故（四级及以上人身安全事件），支付签约合同价2%的安全违约金。</w:t>
            </w:r>
          </w:p>
          <w:p w14:paraId="206A8A9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（2）发生人身重伤事故（四级及以上人身安全事件），一人•次，支付签约合同价6‰的安全违约金；二人•次，支付签约合同价1.2%的安全违约；三人•次及以上，支付签约合同价2%的安全违约金。</w:t>
            </w:r>
          </w:p>
          <w:p w14:paraId="0FA371E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（3）发生设备事故或火灾事故或负主要责任的交通事故，视事故的性质和严重程度，每次支付签约合同价4‰～2%的安全违约金。</w:t>
            </w:r>
          </w:p>
          <w:p w14:paraId="5FBCF0B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（4）发生因工程建设而造成的电网停电事故，视事故影响的大小和严重程度，每次支付签约合同价4‰～2%的安全违约金。</w:t>
            </w:r>
          </w:p>
          <w:p w14:paraId="2B665A5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（5）发包人组织安全监督检查时，未能达到标准要求的，每次支付签约合同价2‰的安全违约金。</w:t>
            </w:r>
          </w:p>
          <w:p w14:paraId="104FB81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6）发生因工程建设引起的六级及以上电网及设备安全事件每次支付签约合同价0.75%的安全违约金；发生六级以上、四级以下人身事件每次支付签约合同价0.75%的安全违约金；发生六级及以上施工机械设备事件每次支付签约合同价0.75%的安全违约金。</w:t>
            </w:r>
          </w:p>
          <w:p w14:paraId="7D3BCEE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7）发生对公司造成影响的安全稳定事件每次支付签约合同价0.75%的安全违约金；发生环境污染事件的承包人每次支付签约合同价0.75%的安全违约金；发生基建信息安全事件的承包人每次支付签约合同价0.75%的安全违约金；</w:t>
            </w:r>
          </w:p>
          <w:p w14:paraId="5C9CA00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8）工程建设过程中接受国网公司组织的安全检查（包括基建安全检查、交叉互查和专项检查），检查组查出因承包人原因产生的安全方面隐患和问题（包括现场和资料），每1项支付签约合同价的0.003%的安全违约金。工程建设过程中，建设管理单位或业主项目部阶段性组织安全文明施工标准化管理评价。得分率（施工项目部评价得分率和现场评价得分率的平均值）低于90%的，每次支付签约合同价0.075%的安全违约金。</w:t>
            </w:r>
          </w:p>
          <w:p w14:paraId="65B55126">
            <w:pPr>
              <w:adjustRightInd w:val="0"/>
              <w:snapToGrid w:val="0"/>
              <w:rPr>
                <w:rFonts w:hint="eastAsia"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工程建设过程中接受建设管理单位（含业主项目部）组织的各种安全检查及飞行检查，检查组查出因承包人原因产生的安全方面隐患和问题（包括现场和资料），每1条支付签约合同价的0.001%的安全违约金，如在限定期间未整改完成每条继续支付签约合同价的0.003%的安全违约金。</w:t>
            </w:r>
          </w:p>
          <w:p w14:paraId="23CC307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（10）工程建设过程中，建设管理单位或业主项目部阶段性组织安全文明施工标准化管理评价。得分率（施工项目部评价得分率和现场评价得分率的平均值）低于90%的，每次支付签约合同价0.075%的安全违约金。</w:t>
            </w:r>
          </w:p>
          <w:p w14:paraId="3E16F50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17.4.5.2质量违约金按照以下约定执行：</w:t>
            </w:r>
          </w:p>
          <w:p w14:paraId="09C6D45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工程建设过程中，工程参加国网公司专项检查、质量监督检查或建设管理单位专项检查，检查组查出因承包人原因产生的质量方面问题和缺陷（包括现场和资料），每1项承包人每次支付签约合同价的0.003%。</w:t>
            </w:r>
          </w:p>
          <w:p w14:paraId="40C4494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工程试运行结束后，仍存在未消除的质量缺陷（含运行单位提出在缺陷单上的、质量监督检查中提出、建设管理单位各项检查时提出），每条承包人支付签约合同价的0.01%；工程试运行后出现运行单位提出通报的质量问题，每次承包人支付签约合同价的0.1%；出现国网总部部门通报的质量问题，每次承包人支付签约合同价的0.3%</w:t>
            </w:r>
          </w:p>
          <w:p w14:paraId="2B0EF2D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工程竣工预验收时，建设管理单位组织标准工艺应用评价，标准工艺应用率未达到100%，承包人支付签约合同价的0.15%；管理工作评价得分率低于95%，承包人每次支付签约合同价的0.15%。对于业主项目部安排的标准工艺研究项目，未按时上报研究成果或未通过国网公司评审，承包人每次支付签约合同价的0.02%。</w:t>
            </w:r>
          </w:p>
          <w:p w14:paraId="530A3FB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17.4.5.3现场违约金与奖励金按照以下约定执行：：</w:t>
            </w:r>
          </w:p>
          <w:p w14:paraId="7FE4278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现场违约金、奖励金与过程评价成绩对应关系见下表。过程评价成绩执行合同附件：《施工承包商现场过程评价细则》。</w:t>
            </w:r>
          </w:p>
          <w:tbl>
            <w:tblPr>
              <w:tblStyle w:val="16"/>
              <w:tblW w:w="38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3"/>
              <w:gridCol w:w="2154"/>
            </w:tblGrid>
            <w:tr w14:paraId="5E4C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660F15B">
                  <w:pPr>
                    <w:adjustRightInd w:val="0"/>
                    <w:snapToGrid w:val="0"/>
                    <w:jc w:val="center"/>
                    <w:rPr>
                      <w:rFonts w:ascii="方正仿宋_GBK" w:hAnsi="方正仿宋_GBK" w:eastAsia="方正仿宋_GBK" w:cs="方正仿宋_GBK"/>
                      <w:b/>
                      <w:sz w:val="18"/>
                      <w:szCs w:val="18"/>
                      <w:highlight w:val="none"/>
                    </w:rPr>
                  </w:pPr>
                  <w:r>
                    <w:rPr>
                      <w:rFonts w:hint="eastAsia" w:ascii="方正仿宋_GBK" w:hAnsi="方正仿宋_GBK" w:eastAsia="方正仿宋_GBK" w:cs="方正仿宋_GBK"/>
                      <w:b/>
                      <w:sz w:val="18"/>
                      <w:szCs w:val="18"/>
                      <w:highlight w:val="none"/>
                    </w:rPr>
                    <w:t>过程评价成绩(分)</w:t>
                  </w:r>
                </w:p>
              </w:tc>
              <w:tc>
                <w:tcPr>
                  <w:tcW w:w="2154" w:type="dxa"/>
                </w:tcPr>
                <w:p w14:paraId="05D205D6">
                  <w:pPr>
                    <w:adjustRightInd w:val="0"/>
                    <w:snapToGrid w:val="0"/>
                    <w:jc w:val="center"/>
                    <w:rPr>
                      <w:rFonts w:ascii="方正仿宋_GBK" w:hAnsi="方正仿宋_GBK" w:eastAsia="方正仿宋_GBK" w:cs="方正仿宋_GBK"/>
                      <w:b/>
                      <w:sz w:val="18"/>
                      <w:szCs w:val="18"/>
                      <w:highlight w:val="none"/>
                    </w:rPr>
                  </w:pPr>
                  <w:r>
                    <w:rPr>
                      <w:rFonts w:hint="eastAsia" w:ascii="方正仿宋_GBK" w:hAnsi="方正仿宋_GBK" w:eastAsia="方正仿宋_GBK" w:cs="方正仿宋_GBK"/>
                      <w:b/>
                      <w:sz w:val="18"/>
                      <w:szCs w:val="18"/>
                      <w:highlight w:val="none"/>
                    </w:rPr>
                    <w:t>现场违约金</w:t>
                  </w:r>
                </w:p>
              </w:tc>
            </w:tr>
            <w:tr w14:paraId="2C90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6C41102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f&lt;80</w:t>
                  </w:r>
                </w:p>
              </w:tc>
              <w:tc>
                <w:tcPr>
                  <w:tcW w:w="2154" w:type="dxa"/>
                </w:tcPr>
                <w:p w14:paraId="0F746FE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合同结算总额*（-2%）</w:t>
                  </w:r>
                </w:p>
              </w:tc>
            </w:tr>
            <w:tr w14:paraId="2F69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175533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80≤f＜85</w:t>
                  </w:r>
                </w:p>
              </w:tc>
              <w:tc>
                <w:tcPr>
                  <w:tcW w:w="2154" w:type="dxa"/>
                </w:tcPr>
                <w:p w14:paraId="54027D0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合同结算总额*（-1.6%）</w:t>
                  </w:r>
                </w:p>
              </w:tc>
            </w:tr>
            <w:tr w14:paraId="2BC5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71EE8F2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85≤f＜90</w:t>
                  </w:r>
                </w:p>
              </w:tc>
              <w:tc>
                <w:tcPr>
                  <w:tcW w:w="2154" w:type="dxa"/>
                </w:tcPr>
                <w:p w14:paraId="7016A98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合同结算总额*（-1.2%）</w:t>
                  </w:r>
                </w:p>
              </w:tc>
            </w:tr>
            <w:tr w14:paraId="4658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FDBD8E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90≤f＜95</w:t>
                  </w:r>
                </w:p>
              </w:tc>
              <w:tc>
                <w:tcPr>
                  <w:tcW w:w="2154" w:type="dxa"/>
                </w:tcPr>
                <w:p w14:paraId="2ACD46F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合同结算总额*（-0.8%）</w:t>
                  </w:r>
                </w:p>
              </w:tc>
            </w:tr>
            <w:tr w14:paraId="35BB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2422E83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95≤f＜99</w:t>
                  </w:r>
                </w:p>
              </w:tc>
              <w:tc>
                <w:tcPr>
                  <w:tcW w:w="2154" w:type="dxa"/>
                </w:tcPr>
                <w:p w14:paraId="77D1C90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合同结算总额*（-0.4%）</w:t>
                  </w:r>
                </w:p>
              </w:tc>
            </w:tr>
            <w:tr w14:paraId="0487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F729AF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99≤f≤100</w:t>
                  </w:r>
                </w:p>
              </w:tc>
              <w:tc>
                <w:tcPr>
                  <w:tcW w:w="2154" w:type="dxa"/>
                </w:tcPr>
                <w:p w14:paraId="45EDCCD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合同结算总额*0</w:t>
                  </w:r>
                </w:p>
              </w:tc>
            </w:tr>
            <w:tr w14:paraId="6DB1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56100B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100＜f≤102</w:t>
                  </w:r>
                </w:p>
              </w:tc>
              <w:tc>
                <w:tcPr>
                  <w:tcW w:w="2154" w:type="dxa"/>
                </w:tcPr>
                <w:p w14:paraId="529CBFC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合同结算总额*0.5%</w:t>
                  </w:r>
                </w:p>
              </w:tc>
            </w:tr>
            <w:tr w14:paraId="67A6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8ACDAB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102＜f≤106</w:t>
                  </w:r>
                </w:p>
              </w:tc>
              <w:tc>
                <w:tcPr>
                  <w:tcW w:w="2154" w:type="dxa"/>
                </w:tcPr>
                <w:p w14:paraId="7520A38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合同结算总额*1%</w:t>
                  </w:r>
                </w:p>
              </w:tc>
            </w:tr>
            <w:tr w14:paraId="6E7C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45F5B5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106＜f≤110</w:t>
                  </w:r>
                </w:p>
              </w:tc>
              <w:tc>
                <w:tcPr>
                  <w:tcW w:w="2154" w:type="dxa"/>
                </w:tcPr>
                <w:p w14:paraId="297C630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合同结算总额*1.5%</w:t>
                  </w:r>
                </w:p>
              </w:tc>
            </w:tr>
          </w:tbl>
          <w:p w14:paraId="78CE8B91">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p>
        </w:tc>
      </w:tr>
      <w:tr w14:paraId="3B42ACA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B23FD09">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3C2429C">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napToGrid w:val="0"/>
                <w:kern w:val="0"/>
                <w:sz w:val="18"/>
                <w:szCs w:val="18"/>
                <w:highlight w:val="none"/>
              </w:rPr>
              <w:t>17.5.1（1）</w:t>
            </w:r>
          </w:p>
        </w:tc>
        <w:tc>
          <w:tcPr>
            <w:tcW w:w="3582" w:type="dxa"/>
            <w:vAlign w:val="center"/>
          </w:tcPr>
          <w:p w14:paraId="260D7F14">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17.5.1（1）修改为：</w:t>
            </w:r>
          </w:p>
          <w:p w14:paraId="2A3B6AE5">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①承包人应按照下列期限内向监理人提交8份竣工付款申请单及相关竣工结算资料：</w:t>
            </w:r>
          </w:p>
          <w:p w14:paraId="369E1884">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220千伏及以上输变电工程，应于输变电工程竣工验收后15日内编制完成并提交；110千伏及以下输变电工程，应于输变电工程竣工验收后10日内编制完成并提交。</w:t>
            </w:r>
          </w:p>
          <w:p w14:paraId="218700E4">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如承包人未在本合同约定的时间内提供完整的工程竣工结算资料，经发包人催促后14天内仍未提供或没有明确答复，发包人有权根据已有资料进行审查，责任由承包人自负。除合同另有约定外，竣工付款申请单应包括下列内容：竣工结算合同价格、发包人已支付承包人的工程价款、应扣留的违约金、应支付的竣工付款金额、索赔清单及其索赔费用、由发包人提供的材料/设备等剩余实物清单等。</w:t>
            </w:r>
          </w:p>
          <w:p w14:paraId="64C12AC2">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承包人未按合同约定的期限及时报送工程结算文件的，每延期一天，应向发包人支付签约合同价%的违约金。</w:t>
            </w:r>
          </w:p>
          <w:p w14:paraId="6046F4F3">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除合同已有约定外，竣工付款申请单还需包含的其他内容如下： </w:t>
            </w:r>
          </w:p>
          <w:p w14:paraId="25E31636">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a.竣工结算由承包人编制，发包人核对。实行总承包的工程，由总承包人对竣工结算的编制负总责。</w:t>
            </w:r>
          </w:p>
          <w:p w14:paraId="11DC0EA8">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b.办理工程竣工结算价款的依据：</w:t>
            </w:r>
          </w:p>
          <w:p w14:paraId="0E02CF78">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施工合同；</w:t>
            </w:r>
          </w:p>
          <w:p w14:paraId="75896F9C">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国家相关标准和国家电网有限公司相关管理规定；</w:t>
            </w:r>
          </w:p>
          <w:p w14:paraId="0D5AA645">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工程竣工图纸（施工图纸、变更）及其他资料；</w:t>
            </w:r>
          </w:p>
          <w:p w14:paraId="66AA24B1">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双方确认的工程量；</w:t>
            </w:r>
          </w:p>
          <w:p w14:paraId="6746C9A4">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双方确认追加（减）的工程价款；</w:t>
            </w:r>
          </w:p>
          <w:p w14:paraId="4053AF22">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双方确认的索赔、现场签证事项及价款；</w:t>
            </w:r>
          </w:p>
          <w:p w14:paraId="2BD0E2B6">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投标文件；</w:t>
            </w:r>
          </w:p>
          <w:p w14:paraId="4F73B4E6">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招标文件；</w:t>
            </w:r>
          </w:p>
          <w:p w14:paraId="49F91678">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其他依据。</w:t>
            </w:r>
          </w:p>
          <w:p w14:paraId="0A001F8C">
            <w:pPr>
              <w:autoSpaceDE w:val="0"/>
              <w:autoSpaceDN w:val="0"/>
              <w:adjustRightInd w:val="0"/>
              <w:snapToGrid w:val="0"/>
              <w:ind w:firstLine="360" w:firstLineChars="200"/>
              <w:jc w:val="left"/>
              <w:rPr>
                <w:rFonts w:ascii="方正仿宋_GBK" w:hAnsi="方正仿宋_GBK" w:eastAsia="方正仿宋_GBK" w:cs="方正仿宋_GBK"/>
                <w:highlight w:val="none"/>
              </w:rPr>
            </w:pPr>
            <w:r>
              <w:rPr>
                <w:rFonts w:hint="eastAsia" w:ascii="方正仿宋_GBK" w:hAnsi="方正仿宋_GBK" w:eastAsia="方正仿宋_GBK" w:cs="方正仿宋_GBK"/>
                <w:snapToGrid w:val="0"/>
                <w:kern w:val="0"/>
                <w:sz w:val="18"/>
                <w:szCs w:val="18"/>
                <w:highlight w:val="none"/>
              </w:rPr>
              <w:t>c.竣工结算资料由承包人按照施工合同、各类补充合同或发包人书面委托、工程结算有效签证、阶段结算资料等进行汇总编制。施工结算文件中应包含承包人申请结算的全部费用及相关依据，未在规定时间内提交结算资料和结算资料不齐全的项目不计入工程结算。</w:t>
            </w:r>
          </w:p>
        </w:tc>
        <w:tc>
          <w:tcPr>
            <w:tcW w:w="4455" w:type="dxa"/>
            <w:vAlign w:val="center"/>
          </w:tcPr>
          <w:p w14:paraId="7E7555DA">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修改为：</w:t>
            </w:r>
          </w:p>
          <w:p w14:paraId="3E17FA1E">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17.5.1（1）</w:t>
            </w:r>
          </w:p>
          <w:p w14:paraId="64B5DB59">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①承包人应在工程竣工验收签证书颁发后10个工作日内向监理人提交8份竣工付款申请单及相关竣工结算资料。</w:t>
            </w:r>
          </w:p>
          <w:p w14:paraId="7B99026D">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如承包人未在本合同约定的时间内提供完整的工程竣工结算资料，经发包人催促后14天内仍未提供或没有明确答复，发包人有权根据已有资料进行审查，责任由承包人自负。除合同另有约定外，竣工付款申请单应包括下列内容：竣工结算合同价格、发包人已支付承包人的工程价款、应扣留的违约金、应支付的竣工付款金额、索赔清单及其索赔费用、由发包人提供的材料/设备等剩余实物清单等。</w:t>
            </w:r>
          </w:p>
          <w:p w14:paraId="21DB827E">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承包人未按合同约定的期限及时报送工程结算文件的，每延期一天，应向发包人支付签约合同价0.001%的违约金。</w:t>
            </w:r>
          </w:p>
          <w:p w14:paraId="0D7A3768">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除合同已有约定外，竣工付款申请单还需包含的其他内容如下： </w:t>
            </w:r>
          </w:p>
          <w:p w14:paraId="0EC209DE">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a.竣工结算由承包人编制，发包人核对。实行总承包的工程，由总承包人对竣工结算的编制负总责。</w:t>
            </w:r>
          </w:p>
          <w:p w14:paraId="11160477">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b.办理工程竣工结算价款的依据：</w:t>
            </w:r>
          </w:p>
          <w:p w14:paraId="2A245DFF">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施工合同；</w:t>
            </w:r>
          </w:p>
          <w:p w14:paraId="5745C91C">
            <w:pPr>
              <w:autoSpaceDE w:val="0"/>
              <w:autoSpaceDN w:val="0"/>
              <w:adjustRightInd w:val="0"/>
              <w:snapToGrid w:val="0"/>
              <w:ind w:firstLine="360" w:firstLineChars="200"/>
              <w:jc w:val="left"/>
              <w:rPr>
                <w:rFonts w:ascii="方正仿宋_GBK" w:hAnsi="方正仿宋_GBK" w:eastAsia="方正仿宋_GBK" w:cs="方正仿宋_GBK"/>
                <w:highlight w:val="none"/>
              </w:rPr>
            </w:pPr>
            <w:r>
              <w:rPr>
                <w:rFonts w:hint="eastAsia" w:ascii="方正仿宋_GBK" w:hAnsi="方正仿宋_GBK" w:eastAsia="方正仿宋_GBK" w:cs="方正仿宋_GBK"/>
                <w:snapToGrid w:val="0"/>
                <w:kern w:val="0"/>
                <w:sz w:val="18"/>
                <w:szCs w:val="18"/>
                <w:highlight w:val="none"/>
              </w:rPr>
              <w:t>各类补充合同或发包人书面委托；</w:t>
            </w:r>
          </w:p>
          <w:p w14:paraId="4CC71771">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国家相关标准和国家电网有限公司相关管理规定；</w:t>
            </w:r>
          </w:p>
          <w:p w14:paraId="79AFD600">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工程竣工图纸（施工图纸、变更）及其他资料；</w:t>
            </w:r>
          </w:p>
          <w:p w14:paraId="160D08DC">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双方确认的工程量；</w:t>
            </w:r>
          </w:p>
          <w:p w14:paraId="7AB919E5">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双方确认追加（减）的工程价款；</w:t>
            </w:r>
          </w:p>
          <w:p w14:paraId="47219FE4">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双方确认的索赔、现场签证事项及价款；</w:t>
            </w:r>
          </w:p>
          <w:p w14:paraId="1350AF83">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投标文件；</w:t>
            </w:r>
          </w:p>
          <w:p w14:paraId="43674315">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招标文件；</w:t>
            </w:r>
          </w:p>
          <w:p w14:paraId="232DE87D">
            <w:pPr>
              <w:autoSpaceDE w:val="0"/>
              <w:autoSpaceDN w:val="0"/>
              <w:adjustRightInd w:val="0"/>
              <w:snapToGrid w:val="0"/>
              <w:ind w:firstLine="360" w:firstLineChars="20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其他依据。</w:t>
            </w:r>
          </w:p>
          <w:p w14:paraId="5A9870C4">
            <w:pPr>
              <w:pStyle w:val="9"/>
              <w:rPr>
                <w:rFonts w:ascii="方正仿宋_GBK" w:hAnsi="方正仿宋_GBK" w:eastAsia="方正仿宋_GBK" w:cs="方正仿宋_GBK"/>
                <w:highlight w:val="none"/>
              </w:rPr>
            </w:pPr>
            <w:r>
              <w:rPr>
                <w:rFonts w:hint="eastAsia" w:ascii="方正仿宋_GBK" w:hAnsi="方正仿宋_GBK" w:eastAsia="方正仿宋_GBK" w:cs="方正仿宋_GBK"/>
                <w:snapToGrid w:val="0"/>
                <w:kern w:val="0"/>
                <w:sz w:val="18"/>
                <w:szCs w:val="18"/>
                <w:highlight w:val="none"/>
              </w:rPr>
              <w:t>c.竣工结算资料由承包人按照施工合同、各类补充合同或发包人书面委托、工程结算有效签证、阶段结算资料等进行汇总编制。施工结算文件中应包含承包人申请结算的全部费用及相关依据，未在规定时间内提交结算资料和结算资料不齐全的项目不计入工程结算。</w:t>
            </w:r>
          </w:p>
        </w:tc>
      </w:tr>
      <w:tr w14:paraId="7D64C4E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A496670">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90B379C">
            <w:pPr>
              <w:widowControl/>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专用条款17.6</w:t>
            </w:r>
          </w:p>
        </w:tc>
        <w:tc>
          <w:tcPr>
            <w:tcW w:w="3582" w:type="dxa"/>
            <w:vAlign w:val="center"/>
          </w:tcPr>
          <w:p w14:paraId="4D3A91C6">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17.6.1 承包人应在缺陷责任期终止证书签发后14个工作日内向监理人提交份最终结清申请单，并提供相关证明材料。</w:t>
            </w:r>
          </w:p>
        </w:tc>
        <w:tc>
          <w:tcPr>
            <w:tcW w:w="4455" w:type="dxa"/>
            <w:vAlign w:val="center"/>
          </w:tcPr>
          <w:p w14:paraId="15EFEAA8">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17.6 最终结清</w:t>
            </w:r>
          </w:p>
          <w:p w14:paraId="1A5752A2">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17.6.1 承包人应在缺陷责任期终止证书签发后14个工作日内向监理人提交</w:t>
            </w:r>
            <w:r>
              <w:rPr>
                <w:rFonts w:hint="eastAsia" w:ascii="方正仿宋_GBK" w:hAnsi="方正仿宋_GBK" w:eastAsia="方正仿宋_GBK" w:cs="方正仿宋_GBK"/>
                <w:snapToGrid w:val="0"/>
                <w:kern w:val="0"/>
                <w:sz w:val="18"/>
                <w:szCs w:val="18"/>
                <w:highlight w:val="none"/>
                <w:u w:val="single"/>
              </w:rPr>
              <w:t xml:space="preserve">  8   </w:t>
            </w:r>
            <w:r>
              <w:rPr>
                <w:rFonts w:hint="eastAsia" w:ascii="方正仿宋_GBK" w:hAnsi="方正仿宋_GBK" w:eastAsia="方正仿宋_GBK" w:cs="方正仿宋_GBK"/>
                <w:snapToGrid w:val="0"/>
                <w:kern w:val="0"/>
                <w:sz w:val="18"/>
                <w:szCs w:val="18"/>
                <w:highlight w:val="none"/>
              </w:rPr>
              <w:t>份最终结清申请单，并提供相关证明材料。</w:t>
            </w:r>
          </w:p>
        </w:tc>
      </w:tr>
      <w:tr w14:paraId="75F27E8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433FE94">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FABAC4C">
            <w:pPr>
              <w:widowControl/>
              <w:jc w:val="righ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专用条款17.7</w:t>
            </w:r>
          </w:p>
        </w:tc>
        <w:tc>
          <w:tcPr>
            <w:tcW w:w="3582" w:type="dxa"/>
            <w:vAlign w:val="center"/>
          </w:tcPr>
          <w:p w14:paraId="7CF55656">
            <w:pPr>
              <w:widowControl/>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　</w:t>
            </w:r>
            <w:r>
              <w:rPr>
                <w:rFonts w:hint="eastAsia" w:ascii="方正仿宋_GBK" w:hAnsi="方正仿宋_GBK" w:eastAsia="方正仿宋_GBK" w:cs="方正仿宋_GBK"/>
                <w:snapToGrid w:val="0"/>
                <w:kern w:val="0"/>
                <w:sz w:val="18"/>
                <w:szCs w:val="18"/>
                <w:highlight w:val="none"/>
              </w:rPr>
              <w:t>17.7 承包人应开具增值税专用发票。</w:t>
            </w:r>
          </w:p>
        </w:tc>
        <w:tc>
          <w:tcPr>
            <w:tcW w:w="4455" w:type="dxa"/>
            <w:vAlign w:val="center"/>
          </w:tcPr>
          <w:p w14:paraId="239C1816">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17.7修改为：</w:t>
            </w:r>
          </w:p>
          <w:p w14:paraId="79135AB3">
            <w:pPr>
              <w:adjustRightInd w:val="0"/>
              <w:snapToGrid w:val="0"/>
              <w:ind w:firstLine="360" w:firstLineChars="200"/>
              <w:jc w:val="left"/>
              <w:rPr>
                <w:rFonts w:ascii="宋体" w:hAnsi="宋体"/>
                <w:highlight w:val="none"/>
                <w:lang w:val="zh-CN"/>
              </w:rPr>
            </w:pPr>
            <w:r>
              <w:rPr>
                <w:rFonts w:hint="eastAsia" w:ascii="方正仿宋_GBK" w:hAnsi="方正仿宋_GBK" w:eastAsia="方正仿宋_GBK" w:cs="方正仿宋_GBK"/>
                <w:sz w:val="18"/>
                <w:szCs w:val="18"/>
                <w:highlight w:val="none"/>
              </w:rPr>
              <w:t>承包人应开具增值税专用发票。发票抬头均应为出资单位。即：</w:t>
            </w:r>
          </w:p>
          <w:p w14:paraId="17083F29">
            <w:pPr>
              <w:adjustRightInd w:val="0"/>
              <w:snapToGrid w:val="0"/>
              <w:ind w:firstLine="360" w:firstLineChars="200"/>
              <w:rPr>
                <w:rFonts w:hint="eastAsia" w:ascii="方正仿宋_GBK" w:hAnsi="方正仿宋_GBK" w:eastAsia="方正仿宋_GBK" w:cs="方正仿宋_GBK"/>
                <w:sz w:val="18"/>
                <w:szCs w:val="18"/>
                <w:highlight w:val="none"/>
                <w:lang w:val="zh-CN"/>
              </w:rPr>
            </w:pPr>
            <w:r>
              <w:rPr>
                <w:rFonts w:hint="eastAsia" w:ascii="方正仿宋_GBK" w:hAnsi="方正仿宋_GBK" w:eastAsia="方正仿宋_GBK" w:cs="方正仿宋_GBK"/>
                <w:sz w:val="18"/>
                <w:szCs w:val="18"/>
                <w:highlight w:val="none"/>
                <w:lang w:val="en-US" w:eastAsia="zh-CN"/>
              </w:rPr>
              <w:t>鲁苏</w:t>
            </w:r>
            <w:r>
              <w:rPr>
                <w:rFonts w:hint="eastAsia" w:ascii="方正仿宋_GBK" w:hAnsi="方正仿宋_GBK" w:eastAsia="方正仿宋_GBK" w:cs="方正仿宋_GBK"/>
                <w:sz w:val="18"/>
                <w:szCs w:val="18"/>
                <w:highlight w:val="none"/>
                <w:lang w:val="zh-CN"/>
              </w:rPr>
              <w:t>（</w:t>
            </w:r>
            <w:r>
              <w:rPr>
                <w:rFonts w:hint="eastAsia" w:ascii="方正仿宋_GBK" w:hAnsi="方正仿宋_GBK" w:eastAsia="方正仿宋_GBK" w:cs="方正仿宋_GBK"/>
                <w:sz w:val="18"/>
                <w:szCs w:val="18"/>
                <w:highlight w:val="none"/>
                <w:lang w:val="en-US" w:eastAsia="zh-CN"/>
              </w:rPr>
              <w:t>蒙山</w:t>
            </w:r>
            <w:r>
              <w:rPr>
                <w:rFonts w:hint="eastAsia" w:ascii="方正仿宋_GBK" w:hAnsi="方正仿宋_GBK" w:eastAsia="方正仿宋_GBK" w:cs="方正仿宋_GBK"/>
                <w:sz w:val="18"/>
                <w:szCs w:val="18"/>
                <w:highlight w:val="none"/>
                <w:lang w:val="zh-CN"/>
              </w:rPr>
              <w:t>）背靠背换流站：</w:t>
            </w:r>
          </w:p>
          <w:p w14:paraId="35EB7855">
            <w:pPr>
              <w:adjustRightInd w:val="0"/>
              <w:snapToGrid w:val="0"/>
              <w:ind w:firstLine="360" w:firstLineChars="200"/>
              <w:rPr>
                <w:rFonts w:hint="eastAsia" w:ascii="方正仿宋_GBK" w:hAnsi="方正仿宋_GBK" w:eastAsia="方正仿宋_GBK" w:cs="方正仿宋_GBK"/>
                <w:sz w:val="18"/>
                <w:szCs w:val="18"/>
                <w:highlight w:val="none"/>
                <w:lang w:val="zh-CN"/>
              </w:rPr>
            </w:pPr>
            <w:r>
              <w:rPr>
                <w:rFonts w:hint="eastAsia" w:ascii="方正仿宋_GBK" w:hAnsi="方正仿宋_GBK" w:eastAsia="方正仿宋_GBK" w:cs="方正仿宋_GBK"/>
                <w:sz w:val="18"/>
                <w:szCs w:val="18"/>
                <w:highlight w:val="none"/>
                <w:lang w:val="zh-CN"/>
              </w:rPr>
              <w:t>名称：国家电网有限公司</w:t>
            </w:r>
          </w:p>
          <w:p w14:paraId="6E6F2805">
            <w:pPr>
              <w:adjustRightInd w:val="0"/>
              <w:snapToGrid w:val="0"/>
              <w:ind w:firstLine="360" w:firstLineChars="200"/>
              <w:rPr>
                <w:rFonts w:hint="eastAsia" w:ascii="方正仿宋_GBK" w:hAnsi="方正仿宋_GBK" w:eastAsia="方正仿宋_GBK" w:cs="方正仿宋_GBK"/>
                <w:sz w:val="18"/>
                <w:szCs w:val="18"/>
                <w:highlight w:val="none"/>
                <w:lang w:val="zh-CN"/>
              </w:rPr>
            </w:pPr>
            <w:r>
              <w:rPr>
                <w:rFonts w:hint="eastAsia" w:ascii="方正仿宋_GBK" w:hAnsi="方正仿宋_GBK" w:eastAsia="方正仿宋_GBK" w:cs="方正仿宋_GBK"/>
                <w:sz w:val="18"/>
                <w:szCs w:val="18"/>
                <w:highlight w:val="none"/>
                <w:lang w:val="zh-CN"/>
              </w:rPr>
              <w:t>纳税人识别号：9111000071093123XX</w:t>
            </w:r>
          </w:p>
          <w:p w14:paraId="5DBC4FF5">
            <w:pPr>
              <w:adjustRightInd w:val="0"/>
              <w:snapToGrid w:val="0"/>
              <w:ind w:firstLine="360" w:firstLineChars="200"/>
              <w:rPr>
                <w:rFonts w:hint="eastAsia" w:ascii="方正仿宋_GBK" w:hAnsi="方正仿宋_GBK" w:eastAsia="方正仿宋_GBK" w:cs="方正仿宋_GBK"/>
                <w:sz w:val="18"/>
                <w:szCs w:val="18"/>
                <w:highlight w:val="none"/>
                <w:lang w:val="zh-CN"/>
              </w:rPr>
            </w:pPr>
            <w:r>
              <w:rPr>
                <w:rFonts w:hint="eastAsia" w:ascii="方正仿宋_GBK" w:hAnsi="方正仿宋_GBK" w:eastAsia="方正仿宋_GBK" w:cs="方正仿宋_GBK"/>
                <w:sz w:val="18"/>
                <w:szCs w:val="18"/>
                <w:highlight w:val="none"/>
                <w:lang w:val="zh-CN"/>
              </w:rPr>
              <w:t>开户行：工行北京中电财支行</w:t>
            </w:r>
          </w:p>
          <w:p w14:paraId="4CE83FCD">
            <w:pPr>
              <w:adjustRightInd w:val="0"/>
              <w:snapToGrid w:val="0"/>
              <w:ind w:firstLine="360" w:firstLineChars="200"/>
              <w:rPr>
                <w:rFonts w:hint="eastAsia" w:ascii="方正仿宋_GBK" w:hAnsi="方正仿宋_GBK" w:eastAsia="方正仿宋_GBK" w:cs="方正仿宋_GBK"/>
                <w:sz w:val="18"/>
                <w:szCs w:val="18"/>
                <w:highlight w:val="none"/>
                <w:lang w:val="zh-CN"/>
              </w:rPr>
            </w:pPr>
            <w:r>
              <w:rPr>
                <w:rFonts w:hint="eastAsia" w:ascii="方正仿宋_GBK" w:hAnsi="方正仿宋_GBK" w:eastAsia="方正仿宋_GBK" w:cs="方正仿宋_GBK"/>
                <w:sz w:val="18"/>
                <w:szCs w:val="18"/>
                <w:highlight w:val="none"/>
                <w:lang w:val="zh-CN"/>
              </w:rPr>
              <w:t>账号：818000001</w:t>
            </w:r>
          </w:p>
          <w:p w14:paraId="38DEBDA2">
            <w:pPr>
              <w:adjustRightInd w:val="0"/>
              <w:snapToGrid w:val="0"/>
              <w:ind w:firstLine="360" w:firstLineChars="200"/>
              <w:rPr>
                <w:rFonts w:hint="eastAsia" w:ascii="方正仿宋_GBK" w:hAnsi="方正仿宋_GBK" w:eastAsia="方正仿宋_GBK" w:cs="方正仿宋_GBK"/>
                <w:sz w:val="18"/>
                <w:szCs w:val="18"/>
                <w:highlight w:val="none"/>
                <w:lang w:val="zh-CN"/>
              </w:rPr>
            </w:pPr>
            <w:r>
              <w:rPr>
                <w:rFonts w:hint="eastAsia" w:ascii="方正仿宋_GBK" w:hAnsi="方正仿宋_GBK" w:eastAsia="方正仿宋_GBK" w:cs="方正仿宋_GBK"/>
                <w:sz w:val="18"/>
                <w:szCs w:val="18"/>
                <w:highlight w:val="none"/>
                <w:lang w:val="zh-CN"/>
              </w:rPr>
              <w:t>电话: 010-63413186</w:t>
            </w:r>
          </w:p>
          <w:p w14:paraId="246A5D37">
            <w:pPr>
              <w:adjustRightInd w:val="0"/>
              <w:snapToGrid w:val="0"/>
              <w:ind w:firstLine="360" w:firstLineChars="200"/>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lang w:val="zh-CN"/>
              </w:rPr>
              <w:t>地址：北京市西城区西长安街86 号</w:t>
            </w:r>
            <w:r>
              <w:rPr>
                <w:rFonts w:ascii="方正仿宋_GBK" w:hAnsi="方正仿宋_GBK" w:eastAsia="方正仿宋_GBK" w:cs="方正仿宋_GBK"/>
                <w:color w:val="auto"/>
                <w:kern w:val="2"/>
                <w:sz w:val="18"/>
                <w:szCs w:val="18"/>
                <w:highlight w:val="none"/>
                <w:lang w:val="zh-CN"/>
              </w:rPr>
              <w:t xml:space="preserve"> </w:t>
            </w:r>
          </w:p>
          <w:p w14:paraId="7AB168D3">
            <w:pPr>
              <w:adjustRightInd w:val="0"/>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u w:val="single"/>
              </w:rPr>
              <w:t>承包人必须在增值税发票开票日期30日内将取得的增值税发票随工程资金付款手续一并送达发包人。承包人应按当期完成工程量计算的金额开具发票。如承包人应提供而未提供增值税发票，发包人有权拒绝支付当期工程进度款。</w:t>
            </w:r>
          </w:p>
        </w:tc>
      </w:tr>
      <w:tr w14:paraId="660845F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1965FC2">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489DD83">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专用条款17.8.1</w:t>
            </w:r>
          </w:p>
        </w:tc>
        <w:tc>
          <w:tcPr>
            <w:tcW w:w="3582" w:type="dxa"/>
            <w:vAlign w:val="center"/>
          </w:tcPr>
          <w:p w14:paraId="6EED90E5">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17.8.1为全面保障农民工工资按时足额支付，人工费用按以下第种方式计算：</w:t>
            </w:r>
          </w:p>
          <w:p w14:paraId="2348D91B">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（1）通过预算定额，依据现场实际已完工程量进行计算。</w:t>
            </w:r>
          </w:p>
          <w:p w14:paraId="10195739">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（2）通过工程量清单计价，依据现场实际已完工程量进行计算。</w:t>
            </w:r>
          </w:p>
          <w:p w14:paraId="04E3B648">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（3）其他：。</w:t>
            </w:r>
          </w:p>
        </w:tc>
        <w:tc>
          <w:tcPr>
            <w:tcW w:w="4455" w:type="dxa"/>
            <w:vAlign w:val="center"/>
          </w:tcPr>
          <w:p w14:paraId="102BE793">
            <w:pPr>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color w:val="000000"/>
                <w:kern w:val="0"/>
                <w:sz w:val="18"/>
                <w:szCs w:val="18"/>
                <w:highlight w:val="none"/>
              </w:rPr>
              <w:t>17.8.1为全面保障农民工工资按时足额支付，农民工费用按以下第</w:t>
            </w:r>
            <w:permStart w:id="9" w:edGrp="everyone"/>
            <w:r>
              <w:rPr>
                <w:rFonts w:hint="eastAsia" w:ascii="方正仿宋_GBK" w:hAnsi="方正仿宋_GBK" w:eastAsia="方正仿宋_GBK" w:cs="方正仿宋_GBK"/>
                <w:color w:val="000000"/>
                <w:kern w:val="0"/>
                <w:sz w:val="18"/>
                <w:szCs w:val="18"/>
                <w:highlight w:val="none"/>
                <w:u w:val="single"/>
              </w:rPr>
              <w:t>（2）或（3）</w:t>
            </w:r>
            <w:permEnd w:id="9"/>
            <w:r>
              <w:rPr>
                <w:rFonts w:hint="eastAsia" w:ascii="方正仿宋_GBK" w:hAnsi="方正仿宋_GBK" w:eastAsia="方正仿宋_GBK" w:cs="方正仿宋_GBK"/>
                <w:color w:val="000000"/>
                <w:kern w:val="0"/>
                <w:sz w:val="18"/>
                <w:szCs w:val="18"/>
                <w:highlight w:val="none"/>
              </w:rPr>
              <w:t>种方式计算：</w:t>
            </w:r>
          </w:p>
          <w:p w14:paraId="74F30E9E">
            <w:pPr>
              <w:numPr>
                <w:ilvl w:val="0"/>
                <w:numId w:val="7"/>
              </w:numPr>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color w:val="000000"/>
                <w:kern w:val="0"/>
                <w:sz w:val="18"/>
                <w:szCs w:val="18"/>
                <w:highlight w:val="none"/>
              </w:rPr>
              <w:t>通过预算定额，依据现场实际已完工程量进行计算。</w:t>
            </w:r>
          </w:p>
          <w:p w14:paraId="40C307A0">
            <w:pPr>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kern w:val="0"/>
                <w:sz w:val="18"/>
                <w:szCs w:val="18"/>
                <w:highlight w:val="none"/>
              </w:rPr>
              <w:t>（2）通过工程量清单计价，依据现场实际已完工程量进行计算。</w:t>
            </w:r>
          </w:p>
          <w:p w14:paraId="13A09774">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color w:val="000000"/>
                <w:kern w:val="0"/>
                <w:sz w:val="18"/>
                <w:szCs w:val="18"/>
                <w:highlight w:val="none"/>
              </w:rPr>
              <w:t>（3）其他：</w:t>
            </w:r>
            <w:permStart w:id="10" w:edGrp="everyone"/>
            <w:r>
              <w:rPr>
                <w:rFonts w:hint="eastAsia" w:ascii="方正仿宋_GBK" w:hAnsi="方正仿宋_GBK" w:eastAsia="方正仿宋_GBK" w:cs="方正仿宋_GBK"/>
                <w:sz w:val="18"/>
                <w:szCs w:val="18"/>
                <w:highlight w:val="none"/>
              </w:rPr>
              <w:t>由施工单位根据现场农民工工资实际发放需求确定</w:t>
            </w:r>
            <w:permEnd w:id="10"/>
            <w:r>
              <w:rPr>
                <w:rFonts w:hint="eastAsia" w:ascii="方正仿宋_GBK" w:hAnsi="方正仿宋_GBK" w:eastAsia="方正仿宋_GBK" w:cs="方正仿宋_GBK"/>
                <w:color w:val="000000"/>
                <w:kern w:val="0"/>
                <w:sz w:val="18"/>
                <w:szCs w:val="18"/>
                <w:highlight w:val="none"/>
              </w:rPr>
              <w:t>。</w:t>
            </w:r>
          </w:p>
        </w:tc>
      </w:tr>
      <w:tr w14:paraId="38A03B3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0433A06">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05191E49">
            <w:pPr>
              <w:widowControl/>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专用条款17.8.2</w:t>
            </w:r>
          </w:p>
        </w:tc>
        <w:tc>
          <w:tcPr>
            <w:tcW w:w="3582" w:type="dxa"/>
            <w:vAlign w:val="center"/>
          </w:tcPr>
          <w:p w14:paraId="2DF71942">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17.8.2人工费用拨付周期不得超过1个月，具体为：</w:t>
            </w:r>
          </w:p>
          <w:p w14:paraId="6D111F03">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□按月拨付</w:t>
            </w:r>
          </w:p>
          <w:p w14:paraId="11C97704">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□按周拨付</w:t>
            </w:r>
          </w:p>
          <w:p w14:paraId="6E0ABE00">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□其他：。</w:t>
            </w:r>
          </w:p>
          <w:p w14:paraId="072A0BEC">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承包人应在人工费用到达专用账户后日内支付给农民工。</w:t>
            </w:r>
          </w:p>
        </w:tc>
        <w:tc>
          <w:tcPr>
            <w:tcW w:w="4455" w:type="dxa"/>
            <w:vAlign w:val="center"/>
          </w:tcPr>
          <w:p w14:paraId="17183AA2">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17.8.2承包人人工费用拨付周期不得超过1个月，具体为：</w:t>
            </w:r>
          </w:p>
          <w:p w14:paraId="2F3CE8F1">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√按月拨付。</w:t>
            </w:r>
          </w:p>
          <w:p w14:paraId="45B53A97">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□按周拨付</w:t>
            </w:r>
          </w:p>
          <w:p w14:paraId="20F504D4">
            <w:pPr>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□其他：。</w:t>
            </w:r>
          </w:p>
          <w:p w14:paraId="6524F26C">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承包人应在人工费用到达专用账户后</w:t>
            </w:r>
            <w:r>
              <w:rPr>
                <w:rFonts w:hint="eastAsia" w:ascii="方正仿宋_GBK" w:hAnsi="方正仿宋_GBK" w:eastAsia="方正仿宋_GBK" w:cs="方正仿宋_GBK"/>
                <w:snapToGrid w:val="0"/>
                <w:kern w:val="0"/>
                <w:sz w:val="18"/>
                <w:szCs w:val="18"/>
                <w:highlight w:val="none"/>
                <w:u w:val="single"/>
              </w:rPr>
              <w:t xml:space="preserve">  3  </w:t>
            </w:r>
            <w:r>
              <w:rPr>
                <w:rFonts w:hint="eastAsia" w:ascii="方正仿宋_GBK" w:hAnsi="方正仿宋_GBK" w:eastAsia="方正仿宋_GBK" w:cs="方正仿宋_GBK"/>
                <w:snapToGrid w:val="0"/>
                <w:kern w:val="0"/>
                <w:sz w:val="18"/>
                <w:szCs w:val="18"/>
                <w:highlight w:val="none"/>
              </w:rPr>
              <w:t>日内支付给农民工。</w:t>
            </w:r>
          </w:p>
        </w:tc>
      </w:tr>
      <w:tr w14:paraId="05FA6DE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FA2B24D">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4FB669A">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专用条款18.2.3</w:t>
            </w:r>
          </w:p>
        </w:tc>
        <w:tc>
          <w:tcPr>
            <w:tcW w:w="3582" w:type="dxa"/>
            <w:vAlign w:val="center"/>
          </w:tcPr>
          <w:p w14:paraId="1257360E">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18.2.3 竣工资料</w:t>
            </w:r>
          </w:p>
          <w:p w14:paraId="1687B647">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承包人应提交的工程竣工资料的内容、要求及份数如下：</w:t>
            </w:r>
          </w:p>
          <w:p w14:paraId="06A8C506">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（1）工程竣工资料包括：</w:t>
            </w:r>
          </w:p>
          <w:p w14:paraId="271853F2">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工程开、竣工报告；</w:t>
            </w:r>
          </w:p>
          <w:p w14:paraId="4B1BB544">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施工记录、工程检验与评定记录；</w:t>
            </w:r>
          </w:p>
          <w:p w14:paraId="6D5E216E">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施工图会审纪要；</w:t>
            </w:r>
          </w:p>
          <w:p w14:paraId="6AB0AD08">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设计变更通知；</w:t>
            </w:r>
          </w:p>
          <w:p w14:paraId="658724F8">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材料代用清单；</w:t>
            </w:r>
          </w:p>
          <w:p w14:paraId="0B0C1394">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重大补偿协议、合同等相关外协文件资料；</w:t>
            </w:r>
          </w:p>
          <w:p w14:paraId="24D08E88">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材料、加工件出厂质量合格证明或试验报告；</w:t>
            </w:r>
          </w:p>
          <w:p w14:paraId="12ABC28E">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施工试验报告；</w:t>
            </w:r>
          </w:p>
          <w:p w14:paraId="62B24BF2">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施工缺陷处理明细表及附图；</w:t>
            </w:r>
          </w:p>
          <w:p w14:paraId="07D081A7">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发包人、监理人与承包人往来的技术文件；</w:t>
            </w:r>
          </w:p>
          <w:p w14:paraId="2D6AEA9B">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声像资料素材。</w:t>
            </w:r>
          </w:p>
          <w:p w14:paraId="7A1B7C1D">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（2）要求：</w:t>
            </w:r>
          </w:p>
          <w:p w14:paraId="414BBEC1">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a.在通过监理人初检、发包人会同运行单位进行的预验收后，承包人确认所承包的全部工程均达到质量标准，移交的工程资料齐备后，应写出申请竣工验收报告，提交发包人竣工验收，此报告应同时提交监理人。</w:t>
            </w:r>
          </w:p>
          <w:p w14:paraId="096D5A4F">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b.竣工验收时，要首先核查承包人应移交的工程资料和施工记录（施工检查记录、隐蔽工程记录等）。工程资料不全或施工记录不能如实反映施工的实际情况，则不能组织验收。</w:t>
            </w:r>
          </w:p>
          <w:p w14:paraId="56399121">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c.本工程要求承包人进行有关声像素材的拍摄与初步整理。施工过程中，承包人必须对隐蔽工程、关键工序、重要工序及重要活动按照发包人相关拍摄要求进行过程拍摄，通过录像、图片等形式形成文件资料，并作为竣工验收资料的重要组成部分。</w:t>
            </w:r>
          </w:p>
          <w:p w14:paraId="345F380E">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d.竣工移交资料质量要求：档案归档率100％，资料准确率100％，案卷合格率100％。档案归档率100％：按发包人的档案相关管理规定移交的归档资料齐全、完整，一项不缺。电子版必须与纸质文件一致，不可遗漏。资料准确率100％：竣工图真实、准确，与设计变更一致；施工记录必须按原始记录填写，数据准确，并经监理人员检查合格签署意见；各项文件必须原件归档，复印件、复写件不能归档；各种记录和文件签字、盖章完备，签字一律使用签字笔；监理意见、质检报告签发一律手签。案卷合格率100％：案卷题名准确、规范；组卷系统、规范；装订整齐。电子版文件中的手签部分计算机录入，外来文件要求对方提供电子版或扫描保存。</w:t>
            </w:r>
          </w:p>
          <w:p w14:paraId="6142F44F">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e.竣工移交资料归档时间：本工程由设计人编制竣工图。设计人修改合格的全套竣工图，由施工、监理人审核、盖章、组卷归档，与竣工资料一起于启动投运后28天内归档。</w:t>
            </w:r>
          </w:p>
          <w:p w14:paraId="6660527B">
            <w:pPr>
              <w:adjustRightInd w:val="0"/>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（3）份数：除竣工图外的其他竣工资料通过监理移交四套（一正三副），并按要求提供一套电子版竣工资料。</w:t>
            </w:r>
          </w:p>
        </w:tc>
        <w:tc>
          <w:tcPr>
            <w:tcW w:w="4455" w:type="dxa"/>
            <w:vAlign w:val="center"/>
          </w:tcPr>
          <w:p w14:paraId="3476D37A">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18.2.3修改为：</w:t>
            </w:r>
          </w:p>
          <w:p w14:paraId="624D7A43">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竣工资料</w:t>
            </w:r>
          </w:p>
          <w:p w14:paraId="00798FD1">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承包人应提交的工程竣工资料的内容、要求及份数如下：</w:t>
            </w:r>
          </w:p>
          <w:p w14:paraId="24166143">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（1）工程竣工资料包括：</w:t>
            </w:r>
          </w:p>
          <w:p w14:paraId="5A4A6D78">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工程开、竣工申请资料；</w:t>
            </w:r>
          </w:p>
          <w:p w14:paraId="2D6A1FE9">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施工记录、工程检验与评定记录；</w:t>
            </w:r>
          </w:p>
          <w:p w14:paraId="0AC80AED">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施工图会审纪要；</w:t>
            </w:r>
          </w:p>
          <w:p w14:paraId="2E3F9133">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设计变更通知；</w:t>
            </w:r>
          </w:p>
          <w:p w14:paraId="6EE44636">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材料代用清单；</w:t>
            </w:r>
          </w:p>
          <w:p w14:paraId="540365EC">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重大补偿协议、合同等相关外协文件资料；</w:t>
            </w:r>
          </w:p>
          <w:p w14:paraId="748DB676">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材料、加工件出厂质量合格证明或试验报告；</w:t>
            </w:r>
          </w:p>
          <w:p w14:paraId="6E6A133E">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施工试验报告；</w:t>
            </w:r>
          </w:p>
          <w:p w14:paraId="72960AB6">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施工缺陷处理明细表及附图；</w:t>
            </w:r>
          </w:p>
          <w:p w14:paraId="38E9397B">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发包人、监理人与承包人往来的技术文件；</w:t>
            </w:r>
          </w:p>
          <w:p w14:paraId="47D977B2">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声像资料素材：根据国网公司基建管理以及《国家电网有限公司电网建设项目档案管理办法》等要求进行有关声像素材的拍摄、整理与归档。</w:t>
            </w:r>
          </w:p>
          <w:p w14:paraId="508345D4">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（2）要求：</w:t>
            </w:r>
          </w:p>
          <w:p w14:paraId="6B15B0C2">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a.在通过监理人初检、发包人会同运行单位进行的预验收后，承包人确认所承包的全部工程均达到质量标准，移交的工程资料齐备后，应写出申请竣工验收报告，提交发包人竣工验收，此报告应同时提交监理人。</w:t>
            </w:r>
          </w:p>
          <w:p w14:paraId="0FE59716">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b.竣工验收时，要首先核查承包人应移交的工程资料和施工记录（施工检查记录、隐蔽工程记录等）。工程资料不全或施工记录不能如实反映施工的实际情况，则不能组织验收。</w:t>
            </w:r>
          </w:p>
          <w:p w14:paraId="7D6933AD">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c.本工程要求承包人进行有关声像素材的拍摄与初步整理。施工过程中，承包人必须对隐蔽工程、关键工序、重要工序及重要活动按照发包人相关拍摄要求进行过程拍摄，通过录像、图片等形式形成文件资料，并作为竣工验收资料的重要组成部分。</w:t>
            </w:r>
          </w:p>
          <w:p w14:paraId="7622C31E">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d.竣工移交资料质量要求：按《国家电网有限公司电网建设项目档案管理办法》等要求执行。</w:t>
            </w:r>
          </w:p>
          <w:p w14:paraId="0D5674EC">
            <w:pPr>
              <w:adjustRightInd w:val="0"/>
              <w:snapToGrid w:val="0"/>
              <w:ind w:firstLine="360" w:firstLineChars="20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e.竣工移交资料归档时间：本工程由设计人编制竣工图。设计人修改合格的全套竣工图，监理人审核、盖章后，设计人组卷，于启动投运后</w:t>
            </w:r>
            <w:r>
              <w:rPr>
                <w:rFonts w:hint="eastAsia" w:ascii="方正仿宋_GBK" w:hAnsi="方正仿宋_GBK" w:eastAsia="方正仿宋_GBK" w:cs="方正仿宋_GBK"/>
                <w:sz w:val="18"/>
                <w:szCs w:val="18"/>
                <w:highlight w:val="none"/>
                <w:u w:val="single"/>
              </w:rPr>
              <w:t>一个月内</w:t>
            </w:r>
            <w:r>
              <w:rPr>
                <w:rFonts w:hint="eastAsia" w:ascii="方正仿宋_GBK" w:hAnsi="方正仿宋_GBK" w:eastAsia="方正仿宋_GBK" w:cs="方正仿宋_GBK"/>
                <w:sz w:val="18"/>
                <w:szCs w:val="18"/>
                <w:highlight w:val="none"/>
              </w:rPr>
              <w:t>归档。</w:t>
            </w:r>
          </w:p>
          <w:p w14:paraId="19FA1933">
            <w:pPr>
              <w:adjustRightInd w:val="0"/>
              <w:snapToGrid w:val="0"/>
              <w:ind w:firstLine="360" w:firstLineChars="20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（3）份数：除竣工图外的其他竣工资料通过监理移交四套（一正三副），正本要求原件。</w:t>
            </w:r>
          </w:p>
        </w:tc>
      </w:tr>
      <w:tr w14:paraId="1B50212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1908F76">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60C770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32FC18C0">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18.4.3</w:t>
            </w:r>
          </w:p>
        </w:tc>
        <w:tc>
          <w:tcPr>
            <w:tcW w:w="3582" w:type="dxa"/>
            <w:vAlign w:val="center"/>
          </w:tcPr>
          <w:p w14:paraId="7EF1827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18.4.3（增加）：</w:t>
            </w:r>
          </w:p>
          <w:p w14:paraId="6C7C1A2C">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单位工程的中间验收按国家电网有限公司输变电工程验收管理相关规定执行。</w:t>
            </w:r>
          </w:p>
        </w:tc>
        <w:tc>
          <w:tcPr>
            <w:tcW w:w="4455" w:type="dxa"/>
            <w:vAlign w:val="center"/>
          </w:tcPr>
          <w:p w14:paraId="6B7E1E8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18.4.3（增加）：</w:t>
            </w:r>
          </w:p>
          <w:p w14:paraId="6171803D">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单位工程的中间验收按国家电网有限公司输变电工程质量验收管理相关规定执行。</w:t>
            </w:r>
          </w:p>
        </w:tc>
      </w:tr>
      <w:tr w14:paraId="51C0941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1CF6AA8">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43F77D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专用条款</w:t>
            </w:r>
          </w:p>
          <w:p w14:paraId="2B54648D">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18.7.10</w:t>
            </w:r>
          </w:p>
        </w:tc>
        <w:tc>
          <w:tcPr>
            <w:tcW w:w="3582" w:type="dxa"/>
            <w:vAlign w:val="center"/>
          </w:tcPr>
          <w:p w14:paraId="7AA774D4">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18.7.10启动试运通过验收后，发包人应负责召集验收委员开会，听取并审议试运和移交工作情况的汇报，并在“联合试运转验收交接书”上签字。</w:t>
            </w:r>
          </w:p>
        </w:tc>
        <w:tc>
          <w:tcPr>
            <w:tcW w:w="4455" w:type="dxa"/>
            <w:vAlign w:val="center"/>
          </w:tcPr>
          <w:p w14:paraId="473CA78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修改为：</w:t>
            </w:r>
          </w:p>
          <w:p w14:paraId="483EE772">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18.7.10启动试运通过验收后，发包人应负责召集验收委员开会，听取并审议试运和移交工作情况的汇报，并在“启动验收证书”上签字。</w:t>
            </w:r>
          </w:p>
        </w:tc>
      </w:tr>
      <w:tr w14:paraId="6A86031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1E1621C">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DA80D15">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专用条款18.7.11</w:t>
            </w:r>
          </w:p>
        </w:tc>
        <w:tc>
          <w:tcPr>
            <w:tcW w:w="3582" w:type="dxa"/>
            <w:vAlign w:val="center"/>
          </w:tcPr>
          <w:p w14:paraId="5B46FE3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18.7.11 技术资料的移交工作由监理人负责。移交工作应符合现行验收规范、规程和验收检查组的决定。承包人应在整套启动试运验收移交试运行后28天内，将竣工图等完整的竣工资料移交发包人。少量有特殊情况的资料，经发包人同意后可延期移交，但最迟不能超过试运行期。承包人移交的竣工资料需符合以下要求：</w:t>
            </w:r>
          </w:p>
          <w:p w14:paraId="64FCD5E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（1）移交的工程资料和施工记录必须符合发包人的档案管理要求；</w:t>
            </w:r>
          </w:p>
          <w:p w14:paraId="4DF62112">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（2）施工记录必须为原始记录，经现场质量监理人员检查合格并签署意见。</w:t>
            </w:r>
          </w:p>
        </w:tc>
        <w:tc>
          <w:tcPr>
            <w:tcW w:w="4455" w:type="dxa"/>
            <w:vAlign w:val="center"/>
          </w:tcPr>
          <w:p w14:paraId="3E07DA4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修改为：</w:t>
            </w:r>
          </w:p>
          <w:p w14:paraId="3F00A9A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18.7.11技术资料的移交工作由监理人负责。技术资料的移交工作由监理人负责。移交工作应符合现行验收规范、规程和验收检查组的决定。承包人应在整套启动试运验收移交试运行后28天内，将完整的竣工资料移交发包人。少量有特殊情况的资料，经发包人同意后可延期移交，最迟不能超过正式投运期后的两个月。承包人移交的竣工资料需符合以下要求：</w:t>
            </w:r>
          </w:p>
          <w:p w14:paraId="71CA826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（1）移交的工程资料和施工记录必须符合发包人的档案管理要求；</w:t>
            </w:r>
          </w:p>
          <w:p w14:paraId="31F2F1D6">
            <w:pPr>
              <w:adjustRightInd w:val="0"/>
              <w:snapToGrid w:val="0"/>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（2）施工记录必须为原始记录，经现场质量监理人员检查合格并签署意见。</w:t>
            </w:r>
          </w:p>
        </w:tc>
      </w:tr>
      <w:tr w14:paraId="73FD52C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1040" w:type="dxa"/>
            <w:vAlign w:val="center"/>
          </w:tcPr>
          <w:p w14:paraId="28B29A98">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D5EFF94">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napToGrid w:val="0"/>
                <w:kern w:val="0"/>
                <w:sz w:val="18"/>
                <w:szCs w:val="18"/>
                <w:highlight w:val="none"/>
              </w:rPr>
              <w:t>18.8.1</w:t>
            </w:r>
          </w:p>
        </w:tc>
        <w:tc>
          <w:tcPr>
            <w:tcW w:w="3582" w:type="dxa"/>
            <w:vAlign w:val="center"/>
          </w:tcPr>
          <w:p w14:paraId="6554C81F">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18.8.1 除合同另有约定外，承包人应按合同约定进行工程及工程设备试运行，负责提供试运行所需的人员、器材和必要的条件，并承担全部试运行费用。试运行自发包人或监理人宣布联合试运转结束之日开始，试运行天数按现行规定或按合同下列约定（如有）执行。</w:t>
            </w:r>
          </w:p>
          <w:p w14:paraId="11DB110B">
            <w:pPr>
              <w:autoSpaceDE w:val="0"/>
              <w:autoSpaceDN w:val="0"/>
              <w:adjustRightInd w:val="0"/>
              <w:snapToGrid w:val="0"/>
              <w:jc w:val="left"/>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工程试运行天数为</w:t>
            </w:r>
            <w:r>
              <w:rPr>
                <w:rFonts w:hint="eastAsia" w:ascii="方正仿宋_GBK" w:hAnsi="方正仿宋_GBK" w:eastAsia="方正仿宋_GBK" w:cs="方正仿宋_GBK"/>
                <w:sz w:val="18"/>
                <w:szCs w:val="18"/>
                <w:highlight w:val="none"/>
              </w:rPr>
              <w:t>天</w:t>
            </w:r>
            <w:r>
              <w:rPr>
                <w:rFonts w:hint="eastAsia" w:ascii="方正仿宋_GBK" w:hAnsi="方正仿宋_GBK" w:eastAsia="方正仿宋_GBK" w:cs="方正仿宋_GBK"/>
                <w:snapToGrid w:val="0"/>
                <w:kern w:val="0"/>
                <w:sz w:val="18"/>
                <w:szCs w:val="18"/>
                <w:highlight w:val="none"/>
              </w:rPr>
              <w:t>。</w:t>
            </w:r>
          </w:p>
        </w:tc>
        <w:tc>
          <w:tcPr>
            <w:tcW w:w="4455" w:type="dxa"/>
            <w:vAlign w:val="center"/>
          </w:tcPr>
          <w:p w14:paraId="78F25F9B">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18.8.1 除合同另有约定外，承包人应按合同约定进行工程及工程设备试运行，负责提供试运行所需的人员、器材和必要的条件，并承担全部试运行费用。试运行自发包人或监理人宣布联合试运转结束之日开始，试运行天数按现行规定或按合同下列约定（如有）执行。</w:t>
            </w:r>
          </w:p>
          <w:p w14:paraId="5E90612A">
            <w:pPr>
              <w:widowControl/>
              <w:autoSpaceDE w:val="0"/>
              <w:autoSpaceDN w:val="0"/>
              <w:adjustRightInd w:val="0"/>
              <w:snapToGrid w:val="0"/>
              <w:jc w:val="left"/>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工程试运行天数为</w:t>
            </w:r>
            <w:r>
              <w:rPr>
                <w:rFonts w:hint="eastAsia" w:ascii="方正仿宋_GBK" w:hAnsi="方正仿宋_GBK" w:eastAsia="方正仿宋_GBK" w:cs="方正仿宋_GBK"/>
                <w:sz w:val="18"/>
                <w:szCs w:val="18"/>
                <w:highlight w:val="none"/>
                <w:u w:val="single"/>
              </w:rPr>
              <w:t xml:space="preserve">   7  </w:t>
            </w:r>
            <w:r>
              <w:rPr>
                <w:rFonts w:hint="eastAsia" w:ascii="方正仿宋_GBK" w:hAnsi="方正仿宋_GBK" w:eastAsia="方正仿宋_GBK" w:cs="方正仿宋_GBK"/>
                <w:sz w:val="18"/>
                <w:szCs w:val="18"/>
                <w:highlight w:val="none"/>
              </w:rPr>
              <w:t>天</w:t>
            </w:r>
            <w:r>
              <w:rPr>
                <w:rFonts w:hint="eastAsia" w:ascii="方正仿宋_GBK" w:hAnsi="方正仿宋_GBK" w:eastAsia="方正仿宋_GBK" w:cs="方正仿宋_GBK"/>
                <w:snapToGrid w:val="0"/>
                <w:kern w:val="0"/>
                <w:sz w:val="18"/>
                <w:szCs w:val="18"/>
                <w:highlight w:val="none"/>
              </w:rPr>
              <w:t>。</w:t>
            </w:r>
          </w:p>
        </w:tc>
      </w:tr>
      <w:tr w14:paraId="59CCAA7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CCD7D19">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F41B09A">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专用条款19.1</w:t>
            </w:r>
          </w:p>
        </w:tc>
        <w:tc>
          <w:tcPr>
            <w:tcW w:w="3582" w:type="dxa"/>
            <w:vAlign w:val="center"/>
          </w:tcPr>
          <w:p w14:paraId="3EE15B3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19.1 缺陷责任期的起算时间</w:t>
            </w:r>
          </w:p>
          <w:p w14:paraId="7A95E37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修改为：</w:t>
            </w:r>
          </w:p>
          <w:p w14:paraId="784DE4BA">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缺陷责任期自第18.8.6项约定的实际竣工日期起计算。在全部工程竣工验收前，已经发包人提前验收的单位工程、分单项、分项、分部工程，其缺陷责任期的起算日期均自实际竣工日期起计算。</w:t>
            </w:r>
          </w:p>
        </w:tc>
        <w:tc>
          <w:tcPr>
            <w:tcW w:w="4455" w:type="dxa"/>
            <w:vAlign w:val="center"/>
          </w:tcPr>
          <w:p w14:paraId="1138F2D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修改为：</w:t>
            </w:r>
          </w:p>
          <w:p w14:paraId="2B608575">
            <w:pPr>
              <w:adjustRightInd w:val="0"/>
              <w:snapToGrid w:val="0"/>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19.1缺陷责任期的起算时间修改为：缺陷责任期自第18.8.6项约定的从工程通过竣工验收之日起计算。在全部工程竣工验收前，已经发包人提前验收的单位工程、分单项、分项、分部工程，其缺陷责任期的起算日期均自通过竣工验收之日起计算。因承包人原因导致工程无法按合同约定期限进行竣工验收的，缺陷责任期从实际通过竣工验收之日起计算。</w:t>
            </w:r>
          </w:p>
        </w:tc>
      </w:tr>
      <w:tr w14:paraId="53A2122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DBD2295">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00091244">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napToGrid w:val="0"/>
                <w:kern w:val="0"/>
                <w:sz w:val="18"/>
                <w:szCs w:val="18"/>
                <w:highlight w:val="none"/>
              </w:rPr>
              <w:t>20.1</w:t>
            </w:r>
          </w:p>
        </w:tc>
        <w:tc>
          <w:tcPr>
            <w:tcW w:w="3582" w:type="dxa"/>
            <w:vAlign w:val="center"/>
          </w:tcPr>
          <w:p w14:paraId="1382F65E">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20.1 工程保险</w:t>
            </w:r>
          </w:p>
          <w:p w14:paraId="110C84BF">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建筑工程一切险和安装工程一切险由发包人投保。具体的投保内容、保险金额、保险期限等有关内容如下</w:t>
            </w:r>
            <w:r>
              <w:rPr>
                <w:rStyle w:val="20"/>
                <w:rFonts w:hint="default" w:ascii="方正仿宋_GBK" w:hAnsi="方正仿宋_GBK" w:eastAsia="方正仿宋_GBK" w:cs="方正仿宋_GBK"/>
                <w:snapToGrid w:val="0"/>
                <w:sz w:val="18"/>
                <w:szCs w:val="18"/>
                <w:highlight w:val="none"/>
              </w:rPr>
              <w:footnoteReference w:id="1"/>
            </w:r>
            <w:r>
              <w:rPr>
                <w:rFonts w:hint="eastAsia" w:ascii="方正仿宋_GBK" w:hAnsi="方正仿宋_GBK" w:eastAsia="方正仿宋_GBK" w:cs="方正仿宋_GBK"/>
                <w:snapToGrid w:val="0"/>
                <w:kern w:val="0"/>
                <w:sz w:val="18"/>
                <w:szCs w:val="18"/>
                <w:highlight w:val="none"/>
              </w:rPr>
              <w:t xml:space="preserve">： </w:t>
            </w:r>
          </w:p>
          <w:p w14:paraId="19DBAB3B">
            <w:pPr>
              <w:autoSpaceDE w:val="0"/>
              <w:autoSpaceDN w:val="0"/>
              <w:adjustRightInd w:val="0"/>
              <w:snapToGrid w:val="0"/>
              <w:jc w:val="left"/>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p>
        </w:tc>
        <w:tc>
          <w:tcPr>
            <w:tcW w:w="4455" w:type="dxa"/>
            <w:vAlign w:val="center"/>
          </w:tcPr>
          <w:p w14:paraId="4895A1BC">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20.1 工程保险</w:t>
            </w:r>
          </w:p>
          <w:p w14:paraId="52388F5B">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建筑工程一切险和安装工程一切险由发包人投保。具体的投保内容、保险金额、保险期限等有关内容如下</w:t>
            </w:r>
            <w:r>
              <w:rPr>
                <w:rStyle w:val="20"/>
                <w:rFonts w:hint="default" w:ascii="方正仿宋_GBK" w:hAnsi="方正仿宋_GBK" w:eastAsia="方正仿宋_GBK" w:cs="方正仿宋_GBK"/>
                <w:snapToGrid w:val="0"/>
                <w:sz w:val="18"/>
                <w:szCs w:val="18"/>
                <w:highlight w:val="none"/>
              </w:rPr>
              <w:footnoteReference w:id="2"/>
            </w:r>
            <w:r>
              <w:rPr>
                <w:rFonts w:hint="eastAsia" w:ascii="方正仿宋_GBK" w:hAnsi="方正仿宋_GBK" w:eastAsia="方正仿宋_GBK" w:cs="方正仿宋_GBK"/>
                <w:snapToGrid w:val="0"/>
                <w:kern w:val="0"/>
                <w:sz w:val="18"/>
                <w:szCs w:val="18"/>
                <w:highlight w:val="none"/>
              </w:rPr>
              <w:t xml:space="preserve">： </w:t>
            </w:r>
          </w:p>
          <w:p w14:paraId="387CFA67">
            <w:pPr>
              <w:autoSpaceDE w:val="0"/>
              <w:autoSpaceDN w:val="0"/>
              <w:adjustRightInd w:val="0"/>
              <w:snapToGrid w:val="0"/>
              <w:ind w:firstLine="360" w:firstLineChars="200"/>
              <w:jc w:val="left"/>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z w:val="18"/>
                <w:szCs w:val="18"/>
                <w:highlight w:val="none"/>
                <w:u w:val="single"/>
              </w:rPr>
              <w:t>承包人/发包人应购买并在本合同生效后至工程启动竣工验收签证书颁发之日止的期间内维持建筑和安装工程一切险，保险金额不低于被保险工程完成时的总价值，包括设备费用、原材料费用、安装费、建造费、运保费、关税、其他税项和相关费用，以及由发包人提供的原材料和设备的费用</w:t>
            </w:r>
          </w:p>
          <w:p w14:paraId="0AB444A7">
            <w:pPr>
              <w:autoSpaceDE w:val="0"/>
              <w:autoSpaceDN w:val="0"/>
              <w:adjustRightInd w:val="0"/>
              <w:snapToGrid w:val="0"/>
              <w:ind w:firstLine="360" w:firstLineChars="200"/>
              <w:jc w:val="left"/>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u w:val="single"/>
              </w:rPr>
              <w:t>建筑和安装工程一切险应包括对构成工程或将并入工程的所有工程设备、材料或其他物品（不含施工机具）的下列风险：（1）直接因某些风险而对工程设备、材料造成实质上的损失和损害，包括暴风、暴雨、洪水、地震、冰雹、火灾、爆炸、暴动及内乱、第三方恶意行为及飞行物或交通工具造成的损失和损害；（2）工程启动或调试期间发生的机械和电气故障的风险。</w:t>
            </w:r>
          </w:p>
        </w:tc>
      </w:tr>
      <w:tr w14:paraId="1336396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5F2DB3F">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541FDC9">
            <w:pPr>
              <w:widowControl/>
              <w:rPr>
                <w:rFonts w:ascii="方正仿宋_GBK" w:hAnsi="方正仿宋_GBK" w:eastAsia="方正仿宋_GBK" w:cs="方正仿宋_GBK"/>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napToGrid w:val="0"/>
                <w:kern w:val="0"/>
                <w:sz w:val="18"/>
                <w:szCs w:val="18"/>
                <w:highlight w:val="none"/>
              </w:rPr>
              <w:t>20.4.2</w:t>
            </w:r>
          </w:p>
        </w:tc>
        <w:tc>
          <w:tcPr>
            <w:tcW w:w="3582" w:type="dxa"/>
            <w:vAlign w:val="center"/>
          </w:tcPr>
          <w:p w14:paraId="5E995D0C">
            <w:pPr>
              <w:autoSpaceDE w:val="0"/>
              <w:autoSpaceDN w:val="0"/>
              <w:adjustRightInd w:val="0"/>
              <w:snapToGrid w:val="0"/>
              <w:ind w:firstLine="360" w:firstLineChars="200"/>
              <w:jc w:val="left"/>
              <w:rPr>
                <w:rFonts w:ascii="方正仿宋_GBK" w:hAnsi="方正仿宋_GBK" w:eastAsia="方正仿宋_GBK" w:cs="方正仿宋_GBK"/>
                <w:snapToGrid w:val="0"/>
                <w:color w:val="000000" w:themeColor="text1"/>
                <w:kern w:val="0"/>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20.4.2 在缺陷责任期终止证书颁发前，第三者责任险由发包人投保。具体的投保内容、保险金额、保险期限等有关内容如下</w:t>
            </w:r>
            <w:r>
              <w:rPr>
                <w:rStyle w:val="20"/>
                <w:rFonts w:hint="default" w:ascii="方正仿宋_GBK" w:hAnsi="方正仿宋_GBK" w:eastAsia="方正仿宋_GBK" w:cs="方正仿宋_GBK"/>
                <w:snapToGrid w:val="0"/>
                <w:sz w:val="18"/>
                <w:szCs w:val="18"/>
                <w:highlight w:val="none"/>
              </w:rPr>
              <w:footnoteReference w:id="3"/>
            </w:r>
            <w:r>
              <w:rPr>
                <w:rFonts w:hint="eastAsia" w:ascii="方正仿宋_GBK" w:hAnsi="方正仿宋_GBK" w:eastAsia="方正仿宋_GBK" w:cs="方正仿宋_GBK"/>
                <w:snapToGrid w:val="0"/>
                <w:kern w:val="0"/>
                <w:sz w:val="18"/>
                <w:szCs w:val="18"/>
                <w:highlight w:val="none"/>
              </w:rPr>
              <w:t xml:space="preserve">： </w:t>
            </w:r>
            <w:r>
              <w:rPr>
                <w:rFonts w:hint="eastAsia" w:ascii="方正仿宋_GBK" w:hAnsi="方正仿宋_GBK" w:eastAsia="方正仿宋_GBK" w:cs="方正仿宋_GBK"/>
                <w:sz w:val="18"/>
                <w:szCs w:val="18"/>
                <w:highlight w:val="none"/>
              </w:rPr>
              <w:t xml:space="preserve">。 </w:t>
            </w:r>
          </w:p>
        </w:tc>
        <w:tc>
          <w:tcPr>
            <w:tcW w:w="4455" w:type="dxa"/>
            <w:vAlign w:val="center"/>
          </w:tcPr>
          <w:p w14:paraId="65AC1225">
            <w:pPr>
              <w:autoSpaceDE w:val="0"/>
              <w:autoSpaceDN w:val="0"/>
              <w:adjustRightInd w:val="0"/>
              <w:snapToGrid w:val="0"/>
              <w:ind w:firstLine="360" w:firstLineChars="200"/>
              <w:jc w:val="left"/>
              <w:rPr>
                <w:rFonts w:ascii="方正仿宋_GBK" w:hAnsi="方正仿宋_GBK" w:eastAsia="方正仿宋_GBK" w:cs="方正仿宋_GBK"/>
                <w:sz w:val="18"/>
                <w:szCs w:val="18"/>
                <w:highlight w:val="none"/>
                <w:u w:val="single"/>
              </w:rPr>
            </w:pPr>
            <w:r>
              <w:rPr>
                <w:rFonts w:hint="eastAsia" w:ascii="方正仿宋_GBK" w:hAnsi="方正仿宋_GBK" w:eastAsia="方正仿宋_GBK" w:cs="方正仿宋_GBK"/>
                <w:snapToGrid w:val="0"/>
                <w:kern w:val="0"/>
                <w:sz w:val="18"/>
                <w:szCs w:val="18"/>
                <w:highlight w:val="none"/>
              </w:rPr>
              <w:t>20.4.2 在缺陷责任期终止证书颁发前，第三者责任险由发包人投保。具体的投保内容、责任限额、保险期限等有关内容如下</w:t>
            </w:r>
            <w:r>
              <w:rPr>
                <w:rStyle w:val="20"/>
                <w:rFonts w:hint="default" w:ascii="方正仿宋_GBK" w:hAnsi="方正仿宋_GBK" w:eastAsia="方正仿宋_GBK" w:cs="方正仿宋_GBK"/>
                <w:snapToGrid w:val="0"/>
                <w:sz w:val="18"/>
                <w:szCs w:val="18"/>
                <w:highlight w:val="none"/>
              </w:rPr>
              <w:footnoteReference w:id="4"/>
            </w:r>
            <w:r>
              <w:rPr>
                <w:rFonts w:hint="eastAsia" w:ascii="方正仿宋_GBK" w:hAnsi="方正仿宋_GBK" w:eastAsia="方正仿宋_GBK" w:cs="方正仿宋_GBK"/>
                <w:snapToGrid w:val="0"/>
                <w:kern w:val="0"/>
                <w:sz w:val="18"/>
                <w:szCs w:val="18"/>
                <w:highlight w:val="none"/>
              </w:rPr>
              <w:t xml:space="preserve">： </w:t>
            </w:r>
          </w:p>
          <w:p w14:paraId="101FF5BB">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u w:val="single"/>
              </w:rPr>
              <w:t xml:space="preserve">   第三者责任险应保护发包人和/或承包人不因发生与工程直接相关意外事故造成工地内及邻近区域第三方人身伤害、死亡和/或第三方财产损失而被索赔。责任限额执行保险合同及国家、国家电网有限公司相关文件规定要求。保险期限与工程保险保持一致。</w:t>
            </w:r>
          </w:p>
        </w:tc>
      </w:tr>
      <w:tr w14:paraId="3483BFD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7C76B5D">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E844CCF">
            <w:pPr>
              <w:widowControl/>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napToGrid w:val="0"/>
                <w:kern w:val="0"/>
                <w:sz w:val="18"/>
                <w:szCs w:val="18"/>
                <w:highlight w:val="none"/>
              </w:rPr>
              <w:t>20.6.1</w:t>
            </w:r>
          </w:p>
        </w:tc>
        <w:tc>
          <w:tcPr>
            <w:tcW w:w="3582" w:type="dxa"/>
            <w:vAlign w:val="center"/>
          </w:tcPr>
          <w:p w14:paraId="19C19C75">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20.6.1 保险凭证</w:t>
            </w:r>
          </w:p>
          <w:p w14:paraId="638108C8">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承包人应在合同生效后日内提交所投保险生效的证据和保险单副本。</w:t>
            </w:r>
          </w:p>
        </w:tc>
        <w:tc>
          <w:tcPr>
            <w:tcW w:w="4455" w:type="dxa"/>
            <w:vAlign w:val="center"/>
          </w:tcPr>
          <w:p w14:paraId="34AB4DF6">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20.6.1 保险凭证</w:t>
            </w:r>
          </w:p>
          <w:p w14:paraId="32E93FF1">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承包人应在合同生效后</w:t>
            </w:r>
            <w:r>
              <w:rPr>
                <w:rFonts w:hint="eastAsia" w:ascii="方正仿宋_GBK" w:hAnsi="方正仿宋_GBK" w:eastAsia="方正仿宋_GBK" w:cs="方正仿宋_GBK"/>
                <w:snapToGrid w:val="0"/>
                <w:kern w:val="0"/>
                <w:sz w:val="18"/>
                <w:szCs w:val="18"/>
                <w:highlight w:val="none"/>
                <w:u w:val="single"/>
              </w:rPr>
              <w:t xml:space="preserve">  60   </w:t>
            </w:r>
            <w:r>
              <w:rPr>
                <w:rFonts w:hint="eastAsia" w:ascii="方正仿宋_GBK" w:hAnsi="方正仿宋_GBK" w:eastAsia="方正仿宋_GBK" w:cs="方正仿宋_GBK"/>
                <w:snapToGrid w:val="0"/>
                <w:kern w:val="0"/>
                <w:sz w:val="18"/>
                <w:szCs w:val="18"/>
                <w:highlight w:val="none"/>
              </w:rPr>
              <w:t>日内提交所投保险生效的证据和保险单副本。</w:t>
            </w:r>
          </w:p>
        </w:tc>
      </w:tr>
      <w:tr w14:paraId="735F644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43B922E">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B5DF589">
            <w:pPr>
              <w:widowControl/>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z w:val="18"/>
                <w:szCs w:val="18"/>
                <w:highlight w:val="none"/>
              </w:rPr>
              <w:t>20.6.10（增加）</w:t>
            </w:r>
          </w:p>
        </w:tc>
        <w:tc>
          <w:tcPr>
            <w:tcW w:w="3582" w:type="dxa"/>
            <w:vAlign w:val="center"/>
          </w:tcPr>
          <w:p w14:paraId="09C4BD9D">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无</w:t>
            </w:r>
          </w:p>
        </w:tc>
        <w:tc>
          <w:tcPr>
            <w:tcW w:w="4455" w:type="dxa"/>
            <w:vAlign w:val="center"/>
          </w:tcPr>
          <w:p w14:paraId="17540E73">
            <w:pPr>
              <w:autoSpaceDE w:val="0"/>
              <w:autoSpaceDN w:val="0"/>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20.6.10（增加）：</w:t>
            </w:r>
          </w:p>
          <w:p w14:paraId="29D350C1">
            <w:pPr>
              <w:autoSpaceDE w:val="0"/>
              <w:autoSpaceDN w:val="0"/>
              <w:adjustRightInd w:val="0"/>
              <w:snapToGrid w:val="0"/>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1.承包人应按照《安全生产责任保险实施办法》（安监总办〔2017〕140号）规定投保安全生产责任保险。</w:t>
            </w:r>
          </w:p>
          <w:p w14:paraId="0D3B9CDA">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2.承包人应按照《建设工程安全管理条例》第三十八条要求，为施工现场从事危险作业的人员办理意外伤害保险。意外伤害保险期限自建设工程开工之日起至竣工验收合格止。</w:t>
            </w:r>
          </w:p>
        </w:tc>
      </w:tr>
      <w:tr w14:paraId="744D3F3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FD5E2D6">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464F8C1">
            <w:pPr>
              <w:widowControl/>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z w:val="18"/>
                <w:szCs w:val="18"/>
                <w:highlight w:val="none"/>
              </w:rPr>
              <w:t>22.1.1（14）（新增）</w:t>
            </w:r>
          </w:p>
        </w:tc>
        <w:tc>
          <w:tcPr>
            <w:tcW w:w="3582" w:type="dxa"/>
            <w:vAlign w:val="center"/>
          </w:tcPr>
          <w:p w14:paraId="3E7CA6B8">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无</w:t>
            </w:r>
          </w:p>
        </w:tc>
        <w:tc>
          <w:tcPr>
            <w:tcW w:w="4455" w:type="dxa"/>
            <w:vAlign w:val="center"/>
          </w:tcPr>
          <w:p w14:paraId="79445707">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b/>
                <w:bCs/>
                <w:snapToGrid w:val="0"/>
                <w:kern w:val="0"/>
                <w:sz w:val="18"/>
                <w:szCs w:val="18"/>
                <w:highlight w:val="none"/>
              </w:rPr>
              <w:t>22.1.1（14）（增加）：</w:t>
            </w:r>
          </w:p>
          <w:p w14:paraId="69C8D149">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有下列情形之一的，属于承包人违约： </w:t>
            </w:r>
          </w:p>
          <w:p w14:paraId="66E30411">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1）承包人项目经理因“不能胜任所承担的工程任务，发包人要求更换”原因被要求变更项目经理的。 </w:t>
            </w:r>
          </w:p>
          <w:p w14:paraId="596E80BF">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2）半年内两次以上以“变更工作单位”或“罹患严重疾病需要治疗或者修养，时间在一个月以上或者超过合同工期二分之一以上”理由变更项目经理的。 </w:t>
            </w:r>
          </w:p>
          <w:p w14:paraId="4A5323BE">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3）</w:t>
            </w:r>
            <w:r>
              <w:rPr>
                <w:rFonts w:hint="eastAsia" w:ascii="方正仿宋_GBK" w:hAnsi="方正仿宋_GBK" w:eastAsia="方正仿宋_GBK" w:cs="方正仿宋_GBK"/>
                <w:snapToGrid w:val="0"/>
                <w:color w:val="auto"/>
                <w:kern w:val="0"/>
                <w:sz w:val="18"/>
                <w:szCs w:val="18"/>
                <w:highlight w:val="none"/>
              </w:rPr>
              <w:t>变更的项目经理或其他项目人员不满足招标文件要求</w:t>
            </w:r>
            <w:r>
              <w:rPr>
                <w:rFonts w:hint="eastAsia" w:ascii="方正仿宋_GBK" w:hAnsi="方正仿宋_GBK" w:eastAsia="方正仿宋_GBK" w:cs="方正仿宋_GBK"/>
                <w:snapToGrid w:val="0"/>
                <w:kern w:val="0"/>
                <w:sz w:val="18"/>
                <w:szCs w:val="18"/>
                <w:highlight w:val="none"/>
              </w:rPr>
              <w:t>。</w:t>
            </w:r>
          </w:p>
          <w:p w14:paraId="5B719A98">
            <w:pPr>
              <w:autoSpaceDE w:val="0"/>
              <w:autoSpaceDN w:val="0"/>
              <w:adjustRightInd w:val="0"/>
              <w:snapToGrid w:val="0"/>
              <w:jc w:val="left"/>
              <w:rPr>
                <w:rFonts w:ascii="方正仿宋_GBK" w:hAnsi="方正仿宋_GBK" w:eastAsia="方正仿宋_GBK" w:cs="方正仿宋_GBK"/>
                <w:snapToGrid w:val="0"/>
                <w:kern w:val="0"/>
                <w:sz w:val="18"/>
                <w:szCs w:val="18"/>
                <w:highlight w:val="none"/>
                <w:u w:val="single"/>
              </w:rPr>
            </w:pPr>
            <w:r>
              <w:rPr>
                <w:rFonts w:hint="eastAsia" w:ascii="方正仿宋_GBK" w:hAnsi="方正仿宋_GBK" w:eastAsia="方正仿宋_GBK" w:cs="方正仿宋_GBK"/>
                <w:snapToGrid w:val="0"/>
                <w:kern w:val="0"/>
                <w:sz w:val="18"/>
                <w:szCs w:val="18"/>
                <w:highlight w:val="none"/>
                <w:u w:val="single"/>
              </w:rPr>
              <w:t>4）未先征得发包人同意而擅自更换项目经理的;或更换项目经理未按照4.6.6(4)要求提供必要证明文件的;或继任项目经理低于原项目经理资格条件的;或未按照4.6.6(1)要求进行押证管理的。</w:t>
            </w:r>
          </w:p>
          <w:p w14:paraId="1C7F8E4F">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承包人未按照国家有关规定、国家电网有限公司规章制度、项目环保水保方案及批复、设计文件等要求开展现场环保水保施工工作，存在环保水保问题的。</w:t>
            </w:r>
          </w:p>
        </w:tc>
      </w:tr>
      <w:tr w14:paraId="745818C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3DD8EE01">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C539BC7">
            <w:pPr>
              <w:snapToGrid w:val="0"/>
              <w:spacing w:line="240" w:lineRule="atLeast"/>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52"/>
                <w:rFonts w:hint="eastAsia" w:ascii="方正仿宋_GBK" w:hAnsi="方正仿宋_GBK" w:eastAsia="方正仿宋_GBK" w:cs="方正仿宋_GBK"/>
                <w:kern w:val="0"/>
                <w:sz w:val="18"/>
                <w:szCs w:val="18"/>
                <w:highlight w:val="none"/>
              </w:rPr>
              <w:t>专用条款22.1.1（15）</w:t>
            </w:r>
            <w:r>
              <w:rPr>
                <w:rFonts w:hint="eastAsia" w:ascii="方正仿宋_GBK" w:hAnsi="方正仿宋_GBK" w:eastAsia="方正仿宋_GBK" w:cs="方正仿宋_GBK"/>
                <w:b/>
                <w:sz w:val="18"/>
                <w:szCs w:val="18"/>
                <w:highlight w:val="none"/>
              </w:rPr>
              <w:t>（新增）</w:t>
            </w:r>
          </w:p>
        </w:tc>
        <w:tc>
          <w:tcPr>
            <w:tcW w:w="3582" w:type="dxa"/>
            <w:vAlign w:val="center"/>
          </w:tcPr>
          <w:p w14:paraId="3B0CAAB4">
            <w:pPr>
              <w:snapToGrid w:val="0"/>
              <w:spacing w:line="240" w:lineRule="atLeast"/>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无</w:t>
            </w:r>
          </w:p>
        </w:tc>
        <w:tc>
          <w:tcPr>
            <w:tcW w:w="4455" w:type="dxa"/>
            <w:vAlign w:val="center"/>
          </w:tcPr>
          <w:p w14:paraId="2E1AA561">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Style w:val="52"/>
                <w:rFonts w:hint="eastAsia" w:ascii="方正仿宋_GBK" w:hAnsi="方正仿宋_GBK" w:eastAsia="方正仿宋_GBK" w:cs="方正仿宋_GBK"/>
                <w:snapToGrid w:val="0"/>
                <w:kern w:val="0"/>
                <w:sz w:val="18"/>
                <w:szCs w:val="18"/>
                <w:highlight w:val="none"/>
              </w:rPr>
              <w:t>22.1.1（15）增加</w:t>
            </w:r>
          </w:p>
          <w:p w14:paraId="04070BB7">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Style w:val="52"/>
                <w:rFonts w:hint="eastAsia" w:ascii="方正仿宋_GBK" w:hAnsi="方正仿宋_GBK" w:eastAsia="方正仿宋_GBK" w:cs="方正仿宋_GBK"/>
                <w:snapToGrid w:val="0"/>
                <w:kern w:val="0"/>
                <w:sz w:val="18"/>
                <w:szCs w:val="18"/>
                <w:highlight w:val="none"/>
              </w:rPr>
              <w:t>各施工承包人应严格落实《国务院办公厅转发国家发改委关于在重点工程项目中大力实施以工代赈 促进当地群众就业增收工作方案的通知》（国办函〔2022〕58号）、《国家发展改革委等部门关于印发2022年度适用以工代振的国家重点工程项目清单的通知》（发改振兴〔2022〕1563号）等有关以工代赈的要求，做好以工代赈工作，充分吸纳带动更多项目所在地群众实现就近就业增收；同时，充分吸纳中西部欠发达地区农民工参与工程项目建设。重点包括不限于：</w:t>
            </w:r>
          </w:p>
          <w:p w14:paraId="1316A198">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Style w:val="52"/>
                <w:rFonts w:hint="eastAsia" w:ascii="方正仿宋_GBK" w:hAnsi="方正仿宋_GBK" w:eastAsia="方正仿宋_GBK" w:cs="方正仿宋_GBK"/>
                <w:snapToGrid w:val="0"/>
                <w:kern w:val="0"/>
                <w:sz w:val="18"/>
                <w:szCs w:val="18"/>
                <w:highlight w:val="none"/>
              </w:rPr>
              <w:t>1.及时掌握属地政府和上级单位有关要求，尽量扩充以工代赈就业岗位，合理确定以工代赈劳务报酬标准，尽可能增加劳务报酬发放规模。</w:t>
            </w:r>
          </w:p>
          <w:p w14:paraId="3E2F8427">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Style w:val="52"/>
                <w:rFonts w:hint="eastAsia" w:ascii="方正仿宋_GBK" w:hAnsi="方正仿宋_GBK" w:eastAsia="方正仿宋_GBK" w:cs="方正仿宋_GBK"/>
                <w:snapToGrid w:val="0"/>
                <w:kern w:val="0"/>
                <w:sz w:val="18"/>
                <w:szCs w:val="18"/>
                <w:highlight w:val="none"/>
              </w:rPr>
              <w:t>2.及时与项目所在地县政府充分沟通，按照当地政府要求，充分利用项目施工场地机械设备等，开展劳动技能培训和安全生产培训。组织工程项目有针对性地开展劳动技能培训和安全生产培训，培养熟练劳动力。</w:t>
            </w:r>
          </w:p>
          <w:p w14:paraId="0E3591B9">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Style w:val="52"/>
                <w:rFonts w:hint="eastAsia" w:ascii="方正仿宋_GBK" w:hAnsi="方正仿宋_GBK" w:eastAsia="方正仿宋_GBK" w:cs="方正仿宋_GBK"/>
                <w:snapToGrid w:val="0"/>
                <w:kern w:val="0"/>
                <w:sz w:val="18"/>
                <w:szCs w:val="18"/>
                <w:highlight w:val="none"/>
              </w:rPr>
              <w:t>3.规范用工名册和劳务报酬发放台账，经务工人员签字确认后，原则上将劳务报酬通过银行卡发放至本人，并将劳务报酬发放台账送县级相关部门备案。坚决杜绝劳务报酬发放过程中拖欠克扣、弄虚作假等行为。</w:t>
            </w:r>
          </w:p>
          <w:p w14:paraId="40E8A6A3">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Style w:val="52"/>
                <w:rFonts w:hint="eastAsia" w:ascii="方正仿宋_GBK" w:hAnsi="方正仿宋_GBK" w:eastAsia="方正仿宋_GBK" w:cs="方正仿宋_GBK"/>
                <w:snapToGrid w:val="0"/>
                <w:kern w:val="0"/>
                <w:sz w:val="18"/>
                <w:szCs w:val="18"/>
                <w:highlight w:val="none"/>
              </w:rPr>
              <w:t>做好以工代赈策划、执行、统计、自评价工作，积极配合竣工验收评价等工作。</w:t>
            </w:r>
          </w:p>
        </w:tc>
      </w:tr>
      <w:tr w14:paraId="731286D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D3F0C63">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shd w:val="clear" w:color="auto" w:fill="auto"/>
            <w:vAlign w:val="center"/>
          </w:tcPr>
          <w:p w14:paraId="54807F73">
            <w:pPr>
              <w:snapToGrid w:val="0"/>
              <w:spacing w:line="240" w:lineRule="atLeast"/>
              <w:jc w:val="left"/>
              <w:rPr>
                <w:rFonts w:hint="eastAsia" w:ascii="方正仿宋_GBK" w:hAnsi="方正仿宋_GBK" w:eastAsia="方正仿宋_GBK" w:cs="方正仿宋_GBK"/>
                <w:kern w:val="0"/>
                <w:sz w:val="18"/>
                <w:szCs w:val="18"/>
                <w:highlight w:val="none"/>
                <w:lang w:val="en-US" w:eastAsia="zh-CN" w:bidi="ar-SA"/>
              </w:rPr>
            </w:pPr>
            <w:r>
              <w:rPr>
                <w:rStyle w:val="52"/>
                <w:rFonts w:hint="eastAsia" w:ascii="方正仿宋_GBK" w:hAnsi="方正仿宋_GBK" w:eastAsia="方正仿宋_GBK" w:cs="方正仿宋_GBK"/>
                <w:kern w:val="0"/>
                <w:sz w:val="18"/>
                <w:szCs w:val="18"/>
                <w:highlight w:val="none"/>
              </w:rPr>
              <w:t>专用条款22.1.1（1</w:t>
            </w:r>
            <w:r>
              <w:rPr>
                <w:rStyle w:val="52"/>
                <w:rFonts w:hint="eastAsia" w:ascii="方正仿宋_GBK" w:hAnsi="方正仿宋_GBK" w:eastAsia="方正仿宋_GBK" w:cs="方正仿宋_GBK"/>
                <w:kern w:val="0"/>
                <w:sz w:val="18"/>
                <w:szCs w:val="18"/>
                <w:highlight w:val="none"/>
                <w:lang w:val="en-US" w:eastAsia="zh-CN"/>
              </w:rPr>
              <w:t>6</w:t>
            </w:r>
            <w:r>
              <w:rPr>
                <w:rStyle w:val="52"/>
                <w:rFonts w:hint="eastAsia" w:ascii="方正仿宋_GBK" w:hAnsi="方正仿宋_GBK" w:eastAsia="方正仿宋_GBK" w:cs="方正仿宋_GBK"/>
                <w:kern w:val="0"/>
                <w:sz w:val="18"/>
                <w:szCs w:val="18"/>
                <w:highlight w:val="none"/>
              </w:rPr>
              <w:t>）</w:t>
            </w:r>
            <w:r>
              <w:rPr>
                <w:rFonts w:hint="eastAsia" w:ascii="方正仿宋_GBK" w:hAnsi="方正仿宋_GBK" w:eastAsia="方正仿宋_GBK" w:cs="方正仿宋_GBK"/>
                <w:b/>
                <w:sz w:val="18"/>
                <w:szCs w:val="18"/>
                <w:highlight w:val="none"/>
              </w:rPr>
              <w:t>（新增）</w:t>
            </w:r>
          </w:p>
        </w:tc>
        <w:tc>
          <w:tcPr>
            <w:tcW w:w="3582" w:type="dxa"/>
            <w:shd w:val="clear" w:color="auto" w:fill="auto"/>
            <w:vAlign w:val="center"/>
          </w:tcPr>
          <w:p w14:paraId="3A27F4B1">
            <w:pPr>
              <w:snapToGrid w:val="0"/>
              <w:spacing w:line="240" w:lineRule="atLeast"/>
              <w:jc w:val="left"/>
              <w:rPr>
                <w:rFonts w:hint="eastAsia" w:ascii="方正仿宋_GBK" w:hAnsi="方正仿宋_GBK" w:eastAsia="方正仿宋_GBK" w:cs="方正仿宋_GBK"/>
                <w:kern w:val="2"/>
                <w:sz w:val="18"/>
                <w:szCs w:val="18"/>
                <w:highlight w:val="none"/>
                <w:lang w:val="en-US" w:eastAsia="zh-CN" w:bidi="ar-SA"/>
              </w:rPr>
            </w:pPr>
            <w:r>
              <w:rPr>
                <w:rFonts w:hint="eastAsia" w:ascii="方正仿宋_GBK" w:hAnsi="方正仿宋_GBK" w:eastAsia="方正仿宋_GBK" w:cs="方正仿宋_GBK"/>
                <w:sz w:val="18"/>
                <w:szCs w:val="18"/>
                <w:highlight w:val="none"/>
                <w:lang w:val="en-US" w:eastAsia="zh-CN"/>
              </w:rPr>
              <w:t>无</w:t>
            </w:r>
          </w:p>
        </w:tc>
        <w:tc>
          <w:tcPr>
            <w:tcW w:w="4455" w:type="dxa"/>
            <w:shd w:val="clear" w:color="auto" w:fill="auto"/>
            <w:vAlign w:val="center"/>
          </w:tcPr>
          <w:p w14:paraId="6729F5F5">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Style w:val="52"/>
                <w:rFonts w:hint="eastAsia" w:ascii="方正仿宋_GBK" w:hAnsi="方正仿宋_GBK" w:eastAsia="方正仿宋_GBK" w:cs="方正仿宋_GBK"/>
                <w:snapToGrid w:val="0"/>
                <w:kern w:val="0"/>
                <w:sz w:val="18"/>
                <w:szCs w:val="18"/>
                <w:highlight w:val="none"/>
              </w:rPr>
              <w:t>22.1.1（1</w:t>
            </w:r>
            <w:r>
              <w:rPr>
                <w:rStyle w:val="52"/>
                <w:rFonts w:hint="eastAsia" w:ascii="方正仿宋_GBK" w:hAnsi="方正仿宋_GBK" w:eastAsia="方正仿宋_GBK" w:cs="方正仿宋_GBK"/>
                <w:snapToGrid w:val="0"/>
                <w:kern w:val="0"/>
                <w:sz w:val="18"/>
                <w:szCs w:val="18"/>
                <w:highlight w:val="none"/>
                <w:lang w:val="en-US" w:eastAsia="zh-CN"/>
              </w:rPr>
              <w:t>6</w:t>
            </w:r>
            <w:r>
              <w:rPr>
                <w:rStyle w:val="52"/>
                <w:rFonts w:hint="eastAsia" w:ascii="方正仿宋_GBK" w:hAnsi="方正仿宋_GBK" w:eastAsia="方正仿宋_GBK" w:cs="方正仿宋_GBK"/>
                <w:snapToGrid w:val="0"/>
                <w:kern w:val="0"/>
                <w:sz w:val="18"/>
                <w:szCs w:val="18"/>
                <w:highlight w:val="none"/>
              </w:rPr>
              <w:t>）增加</w:t>
            </w:r>
          </w:p>
          <w:p w14:paraId="25EDE3C6">
            <w:pPr>
              <w:autoSpaceDE w:val="0"/>
              <w:autoSpaceDN w:val="0"/>
              <w:adjustRightInd w:val="0"/>
              <w:snapToGrid w:val="0"/>
              <w:jc w:val="left"/>
              <w:rPr>
                <w:rFonts w:hint="eastAsia" w:ascii="方正仿宋_GBK" w:hAnsi="方正仿宋_GBK" w:eastAsia="方正仿宋_GBK" w:cs="方正仿宋_GBK"/>
                <w:snapToGrid w:val="0"/>
                <w:kern w:val="0"/>
                <w:sz w:val="18"/>
                <w:szCs w:val="18"/>
                <w:highlight w:val="none"/>
                <w:lang w:val="en-US" w:eastAsia="zh-CN" w:bidi="ar-SA"/>
              </w:rPr>
            </w:pPr>
            <w:r>
              <w:rPr>
                <w:rStyle w:val="52"/>
                <w:rFonts w:hint="eastAsia" w:ascii="方正仿宋_GBK" w:hAnsi="方正仿宋_GBK" w:eastAsia="方正仿宋_GBK" w:cs="方正仿宋_GBK"/>
                <w:snapToGrid w:val="0"/>
                <w:kern w:val="0"/>
                <w:sz w:val="18"/>
                <w:szCs w:val="18"/>
                <w:highlight w:val="none"/>
              </w:rPr>
              <w:t>承包人未按照国家有关规定、项目环保水保方案及批复、设计文件等要求开展现场环保水保施工工作，造成环保水保问题或受到环保、水保部门处罚的。</w:t>
            </w:r>
          </w:p>
        </w:tc>
      </w:tr>
      <w:tr w14:paraId="36D6716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743BE4AC">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54BCBC0">
            <w:pPr>
              <w:widowControl/>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kern w:val="0"/>
                <w:sz w:val="18"/>
                <w:szCs w:val="18"/>
                <w:highlight w:val="none"/>
              </w:rPr>
              <w:t>专用条款</w:t>
            </w:r>
            <w:r>
              <w:rPr>
                <w:rFonts w:hint="eastAsia" w:ascii="方正仿宋_GBK" w:hAnsi="方正仿宋_GBK" w:eastAsia="方正仿宋_GBK" w:cs="方正仿宋_GBK"/>
                <w:snapToGrid w:val="0"/>
                <w:kern w:val="0"/>
                <w:sz w:val="18"/>
                <w:szCs w:val="18"/>
                <w:highlight w:val="none"/>
              </w:rPr>
              <w:t>22.1.2</w:t>
            </w:r>
          </w:p>
        </w:tc>
        <w:tc>
          <w:tcPr>
            <w:tcW w:w="3582" w:type="dxa"/>
            <w:vAlign w:val="center"/>
          </w:tcPr>
          <w:p w14:paraId="5442C1A2">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22.1.2 修改为：</w:t>
            </w:r>
          </w:p>
          <w:p w14:paraId="45A7F00F">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（1）承包人发生第22.1.1（1）目约定的违约情况时，承包人应向发包人支付签约合同价的%的违约金，且发包人有权解除本合同。</w:t>
            </w:r>
          </w:p>
          <w:p w14:paraId="1AB01F65">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（2）承包人发生第22.1.1（4）目约定的违约情况时，每延误一日，承包人应向发包人支付签约合同价‰的违约金；延误超过60日的，发包人有权解除合同，承包人应向发包人支付签约合同价%的违约金。</w:t>
            </w:r>
          </w:p>
          <w:p w14:paraId="5FD26BA9">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（3）承包人发生第22.1.1（6）目约定的违约情况时，发包人可通知承包人立即解除合同，可按以下约定的违约责任进行处理： </w:t>
            </w:r>
          </w:p>
          <w:p w14:paraId="4AE74565">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z w:val="18"/>
                <w:szCs w:val="18"/>
                <w:highlight w:val="none"/>
              </w:rPr>
              <w:t>承包人应在30天内向发包人退还所有已支付费用，并支付签约合同价%的违约金。</w:t>
            </w:r>
          </w:p>
          <w:p w14:paraId="6DE1C323">
            <w:pPr>
              <w:autoSpaceDE w:val="0"/>
              <w:autoSpaceDN w:val="0"/>
              <w:adjustRightInd w:val="0"/>
              <w:snapToGrid w:val="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承包人发生第22.1.1（8）目约定的违约情况时，承包人应及时负责采取有效措施直至符合规定标准，承包人应向发包人支付签约签约合同价%的违约金，并应承担由此引起的一切额外费用，且发包人有权解除合同。</w:t>
            </w:r>
          </w:p>
          <w:p w14:paraId="41EA7B6E">
            <w:pPr>
              <w:pStyle w:val="39"/>
              <w:ind w:firstLine="0" w:firstLineChars="0"/>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5）承包人发生除第22.1.1（4）、（6）、（8）目约定以外的其他违约情况时，发包人或监理人可向承包人发出整改通知，要求其在指定的期限内改正，由于以上原因造成工程延期交付的视同延误工期，承包人应按照本条第22.1.2（2）目约定的方式承担违约责任，并承担其违约所引起的费用增加和（或）工期延误责任；</w:t>
            </w:r>
            <w:r>
              <w:rPr>
                <w:rFonts w:hint="eastAsia" w:ascii="方正仿宋_GBK" w:hAnsi="方正仿宋_GBK" w:eastAsia="方正仿宋_GBK" w:cs="方正仿宋_GBK"/>
                <w:sz w:val="18"/>
                <w:szCs w:val="18"/>
                <w:highlight w:val="none"/>
              </w:rPr>
              <w:t>若承包人逾期整改，或整改后不符合发包人要求的，发包人有权解除合同，承包人应向发包人支付签约合同价%的违约金，并应承担由此引起的一切额外费用。</w:t>
            </w:r>
          </w:p>
          <w:p w14:paraId="4BA5BF6D">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（6）施工期间发生重大责任事故的，承包人应承担全部事故责任，承包人应向发包人支付签约合同价%的违约金，并应承担由此引起的一切额外费用，且发包人有权解除合同。</w:t>
            </w:r>
          </w:p>
          <w:p w14:paraId="0B751086">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（7）承包人违反本合同通用条款第1.11款约定义务的，</w:t>
            </w:r>
            <w:r>
              <w:rPr>
                <w:rFonts w:hint="eastAsia" w:ascii="方正仿宋_GBK" w:hAnsi="方正仿宋_GBK" w:eastAsia="方正仿宋_GBK" w:cs="方正仿宋_GBK"/>
                <w:sz w:val="18"/>
                <w:szCs w:val="18"/>
                <w:highlight w:val="none"/>
              </w:rPr>
              <w:t>发包人有权要求承包人承担合同价%的违约金，并有权解除本合同。</w:t>
            </w:r>
            <w:r>
              <w:rPr>
                <w:rFonts w:hint="eastAsia" w:ascii="方正仿宋_GBK" w:hAnsi="方正仿宋_GBK" w:eastAsia="方正仿宋_GBK" w:cs="方正仿宋_GBK"/>
                <w:snapToGrid w:val="0"/>
                <w:kern w:val="0"/>
                <w:sz w:val="18"/>
                <w:szCs w:val="18"/>
                <w:highlight w:val="none"/>
              </w:rPr>
              <w:t xml:space="preserve">承包人未经发包人同意转让或许可第三方使用发包人所有的技术成果和知识产权的，所获收益归发包人所有。 </w:t>
            </w:r>
          </w:p>
          <w:p w14:paraId="5C4DE96E">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（8）承包人违反</w:t>
            </w:r>
            <w:r>
              <w:rPr>
                <w:rFonts w:hint="eastAsia" w:ascii="方正仿宋_GBK" w:hAnsi="方正仿宋_GBK" w:eastAsia="方正仿宋_GBK" w:cs="方正仿宋_GBK"/>
                <w:sz w:val="18"/>
                <w:szCs w:val="18"/>
                <w:highlight w:val="none"/>
              </w:rPr>
              <w:t>本合同</w:t>
            </w:r>
            <w:r>
              <w:rPr>
                <w:rFonts w:hint="eastAsia" w:ascii="方正仿宋_GBK" w:hAnsi="方正仿宋_GBK" w:eastAsia="方正仿宋_GBK" w:cs="方正仿宋_GBK"/>
                <w:snapToGrid w:val="0"/>
                <w:kern w:val="0"/>
                <w:sz w:val="18"/>
                <w:szCs w:val="18"/>
                <w:highlight w:val="none"/>
              </w:rPr>
              <w:t>通用条款</w:t>
            </w:r>
            <w:r>
              <w:rPr>
                <w:rFonts w:hint="eastAsia" w:ascii="方正仿宋_GBK" w:hAnsi="方正仿宋_GBK" w:eastAsia="方正仿宋_GBK" w:cs="方正仿宋_GBK"/>
                <w:sz w:val="18"/>
                <w:szCs w:val="18"/>
                <w:highlight w:val="none"/>
              </w:rPr>
              <w:t>第1.12款约定义务的</w:t>
            </w:r>
            <w:r>
              <w:rPr>
                <w:rFonts w:hint="eastAsia" w:ascii="方正仿宋_GBK" w:hAnsi="方正仿宋_GBK" w:eastAsia="方正仿宋_GBK" w:cs="方正仿宋_GBK"/>
                <w:snapToGrid w:val="0"/>
                <w:kern w:val="0"/>
                <w:sz w:val="18"/>
                <w:szCs w:val="18"/>
                <w:highlight w:val="none"/>
              </w:rPr>
              <w:t>，</w:t>
            </w:r>
            <w:r>
              <w:rPr>
                <w:rFonts w:hint="eastAsia" w:ascii="方正仿宋_GBK" w:hAnsi="方正仿宋_GBK" w:eastAsia="方正仿宋_GBK" w:cs="方正仿宋_GBK"/>
                <w:sz w:val="18"/>
                <w:szCs w:val="18"/>
                <w:highlight w:val="none"/>
              </w:rPr>
              <w:t>应向发包人支付</w:t>
            </w:r>
            <w:r>
              <w:rPr>
                <w:rFonts w:hint="eastAsia" w:ascii="方正仿宋_GBK" w:hAnsi="方正仿宋_GBK" w:eastAsia="方正仿宋_GBK" w:cs="方正仿宋_GBK"/>
                <w:snapToGrid w:val="0"/>
                <w:sz w:val="18"/>
                <w:szCs w:val="18"/>
                <w:highlight w:val="none"/>
              </w:rPr>
              <w:t>签约合同价%</w:t>
            </w:r>
            <w:r>
              <w:rPr>
                <w:rFonts w:hint="eastAsia" w:ascii="方正仿宋_GBK" w:hAnsi="方正仿宋_GBK" w:eastAsia="方正仿宋_GBK" w:cs="方正仿宋_GBK"/>
                <w:sz w:val="18"/>
                <w:szCs w:val="18"/>
                <w:highlight w:val="none"/>
              </w:rPr>
              <w:t>的违约金，并</w:t>
            </w:r>
            <w:r>
              <w:rPr>
                <w:rFonts w:hint="eastAsia" w:ascii="方正仿宋_GBK" w:hAnsi="方正仿宋_GBK" w:eastAsia="方正仿宋_GBK" w:cs="方正仿宋_GBK"/>
                <w:snapToGrid w:val="0"/>
                <w:kern w:val="0"/>
                <w:sz w:val="18"/>
                <w:szCs w:val="18"/>
                <w:highlight w:val="none"/>
              </w:rPr>
              <w:t>应承担一切法律责任。</w:t>
            </w:r>
          </w:p>
          <w:p w14:paraId="697585A9">
            <w:pPr>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（9）若因承包人违约导致合同解除的，则合同结算金额按经发包人确认后的实际工程量结算确认，但承包人应向发包人承担签约合同价%的违约金。 </w:t>
            </w:r>
          </w:p>
          <w:p w14:paraId="5E4A34C7">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（10）承包人发生第22.1.1（11）目约定的违约情况时，承包人应向发包人支付签约合同价%的违约金，并应承担相应法律责任。</w:t>
            </w:r>
          </w:p>
          <w:p w14:paraId="6E718386">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（11）承包人发生第22.1.1（12）目约定的违约情况时，承包人应向发包人支付签约合同价%的违约金，并应承担相应法律责任。</w:t>
            </w:r>
          </w:p>
          <w:p w14:paraId="121E6CA0">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（12）承包人发生第22.1.1（13）目约定的违约情况时，承包人应向发包人支付签约合同价%的违约金，并应承担相应法律责任。</w:t>
            </w:r>
          </w:p>
          <w:p w14:paraId="38854CE6">
            <w:pPr>
              <w:rPr>
                <w:highlight w:val="none"/>
              </w:rPr>
            </w:pPr>
          </w:p>
          <w:p w14:paraId="4963C7C9">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（13）承包人违约除应承担相应违约责任外，发包人向承包人主张权利所产生的费用亦由承包方承担。</w:t>
            </w:r>
          </w:p>
          <w:p w14:paraId="634A2422">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（14）承包人应支付和承担的所有违约金及赔偿金，发包人可以直接从应付给承包人的任何款项中扣除。</w:t>
            </w:r>
          </w:p>
          <w:p w14:paraId="0639064C">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15）承包人违反17.4.1条约定，逾期不提交质量保证金担保或者提交的质量保证金担保不符合要求的，如不能发生视为承包人选择以现金保证金替代质量保证金保函或工程质量保证保险的后果，承包人应立即向发包人提供现金担保或银行担保，应向发包人支付质量保证金金额%的违约金，并应承担由此给发包人造成的全部损失。</w:t>
            </w:r>
          </w:p>
          <w:p w14:paraId="34CE8996">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（16）承包人应承担的其他违约责任：</w:t>
            </w:r>
          </w:p>
          <w:p w14:paraId="281E35B0">
            <w:pPr>
              <w:autoSpaceDE w:val="0"/>
              <w:autoSpaceDN w:val="0"/>
              <w:adjustRightInd w:val="0"/>
              <w:snapToGrid w:val="0"/>
              <w:jc w:val="left"/>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 xml:space="preserve">。 </w:t>
            </w:r>
          </w:p>
        </w:tc>
        <w:tc>
          <w:tcPr>
            <w:tcW w:w="4455" w:type="dxa"/>
            <w:vAlign w:val="center"/>
          </w:tcPr>
          <w:p w14:paraId="3F7D4B5F">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22.1.2 修改为：</w:t>
            </w:r>
          </w:p>
          <w:p w14:paraId="6AD00619">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（1）承包人发生第22.1.1（1）目约定的违约情况时，承包人应向发包人支付签约合同价的</w:t>
            </w:r>
            <w:r>
              <w:rPr>
                <w:rFonts w:hint="eastAsia" w:ascii="方正仿宋_GBK" w:hAnsi="方正仿宋_GBK" w:eastAsia="方正仿宋_GBK" w:cs="方正仿宋_GBK"/>
                <w:snapToGrid w:val="0"/>
                <w:kern w:val="0"/>
                <w:sz w:val="18"/>
                <w:szCs w:val="18"/>
                <w:highlight w:val="none"/>
                <w:u w:val="single"/>
              </w:rPr>
              <w:t xml:space="preserve">  10   </w:t>
            </w:r>
            <w:r>
              <w:rPr>
                <w:rFonts w:hint="eastAsia" w:ascii="方正仿宋_GBK" w:hAnsi="方正仿宋_GBK" w:eastAsia="方正仿宋_GBK" w:cs="方正仿宋_GBK"/>
                <w:snapToGrid w:val="0"/>
                <w:kern w:val="0"/>
                <w:sz w:val="18"/>
                <w:szCs w:val="18"/>
                <w:highlight w:val="none"/>
              </w:rPr>
              <w:t xml:space="preserve"> %的违约金，且发包人有权解除本合同。</w:t>
            </w:r>
          </w:p>
          <w:p w14:paraId="38CBD97C">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（2）承包人发生第22.1.1（4）目约定的违约情况时，每延误一日，承包人应向发包人支付签约合同价</w:t>
            </w:r>
            <w:r>
              <w:rPr>
                <w:rFonts w:hint="eastAsia" w:ascii="方正仿宋_GBK" w:hAnsi="方正仿宋_GBK" w:eastAsia="方正仿宋_GBK" w:cs="方正仿宋_GBK"/>
                <w:snapToGrid w:val="0"/>
                <w:kern w:val="0"/>
                <w:sz w:val="18"/>
                <w:szCs w:val="18"/>
                <w:highlight w:val="none"/>
                <w:u w:val="single"/>
              </w:rPr>
              <w:t xml:space="preserve">  0.2   </w:t>
            </w:r>
            <w:r>
              <w:rPr>
                <w:rFonts w:hint="eastAsia" w:ascii="方正仿宋_GBK" w:hAnsi="方正仿宋_GBK" w:eastAsia="方正仿宋_GBK" w:cs="方正仿宋_GBK"/>
                <w:snapToGrid w:val="0"/>
                <w:kern w:val="0"/>
                <w:sz w:val="18"/>
                <w:szCs w:val="18"/>
                <w:highlight w:val="none"/>
              </w:rPr>
              <w:t>‰的违约金；延误超过60日的，发包人有权解除合同，承包人应向发包人支付签约合同价</w:t>
            </w:r>
            <w:r>
              <w:rPr>
                <w:rFonts w:hint="eastAsia" w:ascii="方正仿宋_GBK" w:hAnsi="方正仿宋_GBK" w:eastAsia="方正仿宋_GBK" w:cs="方正仿宋_GBK"/>
                <w:snapToGrid w:val="0"/>
                <w:kern w:val="0"/>
                <w:sz w:val="18"/>
                <w:szCs w:val="18"/>
                <w:highlight w:val="none"/>
                <w:u w:val="single"/>
              </w:rPr>
              <w:t xml:space="preserve">  10   </w:t>
            </w:r>
            <w:r>
              <w:rPr>
                <w:rFonts w:hint="eastAsia" w:ascii="方正仿宋_GBK" w:hAnsi="方正仿宋_GBK" w:eastAsia="方正仿宋_GBK" w:cs="方正仿宋_GBK"/>
                <w:snapToGrid w:val="0"/>
                <w:kern w:val="0"/>
                <w:sz w:val="18"/>
                <w:szCs w:val="18"/>
                <w:highlight w:val="none"/>
              </w:rPr>
              <w:t xml:space="preserve"> %的违约金。</w:t>
            </w:r>
          </w:p>
          <w:p w14:paraId="0B5C5CFE">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（3）承包人发生第22.1.1（6）目约定的违约情况时，发包人可通知承包人立即解除合同，可按以下约定的违约责任进行处理： </w:t>
            </w:r>
          </w:p>
          <w:p w14:paraId="42FC1184">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承包人应在30天内向发包人退还所有已支付费用，并支付签约合同价</w:t>
            </w:r>
            <w:r>
              <w:rPr>
                <w:rFonts w:hint="eastAsia" w:ascii="方正仿宋_GBK" w:hAnsi="方正仿宋_GBK" w:eastAsia="方正仿宋_GBK" w:cs="方正仿宋_GBK"/>
                <w:snapToGrid w:val="0"/>
                <w:kern w:val="0"/>
                <w:sz w:val="18"/>
                <w:szCs w:val="18"/>
                <w:highlight w:val="none"/>
                <w:u w:val="single"/>
              </w:rPr>
              <w:t xml:space="preserve">  20   </w:t>
            </w:r>
            <w:r>
              <w:rPr>
                <w:rFonts w:hint="eastAsia" w:ascii="方正仿宋_GBK" w:hAnsi="方正仿宋_GBK" w:eastAsia="方正仿宋_GBK" w:cs="方正仿宋_GBK"/>
                <w:snapToGrid w:val="0"/>
                <w:kern w:val="0"/>
                <w:sz w:val="18"/>
                <w:szCs w:val="18"/>
                <w:highlight w:val="none"/>
              </w:rPr>
              <w:t xml:space="preserve"> %的违约金。</w:t>
            </w:r>
          </w:p>
          <w:p w14:paraId="6DD7D8A7">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（4）承包人发生第22.1.1（8）目约定的违约情况时，承包人应及时负责采取有效措施直至符合规定标准，承包人应向发包人支付签约合同价</w:t>
            </w:r>
            <w:r>
              <w:rPr>
                <w:rFonts w:hint="eastAsia" w:ascii="方正仿宋_GBK" w:hAnsi="方正仿宋_GBK" w:eastAsia="方正仿宋_GBK" w:cs="方正仿宋_GBK"/>
                <w:snapToGrid w:val="0"/>
                <w:kern w:val="0"/>
                <w:sz w:val="18"/>
                <w:szCs w:val="18"/>
                <w:highlight w:val="none"/>
                <w:u w:val="single"/>
              </w:rPr>
              <w:t xml:space="preserve">  10   </w:t>
            </w:r>
            <w:r>
              <w:rPr>
                <w:rFonts w:hint="eastAsia" w:ascii="方正仿宋_GBK" w:hAnsi="方正仿宋_GBK" w:eastAsia="方正仿宋_GBK" w:cs="方正仿宋_GBK"/>
                <w:snapToGrid w:val="0"/>
                <w:kern w:val="0"/>
                <w:sz w:val="18"/>
                <w:szCs w:val="18"/>
                <w:highlight w:val="none"/>
              </w:rPr>
              <w:t xml:space="preserve"> %的违约金，并应承担由此引起的一切额外费用，且发包人有权解除合同。</w:t>
            </w:r>
          </w:p>
          <w:p w14:paraId="5718CC5B">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5）承包人发生除第22.1.1（4）、（6）、（8）目约定以外的其他违约情况时，发包人或监理人可向承包人发出整改通知，要求其在指定的期限内改正，由于以上原因造成工程延期交付的视同延误工期，承包人应按照本条第22.1.2（2）目约定的方式承担违约责任，并承担其违约所引起的费用增加和（或）工期延误责任；若承包人逾期整改，或整改后不符合发包人要求的，发包人有权解除合同，承包人应向发包人支付签约合同价 </w:t>
            </w:r>
            <w:r>
              <w:rPr>
                <w:rFonts w:hint="eastAsia" w:ascii="方正仿宋_GBK" w:hAnsi="方正仿宋_GBK" w:eastAsia="方正仿宋_GBK" w:cs="方正仿宋_GBK"/>
                <w:snapToGrid w:val="0"/>
                <w:kern w:val="0"/>
                <w:sz w:val="18"/>
                <w:szCs w:val="18"/>
                <w:highlight w:val="none"/>
                <w:u w:val="single"/>
              </w:rPr>
              <w:t xml:space="preserve">10    </w:t>
            </w:r>
            <w:r>
              <w:rPr>
                <w:rFonts w:hint="eastAsia" w:ascii="方正仿宋_GBK" w:hAnsi="方正仿宋_GBK" w:eastAsia="方正仿宋_GBK" w:cs="方正仿宋_GBK"/>
                <w:snapToGrid w:val="0"/>
                <w:kern w:val="0"/>
                <w:sz w:val="18"/>
                <w:szCs w:val="18"/>
                <w:highlight w:val="none"/>
              </w:rPr>
              <w:t xml:space="preserve"> %的违约金，并应承担由此引起的一切额外费用。</w:t>
            </w:r>
          </w:p>
          <w:p w14:paraId="7383BB67">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（6）施工期间发生重大责任事故的，承包人应承担全部事故责任，承包人应向发包人支付签约合同价</w:t>
            </w:r>
            <w:r>
              <w:rPr>
                <w:rFonts w:hint="eastAsia" w:ascii="方正仿宋_GBK" w:hAnsi="方正仿宋_GBK" w:eastAsia="方正仿宋_GBK" w:cs="方正仿宋_GBK"/>
                <w:snapToGrid w:val="0"/>
                <w:kern w:val="0"/>
                <w:sz w:val="18"/>
                <w:szCs w:val="18"/>
                <w:highlight w:val="none"/>
                <w:u w:val="single"/>
              </w:rPr>
              <w:t xml:space="preserve">  10   </w:t>
            </w:r>
            <w:r>
              <w:rPr>
                <w:rFonts w:hint="eastAsia" w:ascii="方正仿宋_GBK" w:hAnsi="方正仿宋_GBK" w:eastAsia="方正仿宋_GBK" w:cs="方正仿宋_GBK"/>
                <w:snapToGrid w:val="0"/>
                <w:kern w:val="0"/>
                <w:sz w:val="18"/>
                <w:szCs w:val="18"/>
                <w:highlight w:val="none"/>
              </w:rPr>
              <w:t xml:space="preserve"> %的违约金，并应承担由此引起的一切额外费用，且发包人有权解除合同。</w:t>
            </w:r>
          </w:p>
          <w:p w14:paraId="146171CD">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（7）承包人违反本合同通用条款第1.11款约定义务的，发包人有权要求承包人承担合同价</w:t>
            </w:r>
            <w:r>
              <w:rPr>
                <w:rFonts w:hint="eastAsia" w:ascii="方正仿宋_GBK" w:hAnsi="方正仿宋_GBK" w:eastAsia="方正仿宋_GBK" w:cs="方正仿宋_GBK"/>
                <w:snapToGrid w:val="0"/>
                <w:kern w:val="0"/>
                <w:sz w:val="18"/>
                <w:szCs w:val="18"/>
                <w:highlight w:val="none"/>
                <w:u w:val="single"/>
              </w:rPr>
              <w:t xml:space="preserve">  5 </w:t>
            </w:r>
            <w:r>
              <w:rPr>
                <w:rFonts w:hint="eastAsia" w:ascii="方正仿宋_GBK" w:hAnsi="方正仿宋_GBK" w:eastAsia="方正仿宋_GBK" w:cs="方正仿宋_GBK"/>
                <w:snapToGrid w:val="0"/>
                <w:kern w:val="0"/>
                <w:sz w:val="18"/>
                <w:szCs w:val="18"/>
                <w:highlight w:val="none"/>
              </w:rPr>
              <w:t xml:space="preserve"> %的违约金，并有权解除本合同。承包人未经发包人同意转让或许可第三方使用发包人所有的技术成果和知识产权的，所获收益归发包人所有。 </w:t>
            </w:r>
          </w:p>
          <w:p w14:paraId="52A529ED">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（8）承包人违反本合同通用条款第1.12款约定义务的，应向发包人支付签约合同价</w:t>
            </w:r>
            <w:r>
              <w:rPr>
                <w:rFonts w:hint="eastAsia" w:ascii="方正仿宋_GBK" w:hAnsi="方正仿宋_GBK" w:eastAsia="方正仿宋_GBK" w:cs="方正仿宋_GBK"/>
                <w:snapToGrid w:val="0"/>
                <w:kern w:val="0"/>
                <w:sz w:val="18"/>
                <w:szCs w:val="18"/>
                <w:highlight w:val="none"/>
                <w:u w:val="single"/>
              </w:rPr>
              <w:t xml:space="preserve">  5 </w:t>
            </w:r>
            <w:r>
              <w:rPr>
                <w:rFonts w:hint="eastAsia" w:ascii="方正仿宋_GBK" w:hAnsi="方正仿宋_GBK" w:eastAsia="方正仿宋_GBK" w:cs="方正仿宋_GBK"/>
                <w:snapToGrid w:val="0"/>
                <w:kern w:val="0"/>
                <w:sz w:val="18"/>
                <w:szCs w:val="18"/>
                <w:highlight w:val="none"/>
              </w:rPr>
              <w:t xml:space="preserve"> %的违约金，并应承担一切法律责任。</w:t>
            </w:r>
          </w:p>
          <w:p w14:paraId="1C4285C2">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（9）若因承包人违约导致合同解除的，则合同结算金额按经发包人确认后的实际工程量结算确认，但承包人应向发包人承担签约合同价</w:t>
            </w:r>
            <w:r>
              <w:rPr>
                <w:rFonts w:hint="eastAsia" w:ascii="方正仿宋_GBK" w:hAnsi="方正仿宋_GBK" w:eastAsia="方正仿宋_GBK" w:cs="方正仿宋_GBK"/>
                <w:snapToGrid w:val="0"/>
                <w:kern w:val="0"/>
                <w:sz w:val="18"/>
                <w:szCs w:val="18"/>
                <w:highlight w:val="none"/>
                <w:u w:val="single"/>
              </w:rPr>
              <w:t xml:space="preserve">  20 </w:t>
            </w:r>
            <w:r>
              <w:rPr>
                <w:rFonts w:hint="eastAsia" w:ascii="方正仿宋_GBK" w:hAnsi="方正仿宋_GBK" w:eastAsia="方正仿宋_GBK" w:cs="方正仿宋_GBK"/>
                <w:snapToGrid w:val="0"/>
                <w:kern w:val="0"/>
                <w:sz w:val="18"/>
                <w:szCs w:val="18"/>
                <w:highlight w:val="none"/>
              </w:rPr>
              <w:t xml:space="preserve"> %的违约金。 </w:t>
            </w:r>
          </w:p>
          <w:p w14:paraId="5C1FC1FD">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（10）承包人发生第22.1.1（11）目约定的违约情况时，承包人应向发包人支付签约合同价</w:t>
            </w:r>
            <w:r>
              <w:rPr>
                <w:rFonts w:hint="eastAsia" w:ascii="方正仿宋_GBK" w:hAnsi="方正仿宋_GBK" w:eastAsia="方正仿宋_GBK" w:cs="方正仿宋_GBK"/>
                <w:snapToGrid w:val="0"/>
                <w:kern w:val="0"/>
                <w:sz w:val="18"/>
                <w:szCs w:val="18"/>
                <w:highlight w:val="none"/>
                <w:u w:val="single"/>
              </w:rPr>
              <w:t xml:space="preserve">20   </w:t>
            </w:r>
            <w:r>
              <w:rPr>
                <w:rFonts w:hint="eastAsia" w:ascii="方正仿宋_GBK" w:hAnsi="方正仿宋_GBK" w:eastAsia="方正仿宋_GBK" w:cs="方正仿宋_GBK"/>
                <w:snapToGrid w:val="0"/>
                <w:kern w:val="0"/>
                <w:sz w:val="18"/>
                <w:szCs w:val="18"/>
                <w:highlight w:val="none"/>
              </w:rPr>
              <w:t xml:space="preserve"> %的违约金，并应承担相应法律责任。</w:t>
            </w:r>
          </w:p>
          <w:p w14:paraId="7BD039E1">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 xml:space="preserve">（11）承包人发生第22.1.1（12）目约定的违约情况时，承包人应向发包人支付签约合同价 </w:t>
            </w:r>
            <w:r>
              <w:rPr>
                <w:rFonts w:hint="eastAsia" w:ascii="方正仿宋_GBK" w:hAnsi="方正仿宋_GBK" w:eastAsia="方正仿宋_GBK" w:cs="方正仿宋_GBK"/>
                <w:snapToGrid w:val="0"/>
                <w:kern w:val="0"/>
                <w:sz w:val="18"/>
                <w:szCs w:val="18"/>
                <w:highlight w:val="none"/>
                <w:u w:val="single"/>
              </w:rPr>
              <w:t xml:space="preserve">10    </w:t>
            </w:r>
            <w:r>
              <w:rPr>
                <w:rFonts w:hint="eastAsia" w:ascii="方正仿宋_GBK" w:hAnsi="方正仿宋_GBK" w:eastAsia="方正仿宋_GBK" w:cs="方正仿宋_GBK"/>
                <w:snapToGrid w:val="0"/>
                <w:kern w:val="0"/>
                <w:sz w:val="18"/>
                <w:szCs w:val="18"/>
                <w:highlight w:val="none"/>
              </w:rPr>
              <w:t>%的违约金，并应承担相应法律责任。</w:t>
            </w:r>
          </w:p>
          <w:p w14:paraId="7B08C35B">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（12）承包人发生第22.1.1（13）目约定的违约情况时，承包人应向发包人支付签约合同价</w:t>
            </w:r>
            <w:r>
              <w:rPr>
                <w:rFonts w:hint="eastAsia" w:ascii="方正仿宋_GBK" w:hAnsi="方正仿宋_GBK" w:eastAsia="方正仿宋_GBK" w:cs="方正仿宋_GBK"/>
                <w:snapToGrid w:val="0"/>
                <w:kern w:val="0"/>
                <w:sz w:val="18"/>
                <w:szCs w:val="18"/>
                <w:highlight w:val="none"/>
                <w:u w:val="single"/>
              </w:rPr>
              <w:t xml:space="preserve"> 10   </w:t>
            </w:r>
            <w:r>
              <w:rPr>
                <w:rFonts w:hint="eastAsia" w:ascii="方正仿宋_GBK" w:hAnsi="方正仿宋_GBK" w:eastAsia="方正仿宋_GBK" w:cs="方正仿宋_GBK"/>
                <w:snapToGrid w:val="0"/>
                <w:kern w:val="0"/>
                <w:sz w:val="18"/>
                <w:szCs w:val="18"/>
                <w:highlight w:val="none"/>
              </w:rPr>
              <w:t xml:space="preserve"> %的违约金，并应承担相应法律责任。</w:t>
            </w:r>
          </w:p>
          <w:p w14:paraId="6B6A1F33">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（13）承包人按合同约定应支付的违约金低于给发包人造成的损失的，并应就差额部分向发包人进行赔偿，应承担的赔偿金额不以签约合同价为限。</w:t>
            </w:r>
          </w:p>
          <w:p w14:paraId="634DB3DC">
            <w:pPr>
              <w:autoSpaceDE w:val="0"/>
              <w:autoSpaceDN w:val="0"/>
              <w:adjustRightInd w:val="0"/>
              <w:snapToGrid w:val="0"/>
              <w:jc w:val="left"/>
              <w:rPr>
                <w:rFonts w:hint="eastAsia"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（14）承包人违约除应承担相应违约责任外，发包人向承包人主张权利所产生的费用亦由承包方承担。承包人发生第22.1.1（1</w:t>
            </w:r>
            <w:r>
              <w:rPr>
                <w:rFonts w:hint="eastAsia" w:ascii="方正仿宋_GBK" w:hAnsi="方正仿宋_GBK" w:eastAsia="方正仿宋_GBK" w:cs="方正仿宋_GBK"/>
                <w:snapToGrid w:val="0"/>
                <w:kern w:val="0"/>
                <w:sz w:val="18"/>
                <w:szCs w:val="18"/>
                <w:highlight w:val="none"/>
                <w:lang w:val="en-US" w:eastAsia="zh-CN"/>
              </w:rPr>
              <w:t>6</w:t>
            </w:r>
            <w:r>
              <w:rPr>
                <w:rFonts w:hint="eastAsia" w:ascii="方正仿宋_GBK" w:hAnsi="方正仿宋_GBK" w:eastAsia="方正仿宋_GBK" w:cs="方正仿宋_GBK"/>
                <w:snapToGrid w:val="0"/>
                <w:kern w:val="0"/>
                <w:sz w:val="18"/>
                <w:szCs w:val="18"/>
                <w:highlight w:val="none"/>
              </w:rPr>
              <w:t>）目约定的违约情况时，承包人应向发包人支付签约违约金，具体要求如下：</w:t>
            </w:r>
          </w:p>
          <w:p w14:paraId="0D2ED397">
            <w:pPr>
              <w:autoSpaceDE w:val="0"/>
              <w:autoSpaceDN w:val="0"/>
              <w:adjustRightInd w:val="0"/>
              <w:snapToGrid w:val="0"/>
              <w:jc w:val="left"/>
              <w:rPr>
                <w:rFonts w:hint="eastAsia"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a.现场因施工导致的环保水保问题被行政主管部门或上级部门处罚的，每出现一次支付50000元违约金。</w:t>
            </w:r>
          </w:p>
          <w:p w14:paraId="28CD4745">
            <w:pPr>
              <w:autoSpaceDE w:val="0"/>
              <w:autoSpaceDN w:val="0"/>
              <w:adjustRightInd w:val="0"/>
              <w:snapToGrid w:val="0"/>
              <w:jc w:val="left"/>
              <w:rPr>
                <w:rFonts w:hint="eastAsia"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b.现场出现因施工导致的违规弃渣、表土保护不到位等严重环保水保问题（见附件），每出现一次支付20000元违约金。</w:t>
            </w:r>
          </w:p>
          <w:p w14:paraId="66F5D963">
            <w:pPr>
              <w:autoSpaceDE w:val="0"/>
              <w:autoSpaceDN w:val="0"/>
              <w:adjustRightInd w:val="0"/>
              <w:snapToGrid w:val="0"/>
              <w:jc w:val="left"/>
              <w:rPr>
                <w:rFonts w:hint="eastAsia"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c.现场出现植被恢复不达标、超出限界施工等一般环保水保问题（见附件），监理单位应督促施工单位限期整改，若限期未完成整改，每出现一次支付5000元违约金。</w:t>
            </w:r>
          </w:p>
          <w:p w14:paraId="12FA1061">
            <w:pPr>
              <w:pStyle w:val="2"/>
              <w:rPr>
                <w:rFonts w:hint="eastAsia"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w:t>
            </w:r>
            <w:r>
              <w:rPr>
                <w:rFonts w:hint="eastAsia" w:ascii="方正仿宋_GBK" w:hAnsi="方正仿宋_GBK" w:eastAsia="方正仿宋_GBK" w:cs="方正仿宋_GBK"/>
                <w:snapToGrid w:val="0"/>
                <w:kern w:val="0"/>
                <w:sz w:val="18"/>
                <w:szCs w:val="18"/>
                <w:highlight w:val="none"/>
                <w:lang w:val="en-US" w:eastAsia="zh-CN"/>
              </w:rPr>
              <w:t>5</w:t>
            </w:r>
            <w:r>
              <w:rPr>
                <w:rFonts w:hint="eastAsia" w:ascii="方正仿宋_GBK" w:hAnsi="方正仿宋_GBK" w:eastAsia="方正仿宋_GBK" w:cs="方正仿宋_GBK"/>
                <w:snapToGrid w:val="0"/>
                <w:kern w:val="0"/>
                <w:sz w:val="18"/>
                <w:szCs w:val="18"/>
                <w:highlight w:val="none"/>
              </w:rPr>
              <w:t>）若承包人发生第9.4.11条目约定的违约情况，承包人应向发包人支付签约违约金，具体要求如下：</w:t>
            </w:r>
          </w:p>
          <w:p w14:paraId="783598EC">
            <w:pPr>
              <w:pStyle w:val="2"/>
              <w:rPr>
                <w:rFonts w:hint="eastAsia"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a.每出现一处严重问题支付20000元违约金。</w:t>
            </w:r>
          </w:p>
          <w:p w14:paraId="622C02DA">
            <w:pPr>
              <w:pStyle w:val="2"/>
              <w:rPr>
                <w:rFonts w:hint="eastAsia"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b.每出现一处一般问题支付5000元违约金。</w:t>
            </w:r>
          </w:p>
          <w:p w14:paraId="42D4652E">
            <w:pPr>
              <w:pStyle w:val="2"/>
              <w:rPr>
                <w:rFonts w:hint="eastAsia"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c.承包人应在发包人规定时间内按要求完成整改，未完成整改或整改后不符合发包人要求的：针对一般问题，承包人应向发包人支付5000元违约金，此后30日内每逾期10日承包人应向发包人支付5000元违约金；针对严重问题，承包人应向发包人支付20000元违约金，此后30日内每逾期10日承包人应向发包人支付20000元违约金。</w:t>
            </w:r>
          </w:p>
          <w:p w14:paraId="252EAD61">
            <w:pPr>
              <w:pStyle w:val="2"/>
              <w:rPr>
                <w:rFonts w:hint="eastAsia"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lang w:val="en-US" w:eastAsia="zh-CN"/>
              </w:rPr>
              <w:t>d</w:t>
            </w:r>
            <w:r>
              <w:rPr>
                <w:rFonts w:hint="eastAsia" w:ascii="方正仿宋_GBK" w:hAnsi="方正仿宋_GBK" w:eastAsia="方正仿宋_GBK" w:cs="方正仿宋_GBK"/>
                <w:snapToGrid w:val="0"/>
                <w:kern w:val="0"/>
                <w:sz w:val="18"/>
                <w:szCs w:val="18"/>
                <w:highlight w:val="none"/>
              </w:rPr>
              <w:t>.超过问题督办单要求完成整改时间30日以上的，发包人有权解除合同，承包人应承担由此引起的一切额外费用。</w:t>
            </w:r>
          </w:p>
          <w:p w14:paraId="175A7DBD">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w:t>
            </w:r>
            <w:r>
              <w:rPr>
                <w:rFonts w:hint="eastAsia" w:ascii="方正仿宋_GBK" w:hAnsi="方正仿宋_GBK" w:eastAsia="方正仿宋_GBK" w:cs="方正仿宋_GBK"/>
                <w:snapToGrid w:val="0"/>
                <w:kern w:val="0"/>
                <w:sz w:val="18"/>
                <w:szCs w:val="18"/>
                <w:highlight w:val="none"/>
                <w:lang w:val="en-US" w:eastAsia="zh-CN"/>
              </w:rPr>
              <w:t>6</w:t>
            </w:r>
            <w:r>
              <w:rPr>
                <w:rFonts w:hint="eastAsia" w:ascii="方正仿宋_GBK" w:hAnsi="方正仿宋_GBK" w:eastAsia="方正仿宋_GBK" w:cs="方正仿宋_GBK"/>
                <w:snapToGrid w:val="0"/>
                <w:kern w:val="0"/>
                <w:sz w:val="18"/>
                <w:szCs w:val="18"/>
                <w:highlight w:val="none"/>
              </w:rPr>
              <w:t>）承包人违反17.4.1条约定，逾期不提交质量保证金担保或者提交的质量保证金担保不符合要求的，如不能发生视为承包人选择以现金保证金替代质量保证金保函或工程质量保证保险的后果，承包人应立即向发包人提供现金担保或银行担保，应向发包人支付质量保证金金额</w:t>
            </w:r>
            <w:r>
              <w:rPr>
                <w:rFonts w:hint="eastAsia" w:ascii="方正仿宋_GBK" w:hAnsi="方正仿宋_GBK" w:eastAsia="方正仿宋_GBK" w:cs="方正仿宋_GBK"/>
                <w:snapToGrid w:val="0"/>
                <w:kern w:val="0"/>
                <w:sz w:val="18"/>
                <w:szCs w:val="18"/>
                <w:highlight w:val="none"/>
                <w:u w:val="single"/>
              </w:rPr>
              <w:t>10</w:t>
            </w:r>
            <w:r>
              <w:rPr>
                <w:rFonts w:hint="eastAsia" w:ascii="方正仿宋_GBK" w:hAnsi="方正仿宋_GBK" w:eastAsia="方正仿宋_GBK" w:cs="方正仿宋_GBK"/>
                <w:snapToGrid w:val="0"/>
                <w:kern w:val="0"/>
                <w:sz w:val="18"/>
                <w:szCs w:val="18"/>
                <w:highlight w:val="none"/>
              </w:rPr>
              <w:t>%的违约金，并应承担由此给发包人造成的全部损失。</w:t>
            </w:r>
          </w:p>
          <w:p w14:paraId="09C5681F">
            <w:pPr>
              <w:autoSpaceDE w:val="0"/>
              <w:autoSpaceDN w:val="0"/>
              <w:adjustRightInd w:val="0"/>
              <w:snapToGrid w:val="0"/>
              <w:jc w:val="left"/>
              <w:rPr>
                <w:rFonts w:ascii="方正仿宋_GBK" w:hAnsi="方正仿宋_GBK" w:eastAsia="方正仿宋_GBK" w:cs="方正仿宋_GBK"/>
                <w:snapToGrid w:val="0"/>
                <w:kern w:val="0"/>
                <w:sz w:val="18"/>
                <w:szCs w:val="18"/>
                <w:highlight w:val="none"/>
              </w:rPr>
            </w:pPr>
            <w:r>
              <w:rPr>
                <w:rFonts w:hint="eastAsia" w:ascii="方正仿宋_GBK" w:hAnsi="方正仿宋_GBK" w:eastAsia="方正仿宋_GBK" w:cs="方正仿宋_GBK"/>
                <w:snapToGrid w:val="0"/>
                <w:kern w:val="0"/>
                <w:sz w:val="18"/>
                <w:szCs w:val="18"/>
                <w:highlight w:val="none"/>
              </w:rPr>
              <w:t>（1</w:t>
            </w:r>
            <w:r>
              <w:rPr>
                <w:rFonts w:hint="eastAsia" w:ascii="方正仿宋_GBK" w:hAnsi="方正仿宋_GBK" w:eastAsia="方正仿宋_GBK" w:cs="方正仿宋_GBK"/>
                <w:snapToGrid w:val="0"/>
                <w:kern w:val="0"/>
                <w:sz w:val="18"/>
                <w:szCs w:val="18"/>
                <w:highlight w:val="none"/>
                <w:lang w:val="en-US" w:eastAsia="zh-CN"/>
              </w:rPr>
              <w:t>7</w:t>
            </w:r>
            <w:r>
              <w:rPr>
                <w:rFonts w:hint="eastAsia" w:ascii="方正仿宋_GBK" w:hAnsi="方正仿宋_GBK" w:eastAsia="方正仿宋_GBK" w:cs="方正仿宋_GBK"/>
                <w:snapToGrid w:val="0"/>
                <w:kern w:val="0"/>
                <w:sz w:val="18"/>
                <w:szCs w:val="18"/>
                <w:highlight w:val="none"/>
              </w:rPr>
              <w:t>）承包人应承担的其他违约责任：</w:t>
            </w:r>
            <w:permStart w:id="11" w:edGrp="everyone"/>
            <w:r>
              <w:rPr>
                <w:rFonts w:hint="eastAsia" w:ascii="方正仿宋_GBK" w:hAnsi="方正仿宋_GBK" w:eastAsia="方正仿宋_GBK" w:cs="方正仿宋_GBK"/>
                <w:snapToGrid w:val="0"/>
                <w:kern w:val="0"/>
                <w:sz w:val="18"/>
                <w:szCs w:val="18"/>
                <w:highlight w:val="none"/>
                <w:u w:val="single"/>
              </w:rPr>
              <w:t xml:space="preserve"> 施工承包人发生</w:t>
            </w:r>
            <w:r>
              <w:rPr>
                <w:rFonts w:hint="eastAsia" w:ascii="方正仿宋_GBK" w:hAnsi="方正仿宋_GBK" w:eastAsia="方正仿宋_GBK" w:cs="方正仿宋_GBK"/>
                <w:snapToGrid w:val="0"/>
                <w:kern w:val="0"/>
                <w:sz w:val="18"/>
                <w:szCs w:val="18"/>
                <w:highlight w:val="none"/>
              </w:rPr>
              <w:t>第22.1.1（14）目约定的违约情况时，承包人应向发包人支付签约合同价4‰的违约金</w:t>
            </w:r>
            <w:permEnd w:id="11"/>
            <w:r>
              <w:rPr>
                <w:rFonts w:hint="eastAsia" w:ascii="方正仿宋_GBK" w:hAnsi="方正仿宋_GBK" w:eastAsia="方正仿宋_GBK" w:cs="方正仿宋_GBK"/>
                <w:snapToGrid w:val="0"/>
                <w:kern w:val="0"/>
                <w:sz w:val="18"/>
                <w:szCs w:val="18"/>
                <w:highlight w:val="none"/>
              </w:rPr>
              <w:t>。</w:t>
            </w:r>
          </w:p>
          <w:p w14:paraId="557AA1CA">
            <w:pPr>
              <w:autoSpaceDE w:val="0"/>
              <w:autoSpaceDN w:val="0"/>
              <w:adjustRightInd w:val="0"/>
              <w:snapToGrid w:val="0"/>
              <w:jc w:val="left"/>
              <w:rPr>
                <w:rFonts w:ascii="方正仿宋_GBK" w:hAnsi="方正仿宋_GBK" w:eastAsia="方正仿宋_GBK" w:cs="方正仿宋_GBK"/>
                <w:color w:val="000000" w:themeColor="text1"/>
                <w:highlight w:val="none"/>
                <w14:textFill>
                  <w14:solidFill>
                    <w14:schemeClr w14:val="tx1"/>
                  </w14:solidFill>
                </w14:textFill>
              </w:rPr>
            </w:pPr>
            <w:r>
              <w:rPr>
                <w:rFonts w:hint="eastAsia" w:ascii="方正仿宋_GBK" w:hAnsi="方正仿宋_GBK" w:eastAsia="方正仿宋_GBK" w:cs="方正仿宋_GBK"/>
                <w:snapToGrid w:val="0"/>
                <w:kern w:val="0"/>
                <w:sz w:val="18"/>
                <w:szCs w:val="18"/>
                <w:highlight w:val="none"/>
              </w:rPr>
              <w:t>（1</w:t>
            </w:r>
            <w:r>
              <w:rPr>
                <w:rFonts w:hint="eastAsia" w:ascii="方正仿宋_GBK" w:hAnsi="方正仿宋_GBK" w:eastAsia="方正仿宋_GBK" w:cs="方正仿宋_GBK"/>
                <w:snapToGrid w:val="0"/>
                <w:kern w:val="0"/>
                <w:sz w:val="18"/>
                <w:szCs w:val="18"/>
                <w:highlight w:val="none"/>
                <w:lang w:val="en-US" w:eastAsia="zh-CN"/>
              </w:rPr>
              <w:t>8</w:t>
            </w:r>
            <w:r>
              <w:rPr>
                <w:rFonts w:hint="eastAsia" w:ascii="方正仿宋_GBK" w:hAnsi="方正仿宋_GBK" w:eastAsia="方正仿宋_GBK" w:cs="方正仿宋_GBK"/>
                <w:snapToGrid w:val="0"/>
                <w:kern w:val="0"/>
                <w:sz w:val="18"/>
                <w:szCs w:val="18"/>
                <w:highlight w:val="none"/>
              </w:rPr>
              <w:t>）承包人发生第22.1.1（14）目约定的违约情况时，存在严重环保水保问题，或一般环保水保问题整改后不符合发包人要求，或受到环保、水保部门处罚的，承包人应向发包人支付签约合同价[10]%的违约金，并应承担相应法律责任。</w:t>
            </w:r>
          </w:p>
        </w:tc>
      </w:tr>
      <w:tr w14:paraId="250A0D3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5764485">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C2BB3EC">
            <w:pPr>
              <w:widowControl/>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专用条款22.4</w:t>
            </w:r>
          </w:p>
        </w:tc>
        <w:tc>
          <w:tcPr>
            <w:tcW w:w="3582" w:type="dxa"/>
            <w:vAlign w:val="center"/>
          </w:tcPr>
          <w:p w14:paraId="7304973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22.4 （增加）</w:t>
            </w:r>
          </w:p>
          <w:p w14:paraId="1F17362B">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任何一方违反合同义务，应按照合同约定支付违约金的，但应当支付的违约金总额累计以不超过签约合同价格的%为限。但是，违约方应支付的违约金低于给对方造成的损失的，应就差额部分进行赔偿，且承担的赔偿金额不以签约合同价为限。</w:t>
            </w:r>
          </w:p>
        </w:tc>
        <w:tc>
          <w:tcPr>
            <w:tcW w:w="4455" w:type="dxa"/>
            <w:vAlign w:val="center"/>
          </w:tcPr>
          <w:p w14:paraId="3B8DD9A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22.4 （增加）</w:t>
            </w:r>
          </w:p>
          <w:p w14:paraId="74C061B2">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任何一方违反合同义务，应按照合同约定支付违约金的，但应当支付的违约金总额累计以不超过签约合同价格的</w:t>
            </w:r>
            <w:r>
              <w:rPr>
                <w:rFonts w:hint="eastAsia" w:ascii="方正仿宋_GBK" w:hAnsi="方正仿宋_GBK" w:eastAsia="方正仿宋_GBK" w:cs="方正仿宋_GBK"/>
                <w:sz w:val="18"/>
                <w:szCs w:val="18"/>
                <w:highlight w:val="none"/>
                <w:u w:val="single"/>
              </w:rPr>
              <w:t>30</w:t>
            </w:r>
            <w:r>
              <w:rPr>
                <w:rFonts w:hint="eastAsia" w:ascii="方正仿宋_GBK" w:hAnsi="方正仿宋_GBK" w:eastAsia="方正仿宋_GBK" w:cs="方正仿宋_GBK"/>
                <w:sz w:val="18"/>
                <w:szCs w:val="18"/>
                <w:highlight w:val="none"/>
              </w:rPr>
              <w:t>%为限。但是，违约方应支付的违约金低于给对方造成的损失的，应就差额部分进行赔偿，且承担的赔偿金额不以签约合同价为限。</w:t>
            </w:r>
          </w:p>
        </w:tc>
      </w:tr>
      <w:tr w14:paraId="300054B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33CE8CE">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3DCE20B">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 xml:space="preserve">专用条款24.1 </w:t>
            </w:r>
          </w:p>
        </w:tc>
        <w:tc>
          <w:tcPr>
            <w:tcW w:w="3582" w:type="dxa"/>
            <w:vAlign w:val="center"/>
          </w:tcPr>
          <w:p w14:paraId="383AF9B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24.1 争议的解决方式</w:t>
            </w:r>
          </w:p>
          <w:p w14:paraId="7EA14FC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因合同及合同有关事项发生的争议，合同当事人友好协商不成、不愿提请争议评审或者不接受争议评审组意见的，按以下第     种方式处理 ：</w:t>
            </w:r>
          </w:p>
          <w:p w14:paraId="66E605B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（1）仲裁：提交仲裁 ，按照申请仲裁时该仲裁机构有效的仲裁规则 进行仲裁。仲裁裁决是终局的，对双方均有约束力。</w:t>
            </w:r>
          </w:p>
          <w:p w14:paraId="2663726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（2）诉讼：向所在地人民法院提起诉讼。</w:t>
            </w:r>
          </w:p>
          <w:p w14:paraId="695B04B5">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在争议解决期间，合同中未涉及争议部分的条款仍须履行。</w:t>
            </w:r>
          </w:p>
        </w:tc>
        <w:tc>
          <w:tcPr>
            <w:tcW w:w="4455" w:type="dxa"/>
            <w:vAlign w:val="center"/>
          </w:tcPr>
          <w:p w14:paraId="05575A8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24.1 争议的解决方式</w:t>
            </w:r>
          </w:p>
          <w:p w14:paraId="6682507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因合同及合同有关事项发生的争议，合同当事人友好协商不成、不愿提请争议评审或者不接受争议评审组意见的，按以下第2 种方式处理：</w:t>
            </w:r>
          </w:p>
          <w:p w14:paraId="075C89C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（1）仲裁：提交</w:t>
            </w:r>
            <w:r>
              <w:rPr>
                <w:rFonts w:hint="eastAsia" w:ascii="方正仿宋_GBK" w:hAnsi="方正仿宋_GBK" w:eastAsia="方正仿宋_GBK" w:cs="方正仿宋_GBK"/>
                <w:sz w:val="18"/>
                <w:szCs w:val="18"/>
                <w:highlight w:val="none"/>
                <w:u w:val="single"/>
              </w:rPr>
              <w:t xml:space="preserve">  / </w:t>
            </w:r>
            <w:r>
              <w:rPr>
                <w:rFonts w:hint="eastAsia" w:ascii="方正仿宋_GBK" w:hAnsi="方正仿宋_GBK" w:eastAsia="方正仿宋_GBK" w:cs="方正仿宋_GBK"/>
                <w:sz w:val="18"/>
                <w:szCs w:val="18"/>
                <w:highlight w:val="none"/>
              </w:rPr>
              <w:t>仲裁，按照申请仲裁时该仲裁机构有效的仲裁规则进行仲裁。仲裁裁决是终局的，对双方均有约束力。</w:t>
            </w:r>
          </w:p>
          <w:p w14:paraId="585D2CB1">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（2）诉讼：向</w:t>
            </w:r>
            <w:r>
              <w:rPr>
                <w:rFonts w:hint="eastAsia" w:ascii="方正仿宋_GBK" w:hAnsi="方正仿宋_GBK" w:eastAsia="方正仿宋_GBK" w:cs="方正仿宋_GBK"/>
                <w:sz w:val="18"/>
                <w:szCs w:val="18"/>
                <w:highlight w:val="none"/>
                <w:u w:val="single"/>
              </w:rPr>
              <w:t>工程项目</w:t>
            </w:r>
            <w:r>
              <w:rPr>
                <w:rFonts w:hint="eastAsia" w:ascii="方正仿宋_GBK" w:hAnsi="方正仿宋_GBK" w:eastAsia="方正仿宋_GBK" w:cs="方正仿宋_GBK"/>
                <w:sz w:val="18"/>
                <w:szCs w:val="18"/>
                <w:highlight w:val="none"/>
              </w:rPr>
              <w:t>所在地人民法院提起诉讼。在争议解决期间，合同中未涉及争议部分的条款仍须履行。</w:t>
            </w:r>
          </w:p>
        </w:tc>
      </w:tr>
      <w:tr w14:paraId="63FFA44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2EE4516F">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50EF40F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合同附件</w:t>
            </w:r>
          </w:p>
        </w:tc>
        <w:tc>
          <w:tcPr>
            <w:tcW w:w="3582" w:type="dxa"/>
            <w:vAlign w:val="center"/>
          </w:tcPr>
          <w:p w14:paraId="13597B3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合同附件</w:t>
            </w:r>
          </w:p>
          <w:p w14:paraId="4228246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附件1：价格表</w:t>
            </w:r>
          </w:p>
          <w:p w14:paraId="08E43B6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附件2：规章制度清单</w:t>
            </w:r>
          </w:p>
          <w:p w14:paraId="1744614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附件3：施工分包计划</w:t>
            </w:r>
          </w:p>
          <w:p w14:paraId="6BCBC3D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附件4：履约保函</w:t>
            </w:r>
          </w:p>
          <w:p w14:paraId="635754A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附件5：安全协议</w:t>
            </w:r>
          </w:p>
          <w:p w14:paraId="0004F1A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附件6：建设工程廉洁规范</w:t>
            </w:r>
          </w:p>
          <w:p w14:paraId="379E5EA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附件7：工程质量保修书</w:t>
            </w:r>
          </w:p>
          <w:p w14:paraId="6F3983A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附件8：工程投入的关键人员名单</w:t>
            </w:r>
          </w:p>
          <w:p w14:paraId="1BF1A59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附件9：…………</w:t>
            </w:r>
          </w:p>
          <w:p w14:paraId="485FED13">
            <w:pPr>
              <w:adjustRightInd w:val="0"/>
              <w:snapToGrid w:val="0"/>
              <w:rPr>
                <w:rFonts w:ascii="方正仿宋_GBK" w:hAnsi="方正仿宋_GBK" w:eastAsia="方正仿宋_GBK" w:cs="方正仿宋_GBK"/>
                <w:sz w:val="18"/>
                <w:szCs w:val="18"/>
                <w:highlight w:val="none"/>
              </w:rPr>
            </w:pPr>
          </w:p>
        </w:tc>
        <w:tc>
          <w:tcPr>
            <w:tcW w:w="4455" w:type="dxa"/>
            <w:vAlign w:val="center"/>
          </w:tcPr>
          <w:p w14:paraId="215D28A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合同附件</w:t>
            </w:r>
          </w:p>
          <w:p w14:paraId="3C41322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附件1：价格表</w:t>
            </w:r>
          </w:p>
          <w:p w14:paraId="0A06A6A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附件2：规章制度清单</w:t>
            </w:r>
          </w:p>
          <w:p w14:paraId="03EA8E8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附件3：施工分包计划</w:t>
            </w:r>
          </w:p>
          <w:p w14:paraId="77E6C5B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附件4：履约保函</w:t>
            </w:r>
          </w:p>
          <w:p w14:paraId="20072D5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附件5：安全协议</w:t>
            </w:r>
          </w:p>
          <w:p w14:paraId="6A038AE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附件6：建设工程廉洁规范</w:t>
            </w:r>
          </w:p>
          <w:p w14:paraId="2ED97B6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附件7：工程质量保修书</w:t>
            </w:r>
          </w:p>
          <w:p w14:paraId="579AEEA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附件8：工程投入的关键人员名单</w:t>
            </w:r>
          </w:p>
          <w:p w14:paraId="616E752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附件9：承包范围及接口</w:t>
            </w:r>
          </w:p>
          <w:p w14:paraId="176B31C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附件10：特高压换流站工程安全文明施工标准化实施方案</w:t>
            </w:r>
          </w:p>
          <w:p w14:paraId="1DB20AC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附件11：国家电网有限公司特高压换流站电力建设工程工程量清单规范（2021版）应用工作指南</w:t>
            </w:r>
          </w:p>
          <w:p w14:paraId="720CDD1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附件12：施工承包商现场过程评价细则</w:t>
            </w:r>
          </w:p>
          <w:p w14:paraId="2B975BD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附件13：中标通知书</w:t>
            </w:r>
          </w:p>
          <w:p w14:paraId="562BF99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附件14：澄清</w:t>
            </w:r>
          </w:p>
          <w:p w14:paraId="526E35B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附件15：质量保证金保函</w:t>
            </w:r>
          </w:p>
          <w:p w14:paraId="2953DDE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附件16：变电（换流）站典型环保水保问题清单</w:t>
            </w:r>
          </w:p>
          <w:p w14:paraId="1806E0E4">
            <w:pPr>
              <w:adjustRightInd w:val="0"/>
              <w:snapToGrid w:val="0"/>
              <w:rPr>
                <w:rFonts w:ascii="方正仿宋_GBK" w:hAnsi="方正仿宋_GBK" w:eastAsia="方正仿宋_GBK" w:cs="方正仿宋_GBK"/>
                <w:sz w:val="18"/>
                <w:szCs w:val="18"/>
                <w:highlight w:val="none"/>
              </w:rPr>
            </w:pPr>
          </w:p>
        </w:tc>
      </w:tr>
      <w:tr w14:paraId="677B15A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433201FC">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988FC14">
            <w:pPr>
              <w:snapToGrid w:val="0"/>
              <w:spacing w:line="240" w:lineRule="atLeast"/>
              <w:jc w:val="lef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附件2：规章制度清单</w:t>
            </w:r>
          </w:p>
        </w:tc>
        <w:tc>
          <w:tcPr>
            <w:tcW w:w="3582" w:type="dxa"/>
            <w:vAlign w:val="center"/>
          </w:tcPr>
          <w:p w14:paraId="73D7B717">
            <w:pPr>
              <w:snapToGrid w:val="0"/>
              <w:spacing w:line="240" w:lineRule="atLeast"/>
              <w:rPr>
                <w:rFonts w:ascii="方正仿宋_GBK" w:hAnsi="方正仿宋_GBK" w:eastAsia="方正仿宋_GBK" w:cs="方正仿宋_GBK"/>
                <w:sz w:val="18"/>
                <w:szCs w:val="18"/>
                <w:highlight w:val="none"/>
              </w:rPr>
            </w:pPr>
          </w:p>
        </w:tc>
        <w:tc>
          <w:tcPr>
            <w:tcW w:w="4455" w:type="dxa"/>
            <w:vAlign w:val="center"/>
          </w:tcPr>
          <w:p w14:paraId="2D1586C1">
            <w:pPr>
              <w:adjustRightInd w:val="0"/>
              <w:snapToGrid w:val="0"/>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增加：</w:t>
            </w:r>
          </w:p>
          <w:p w14:paraId="4402B0D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《国家电网有限公司输变电工程建设质量管理规定》</w:t>
            </w:r>
          </w:p>
          <w:p w14:paraId="1DD81A3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color w:val="000000"/>
                <w:sz w:val="18"/>
                <w:szCs w:val="18"/>
                <w:highlight w:val="none"/>
              </w:rPr>
              <w:t xml:space="preserve">《国网安监部关于优化调整严重违章查治工作的通知}(安监二[2024]24号)》 </w:t>
            </w:r>
          </w:p>
        </w:tc>
      </w:tr>
      <w:tr w14:paraId="38D6E84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63E28EA">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1029FBC9">
            <w:pPr>
              <w:snapToGrid w:val="0"/>
              <w:spacing w:line="240" w:lineRule="atLeast"/>
              <w:jc w:val="left"/>
              <w:rPr>
                <w:rFonts w:ascii="方正仿宋_GBK" w:hAnsi="方正仿宋_GBK" w:eastAsia="方正仿宋_GBK" w:cs="方正仿宋_GBK"/>
                <w:highlight w:val="none"/>
              </w:rPr>
            </w:pPr>
            <w:r>
              <w:rPr>
                <w:rFonts w:hint="eastAsia" w:ascii="方正仿宋_GBK" w:hAnsi="方正仿宋_GBK" w:eastAsia="方正仿宋_GBK" w:cs="方正仿宋_GBK"/>
                <w:highlight w:val="none"/>
              </w:rPr>
              <w:t>附件4：履约保函</w:t>
            </w:r>
          </w:p>
          <w:p w14:paraId="0C5FE45E">
            <w:pPr>
              <w:pStyle w:val="9"/>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kern w:val="0"/>
                <w:sz w:val="18"/>
                <w:szCs w:val="18"/>
                <w:highlight w:val="none"/>
              </w:rPr>
              <w:t>附件15：质保金保函</w:t>
            </w:r>
          </w:p>
        </w:tc>
        <w:tc>
          <w:tcPr>
            <w:tcW w:w="3582" w:type="dxa"/>
            <w:vAlign w:val="center"/>
          </w:tcPr>
          <w:p w14:paraId="788EF107">
            <w:pPr>
              <w:snapToGrid w:val="0"/>
              <w:spacing w:line="240" w:lineRule="atLeast"/>
              <w:rPr>
                <w:rFonts w:ascii="方正仿宋_GBK" w:hAnsi="方正仿宋_GBK" w:eastAsia="方正仿宋_GBK" w:cs="方正仿宋_GBK"/>
                <w:sz w:val="18"/>
                <w:szCs w:val="18"/>
                <w:highlight w:val="none"/>
              </w:rPr>
            </w:pPr>
          </w:p>
        </w:tc>
        <w:tc>
          <w:tcPr>
            <w:tcW w:w="4455" w:type="dxa"/>
            <w:vAlign w:val="center"/>
          </w:tcPr>
          <w:p w14:paraId="72F4ECEF">
            <w:pPr>
              <w:adjustRightInd w:val="0"/>
              <w:snapToGrid w:val="0"/>
              <w:rPr>
                <w:rFonts w:ascii="方正仿宋_GBK" w:hAnsi="方正仿宋_GBK" w:eastAsia="方正仿宋_GBK" w:cs="方正仿宋_GBK"/>
                <w:highlight w:val="none"/>
              </w:rPr>
            </w:pPr>
            <w:r>
              <w:rPr>
                <w:rFonts w:hint="eastAsia" w:ascii="方正仿宋_GBK" w:hAnsi="方正仿宋_GBK" w:eastAsia="方正仿宋_GBK" w:cs="方正仿宋_GBK"/>
                <w:highlight w:val="none"/>
              </w:rPr>
              <w:t>新增：</w:t>
            </w:r>
          </w:p>
          <w:p w14:paraId="76387DF8">
            <w:pPr>
              <w:pStyle w:val="9"/>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备注：若选择中国电力财务有限公司出具保函的，可选择使用中国电力财务有限公司提供的保函格式文本。</w:t>
            </w:r>
          </w:p>
        </w:tc>
      </w:tr>
      <w:tr w14:paraId="1AB2DAD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5BCA7F9D">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2888092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附件5 ：安全协议书</w:t>
            </w:r>
          </w:p>
        </w:tc>
        <w:tc>
          <w:tcPr>
            <w:tcW w:w="3582" w:type="dxa"/>
            <w:vAlign w:val="center"/>
          </w:tcPr>
          <w:p w14:paraId="65F43E8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无</w:t>
            </w:r>
          </w:p>
        </w:tc>
        <w:tc>
          <w:tcPr>
            <w:tcW w:w="4455" w:type="dxa"/>
            <w:vAlign w:val="center"/>
          </w:tcPr>
          <w:p w14:paraId="7B923A8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 xml:space="preserve">《国家电网公司输变电优质工程创建工作手册 》 </w:t>
            </w:r>
          </w:p>
        </w:tc>
      </w:tr>
      <w:tr w14:paraId="4A3654F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25EF91D">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3C490EEE">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附件5 ：安全协议书</w:t>
            </w:r>
          </w:p>
        </w:tc>
        <w:tc>
          <w:tcPr>
            <w:tcW w:w="3582" w:type="dxa"/>
            <w:vAlign w:val="center"/>
          </w:tcPr>
          <w:p w14:paraId="1571CD55">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无</w:t>
            </w:r>
          </w:p>
        </w:tc>
        <w:tc>
          <w:tcPr>
            <w:tcW w:w="4455" w:type="dxa"/>
            <w:vAlign w:val="center"/>
          </w:tcPr>
          <w:p w14:paraId="0BF18EB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五、执行标准（不限于）</w:t>
            </w:r>
          </w:p>
          <w:p w14:paraId="48227A8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 国家电网有限公司有关规程、通用制度及规定：</w:t>
            </w:r>
          </w:p>
          <w:p w14:paraId="634D039C">
            <w:pPr>
              <w:adjustRightInd w:val="0"/>
              <w:snapToGrid w:val="0"/>
              <w:rPr>
                <w:rFonts w:ascii="方正仿宋_GBK" w:hAnsi="方正仿宋_GBK" w:eastAsia="方正仿宋_GBK" w:cs="方正仿宋_GBK"/>
                <w:color w:val="000000" w:themeColor="text1"/>
                <w:sz w:val="18"/>
                <w:szCs w:val="18"/>
                <w:highlight w:val="none"/>
                <w14:textFill>
                  <w14:solidFill>
                    <w14:schemeClr w14:val="tx1"/>
                  </w14:solidFill>
                </w14:textFill>
              </w:rPr>
            </w:pPr>
            <w:r>
              <w:rPr>
                <w:rFonts w:hint="eastAsia" w:ascii="方正仿宋_GBK" w:hAnsi="方正仿宋_GBK" w:eastAsia="方正仿宋_GBK" w:cs="方正仿宋_GBK"/>
                <w:sz w:val="18"/>
                <w:szCs w:val="18"/>
                <w:highlight w:val="none"/>
              </w:rPr>
              <w:t>（6）</w:t>
            </w:r>
            <w:r>
              <w:rPr>
                <w:rFonts w:hint="eastAsia" w:ascii="方正仿宋_GBK" w:hAnsi="方正仿宋_GBK" w:eastAsia="方正仿宋_GBK" w:cs="方正仿宋_GBK"/>
                <w:strike/>
                <w:sz w:val="18"/>
                <w:szCs w:val="18"/>
                <w:highlight w:val="none"/>
              </w:rPr>
              <w:t>国家电网公司输变电工程流动红旗竞赛管理办法；</w:t>
            </w:r>
            <w:r>
              <w:rPr>
                <w:rFonts w:hint="eastAsia" w:ascii="方正仿宋_GBK" w:hAnsi="方正仿宋_GBK" w:eastAsia="方正仿宋_GBK" w:cs="方正仿宋_GBK"/>
                <w:sz w:val="18"/>
                <w:szCs w:val="18"/>
                <w:highlight w:val="none"/>
              </w:rPr>
              <w:t>（删除）</w:t>
            </w:r>
          </w:p>
        </w:tc>
      </w:tr>
      <w:tr w14:paraId="5AA4FCF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79B4513">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DD8CE68">
            <w:pPr>
              <w:adjustRightInd w:val="0"/>
              <w:snapToGrid w:val="0"/>
              <w:rPr>
                <w:rFonts w:ascii="方正仿宋_GBK" w:hAnsi="方正仿宋_GBK" w:eastAsia="方正仿宋_GBK" w:cs="方正仿宋_GBK"/>
                <w:color w:val="000000"/>
                <w:kern w:val="0"/>
                <w:sz w:val="18"/>
                <w:szCs w:val="18"/>
                <w:highlight w:val="none"/>
              </w:rPr>
            </w:pPr>
            <w:r>
              <w:rPr>
                <w:rFonts w:hint="eastAsia" w:ascii="方正仿宋_GBK" w:hAnsi="方正仿宋_GBK" w:eastAsia="方正仿宋_GBK" w:cs="方正仿宋_GBK"/>
                <w:color w:val="000000"/>
                <w:kern w:val="0"/>
                <w:sz w:val="18"/>
                <w:szCs w:val="18"/>
                <w:highlight w:val="none"/>
              </w:rPr>
              <w:t>合同附件5 ：安全协议书中</w:t>
            </w:r>
          </w:p>
          <w:p w14:paraId="5C0E8B7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color w:val="000000"/>
                <w:kern w:val="0"/>
                <w:sz w:val="18"/>
                <w:szCs w:val="18"/>
                <w:highlight w:val="none"/>
              </w:rPr>
              <w:t>五、执行标准</w:t>
            </w:r>
          </w:p>
        </w:tc>
        <w:tc>
          <w:tcPr>
            <w:tcW w:w="3582" w:type="dxa"/>
            <w:vAlign w:val="center"/>
          </w:tcPr>
          <w:p w14:paraId="69C357B6">
            <w:pPr>
              <w:adjustRightInd w:val="0"/>
              <w:snapToGrid w:val="0"/>
              <w:ind w:firstLine="360" w:firstLineChars="200"/>
              <w:rPr>
                <w:rFonts w:ascii="方正仿宋_GBK" w:hAnsi="方正仿宋_GBK" w:eastAsia="方正仿宋_GBK" w:cs="方正仿宋_GBK"/>
                <w:sz w:val="18"/>
                <w:szCs w:val="18"/>
                <w:highlight w:val="none"/>
              </w:rPr>
            </w:pPr>
          </w:p>
        </w:tc>
        <w:tc>
          <w:tcPr>
            <w:tcW w:w="4455" w:type="dxa"/>
            <w:vAlign w:val="center"/>
          </w:tcPr>
          <w:p w14:paraId="56A0A8C3">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增加</w:t>
            </w:r>
          </w:p>
          <w:p w14:paraId="2E11D12E">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（37）国家电网有限公司环境保护管理办法；</w:t>
            </w:r>
          </w:p>
          <w:p w14:paraId="72F0E2C2">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（38）国家电网公司环境保护监督规定；</w:t>
            </w:r>
          </w:p>
          <w:p w14:paraId="53646FA0">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（39）国家电网有限公司电网建设项目水土保持管理办法；</w:t>
            </w:r>
          </w:p>
          <w:p w14:paraId="3FA8D5A3">
            <w:pPr>
              <w:autoSpaceDN w:val="0"/>
              <w:jc w:val="left"/>
              <w:textAlignment w:val="center"/>
              <w:rPr>
                <w:rFonts w:ascii="方正仿宋_GBK" w:hAnsi="方正仿宋_GBK" w:eastAsia="方正仿宋_GBK" w:cs="方正仿宋_GBK"/>
                <w:color w:val="000000"/>
                <w:sz w:val="18"/>
                <w:szCs w:val="18"/>
                <w:highlight w:val="none"/>
              </w:rPr>
            </w:pPr>
            <w:r>
              <w:rPr>
                <w:rFonts w:hint="eastAsia" w:ascii="方正仿宋_GBK" w:hAnsi="方正仿宋_GBK" w:eastAsia="方正仿宋_GBK" w:cs="方正仿宋_GBK"/>
                <w:color w:val="000000"/>
                <w:sz w:val="18"/>
                <w:szCs w:val="18"/>
                <w:highlight w:val="none"/>
              </w:rPr>
              <w:t>（40）国家电网有限公司电网建设项目水土保持设施验收管理办法；</w:t>
            </w:r>
          </w:p>
          <w:p w14:paraId="442B549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color w:val="000000"/>
                <w:sz w:val="18"/>
                <w:szCs w:val="18"/>
                <w:highlight w:val="none"/>
              </w:rPr>
              <w:t>（41）国家电网有限公司电网废弃物环境无害化处置监督管理办法；</w:t>
            </w:r>
          </w:p>
        </w:tc>
      </w:tr>
      <w:tr w14:paraId="4CA8A7E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0252E4B7">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49AF957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附件5 ：安全协议书</w:t>
            </w:r>
          </w:p>
        </w:tc>
        <w:tc>
          <w:tcPr>
            <w:tcW w:w="3582" w:type="dxa"/>
            <w:vAlign w:val="center"/>
          </w:tcPr>
          <w:p w14:paraId="4433EC3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七、甲方安全文明施工管理责任、权利和义务</w:t>
            </w:r>
          </w:p>
          <w:p w14:paraId="2E89B35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负责审核批准乙方的项目安全文明施工费使用计划。负责在工程开工时，向乙方支付不低于当年施工进度计划的安全文明施工费总额的60%作为安全文明施工费预付款。负责控制安全文明施工费得到有效使用。乙方应在每月工程进度款支付申请同时单独申报安全文明施工费。</w:t>
            </w:r>
          </w:p>
        </w:tc>
        <w:tc>
          <w:tcPr>
            <w:tcW w:w="4455" w:type="dxa"/>
            <w:vAlign w:val="center"/>
          </w:tcPr>
          <w:p w14:paraId="5C3D0C1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七、甲方安全文明施工管理责任、权利和义务</w:t>
            </w:r>
          </w:p>
          <w:p w14:paraId="7309884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（9）负责审核批准乙方的项目安全文明施工费使用计划。负责在工程开工支付工程预付款时，向乙方支付不低于合同中安全文明施工费总额的</w:t>
            </w:r>
            <w:r>
              <w:rPr>
                <w:rFonts w:hint="eastAsia" w:ascii="方正仿宋_GBK" w:hAnsi="方正仿宋_GBK" w:eastAsia="方正仿宋_GBK" w:cs="方正仿宋_GBK"/>
                <w:b/>
                <w:bCs/>
                <w:sz w:val="18"/>
                <w:szCs w:val="18"/>
                <w:highlight w:val="none"/>
              </w:rPr>
              <w:t>50%</w:t>
            </w:r>
            <w:r>
              <w:rPr>
                <w:rFonts w:hint="eastAsia" w:ascii="方正仿宋_GBK" w:hAnsi="方正仿宋_GBK" w:eastAsia="方正仿宋_GBK" w:cs="方正仿宋_GBK"/>
                <w:sz w:val="18"/>
                <w:szCs w:val="18"/>
                <w:highlight w:val="none"/>
              </w:rPr>
              <w:t>作为安全文明施工费预付款。负责控制安全文明施工费得到有效使用。乙方应在每月工程进度款支付申请时一并申请并单独列示安全文明施工费。</w:t>
            </w:r>
          </w:p>
        </w:tc>
      </w:tr>
      <w:tr w14:paraId="0399D0E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3B50E08">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0443F24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附件5 ：安全协议书</w:t>
            </w:r>
          </w:p>
        </w:tc>
        <w:tc>
          <w:tcPr>
            <w:tcW w:w="3582" w:type="dxa"/>
            <w:vAlign w:val="center"/>
          </w:tcPr>
          <w:p w14:paraId="430AAA27">
            <w:pPr>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八、乙方安全文明施工管理责任、权利和义务</w:t>
            </w:r>
          </w:p>
          <w:p w14:paraId="6ACEB44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14）负责遵守主体工程不得专业分包的合同约定，其他非主体工程分包必须经建设管理单位书面同意。专业承包或专业分包的变电站（包括换流站）建筑工程不允许再进行专业分包；变电站（包括换流站）安装工程的主体工程是指构支架组立和一次、二次等电气设备安装工程，电气调试。送电线路工程项目的主体工程，是指送电线路（包括直流换流站的接地及线路）工程的杆塔组立、架线和附件安装。</w:t>
            </w:r>
          </w:p>
          <w:p w14:paraId="5D63174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15）专业分包、劳务分包安全管理必须符合国家、行业、国家电网公司规定，并报监理单位备案。使用省外分包商的，必须要求分包商向当地电力监管部门备案。专业分包、劳务分包合同中必须明确发、承包双方的安全施工责任，并实行安全风险抵押金等行之有效的管理措施，以强化工程分包商、劳务分包商的安全责任意识。</w:t>
            </w:r>
          </w:p>
          <w:p w14:paraId="18F656A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16）负责对工程分包商的施工安全行为监督。对于危险性较大的（如有可能引发火灾、爆炸、触电、高处坠落和电网、设备事故等事故）施工作业，负责事先进行安全技术交底，严格审查分包商的施工组织措施。</w:t>
            </w:r>
          </w:p>
          <w:p w14:paraId="313F820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（17）负责对劳务分包人员的安全技术交底和安全培训。</w:t>
            </w:r>
          </w:p>
          <w:p w14:paraId="340849E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18）开工前，负责组织施工人员分工种进行安全教育和安全规程考试，并将考试合格人员名单（包括临时增补或调换人员）与考试成绩报给监理备案。起重机械操作人员、起重工、安装拆卸工、爆破作业人员、焊工、架子工、高处作业人员等特种作业人员必须持有相关部门核发的合格有效的上岗资格证书，并报监理审核备案。</w:t>
            </w:r>
          </w:p>
          <w:p w14:paraId="3E587CD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（19）负责对中、小型机械实行“定机定人”管理。</w:t>
            </w:r>
          </w:p>
          <w:p w14:paraId="5644ED4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20）乙方在施工期间所使用的各种机械设备及工器具等均应由乙方自备，乙方进入施工现场的各种设备以及工器具必须整洁完好无破损并符合规程规范等安全要求。乙方必须租赁的特种设备（起重机械等），应由双方有关人员办理租赁合同及安全协议手续。租赁的各种设备以及工器具，租赁方必须进行检验，并做好检验记录。</w:t>
            </w:r>
          </w:p>
          <w:p w14:paraId="11BD0BB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21）负责建立进场员工安规考试台帐、职工体检台帐、施工机械（机具）管理台帐、安全工器具管理和检验台帐、特种作业人员台帐。起重机械、物料提升机等特种设备必须取得政府授权检测机构检验合格并颁发的“安全检验合格证”，并负责向监理报审。</w:t>
            </w:r>
          </w:p>
          <w:p w14:paraId="1D96B2C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（22）变电施工现场施工用电严格执行“三相五线制”的用电方式，线路施工现场按当地临时用电方式进行，严格施工用电管理，确保一机一闸一保护。</w:t>
            </w:r>
          </w:p>
          <w:p w14:paraId="1BBFD23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（23）负责在工程项目应急工作组的组织下，编制人身事故、火灾事故、触电事故等事故应急预案，并进行培训、演练。</w:t>
            </w:r>
          </w:p>
          <w:p w14:paraId="071038F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（24）负责在改、扩建工程中，严格执行工作票制度等生产运行管理制度。对自身展放的带电运行屏上的搭接电缆的回路编号、端子牌号、芯线的正确性以及待接入时段的防误碰保护负安全责任。</w:t>
            </w:r>
          </w:p>
          <w:p w14:paraId="463E300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25）对施工现场运行单位及其他施工单位设立的各类安全防护设施、遮栏、安全标志牌、警告牌和接地线等不得擅自拆除、更动。如确实需要拆除、更动的，应经运行单位或监理指派的安全管理人员的同意，办理手续，并采取必要、可靠的安全措施后方能拆除、更动现场安全防护设施，否则对擅自拆除、更动所造成的后果负责。</w:t>
            </w:r>
          </w:p>
          <w:p w14:paraId="4FB85A0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（26）负责在施工期间对地下管线、光缆及高压架空线的保护，在遇有情况时，负责及时向甲方和有关部门联系，采取保护措施方可施工，不得冒险作业。</w:t>
            </w:r>
          </w:p>
          <w:p w14:paraId="3EAAF41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27）对甲方、建设管理单位、监理及上级单位和人员的违章反安全生产规定、制度的指令有权拒绝执行，对甲方强行指定购置不符合国家标准的安全设施和防护用品的行为有权拒绝，对甲方、监理在安全管理工作中存在的问题有权提出意见和改进建议。在预见有重大危险发生时，乙方应认真排查工程关键节点，分析重大危险源点，制定相应的应急预案，并强化实施过程的安全监督，全力规避安全风险。</w:t>
            </w:r>
          </w:p>
        </w:tc>
        <w:tc>
          <w:tcPr>
            <w:tcW w:w="4455" w:type="dxa"/>
            <w:vAlign w:val="center"/>
          </w:tcPr>
          <w:p w14:paraId="3A77163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八、乙方安全文明施工管理责任、权利和义务</w:t>
            </w:r>
          </w:p>
          <w:p w14:paraId="066C29AF">
            <w:pPr>
              <w:adjustRightInd w:val="0"/>
              <w:snapToGrid w:val="0"/>
              <w:rPr>
                <w:rFonts w:ascii="方正仿宋_GBK" w:hAnsi="方正仿宋_GBK" w:eastAsia="方正仿宋_GBK" w:cs="方正仿宋_GBK"/>
                <w:sz w:val="18"/>
                <w:szCs w:val="18"/>
                <w:highlight w:val="none"/>
              </w:rPr>
            </w:pPr>
          </w:p>
          <w:p w14:paraId="78F73FC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14）负责遵守主体工程不得专业分包的合同约定，其他非主体工程分包必须经建设管理单位书面同意。专业承包或专业分包的变电站（包括换流站）建筑工程不允许再进行专业分包；变电站（包括换流站）安装工程的主体工程是指构支架组立和一次、二次等电气设备安装工程，电气调试。送电线路工程项目的主体工程，是指送电线路（包括直流换流站的接地及线路）工程的杆塔组立、架线和附件安装。</w:t>
            </w:r>
          </w:p>
          <w:p w14:paraId="65909118">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15）专业分包、劳务分包安全管理必须符合国家、行业、国家电网有限公司规定，并报监理单位备案。专业分包、劳务分包合同中必须明确发、承包双方的安全施工责任，并实行安全风险抵押金等行之有效的管理措施，以强化工程分包商、劳务分包商的安全责任意识。</w:t>
            </w:r>
          </w:p>
          <w:p w14:paraId="7AE27A6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16）负责对工程分包商的施工安全行为监督。对于危险性较大的（如有可能引发火灾、爆炸、触电、高处坠落和电网、设备事故等事故）施工作业，负责事先进行安全技术交底，严格审查分包商的施工组织措施。</w:t>
            </w:r>
          </w:p>
          <w:p w14:paraId="1425D42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（17）负责对劳务分包人员的安全技术交底和安全培训。</w:t>
            </w:r>
          </w:p>
          <w:p w14:paraId="2003EA2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18）开工前，负责组织施工人员分工种进行安全教育和安全规程考试，并将考试合格人员名单（包括临时增补或调换人员）与考试成绩报给监理备案。起重机械操作人员、起重工、安装拆卸工、爆破作业人员、焊工、架子工、高处作业人员等特种作业人员必须持有相关部门核发的合格有效的上岗资格证书，并报监理审核备案。</w:t>
            </w:r>
          </w:p>
          <w:p w14:paraId="321DC3E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（19）负责对中、小型机械实行“定机定人”管理。</w:t>
            </w:r>
          </w:p>
          <w:p w14:paraId="576B713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20）乙方在施工期间所使用的各种机械设备及工器具等均应由乙方自备，乙方进入施工现场的各种设备以及工器具必须整洁完好无破损并符合规程规范等安全要求。乙方必须租赁的特种设备（起重机械等），应由双方有关人员办理租赁合同及安全协议手续。租赁的各种设备以及工器具，租赁方必须进行检验，并做好检验记录。</w:t>
            </w:r>
          </w:p>
          <w:p w14:paraId="3BDD76D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21）负责建立进场员工安规考试台帐、职工体检台帐、施工机械（机具）管理台帐、安全工器具管理和检验台帐、特种作业人员台帐。起重机械、物料提升机等特种设备必须取得政府授权检测机构检验合格并颁发的“安全检验合格证”，并负责向监理报审。</w:t>
            </w:r>
          </w:p>
          <w:p w14:paraId="5F2C55D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（22）变电施工现场施工用电严格执行“三相五线制”的用电方式，线路施工现场按当地临时用电方式进行，严格施工用电管理，确保一机一闸一保护。</w:t>
            </w:r>
          </w:p>
          <w:p w14:paraId="6315881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（23）负责在工程项目应急工作组的组织下，编制人身事故、火灾事故、触电事故等事故应急预案，并进行培训、演练。</w:t>
            </w:r>
          </w:p>
          <w:p w14:paraId="584868B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（24）负责在改、扩建工程中，严格执行工作票制度等生产运行管理制度。对自身展放的带电运行屏上的搭接电缆的回路编号、端子牌号、芯线的正确性以及待接入时段的防误碰保护负安全责任。</w:t>
            </w:r>
          </w:p>
          <w:p w14:paraId="470EAAB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25）对施工现场运行单位及其他施工单位设立的各类安全防护设施、遮栏、安全标志牌、警告牌和接地线等不得擅自拆除、更动。如确实需要拆除、更动的，应经运行单位或监理指派的安全管理人员的同意，办理手续，并采取必要、可靠的安全措施后方能拆除、更动现场安全防护设施，否则对擅自拆除、更动所造成的后果负责。</w:t>
            </w:r>
          </w:p>
          <w:p w14:paraId="71C34AC7">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（26）负责在施工期间对地下管线、光缆及高压架空线的保护，在遇有情况时，负责及时向甲方和有关部门联系，采取保护措施方可施工，不得冒险作业。</w:t>
            </w:r>
          </w:p>
          <w:p w14:paraId="4732F73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27）对甲方、建设管理单位、监理及上级单位和人员的违章反安全生产规定、制度的指令有权拒绝执行，对甲方强行指定购置不符合国家标准的安全设施和防护用品的行为有权拒绝，对甲方、监理在安全管理工作中存在的问题有权提出意见和改进建议。在预见有重大危险发生时，乙方应认真排查工程关键节点，分析重大危险源点，制定相应的应急预案，并强化实施过程的安全监督，全力规避安全风险。</w:t>
            </w:r>
          </w:p>
          <w:p w14:paraId="2C908360">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(28)与其他单位在同一区域进行作业施工，可能危及生产安全的，应当签订安全生产管理协议，明确各自的安全生产管理职责和应当采取的安全措施，并制定专职安全生产管理人员进行安全检查与协调。安全生产管理协议应报备监理项目部。</w:t>
            </w:r>
          </w:p>
          <w:p w14:paraId="10501F3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（29）负责在现场配置应急处置物资，预防现场各类应急事故。</w:t>
            </w:r>
          </w:p>
          <w:p w14:paraId="220F2DE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（30）常态化开展疫情防控工作，按照要求及时发放疫情防控物资，并督促施工人员规范使用。</w:t>
            </w:r>
          </w:p>
        </w:tc>
      </w:tr>
      <w:tr w14:paraId="3B4640A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6C268DF5">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742780CC">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附件5 ：安全协议书十</w:t>
            </w:r>
          </w:p>
        </w:tc>
        <w:tc>
          <w:tcPr>
            <w:tcW w:w="3582" w:type="dxa"/>
            <w:vAlign w:val="center"/>
          </w:tcPr>
          <w:p w14:paraId="24EA77E8">
            <w:pPr>
              <w:adjustRightInd w:val="0"/>
              <w:snapToGrid w:val="0"/>
              <w:spacing w:line="240" w:lineRule="exac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 安全违约金支付标准</w:t>
            </w:r>
          </w:p>
          <w:p w14:paraId="1E6143AB">
            <w:pPr>
              <w:adjustRightInd w:val="0"/>
              <w:snapToGrid w:val="0"/>
              <w:spacing w:line="240" w:lineRule="exac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（1）发生重大安全事故（二级及以上人身、电网、设备安全事件）或人身死亡事故（四级及以上人身安全事件），支付签约合同价2%的安全违约金。</w:t>
            </w:r>
          </w:p>
          <w:p w14:paraId="7D483416">
            <w:pPr>
              <w:adjustRightInd w:val="0"/>
              <w:snapToGrid w:val="0"/>
              <w:spacing w:line="240" w:lineRule="exac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（2）发生人身重伤事故（四级及以上人身安全事件），一人•次，支付签约合同价6‰的安全违约金；二人•次，支付签约合同价1.2%的安全违约；三人•次及以上，支付签约合同价2%的安全违约金。</w:t>
            </w:r>
          </w:p>
          <w:p w14:paraId="27ED3A80">
            <w:pPr>
              <w:adjustRightInd w:val="0"/>
              <w:snapToGrid w:val="0"/>
              <w:spacing w:line="240" w:lineRule="exac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（3）发生设备事故或火灾事故或负主要责任的交通事故，视事故的性质和严重程度，支付签约合同价4‰～2%的安全违约金。</w:t>
            </w:r>
          </w:p>
          <w:p w14:paraId="01F16D54">
            <w:pPr>
              <w:adjustRightInd w:val="0"/>
              <w:snapToGrid w:val="0"/>
              <w:spacing w:line="240" w:lineRule="exac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（4）发生因工程建设而造成的电网停电事故，视事故影响的大小和严重程度，支付签约合同价4‰～2%的安全违约金。</w:t>
            </w:r>
          </w:p>
          <w:p w14:paraId="4607A504">
            <w:pPr>
              <w:adjustRightInd w:val="0"/>
              <w:snapToGrid w:val="0"/>
              <w:spacing w:line="240" w:lineRule="exac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（5）发包人组织安全监督检查时，未能达到标准要求的，每次支付签约合同价2‰的安全违约金。</w:t>
            </w:r>
          </w:p>
        </w:tc>
        <w:tc>
          <w:tcPr>
            <w:tcW w:w="4455" w:type="dxa"/>
            <w:vAlign w:val="center"/>
          </w:tcPr>
          <w:p w14:paraId="51285480">
            <w:pPr>
              <w:spacing w:line="240" w:lineRule="exact"/>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b/>
                <w:bCs/>
                <w:kern w:val="0"/>
                <w:sz w:val="18"/>
                <w:szCs w:val="18"/>
                <w:highlight w:val="none"/>
              </w:rPr>
              <w:t>修改为：</w:t>
            </w:r>
          </w:p>
          <w:p w14:paraId="3F12F3CC">
            <w:pPr>
              <w:spacing w:line="240" w:lineRule="exact"/>
              <w:rPr>
                <w:rFonts w:ascii="方正仿宋_GBK" w:hAnsi="方正仿宋_GBK" w:eastAsia="方正仿宋_GBK" w:cs="方正仿宋_GBK"/>
                <w:kern w:val="0"/>
                <w:sz w:val="18"/>
                <w:szCs w:val="18"/>
                <w:highlight w:val="none"/>
              </w:rPr>
            </w:pPr>
            <w:r>
              <w:rPr>
                <w:rFonts w:hint="eastAsia" w:ascii="方正仿宋_GBK" w:hAnsi="方正仿宋_GBK" w:eastAsia="方正仿宋_GBK" w:cs="方正仿宋_GBK"/>
                <w:sz w:val="18"/>
                <w:szCs w:val="18"/>
                <w:highlight w:val="none"/>
              </w:rPr>
              <w:t>2. 安全违约金支付标准</w:t>
            </w:r>
          </w:p>
          <w:p w14:paraId="5AA74927">
            <w:pPr>
              <w:spacing w:line="240" w:lineRule="exact"/>
              <w:rPr>
                <w:rFonts w:ascii="方正仿宋_GBK" w:hAnsi="方正仿宋_GBK" w:eastAsia="方正仿宋_GBK" w:cs="方正仿宋_GBK"/>
                <w:bCs/>
                <w:kern w:val="0"/>
                <w:sz w:val="18"/>
                <w:szCs w:val="18"/>
                <w:highlight w:val="none"/>
              </w:rPr>
            </w:pPr>
            <w:r>
              <w:rPr>
                <w:rFonts w:hint="eastAsia" w:ascii="方正仿宋_GBK" w:hAnsi="方正仿宋_GBK" w:eastAsia="方正仿宋_GBK" w:cs="方正仿宋_GBK"/>
                <w:bCs/>
                <w:kern w:val="0"/>
                <w:sz w:val="18"/>
                <w:szCs w:val="18"/>
                <w:highlight w:val="none"/>
              </w:rPr>
              <w:t>（1）发生重大安全事故（二级及以上人身、电网、设备安全事件）或人身死亡事故（四级及以上人身安全事件），违约金为签约合同价的2%。</w:t>
            </w:r>
          </w:p>
          <w:p w14:paraId="619CF4EB">
            <w:pPr>
              <w:spacing w:line="240" w:lineRule="exact"/>
              <w:rPr>
                <w:rFonts w:ascii="方正仿宋_GBK" w:hAnsi="方正仿宋_GBK" w:eastAsia="方正仿宋_GBK" w:cs="方正仿宋_GBK"/>
                <w:bCs/>
                <w:kern w:val="0"/>
                <w:sz w:val="18"/>
                <w:szCs w:val="18"/>
                <w:highlight w:val="none"/>
              </w:rPr>
            </w:pPr>
            <w:r>
              <w:rPr>
                <w:rFonts w:hint="eastAsia" w:ascii="方正仿宋_GBK" w:hAnsi="方正仿宋_GBK" w:eastAsia="方正仿宋_GBK" w:cs="方正仿宋_GBK"/>
                <w:bCs/>
                <w:kern w:val="0"/>
                <w:sz w:val="18"/>
                <w:szCs w:val="18"/>
                <w:highlight w:val="none"/>
              </w:rPr>
              <w:t>（2）发生人身重伤事故（四级及以上人身安全事件），1人•次违约金为签约合同价的6‰、2人•次违约金为签约合同价的1.2%、3人•次及以上违约金为签约合同价的2%。</w:t>
            </w:r>
          </w:p>
          <w:p w14:paraId="22E128AC">
            <w:pPr>
              <w:spacing w:line="240" w:lineRule="exact"/>
              <w:rPr>
                <w:rFonts w:ascii="方正仿宋_GBK" w:hAnsi="方正仿宋_GBK" w:eastAsia="方正仿宋_GBK" w:cs="方正仿宋_GBK"/>
                <w:bCs/>
                <w:kern w:val="0"/>
                <w:sz w:val="18"/>
                <w:szCs w:val="18"/>
                <w:highlight w:val="none"/>
              </w:rPr>
            </w:pPr>
            <w:r>
              <w:rPr>
                <w:rFonts w:hint="eastAsia" w:ascii="方正仿宋_GBK" w:hAnsi="方正仿宋_GBK" w:eastAsia="方正仿宋_GBK" w:cs="方正仿宋_GBK"/>
                <w:bCs/>
                <w:kern w:val="0"/>
                <w:sz w:val="18"/>
                <w:szCs w:val="18"/>
                <w:highlight w:val="none"/>
              </w:rPr>
              <w:t>（3）发生设备事故或火灾事故或负主要责任的交通事故，视事故的性质和严重程度，违约金为签约合同价的4‰～2%。</w:t>
            </w:r>
          </w:p>
          <w:p w14:paraId="516A7A2C">
            <w:pPr>
              <w:spacing w:line="240" w:lineRule="exact"/>
              <w:rPr>
                <w:rFonts w:ascii="方正仿宋_GBK" w:hAnsi="方正仿宋_GBK" w:eastAsia="方正仿宋_GBK" w:cs="方正仿宋_GBK"/>
                <w:bCs/>
                <w:kern w:val="0"/>
                <w:sz w:val="18"/>
                <w:szCs w:val="18"/>
                <w:highlight w:val="none"/>
              </w:rPr>
            </w:pPr>
            <w:r>
              <w:rPr>
                <w:rFonts w:hint="eastAsia" w:ascii="方正仿宋_GBK" w:hAnsi="方正仿宋_GBK" w:eastAsia="方正仿宋_GBK" w:cs="方正仿宋_GBK"/>
                <w:bCs/>
                <w:kern w:val="0"/>
                <w:sz w:val="18"/>
                <w:szCs w:val="18"/>
                <w:highlight w:val="none"/>
              </w:rPr>
              <w:t>（4）发生因工程建设而造成的电网停电事故，视事故影响的大小和严重程度，违约金为签约合同价的4‰～2%。</w:t>
            </w:r>
          </w:p>
          <w:p w14:paraId="54E3D920">
            <w:pPr>
              <w:pStyle w:val="2"/>
              <w:rPr>
                <w:rFonts w:ascii="方正仿宋_GBK" w:hAnsi="方正仿宋_GBK" w:eastAsia="方正仿宋_GBK" w:cs="方正仿宋_GBK"/>
                <w:highlight w:val="none"/>
              </w:rPr>
            </w:pPr>
            <w:r>
              <w:rPr>
                <w:rFonts w:hint="eastAsia" w:ascii="方正仿宋_GBK" w:hAnsi="方正仿宋_GBK" w:eastAsia="方正仿宋_GBK" w:cs="方正仿宋_GBK"/>
                <w:kern w:val="2"/>
                <w:highlight w:val="none"/>
              </w:rPr>
              <w:t>（5）发包人组织安全监督检查时，未能达到标准要求的，每次支付签约合同价2‰的安全违约金。</w:t>
            </w:r>
          </w:p>
          <w:p w14:paraId="1CD827F2">
            <w:pPr>
              <w:spacing w:line="240" w:lineRule="exact"/>
              <w:rPr>
                <w:rFonts w:ascii="方正仿宋_GBK" w:hAnsi="方正仿宋_GBK" w:eastAsia="方正仿宋_GBK" w:cs="方正仿宋_GBK"/>
                <w:bCs/>
                <w:kern w:val="0"/>
                <w:sz w:val="18"/>
                <w:szCs w:val="18"/>
                <w:highlight w:val="none"/>
              </w:rPr>
            </w:pPr>
            <w:r>
              <w:rPr>
                <w:rFonts w:hint="eastAsia" w:ascii="方正仿宋_GBK" w:hAnsi="方正仿宋_GBK" w:eastAsia="方正仿宋_GBK" w:cs="方正仿宋_GBK"/>
                <w:bCs/>
                <w:kern w:val="0"/>
                <w:sz w:val="18"/>
                <w:szCs w:val="18"/>
                <w:highlight w:val="none"/>
              </w:rPr>
              <w:t>（6）发生因工程建设引起的六级及以上电网及设备安全事件，每次违约金为签约合同价的0.75%；发生六级以上、四级以下人身事件，每次违约金为签约合同价的0.75%；发生六级以上及以上施工机械设备事件，每次违约金为签约合同价的0.75%。</w:t>
            </w:r>
          </w:p>
          <w:p w14:paraId="31792101">
            <w:pPr>
              <w:spacing w:line="240" w:lineRule="exact"/>
              <w:rPr>
                <w:rFonts w:ascii="方正仿宋_GBK" w:hAnsi="方正仿宋_GBK" w:eastAsia="方正仿宋_GBK" w:cs="方正仿宋_GBK"/>
                <w:bCs/>
                <w:kern w:val="0"/>
                <w:sz w:val="18"/>
                <w:szCs w:val="18"/>
                <w:highlight w:val="none"/>
              </w:rPr>
            </w:pPr>
            <w:r>
              <w:rPr>
                <w:rFonts w:hint="eastAsia" w:ascii="方正仿宋_GBK" w:hAnsi="方正仿宋_GBK" w:eastAsia="方正仿宋_GBK" w:cs="方正仿宋_GBK"/>
                <w:bCs/>
                <w:kern w:val="0"/>
                <w:sz w:val="18"/>
                <w:szCs w:val="18"/>
                <w:highlight w:val="none"/>
              </w:rPr>
              <w:t>（7）发生对公司造成影响的安全稳定事件，每次违约金为签约合同价的0.75%；发生环境污染事件的，每次违约金为签约合同价的0.75%；发生基建信息安全事件，每次违约金为签约合同价的0.75%。</w:t>
            </w:r>
          </w:p>
          <w:p w14:paraId="57FD834C">
            <w:pPr>
              <w:spacing w:line="240" w:lineRule="exact"/>
              <w:rPr>
                <w:rFonts w:ascii="方正仿宋_GBK" w:hAnsi="方正仿宋_GBK" w:eastAsia="方正仿宋_GBK" w:cs="方正仿宋_GBK"/>
                <w:bCs/>
                <w:kern w:val="0"/>
                <w:sz w:val="18"/>
                <w:szCs w:val="18"/>
                <w:highlight w:val="none"/>
              </w:rPr>
            </w:pPr>
            <w:r>
              <w:rPr>
                <w:rFonts w:hint="eastAsia" w:ascii="方正仿宋_GBK" w:hAnsi="方正仿宋_GBK" w:eastAsia="方正仿宋_GBK" w:cs="方正仿宋_GBK"/>
                <w:bCs/>
                <w:kern w:val="0"/>
                <w:sz w:val="18"/>
                <w:szCs w:val="18"/>
                <w:highlight w:val="none"/>
              </w:rPr>
              <w:t>（8）发生被地方政府查处的重大安全隐患，每次违约金为签约合同价的0.75%。</w:t>
            </w:r>
          </w:p>
          <w:p w14:paraId="3B0EF0ED">
            <w:pPr>
              <w:spacing w:line="240" w:lineRule="exact"/>
              <w:rPr>
                <w:rFonts w:ascii="方正仿宋_GBK" w:hAnsi="方正仿宋_GBK" w:eastAsia="方正仿宋_GBK" w:cs="方正仿宋_GBK"/>
                <w:sz w:val="18"/>
                <w:szCs w:val="18"/>
                <w:highlight w:val="none"/>
              </w:rPr>
            </w:pPr>
            <w:r>
              <w:rPr>
                <w:rStyle w:val="52"/>
                <w:rFonts w:hint="eastAsia" w:ascii="方正仿宋_GBK" w:hAnsi="方正仿宋_GBK" w:eastAsia="方正仿宋_GBK" w:cs="方正仿宋_GBK"/>
                <w:bCs/>
                <w:kern w:val="0"/>
                <w:sz w:val="18"/>
                <w:szCs w:val="18"/>
                <w:highlight w:val="none"/>
              </w:rPr>
              <w:t>（7）发生国家电网公司查出的严重违章或重大安全隐患，每次违约金为签约合同价的0.2%，并在年度及季度资信评价中按五级安全事件扣除分数。</w:t>
            </w:r>
            <w:r>
              <w:rPr>
                <w:rStyle w:val="52"/>
                <w:rFonts w:hint="eastAsia" w:ascii="方正仿宋_GBK" w:hAnsi="方正仿宋_GBK" w:eastAsia="方正仿宋_GBK" w:cs="方正仿宋_GBK"/>
                <w:bCs/>
                <w:kern w:val="0"/>
                <w:sz w:val="18"/>
                <w:szCs w:val="18"/>
                <w:highlight w:val="none"/>
              </w:rPr>
              <w:br w:type="textWrapping"/>
            </w:r>
            <w:r>
              <w:rPr>
                <w:rStyle w:val="52"/>
                <w:rFonts w:hint="eastAsia" w:ascii="方正仿宋_GBK" w:hAnsi="方正仿宋_GBK" w:eastAsia="方正仿宋_GBK" w:cs="方正仿宋_GBK"/>
                <w:bCs/>
                <w:kern w:val="0"/>
                <w:sz w:val="18"/>
                <w:szCs w:val="18"/>
                <w:highlight w:val="none"/>
              </w:rPr>
              <w:t>（8）发生国家电网公司查出的一般违章累计达到3次或3项，违约金为签约合同价的0.1%。</w:t>
            </w:r>
            <w:r>
              <w:rPr>
                <w:rStyle w:val="52"/>
                <w:rFonts w:hint="eastAsia" w:ascii="方正仿宋_GBK" w:hAnsi="方正仿宋_GBK" w:eastAsia="方正仿宋_GBK" w:cs="方正仿宋_GBK"/>
                <w:bCs/>
                <w:kern w:val="0"/>
                <w:sz w:val="18"/>
                <w:szCs w:val="18"/>
                <w:highlight w:val="none"/>
              </w:rPr>
              <w:br w:type="textWrapping"/>
            </w:r>
            <w:r>
              <w:rPr>
                <w:rStyle w:val="52"/>
                <w:rFonts w:hint="eastAsia" w:ascii="方正仿宋_GBK" w:hAnsi="方正仿宋_GBK" w:eastAsia="方正仿宋_GBK" w:cs="方正仿宋_GBK"/>
                <w:bCs/>
                <w:kern w:val="0"/>
                <w:sz w:val="18"/>
                <w:szCs w:val="18"/>
                <w:highlight w:val="none"/>
              </w:rPr>
              <w:t xml:space="preserve"> （9）发生公司查出的严重违章，包括现场安全督查和远程视频督查，每项违约金为签订合同价的0.5‰；发生公司查出的一般违章，包括现场安全督查和远程视频督查，累计每5项违约金为签订合同价的0.1‰。</w:t>
            </w:r>
          </w:p>
        </w:tc>
      </w:tr>
      <w:tr w14:paraId="6B8A5CA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40" w:type="dxa"/>
            <w:vAlign w:val="center"/>
          </w:tcPr>
          <w:p w14:paraId="1AA06339">
            <w:pPr>
              <w:pStyle w:val="34"/>
              <w:numPr>
                <w:ilvl w:val="0"/>
                <w:numId w:val="3"/>
              </w:numPr>
              <w:adjustRightInd w:val="0"/>
              <w:snapToGrid w:val="0"/>
              <w:ind w:left="0" w:firstLine="0" w:firstLineChars="0"/>
              <w:jc w:val="center"/>
              <w:rPr>
                <w:rFonts w:ascii="方正仿宋_GBK" w:hAnsi="方正仿宋_GBK" w:eastAsia="方正仿宋_GBK" w:cs="方正仿宋_GBK"/>
                <w:color w:val="000000" w:themeColor="text1"/>
                <w:sz w:val="18"/>
                <w:szCs w:val="18"/>
                <w:highlight w:val="none"/>
                <w14:textFill>
                  <w14:solidFill>
                    <w14:schemeClr w14:val="tx1"/>
                  </w14:solidFill>
                </w14:textFill>
              </w:rPr>
            </w:pPr>
          </w:p>
        </w:tc>
        <w:tc>
          <w:tcPr>
            <w:tcW w:w="954" w:type="dxa"/>
            <w:vAlign w:val="center"/>
          </w:tcPr>
          <w:p w14:paraId="6FDF96BD">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附件5 ：安全协议书十一（1）</w:t>
            </w:r>
          </w:p>
        </w:tc>
        <w:tc>
          <w:tcPr>
            <w:tcW w:w="3582" w:type="dxa"/>
            <w:vAlign w:val="center"/>
          </w:tcPr>
          <w:p w14:paraId="536E1A3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十一、安全文明施工费</w:t>
            </w:r>
          </w:p>
          <w:p w14:paraId="1FFF40E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1、本工程暂定计列</w:t>
            </w:r>
            <w:permStart w:id="12" w:edGrp="everyone"/>
            <w:permEnd w:id="12"/>
            <w:r>
              <w:rPr>
                <w:rFonts w:hint="eastAsia" w:ascii="方正仿宋_GBK" w:hAnsi="方正仿宋_GBK" w:eastAsia="方正仿宋_GBK" w:cs="方正仿宋_GBK"/>
                <w:sz w:val="18"/>
                <w:szCs w:val="18"/>
                <w:highlight w:val="none"/>
              </w:rPr>
              <w:t>万元作为安全文明施工费。</w:t>
            </w:r>
          </w:p>
          <w:p w14:paraId="09118E04">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2、安全文明施工费使用范围（变电、线路工程分别根据实际情况从以下选项中选择使用）：</w:t>
            </w:r>
          </w:p>
          <w:p w14:paraId="26040D7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执行国家电网公司安全文明施工标准化管理办法：</w:t>
            </w:r>
          </w:p>
          <w:p w14:paraId="184CCDF2">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h. 绝缘安全网和绝缘绳购置、租赁、运转、检测、维护保养费用；</w:t>
            </w:r>
          </w:p>
          <w:p w14:paraId="624467D1">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i. 验电器、绝缘棒、工作接地线和保安接地线等预防雷击和近电作业防护设施购置、租赁、运转、检测、维护保养费用；</w:t>
            </w:r>
          </w:p>
          <w:p w14:paraId="6680855B">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j. 有害气体室内或地下工程装设的强制通风装置或有害气体监测装置购置、租赁、运转、检测、维护保养费用；</w:t>
            </w:r>
          </w:p>
          <w:p w14:paraId="79B7DDD5">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k.施工机械上的各种保护及保险装置购置、检测、维护保养费用，小型起重工器具检测、维护、保养费用，配合施工方案、作业指导书安全控制措施采用的临时设施采购、租赁、运转费用；</w:t>
            </w:r>
          </w:p>
        </w:tc>
        <w:tc>
          <w:tcPr>
            <w:tcW w:w="4455" w:type="dxa"/>
            <w:vAlign w:val="center"/>
          </w:tcPr>
          <w:p w14:paraId="12BF3D56">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十一、安全文明施工费</w:t>
            </w:r>
          </w:p>
          <w:p w14:paraId="2FA1888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1、本工程合同暂定计列</w:t>
            </w:r>
            <w:permStart w:id="13" w:edGrp="everyone"/>
            <w:permEnd w:id="13"/>
            <w:r>
              <w:rPr>
                <w:rFonts w:hint="eastAsia" w:ascii="方正仿宋_GBK" w:hAnsi="方正仿宋_GBK" w:eastAsia="方正仿宋_GBK" w:cs="方正仿宋_GBK"/>
                <w:sz w:val="18"/>
                <w:szCs w:val="18"/>
                <w:highlight w:val="none"/>
              </w:rPr>
              <w:t>万元作为安全文明施工费。在工程开工支付工程预付款时，承包人可按照安全文明施工费总额的50%向发包人申请安全文明施工费预付款，并开具收据。以后每期安全文明施工费可随工程进度款一并申请并单独列示，随工程进度款一并开具增值税专用发票，按照安全文明施工费预付款比例同比例逐期抵扣预付款。承包人应对安全文明施工费专款专用，在财务账目中单独列项备查，不得挪作他用，否则发包人有权要求其限期改正；逾期未改正的，造成的损失和延误的工期由承包人承担。</w:t>
            </w:r>
          </w:p>
          <w:p w14:paraId="0373B67E">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2、安全文明施工费使用范围（变电、线路工程分别根据实际情况从以下选项中选择使用）：</w:t>
            </w:r>
          </w:p>
          <w:p w14:paraId="373CA6C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执行国家电网有限公司输变电工程建设安全文明施工规程：</w:t>
            </w:r>
          </w:p>
          <w:p w14:paraId="5A3DB00F">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g. 绝缘安全网和绝缘绳购置、租赁、运转、检测、维护保养费用；</w:t>
            </w:r>
          </w:p>
          <w:p w14:paraId="442AD28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h. 验电器、绝缘棒、工作接地线和保安接地线等预防雷击和近电作业防护设施购置、租赁、运转、检测、维护保养费用；</w:t>
            </w:r>
          </w:p>
          <w:p w14:paraId="4EE53C53">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i. 有害气体室内或地下工程装设的强制通风装置或有害气体监测装置购置、租赁、运转、检测、维护保养费用；</w:t>
            </w:r>
          </w:p>
          <w:p w14:paraId="29EC33A9">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j.施工机械上的各种保护及保险装置购置、检测、维护保养费用，小型起重工器具检测、维护、保养费用，配合施工方案、作业指导书安全控制措施采用的临时设施采购、租赁、运转费用；</w:t>
            </w:r>
          </w:p>
          <w:p w14:paraId="7DF4B6EA">
            <w:pPr>
              <w:adjustRightInd w:val="0"/>
              <w:snapToGrid w:val="0"/>
              <w:rPr>
                <w:rFonts w:ascii="方正仿宋_GBK" w:hAnsi="方正仿宋_GBK" w:eastAsia="方正仿宋_GBK" w:cs="方正仿宋_GBK"/>
                <w:sz w:val="18"/>
                <w:szCs w:val="18"/>
                <w:highlight w:val="none"/>
              </w:rPr>
            </w:pPr>
            <w:r>
              <w:rPr>
                <w:rFonts w:hint="eastAsia" w:ascii="方正仿宋_GBK" w:hAnsi="方正仿宋_GBK" w:eastAsia="方正仿宋_GBK" w:cs="方正仿宋_GBK"/>
                <w:sz w:val="18"/>
                <w:szCs w:val="18"/>
                <w:highlight w:val="none"/>
              </w:rPr>
              <w:t>k.为施工作业配备的防风、防腐、防尘、防水浸、防雷击等设施、设备购置、运转费用，防治边帮滑坡的设施及与之相关的配合费用。</w:t>
            </w:r>
          </w:p>
        </w:tc>
      </w:tr>
    </w:tbl>
    <w:p w14:paraId="3C5F1304">
      <w:pPr>
        <w:jc w:val="center"/>
        <w:rPr>
          <w:rFonts w:ascii="方正仿宋_GBK" w:hAnsi="方正仿宋_GBK" w:eastAsia="方正仿宋_GBK" w:cs="方正仿宋_GBK"/>
          <w:sz w:val="18"/>
          <w:szCs w:val="18"/>
          <w:highlight w:val="none"/>
        </w:rPr>
        <w:sectPr>
          <w:footerReference r:id="rId4" w:type="default"/>
          <w:pgSz w:w="11906" w:h="16838"/>
          <w:pgMar w:top="1081" w:right="1247" w:bottom="1560" w:left="1247" w:header="851" w:footer="992" w:gutter="0"/>
          <w:cols w:space="720" w:num="1"/>
          <w:docGrid w:type="lines" w:linePitch="312" w:charSpace="0"/>
        </w:sectPr>
      </w:pPr>
    </w:p>
    <w:p w14:paraId="5FE548F2">
      <w:pPr>
        <w:pStyle w:val="2"/>
        <w:rPr>
          <w:rFonts w:ascii="方正仿宋_GBK" w:hAnsi="方正仿宋_GBK" w:eastAsia="方正仿宋_GBK" w:cs="方正仿宋_GBK"/>
          <w:highlight w:val="none"/>
        </w:rPr>
      </w:pPr>
    </w:p>
    <w:p w14:paraId="513A88F0">
      <w:pPr>
        <w:topLinePunct/>
        <w:snapToGrid w:val="0"/>
        <w:spacing w:line="240" w:lineRule="atLeast"/>
        <w:jc w:val="left"/>
        <w:rPr>
          <w:rFonts w:ascii="方正黑体_GBK" w:hAnsi="方正黑体_GBK" w:eastAsia="方正黑体_GBK" w:cs="方正黑体_GBK"/>
          <w:sz w:val="24"/>
          <w:szCs w:val="24"/>
          <w:highlight w:val="none"/>
        </w:rPr>
      </w:pPr>
      <w:r>
        <w:rPr>
          <w:rFonts w:hint="eastAsia" w:ascii="方正黑体_GBK" w:hAnsi="方正黑体_GBK" w:eastAsia="方正黑体_GBK" w:cs="方正黑体_GBK"/>
          <w:sz w:val="24"/>
          <w:szCs w:val="24"/>
          <w:highlight w:val="none"/>
        </w:rPr>
        <w:t>附件11</w:t>
      </w:r>
      <w:r>
        <w:rPr>
          <w:rFonts w:ascii="方正黑体_GBK" w:hAnsi="方正黑体_GBK" w:eastAsia="方正黑体_GBK" w:cs="方正黑体_GBK"/>
          <w:sz w:val="24"/>
          <w:szCs w:val="24"/>
          <w:highlight w:val="none"/>
        </w:rPr>
        <w:t>：</w:t>
      </w:r>
    </w:p>
    <w:p w14:paraId="53B2E968">
      <w:pPr>
        <w:topLinePunct/>
        <w:snapToGrid w:val="0"/>
        <w:spacing w:line="240" w:lineRule="atLeast"/>
        <w:jc w:val="center"/>
        <w:rPr>
          <w:rFonts w:ascii="方正黑体_GBK" w:hAnsi="方正黑体_GBK" w:eastAsia="方正黑体_GBK" w:cs="方正黑体_GBK"/>
          <w:sz w:val="24"/>
          <w:szCs w:val="24"/>
          <w:highlight w:val="none"/>
        </w:rPr>
      </w:pPr>
      <w:r>
        <w:rPr>
          <w:rFonts w:hint="eastAsia" w:ascii="方正黑体_GBK" w:hAnsi="方正黑体_GBK" w:eastAsia="方正黑体_GBK" w:cs="方正黑体_GBK"/>
          <w:sz w:val="24"/>
          <w:szCs w:val="24"/>
          <w:highlight w:val="none"/>
        </w:rPr>
        <w:t>施工承包商过程考核实施细则</w:t>
      </w:r>
    </w:p>
    <w:p w14:paraId="66C3C42D">
      <w:pPr>
        <w:numPr>
          <w:ilvl w:val="0"/>
          <w:numId w:val="8"/>
        </w:numPr>
        <w:topLinePunct/>
        <w:snapToGrid w:val="0"/>
        <w:spacing w:beforeLines="50" w:afterLines="50" w:line="240" w:lineRule="atLeast"/>
        <w:outlineLvl w:val="0"/>
        <w:rPr>
          <w:rFonts w:ascii="方正楷体_GBK" w:hAnsi="方正楷体_GBK" w:eastAsia="方正楷体_GBK" w:cs="方正楷体_GBK"/>
          <w:b/>
          <w:bCs/>
          <w:sz w:val="24"/>
          <w:szCs w:val="24"/>
          <w:highlight w:val="none"/>
        </w:rPr>
      </w:pPr>
      <w:r>
        <w:rPr>
          <w:rFonts w:hint="eastAsia" w:ascii="方正楷体_GBK" w:hAnsi="方正楷体_GBK" w:eastAsia="方正楷体_GBK" w:cs="方正楷体_GBK"/>
          <w:b/>
          <w:bCs/>
          <w:sz w:val="24"/>
          <w:szCs w:val="24"/>
          <w:highlight w:val="none"/>
        </w:rPr>
        <w:t>总则</w:t>
      </w:r>
    </w:p>
    <w:p w14:paraId="4B7F2F05">
      <w:pPr>
        <w:topLinePunct/>
        <w:snapToGrid w:val="0"/>
        <w:spacing w:line="240" w:lineRule="atLeast"/>
        <w:ind w:firstLine="480" w:firstLineChars="200"/>
        <w:rPr>
          <w:rFonts w:ascii="方正仿宋_GBK" w:hAnsi="方正仿宋_GBK" w:eastAsia="方正仿宋_GBK" w:cs="方正仿宋_GBK"/>
          <w:sz w:val="24"/>
          <w:szCs w:val="24"/>
          <w:highlight w:val="none"/>
        </w:rPr>
      </w:pPr>
      <w:r>
        <w:rPr>
          <w:rFonts w:hint="eastAsia" w:ascii="方正仿宋_GBK" w:hAnsi="方正仿宋_GBK" w:eastAsia="方正仿宋_GBK" w:cs="方正仿宋_GBK"/>
          <w:sz w:val="24"/>
          <w:szCs w:val="24"/>
          <w:highlight w:val="none"/>
        </w:rPr>
        <w:t>为进一步贯彻落实国家电网有限公司关于基建标准化管理体系建设的要求，加强施工承包商建设和责任制的落实，规范施工行为，激励施工人员发挥积极性和创造性，全面提高工程建设和管理水平，结合变电站现场建设实际，特制定本细则。本办法用于变电站工程施工的考核评价工作。</w:t>
      </w:r>
    </w:p>
    <w:p w14:paraId="4EFA7363">
      <w:pPr>
        <w:numPr>
          <w:ilvl w:val="0"/>
          <w:numId w:val="8"/>
        </w:numPr>
        <w:topLinePunct/>
        <w:snapToGrid w:val="0"/>
        <w:spacing w:beforeLines="50" w:afterLines="50" w:line="240" w:lineRule="atLeast"/>
        <w:outlineLvl w:val="0"/>
        <w:rPr>
          <w:rFonts w:ascii="方正楷体_GBK" w:hAnsi="方正楷体_GBK" w:eastAsia="方正楷体_GBK" w:cs="方正楷体_GBK"/>
          <w:b/>
          <w:bCs/>
          <w:sz w:val="24"/>
          <w:szCs w:val="24"/>
          <w:highlight w:val="none"/>
        </w:rPr>
      </w:pPr>
      <w:r>
        <w:rPr>
          <w:rFonts w:hint="eastAsia" w:ascii="方正楷体_GBK" w:hAnsi="方正楷体_GBK" w:eastAsia="方正楷体_GBK" w:cs="方正楷体_GBK"/>
          <w:b/>
          <w:bCs/>
          <w:sz w:val="24"/>
          <w:szCs w:val="24"/>
          <w:highlight w:val="none"/>
        </w:rPr>
        <w:t>考核评价方式</w:t>
      </w:r>
    </w:p>
    <w:p w14:paraId="5040038E">
      <w:pPr>
        <w:topLinePunct/>
        <w:snapToGrid w:val="0"/>
        <w:spacing w:line="240" w:lineRule="atLeast"/>
        <w:ind w:firstLine="480" w:firstLineChars="200"/>
        <w:rPr>
          <w:rFonts w:ascii="方正仿宋_GBK" w:hAnsi="方正仿宋_GBK" w:eastAsia="方正仿宋_GBK" w:cs="方正仿宋_GBK"/>
          <w:sz w:val="24"/>
          <w:szCs w:val="24"/>
          <w:highlight w:val="none"/>
        </w:rPr>
      </w:pPr>
      <w:r>
        <w:rPr>
          <w:rFonts w:hint="eastAsia" w:ascii="方正仿宋_GBK" w:hAnsi="方正仿宋_GBK" w:eastAsia="方正仿宋_GBK" w:cs="方正仿宋_GBK"/>
          <w:sz w:val="24"/>
          <w:szCs w:val="24"/>
          <w:highlight w:val="none"/>
        </w:rPr>
        <w:t>业主项目部负责对施工承包商进行阶段性考核评价，考核期为合同约定的工期，按月进行考核。业主项目部在工程施工过程中组织相关专责，通过资料查阅和现场实际检查的方式，对施工承包商进行检查评价，并按“施工承包商现场考核表”进行过程考核打分，形成考核评价意见。</w:t>
      </w:r>
    </w:p>
    <w:p w14:paraId="4ABAAEB1">
      <w:pPr>
        <w:topLinePunct/>
        <w:snapToGrid w:val="0"/>
        <w:spacing w:line="240" w:lineRule="atLeast"/>
        <w:ind w:firstLine="480" w:firstLineChars="200"/>
        <w:rPr>
          <w:rFonts w:ascii="方正仿宋_GBK" w:hAnsi="方正仿宋_GBK" w:eastAsia="方正仿宋_GBK" w:cs="方正仿宋_GBK"/>
          <w:sz w:val="24"/>
          <w:szCs w:val="24"/>
          <w:highlight w:val="none"/>
        </w:rPr>
      </w:pPr>
      <w:r>
        <w:rPr>
          <w:rFonts w:hint="eastAsia" w:ascii="方正仿宋_GBK" w:hAnsi="方正仿宋_GBK" w:eastAsia="方正仿宋_GBK" w:cs="方正仿宋_GBK"/>
          <w:sz w:val="24"/>
          <w:szCs w:val="24"/>
          <w:highlight w:val="none"/>
        </w:rPr>
        <w:t>对于考核评价中发现的主要问题，业主项目部对整改情况进行复查。在施工合同最终结算前，汇总评价情况及相关记录，上报建设管理单位审核。</w:t>
      </w:r>
    </w:p>
    <w:p w14:paraId="401E4683">
      <w:pPr>
        <w:numPr>
          <w:ilvl w:val="0"/>
          <w:numId w:val="8"/>
        </w:numPr>
        <w:topLinePunct/>
        <w:snapToGrid w:val="0"/>
        <w:spacing w:beforeLines="50" w:afterLines="50" w:line="240" w:lineRule="atLeast"/>
        <w:outlineLvl w:val="0"/>
        <w:rPr>
          <w:rFonts w:ascii="方正楷体_GBK" w:hAnsi="方正楷体_GBK" w:eastAsia="方正楷体_GBK" w:cs="方正楷体_GBK"/>
          <w:b/>
          <w:bCs/>
          <w:sz w:val="24"/>
          <w:szCs w:val="24"/>
          <w:highlight w:val="none"/>
        </w:rPr>
      </w:pPr>
      <w:r>
        <w:rPr>
          <w:rFonts w:hint="eastAsia" w:ascii="方正楷体_GBK" w:hAnsi="方正楷体_GBK" w:eastAsia="方正楷体_GBK" w:cs="方正楷体_GBK"/>
          <w:b/>
          <w:bCs/>
          <w:sz w:val="24"/>
          <w:szCs w:val="24"/>
          <w:highlight w:val="none"/>
        </w:rPr>
        <w:t>考核标准</w:t>
      </w:r>
    </w:p>
    <w:p w14:paraId="62F06371">
      <w:pPr>
        <w:numPr>
          <w:ilvl w:val="0"/>
          <w:numId w:val="9"/>
        </w:numPr>
        <w:topLinePunct/>
        <w:snapToGrid w:val="0"/>
        <w:spacing w:line="240" w:lineRule="atLeast"/>
        <w:ind w:firstLine="480" w:firstLineChars="200"/>
        <w:rPr>
          <w:rFonts w:ascii="方正仿宋_GBK" w:hAnsi="方正仿宋_GBK" w:eastAsia="方正仿宋_GBK" w:cs="方正仿宋_GBK"/>
          <w:sz w:val="24"/>
          <w:szCs w:val="24"/>
          <w:highlight w:val="none"/>
        </w:rPr>
      </w:pPr>
      <w:r>
        <w:rPr>
          <w:rFonts w:hint="eastAsia" w:ascii="方正仿宋_GBK" w:hAnsi="方正仿宋_GBK" w:eastAsia="方正仿宋_GBK" w:cs="方正仿宋_GBK"/>
          <w:sz w:val="24"/>
          <w:szCs w:val="24"/>
          <w:highlight w:val="none"/>
        </w:rPr>
        <w:t>对施工承包商在一个考核周期内工作开展情况进行考核评价的满分为</w:t>
      </w:r>
      <w:r>
        <w:rPr>
          <w:rFonts w:ascii="方正仿宋_GBK" w:hAnsi="方正仿宋_GBK" w:eastAsia="方正仿宋_GBK" w:cs="方正仿宋_GBK"/>
          <w:sz w:val="24"/>
          <w:szCs w:val="24"/>
          <w:highlight w:val="none"/>
        </w:rPr>
        <w:t>100分（</w:t>
      </w:r>
      <w:r>
        <w:rPr>
          <w:rFonts w:hint="eastAsia" w:ascii="方正仿宋_GBK" w:hAnsi="方正仿宋_GBK" w:eastAsia="方正仿宋_GBK" w:cs="方正仿宋_GBK"/>
          <w:sz w:val="24"/>
          <w:szCs w:val="24"/>
          <w:highlight w:val="none"/>
        </w:rPr>
        <w:t>涵盖项目部配置、策划管理、项目管理、安全管理、质量管理、技术管理、环水保管理、造价管理和工作成绩等</w:t>
      </w:r>
      <w:r>
        <w:rPr>
          <w:rFonts w:ascii="方正仿宋_GBK" w:hAnsi="方正仿宋_GBK" w:eastAsia="方正仿宋_GBK" w:cs="方正仿宋_GBK"/>
          <w:sz w:val="24"/>
          <w:szCs w:val="24"/>
          <w:highlight w:val="none"/>
        </w:rPr>
        <w:t>9部分）</w:t>
      </w:r>
      <w:r>
        <w:rPr>
          <w:rFonts w:hint="eastAsia" w:ascii="方正仿宋_GBK" w:hAnsi="方正仿宋_GBK" w:eastAsia="方正仿宋_GBK" w:cs="方正仿宋_GBK"/>
          <w:sz w:val="24"/>
          <w:szCs w:val="24"/>
          <w:highlight w:val="none"/>
        </w:rPr>
        <w:t>。实际得分作为施工承包商在该考核周期内的基本评价得分。</w:t>
      </w:r>
    </w:p>
    <w:p w14:paraId="34CD7227">
      <w:pPr>
        <w:numPr>
          <w:ilvl w:val="0"/>
          <w:numId w:val="9"/>
        </w:numPr>
        <w:topLinePunct/>
        <w:snapToGrid w:val="0"/>
        <w:spacing w:line="240" w:lineRule="atLeast"/>
        <w:ind w:firstLine="480" w:firstLineChars="200"/>
        <w:rPr>
          <w:rFonts w:ascii="方正仿宋_GBK" w:hAnsi="方正仿宋_GBK" w:eastAsia="方正仿宋_GBK" w:cs="方正仿宋_GBK"/>
          <w:sz w:val="24"/>
          <w:szCs w:val="24"/>
          <w:highlight w:val="none"/>
        </w:rPr>
      </w:pPr>
      <w:r>
        <w:rPr>
          <w:rFonts w:hint="eastAsia" w:ascii="方正仿宋_GBK" w:hAnsi="方正仿宋_GBK" w:eastAsia="方正仿宋_GBK" w:cs="方正仿宋_GBK"/>
          <w:sz w:val="24"/>
          <w:szCs w:val="24"/>
          <w:highlight w:val="none"/>
        </w:rPr>
        <w:t>为鼓励施工承包商加强管理、争先创优，另设加分项</w:t>
      </w:r>
      <w:r>
        <w:rPr>
          <w:rFonts w:ascii="方正仿宋_GBK" w:hAnsi="方正仿宋_GBK" w:eastAsia="方正仿宋_GBK" w:cs="方正仿宋_GBK"/>
          <w:sz w:val="24"/>
          <w:szCs w:val="24"/>
          <w:highlight w:val="none"/>
        </w:rPr>
        <w:t>10分，作为整个考核期内的总体评价加分，具体考核评价指标及标准见“施工</w:t>
      </w:r>
      <w:r>
        <w:rPr>
          <w:rFonts w:hint="eastAsia" w:ascii="方正仿宋_GBK" w:hAnsi="方正仿宋_GBK" w:eastAsia="方正仿宋_GBK" w:cs="方正仿宋_GBK"/>
          <w:sz w:val="24"/>
          <w:szCs w:val="24"/>
          <w:highlight w:val="none"/>
        </w:rPr>
        <w:t>项目部现场履约总体评价加分表”。</w:t>
      </w:r>
    </w:p>
    <w:p w14:paraId="021D1D98">
      <w:pPr>
        <w:numPr>
          <w:ilvl w:val="0"/>
          <w:numId w:val="9"/>
        </w:numPr>
        <w:topLinePunct/>
        <w:snapToGrid w:val="0"/>
        <w:spacing w:line="240" w:lineRule="atLeast"/>
        <w:ind w:firstLine="480" w:firstLineChars="200"/>
        <w:rPr>
          <w:rFonts w:ascii="方正仿宋_GBK" w:hAnsi="方正仿宋_GBK" w:eastAsia="方正仿宋_GBK" w:cs="方正仿宋_GBK"/>
          <w:sz w:val="24"/>
          <w:szCs w:val="24"/>
          <w:highlight w:val="none"/>
        </w:rPr>
      </w:pPr>
      <w:r>
        <w:rPr>
          <w:rFonts w:hint="eastAsia" w:ascii="方正仿宋_GBK" w:hAnsi="方正仿宋_GBK" w:eastAsia="方正仿宋_GBK" w:cs="方正仿宋_GBK"/>
          <w:sz w:val="24"/>
          <w:szCs w:val="24"/>
          <w:highlight w:val="none"/>
        </w:rPr>
        <w:t>每次检查都应在检查表的相应栏目内，记录该次检查得分，并对扣分原因作出简要说明。</w:t>
      </w:r>
    </w:p>
    <w:p w14:paraId="3517E2BC">
      <w:pPr>
        <w:numPr>
          <w:ilvl w:val="0"/>
          <w:numId w:val="8"/>
        </w:numPr>
        <w:topLinePunct/>
        <w:snapToGrid w:val="0"/>
        <w:spacing w:beforeLines="50" w:afterLines="50" w:line="240" w:lineRule="atLeast"/>
        <w:outlineLvl w:val="0"/>
        <w:rPr>
          <w:rFonts w:ascii="方正楷体_GBK" w:hAnsi="方正楷体_GBK" w:eastAsia="方正楷体_GBK" w:cs="方正楷体_GBK"/>
          <w:b/>
          <w:bCs/>
          <w:sz w:val="24"/>
          <w:szCs w:val="24"/>
          <w:highlight w:val="none"/>
        </w:rPr>
      </w:pPr>
      <w:r>
        <w:rPr>
          <w:rFonts w:hint="eastAsia" w:ascii="方正楷体_GBK" w:hAnsi="方正楷体_GBK" w:eastAsia="方正楷体_GBK" w:cs="方正楷体_GBK"/>
          <w:b/>
          <w:bCs/>
          <w:sz w:val="24"/>
          <w:szCs w:val="24"/>
          <w:highlight w:val="none"/>
        </w:rPr>
        <w:t>考核成绩及奖惩措施</w:t>
      </w:r>
    </w:p>
    <w:p w14:paraId="41695E12">
      <w:pPr>
        <w:topLinePunct/>
        <w:snapToGrid w:val="0"/>
        <w:spacing w:line="240" w:lineRule="atLeast"/>
        <w:ind w:firstLine="480" w:firstLineChars="200"/>
        <w:rPr>
          <w:rFonts w:ascii="方正仿宋_GBK" w:hAnsi="方正仿宋_GBK" w:eastAsia="方正仿宋_GBK" w:cs="方正仿宋_GBK"/>
          <w:sz w:val="24"/>
          <w:szCs w:val="24"/>
          <w:highlight w:val="none"/>
        </w:rPr>
      </w:pPr>
      <w:r>
        <w:rPr>
          <w:rFonts w:hint="eastAsia" w:ascii="方正仿宋_GBK" w:hAnsi="方正仿宋_GBK" w:eastAsia="方正仿宋_GBK" w:cs="方正仿宋_GBK"/>
          <w:sz w:val="24"/>
          <w:szCs w:val="24"/>
          <w:highlight w:val="none"/>
        </w:rPr>
        <w:t>考核成绩作为施工费最终结算的重要依据，与施工承包商费用结算直接挂钩。具体计算方法如下：</w:t>
      </w:r>
    </w:p>
    <w:p w14:paraId="666277B1">
      <w:pPr>
        <w:numPr>
          <w:ilvl w:val="0"/>
          <w:numId w:val="10"/>
        </w:numPr>
        <w:topLinePunct/>
        <w:adjustRightInd w:val="0"/>
        <w:snapToGrid w:val="0"/>
        <w:spacing w:line="240" w:lineRule="atLeast"/>
        <w:ind w:firstLine="480" w:firstLineChars="200"/>
        <w:rPr>
          <w:rFonts w:ascii="方正仿宋_GBK" w:hAnsi="方正仿宋_GBK" w:eastAsia="方正仿宋_GBK" w:cs="方正仿宋_GBK"/>
          <w:sz w:val="24"/>
          <w:szCs w:val="24"/>
          <w:highlight w:val="none"/>
        </w:rPr>
      </w:pPr>
      <w:r>
        <w:rPr>
          <w:rFonts w:hint="eastAsia" w:ascii="方正仿宋_GBK" w:hAnsi="方正仿宋_GBK" w:eastAsia="方正仿宋_GBK" w:cs="方正仿宋_GBK"/>
          <w:sz w:val="24"/>
          <w:szCs w:val="24"/>
          <w:highlight w:val="none"/>
        </w:rPr>
        <w:t>业主项目部在每个考核周期内对施工承包商的打分记为当期基本评价得分</w:t>
      </w:r>
      <w:r>
        <w:rPr>
          <w:rFonts w:ascii="方正仿宋_GBK" w:hAnsi="方正仿宋_GBK" w:eastAsia="方正仿宋_GBK" w:cs="方正仿宋_GBK"/>
          <w:sz w:val="24"/>
          <w:szCs w:val="24"/>
          <w:highlight w:val="none"/>
        </w:rPr>
        <w:t>a</w:t>
      </w:r>
      <w:r>
        <w:rPr>
          <w:rFonts w:hint="eastAsia" w:ascii="方正仿宋_GBK" w:hAnsi="方正仿宋_GBK" w:eastAsia="方正仿宋_GBK" w:cs="方正仿宋_GBK"/>
          <w:sz w:val="24"/>
          <w:szCs w:val="24"/>
          <w:highlight w:val="none"/>
        </w:rPr>
        <w:t>。</w:t>
      </w:r>
    </w:p>
    <w:p w14:paraId="4432F808">
      <w:pPr>
        <w:numPr>
          <w:ilvl w:val="0"/>
          <w:numId w:val="10"/>
        </w:numPr>
        <w:topLinePunct/>
        <w:adjustRightInd w:val="0"/>
        <w:snapToGrid w:val="0"/>
        <w:spacing w:line="240" w:lineRule="atLeast"/>
        <w:ind w:firstLine="480" w:firstLineChars="200"/>
        <w:rPr>
          <w:rFonts w:ascii="方正仿宋_GBK" w:hAnsi="方正仿宋_GBK" w:eastAsia="方正仿宋_GBK" w:cs="方正仿宋_GBK"/>
          <w:sz w:val="24"/>
          <w:szCs w:val="24"/>
          <w:highlight w:val="none"/>
        </w:rPr>
      </w:pPr>
      <w:r>
        <w:rPr>
          <w:rFonts w:hint="eastAsia" w:ascii="方正仿宋_GBK" w:hAnsi="方正仿宋_GBK" w:eastAsia="方正仿宋_GBK" w:cs="方正仿宋_GBK"/>
          <w:sz w:val="24"/>
          <w:szCs w:val="24"/>
          <w:highlight w:val="none"/>
        </w:rPr>
        <w:t>过程考核成绩</w:t>
      </w:r>
      <w:r>
        <w:rPr>
          <w:rFonts w:ascii="方正仿宋_GBK" w:hAnsi="方正仿宋_GBK" w:eastAsia="方正仿宋_GBK" w:cs="方正仿宋_GBK"/>
          <w:sz w:val="24"/>
          <w:szCs w:val="24"/>
          <w:highlight w:val="none"/>
        </w:rPr>
        <w:t>f为整个考核期内基本评价得分的平均值与总体评价加分c之和，即：f=(a1+a2+···+an)/n+c，其中n为整个考核期的考核评价次数，c为总体评价加分。</w:t>
      </w:r>
    </w:p>
    <w:p w14:paraId="203DE304">
      <w:pPr>
        <w:topLinePunct/>
        <w:adjustRightInd w:val="0"/>
        <w:snapToGrid w:val="0"/>
        <w:spacing w:line="240" w:lineRule="atLeast"/>
        <w:ind w:firstLine="480" w:firstLineChars="200"/>
        <w:rPr>
          <w:rFonts w:ascii="方正仿宋_GBK" w:hAnsi="方正仿宋_GBK" w:eastAsia="方正仿宋_GBK" w:cs="方正仿宋_GBK"/>
          <w:sz w:val="24"/>
          <w:szCs w:val="24"/>
          <w:highlight w:val="none"/>
        </w:rPr>
      </w:pPr>
      <w:r>
        <w:rPr>
          <w:rFonts w:hint="eastAsia" w:ascii="方正仿宋_GBK" w:hAnsi="方正仿宋_GBK" w:eastAsia="方正仿宋_GBK" w:cs="方正仿宋_GBK"/>
          <w:sz w:val="24"/>
          <w:szCs w:val="24"/>
          <w:highlight w:val="none"/>
        </w:rPr>
        <w:t>其中总体评价加分根据施工单位在工程建设中做出的突出贡献，待工程结算时由建设管理单位评分。</w:t>
      </w:r>
    </w:p>
    <w:p w14:paraId="12FED9C8">
      <w:pPr>
        <w:topLinePunct/>
        <w:adjustRightInd w:val="0"/>
        <w:snapToGrid w:val="0"/>
        <w:spacing w:line="240" w:lineRule="atLeast"/>
        <w:ind w:firstLine="640" w:firstLineChars="200"/>
        <w:rPr>
          <w:rFonts w:ascii="方正仿宋_GBK" w:hAnsi="方正仿宋_GBK" w:eastAsia="方正仿宋_GBK" w:cs="方正仿宋_GBK"/>
          <w:sz w:val="32"/>
          <w:szCs w:val="32"/>
          <w:highlight w:val="none"/>
        </w:rPr>
      </w:pPr>
    </w:p>
    <w:p w14:paraId="3C3C6373">
      <w:pPr>
        <w:topLinePunct/>
        <w:adjustRightInd w:val="0"/>
        <w:snapToGrid w:val="0"/>
        <w:spacing w:line="240" w:lineRule="atLeast"/>
        <w:ind w:firstLine="640" w:firstLineChars="200"/>
        <w:rPr>
          <w:rFonts w:ascii="方正仿宋_GBK" w:hAnsi="方正仿宋_GBK" w:eastAsia="方正仿宋_GBK" w:cs="方正仿宋_GBK"/>
          <w:sz w:val="32"/>
          <w:szCs w:val="32"/>
          <w:highlight w:val="none"/>
        </w:rPr>
        <w:sectPr>
          <w:pgSz w:w="11906" w:h="16838"/>
          <w:pgMar w:top="1701" w:right="1247" w:bottom="1560" w:left="1247" w:header="851" w:footer="992" w:gutter="0"/>
          <w:cols w:space="720" w:num="1"/>
          <w:docGrid w:type="lines" w:linePitch="312" w:charSpace="0"/>
        </w:sectPr>
      </w:pPr>
    </w:p>
    <w:p w14:paraId="1211C9C4">
      <w:pPr>
        <w:topLinePunct/>
        <w:adjustRightInd w:val="0"/>
        <w:snapToGrid w:val="0"/>
        <w:spacing w:line="240" w:lineRule="atLeast"/>
        <w:jc w:val="left"/>
        <w:rPr>
          <w:b/>
          <w:sz w:val="32"/>
          <w:szCs w:val="32"/>
          <w:highlight w:val="none"/>
        </w:rPr>
      </w:pPr>
      <w:r>
        <w:rPr>
          <w:rFonts w:hint="eastAsia" w:ascii="方正仿宋_GBK" w:hAnsi="方正仿宋_GBK" w:eastAsia="方正仿宋_GBK" w:cs="方正仿宋_GBK"/>
          <w:sz w:val="32"/>
          <w:szCs w:val="32"/>
          <w:highlight w:val="none"/>
        </w:rPr>
        <w:t>附表</w:t>
      </w:r>
    </w:p>
    <w:p w14:paraId="7A54D0C2">
      <w:pPr>
        <w:topLinePunct/>
        <w:adjustRightInd w:val="0"/>
        <w:snapToGrid w:val="0"/>
        <w:spacing w:line="240" w:lineRule="atLeast"/>
        <w:jc w:val="left"/>
        <w:rPr>
          <w:b/>
          <w:sz w:val="32"/>
          <w:szCs w:val="32"/>
          <w:highlight w:val="none"/>
        </w:rPr>
      </w:pPr>
    </w:p>
    <w:p w14:paraId="4BD966BA">
      <w:pPr>
        <w:spacing w:line="360" w:lineRule="auto"/>
        <w:jc w:val="center"/>
        <w:outlineLvl w:val="0"/>
        <w:rPr>
          <w:b/>
          <w:sz w:val="32"/>
          <w:szCs w:val="32"/>
          <w:highlight w:val="none"/>
        </w:rPr>
      </w:pPr>
      <w:r>
        <w:rPr>
          <w:rFonts w:hint="eastAsia"/>
          <w:b/>
          <w:sz w:val="32"/>
          <w:szCs w:val="32"/>
          <w:highlight w:val="none"/>
        </w:rPr>
        <w:t>施工项目部现场履约评价标准表</w:t>
      </w:r>
    </w:p>
    <w:tbl>
      <w:tblPr>
        <w:tblStyle w:val="15"/>
        <w:tblW w:w="1284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547"/>
        <w:gridCol w:w="1976"/>
        <w:gridCol w:w="951"/>
        <w:gridCol w:w="3348"/>
        <w:gridCol w:w="3890"/>
        <w:gridCol w:w="1117"/>
        <w:gridCol w:w="1020"/>
      </w:tblGrid>
      <w:tr w14:paraId="4B4EB9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97" w:hRule="atLeast"/>
          <w:tblHeader/>
          <w:jc w:val="center"/>
        </w:trPr>
        <w:tc>
          <w:tcPr>
            <w:tcW w:w="547" w:type="dxa"/>
            <w:tcMar>
              <w:left w:w="28" w:type="dxa"/>
              <w:right w:w="28" w:type="dxa"/>
            </w:tcMar>
            <w:vAlign w:val="center"/>
          </w:tcPr>
          <w:p w14:paraId="35705969">
            <w:pPr>
              <w:spacing w:line="260" w:lineRule="exact"/>
              <w:jc w:val="center"/>
              <w:rPr>
                <w:rFonts w:ascii="宋体" w:hAnsi="宋体" w:cs="宋体"/>
                <w:b/>
                <w:sz w:val="18"/>
                <w:highlight w:val="none"/>
              </w:rPr>
            </w:pPr>
            <w:r>
              <w:rPr>
                <w:rFonts w:hint="eastAsia" w:ascii="宋体" w:hAnsi="宋体" w:cs="宋体"/>
                <w:b/>
                <w:sz w:val="18"/>
                <w:highlight w:val="none"/>
              </w:rPr>
              <w:t>序号</w:t>
            </w:r>
          </w:p>
        </w:tc>
        <w:tc>
          <w:tcPr>
            <w:tcW w:w="1976" w:type="dxa"/>
            <w:tcMar>
              <w:left w:w="28" w:type="dxa"/>
              <w:right w:w="28" w:type="dxa"/>
            </w:tcMar>
            <w:vAlign w:val="center"/>
          </w:tcPr>
          <w:p w14:paraId="45805444">
            <w:pPr>
              <w:spacing w:line="260" w:lineRule="exact"/>
              <w:jc w:val="center"/>
              <w:rPr>
                <w:rFonts w:ascii="宋体" w:hAnsi="宋体" w:cs="宋体"/>
                <w:b/>
                <w:sz w:val="18"/>
                <w:highlight w:val="none"/>
              </w:rPr>
            </w:pPr>
            <w:r>
              <w:rPr>
                <w:rFonts w:hint="eastAsia" w:ascii="宋体" w:hAnsi="宋体" w:cs="宋体"/>
                <w:b/>
                <w:sz w:val="18"/>
                <w:highlight w:val="none"/>
              </w:rPr>
              <w:t>评价内容</w:t>
            </w:r>
          </w:p>
        </w:tc>
        <w:tc>
          <w:tcPr>
            <w:tcW w:w="951" w:type="dxa"/>
            <w:tcMar>
              <w:left w:w="28" w:type="dxa"/>
              <w:right w:w="28" w:type="dxa"/>
            </w:tcMar>
            <w:vAlign w:val="center"/>
          </w:tcPr>
          <w:p w14:paraId="51986747">
            <w:pPr>
              <w:spacing w:line="260" w:lineRule="exact"/>
              <w:jc w:val="center"/>
              <w:rPr>
                <w:rFonts w:ascii="宋体" w:hAnsi="宋体" w:cs="宋体"/>
                <w:b/>
                <w:sz w:val="18"/>
                <w:highlight w:val="none"/>
              </w:rPr>
            </w:pPr>
            <w:r>
              <w:rPr>
                <w:rFonts w:hint="eastAsia" w:ascii="宋体" w:hAnsi="宋体" w:cs="宋体"/>
                <w:b/>
                <w:sz w:val="18"/>
                <w:highlight w:val="none"/>
              </w:rPr>
              <w:t>标准分值</w:t>
            </w:r>
          </w:p>
        </w:tc>
        <w:tc>
          <w:tcPr>
            <w:tcW w:w="3348" w:type="dxa"/>
            <w:tcMar>
              <w:left w:w="28" w:type="dxa"/>
              <w:right w:w="28" w:type="dxa"/>
            </w:tcMar>
            <w:vAlign w:val="center"/>
          </w:tcPr>
          <w:p w14:paraId="28593F5B">
            <w:pPr>
              <w:spacing w:line="260" w:lineRule="exact"/>
              <w:jc w:val="center"/>
              <w:rPr>
                <w:rFonts w:ascii="宋体" w:hAnsi="宋体" w:cs="宋体"/>
                <w:b/>
                <w:sz w:val="18"/>
                <w:highlight w:val="none"/>
              </w:rPr>
            </w:pPr>
            <w:r>
              <w:rPr>
                <w:rFonts w:hint="eastAsia" w:ascii="宋体" w:hAnsi="宋体" w:cs="宋体"/>
                <w:b/>
                <w:sz w:val="18"/>
                <w:highlight w:val="none"/>
              </w:rPr>
              <w:t>评价标准</w:t>
            </w:r>
          </w:p>
        </w:tc>
        <w:tc>
          <w:tcPr>
            <w:tcW w:w="3890" w:type="dxa"/>
            <w:tcMar>
              <w:left w:w="28" w:type="dxa"/>
              <w:right w:w="28" w:type="dxa"/>
            </w:tcMar>
            <w:vAlign w:val="center"/>
          </w:tcPr>
          <w:p w14:paraId="209F9E39">
            <w:pPr>
              <w:spacing w:line="260" w:lineRule="exact"/>
              <w:jc w:val="center"/>
              <w:rPr>
                <w:rFonts w:ascii="宋体" w:hAnsi="宋体" w:cs="宋体"/>
                <w:b/>
                <w:sz w:val="18"/>
                <w:highlight w:val="none"/>
              </w:rPr>
            </w:pPr>
            <w:r>
              <w:rPr>
                <w:rFonts w:hint="eastAsia" w:ascii="宋体" w:hAnsi="宋体" w:cs="宋体"/>
                <w:b/>
                <w:sz w:val="18"/>
                <w:highlight w:val="none"/>
              </w:rPr>
              <w:t>扣分标准</w:t>
            </w:r>
          </w:p>
        </w:tc>
        <w:tc>
          <w:tcPr>
            <w:tcW w:w="1117" w:type="dxa"/>
            <w:tcBorders>
              <w:right w:val="single" w:color="auto" w:sz="4" w:space="0"/>
            </w:tcBorders>
            <w:tcMar>
              <w:left w:w="28" w:type="dxa"/>
              <w:right w:w="28" w:type="dxa"/>
            </w:tcMar>
            <w:vAlign w:val="center"/>
          </w:tcPr>
          <w:p w14:paraId="0142FFDC">
            <w:pPr>
              <w:tabs>
                <w:tab w:val="left" w:pos="1127"/>
              </w:tabs>
              <w:spacing w:line="260" w:lineRule="exact"/>
              <w:jc w:val="center"/>
              <w:rPr>
                <w:rFonts w:ascii="宋体" w:hAnsi="宋体" w:cs="宋体"/>
                <w:b/>
                <w:sz w:val="18"/>
                <w:highlight w:val="none"/>
              </w:rPr>
            </w:pPr>
            <w:r>
              <w:rPr>
                <w:rFonts w:hint="eastAsia" w:ascii="宋体" w:hAnsi="宋体" w:cs="宋体"/>
                <w:b/>
                <w:sz w:val="18"/>
                <w:highlight w:val="none"/>
              </w:rPr>
              <w:t>检查得分</w:t>
            </w:r>
          </w:p>
        </w:tc>
        <w:tc>
          <w:tcPr>
            <w:tcW w:w="1020" w:type="dxa"/>
            <w:tcBorders>
              <w:left w:val="single" w:color="auto" w:sz="4" w:space="0"/>
            </w:tcBorders>
            <w:tcMar>
              <w:left w:w="28" w:type="dxa"/>
              <w:right w:w="28" w:type="dxa"/>
            </w:tcMar>
            <w:vAlign w:val="center"/>
          </w:tcPr>
          <w:p w14:paraId="76A31397">
            <w:pPr>
              <w:tabs>
                <w:tab w:val="left" w:pos="1127"/>
              </w:tabs>
              <w:spacing w:line="260" w:lineRule="exact"/>
              <w:jc w:val="center"/>
              <w:rPr>
                <w:rFonts w:ascii="宋体" w:hAnsi="宋体" w:cs="宋体"/>
                <w:b/>
                <w:sz w:val="18"/>
                <w:highlight w:val="none"/>
              </w:rPr>
            </w:pPr>
            <w:r>
              <w:rPr>
                <w:rFonts w:hint="eastAsia" w:ascii="宋体" w:hAnsi="宋体" w:cs="宋体"/>
                <w:b/>
                <w:sz w:val="18"/>
                <w:highlight w:val="none"/>
              </w:rPr>
              <w:t>扣分说明</w:t>
            </w:r>
          </w:p>
        </w:tc>
      </w:tr>
      <w:tr w14:paraId="735389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455" w:hRule="atLeast"/>
          <w:jc w:val="center"/>
        </w:trPr>
        <w:tc>
          <w:tcPr>
            <w:tcW w:w="547" w:type="dxa"/>
            <w:shd w:val="clear" w:color="auto" w:fill="BFBFBF"/>
            <w:tcMar>
              <w:left w:w="28" w:type="dxa"/>
              <w:right w:w="28" w:type="dxa"/>
            </w:tcMar>
            <w:vAlign w:val="center"/>
          </w:tcPr>
          <w:p w14:paraId="0EAE9B97">
            <w:pPr>
              <w:spacing w:line="260" w:lineRule="exact"/>
              <w:jc w:val="center"/>
              <w:rPr>
                <w:rFonts w:ascii="宋体" w:hAnsi="宋体" w:cs="宋体"/>
                <w:b/>
                <w:sz w:val="18"/>
                <w:highlight w:val="none"/>
              </w:rPr>
            </w:pPr>
            <w:r>
              <w:rPr>
                <w:rFonts w:hint="eastAsia" w:ascii="宋体" w:hAnsi="宋体" w:cs="宋体"/>
                <w:b/>
                <w:sz w:val="18"/>
                <w:highlight w:val="none"/>
              </w:rPr>
              <w:t>1</w:t>
            </w:r>
          </w:p>
        </w:tc>
        <w:tc>
          <w:tcPr>
            <w:tcW w:w="12302" w:type="dxa"/>
            <w:gridSpan w:val="6"/>
            <w:shd w:val="clear" w:color="auto" w:fill="BFBFBF"/>
            <w:tcMar>
              <w:left w:w="28" w:type="dxa"/>
              <w:right w:w="28" w:type="dxa"/>
            </w:tcMar>
            <w:vAlign w:val="center"/>
          </w:tcPr>
          <w:p w14:paraId="3C9643D4">
            <w:pPr>
              <w:spacing w:line="260" w:lineRule="exact"/>
              <w:rPr>
                <w:rFonts w:ascii="宋体" w:hAnsi="宋体" w:cs="宋体"/>
                <w:sz w:val="18"/>
                <w:highlight w:val="none"/>
              </w:rPr>
            </w:pPr>
            <w:r>
              <w:rPr>
                <w:rFonts w:hint="eastAsia" w:ascii="宋体" w:hAnsi="宋体" w:cs="宋体"/>
                <w:b/>
                <w:sz w:val="18"/>
                <w:highlight w:val="none"/>
              </w:rPr>
              <w:t>项目部配置（5分）</w:t>
            </w:r>
          </w:p>
        </w:tc>
      </w:tr>
      <w:tr w14:paraId="150FD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00D7F028">
            <w:pPr>
              <w:spacing w:line="260" w:lineRule="exact"/>
              <w:jc w:val="center"/>
              <w:rPr>
                <w:rFonts w:ascii="宋体" w:hAnsi="宋体" w:cs="宋体"/>
                <w:b/>
                <w:bCs/>
                <w:sz w:val="18"/>
                <w:highlight w:val="none"/>
              </w:rPr>
            </w:pPr>
            <w:r>
              <w:rPr>
                <w:rFonts w:hint="eastAsia" w:ascii="宋体" w:hAnsi="宋体" w:cs="宋体"/>
                <w:b/>
                <w:bCs/>
                <w:sz w:val="18"/>
                <w:highlight w:val="none"/>
              </w:rPr>
              <w:t>1.1</w:t>
            </w:r>
          </w:p>
        </w:tc>
        <w:tc>
          <w:tcPr>
            <w:tcW w:w="1976" w:type="dxa"/>
            <w:vMerge w:val="restart"/>
            <w:tcMar>
              <w:left w:w="28" w:type="dxa"/>
              <w:right w:w="28" w:type="dxa"/>
            </w:tcMar>
            <w:vAlign w:val="center"/>
          </w:tcPr>
          <w:p w14:paraId="0888DA66">
            <w:pPr>
              <w:spacing w:line="260" w:lineRule="exact"/>
              <w:rPr>
                <w:rFonts w:ascii="宋体" w:hAnsi="宋体" w:cs="宋体"/>
                <w:b/>
                <w:bCs/>
                <w:sz w:val="18"/>
                <w:highlight w:val="none"/>
              </w:rPr>
            </w:pPr>
            <w:r>
              <w:rPr>
                <w:rFonts w:hint="eastAsia" w:ascii="宋体" w:hAnsi="宋体" w:cs="宋体"/>
                <w:b/>
                <w:bCs/>
                <w:sz w:val="18"/>
                <w:highlight w:val="none"/>
              </w:rPr>
              <w:t>项目部人员配置</w:t>
            </w:r>
          </w:p>
        </w:tc>
        <w:tc>
          <w:tcPr>
            <w:tcW w:w="951" w:type="dxa"/>
            <w:tcMar>
              <w:left w:w="28" w:type="dxa"/>
              <w:right w:w="28" w:type="dxa"/>
            </w:tcMar>
            <w:vAlign w:val="center"/>
          </w:tcPr>
          <w:p w14:paraId="6D9C5BCA">
            <w:pPr>
              <w:spacing w:line="260" w:lineRule="exact"/>
              <w:jc w:val="center"/>
              <w:rPr>
                <w:rFonts w:ascii="宋体" w:hAnsi="宋体" w:cs="宋体"/>
                <w:sz w:val="18"/>
                <w:highlight w:val="none"/>
              </w:rPr>
            </w:pPr>
            <w:r>
              <w:rPr>
                <w:rFonts w:hint="eastAsia" w:ascii="宋体" w:hAnsi="宋体" w:cs="宋体"/>
                <w:sz w:val="18"/>
                <w:highlight w:val="none"/>
              </w:rPr>
              <w:t>3</w:t>
            </w:r>
          </w:p>
        </w:tc>
        <w:tc>
          <w:tcPr>
            <w:tcW w:w="3348" w:type="dxa"/>
            <w:tcMar>
              <w:left w:w="28" w:type="dxa"/>
              <w:right w:w="28" w:type="dxa"/>
            </w:tcMar>
            <w:vAlign w:val="center"/>
          </w:tcPr>
          <w:p w14:paraId="79B79900">
            <w:pPr>
              <w:spacing w:line="260" w:lineRule="exact"/>
              <w:rPr>
                <w:rFonts w:ascii="宋体" w:hAnsi="宋体" w:cs="宋体"/>
                <w:sz w:val="18"/>
                <w:highlight w:val="none"/>
              </w:rPr>
            </w:pPr>
            <w:r>
              <w:rPr>
                <w:rFonts w:hint="eastAsia" w:ascii="宋体" w:hAnsi="宋体" w:cs="宋体"/>
                <w:sz w:val="18"/>
                <w:highlight w:val="none"/>
              </w:rPr>
              <w:t>项目部组建和管理人员任职资格符合</w:t>
            </w:r>
            <w:r>
              <w:rPr>
                <w:rFonts w:hint="eastAsia" w:ascii="宋体" w:hAnsi="宋体" w:cs="宋体"/>
                <w:sz w:val="18"/>
                <w:szCs w:val="18"/>
                <w:highlight w:val="none"/>
              </w:rPr>
              <w:t>国网公司及合同文件</w:t>
            </w:r>
            <w:r>
              <w:rPr>
                <w:rFonts w:hint="eastAsia"/>
                <w:color w:val="000000"/>
                <w:sz w:val="18"/>
                <w:szCs w:val="18"/>
                <w:highlight w:val="none"/>
              </w:rPr>
              <w:t>要求，管理人员任职资格符合要求并持证上岗，主要管理人员与合同约定一致。项目部关键人员在岗在位天数与合同约定一致。（3分）</w:t>
            </w:r>
          </w:p>
        </w:tc>
        <w:tc>
          <w:tcPr>
            <w:tcW w:w="3890" w:type="dxa"/>
            <w:tcMar>
              <w:left w:w="28" w:type="dxa"/>
              <w:right w:w="28" w:type="dxa"/>
            </w:tcMar>
            <w:vAlign w:val="center"/>
          </w:tcPr>
          <w:p w14:paraId="301DF17B">
            <w:pPr>
              <w:spacing w:line="260" w:lineRule="exact"/>
              <w:rPr>
                <w:color w:val="000000"/>
                <w:sz w:val="18"/>
                <w:szCs w:val="18"/>
                <w:highlight w:val="none"/>
              </w:rPr>
            </w:pPr>
            <w:r>
              <w:rPr>
                <w:rFonts w:hint="eastAsia"/>
                <w:color w:val="000000"/>
                <w:sz w:val="18"/>
                <w:szCs w:val="18"/>
                <w:highlight w:val="none"/>
              </w:rPr>
              <w:t>（1）无任命文件或未按要求报备，扣1分；</w:t>
            </w:r>
          </w:p>
          <w:p w14:paraId="591B942C">
            <w:pPr>
              <w:spacing w:line="260" w:lineRule="exact"/>
              <w:rPr>
                <w:rFonts w:ascii="宋体" w:hAnsi="宋体" w:cs="宋体"/>
                <w:sz w:val="18"/>
                <w:szCs w:val="18"/>
                <w:highlight w:val="none"/>
              </w:rPr>
            </w:pPr>
            <w:r>
              <w:rPr>
                <w:rFonts w:hint="eastAsia"/>
                <w:color w:val="000000"/>
                <w:sz w:val="18"/>
                <w:szCs w:val="18"/>
                <w:highlight w:val="none"/>
              </w:rPr>
              <w:t>（2）</w:t>
            </w:r>
            <w:r>
              <w:rPr>
                <w:rFonts w:hint="eastAsia" w:ascii="宋体" w:hAnsi="宋体" w:cs="宋体"/>
                <w:sz w:val="18"/>
                <w:szCs w:val="18"/>
                <w:highlight w:val="none"/>
              </w:rPr>
              <w:t>项目部管理人员与合同约定不一致，每人扣0.5分；项目经理或副经理、安全总监、项目总工等主要管理人员与合同约定不一致，每人扣2分（经业主批准同意并履行相应手续的，不扣分）；</w:t>
            </w:r>
          </w:p>
          <w:p w14:paraId="6644C108">
            <w:pPr>
              <w:spacing w:line="260" w:lineRule="exact"/>
              <w:rPr>
                <w:color w:val="000000"/>
                <w:sz w:val="18"/>
                <w:szCs w:val="18"/>
                <w:highlight w:val="none"/>
              </w:rPr>
            </w:pPr>
            <w:r>
              <w:rPr>
                <w:rFonts w:hint="eastAsia"/>
                <w:color w:val="000000"/>
                <w:sz w:val="18"/>
                <w:szCs w:val="18"/>
                <w:highlight w:val="none"/>
              </w:rPr>
              <w:t>（3）人员配备数量不满足要求，每缺一人扣0.5分；其他主要管理人员任职资格不符合要求每人扣0.5分；</w:t>
            </w:r>
          </w:p>
          <w:p w14:paraId="728DE99D">
            <w:pPr>
              <w:spacing w:line="260" w:lineRule="exact"/>
              <w:rPr>
                <w:color w:val="000000"/>
                <w:sz w:val="18"/>
                <w:szCs w:val="18"/>
                <w:highlight w:val="none"/>
              </w:rPr>
            </w:pPr>
            <w:r>
              <w:rPr>
                <w:rFonts w:hint="eastAsia"/>
                <w:color w:val="000000"/>
                <w:sz w:val="18"/>
                <w:szCs w:val="18"/>
                <w:highlight w:val="none"/>
              </w:rPr>
              <w:t>（4）无法定代表人授权书和质量终身承诺书，扣1分；</w:t>
            </w:r>
          </w:p>
          <w:p w14:paraId="4A9014D6">
            <w:pPr>
              <w:tabs>
                <w:tab w:val="center" w:pos="4153"/>
                <w:tab w:val="right" w:pos="8306"/>
              </w:tabs>
              <w:spacing w:line="260" w:lineRule="exact"/>
              <w:rPr>
                <w:color w:val="000000"/>
                <w:sz w:val="18"/>
                <w:szCs w:val="18"/>
                <w:highlight w:val="none"/>
              </w:rPr>
            </w:pPr>
            <w:r>
              <w:rPr>
                <w:rFonts w:hint="eastAsia"/>
                <w:color w:val="000000"/>
                <w:sz w:val="18"/>
                <w:szCs w:val="18"/>
                <w:highlight w:val="none"/>
              </w:rPr>
              <w:t>（5）每月现场施工项目部人员未满足要求，扣1分。</w:t>
            </w:r>
          </w:p>
          <w:p w14:paraId="099462DA">
            <w:pPr>
              <w:tabs>
                <w:tab w:val="center" w:pos="4153"/>
                <w:tab w:val="right" w:pos="8306"/>
              </w:tabs>
              <w:spacing w:line="260" w:lineRule="exact"/>
              <w:rPr>
                <w:rFonts w:ascii="宋体" w:hAnsi="宋体" w:cs="宋体"/>
                <w:highlight w:val="none"/>
              </w:rPr>
            </w:pPr>
            <w:r>
              <w:rPr>
                <w:rFonts w:hint="eastAsia"/>
                <w:color w:val="000000"/>
                <w:sz w:val="18"/>
                <w:szCs w:val="18"/>
                <w:highlight w:val="none"/>
              </w:rPr>
              <w:t>（6）在岗少于合同约定天数，每人扣0.5分/天（经业主批准同意并履行相应手续，不扣分）</w:t>
            </w:r>
          </w:p>
        </w:tc>
        <w:tc>
          <w:tcPr>
            <w:tcW w:w="1117" w:type="dxa"/>
            <w:tcMar>
              <w:left w:w="28" w:type="dxa"/>
              <w:right w:w="28" w:type="dxa"/>
            </w:tcMar>
            <w:vAlign w:val="center"/>
          </w:tcPr>
          <w:p w14:paraId="51F89663">
            <w:pPr>
              <w:spacing w:line="260" w:lineRule="exact"/>
              <w:rPr>
                <w:rFonts w:ascii="宋体" w:hAnsi="宋体" w:cs="宋体"/>
                <w:sz w:val="18"/>
                <w:highlight w:val="none"/>
              </w:rPr>
            </w:pPr>
          </w:p>
        </w:tc>
        <w:tc>
          <w:tcPr>
            <w:tcW w:w="1020" w:type="dxa"/>
            <w:tcMar>
              <w:left w:w="28" w:type="dxa"/>
              <w:right w:w="28" w:type="dxa"/>
            </w:tcMar>
            <w:vAlign w:val="center"/>
          </w:tcPr>
          <w:p w14:paraId="36700562">
            <w:pPr>
              <w:spacing w:line="260" w:lineRule="exact"/>
              <w:rPr>
                <w:rFonts w:ascii="宋体" w:hAnsi="宋体" w:cs="宋体"/>
                <w:sz w:val="18"/>
                <w:highlight w:val="none"/>
              </w:rPr>
            </w:pPr>
          </w:p>
        </w:tc>
      </w:tr>
      <w:tr w14:paraId="7DDADF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3965C927">
            <w:pPr>
              <w:spacing w:line="260" w:lineRule="exact"/>
              <w:jc w:val="center"/>
              <w:rPr>
                <w:rFonts w:ascii="宋体" w:hAnsi="宋体" w:cs="宋体"/>
                <w:b/>
                <w:bCs/>
                <w:sz w:val="18"/>
                <w:highlight w:val="none"/>
              </w:rPr>
            </w:pPr>
            <w:r>
              <w:rPr>
                <w:rFonts w:hint="eastAsia" w:ascii="宋体" w:hAnsi="宋体" w:cs="宋体"/>
                <w:b/>
                <w:bCs/>
                <w:sz w:val="18"/>
                <w:highlight w:val="none"/>
              </w:rPr>
              <w:t>1.2</w:t>
            </w:r>
          </w:p>
        </w:tc>
        <w:tc>
          <w:tcPr>
            <w:tcW w:w="1976"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2CD78918">
            <w:pPr>
              <w:spacing w:line="260" w:lineRule="exact"/>
              <w:rPr>
                <w:rFonts w:ascii="宋体" w:hAnsi="宋体" w:cs="宋体"/>
                <w:b/>
                <w:bCs/>
                <w:sz w:val="18"/>
                <w:highlight w:val="none"/>
              </w:rPr>
            </w:pPr>
            <w:r>
              <w:rPr>
                <w:rFonts w:hint="eastAsia" w:ascii="宋体" w:hAnsi="宋体" w:cs="宋体"/>
                <w:b/>
                <w:bCs/>
                <w:sz w:val="18"/>
                <w:highlight w:val="none"/>
              </w:rPr>
              <w:t>项目部资源配置</w:t>
            </w:r>
          </w:p>
        </w:tc>
        <w:tc>
          <w:tcPr>
            <w:tcW w:w="951" w:type="dxa"/>
            <w:tcMar>
              <w:left w:w="28" w:type="dxa"/>
              <w:right w:w="28" w:type="dxa"/>
            </w:tcMar>
            <w:vAlign w:val="center"/>
          </w:tcPr>
          <w:p w14:paraId="2EE4B5DF">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78202836">
            <w:pPr>
              <w:spacing w:line="260" w:lineRule="exact"/>
              <w:rPr>
                <w:rFonts w:ascii="宋体" w:hAnsi="宋体" w:cs="宋体"/>
                <w:sz w:val="18"/>
                <w:highlight w:val="none"/>
              </w:rPr>
            </w:pPr>
            <w:r>
              <w:rPr>
                <w:rFonts w:hint="eastAsia" w:ascii="宋体" w:hAnsi="宋体" w:cs="宋体"/>
                <w:sz w:val="18"/>
                <w:highlight w:val="none"/>
              </w:rPr>
              <w:t>施工项目部办公设施、交通工具、主要施工工器具、规程规范和标准的配备满足要求；生产临建选址合理，办公及生活设施配备满足需要。（2分）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540DF250">
            <w:pPr>
              <w:spacing w:line="260" w:lineRule="exact"/>
              <w:rPr>
                <w:rFonts w:ascii="宋体" w:hAnsi="宋体" w:cs="宋体"/>
                <w:sz w:val="18"/>
                <w:highlight w:val="none"/>
              </w:rPr>
            </w:pPr>
            <w:r>
              <w:rPr>
                <w:rFonts w:hint="eastAsia" w:ascii="宋体" w:hAnsi="宋体" w:cs="宋体"/>
                <w:sz w:val="18"/>
                <w:highlight w:val="none"/>
              </w:rPr>
              <w:t>（1）生产临建未按业主整体策划实施，扣1分；</w:t>
            </w:r>
          </w:p>
          <w:p w14:paraId="1E5DA809">
            <w:pPr>
              <w:spacing w:line="260" w:lineRule="exact"/>
              <w:rPr>
                <w:rFonts w:ascii="宋体" w:hAnsi="宋体" w:cs="宋体"/>
                <w:sz w:val="18"/>
                <w:highlight w:val="none"/>
              </w:rPr>
            </w:pPr>
            <w:r>
              <w:rPr>
                <w:rFonts w:hint="eastAsia" w:ascii="宋体" w:hAnsi="宋体" w:cs="宋体"/>
                <w:sz w:val="18"/>
                <w:highlight w:val="none"/>
              </w:rPr>
              <w:t>（2）办公及生活临建不符合安全文明施工标准要求，每处扣0.5分；工器具配置不符合合同约定或实际施工需求，每项扣0.5分。</w:t>
            </w:r>
          </w:p>
        </w:tc>
        <w:tc>
          <w:tcPr>
            <w:tcW w:w="1117" w:type="dxa"/>
            <w:tcMar>
              <w:left w:w="28" w:type="dxa"/>
              <w:right w:w="28" w:type="dxa"/>
            </w:tcMar>
            <w:vAlign w:val="center"/>
          </w:tcPr>
          <w:p w14:paraId="557F7D9D">
            <w:pPr>
              <w:spacing w:line="260" w:lineRule="exact"/>
              <w:rPr>
                <w:rFonts w:ascii="宋体" w:hAnsi="宋体" w:cs="宋体"/>
                <w:sz w:val="18"/>
                <w:highlight w:val="none"/>
              </w:rPr>
            </w:pPr>
          </w:p>
        </w:tc>
        <w:tc>
          <w:tcPr>
            <w:tcW w:w="1020" w:type="dxa"/>
            <w:tcMar>
              <w:left w:w="28" w:type="dxa"/>
              <w:right w:w="28" w:type="dxa"/>
            </w:tcMar>
            <w:vAlign w:val="center"/>
          </w:tcPr>
          <w:p w14:paraId="5FF57B69">
            <w:pPr>
              <w:spacing w:line="260" w:lineRule="exact"/>
              <w:rPr>
                <w:rFonts w:ascii="宋体" w:hAnsi="宋体" w:cs="宋体"/>
                <w:sz w:val="18"/>
                <w:highlight w:val="none"/>
              </w:rPr>
            </w:pPr>
          </w:p>
        </w:tc>
      </w:tr>
      <w:tr w14:paraId="361F05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05" w:hRule="atLeast"/>
          <w:jc w:val="center"/>
        </w:trPr>
        <w:tc>
          <w:tcPr>
            <w:tcW w:w="547" w:type="dxa"/>
            <w:shd w:val="clear" w:color="auto" w:fill="BFBFBF"/>
            <w:tcMar>
              <w:left w:w="28" w:type="dxa"/>
              <w:right w:w="28" w:type="dxa"/>
            </w:tcMar>
            <w:vAlign w:val="center"/>
          </w:tcPr>
          <w:p w14:paraId="1B62FDC8">
            <w:pPr>
              <w:spacing w:line="260" w:lineRule="exact"/>
              <w:jc w:val="center"/>
              <w:rPr>
                <w:rFonts w:ascii="宋体" w:hAnsi="宋体" w:cs="宋体"/>
                <w:b/>
                <w:sz w:val="18"/>
                <w:highlight w:val="none"/>
              </w:rPr>
            </w:pPr>
            <w:r>
              <w:rPr>
                <w:rFonts w:hint="eastAsia" w:ascii="宋体" w:hAnsi="宋体" w:cs="宋体"/>
                <w:b/>
                <w:sz w:val="18"/>
                <w:highlight w:val="none"/>
              </w:rPr>
              <w:t>2</w:t>
            </w:r>
          </w:p>
        </w:tc>
        <w:tc>
          <w:tcPr>
            <w:tcW w:w="12302" w:type="dxa"/>
            <w:gridSpan w:val="6"/>
            <w:shd w:val="clear" w:color="auto" w:fill="BFBFBF"/>
            <w:tcMar>
              <w:left w:w="28" w:type="dxa"/>
              <w:right w:w="28" w:type="dxa"/>
            </w:tcMar>
            <w:vAlign w:val="center"/>
          </w:tcPr>
          <w:p w14:paraId="24923920">
            <w:pPr>
              <w:spacing w:line="260" w:lineRule="exact"/>
              <w:rPr>
                <w:rFonts w:ascii="宋体" w:hAnsi="宋体" w:cs="宋体"/>
                <w:sz w:val="18"/>
                <w:highlight w:val="none"/>
              </w:rPr>
            </w:pPr>
            <w:r>
              <w:rPr>
                <w:rFonts w:hint="eastAsia" w:ascii="宋体" w:hAnsi="宋体" w:cs="宋体"/>
                <w:b/>
                <w:sz w:val="18"/>
                <w:highlight w:val="none"/>
              </w:rPr>
              <w:t>策划管理（2分）</w:t>
            </w:r>
          </w:p>
        </w:tc>
      </w:tr>
      <w:tr w14:paraId="44AA62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6048C84E">
            <w:pPr>
              <w:spacing w:line="260" w:lineRule="exact"/>
              <w:jc w:val="center"/>
              <w:rPr>
                <w:rFonts w:ascii="宋体" w:hAnsi="宋体" w:cs="宋体"/>
                <w:b/>
                <w:bCs/>
                <w:sz w:val="18"/>
                <w:highlight w:val="none"/>
              </w:rPr>
            </w:pPr>
            <w:r>
              <w:rPr>
                <w:rFonts w:hint="eastAsia" w:ascii="宋体" w:hAnsi="宋体" w:cs="宋体"/>
                <w:b/>
                <w:bCs/>
                <w:sz w:val="18"/>
                <w:highlight w:val="none"/>
              </w:rPr>
              <w:t>2.1</w:t>
            </w:r>
          </w:p>
        </w:tc>
        <w:tc>
          <w:tcPr>
            <w:tcW w:w="1976" w:type="dxa"/>
            <w:tcMar>
              <w:left w:w="28" w:type="dxa"/>
              <w:right w:w="28" w:type="dxa"/>
            </w:tcMar>
            <w:vAlign w:val="center"/>
          </w:tcPr>
          <w:p w14:paraId="14702E2C">
            <w:pPr>
              <w:spacing w:line="260" w:lineRule="exact"/>
              <w:rPr>
                <w:rFonts w:ascii="宋体" w:hAnsi="宋体" w:cs="宋体"/>
                <w:b/>
                <w:bCs/>
                <w:sz w:val="18"/>
                <w:highlight w:val="none"/>
              </w:rPr>
            </w:pPr>
            <w:r>
              <w:rPr>
                <w:rFonts w:hint="eastAsia" w:ascii="宋体" w:hAnsi="宋体" w:cs="宋体"/>
                <w:b/>
                <w:bCs/>
                <w:sz w:val="18"/>
                <w:highlight w:val="none"/>
              </w:rPr>
              <w:t>策划管理</w:t>
            </w:r>
          </w:p>
        </w:tc>
        <w:tc>
          <w:tcPr>
            <w:tcW w:w="951" w:type="dxa"/>
            <w:tcMar>
              <w:left w:w="28" w:type="dxa"/>
              <w:right w:w="28" w:type="dxa"/>
            </w:tcMar>
            <w:vAlign w:val="center"/>
          </w:tcPr>
          <w:p w14:paraId="2AE5D093">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Mar>
              <w:left w:w="28" w:type="dxa"/>
              <w:right w:w="28" w:type="dxa"/>
            </w:tcMar>
            <w:vAlign w:val="center"/>
          </w:tcPr>
          <w:p w14:paraId="6FAC47CC">
            <w:pPr>
              <w:spacing w:line="260" w:lineRule="exact"/>
              <w:rPr>
                <w:rFonts w:ascii="宋体" w:hAnsi="宋体" w:cs="宋体"/>
                <w:sz w:val="18"/>
                <w:highlight w:val="none"/>
              </w:rPr>
            </w:pPr>
            <w:r>
              <w:rPr>
                <w:rFonts w:hint="eastAsia" w:ascii="宋体" w:hAnsi="宋体" w:cs="宋体"/>
                <w:sz w:val="18"/>
                <w:highlight w:val="none"/>
              </w:rPr>
              <w:t>项目管理实施规划、强制性条文执行计划、施工安全管理及风险控制方案、施工质量通病防治措施、工程项目档案资料过程管控方案等策划文件。策划文件与实际实施一致，建设条件变化时及时修编，工程项目档案资料过程管控方案编制。（2分）</w:t>
            </w:r>
          </w:p>
        </w:tc>
        <w:tc>
          <w:tcPr>
            <w:tcW w:w="3890" w:type="dxa"/>
            <w:tcMar>
              <w:left w:w="28" w:type="dxa"/>
              <w:right w:w="28" w:type="dxa"/>
            </w:tcMar>
            <w:vAlign w:val="center"/>
          </w:tcPr>
          <w:p w14:paraId="44C71E09">
            <w:pPr>
              <w:spacing w:line="260" w:lineRule="exact"/>
              <w:rPr>
                <w:rFonts w:ascii="宋体" w:hAnsi="宋体" w:cs="宋体"/>
                <w:sz w:val="18"/>
                <w:highlight w:val="none"/>
              </w:rPr>
            </w:pPr>
            <w:r>
              <w:rPr>
                <w:rFonts w:hint="eastAsia" w:ascii="宋体" w:hAnsi="宋体" w:cs="宋体"/>
                <w:sz w:val="18"/>
                <w:highlight w:val="none"/>
              </w:rPr>
              <w:t>（1）每缺少一项扣0.5分；</w:t>
            </w:r>
          </w:p>
          <w:p w14:paraId="1E52F1EA">
            <w:pPr>
              <w:spacing w:line="260" w:lineRule="exact"/>
              <w:rPr>
                <w:rFonts w:ascii="宋体" w:hAnsi="宋体" w:cs="宋体"/>
                <w:sz w:val="18"/>
                <w:highlight w:val="none"/>
              </w:rPr>
            </w:pPr>
            <w:r>
              <w:rPr>
                <w:rFonts w:hint="eastAsia" w:ascii="宋体" w:hAnsi="宋体" w:cs="宋体"/>
                <w:sz w:val="18"/>
                <w:highlight w:val="none"/>
              </w:rPr>
              <w:t>（2）存在内容不全面、不符合要求、方案未结合工程实际、引用过期文件，报审不及时、编审批不符合要求等不规范现象，每项扣0.5分；</w:t>
            </w:r>
          </w:p>
          <w:p w14:paraId="3B5F0A1D">
            <w:pPr>
              <w:spacing w:line="260" w:lineRule="exact"/>
              <w:rPr>
                <w:rFonts w:ascii="宋体" w:hAnsi="宋体" w:cs="宋体"/>
                <w:sz w:val="18"/>
                <w:highlight w:val="none"/>
              </w:rPr>
            </w:pPr>
            <w:r>
              <w:rPr>
                <w:rFonts w:hint="eastAsia" w:ascii="宋体" w:hAnsi="宋体" w:cs="宋体"/>
                <w:sz w:val="18"/>
                <w:highlight w:val="none"/>
              </w:rPr>
              <w:t>（3）修编不及时，每项扣0.5分；</w:t>
            </w:r>
          </w:p>
          <w:p w14:paraId="35F8E7EA">
            <w:pPr>
              <w:spacing w:line="260" w:lineRule="exact"/>
              <w:rPr>
                <w:rFonts w:ascii="宋体" w:hAnsi="宋体" w:cs="宋体"/>
                <w:sz w:val="18"/>
                <w:highlight w:val="none"/>
              </w:rPr>
            </w:pPr>
            <w:r>
              <w:rPr>
                <w:rFonts w:hint="eastAsia" w:ascii="宋体" w:hAnsi="宋体" w:cs="宋体"/>
                <w:sz w:val="18"/>
                <w:highlight w:val="none"/>
              </w:rPr>
              <w:t>（4）批准后的策划文件关键内容与实际实施存在明显差异，每项扣2分。</w:t>
            </w:r>
          </w:p>
        </w:tc>
        <w:tc>
          <w:tcPr>
            <w:tcW w:w="1117" w:type="dxa"/>
            <w:tcMar>
              <w:left w:w="28" w:type="dxa"/>
              <w:right w:w="28" w:type="dxa"/>
            </w:tcMar>
            <w:vAlign w:val="center"/>
          </w:tcPr>
          <w:p w14:paraId="79B93EEF">
            <w:pPr>
              <w:spacing w:line="260" w:lineRule="exact"/>
              <w:rPr>
                <w:rFonts w:ascii="宋体" w:hAnsi="宋体" w:cs="宋体"/>
                <w:sz w:val="18"/>
                <w:highlight w:val="none"/>
              </w:rPr>
            </w:pPr>
          </w:p>
        </w:tc>
        <w:tc>
          <w:tcPr>
            <w:tcW w:w="1020" w:type="dxa"/>
            <w:tcMar>
              <w:left w:w="28" w:type="dxa"/>
              <w:right w:w="28" w:type="dxa"/>
            </w:tcMar>
            <w:vAlign w:val="center"/>
          </w:tcPr>
          <w:p w14:paraId="0C63C951">
            <w:pPr>
              <w:spacing w:line="260" w:lineRule="exact"/>
              <w:rPr>
                <w:rFonts w:ascii="宋体" w:hAnsi="宋体" w:cs="宋体"/>
                <w:sz w:val="18"/>
                <w:highlight w:val="none"/>
              </w:rPr>
            </w:pPr>
          </w:p>
        </w:tc>
      </w:tr>
      <w:tr w14:paraId="53E399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15" w:hRule="atLeast"/>
          <w:jc w:val="center"/>
        </w:trPr>
        <w:tc>
          <w:tcPr>
            <w:tcW w:w="547" w:type="dxa"/>
            <w:shd w:val="clear" w:color="auto" w:fill="BFBFBF"/>
            <w:tcMar>
              <w:left w:w="28" w:type="dxa"/>
              <w:right w:w="28" w:type="dxa"/>
            </w:tcMar>
            <w:vAlign w:val="center"/>
          </w:tcPr>
          <w:p w14:paraId="72662DBE">
            <w:pPr>
              <w:spacing w:line="260" w:lineRule="exact"/>
              <w:jc w:val="center"/>
              <w:rPr>
                <w:rFonts w:ascii="宋体" w:hAnsi="宋体" w:cs="宋体"/>
                <w:b/>
                <w:sz w:val="18"/>
                <w:highlight w:val="none"/>
              </w:rPr>
            </w:pPr>
            <w:r>
              <w:rPr>
                <w:rFonts w:hint="eastAsia" w:ascii="宋体" w:hAnsi="宋体" w:cs="宋体"/>
                <w:b/>
                <w:sz w:val="18"/>
                <w:highlight w:val="none"/>
              </w:rPr>
              <w:t>3</w:t>
            </w:r>
          </w:p>
        </w:tc>
        <w:tc>
          <w:tcPr>
            <w:tcW w:w="12302" w:type="dxa"/>
            <w:gridSpan w:val="6"/>
            <w:shd w:val="clear" w:color="auto" w:fill="BFBFBF"/>
            <w:tcMar>
              <w:left w:w="28" w:type="dxa"/>
              <w:right w:w="28" w:type="dxa"/>
            </w:tcMar>
            <w:vAlign w:val="center"/>
          </w:tcPr>
          <w:p w14:paraId="05FEC434">
            <w:pPr>
              <w:spacing w:line="260" w:lineRule="exact"/>
              <w:rPr>
                <w:rFonts w:ascii="宋体" w:hAnsi="宋体" w:cs="宋体"/>
                <w:sz w:val="18"/>
                <w:highlight w:val="none"/>
              </w:rPr>
            </w:pPr>
            <w:r>
              <w:rPr>
                <w:rFonts w:hint="eastAsia" w:ascii="宋体" w:hAnsi="宋体" w:cs="宋体"/>
                <w:b/>
                <w:sz w:val="18"/>
                <w:highlight w:val="none"/>
              </w:rPr>
              <w:t>项目管理（15分）</w:t>
            </w:r>
          </w:p>
        </w:tc>
      </w:tr>
      <w:tr w14:paraId="54C424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1323DC39">
            <w:pPr>
              <w:spacing w:line="260" w:lineRule="exact"/>
              <w:jc w:val="center"/>
              <w:rPr>
                <w:rFonts w:ascii="宋体" w:hAnsi="宋体" w:cs="宋体"/>
                <w:sz w:val="18"/>
                <w:highlight w:val="none"/>
              </w:rPr>
            </w:pPr>
            <w:r>
              <w:rPr>
                <w:rFonts w:hint="eastAsia" w:ascii="宋体" w:hAnsi="宋体" w:cs="宋体"/>
                <w:b/>
                <w:bCs/>
                <w:sz w:val="18"/>
                <w:highlight w:val="none"/>
              </w:rPr>
              <w:t>3.1</w:t>
            </w:r>
          </w:p>
        </w:tc>
        <w:tc>
          <w:tcPr>
            <w:tcW w:w="1976" w:type="dxa"/>
            <w:tcMar>
              <w:left w:w="28" w:type="dxa"/>
              <w:right w:w="28" w:type="dxa"/>
            </w:tcMar>
            <w:vAlign w:val="center"/>
          </w:tcPr>
          <w:p w14:paraId="2B61561F">
            <w:pPr>
              <w:spacing w:line="260" w:lineRule="exact"/>
              <w:rPr>
                <w:rFonts w:ascii="宋体" w:hAnsi="宋体" w:cs="宋体"/>
                <w:b/>
                <w:sz w:val="18"/>
                <w:highlight w:val="none"/>
              </w:rPr>
            </w:pPr>
            <w:r>
              <w:rPr>
                <w:rFonts w:hint="eastAsia" w:ascii="宋体" w:hAnsi="宋体" w:cs="宋体"/>
                <w:b/>
                <w:bCs/>
                <w:sz w:val="18"/>
                <w:highlight w:val="none"/>
              </w:rPr>
              <w:t>策划管理</w:t>
            </w:r>
          </w:p>
        </w:tc>
        <w:tc>
          <w:tcPr>
            <w:tcW w:w="951" w:type="dxa"/>
            <w:tcMar>
              <w:left w:w="28" w:type="dxa"/>
              <w:right w:w="28" w:type="dxa"/>
            </w:tcMar>
            <w:vAlign w:val="center"/>
          </w:tcPr>
          <w:p w14:paraId="0AC7F5B2">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Mar>
              <w:left w:w="28" w:type="dxa"/>
              <w:right w:w="28" w:type="dxa"/>
            </w:tcMar>
            <w:vAlign w:val="center"/>
          </w:tcPr>
          <w:p w14:paraId="4FFB5297">
            <w:pPr>
              <w:spacing w:line="260" w:lineRule="exact"/>
              <w:rPr>
                <w:rFonts w:ascii="宋体" w:hAnsi="宋体" w:cs="宋体"/>
                <w:sz w:val="18"/>
                <w:highlight w:val="none"/>
              </w:rPr>
            </w:pPr>
            <w:r>
              <w:rPr>
                <w:rFonts w:hint="eastAsia" w:ascii="宋体" w:hAnsi="宋体" w:cs="宋体"/>
                <w:sz w:val="18"/>
                <w:highlight w:val="none"/>
              </w:rPr>
              <w:t>项目管理实施规划、强制性条文执行计划、施工安全管理及风险控制方案、施工质量通病防治措施、工程项目档案资料过程管控方案等策划文件。策划文件与实际实施一致，建设条件变化时及时修编，工程项目档案资料过程管控方案编制。（2分）</w:t>
            </w:r>
          </w:p>
        </w:tc>
        <w:tc>
          <w:tcPr>
            <w:tcW w:w="3890" w:type="dxa"/>
            <w:tcMar>
              <w:left w:w="28" w:type="dxa"/>
              <w:right w:w="28" w:type="dxa"/>
            </w:tcMar>
            <w:vAlign w:val="center"/>
          </w:tcPr>
          <w:p w14:paraId="3D5EB79D">
            <w:pPr>
              <w:spacing w:line="260" w:lineRule="exact"/>
              <w:rPr>
                <w:rFonts w:ascii="宋体" w:hAnsi="宋体" w:cs="宋体"/>
                <w:sz w:val="18"/>
                <w:highlight w:val="none"/>
              </w:rPr>
            </w:pPr>
            <w:r>
              <w:rPr>
                <w:rFonts w:hint="eastAsia" w:ascii="宋体" w:hAnsi="宋体" w:cs="宋体"/>
                <w:sz w:val="18"/>
                <w:highlight w:val="none"/>
              </w:rPr>
              <w:t>（1）存在内容不全面、不符合要求、方案未结合工程实际、引用过期文件，报审不及时、编审批不符合要求等不规范现象，每项扣0.5分；</w:t>
            </w:r>
          </w:p>
          <w:p w14:paraId="12D8CB8C">
            <w:pPr>
              <w:spacing w:line="260" w:lineRule="exact"/>
              <w:rPr>
                <w:rFonts w:ascii="宋体" w:hAnsi="宋体" w:cs="宋体"/>
                <w:sz w:val="18"/>
                <w:highlight w:val="none"/>
              </w:rPr>
            </w:pPr>
            <w:r>
              <w:rPr>
                <w:rFonts w:hint="eastAsia" w:ascii="宋体" w:hAnsi="宋体" w:cs="宋体"/>
                <w:sz w:val="18"/>
                <w:highlight w:val="none"/>
              </w:rPr>
              <w:t>（2）修编不及时，每项扣0.5分；</w:t>
            </w:r>
          </w:p>
          <w:p w14:paraId="31DB75F6">
            <w:pPr>
              <w:spacing w:line="260" w:lineRule="exact"/>
              <w:rPr>
                <w:rFonts w:ascii="宋体" w:hAnsi="宋体" w:cs="宋体"/>
                <w:b/>
                <w:sz w:val="18"/>
                <w:highlight w:val="none"/>
              </w:rPr>
            </w:pPr>
            <w:r>
              <w:rPr>
                <w:rFonts w:hint="eastAsia" w:ascii="宋体" w:hAnsi="宋体" w:cs="宋体"/>
                <w:sz w:val="18"/>
                <w:highlight w:val="none"/>
              </w:rPr>
              <w:t>（3）批准后的策划文件关键内容与实际实施存在明显差异，每项扣1分。</w:t>
            </w:r>
          </w:p>
        </w:tc>
        <w:tc>
          <w:tcPr>
            <w:tcW w:w="1117" w:type="dxa"/>
            <w:tcMar>
              <w:left w:w="28" w:type="dxa"/>
              <w:right w:w="28" w:type="dxa"/>
            </w:tcMar>
            <w:vAlign w:val="center"/>
          </w:tcPr>
          <w:p w14:paraId="559EAFB7">
            <w:pPr>
              <w:spacing w:line="260" w:lineRule="exact"/>
              <w:rPr>
                <w:rFonts w:ascii="宋体" w:hAnsi="宋体" w:cs="宋体"/>
                <w:sz w:val="18"/>
                <w:highlight w:val="none"/>
              </w:rPr>
            </w:pPr>
          </w:p>
        </w:tc>
        <w:tc>
          <w:tcPr>
            <w:tcW w:w="1020" w:type="dxa"/>
            <w:tcMar>
              <w:left w:w="28" w:type="dxa"/>
              <w:right w:w="28" w:type="dxa"/>
            </w:tcMar>
            <w:vAlign w:val="center"/>
          </w:tcPr>
          <w:p w14:paraId="72CFE20B">
            <w:pPr>
              <w:spacing w:line="260" w:lineRule="exact"/>
              <w:rPr>
                <w:rFonts w:ascii="宋体" w:hAnsi="宋体" w:cs="宋体"/>
                <w:sz w:val="18"/>
                <w:highlight w:val="none"/>
              </w:rPr>
            </w:pPr>
          </w:p>
        </w:tc>
      </w:tr>
      <w:tr w14:paraId="4A4FA2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7EA8712C">
            <w:pPr>
              <w:spacing w:line="260" w:lineRule="exact"/>
              <w:jc w:val="center"/>
              <w:rPr>
                <w:rFonts w:ascii="宋体" w:hAnsi="宋体" w:cs="宋体"/>
                <w:b/>
                <w:bCs/>
                <w:sz w:val="18"/>
                <w:highlight w:val="none"/>
              </w:rPr>
            </w:pPr>
            <w:r>
              <w:rPr>
                <w:rFonts w:hint="eastAsia" w:ascii="宋体" w:hAnsi="宋体" w:cs="宋体"/>
                <w:b/>
                <w:bCs/>
                <w:sz w:val="18"/>
                <w:highlight w:val="none"/>
              </w:rPr>
              <w:t>3.2</w:t>
            </w:r>
          </w:p>
        </w:tc>
        <w:tc>
          <w:tcPr>
            <w:tcW w:w="1976" w:type="dxa"/>
            <w:tcMar>
              <w:left w:w="28" w:type="dxa"/>
              <w:right w:w="28" w:type="dxa"/>
            </w:tcMar>
            <w:vAlign w:val="center"/>
          </w:tcPr>
          <w:p w14:paraId="6C9CD124">
            <w:pPr>
              <w:spacing w:line="260" w:lineRule="exact"/>
              <w:rPr>
                <w:rFonts w:ascii="宋体" w:hAnsi="宋体" w:cs="宋体"/>
                <w:b/>
                <w:sz w:val="18"/>
                <w:highlight w:val="none"/>
              </w:rPr>
            </w:pPr>
            <w:r>
              <w:rPr>
                <w:rFonts w:hint="eastAsia" w:ascii="宋体" w:hAnsi="宋体" w:cs="宋体"/>
                <w:b/>
                <w:sz w:val="18"/>
                <w:highlight w:val="none"/>
              </w:rPr>
              <w:t>开工管理</w:t>
            </w:r>
          </w:p>
        </w:tc>
        <w:tc>
          <w:tcPr>
            <w:tcW w:w="951" w:type="dxa"/>
            <w:tcMar>
              <w:left w:w="28" w:type="dxa"/>
              <w:right w:w="28" w:type="dxa"/>
            </w:tcMar>
            <w:vAlign w:val="center"/>
          </w:tcPr>
          <w:p w14:paraId="3C8F2570">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Mar>
              <w:left w:w="28" w:type="dxa"/>
              <w:right w:w="28" w:type="dxa"/>
            </w:tcMar>
            <w:vAlign w:val="center"/>
          </w:tcPr>
          <w:p w14:paraId="481096FA">
            <w:pPr>
              <w:spacing w:line="260" w:lineRule="exact"/>
              <w:rPr>
                <w:rFonts w:ascii="宋体" w:hAnsi="宋体" w:cs="宋体"/>
                <w:sz w:val="18"/>
                <w:highlight w:val="none"/>
              </w:rPr>
            </w:pPr>
            <w:r>
              <w:rPr>
                <w:rFonts w:hint="eastAsia" w:ascii="宋体" w:hAnsi="宋体" w:cs="宋体"/>
                <w:sz w:val="18"/>
                <w:highlight w:val="none"/>
              </w:rPr>
              <w:t>按要求落实标准化开工条件、上报开工报审表。（2分）</w:t>
            </w:r>
          </w:p>
        </w:tc>
        <w:tc>
          <w:tcPr>
            <w:tcW w:w="3890" w:type="dxa"/>
            <w:tcMar>
              <w:left w:w="28" w:type="dxa"/>
              <w:right w:w="28" w:type="dxa"/>
            </w:tcMar>
            <w:vAlign w:val="center"/>
          </w:tcPr>
          <w:p w14:paraId="27900BDC">
            <w:pPr>
              <w:spacing w:line="260" w:lineRule="exact"/>
              <w:rPr>
                <w:rFonts w:ascii="宋体" w:hAnsi="宋体" w:cs="宋体"/>
                <w:sz w:val="18"/>
                <w:highlight w:val="none"/>
              </w:rPr>
            </w:pPr>
            <w:r>
              <w:rPr>
                <w:rFonts w:hint="eastAsia" w:ascii="宋体" w:hAnsi="宋体" w:cs="宋体"/>
                <w:sz w:val="18"/>
                <w:highlight w:val="none"/>
              </w:rPr>
              <w:t>（1）现场准备不充分，开工报审内容不真实，每项扣1分；</w:t>
            </w:r>
          </w:p>
          <w:p w14:paraId="199E001D">
            <w:pPr>
              <w:spacing w:line="260" w:lineRule="exact"/>
              <w:rPr>
                <w:rFonts w:ascii="宋体" w:hAnsi="宋体" w:cs="宋体"/>
                <w:sz w:val="18"/>
                <w:highlight w:val="none"/>
              </w:rPr>
            </w:pPr>
            <w:r>
              <w:rPr>
                <w:rFonts w:hint="eastAsia" w:ascii="宋体" w:hAnsi="宋体" w:cs="宋体"/>
                <w:sz w:val="18"/>
                <w:highlight w:val="none"/>
              </w:rPr>
              <w:t>（2）未报审或未批准擅自开工，扣2分。</w:t>
            </w:r>
          </w:p>
        </w:tc>
        <w:tc>
          <w:tcPr>
            <w:tcW w:w="1117" w:type="dxa"/>
            <w:tcMar>
              <w:left w:w="28" w:type="dxa"/>
              <w:right w:w="28" w:type="dxa"/>
            </w:tcMar>
            <w:vAlign w:val="center"/>
          </w:tcPr>
          <w:p w14:paraId="69DB970D">
            <w:pPr>
              <w:spacing w:line="260" w:lineRule="exact"/>
              <w:rPr>
                <w:rFonts w:ascii="宋体" w:hAnsi="宋体" w:cs="宋体"/>
                <w:sz w:val="18"/>
                <w:highlight w:val="none"/>
              </w:rPr>
            </w:pPr>
          </w:p>
        </w:tc>
        <w:tc>
          <w:tcPr>
            <w:tcW w:w="1020" w:type="dxa"/>
            <w:tcMar>
              <w:left w:w="28" w:type="dxa"/>
              <w:right w:w="28" w:type="dxa"/>
            </w:tcMar>
            <w:vAlign w:val="center"/>
          </w:tcPr>
          <w:p w14:paraId="45E7A838">
            <w:pPr>
              <w:spacing w:line="260" w:lineRule="exact"/>
              <w:rPr>
                <w:rFonts w:ascii="宋体" w:hAnsi="宋体" w:cs="宋体"/>
                <w:sz w:val="18"/>
                <w:highlight w:val="none"/>
              </w:rPr>
            </w:pPr>
          </w:p>
        </w:tc>
      </w:tr>
      <w:tr w14:paraId="5EA67B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6B8D4C75">
            <w:pPr>
              <w:spacing w:line="260" w:lineRule="exact"/>
              <w:jc w:val="center"/>
              <w:rPr>
                <w:rFonts w:ascii="宋体" w:hAnsi="宋体" w:cs="宋体"/>
                <w:b/>
                <w:bCs/>
                <w:sz w:val="18"/>
                <w:highlight w:val="none"/>
              </w:rPr>
            </w:pPr>
            <w:r>
              <w:rPr>
                <w:rFonts w:hint="eastAsia" w:ascii="宋体" w:hAnsi="宋体" w:cs="宋体"/>
                <w:b/>
                <w:bCs/>
                <w:sz w:val="18"/>
                <w:highlight w:val="none"/>
              </w:rPr>
              <w:t>3.3</w:t>
            </w:r>
          </w:p>
        </w:tc>
        <w:tc>
          <w:tcPr>
            <w:tcW w:w="1976" w:type="dxa"/>
            <w:vMerge w:val="restart"/>
            <w:tcMar>
              <w:left w:w="28" w:type="dxa"/>
              <w:right w:w="28" w:type="dxa"/>
            </w:tcMar>
            <w:vAlign w:val="center"/>
          </w:tcPr>
          <w:p w14:paraId="5763D049">
            <w:pPr>
              <w:spacing w:line="260" w:lineRule="exact"/>
              <w:rPr>
                <w:rFonts w:ascii="宋体" w:hAnsi="宋体" w:cs="宋体"/>
                <w:b/>
                <w:bCs/>
                <w:sz w:val="18"/>
                <w:highlight w:val="none"/>
              </w:rPr>
            </w:pPr>
            <w:r>
              <w:rPr>
                <w:rFonts w:hint="eastAsia" w:ascii="宋体" w:hAnsi="宋体" w:cs="宋体"/>
                <w:b/>
                <w:bCs/>
                <w:sz w:val="18"/>
                <w:highlight w:val="none"/>
              </w:rPr>
              <w:t>进度管理</w:t>
            </w:r>
          </w:p>
        </w:tc>
        <w:tc>
          <w:tcPr>
            <w:tcW w:w="951" w:type="dxa"/>
            <w:vMerge w:val="restart"/>
            <w:tcMar>
              <w:left w:w="28" w:type="dxa"/>
              <w:right w:w="28" w:type="dxa"/>
            </w:tcMar>
            <w:vAlign w:val="center"/>
          </w:tcPr>
          <w:p w14:paraId="15000C97">
            <w:pPr>
              <w:spacing w:line="260" w:lineRule="exact"/>
              <w:jc w:val="center"/>
              <w:rPr>
                <w:rFonts w:ascii="宋体" w:hAnsi="宋体" w:cs="宋体"/>
                <w:sz w:val="18"/>
                <w:highlight w:val="none"/>
              </w:rPr>
            </w:pPr>
            <w:r>
              <w:rPr>
                <w:rFonts w:hint="eastAsia" w:ascii="宋体" w:hAnsi="宋体" w:cs="宋体"/>
                <w:sz w:val="18"/>
                <w:highlight w:val="none"/>
              </w:rPr>
              <w:t>4</w:t>
            </w:r>
          </w:p>
        </w:tc>
        <w:tc>
          <w:tcPr>
            <w:tcW w:w="3348" w:type="dxa"/>
            <w:tcMar>
              <w:left w:w="28" w:type="dxa"/>
              <w:right w:w="28" w:type="dxa"/>
            </w:tcMar>
            <w:vAlign w:val="center"/>
          </w:tcPr>
          <w:p w14:paraId="525C57B8">
            <w:pPr>
              <w:spacing w:line="260" w:lineRule="exact"/>
              <w:rPr>
                <w:rFonts w:ascii="宋体" w:hAnsi="宋体" w:cs="宋体"/>
                <w:sz w:val="18"/>
                <w:highlight w:val="none"/>
              </w:rPr>
            </w:pPr>
            <w:r>
              <w:rPr>
                <w:rFonts w:hint="eastAsia" w:ascii="宋体" w:hAnsi="宋体" w:cs="宋体"/>
                <w:sz w:val="18"/>
                <w:highlight w:val="none"/>
              </w:rPr>
              <w:t>编制施工进度计划并报审，对进度计划进行过程动态管理，落实业主方进度计划管理要求；根据工程实际，合理调配资源，保障进度计划有效执行；施工进度与计划存在偏差，无法满足进度计划节点要求时，及时滚动修编进度计划并报审。工程停复工时及时办理相关手续。（</w:t>
            </w:r>
            <w:r>
              <w:rPr>
                <w:rFonts w:hint="eastAsia" w:ascii="宋体" w:hAnsi="宋体" w:cs="宋体"/>
                <w:sz w:val="15"/>
                <w:szCs w:val="15"/>
                <w:highlight w:val="none"/>
              </w:rPr>
              <w:t>2</w:t>
            </w:r>
            <w:r>
              <w:rPr>
                <w:rFonts w:hint="eastAsia" w:ascii="宋体" w:hAnsi="宋体" w:cs="宋体"/>
                <w:sz w:val="18"/>
                <w:highlight w:val="none"/>
              </w:rPr>
              <w:t>分）</w:t>
            </w:r>
          </w:p>
        </w:tc>
        <w:tc>
          <w:tcPr>
            <w:tcW w:w="3890" w:type="dxa"/>
            <w:tcMar>
              <w:left w:w="28" w:type="dxa"/>
              <w:right w:w="28" w:type="dxa"/>
            </w:tcMar>
            <w:vAlign w:val="center"/>
          </w:tcPr>
          <w:p w14:paraId="6636EDBF">
            <w:pPr>
              <w:spacing w:line="260" w:lineRule="exact"/>
              <w:rPr>
                <w:rFonts w:ascii="宋体" w:hAnsi="宋体" w:cs="宋体"/>
                <w:sz w:val="18"/>
                <w:highlight w:val="none"/>
              </w:rPr>
            </w:pPr>
            <w:r>
              <w:rPr>
                <w:rFonts w:hint="eastAsia" w:ascii="宋体" w:hAnsi="宋体" w:cs="宋体"/>
                <w:sz w:val="18"/>
                <w:highlight w:val="none"/>
              </w:rPr>
              <w:t>（1）未编制施工进度计划扣1分；未及时编制停电需求计划（如有）并上报，每项扣0.5分/次。</w:t>
            </w:r>
          </w:p>
          <w:p w14:paraId="148B45C0">
            <w:pPr>
              <w:spacing w:line="260" w:lineRule="exact"/>
              <w:rPr>
                <w:rFonts w:ascii="宋体" w:hAnsi="宋体" w:cs="宋体"/>
                <w:sz w:val="18"/>
                <w:highlight w:val="none"/>
              </w:rPr>
            </w:pPr>
            <w:r>
              <w:rPr>
                <w:rFonts w:hint="eastAsia" w:ascii="宋体" w:hAnsi="宋体" w:cs="宋体"/>
                <w:sz w:val="18"/>
                <w:highlight w:val="none"/>
              </w:rPr>
              <w:t>（2）施工进度计划不满足关键进度节点要求且未采取有效纠偏措施，每次扣1分；施工资源未按计划按时到位，每次扣0.5分</w:t>
            </w:r>
          </w:p>
          <w:p w14:paraId="34CA8B72">
            <w:pPr>
              <w:spacing w:line="260" w:lineRule="exact"/>
              <w:rPr>
                <w:rFonts w:ascii="宋体" w:hAnsi="宋体" w:cs="宋体"/>
                <w:sz w:val="18"/>
                <w:highlight w:val="none"/>
              </w:rPr>
            </w:pPr>
            <w:r>
              <w:rPr>
                <w:rFonts w:hint="eastAsia" w:ascii="宋体" w:hAnsi="宋体" w:cs="宋体"/>
                <w:sz w:val="18"/>
                <w:highlight w:val="none"/>
              </w:rPr>
              <w:t>（3）业主要求的施工措施未要求到位，每次扣0.5分；</w:t>
            </w:r>
          </w:p>
          <w:p w14:paraId="3E56E11A">
            <w:pPr>
              <w:spacing w:line="260" w:lineRule="exact"/>
              <w:rPr>
                <w:rFonts w:ascii="宋体" w:hAnsi="宋体" w:cs="宋体"/>
                <w:sz w:val="18"/>
                <w:highlight w:val="none"/>
              </w:rPr>
            </w:pPr>
            <w:r>
              <w:rPr>
                <w:rFonts w:hint="eastAsia" w:ascii="宋体" w:hAnsi="宋体" w:cs="宋体"/>
                <w:sz w:val="18"/>
                <w:highlight w:val="none"/>
              </w:rPr>
              <w:t>（4）未定期（每月）分析、总结计划执行情况，每次扣0.5分；</w:t>
            </w:r>
          </w:p>
          <w:p w14:paraId="0A061006">
            <w:pPr>
              <w:spacing w:line="260" w:lineRule="exact"/>
              <w:rPr>
                <w:rFonts w:ascii="宋体" w:hAnsi="宋体" w:cs="宋体"/>
                <w:sz w:val="18"/>
                <w:highlight w:val="none"/>
              </w:rPr>
            </w:pPr>
            <w:r>
              <w:rPr>
                <w:rFonts w:hint="eastAsia" w:ascii="宋体" w:hAnsi="宋体" w:cs="宋体"/>
                <w:sz w:val="18"/>
                <w:highlight w:val="none"/>
              </w:rPr>
              <w:t>（5）工程停、复工未办理停复工批准手续，每次扣0.5分。</w:t>
            </w:r>
          </w:p>
        </w:tc>
        <w:tc>
          <w:tcPr>
            <w:tcW w:w="1117" w:type="dxa"/>
            <w:tcMar>
              <w:left w:w="28" w:type="dxa"/>
              <w:right w:w="28" w:type="dxa"/>
            </w:tcMar>
            <w:vAlign w:val="center"/>
          </w:tcPr>
          <w:p w14:paraId="1466C272">
            <w:pPr>
              <w:spacing w:line="260" w:lineRule="exact"/>
              <w:rPr>
                <w:rFonts w:ascii="宋体" w:hAnsi="宋体" w:cs="宋体"/>
                <w:sz w:val="18"/>
                <w:highlight w:val="none"/>
              </w:rPr>
            </w:pPr>
          </w:p>
        </w:tc>
        <w:tc>
          <w:tcPr>
            <w:tcW w:w="1020" w:type="dxa"/>
            <w:tcMar>
              <w:left w:w="28" w:type="dxa"/>
              <w:right w:w="28" w:type="dxa"/>
            </w:tcMar>
            <w:vAlign w:val="center"/>
          </w:tcPr>
          <w:p w14:paraId="0EEEEAC0">
            <w:pPr>
              <w:spacing w:line="260" w:lineRule="exact"/>
              <w:rPr>
                <w:rFonts w:ascii="宋体" w:hAnsi="宋体" w:cs="宋体"/>
                <w:sz w:val="18"/>
                <w:highlight w:val="none"/>
              </w:rPr>
            </w:pPr>
          </w:p>
          <w:p w14:paraId="3F80F903">
            <w:pPr>
              <w:spacing w:line="260" w:lineRule="exact"/>
              <w:rPr>
                <w:rFonts w:ascii="宋体" w:hAnsi="宋体" w:cs="宋体"/>
                <w:sz w:val="18"/>
                <w:highlight w:val="none"/>
              </w:rPr>
            </w:pPr>
          </w:p>
          <w:p w14:paraId="35F65552">
            <w:pPr>
              <w:spacing w:line="260" w:lineRule="exact"/>
              <w:rPr>
                <w:rFonts w:ascii="宋体" w:hAnsi="宋体" w:cs="宋体"/>
                <w:sz w:val="18"/>
                <w:highlight w:val="none"/>
              </w:rPr>
            </w:pPr>
          </w:p>
          <w:p w14:paraId="1E4CC1F7">
            <w:pPr>
              <w:spacing w:line="260" w:lineRule="exact"/>
              <w:rPr>
                <w:rFonts w:ascii="宋体" w:hAnsi="宋体" w:cs="宋体"/>
                <w:sz w:val="18"/>
                <w:highlight w:val="none"/>
              </w:rPr>
            </w:pPr>
          </w:p>
          <w:p w14:paraId="6F2B4FB4">
            <w:pPr>
              <w:spacing w:line="260" w:lineRule="exact"/>
              <w:rPr>
                <w:rFonts w:ascii="宋体" w:hAnsi="宋体" w:cs="宋体"/>
                <w:sz w:val="18"/>
                <w:highlight w:val="none"/>
              </w:rPr>
            </w:pPr>
          </w:p>
          <w:p w14:paraId="5DE129C1">
            <w:pPr>
              <w:spacing w:line="260" w:lineRule="exact"/>
              <w:rPr>
                <w:rFonts w:ascii="宋体" w:hAnsi="宋体" w:cs="宋体"/>
                <w:sz w:val="18"/>
                <w:highlight w:val="none"/>
              </w:rPr>
            </w:pPr>
          </w:p>
          <w:p w14:paraId="0576D813">
            <w:pPr>
              <w:spacing w:line="260" w:lineRule="exact"/>
              <w:rPr>
                <w:rFonts w:ascii="宋体" w:hAnsi="宋体" w:cs="宋体"/>
                <w:sz w:val="18"/>
                <w:highlight w:val="none"/>
              </w:rPr>
            </w:pPr>
          </w:p>
          <w:p w14:paraId="4782FBB8">
            <w:pPr>
              <w:spacing w:line="260" w:lineRule="exact"/>
              <w:rPr>
                <w:rFonts w:ascii="宋体" w:hAnsi="宋体" w:cs="宋体"/>
                <w:sz w:val="18"/>
                <w:highlight w:val="none"/>
              </w:rPr>
            </w:pPr>
          </w:p>
          <w:p w14:paraId="0BB2D35B">
            <w:pPr>
              <w:spacing w:line="260" w:lineRule="exact"/>
              <w:rPr>
                <w:rFonts w:ascii="宋体" w:hAnsi="宋体" w:cs="宋体"/>
                <w:sz w:val="18"/>
                <w:highlight w:val="none"/>
              </w:rPr>
            </w:pPr>
          </w:p>
          <w:p w14:paraId="673638D1">
            <w:pPr>
              <w:spacing w:line="260" w:lineRule="exact"/>
              <w:rPr>
                <w:rFonts w:ascii="宋体" w:hAnsi="宋体" w:cs="宋体"/>
                <w:sz w:val="18"/>
                <w:highlight w:val="none"/>
              </w:rPr>
            </w:pPr>
          </w:p>
        </w:tc>
      </w:tr>
      <w:tr w14:paraId="42D4D9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5998EDA2">
            <w:pPr>
              <w:spacing w:line="260" w:lineRule="exact"/>
              <w:jc w:val="center"/>
              <w:rPr>
                <w:rFonts w:ascii="宋体" w:hAnsi="宋体" w:cs="宋体"/>
                <w:sz w:val="18"/>
                <w:highlight w:val="none"/>
              </w:rPr>
            </w:pPr>
          </w:p>
        </w:tc>
        <w:tc>
          <w:tcPr>
            <w:tcW w:w="1976" w:type="dxa"/>
            <w:vMerge w:val="continue"/>
            <w:tcBorders>
              <w:bottom w:val="single" w:color="000000" w:sz="6" w:space="0"/>
            </w:tcBorders>
            <w:tcMar>
              <w:left w:w="28" w:type="dxa"/>
              <w:right w:w="28" w:type="dxa"/>
            </w:tcMar>
            <w:vAlign w:val="center"/>
          </w:tcPr>
          <w:p w14:paraId="1B4D7DC3">
            <w:pPr>
              <w:spacing w:line="260" w:lineRule="exact"/>
              <w:rPr>
                <w:rFonts w:ascii="宋体" w:hAnsi="宋体" w:cs="宋体"/>
                <w:sz w:val="18"/>
                <w:highlight w:val="none"/>
              </w:rPr>
            </w:pPr>
          </w:p>
        </w:tc>
        <w:tc>
          <w:tcPr>
            <w:tcW w:w="951" w:type="dxa"/>
            <w:vMerge w:val="continue"/>
            <w:tcBorders>
              <w:bottom w:val="single" w:color="000000" w:sz="6" w:space="0"/>
            </w:tcBorders>
            <w:tcMar>
              <w:left w:w="28" w:type="dxa"/>
              <w:right w:w="28" w:type="dxa"/>
            </w:tcMar>
            <w:vAlign w:val="center"/>
          </w:tcPr>
          <w:p w14:paraId="405903FB">
            <w:pPr>
              <w:spacing w:line="260" w:lineRule="exact"/>
              <w:jc w:val="center"/>
              <w:rPr>
                <w:rFonts w:ascii="宋体" w:hAnsi="宋体" w:cs="宋体"/>
                <w:sz w:val="18"/>
                <w:highlight w:val="none"/>
              </w:rPr>
            </w:pPr>
          </w:p>
        </w:tc>
        <w:tc>
          <w:tcPr>
            <w:tcW w:w="3348" w:type="dxa"/>
            <w:tcBorders>
              <w:bottom w:val="single" w:color="000000" w:sz="6" w:space="0"/>
            </w:tcBorders>
            <w:tcMar>
              <w:left w:w="28" w:type="dxa"/>
              <w:right w:w="28" w:type="dxa"/>
            </w:tcMar>
            <w:vAlign w:val="center"/>
          </w:tcPr>
          <w:p w14:paraId="7291E7D3">
            <w:pPr>
              <w:spacing w:line="260" w:lineRule="exact"/>
              <w:rPr>
                <w:rFonts w:ascii="宋体" w:hAnsi="宋体" w:cs="宋体"/>
                <w:sz w:val="18"/>
                <w:highlight w:val="none"/>
              </w:rPr>
            </w:pPr>
            <w:r>
              <w:rPr>
                <w:rFonts w:hint="eastAsia" w:ascii="宋体" w:hAnsi="宋体" w:cs="宋体"/>
                <w:sz w:val="18"/>
                <w:highlight w:val="none"/>
              </w:rPr>
              <w:t>及时提出与进度计划相关的图纸需求、设备物资需求、工序交接需求。在各施工单位进行交叉平行施工时，其施工顺序和节点应服从业主或监理项目部统一安排。（2分）</w:t>
            </w:r>
          </w:p>
        </w:tc>
        <w:tc>
          <w:tcPr>
            <w:tcW w:w="3890" w:type="dxa"/>
            <w:tcBorders>
              <w:bottom w:val="single" w:color="000000" w:sz="6" w:space="0"/>
            </w:tcBorders>
            <w:tcMar>
              <w:left w:w="28" w:type="dxa"/>
              <w:right w:w="28" w:type="dxa"/>
            </w:tcMar>
            <w:vAlign w:val="center"/>
          </w:tcPr>
          <w:p w14:paraId="16827BD4">
            <w:pPr>
              <w:spacing w:line="260" w:lineRule="exact"/>
              <w:rPr>
                <w:rFonts w:ascii="宋体" w:hAnsi="宋体" w:cs="宋体"/>
                <w:sz w:val="18"/>
                <w:highlight w:val="none"/>
              </w:rPr>
            </w:pPr>
            <w:r>
              <w:rPr>
                <w:rFonts w:hint="eastAsia" w:ascii="宋体" w:hAnsi="宋体" w:cs="宋体"/>
                <w:sz w:val="18"/>
                <w:highlight w:val="none"/>
              </w:rPr>
              <w:t>（1）未及时提出与进度计划相关的图纸需求、设备物资需求、工序交接需求，扣1分。</w:t>
            </w:r>
          </w:p>
          <w:p w14:paraId="4AFF7091">
            <w:pPr>
              <w:spacing w:line="260" w:lineRule="exact"/>
              <w:rPr>
                <w:rFonts w:ascii="宋体" w:hAnsi="宋体" w:cs="宋体"/>
                <w:sz w:val="18"/>
                <w:highlight w:val="none"/>
              </w:rPr>
            </w:pPr>
            <w:r>
              <w:rPr>
                <w:rFonts w:hint="eastAsia" w:ascii="宋体" w:hAnsi="宋体" w:cs="宋体"/>
                <w:sz w:val="18"/>
                <w:highlight w:val="none"/>
              </w:rPr>
              <w:t>（2）未按业主或监理业主项目部统一安排开展工作，每次扣0.5分。</w:t>
            </w:r>
          </w:p>
        </w:tc>
        <w:tc>
          <w:tcPr>
            <w:tcW w:w="1117" w:type="dxa"/>
            <w:tcBorders>
              <w:bottom w:val="single" w:color="000000" w:sz="6" w:space="0"/>
            </w:tcBorders>
            <w:tcMar>
              <w:left w:w="28" w:type="dxa"/>
              <w:right w:w="28" w:type="dxa"/>
            </w:tcMar>
            <w:vAlign w:val="center"/>
          </w:tcPr>
          <w:p w14:paraId="7AF9B01D">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62AF6BBB">
            <w:pPr>
              <w:spacing w:line="260" w:lineRule="exact"/>
              <w:rPr>
                <w:rFonts w:ascii="宋体" w:hAnsi="宋体" w:cs="宋体"/>
                <w:sz w:val="18"/>
                <w:highlight w:val="none"/>
              </w:rPr>
            </w:pPr>
          </w:p>
        </w:tc>
      </w:tr>
      <w:tr w14:paraId="5AE802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1BBC5754">
            <w:pPr>
              <w:spacing w:line="260" w:lineRule="exact"/>
              <w:jc w:val="center"/>
              <w:rPr>
                <w:rFonts w:ascii="宋体" w:hAnsi="宋体" w:cs="宋体"/>
                <w:sz w:val="18"/>
                <w:highlight w:val="none"/>
              </w:rPr>
            </w:pPr>
            <w:r>
              <w:rPr>
                <w:rFonts w:hint="eastAsia" w:ascii="宋体" w:hAnsi="宋体" w:cs="宋体"/>
                <w:b/>
                <w:bCs/>
                <w:sz w:val="18"/>
                <w:highlight w:val="none"/>
              </w:rPr>
              <w:t>3.4</w:t>
            </w:r>
          </w:p>
        </w:tc>
        <w:tc>
          <w:tcPr>
            <w:tcW w:w="1976" w:type="dxa"/>
            <w:vMerge w:val="restart"/>
            <w:tcMar>
              <w:left w:w="28" w:type="dxa"/>
              <w:right w:w="28" w:type="dxa"/>
            </w:tcMar>
            <w:vAlign w:val="center"/>
          </w:tcPr>
          <w:p w14:paraId="00074B50">
            <w:pPr>
              <w:spacing w:line="260" w:lineRule="exact"/>
              <w:rPr>
                <w:rFonts w:ascii="宋体" w:hAnsi="宋体" w:cs="宋体"/>
                <w:sz w:val="18"/>
                <w:highlight w:val="none"/>
              </w:rPr>
            </w:pPr>
            <w:r>
              <w:rPr>
                <w:rFonts w:hint="eastAsia" w:ascii="宋体" w:hAnsi="宋体" w:cs="宋体"/>
                <w:b/>
                <w:sz w:val="18"/>
                <w:highlight w:val="none"/>
              </w:rPr>
              <w:t>协调管理</w:t>
            </w:r>
          </w:p>
        </w:tc>
        <w:tc>
          <w:tcPr>
            <w:tcW w:w="951" w:type="dxa"/>
            <w:vMerge w:val="restart"/>
            <w:tcMar>
              <w:left w:w="28" w:type="dxa"/>
              <w:right w:w="28" w:type="dxa"/>
            </w:tcMar>
            <w:vAlign w:val="center"/>
          </w:tcPr>
          <w:p w14:paraId="4F7E691D">
            <w:pPr>
              <w:spacing w:line="260" w:lineRule="exact"/>
              <w:jc w:val="center"/>
              <w:rPr>
                <w:rFonts w:ascii="宋体" w:hAnsi="宋体" w:cs="宋体"/>
                <w:sz w:val="18"/>
                <w:highlight w:val="none"/>
              </w:rPr>
            </w:pPr>
            <w:r>
              <w:rPr>
                <w:rFonts w:hint="eastAsia" w:ascii="宋体" w:hAnsi="宋体" w:cs="宋体"/>
                <w:sz w:val="18"/>
                <w:highlight w:val="none"/>
              </w:rPr>
              <w:t>3</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tcPr>
          <w:p w14:paraId="54DF62A8">
            <w:pPr>
              <w:spacing w:line="260" w:lineRule="exact"/>
              <w:rPr>
                <w:rFonts w:ascii="宋体" w:hAnsi="宋体" w:cs="宋体"/>
                <w:sz w:val="18"/>
                <w:highlight w:val="none"/>
              </w:rPr>
            </w:pPr>
            <w:r>
              <w:rPr>
                <w:rFonts w:hint="eastAsia" w:ascii="宋体" w:hAnsi="宋体" w:cs="宋体"/>
                <w:sz w:val="18"/>
                <w:highlight w:val="none"/>
              </w:rPr>
              <w:t>加强外部协调，确保工程建设期间不发生因施工原因造成的上访、堵门等群体性事件，做好政府部门协调工作。（2分）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tcPr>
          <w:p w14:paraId="46C143B2">
            <w:pPr>
              <w:spacing w:line="260" w:lineRule="exact"/>
              <w:rPr>
                <w:rFonts w:ascii="宋体" w:hAnsi="宋体" w:cs="宋体"/>
                <w:sz w:val="18"/>
                <w:highlight w:val="none"/>
              </w:rPr>
            </w:pPr>
            <w:r>
              <w:rPr>
                <w:rFonts w:ascii="宋体" w:hAnsi="宋体" w:cs="宋体"/>
                <w:sz w:val="18"/>
                <w:highlight w:val="none"/>
              </w:rPr>
              <w:t>（1）上访一次扣2分</w:t>
            </w:r>
            <w:r>
              <w:rPr>
                <w:rFonts w:hint="eastAsia" w:ascii="宋体" w:hAnsi="宋体" w:cs="宋体"/>
                <w:sz w:val="18"/>
                <w:highlight w:val="none"/>
              </w:rPr>
              <w:t>；</w:t>
            </w:r>
            <w:r>
              <w:rPr>
                <w:rFonts w:ascii="宋体" w:hAnsi="宋体" w:cs="宋体"/>
                <w:sz w:val="18"/>
                <w:highlight w:val="none"/>
              </w:rPr>
              <w:t>被政府部门处罚一次扣2分</w:t>
            </w:r>
            <w:r>
              <w:rPr>
                <w:rFonts w:hint="eastAsia" w:ascii="宋体" w:hAnsi="宋体" w:cs="宋体"/>
                <w:sz w:val="18"/>
                <w:highlight w:val="none"/>
              </w:rPr>
              <w:t>；</w:t>
            </w:r>
            <w:r>
              <w:rPr>
                <w:rFonts w:ascii="宋体" w:hAnsi="宋体" w:cs="宋体"/>
                <w:sz w:val="18"/>
                <w:highlight w:val="none"/>
              </w:rPr>
              <w:t>堵门一次扣1分</w:t>
            </w:r>
            <w:r>
              <w:rPr>
                <w:rFonts w:hint="eastAsia" w:ascii="宋体" w:hAnsi="宋体" w:cs="宋体"/>
                <w:sz w:val="18"/>
                <w:highlight w:val="none"/>
              </w:rPr>
              <w:t>；</w:t>
            </w:r>
          </w:p>
          <w:p w14:paraId="181B796C">
            <w:pPr>
              <w:tabs>
                <w:tab w:val="center" w:pos="4153"/>
                <w:tab w:val="right" w:pos="8306"/>
              </w:tabs>
              <w:spacing w:line="260" w:lineRule="exact"/>
              <w:rPr>
                <w:rFonts w:ascii="宋体" w:hAnsi="宋体" w:cs="宋体"/>
                <w:sz w:val="18"/>
                <w:highlight w:val="none"/>
              </w:rPr>
            </w:pPr>
            <w:r>
              <w:rPr>
                <w:rFonts w:hint="eastAsia" w:ascii="宋体" w:hAnsi="宋体" w:cs="宋体"/>
                <w:sz w:val="18"/>
                <w:highlight w:val="none"/>
              </w:rPr>
              <w:t>（2）因施工单位与劳务分包单位、所属劳务分包单位与施工队伍、劳务人员欠薪，导致的投诉合同纠纷及欠薪事件，扣2分。</w:t>
            </w:r>
          </w:p>
        </w:tc>
        <w:tc>
          <w:tcPr>
            <w:tcW w:w="1117" w:type="dxa"/>
            <w:tcMar>
              <w:left w:w="28" w:type="dxa"/>
              <w:right w:w="28" w:type="dxa"/>
            </w:tcMar>
            <w:vAlign w:val="center"/>
          </w:tcPr>
          <w:p w14:paraId="4C0C0C26">
            <w:pPr>
              <w:spacing w:line="260" w:lineRule="exact"/>
              <w:rPr>
                <w:rFonts w:ascii="宋体" w:hAnsi="宋体" w:cs="宋体"/>
                <w:sz w:val="18"/>
                <w:highlight w:val="none"/>
              </w:rPr>
            </w:pPr>
          </w:p>
        </w:tc>
        <w:tc>
          <w:tcPr>
            <w:tcW w:w="1020" w:type="dxa"/>
            <w:tcMar>
              <w:left w:w="28" w:type="dxa"/>
              <w:right w:w="28" w:type="dxa"/>
            </w:tcMar>
            <w:vAlign w:val="center"/>
          </w:tcPr>
          <w:p w14:paraId="6BA15255">
            <w:pPr>
              <w:spacing w:line="260" w:lineRule="exact"/>
              <w:rPr>
                <w:rFonts w:ascii="宋体" w:hAnsi="宋体" w:cs="宋体"/>
                <w:sz w:val="18"/>
                <w:highlight w:val="none"/>
              </w:rPr>
            </w:pPr>
          </w:p>
        </w:tc>
      </w:tr>
      <w:tr w14:paraId="681E23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51AD85F5">
            <w:pPr>
              <w:spacing w:line="260" w:lineRule="exact"/>
              <w:jc w:val="center"/>
              <w:rPr>
                <w:rFonts w:ascii="宋体" w:hAnsi="宋体" w:cs="宋体"/>
                <w:sz w:val="18"/>
                <w:highlight w:val="none"/>
              </w:rPr>
            </w:pPr>
          </w:p>
        </w:tc>
        <w:tc>
          <w:tcPr>
            <w:tcW w:w="1976" w:type="dxa"/>
            <w:vMerge w:val="continue"/>
            <w:tcMar>
              <w:left w:w="28" w:type="dxa"/>
              <w:right w:w="28" w:type="dxa"/>
            </w:tcMar>
            <w:vAlign w:val="center"/>
          </w:tcPr>
          <w:p w14:paraId="0D6FF295">
            <w:pPr>
              <w:spacing w:line="260" w:lineRule="exact"/>
              <w:rPr>
                <w:rFonts w:ascii="宋体" w:hAnsi="宋体" w:cs="宋体"/>
                <w:sz w:val="18"/>
                <w:highlight w:val="none"/>
              </w:rPr>
            </w:pPr>
          </w:p>
        </w:tc>
        <w:tc>
          <w:tcPr>
            <w:tcW w:w="951" w:type="dxa"/>
            <w:vMerge w:val="continue"/>
            <w:tcMar>
              <w:left w:w="28" w:type="dxa"/>
              <w:right w:w="28" w:type="dxa"/>
            </w:tcMar>
            <w:vAlign w:val="center"/>
          </w:tcPr>
          <w:p w14:paraId="79D44440">
            <w:pPr>
              <w:spacing w:line="260" w:lineRule="exact"/>
              <w:jc w:val="center"/>
              <w:rPr>
                <w:rFonts w:ascii="宋体" w:hAnsi="宋体" w:cs="宋体"/>
                <w:sz w:val="18"/>
                <w:highlight w:val="none"/>
              </w:rPr>
            </w:pP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1C46271E">
            <w:pPr>
              <w:spacing w:line="260" w:lineRule="exact"/>
              <w:rPr>
                <w:rFonts w:ascii="宋体" w:hAnsi="宋体" w:cs="宋体"/>
                <w:sz w:val="18"/>
                <w:highlight w:val="none"/>
              </w:rPr>
            </w:pPr>
            <w:r>
              <w:rPr>
                <w:rFonts w:hint="eastAsia" w:ascii="宋体" w:hAnsi="宋体" w:cs="宋体"/>
                <w:sz w:val="18"/>
                <w:highlight w:val="none"/>
              </w:rPr>
              <w:t>及时响应业主、监理项目部的各项工作要求；对内部人员需进行有效管理，杜绝出现吵架、打架斗殴等现象。（1分）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5385D01F">
            <w:pPr>
              <w:spacing w:line="260" w:lineRule="exact"/>
              <w:rPr>
                <w:rFonts w:ascii="宋体" w:hAnsi="宋体" w:cs="宋体"/>
                <w:sz w:val="18"/>
                <w:highlight w:val="none"/>
              </w:rPr>
            </w:pPr>
            <w:r>
              <w:rPr>
                <w:rFonts w:hint="eastAsia" w:ascii="宋体" w:hAnsi="宋体" w:cs="宋体"/>
                <w:sz w:val="18"/>
                <w:highlight w:val="none"/>
              </w:rPr>
              <w:t>（1）一次不响应业主项目部的工作要求，一次扣0.5分；</w:t>
            </w:r>
          </w:p>
          <w:p w14:paraId="19381ACE">
            <w:pPr>
              <w:spacing w:line="260" w:lineRule="exact"/>
              <w:rPr>
                <w:rFonts w:ascii="宋体" w:hAnsi="宋体" w:cs="宋体"/>
                <w:sz w:val="18"/>
                <w:highlight w:val="none"/>
              </w:rPr>
            </w:pPr>
            <w:r>
              <w:rPr>
                <w:rFonts w:hint="eastAsia" w:ascii="宋体" w:hAnsi="宋体" w:cs="宋体"/>
                <w:sz w:val="18"/>
                <w:highlight w:val="none"/>
              </w:rPr>
              <w:t>（2）现场出现吵架、打架斗殴等现象，一次扣0.5分。</w:t>
            </w:r>
          </w:p>
        </w:tc>
        <w:tc>
          <w:tcPr>
            <w:tcW w:w="1117" w:type="dxa"/>
            <w:tcMar>
              <w:left w:w="28" w:type="dxa"/>
              <w:right w:w="28" w:type="dxa"/>
            </w:tcMar>
            <w:vAlign w:val="center"/>
          </w:tcPr>
          <w:p w14:paraId="42CBA05E">
            <w:pPr>
              <w:spacing w:line="260" w:lineRule="exact"/>
              <w:rPr>
                <w:rFonts w:ascii="宋体" w:hAnsi="宋体" w:cs="宋体"/>
                <w:sz w:val="18"/>
                <w:highlight w:val="none"/>
              </w:rPr>
            </w:pPr>
          </w:p>
        </w:tc>
        <w:tc>
          <w:tcPr>
            <w:tcW w:w="1020" w:type="dxa"/>
            <w:tcMar>
              <w:left w:w="28" w:type="dxa"/>
              <w:right w:w="28" w:type="dxa"/>
            </w:tcMar>
            <w:vAlign w:val="center"/>
          </w:tcPr>
          <w:p w14:paraId="180FC8F4">
            <w:pPr>
              <w:spacing w:line="260" w:lineRule="exact"/>
              <w:rPr>
                <w:rFonts w:ascii="宋体" w:hAnsi="宋体" w:cs="宋体"/>
                <w:sz w:val="18"/>
                <w:highlight w:val="none"/>
              </w:rPr>
            </w:pPr>
          </w:p>
        </w:tc>
      </w:tr>
      <w:tr w14:paraId="57CCCB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5CC3288C">
            <w:pPr>
              <w:spacing w:line="260" w:lineRule="exact"/>
              <w:jc w:val="center"/>
              <w:rPr>
                <w:rFonts w:ascii="宋体" w:hAnsi="宋体" w:cs="宋体"/>
                <w:b/>
                <w:bCs/>
                <w:sz w:val="18"/>
                <w:highlight w:val="none"/>
              </w:rPr>
            </w:pPr>
            <w:r>
              <w:rPr>
                <w:rFonts w:hint="eastAsia" w:ascii="宋体" w:hAnsi="宋体" w:cs="宋体"/>
                <w:b/>
                <w:bCs/>
                <w:sz w:val="18"/>
                <w:highlight w:val="none"/>
              </w:rPr>
              <w:t>3.5</w:t>
            </w:r>
          </w:p>
        </w:tc>
        <w:tc>
          <w:tcPr>
            <w:tcW w:w="1976" w:type="dxa"/>
            <w:tcMar>
              <w:left w:w="28" w:type="dxa"/>
              <w:right w:w="28" w:type="dxa"/>
            </w:tcMar>
            <w:vAlign w:val="center"/>
          </w:tcPr>
          <w:p w14:paraId="02781C39">
            <w:pPr>
              <w:spacing w:line="260" w:lineRule="exact"/>
              <w:rPr>
                <w:rFonts w:ascii="宋体" w:hAnsi="宋体" w:cs="宋体"/>
                <w:b/>
                <w:bCs/>
                <w:sz w:val="18"/>
                <w:highlight w:val="none"/>
              </w:rPr>
            </w:pPr>
            <w:r>
              <w:rPr>
                <w:rFonts w:hint="eastAsia" w:ascii="宋体" w:hAnsi="宋体" w:cs="宋体"/>
                <w:b/>
                <w:bCs/>
                <w:sz w:val="18"/>
                <w:highlight w:val="none"/>
              </w:rPr>
              <w:t>信息管理</w:t>
            </w:r>
          </w:p>
        </w:tc>
        <w:tc>
          <w:tcPr>
            <w:tcW w:w="951" w:type="dxa"/>
            <w:tcMar>
              <w:left w:w="28" w:type="dxa"/>
              <w:right w:w="28" w:type="dxa"/>
            </w:tcMar>
            <w:vAlign w:val="center"/>
          </w:tcPr>
          <w:p w14:paraId="10F72339">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2DCA98DC">
            <w:pPr>
              <w:rPr>
                <w:rFonts w:ascii="宋体" w:hAnsi="宋体" w:cs="宋体"/>
                <w:sz w:val="18"/>
                <w:highlight w:val="none"/>
              </w:rPr>
            </w:pPr>
            <w:r>
              <w:rPr>
                <w:rFonts w:hint="eastAsia"/>
                <w:color w:val="000000"/>
                <w:sz w:val="18"/>
                <w:szCs w:val="18"/>
                <w:highlight w:val="none"/>
              </w:rPr>
              <w:t>按照业主项目部要求，完成会议材料报送、会议纪要编制工作。完成“e基建”信息录入。</w:t>
            </w:r>
            <w:r>
              <w:rPr>
                <w:rFonts w:hint="eastAsia" w:ascii="宋体" w:hAnsi="宋体" w:cs="宋体"/>
                <w:sz w:val="18"/>
                <w:highlight w:val="none"/>
              </w:rPr>
              <w:t>及时组织宣贯上级文件，来往文件记录清晰。每月编制施工月报并及时报送监理项目部。（2分）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6EA16841">
            <w:pPr>
              <w:spacing w:line="260" w:lineRule="exact"/>
              <w:rPr>
                <w:color w:val="000000"/>
                <w:sz w:val="18"/>
                <w:szCs w:val="18"/>
                <w:highlight w:val="none"/>
              </w:rPr>
            </w:pPr>
            <w:r>
              <w:rPr>
                <w:rFonts w:hint="eastAsia"/>
                <w:color w:val="000000"/>
                <w:sz w:val="18"/>
                <w:szCs w:val="18"/>
                <w:highlight w:val="none"/>
              </w:rPr>
              <w:t>（1）未完成会议材料报送、会议纪要编制工作，扣1分；相关材料起草不符合质量要求，每次扣0.5分；</w:t>
            </w:r>
          </w:p>
          <w:p w14:paraId="0241E831">
            <w:pPr>
              <w:spacing w:line="260" w:lineRule="exact"/>
              <w:rPr>
                <w:color w:val="000000"/>
                <w:sz w:val="18"/>
                <w:szCs w:val="18"/>
                <w:highlight w:val="none"/>
              </w:rPr>
            </w:pPr>
            <w:r>
              <w:rPr>
                <w:rFonts w:hint="eastAsia"/>
                <w:color w:val="000000"/>
                <w:sz w:val="18"/>
                <w:szCs w:val="18"/>
                <w:highlight w:val="none"/>
              </w:rPr>
              <w:t>（2）系统中关键数据录入不准确，出现缺失或错误，每次扣0.5分；</w:t>
            </w:r>
          </w:p>
          <w:p w14:paraId="3E19789C">
            <w:pPr>
              <w:spacing w:line="260" w:lineRule="exact"/>
              <w:rPr>
                <w:rFonts w:ascii="宋体" w:hAnsi="宋体" w:cs="宋体"/>
                <w:sz w:val="18"/>
                <w:highlight w:val="none"/>
              </w:rPr>
            </w:pPr>
            <w:r>
              <w:rPr>
                <w:rFonts w:hint="eastAsia"/>
                <w:color w:val="000000"/>
                <w:sz w:val="18"/>
                <w:szCs w:val="18"/>
                <w:highlight w:val="none"/>
              </w:rPr>
              <w:t>（3）</w:t>
            </w:r>
            <w:r>
              <w:rPr>
                <w:rFonts w:hint="eastAsia" w:ascii="宋体" w:hAnsi="宋体" w:cs="宋体"/>
                <w:sz w:val="18"/>
                <w:highlight w:val="none"/>
              </w:rPr>
              <w:t>未编制施工月报或无实质性内容、未及时上报，每次扣0.5分。</w:t>
            </w:r>
          </w:p>
        </w:tc>
        <w:tc>
          <w:tcPr>
            <w:tcW w:w="1117" w:type="dxa"/>
            <w:tcMar>
              <w:left w:w="28" w:type="dxa"/>
              <w:right w:w="28" w:type="dxa"/>
            </w:tcMar>
            <w:vAlign w:val="center"/>
          </w:tcPr>
          <w:p w14:paraId="7A93BE29">
            <w:pPr>
              <w:spacing w:line="260" w:lineRule="exact"/>
              <w:rPr>
                <w:rFonts w:ascii="宋体" w:hAnsi="宋体" w:cs="宋体"/>
                <w:sz w:val="18"/>
                <w:highlight w:val="none"/>
              </w:rPr>
            </w:pPr>
          </w:p>
        </w:tc>
        <w:tc>
          <w:tcPr>
            <w:tcW w:w="1020" w:type="dxa"/>
            <w:tcMar>
              <w:left w:w="28" w:type="dxa"/>
              <w:right w:w="28" w:type="dxa"/>
            </w:tcMar>
            <w:vAlign w:val="center"/>
          </w:tcPr>
          <w:p w14:paraId="704D6B58">
            <w:pPr>
              <w:spacing w:line="260" w:lineRule="exact"/>
              <w:rPr>
                <w:rFonts w:ascii="宋体" w:hAnsi="宋体" w:cs="宋体"/>
                <w:sz w:val="18"/>
                <w:highlight w:val="none"/>
              </w:rPr>
            </w:pPr>
          </w:p>
        </w:tc>
      </w:tr>
      <w:tr w14:paraId="290C99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35923771">
            <w:pPr>
              <w:spacing w:line="260" w:lineRule="exact"/>
              <w:jc w:val="center"/>
              <w:rPr>
                <w:rFonts w:ascii="宋体" w:hAnsi="宋体" w:cs="宋体"/>
                <w:b/>
                <w:bCs/>
                <w:sz w:val="18"/>
                <w:highlight w:val="none"/>
              </w:rPr>
            </w:pPr>
            <w:r>
              <w:rPr>
                <w:rFonts w:hint="eastAsia" w:ascii="宋体" w:hAnsi="宋体" w:cs="宋体"/>
                <w:b/>
                <w:bCs/>
                <w:sz w:val="18"/>
                <w:highlight w:val="none"/>
              </w:rPr>
              <w:t>3.6</w:t>
            </w:r>
          </w:p>
        </w:tc>
        <w:tc>
          <w:tcPr>
            <w:tcW w:w="1976" w:type="dxa"/>
            <w:vMerge w:val="restart"/>
            <w:tcMar>
              <w:left w:w="28" w:type="dxa"/>
              <w:right w:w="28" w:type="dxa"/>
            </w:tcMar>
            <w:vAlign w:val="center"/>
          </w:tcPr>
          <w:p w14:paraId="4C8295D6">
            <w:pPr>
              <w:spacing w:line="260" w:lineRule="exact"/>
              <w:rPr>
                <w:rFonts w:ascii="宋体" w:hAnsi="宋体" w:cs="宋体"/>
                <w:b/>
                <w:bCs/>
                <w:sz w:val="18"/>
                <w:highlight w:val="none"/>
              </w:rPr>
            </w:pPr>
            <w:r>
              <w:rPr>
                <w:rFonts w:hint="eastAsia" w:ascii="宋体" w:hAnsi="宋体" w:cs="宋体"/>
                <w:b/>
                <w:bCs/>
                <w:sz w:val="18"/>
                <w:highlight w:val="none"/>
              </w:rPr>
              <w:t>档案管理</w:t>
            </w:r>
          </w:p>
        </w:tc>
        <w:tc>
          <w:tcPr>
            <w:tcW w:w="951" w:type="dxa"/>
            <w:vMerge w:val="restart"/>
            <w:tcMar>
              <w:left w:w="28" w:type="dxa"/>
              <w:right w:w="28" w:type="dxa"/>
            </w:tcMar>
            <w:vAlign w:val="center"/>
          </w:tcPr>
          <w:p w14:paraId="32BA5B75">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1990E0AC">
            <w:pPr>
              <w:spacing w:line="260" w:lineRule="exact"/>
              <w:rPr>
                <w:rFonts w:ascii="宋体" w:hAnsi="宋体" w:cs="宋体"/>
                <w:sz w:val="18"/>
                <w:highlight w:val="none"/>
              </w:rPr>
            </w:pPr>
            <w:r>
              <w:rPr>
                <w:rFonts w:hint="eastAsia" w:ascii="宋体" w:hAnsi="宋体" w:cs="宋体"/>
                <w:sz w:val="18"/>
                <w:highlight w:val="none"/>
              </w:rPr>
              <w:t>施工项目部配置专人负责档案工作，确保工程档案资料分阶段完成，工程档案完整、字体规范、载体合格，移交及时。（2分）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54762171">
            <w:pPr>
              <w:pStyle w:val="2"/>
              <w:spacing w:line="260" w:lineRule="exact"/>
              <w:rPr>
                <w:rFonts w:ascii="宋体" w:hAnsi="宋体" w:cs="宋体"/>
                <w:highlight w:val="none"/>
              </w:rPr>
            </w:pPr>
            <w:r>
              <w:rPr>
                <w:rFonts w:hint="eastAsia" w:ascii="宋体" w:hAnsi="宋体" w:cs="宋体"/>
                <w:highlight w:val="none"/>
              </w:rPr>
              <w:t>（</w:t>
            </w:r>
            <w:r>
              <w:rPr>
                <w:rFonts w:hint="eastAsia" w:ascii="宋体" w:hAnsi="宋体" w:cs="宋体"/>
                <w:highlight w:val="none"/>
                <w:lang w:val="en-US"/>
              </w:rPr>
              <w:t>1</w:t>
            </w:r>
            <w:r>
              <w:rPr>
                <w:rFonts w:hint="eastAsia" w:ascii="宋体" w:hAnsi="宋体" w:cs="宋体"/>
                <w:highlight w:val="none"/>
              </w:rPr>
              <w:t>）</w:t>
            </w:r>
            <w:r>
              <w:rPr>
                <w:rFonts w:hint="eastAsia" w:ascii="宋体" w:hAnsi="宋体" w:cs="宋体"/>
                <w:highlight w:val="none"/>
                <w:lang w:val="en-US"/>
              </w:rPr>
              <w:t>档案管理人员未经业主项目部批准更换，扣1分；</w:t>
            </w:r>
            <w:r>
              <w:rPr>
                <w:rFonts w:ascii="宋体" w:hAnsi="宋体" w:cs="宋体"/>
                <w:highlight w:val="none"/>
              </w:rPr>
              <w:t>未按要求分阶段开展并完成档案整理，每超出10天，扣1分</w:t>
            </w:r>
            <w:r>
              <w:rPr>
                <w:rFonts w:hint="eastAsia" w:ascii="宋体" w:hAnsi="宋体" w:cs="宋体"/>
                <w:highlight w:val="none"/>
              </w:rPr>
              <w:t>；</w:t>
            </w:r>
          </w:p>
          <w:p w14:paraId="7D95621E">
            <w:pPr>
              <w:pStyle w:val="2"/>
              <w:spacing w:line="260" w:lineRule="exact"/>
              <w:rPr>
                <w:rFonts w:ascii="宋体" w:hAnsi="宋体" w:cs="宋体"/>
                <w:highlight w:val="none"/>
              </w:rPr>
            </w:pPr>
            <w:r>
              <w:rPr>
                <w:rFonts w:hint="eastAsia" w:ascii="宋体" w:hAnsi="宋体" w:cs="宋体"/>
                <w:highlight w:val="none"/>
              </w:rPr>
              <w:t>（</w:t>
            </w:r>
            <w:r>
              <w:rPr>
                <w:rFonts w:hint="eastAsia" w:ascii="宋体" w:hAnsi="宋体" w:cs="宋体"/>
                <w:highlight w:val="none"/>
                <w:lang w:val="en-US"/>
              </w:rPr>
              <w:t>2</w:t>
            </w:r>
            <w:r>
              <w:rPr>
                <w:rFonts w:hint="eastAsia" w:ascii="宋体" w:hAnsi="宋体" w:cs="宋体"/>
                <w:highlight w:val="none"/>
              </w:rPr>
              <w:t>）</w:t>
            </w:r>
            <w:r>
              <w:rPr>
                <w:rFonts w:hint="eastAsia" w:ascii="宋体" w:hAnsi="宋体" w:cs="宋体"/>
                <w:highlight w:val="none"/>
                <w:lang w:val="en-US"/>
              </w:rPr>
              <w:t>质量监督前档案不全扣1分；</w:t>
            </w:r>
            <w:r>
              <w:rPr>
                <w:rFonts w:ascii="宋体" w:hAnsi="宋体" w:cs="宋体"/>
                <w:highlight w:val="none"/>
              </w:rPr>
              <w:t>资料质量（包括纸质及数字化电子文件）不完整、不符合规范要求，每份文件扣0.</w:t>
            </w:r>
            <w:r>
              <w:rPr>
                <w:rFonts w:hint="eastAsia" w:ascii="宋体" w:hAnsi="宋体" w:cs="宋体"/>
                <w:highlight w:val="none"/>
                <w:lang w:val="en-US"/>
              </w:rPr>
              <w:t>5</w:t>
            </w:r>
            <w:r>
              <w:rPr>
                <w:rFonts w:ascii="宋体" w:hAnsi="宋体" w:cs="宋体"/>
                <w:highlight w:val="none"/>
              </w:rPr>
              <w:t>分</w:t>
            </w:r>
            <w:r>
              <w:rPr>
                <w:rFonts w:hint="eastAsia" w:ascii="宋体" w:hAnsi="宋体" w:cs="宋体"/>
                <w:highlight w:val="none"/>
              </w:rPr>
              <w:t>；</w:t>
            </w:r>
          </w:p>
          <w:p w14:paraId="5C659048">
            <w:pPr>
              <w:pStyle w:val="2"/>
              <w:spacing w:line="260" w:lineRule="exact"/>
              <w:rPr>
                <w:rFonts w:ascii="宋体" w:hAnsi="宋体" w:cs="宋体"/>
                <w:highlight w:val="none"/>
              </w:rPr>
            </w:pPr>
            <w:r>
              <w:rPr>
                <w:rFonts w:hint="eastAsia" w:ascii="宋体" w:hAnsi="宋体" w:cs="宋体"/>
                <w:highlight w:val="none"/>
              </w:rPr>
              <w:t>（</w:t>
            </w:r>
            <w:r>
              <w:rPr>
                <w:rFonts w:hint="eastAsia" w:ascii="宋体" w:hAnsi="宋体" w:cs="宋体"/>
                <w:highlight w:val="none"/>
                <w:lang w:val="en-US"/>
              </w:rPr>
              <w:t>3</w:t>
            </w:r>
            <w:r>
              <w:rPr>
                <w:rFonts w:hint="eastAsia" w:ascii="宋体" w:hAnsi="宋体" w:cs="宋体"/>
                <w:highlight w:val="none"/>
              </w:rPr>
              <w:t>）</w:t>
            </w:r>
            <w:r>
              <w:rPr>
                <w:rFonts w:ascii="宋体" w:hAnsi="宋体" w:cs="宋体"/>
                <w:highlight w:val="none"/>
              </w:rPr>
              <w:t>因自身原因，导致归档文件进行修改，每份文件扣0.</w:t>
            </w:r>
            <w:r>
              <w:rPr>
                <w:rFonts w:hint="eastAsia" w:ascii="宋体" w:hAnsi="宋体" w:cs="宋体"/>
                <w:highlight w:val="none"/>
                <w:lang w:val="en-US"/>
              </w:rPr>
              <w:t>5</w:t>
            </w:r>
            <w:r>
              <w:rPr>
                <w:rFonts w:ascii="宋体" w:hAnsi="宋体" w:cs="宋体"/>
                <w:highlight w:val="none"/>
              </w:rPr>
              <w:t>分。</w:t>
            </w:r>
          </w:p>
        </w:tc>
        <w:tc>
          <w:tcPr>
            <w:tcW w:w="1117" w:type="dxa"/>
            <w:tcMar>
              <w:left w:w="28" w:type="dxa"/>
              <w:right w:w="28" w:type="dxa"/>
            </w:tcMar>
            <w:vAlign w:val="center"/>
          </w:tcPr>
          <w:p w14:paraId="4A455D66">
            <w:pPr>
              <w:spacing w:line="260" w:lineRule="exact"/>
              <w:rPr>
                <w:rFonts w:ascii="宋体" w:hAnsi="宋体" w:cs="宋体"/>
                <w:sz w:val="18"/>
                <w:highlight w:val="none"/>
              </w:rPr>
            </w:pPr>
          </w:p>
        </w:tc>
        <w:tc>
          <w:tcPr>
            <w:tcW w:w="1020" w:type="dxa"/>
            <w:tcMar>
              <w:left w:w="28" w:type="dxa"/>
              <w:right w:w="28" w:type="dxa"/>
            </w:tcMar>
            <w:vAlign w:val="center"/>
          </w:tcPr>
          <w:p w14:paraId="6633EE61">
            <w:pPr>
              <w:spacing w:line="260" w:lineRule="exact"/>
              <w:rPr>
                <w:rFonts w:ascii="宋体" w:hAnsi="宋体" w:cs="宋体"/>
                <w:sz w:val="18"/>
                <w:highlight w:val="none"/>
              </w:rPr>
            </w:pPr>
          </w:p>
        </w:tc>
      </w:tr>
      <w:tr w14:paraId="2B3108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585E64B4">
            <w:pPr>
              <w:spacing w:line="260" w:lineRule="exact"/>
              <w:jc w:val="center"/>
              <w:rPr>
                <w:rFonts w:ascii="宋体" w:hAnsi="宋体" w:cs="宋体"/>
                <w:sz w:val="18"/>
                <w:highlight w:val="none"/>
              </w:rPr>
            </w:pPr>
          </w:p>
        </w:tc>
        <w:tc>
          <w:tcPr>
            <w:tcW w:w="1976" w:type="dxa"/>
            <w:vMerge w:val="continue"/>
            <w:tcMar>
              <w:left w:w="28" w:type="dxa"/>
              <w:right w:w="28" w:type="dxa"/>
            </w:tcMar>
            <w:vAlign w:val="center"/>
          </w:tcPr>
          <w:p w14:paraId="0B05AA7E">
            <w:pPr>
              <w:spacing w:line="260" w:lineRule="exact"/>
              <w:rPr>
                <w:rFonts w:ascii="宋体" w:hAnsi="宋体" w:cs="宋体"/>
                <w:sz w:val="18"/>
                <w:highlight w:val="none"/>
              </w:rPr>
            </w:pPr>
          </w:p>
        </w:tc>
        <w:tc>
          <w:tcPr>
            <w:tcW w:w="951" w:type="dxa"/>
            <w:vMerge w:val="continue"/>
            <w:tcMar>
              <w:left w:w="28" w:type="dxa"/>
              <w:right w:w="28" w:type="dxa"/>
            </w:tcMar>
            <w:vAlign w:val="center"/>
          </w:tcPr>
          <w:p w14:paraId="771EE1BE">
            <w:pPr>
              <w:spacing w:line="260" w:lineRule="exact"/>
              <w:jc w:val="center"/>
              <w:rPr>
                <w:rFonts w:ascii="宋体" w:hAnsi="宋体" w:cs="宋体"/>
                <w:sz w:val="18"/>
                <w:highlight w:val="none"/>
              </w:rPr>
            </w:pP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37B04709">
            <w:pPr>
              <w:spacing w:line="260" w:lineRule="exact"/>
              <w:rPr>
                <w:rFonts w:ascii="宋体" w:hAnsi="宋体" w:cs="宋体"/>
                <w:sz w:val="18"/>
                <w:highlight w:val="none"/>
              </w:rPr>
            </w:pPr>
            <w:r>
              <w:rPr>
                <w:rFonts w:hint="eastAsia" w:ascii="宋体" w:hAnsi="宋体" w:cs="宋体"/>
                <w:sz w:val="18"/>
                <w:highlight w:val="none"/>
              </w:rPr>
              <w:t>按照公司管理制度，采集、管理施工过程安全、质量控制数码照片。按照每周拍摄工程单位工程、分部工程、分项工程照片，照片分总体、局部、细节照片，照片质量必须符合要求，按要求提交安全质量亮点照片数量齐全。（1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18B6C45C">
            <w:pPr>
              <w:spacing w:line="260" w:lineRule="exact"/>
              <w:rPr>
                <w:rFonts w:ascii="宋体" w:hAnsi="宋体" w:cs="宋体"/>
                <w:sz w:val="18"/>
                <w:highlight w:val="none"/>
              </w:rPr>
            </w:pPr>
            <w:r>
              <w:rPr>
                <w:rFonts w:hint="eastAsia" w:ascii="宋体" w:hAnsi="宋体" w:cs="宋体"/>
                <w:sz w:val="18"/>
                <w:highlight w:val="none"/>
              </w:rPr>
              <w:t>（1）有弄虚作假问题，每张扣0.5分；</w:t>
            </w:r>
          </w:p>
          <w:p w14:paraId="3F666099">
            <w:pPr>
              <w:spacing w:line="260" w:lineRule="exact"/>
              <w:rPr>
                <w:rFonts w:ascii="宋体" w:hAnsi="宋体" w:cs="宋体"/>
                <w:sz w:val="18"/>
                <w:highlight w:val="none"/>
              </w:rPr>
            </w:pPr>
            <w:r>
              <w:rPr>
                <w:rFonts w:hint="eastAsia" w:ascii="宋体" w:hAnsi="宋体" w:cs="宋体"/>
                <w:sz w:val="18"/>
                <w:highlight w:val="none"/>
              </w:rPr>
              <w:t>（2）缺项、主题不明确、数量不足、未按要求分类整理、不规范或不满足要求，每张扣0.1分；</w:t>
            </w:r>
          </w:p>
          <w:p w14:paraId="08484A7C">
            <w:pPr>
              <w:spacing w:line="260" w:lineRule="exact"/>
              <w:rPr>
                <w:rFonts w:ascii="宋体" w:hAnsi="宋体" w:cs="宋体"/>
                <w:sz w:val="18"/>
                <w:highlight w:val="none"/>
              </w:rPr>
            </w:pPr>
            <w:r>
              <w:rPr>
                <w:rFonts w:hint="eastAsia" w:ascii="宋体" w:hAnsi="宋体" w:cs="宋体"/>
                <w:sz w:val="18"/>
                <w:highlight w:val="none"/>
              </w:rPr>
              <w:t>（3）未按要求整理、移交，扣0.5分。</w:t>
            </w:r>
          </w:p>
        </w:tc>
        <w:tc>
          <w:tcPr>
            <w:tcW w:w="1117" w:type="dxa"/>
            <w:tcMar>
              <w:left w:w="28" w:type="dxa"/>
              <w:right w:w="28" w:type="dxa"/>
            </w:tcMar>
            <w:vAlign w:val="center"/>
          </w:tcPr>
          <w:p w14:paraId="78855779">
            <w:pPr>
              <w:spacing w:line="260" w:lineRule="exact"/>
              <w:rPr>
                <w:rFonts w:ascii="宋体" w:hAnsi="宋体" w:cs="宋体"/>
                <w:sz w:val="18"/>
                <w:highlight w:val="none"/>
              </w:rPr>
            </w:pPr>
          </w:p>
        </w:tc>
        <w:tc>
          <w:tcPr>
            <w:tcW w:w="1020" w:type="dxa"/>
            <w:tcMar>
              <w:left w:w="28" w:type="dxa"/>
              <w:right w:w="28" w:type="dxa"/>
            </w:tcMar>
            <w:vAlign w:val="center"/>
          </w:tcPr>
          <w:p w14:paraId="79C4C46C">
            <w:pPr>
              <w:spacing w:line="260" w:lineRule="exact"/>
              <w:rPr>
                <w:rFonts w:ascii="宋体" w:hAnsi="宋体" w:cs="宋体"/>
                <w:sz w:val="18"/>
                <w:highlight w:val="none"/>
              </w:rPr>
            </w:pPr>
          </w:p>
        </w:tc>
      </w:tr>
      <w:tr w14:paraId="547BC7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45" w:hRule="atLeast"/>
          <w:jc w:val="center"/>
        </w:trPr>
        <w:tc>
          <w:tcPr>
            <w:tcW w:w="547" w:type="dxa"/>
            <w:shd w:val="clear" w:color="auto" w:fill="BFBFBF"/>
            <w:tcMar>
              <w:left w:w="28" w:type="dxa"/>
              <w:right w:w="28" w:type="dxa"/>
            </w:tcMar>
            <w:vAlign w:val="center"/>
          </w:tcPr>
          <w:p w14:paraId="0AD4CF1D">
            <w:pPr>
              <w:spacing w:line="260" w:lineRule="exact"/>
              <w:jc w:val="center"/>
              <w:rPr>
                <w:rFonts w:ascii="宋体" w:hAnsi="宋体" w:cs="宋体"/>
                <w:b/>
                <w:sz w:val="18"/>
                <w:highlight w:val="none"/>
              </w:rPr>
            </w:pPr>
            <w:r>
              <w:rPr>
                <w:rFonts w:hint="eastAsia" w:ascii="宋体" w:hAnsi="宋体" w:cs="宋体"/>
                <w:b/>
                <w:sz w:val="18"/>
                <w:highlight w:val="none"/>
              </w:rPr>
              <w:t>4</w:t>
            </w:r>
          </w:p>
        </w:tc>
        <w:tc>
          <w:tcPr>
            <w:tcW w:w="12302" w:type="dxa"/>
            <w:gridSpan w:val="6"/>
            <w:shd w:val="clear" w:color="auto" w:fill="BFBFBF"/>
            <w:tcMar>
              <w:left w:w="28" w:type="dxa"/>
              <w:right w:w="28" w:type="dxa"/>
            </w:tcMar>
            <w:vAlign w:val="center"/>
          </w:tcPr>
          <w:p w14:paraId="6873082C">
            <w:pPr>
              <w:spacing w:line="260" w:lineRule="exact"/>
              <w:rPr>
                <w:rFonts w:ascii="宋体" w:hAnsi="宋体" w:cs="宋体"/>
                <w:b/>
                <w:sz w:val="18"/>
                <w:highlight w:val="none"/>
              </w:rPr>
            </w:pPr>
            <w:r>
              <w:rPr>
                <w:rFonts w:hint="eastAsia" w:ascii="宋体" w:hAnsi="宋体" w:cs="宋体"/>
                <w:b/>
                <w:sz w:val="18"/>
                <w:highlight w:val="none"/>
              </w:rPr>
              <w:t>安全管理（22分）</w:t>
            </w:r>
          </w:p>
        </w:tc>
      </w:tr>
      <w:tr w14:paraId="4BEAE0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70E32942">
            <w:pPr>
              <w:spacing w:line="260" w:lineRule="exact"/>
              <w:jc w:val="center"/>
              <w:rPr>
                <w:b/>
                <w:bCs/>
                <w:highlight w:val="none"/>
              </w:rPr>
            </w:pPr>
            <w:r>
              <w:rPr>
                <w:rFonts w:hint="eastAsia" w:ascii="宋体" w:hAnsi="宋体" w:cs="宋体"/>
                <w:b/>
                <w:bCs/>
                <w:sz w:val="18"/>
                <w:highlight w:val="none"/>
              </w:rPr>
              <w:t>4.1</w:t>
            </w:r>
          </w:p>
        </w:tc>
        <w:tc>
          <w:tcPr>
            <w:tcW w:w="1976" w:type="dxa"/>
            <w:shd w:val="clear" w:color="auto" w:fill="FFFFFF"/>
            <w:tcMar>
              <w:left w:w="28" w:type="dxa"/>
              <w:right w:w="28" w:type="dxa"/>
            </w:tcMar>
            <w:vAlign w:val="center"/>
          </w:tcPr>
          <w:p w14:paraId="514C6B37">
            <w:pPr>
              <w:spacing w:line="260" w:lineRule="exact"/>
              <w:ind w:right="53"/>
              <w:jc w:val="left"/>
              <w:rPr>
                <w:b/>
                <w:bCs/>
                <w:color w:val="000000"/>
                <w:sz w:val="18"/>
                <w:szCs w:val="18"/>
                <w:highlight w:val="none"/>
              </w:rPr>
            </w:pPr>
            <w:r>
              <w:rPr>
                <w:rFonts w:hint="eastAsia" w:ascii="宋体" w:hAnsi="宋体" w:cs="宋体"/>
                <w:b/>
                <w:bCs/>
                <w:sz w:val="18"/>
                <w:highlight w:val="none"/>
              </w:rPr>
              <w:t>安全风险管理</w:t>
            </w:r>
          </w:p>
        </w:tc>
        <w:tc>
          <w:tcPr>
            <w:tcW w:w="951" w:type="dxa"/>
            <w:shd w:val="clear" w:color="auto" w:fill="FFFFFF"/>
            <w:tcMar>
              <w:left w:w="28" w:type="dxa"/>
              <w:right w:w="28" w:type="dxa"/>
            </w:tcMar>
            <w:vAlign w:val="center"/>
          </w:tcPr>
          <w:p w14:paraId="7D57AF6A">
            <w:pPr>
              <w:spacing w:line="260" w:lineRule="exact"/>
              <w:jc w:val="center"/>
              <w:rPr>
                <w:color w:val="000000"/>
                <w:sz w:val="18"/>
                <w:szCs w:val="18"/>
                <w:highlight w:val="none"/>
              </w:rPr>
            </w:pPr>
            <w:r>
              <w:rPr>
                <w:rFonts w:hint="eastAsia" w:ascii="宋体" w:hAnsi="宋体" w:cs="宋体"/>
                <w:sz w:val="18"/>
                <w:highlight w:val="none"/>
              </w:rPr>
              <w:t>2</w:t>
            </w:r>
          </w:p>
        </w:tc>
        <w:tc>
          <w:tcPr>
            <w:tcW w:w="3348" w:type="dxa"/>
            <w:shd w:val="clear" w:color="auto" w:fill="FFFFFF"/>
            <w:tcMar>
              <w:left w:w="28" w:type="dxa"/>
              <w:right w:w="28" w:type="dxa"/>
            </w:tcMar>
          </w:tcPr>
          <w:p w14:paraId="3CC1CEE3">
            <w:pPr>
              <w:rPr>
                <w:color w:val="000000"/>
                <w:sz w:val="18"/>
                <w:szCs w:val="18"/>
                <w:highlight w:val="none"/>
              </w:rPr>
            </w:pPr>
            <w:r>
              <w:rPr>
                <w:rFonts w:hint="eastAsia" w:ascii="宋体" w:hAnsi="宋体" w:cs="宋体"/>
                <w:sz w:val="18"/>
                <w:highlight w:val="none"/>
              </w:rPr>
              <w:t>开展施工风险识别、评估，制定风险评估措施并在施工中落实。对现场作业风险进行复测，加强重点工序及作业内容的管控，按要求做好安全监护及到岗履职。</w:t>
            </w:r>
            <w:r>
              <w:rPr>
                <w:rFonts w:hint="eastAsia"/>
                <w:color w:val="000000"/>
                <w:sz w:val="18"/>
                <w:szCs w:val="18"/>
                <w:highlight w:val="none"/>
              </w:rPr>
              <w:t>（2分）</w:t>
            </w:r>
          </w:p>
        </w:tc>
        <w:tc>
          <w:tcPr>
            <w:tcW w:w="3890" w:type="dxa"/>
            <w:shd w:val="clear" w:color="auto" w:fill="FFFFFF"/>
            <w:tcMar>
              <w:left w:w="28" w:type="dxa"/>
              <w:right w:w="28" w:type="dxa"/>
            </w:tcMar>
          </w:tcPr>
          <w:p w14:paraId="033748B9">
            <w:pPr>
              <w:spacing w:line="260" w:lineRule="exact"/>
              <w:rPr>
                <w:rFonts w:ascii="宋体" w:hAnsi="宋体" w:cs="宋体"/>
                <w:sz w:val="18"/>
                <w:highlight w:val="none"/>
              </w:rPr>
            </w:pPr>
            <w:r>
              <w:rPr>
                <w:rFonts w:hint="eastAsia" w:ascii="宋体" w:hAnsi="宋体" w:cs="宋体"/>
                <w:sz w:val="18"/>
                <w:highlight w:val="none"/>
              </w:rPr>
              <w:t>（1）未按规定开展相关工作，每项扣1分；</w:t>
            </w:r>
          </w:p>
          <w:p w14:paraId="49189535">
            <w:pPr>
              <w:spacing w:line="260" w:lineRule="exact"/>
              <w:rPr>
                <w:color w:val="000000"/>
                <w:sz w:val="18"/>
                <w:szCs w:val="18"/>
                <w:highlight w:val="none"/>
              </w:rPr>
            </w:pPr>
            <w:r>
              <w:rPr>
                <w:rFonts w:hint="eastAsia" w:ascii="宋体" w:hAnsi="宋体" w:cs="宋体"/>
                <w:sz w:val="18"/>
                <w:highlight w:val="none"/>
              </w:rPr>
              <w:t>（2）工作开展不规范或不符合要求，每项扣0.5分。</w:t>
            </w:r>
          </w:p>
        </w:tc>
        <w:tc>
          <w:tcPr>
            <w:tcW w:w="1117" w:type="dxa"/>
            <w:shd w:val="clear" w:color="auto" w:fill="FFFFFF"/>
            <w:tcMar>
              <w:left w:w="28" w:type="dxa"/>
              <w:right w:w="28" w:type="dxa"/>
            </w:tcMar>
            <w:vAlign w:val="center"/>
          </w:tcPr>
          <w:p w14:paraId="4ED27F36">
            <w:pPr>
              <w:jc w:val="center"/>
              <w:rPr>
                <w:rFonts w:ascii="宋体" w:hAnsi="宋体" w:cs="宋体"/>
                <w:b/>
                <w:sz w:val="18"/>
                <w:highlight w:val="none"/>
              </w:rPr>
            </w:pPr>
          </w:p>
        </w:tc>
        <w:tc>
          <w:tcPr>
            <w:tcW w:w="1020" w:type="dxa"/>
            <w:shd w:val="clear" w:color="auto" w:fill="FFFFFF"/>
            <w:tcMar>
              <w:left w:w="28" w:type="dxa"/>
              <w:right w:w="28" w:type="dxa"/>
            </w:tcMar>
            <w:vAlign w:val="center"/>
          </w:tcPr>
          <w:p w14:paraId="66058F14">
            <w:pPr>
              <w:jc w:val="center"/>
              <w:rPr>
                <w:rFonts w:ascii="宋体" w:hAnsi="宋体" w:cs="宋体"/>
                <w:b/>
                <w:sz w:val="18"/>
                <w:highlight w:val="none"/>
              </w:rPr>
            </w:pPr>
          </w:p>
        </w:tc>
      </w:tr>
      <w:tr w14:paraId="2BFE2E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0350B2EE">
            <w:pPr>
              <w:spacing w:line="260" w:lineRule="exact"/>
              <w:jc w:val="center"/>
              <w:rPr>
                <w:b/>
                <w:bCs/>
                <w:highlight w:val="none"/>
              </w:rPr>
            </w:pPr>
            <w:r>
              <w:rPr>
                <w:rFonts w:hint="eastAsia" w:ascii="宋体" w:hAnsi="宋体" w:cs="宋体"/>
                <w:b/>
                <w:bCs/>
                <w:sz w:val="18"/>
                <w:highlight w:val="none"/>
              </w:rPr>
              <w:t>4.2</w:t>
            </w:r>
          </w:p>
        </w:tc>
        <w:tc>
          <w:tcPr>
            <w:tcW w:w="1976" w:type="dxa"/>
            <w:shd w:val="clear" w:color="auto" w:fill="FFFFFF"/>
            <w:tcMar>
              <w:left w:w="28" w:type="dxa"/>
              <w:right w:w="28" w:type="dxa"/>
            </w:tcMar>
            <w:vAlign w:val="center"/>
          </w:tcPr>
          <w:p w14:paraId="386A82D2">
            <w:pPr>
              <w:spacing w:line="260" w:lineRule="exact"/>
              <w:ind w:right="53"/>
              <w:jc w:val="left"/>
              <w:rPr>
                <w:b/>
                <w:bCs/>
                <w:color w:val="000000"/>
                <w:sz w:val="18"/>
                <w:szCs w:val="18"/>
                <w:highlight w:val="none"/>
              </w:rPr>
            </w:pPr>
            <w:r>
              <w:rPr>
                <w:rFonts w:hint="eastAsia" w:ascii="宋体" w:hAnsi="宋体" w:cs="宋体"/>
                <w:b/>
                <w:bCs/>
                <w:sz w:val="18"/>
                <w:highlight w:val="none"/>
              </w:rPr>
              <w:t>隐患排查治理</w:t>
            </w:r>
          </w:p>
        </w:tc>
        <w:tc>
          <w:tcPr>
            <w:tcW w:w="951" w:type="dxa"/>
            <w:shd w:val="clear" w:color="auto" w:fill="FFFFFF"/>
            <w:tcMar>
              <w:left w:w="28" w:type="dxa"/>
              <w:right w:w="28" w:type="dxa"/>
            </w:tcMar>
            <w:vAlign w:val="center"/>
          </w:tcPr>
          <w:p w14:paraId="06E0A83C">
            <w:pPr>
              <w:spacing w:line="260" w:lineRule="exact"/>
              <w:jc w:val="center"/>
              <w:rPr>
                <w:color w:val="000000"/>
                <w:sz w:val="18"/>
                <w:szCs w:val="18"/>
                <w:highlight w:val="none"/>
              </w:rPr>
            </w:pPr>
            <w:r>
              <w:rPr>
                <w:rFonts w:hint="eastAsia" w:ascii="宋体" w:hAnsi="宋体" w:cs="宋体"/>
                <w:sz w:val="18"/>
                <w:highlight w:val="none"/>
              </w:rPr>
              <w:t>2</w:t>
            </w:r>
          </w:p>
        </w:tc>
        <w:tc>
          <w:tcPr>
            <w:tcW w:w="3348" w:type="dxa"/>
            <w:shd w:val="clear" w:color="auto" w:fill="FFFFFF"/>
            <w:tcMar>
              <w:left w:w="28" w:type="dxa"/>
              <w:right w:w="28" w:type="dxa"/>
            </w:tcMar>
            <w:vAlign w:val="center"/>
          </w:tcPr>
          <w:p w14:paraId="1D0B7E7A">
            <w:pPr>
              <w:spacing w:line="260" w:lineRule="exact"/>
              <w:rPr>
                <w:rFonts w:ascii="宋体" w:hAnsi="宋体" w:cs="宋体"/>
                <w:sz w:val="18"/>
                <w:highlight w:val="none"/>
              </w:rPr>
            </w:pPr>
            <w:r>
              <w:rPr>
                <w:rFonts w:hint="eastAsia" w:ascii="宋体" w:hAnsi="宋体" w:cs="宋体"/>
                <w:sz w:val="18"/>
                <w:highlight w:val="none"/>
              </w:rPr>
              <w:t>定期组织隐患排查评估、定级和治理。（2分）</w:t>
            </w:r>
          </w:p>
        </w:tc>
        <w:tc>
          <w:tcPr>
            <w:tcW w:w="3890" w:type="dxa"/>
            <w:shd w:val="clear" w:color="auto" w:fill="FFFFFF"/>
            <w:tcMar>
              <w:left w:w="28" w:type="dxa"/>
              <w:right w:w="28" w:type="dxa"/>
            </w:tcMar>
          </w:tcPr>
          <w:p w14:paraId="6C44B499">
            <w:pPr>
              <w:spacing w:line="260" w:lineRule="exact"/>
              <w:rPr>
                <w:rFonts w:ascii="宋体" w:hAnsi="宋体" w:cs="宋体"/>
                <w:sz w:val="18"/>
                <w:highlight w:val="none"/>
              </w:rPr>
            </w:pPr>
            <w:r>
              <w:rPr>
                <w:rFonts w:hint="eastAsia" w:ascii="宋体" w:hAnsi="宋体" w:cs="宋体"/>
                <w:sz w:val="18"/>
                <w:highlight w:val="none"/>
              </w:rPr>
              <w:t>（1）未及时开展隐患排查评估、定级，每次扣0.5分；</w:t>
            </w:r>
          </w:p>
          <w:p w14:paraId="11E7CBE0">
            <w:pPr>
              <w:spacing w:line="260" w:lineRule="exact"/>
              <w:rPr>
                <w:rFonts w:ascii="宋体" w:hAnsi="宋体" w:cs="宋体"/>
                <w:sz w:val="18"/>
                <w:highlight w:val="none"/>
              </w:rPr>
            </w:pPr>
            <w:r>
              <w:rPr>
                <w:rFonts w:hint="eastAsia" w:ascii="宋体" w:hAnsi="宋体" w:cs="宋体"/>
                <w:sz w:val="18"/>
                <w:highlight w:val="none"/>
              </w:rPr>
              <w:t>（2）隐患评估定级未及时上报审核，每次扣0.5分；</w:t>
            </w:r>
          </w:p>
          <w:p w14:paraId="568612E7">
            <w:pPr>
              <w:spacing w:line="260" w:lineRule="exact"/>
              <w:rPr>
                <w:rFonts w:ascii="宋体" w:hAnsi="宋体" w:cs="宋体"/>
                <w:sz w:val="18"/>
                <w:highlight w:val="none"/>
              </w:rPr>
            </w:pPr>
            <w:r>
              <w:rPr>
                <w:rFonts w:hint="eastAsia" w:ascii="宋体" w:hAnsi="宋体" w:cs="宋体"/>
                <w:sz w:val="18"/>
                <w:highlight w:val="none"/>
              </w:rPr>
              <w:t>（3）针对排查出的隐患，未制定整改措施，或整改措施不到位，每次扣0.5分。</w:t>
            </w:r>
          </w:p>
        </w:tc>
        <w:tc>
          <w:tcPr>
            <w:tcW w:w="1117" w:type="dxa"/>
            <w:shd w:val="clear" w:color="auto" w:fill="FFFFFF"/>
            <w:tcMar>
              <w:left w:w="28" w:type="dxa"/>
              <w:right w:w="28" w:type="dxa"/>
            </w:tcMar>
            <w:vAlign w:val="center"/>
          </w:tcPr>
          <w:p w14:paraId="51F7E14E">
            <w:pPr>
              <w:jc w:val="center"/>
              <w:rPr>
                <w:rFonts w:ascii="宋体" w:hAnsi="宋体" w:cs="宋体"/>
                <w:b/>
                <w:sz w:val="18"/>
                <w:highlight w:val="none"/>
              </w:rPr>
            </w:pPr>
          </w:p>
        </w:tc>
        <w:tc>
          <w:tcPr>
            <w:tcW w:w="1020" w:type="dxa"/>
            <w:shd w:val="clear" w:color="auto" w:fill="FFFFFF"/>
            <w:tcMar>
              <w:left w:w="28" w:type="dxa"/>
              <w:right w:w="28" w:type="dxa"/>
            </w:tcMar>
            <w:vAlign w:val="center"/>
          </w:tcPr>
          <w:p w14:paraId="66E32C68">
            <w:pPr>
              <w:jc w:val="center"/>
              <w:rPr>
                <w:rFonts w:ascii="宋体" w:hAnsi="宋体" w:cs="宋体"/>
                <w:b/>
                <w:sz w:val="18"/>
                <w:highlight w:val="none"/>
              </w:rPr>
            </w:pPr>
          </w:p>
        </w:tc>
      </w:tr>
      <w:tr w14:paraId="68024B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shd w:val="clear" w:color="auto" w:fill="FFFFFF"/>
            <w:tcMar>
              <w:left w:w="28" w:type="dxa"/>
              <w:right w:w="28" w:type="dxa"/>
            </w:tcMar>
            <w:vAlign w:val="center"/>
          </w:tcPr>
          <w:p w14:paraId="03F1378D">
            <w:pPr>
              <w:spacing w:line="260" w:lineRule="exact"/>
              <w:jc w:val="center"/>
              <w:rPr>
                <w:b/>
                <w:bCs/>
                <w:highlight w:val="none"/>
              </w:rPr>
            </w:pPr>
            <w:r>
              <w:rPr>
                <w:rFonts w:hint="eastAsia" w:ascii="宋体" w:hAnsi="宋体" w:cs="宋体"/>
                <w:b/>
                <w:bCs/>
                <w:sz w:val="18"/>
                <w:highlight w:val="none"/>
              </w:rPr>
              <w:t>4.3</w:t>
            </w:r>
          </w:p>
        </w:tc>
        <w:tc>
          <w:tcPr>
            <w:tcW w:w="1976" w:type="dxa"/>
            <w:vMerge w:val="restart"/>
            <w:shd w:val="clear" w:color="auto" w:fill="FFFFFF"/>
            <w:tcMar>
              <w:left w:w="28" w:type="dxa"/>
              <w:right w:w="28" w:type="dxa"/>
            </w:tcMar>
            <w:vAlign w:val="center"/>
          </w:tcPr>
          <w:p w14:paraId="1798BE89">
            <w:pPr>
              <w:spacing w:line="260" w:lineRule="exact"/>
              <w:ind w:right="53"/>
              <w:jc w:val="left"/>
              <w:rPr>
                <w:b/>
                <w:bCs/>
                <w:color w:val="000000"/>
                <w:sz w:val="18"/>
                <w:szCs w:val="18"/>
                <w:highlight w:val="none"/>
              </w:rPr>
            </w:pPr>
            <w:r>
              <w:rPr>
                <w:rFonts w:hint="eastAsia" w:ascii="宋体" w:hAnsi="宋体" w:cs="宋体"/>
                <w:b/>
                <w:bCs/>
                <w:sz w:val="18"/>
                <w:highlight w:val="none"/>
              </w:rPr>
              <w:t>安全教育培训</w:t>
            </w:r>
          </w:p>
        </w:tc>
        <w:tc>
          <w:tcPr>
            <w:tcW w:w="951" w:type="dxa"/>
            <w:vMerge w:val="restart"/>
            <w:shd w:val="clear" w:color="auto" w:fill="FFFFFF"/>
            <w:tcMar>
              <w:left w:w="28" w:type="dxa"/>
              <w:right w:w="28" w:type="dxa"/>
            </w:tcMar>
            <w:vAlign w:val="center"/>
          </w:tcPr>
          <w:p w14:paraId="1117F1F4">
            <w:pPr>
              <w:spacing w:line="260" w:lineRule="exact"/>
              <w:jc w:val="center"/>
              <w:rPr>
                <w:color w:val="000000"/>
                <w:sz w:val="18"/>
                <w:szCs w:val="18"/>
                <w:highlight w:val="none"/>
              </w:rPr>
            </w:pPr>
            <w:r>
              <w:rPr>
                <w:rFonts w:hint="eastAsia" w:ascii="宋体" w:hAnsi="宋体" w:cs="宋体"/>
                <w:sz w:val="18"/>
                <w:highlight w:val="none"/>
              </w:rPr>
              <w:t>4</w:t>
            </w:r>
          </w:p>
        </w:tc>
        <w:tc>
          <w:tcPr>
            <w:tcW w:w="3348" w:type="dxa"/>
            <w:shd w:val="clear" w:color="auto" w:fill="FFFFFF"/>
            <w:tcMar>
              <w:left w:w="28" w:type="dxa"/>
              <w:right w:w="28" w:type="dxa"/>
            </w:tcMar>
            <w:vAlign w:val="center"/>
          </w:tcPr>
          <w:p w14:paraId="61C1A1E4">
            <w:pPr>
              <w:rPr>
                <w:color w:val="000000"/>
                <w:sz w:val="18"/>
                <w:szCs w:val="18"/>
                <w:highlight w:val="none"/>
              </w:rPr>
            </w:pPr>
            <w:r>
              <w:rPr>
                <w:rFonts w:hint="eastAsia" w:ascii="宋体" w:hAnsi="宋体" w:cs="宋体"/>
                <w:sz w:val="18"/>
                <w:highlight w:val="none"/>
              </w:rPr>
              <w:t>组织全体人员进行安全教育培训，经考试合格上岗。</w:t>
            </w:r>
            <w:r>
              <w:rPr>
                <w:rFonts w:hint="eastAsia"/>
                <w:color w:val="000000"/>
                <w:sz w:val="18"/>
                <w:szCs w:val="18"/>
                <w:highlight w:val="none"/>
              </w:rPr>
              <w:t>（2分）</w:t>
            </w:r>
          </w:p>
        </w:tc>
        <w:tc>
          <w:tcPr>
            <w:tcW w:w="3890" w:type="dxa"/>
            <w:shd w:val="clear" w:color="auto" w:fill="FFFFFF"/>
            <w:tcMar>
              <w:left w:w="28" w:type="dxa"/>
              <w:right w:w="28" w:type="dxa"/>
            </w:tcMar>
            <w:vAlign w:val="center"/>
          </w:tcPr>
          <w:p w14:paraId="0BC36228">
            <w:pPr>
              <w:spacing w:line="260" w:lineRule="exact"/>
              <w:rPr>
                <w:rFonts w:ascii="宋体" w:hAnsi="宋体" w:cs="宋体"/>
                <w:sz w:val="18"/>
                <w:highlight w:val="none"/>
              </w:rPr>
            </w:pPr>
            <w:r>
              <w:rPr>
                <w:rFonts w:hint="eastAsia" w:ascii="宋体" w:hAnsi="宋体" w:cs="宋体"/>
                <w:sz w:val="18"/>
                <w:highlight w:val="none"/>
              </w:rPr>
              <w:t>（1）未组织岗前安全培训教育和考试，每人扣1分；</w:t>
            </w:r>
          </w:p>
          <w:p w14:paraId="7ADDD79E">
            <w:pPr>
              <w:spacing w:line="260" w:lineRule="exact"/>
              <w:rPr>
                <w:rFonts w:ascii="宋体" w:hAnsi="宋体" w:cs="宋体"/>
                <w:sz w:val="18"/>
                <w:highlight w:val="none"/>
              </w:rPr>
            </w:pPr>
            <w:r>
              <w:rPr>
                <w:rFonts w:hint="eastAsia" w:ascii="宋体" w:hAnsi="宋体" w:cs="宋体"/>
                <w:sz w:val="18"/>
                <w:highlight w:val="none"/>
              </w:rPr>
              <w:t>（2）教育和培训记录存在代考/代签现象的，每人扣0.5分。</w:t>
            </w:r>
          </w:p>
          <w:p w14:paraId="54A400EB">
            <w:pPr>
              <w:spacing w:line="260" w:lineRule="exact"/>
              <w:rPr>
                <w:color w:val="000000"/>
                <w:sz w:val="18"/>
                <w:szCs w:val="18"/>
                <w:highlight w:val="none"/>
              </w:rPr>
            </w:pPr>
            <w:r>
              <w:rPr>
                <w:rFonts w:hint="eastAsia" w:ascii="宋体" w:hAnsi="宋体" w:cs="宋体"/>
                <w:sz w:val="18"/>
                <w:highlight w:val="none"/>
              </w:rPr>
              <w:t>（3）考试结果未及时上报监理部，扣0.5分。</w:t>
            </w:r>
          </w:p>
        </w:tc>
        <w:tc>
          <w:tcPr>
            <w:tcW w:w="1117" w:type="dxa"/>
            <w:shd w:val="clear" w:color="auto" w:fill="FFFFFF"/>
            <w:tcMar>
              <w:left w:w="28" w:type="dxa"/>
              <w:right w:w="28" w:type="dxa"/>
            </w:tcMar>
            <w:vAlign w:val="center"/>
          </w:tcPr>
          <w:p w14:paraId="20E9F4B4">
            <w:pPr>
              <w:jc w:val="center"/>
              <w:rPr>
                <w:rFonts w:ascii="宋体" w:hAnsi="宋体" w:cs="宋体"/>
                <w:b/>
                <w:sz w:val="18"/>
                <w:highlight w:val="none"/>
              </w:rPr>
            </w:pPr>
          </w:p>
        </w:tc>
        <w:tc>
          <w:tcPr>
            <w:tcW w:w="1020" w:type="dxa"/>
            <w:shd w:val="clear" w:color="auto" w:fill="FFFFFF"/>
            <w:tcMar>
              <w:left w:w="28" w:type="dxa"/>
              <w:right w:w="28" w:type="dxa"/>
            </w:tcMar>
            <w:vAlign w:val="center"/>
          </w:tcPr>
          <w:p w14:paraId="65A279EE">
            <w:pPr>
              <w:jc w:val="center"/>
              <w:rPr>
                <w:rFonts w:ascii="宋体" w:hAnsi="宋体" w:cs="宋体"/>
                <w:b/>
                <w:sz w:val="18"/>
                <w:highlight w:val="none"/>
              </w:rPr>
            </w:pPr>
          </w:p>
        </w:tc>
      </w:tr>
      <w:tr w14:paraId="1CF0A7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shd w:val="clear" w:color="auto" w:fill="FFFFFF"/>
            <w:tcMar>
              <w:left w:w="28" w:type="dxa"/>
              <w:right w:w="28" w:type="dxa"/>
            </w:tcMar>
            <w:vAlign w:val="center"/>
          </w:tcPr>
          <w:p w14:paraId="66E55EE2">
            <w:pPr>
              <w:spacing w:line="260" w:lineRule="exact"/>
              <w:jc w:val="center"/>
              <w:rPr>
                <w:highlight w:val="none"/>
              </w:rPr>
            </w:pPr>
          </w:p>
        </w:tc>
        <w:tc>
          <w:tcPr>
            <w:tcW w:w="1976" w:type="dxa"/>
            <w:vMerge w:val="continue"/>
            <w:shd w:val="clear" w:color="auto" w:fill="FFFFFF"/>
            <w:tcMar>
              <w:left w:w="28" w:type="dxa"/>
              <w:right w:w="28" w:type="dxa"/>
            </w:tcMar>
            <w:vAlign w:val="center"/>
          </w:tcPr>
          <w:p w14:paraId="54EEFA89">
            <w:pPr>
              <w:spacing w:line="260" w:lineRule="exact"/>
              <w:ind w:right="53"/>
              <w:jc w:val="left"/>
              <w:rPr>
                <w:color w:val="000000"/>
                <w:sz w:val="18"/>
                <w:szCs w:val="18"/>
                <w:highlight w:val="none"/>
              </w:rPr>
            </w:pPr>
          </w:p>
        </w:tc>
        <w:tc>
          <w:tcPr>
            <w:tcW w:w="951" w:type="dxa"/>
            <w:vMerge w:val="continue"/>
            <w:shd w:val="clear" w:color="auto" w:fill="FFFFFF"/>
            <w:tcMar>
              <w:left w:w="28" w:type="dxa"/>
              <w:right w:w="28" w:type="dxa"/>
            </w:tcMar>
            <w:vAlign w:val="center"/>
          </w:tcPr>
          <w:p w14:paraId="06C4FE2D">
            <w:pPr>
              <w:spacing w:line="260" w:lineRule="exact"/>
              <w:jc w:val="center"/>
              <w:rPr>
                <w:color w:val="000000"/>
                <w:sz w:val="18"/>
                <w:szCs w:val="18"/>
                <w:highlight w:val="none"/>
              </w:rPr>
            </w:pPr>
          </w:p>
        </w:tc>
        <w:tc>
          <w:tcPr>
            <w:tcW w:w="3348" w:type="dxa"/>
            <w:shd w:val="clear" w:color="auto" w:fill="FFFFFF"/>
            <w:tcMar>
              <w:left w:w="28" w:type="dxa"/>
              <w:right w:w="28" w:type="dxa"/>
            </w:tcMar>
            <w:vAlign w:val="center"/>
          </w:tcPr>
          <w:p w14:paraId="0A9F914C">
            <w:pPr>
              <w:spacing w:line="260" w:lineRule="exact"/>
              <w:rPr>
                <w:color w:val="000000"/>
                <w:sz w:val="18"/>
                <w:szCs w:val="18"/>
                <w:highlight w:val="none"/>
              </w:rPr>
            </w:pPr>
            <w:r>
              <w:rPr>
                <w:rFonts w:hint="eastAsia" w:ascii="宋体" w:hAnsi="宋体" w:cs="宋体"/>
                <w:sz w:val="18"/>
                <w:highlight w:val="none"/>
              </w:rPr>
              <w:t>组织全体施工人员进行安全技术交底。</w:t>
            </w:r>
            <w:r>
              <w:rPr>
                <w:rFonts w:hint="eastAsia"/>
                <w:color w:val="000000"/>
                <w:sz w:val="18"/>
                <w:szCs w:val="18"/>
                <w:highlight w:val="none"/>
              </w:rPr>
              <w:t>（2分）</w:t>
            </w:r>
          </w:p>
        </w:tc>
        <w:tc>
          <w:tcPr>
            <w:tcW w:w="3890" w:type="dxa"/>
            <w:shd w:val="clear" w:color="auto" w:fill="FFFFFF"/>
            <w:tcMar>
              <w:left w:w="28" w:type="dxa"/>
              <w:right w:w="28" w:type="dxa"/>
            </w:tcMar>
            <w:vAlign w:val="center"/>
          </w:tcPr>
          <w:p w14:paraId="2B13F9AF">
            <w:pPr>
              <w:spacing w:line="260" w:lineRule="exact"/>
              <w:rPr>
                <w:rFonts w:ascii="宋体" w:hAnsi="宋体" w:cs="宋体"/>
                <w:sz w:val="18"/>
                <w:highlight w:val="none"/>
              </w:rPr>
            </w:pPr>
            <w:r>
              <w:rPr>
                <w:rFonts w:hint="eastAsia" w:ascii="宋体" w:hAnsi="宋体" w:cs="宋体"/>
                <w:sz w:val="18"/>
                <w:highlight w:val="none"/>
              </w:rPr>
              <w:t>（1）未进行全员安全技术交底，每次扣1分；</w:t>
            </w:r>
          </w:p>
          <w:p w14:paraId="6509F43F">
            <w:pPr>
              <w:spacing w:line="260" w:lineRule="exact"/>
              <w:rPr>
                <w:rFonts w:ascii="宋体" w:hAnsi="宋体" w:cs="宋体"/>
                <w:sz w:val="18"/>
                <w:highlight w:val="none"/>
              </w:rPr>
            </w:pPr>
            <w:r>
              <w:rPr>
                <w:rFonts w:hint="eastAsia" w:ascii="宋体" w:hAnsi="宋体" w:cs="宋体"/>
                <w:sz w:val="18"/>
                <w:highlight w:val="none"/>
              </w:rPr>
              <w:t>（2）未全员签字或存在代签现象，每人扣0.5分；</w:t>
            </w:r>
          </w:p>
          <w:p w14:paraId="455A4DC2">
            <w:pPr>
              <w:spacing w:line="260" w:lineRule="exact"/>
              <w:rPr>
                <w:color w:val="000000"/>
                <w:sz w:val="18"/>
                <w:szCs w:val="18"/>
                <w:highlight w:val="none"/>
              </w:rPr>
            </w:pPr>
            <w:r>
              <w:rPr>
                <w:rFonts w:hint="eastAsia" w:ascii="宋体" w:hAnsi="宋体" w:cs="宋体"/>
                <w:sz w:val="18"/>
                <w:highlight w:val="none"/>
              </w:rPr>
              <w:t>（3）交底内容针对性差、过于简单，或后补交底过程材料等，每次扣0.5分。</w:t>
            </w:r>
          </w:p>
        </w:tc>
        <w:tc>
          <w:tcPr>
            <w:tcW w:w="1117" w:type="dxa"/>
            <w:shd w:val="clear" w:color="auto" w:fill="FFFFFF"/>
            <w:tcMar>
              <w:left w:w="28" w:type="dxa"/>
              <w:right w:w="28" w:type="dxa"/>
            </w:tcMar>
            <w:vAlign w:val="center"/>
          </w:tcPr>
          <w:p w14:paraId="26273ABF">
            <w:pPr>
              <w:jc w:val="center"/>
              <w:rPr>
                <w:rFonts w:ascii="宋体" w:hAnsi="宋体" w:cs="宋体"/>
                <w:b/>
                <w:sz w:val="18"/>
                <w:highlight w:val="none"/>
              </w:rPr>
            </w:pPr>
          </w:p>
        </w:tc>
        <w:tc>
          <w:tcPr>
            <w:tcW w:w="1020" w:type="dxa"/>
            <w:shd w:val="clear" w:color="auto" w:fill="FFFFFF"/>
            <w:tcMar>
              <w:left w:w="28" w:type="dxa"/>
              <w:right w:w="28" w:type="dxa"/>
            </w:tcMar>
            <w:vAlign w:val="center"/>
          </w:tcPr>
          <w:p w14:paraId="44DCC575">
            <w:pPr>
              <w:jc w:val="center"/>
              <w:rPr>
                <w:rFonts w:ascii="宋体" w:hAnsi="宋体" w:cs="宋体"/>
                <w:b/>
                <w:sz w:val="18"/>
                <w:highlight w:val="none"/>
              </w:rPr>
            </w:pPr>
          </w:p>
        </w:tc>
      </w:tr>
      <w:tr w14:paraId="14A64E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05064665">
            <w:pPr>
              <w:spacing w:line="260" w:lineRule="exact"/>
              <w:jc w:val="center"/>
              <w:rPr>
                <w:b/>
                <w:bCs/>
                <w:highlight w:val="none"/>
              </w:rPr>
            </w:pPr>
            <w:r>
              <w:rPr>
                <w:rFonts w:hint="eastAsia" w:ascii="宋体" w:hAnsi="宋体" w:cs="宋体"/>
                <w:b/>
                <w:bCs/>
                <w:sz w:val="18"/>
                <w:highlight w:val="none"/>
              </w:rPr>
              <w:t>4.4</w:t>
            </w:r>
          </w:p>
        </w:tc>
        <w:tc>
          <w:tcPr>
            <w:tcW w:w="1976" w:type="dxa"/>
            <w:shd w:val="clear" w:color="auto" w:fill="FFFFFF"/>
            <w:tcMar>
              <w:left w:w="28" w:type="dxa"/>
              <w:right w:w="28" w:type="dxa"/>
            </w:tcMar>
            <w:vAlign w:val="center"/>
          </w:tcPr>
          <w:p w14:paraId="470EC5A2">
            <w:pPr>
              <w:spacing w:line="260" w:lineRule="exact"/>
              <w:ind w:right="53"/>
              <w:jc w:val="left"/>
              <w:rPr>
                <w:b/>
                <w:bCs/>
                <w:color w:val="000000"/>
                <w:sz w:val="18"/>
                <w:szCs w:val="18"/>
                <w:highlight w:val="none"/>
              </w:rPr>
            </w:pPr>
            <w:r>
              <w:rPr>
                <w:rFonts w:hint="eastAsia" w:ascii="宋体" w:hAnsi="宋体" w:cs="宋体"/>
                <w:b/>
                <w:bCs/>
                <w:sz w:val="18"/>
                <w:highlight w:val="none"/>
              </w:rPr>
              <w:t>安全文明施工管理</w:t>
            </w:r>
          </w:p>
        </w:tc>
        <w:tc>
          <w:tcPr>
            <w:tcW w:w="951" w:type="dxa"/>
            <w:shd w:val="clear" w:color="auto" w:fill="FFFFFF"/>
            <w:tcMar>
              <w:left w:w="28" w:type="dxa"/>
              <w:right w:w="28" w:type="dxa"/>
            </w:tcMar>
            <w:vAlign w:val="center"/>
          </w:tcPr>
          <w:p w14:paraId="03011FE9">
            <w:pPr>
              <w:spacing w:line="260" w:lineRule="exact"/>
              <w:jc w:val="center"/>
              <w:rPr>
                <w:color w:val="000000"/>
                <w:sz w:val="18"/>
                <w:szCs w:val="18"/>
                <w:highlight w:val="none"/>
              </w:rPr>
            </w:pPr>
            <w:r>
              <w:rPr>
                <w:rFonts w:hint="eastAsia" w:ascii="宋体" w:hAnsi="宋体" w:cs="宋体"/>
                <w:sz w:val="18"/>
                <w:highlight w:val="none"/>
              </w:rPr>
              <w:t>2</w:t>
            </w:r>
          </w:p>
        </w:tc>
        <w:tc>
          <w:tcPr>
            <w:tcW w:w="3348" w:type="dxa"/>
            <w:shd w:val="clear" w:color="auto" w:fill="FFFFFF"/>
            <w:tcMar>
              <w:left w:w="28" w:type="dxa"/>
              <w:right w:w="28" w:type="dxa"/>
            </w:tcMar>
            <w:vAlign w:val="center"/>
          </w:tcPr>
          <w:p w14:paraId="5A10775B">
            <w:pPr>
              <w:spacing w:line="260" w:lineRule="exact"/>
              <w:rPr>
                <w:color w:val="000000"/>
                <w:sz w:val="18"/>
                <w:szCs w:val="18"/>
                <w:highlight w:val="none"/>
              </w:rPr>
            </w:pPr>
            <w:r>
              <w:rPr>
                <w:rFonts w:hint="eastAsia" w:ascii="宋体" w:hAnsi="宋体" w:cs="宋体"/>
                <w:sz w:val="18"/>
                <w:highlight w:val="none"/>
              </w:rPr>
              <w:t>编制并上报安全生产费使用计划，贯彻落实安全文明施工标准化要求，实现“六化”要求。（2分）</w:t>
            </w:r>
          </w:p>
        </w:tc>
        <w:tc>
          <w:tcPr>
            <w:tcW w:w="3890" w:type="dxa"/>
            <w:shd w:val="clear" w:color="auto" w:fill="FFFFFF"/>
            <w:tcMar>
              <w:left w:w="28" w:type="dxa"/>
              <w:right w:w="28" w:type="dxa"/>
            </w:tcMar>
          </w:tcPr>
          <w:p w14:paraId="216A9F49">
            <w:pPr>
              <w:spacing w:line="260" w:lineRule="exact"/>
              <w:rPr>
                <w:rFonts w:ascii="宋体" w:hAnsi="宋体" w:cs="宋体"/>
                <w:sz w:val="18"/>
                <w:highlight w:val="none"/>
              </w:rPr>
            </w:pPr>
            <w:r>
              <w:rPr>
                <w:rFonts w:hint="eastAsia" w:ascii="宋体" w:hAnsi="宋体" w:cs="宋体"/>
                <w:sz w:val="18"/>
                <w:highlight w:val="none"/>
              </w:rPr>
              <w:t>（1）安全防护设施配置不统一、不规范每处扣0.</w:t>
            </w:r>
            <w:r>
              <w:rPr>
                <w:rFonts w:ascii="宋体" w:hAnsi="宋体" w:cs="宋体"/>
                <w:sz w:val="18"/>
                <w:highlight w:val="none"/>
              </w:rPr>
              <w:t xml:space="preserve">5 </w:t>
            </w:r>
            <w:r>
              <w:rPr>
                <w:rFonts w:hint="eastAsia" w:ascii="宋体" w:hAnsi="宋体" w:cs="宋体"/>
                <w:sz w:val="18"/>
                <w:highlight w:val="none"/>
              </w:rPr>
              <w:t>分；安全文明施工类物品（包括：安全帽、安全带、速差自控器、安全自锁器、下线爬梯、验电器、接地线等）的管理和使用不符合规定，每类扣0.</w:t>
            </w:r>
            <w:r>
              <w:rPr>
                <w:rFonts w:ascii="宋体" w:hAnsi="宋体" w:cs="宋体"/>
                <w:sz w:val="18"/>
                <w:highlight w:val="none"/>
              </w:rPr>
              <w:t>5</w:t>
            </w:r>
            <w:r>
              <w:rPr>
                <w:rFonts w:hint="eastAsia" w:ascii="宋体" w:hAnsi="宋体" w:cs="宋体"/>
                <w:sz w:val="18"/>
                <w:highlight w:val="none"/>
              </w:rPr>
              <w:t>分；</w:t>
            </w:r>
          </w:p>
          <w:p w14:paraId="2E09A3F4">
            <w:pPr>
              <w:spacing w:line="260" w:lineRule="exact"/>
              <w:rPr>
                <w:rFonts w:ascii="宋体" w:hAnsi="宋体" w:cs="宋体"/>
                <w:sz w:val="18"/>
                <w:highlight w:val="none"/>
              </w:rPr>
            </w:pPr>
            <w:r>
              <w:rPr>
                <w:rFonts w:hint="eastAsia" w:ascii="宋体" w:hAnsi="宋体" w:cs="宋体"/>
                <w:sz w:val="18"/>
                <w:highlight w:val="none"/>
              </w:rPr>
              <w:t>（</w:t>
            </w:r>
            <w:r>
              <w:rPr>
                <w:rFonts w:ascii="宋体" w:hAnsi="宋体" w:cs="宋体"/>
                <w:sz w:val="18"/>
                <w:highlight w:val="none"/>
              </w:rPr>
              <w:t>2</w:t>
            </w:r>
            <w:r>
              <w:rPr>
                <w:rFonts w:hint="eastAsia" w:ascii="宋体" w:hAnsi="宋体" w:cs="宋体"/>
                <w:sz w:val="18"/>
                <w:highlight w:val="none"/>
              </w:rPr>
              <w:t>）安全生产费未按月使用计划进行，每次扣0.5分；</w:t>
            </w:r>
          </w:p>
          <w:p w14:paraId="78C2E1F1">
            <w:pPr>
              <w:spacing w:line="260" w:lineRule="exact"/>
              <w:rPr>
                <w:rFonts w:ascii="宋体" w:hAnsi="宋体" w:cs="宋体"/>
                <w:sz w:val="18"/>
                <w:highlight w:val="none"/>
              </w:rPr>
            </w:pPr>
            <w:r>
              <w:rPr>
                <w:rFonts w:hint="eastAsia" w:ascii="宋体" w:hAnsi="宋体" w:cs="宋体"/>
                <w:sz w:val="18"/>
                <w:highlight w:val="none"/>
              </w:rPr>
              <w:t>（</w:t>
            </w:r>
            <w:r>
              <w:rPr>
                <w:rFonts w:ascii="宋体" w:hAnsi="宋体" w:cs="宋体"/>
                <w:sz w:val="18"/>
                <w:highlight w:val="none"/>
              </w:rPr>
              <w:t>3</w:t>
            </w:r>
            <w:r>
              <w:rPr>
                <w:rFonts w:hint="eastAsia" w:ascii="宋体" w:hAnsi="宋体" w:cs="宋体"/>
                <w:sz w:val="18"/>
                <w:highlight w:val="none"/>
              </w:rPr>
              <w:t>）安全文明施工未实行常态化管理，每次扣0.5分；安全文明施工缺陷整改不及时、不彻底，每次扣0.</w:t>
            </w:r>
            <w:r>
              <w:rPr>
                <w:rFonts w:ascii="宋体" w:hAnsi="宋体" w:cs="宋体"/>
                <w:sz w:val="18"/>
                <w:highlight w:val="none"/>
              </w:rPr>
              <w:t>5</w:t>
            </w:r>
            <w:r>
              <w:rPr>
                <w:rFonts w:hint="eastAsia" w:ascii="宋体" w:hAnsi="宋体" w:cs="宋体"/>
                <w:sz w:val="18"/>
                <w:highlight w:val="none"/>
              </w:rPr>
              <w:t>分；</w:t>
            </w:r>
          </w:p>
          <w:p w14:paraId="2C00604F">
            <w:pPr>
              <w:spacing w:line="260" w:lineRule="exact"/>
              <w:rPr>
                <w:rFonts w:ascii="宋体" w:hAnsi="宋体" w:cs="宋体"/>
                <w:sz w:val="18"/>
                <w:highlight w:val="none"/>
              </w:rPr>
            </w:pPr>
            <w:r>
              <w:rPr>
                <w:rFonts w:hint="eastAsia" w:ascii="宋体" w:hAnsi="宋体" w:cs="宋体"/>
                <w:sz w:val="18"/>
                <w:highlight w:val="none"/>
              </w:rPr>
              <w:t>（</w:t>
            </w:r>
            <w:r>
              <w:rPr>
                <w:rFonts w:ascii="宋体" w:hAnsi="宋体" w:cs="宋体"/>
                <w:sz w:val="18"/>
                <w:highlight w:val="none"/>
              </w:rPr>
              <w:t>4</w:t>
            </w:r>
            <w:r>
              <w:rPr>
                <w:rFonts w:hint="eastAsia" w:ascii="宋体" w:hAnsi="宋体" w:cs="宋体"/>
                <w:sz w:val="18"/>
                <w:highlight w:val="none"/>
              </w:rPr>
              <w:t>）现场安全文明施工形象差，被公司领导、专家组及业主项目部批评，每批评一次扣1分。</w:t>
            </w:r>
          </w:p>
          <w:p w14:paraId="1403A43A">
            <w:pPr>
              <w:pStyle w:val="2"/>
              <w:rPr>
                <w:highlight w:val="none"/>
                <w:lang w:val="en-US"/>
              </w:rPr>
            </w:pPr>
            <w:r>
              <w:rPr>
                <w:rFonts w:hint="eastAsia" w:ascii="宋体" w:hAnsi="宋体" w:cs="宋体"/>
                <w:szCs w:val="22"/>
                <w:highlight w:val="none"/>
              </w:rPr>
              <w:t>（</w:t>
            </w:r>
            <w:r>
              <w:rPr>
                <w:rFonts w:hint="eastAsia" w:ascii="宋体" w:hAnsi="宋体" w:cs="宋体"/>
                <w:szCs w:val="22"/>
                <w:highlight w:val="none"/>
                <w:lang w:val="en-US"/>
              </w:rPr>
              <w:t>5</w:t>
            </w:r>
            <w:r>
              <w:rPr>
                <w:rFonts w:hint="eastAsia" w:ascii="宋体" w:hAnsi="宋体" w:cs="宋体"/>
                <w:szCs w:val="22"/>
                <w:highlight w:val="none"/>
              </w:rPr>
              <w:t>）</w:t>
            </w:r>
            <w:r>
              <w:rPr>
                <w:rFonts w:hint="eastAsia" w:ascii="仿宋_GB2312" w:hAnsi="仿宋_GB2312" w:cs="仿宋_GB2312"/>
                <w:bCs/>
                <w:highlight w:val="none"/>
                <w:lang w:val="en-US"/>
              </w:rPr>
              <w:t>在现场安全文明管理上实施“6s”管理法，提升现场安全文明施工水平，大力推动参建人员素质养成，提高技能，规范作业行为。未编制场安全文明管理上实施“6s”管理法实施方案一次扣2分，未落实相关要求至少扣除1分。</w:t>
            </w:r>
          </w:p>
        </w:tc>
        <w:tc>
          <w:tcPr>
            <w:tcW w:w="1117" w:type="dxa"/>
            <w:shd w:val="clear" w:color="auto" w:fill="FFFFFF"/>
            <w:tcMar>
              <w:left w:w="28" w:type="dxa"/>
              <w:right w:w="28" w:type="dxa"/>
            </w:tcMar>
            <w:vAlign w:val="center"/>
          </w:tcPr>
          <w:p w14:paraId="59E0ED39">
            <w:pPr>
              <w:jc w:val="center"/>
              <w:rPr>
                <w:rFonts w:ascii="宋体" w:hAnsi="宋体" w:cs="宋体"/>
                <w:b/>
                <w:sz w:val="18"/>
                <w:highlight w:val="none"/>
              </w:rPr>
            </w:pPr>
          </w:p>
        </w:tc>
        <w:tc>
          <w:tcPr>
            <w:tcW w:w="1020" w:type="dxa"/>
            <w:shd w:val="clear" w:color="auto" w:fill="FFFFFF"/>
            <w:tcMar>
              <w:left w:w="28" w:type="dxa"/>
              <w:right w:w="28" w:type="dxa"/>
            </w:tcMar>
            <w:vAlign w:val="center"/>
          </w:tcPr>
          <w:p w14:paraId="77096C0B">
            <w:pPr>
              <w:jc w:val="center"/>
              <w:rPr>
                <w:rFonts w:ascii="宋体" w:hAnsi="宋体" w:cs="宋体"/>
                <w:b/>
                <w:sz w:val="18"/>
                <w:highlight w:val="none"/>
              </w:rPr>
            </w:pPr>
          </w:p>
        </w:tc>
      </w:tr>
      <w:tr w14:paraId="49CCDF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5858D3BF">
            <w:pPr>
              <w:spacing w:line="260" w:lineRule="exact"/>
              <w:jc w:val="center"/>
              <w:rPr>
                <w:b/>
                <w:bCs/>
                <w:highlight w:val="none"/>
              </w:rPr>
            </w:pPr>
            <w:r>
              <w:rPr>
                <w:rFonts w:hint="eastAsia" w:ascii="宋体" w:hAnsi="宋体" w:cs="宋体"/>
                <w:b/>
                <w:bCs/>
                <w:sz w:val="18"/>
                <w:highlight w:val="none"/>
              </w:rPr>
              <w:t>4.5</w:t>
            </w:r>
          </w:p>
        </w:tc>
        <w:tc>
          <w:tcPr>
            <w:tcW w:w="1976" w:type="dxa"/>
            <w:shd w:val="clear" w:color="auto" w:fill="FFFFFF"/>
            <w:tcMar>
              <w:left w:w="28" w:type="dxa"/>
              <w:right w:w="28" w:type="dxa"/>
            </w:tcMar>
            <w:vAlign w:val="center"/>
          </w:tcPr>
          <w:p w14:paraId="78F274BB">
            <w:pPr>
              <w:pStyle w:val="36"/>
              <w:spacing w:line="260" w:lineRule="exact"/>
              <w:ind w:left="0" w:leftChars="0" w:right="53"/>
              <w:jc w:val="left"/>
              <w:rPr>
                <w:b/>
                <w:bCs/>
                <w:szCs w:val="18"/>
                <w:highlight w:val="none"/>
              </w:rPr>
            </w:pPr>
            <w:r>
              <w:rPr>
                <w:rFonts w:hint="eastAsia" w:ascii="宋体" w:hAnsi="宋体" w:cs="宋体"/>
                <w:b/>
                <w:bCs/>
                <w:highlight w:val="none"/>
              </w:rPr>
              <w:t>分包安全管理</w:t>
            </w:r>
          </w:p>
        </w:tc>
        <w:tc>
          <w:tcPr>
            <w:tcW w:w="951" w:type="dxa"/>
            <w:shd w:val="clear" w:color="auto" w:fill="FFFFFF"/>
            <w:tcMar>
              <w:left w:w="28" w:type="dxa"/>
              <w:right w:w="28" w:type="dxa"/>
            </w:tcMar>
            <w:vAlign w:val="center"/>
          </w:tcPr>
          <w:p w14:paraId="47175F4B">
            <w:pPr>
              <w:spacing w:line="260" w:lineRule="exact"/>
              <w:jc w:val="center"/>
              <w:rPr>
                <w:color w:val="000000"/>
                <w:sz w:val="18"/>
                <w:szCs w:val="18"/>
                <w:highlight w:val="none"/>
              </w:rPr>
            </w:pPr>
            <w:r>
              <w:rPr>
                <w:rFonts w:hint="eastAsia" w:ascii="宋体" w:hAnsi="宋体" w:cs="宋体"/>
                <w:sz w:val="18"/>
                <w:highlight w:val="none"/>
              </w:rPr>
              <w:t>4</w:t>
            </w:r>
          </w:p>
        </w:tc>
        <w:tc>
          <w:tcPr>
            <w:tcW w:w="3348" w:type="dxa"/>
            <w:shd w:val="clear" w:color="auto" w:fill="FFFFFF"/>
            <w:tcMar>
              <w:left w:w="28" w:type="dxa"/>
              <w:right w:w="28" w:type="dxa"/>
            </w:tcMar>
            <w:vAlign w:val="center"/>
          </w:tcPr>
          <w:p w14:paraId="1F4590C8">
            <w:pPr>
              <w:spacing w:line="260" w:lineRule="exact"/>
              <w:rPr>
                <w:color w:val="000000"/>
                <w:sz w:val="18"/>
                <w:szCs w:val="18"/>
                <w:highlight w:val="none"/>
              </w:rPr>
            </w:pPr>
            <w:r>
              <w:rPr>
                <w:rFonts w:hint="eastAsia" w:ascii="宋体" w:hAnsi="宋体" w:cs="宋体"/>
                <w:sz w:val="18"/>
                <w:highlight w:val="none"/>
              </w:rPr>
              <w:t>分包队伍选用规范，在分包工程开工前报监理和业主项目部备案。对分包工程施工安全实施全过程动态管理，将分包商纳入现场施工项目部安全管理体系。</w:t>
            </w:r>
            <w:r>
              <w:rPr>
                <w:rFonts w:hint="eastAsia"/>
                <w:color w:val="000000"/>
                <w:sz w:val="18"/>
                <w:szCs w:val="18"/>
                <w:highlight w:val="none"/>
              </w:rPr>
              <w:t>（4分）</w:t>
            </w:r>
          </w:p>
        </w:tc>
        <w:tc>
          <w:tcPr>
            <w:tcW w:w="3890" w:type="dxa"/>
            <w:shd w:val="clear" w:color="auto" w:fill="FFFFFF"/>
            <w:tcMar>
              <w:left w:w="28" w:type="dxa"/>
              <w:right w:w="28" w:type="dxa"/>
            </w:tcMar>
            <w:vAlign w:val="center"/>
          </w:tcPr>
          <w:p w14:paraId="0DEC14B0">
            <w:pPr>
              <w:spacing w:line="260" w:lineRule="exact"/>
              <w:rPr>
                <w:rFonts w:ascii="宋体" w:hAnsi="宋体" w:cs="宋体"/>
                <w:sz w:val="18"/>
                <w:highlight w:val="none"/>
              </w:rPr>
            </w:pPr>
            <w:r>
              <w:rPr>
                <w:rFonts w:hint="eastAsia" w:ascii="宋体" w:hAnsi="宋体" w:cs="宋体"/>
                <w:sz w:val="18"/>
                <w:highlight w:val="none"/>
              </w:rPr>
              <w:t>（1）分包不规范，存在转包、违规分包，每例/项扣2分；</w:t>
            </w:r>
          </w:p>
          <w:p w14:paraId="0A0BD4C3">
            <w:pPr>
              <w:spacing w:line="260" w:lineRule="exact"/>
              <w:rPr>
                <w:rFonts w:ascii="宋体" w:hAnsi="宋体" w:cs="宋体"/>
                <w:sz w:val="18"/>
                <w:highlight w:val="none"/>
              </w:rPr>
            </w:pPr>
            <w:r>
              <w:rPr>
                <w:rFonts w:hint="eastAsia" w:ascii="宋体" w:hAnsi="宋体" w:cs="宋体"/>
                <w:sz w:val="18"/>
                <w:highlight w:val="none"/>
              </w:rPr>
              <w:t>（2）分包商人员和数量无法满足工程进度要求，每项扣1分；</w:t>
            </w:r>
          </w:p>
          <w:p w14:paraId="43307AFB">
            <w:pPr>
              <w:spacing w:line="260" w:lineRule="exact"/>
              <w:rPr>
                <w:rFonts w:ascii="宋体" w:hAnsi="宋体" w:cs="宋体"/>
                <w:sz w:val="18"/>
                <w:highlight w:val="none"/>
              </w:rPr>
            </w:pPr>
            <w:r>
              <w:rPr>
                <w:rFonts w:hint="eastAsia" w:ascii="宋体" w:hAnsi="宋体" w:cs="宋体"/>
                <w:sz w:val="18"/>
                <w:highlight w:val="none"/>
              </w:rPr>
              <w:t>（3）对分包人员未进行培训考试，未建立台账，每人次扣0.5分。</w:t>
            </w:r>
          </w:p>
          <w:p w14:paraId="608FEC15">
            <w:pPr>
              <w:spacing w:line="260" w:lineRule="exact"/>
              <w:rPr>
                <w:rFonts w:ascii="宋体" w:hAnsi="宋体" w:cs="宋体"/>
                <w:sz w:val="18"/>
                <w:highlight w:val="none"/>
              </w:rPr>
            </w:pPr>
            <w:r>
              <w:rPr>
                <w:rFonts w:hint="eastAsia" w:ascii="宋体" w:hAnsi="宋体" w:cs="宋体"/>
                <w:sz w:val="18"/>
                <w:highlight w:val="none"/>
              </w:rPr>
              <w:t>（4）劳务分包人员防护用品配置不齐全，每人次扣0.5分；</w:t>
            </w:r>
          </w:p>
          <w:p w14:paraId="48FF2483">
            <w:pPr>
              <w:spacing w:line="260" w:lineRule="exact"/>
              <w:rPr>
                <w:rFonts w:ascii="宋体" w:hAnsi="宋体" w:cs="宋体"/>
                <w:sz w:val="18"/>
                <w:highlight w:val="none"/>
              </w:rPr>
            </w:pPr>
            <w:r>
              <w:rPr>
                <w:rFonts w:hint="eastAsia" w:ascii="宋体" w:hAnsi="宋体" w:cs="宋体"/>
                <w:sz w:val="18"/>
                <w:highlight w:val="none"/>
              </w:rPr>
              <w:t>（5）动态核查分包商人员人证相符情况，如不符合每人次扣0.5分；</w:t>
            </w:r>
          </w:p>
          <w:p w14:paraId="4C158E3B">
            <w:pPr>
              <w:spacing w:line="260" w:lineRule="exact"/>
              <w:rPr>
                <w:rFonts w:ascii="宋体" w:hAnsi="宋体" w:cs="宋体"/>
                <w:sz w:val="18"/>
                <w:highlight w:val="none"/>
              </w:rPr>
            </w:pPr>
            <w:r>
              <w:rPr>
                <w:rFonts w:hint="eastAsia" w:ascii="宋体" w:hAnsi="宋体" w:cs="宋体"/>
                <w:sz w:val="18"/>
                <w:highlight w:val="none"/>
              </w:rPr>
              <w:t>（6）分包单位项目管理关键人员、作业层班组骨干岗位任职资格为与投标承诺一致、不满足要求，每人次扣0.5分；</w:t>
            </w:r>
          </w:p>
          <w:p w14:paraId="7C013672">
            <w:pPr>
              <w:spacing w:line="260" w:lineRule="exact"/>
              <w:rPr>
                <w:color w:val="000000"/>
                <w:sz w:val="18"/>
                <w:szCs w:val="18"/>
                <w:highlight w:val="none"/>
              </w:rPr>
            </w:pPr>
            <w:r>
              <w:rPr>
                <w:rFonts w:hint="eastAsia" w:ascii="宋体" w:hAnsi="宋体" w:cs="宋体"/>
                <w:sz w:val="18"/>
                <w:highlight w:val="none"/>
              </w:rPr>
              <w:t>（7）分包单位施工资质、人员配置、施工机具为满足工程需要，每项扣0.5分。</w:t>
            </w:r>
          </w:p>
        </w:tc>
        <w:tc>
          <w:tcPr>
            <w:tcW w:w="1117" w:type="dxa"/>
            <w:shd w:val="clear" w:color="auto" w:fill="FFFFFF"/>
            <w:tcMar>
              <w:left w:w="28" w:type="dxa"/>
              <w:right w:w="28" w:type="dxa"/>
            </w:tcMar>
            <w:vAlign w:val="center"/>
          </w:tcPr>
          <w:p w14:paraId="45BD0CCD">
            <w:pPr>
              <w:jc w:val="center"/>
              <w:rPr>
                <w:rFonts w:ascii="宋体" w:hAnsi="宋体" w:cs="宋体"/>
                <w:b/>
                <w:sz w:val="18"/>
                <w:highlight w:val="none"/>
              </w:rPr>
            </w:pPr>
          </w:p>
        </w:tc>
        <w:tc>
          <w:tcPr>
            <w:tcW w:w="1020" w:type="dxa"/>
            <w:shd w:val="clear" w:color="auto" w:fill="FFFFFF"/>
            <w:tcMar>
              <w:left w:w="28" w:type="dxa"/>
              <w:right w:w="28" w:type="dxa"/>
            </w:tcMar>
            <w:vAlign w:val="center"/>
          </w:tcPr>
          <w:p w14:paraId="4768A5BB">
            <w:pPr>
              <w:jc w:val="center"/>
              <w:rPr>
                <w:rFonts w:ascii="宋体" w:hAnsi="宋体" w:cs="宋体"/>
                <w:b/>
                <w:sz w:val="18"/>
                <w:highlight w:val="none"/>
              </w:rPr>
            </w:pPr>
          </w:p>
        </w:tc>
      </w:tr>
      <w:tr w14:paraId="50F985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6A829EEF">
            <w:pPr>
              <w:spacing w:line="260" w:lineRule="exact"/>
              <w:jc w:val="center"/>
              <w:rPr>
                <w:b/>
                <w:bCs/>
                <w:highlight w:val="none"/>
              </w:rPr>
            </w:pPr>
            <w:r>
              <w:rPr>
                <w:rFonts w:hint="eastAsia" w:ascii="宋体" w:hAnsi="宋体" w:cs="宋体"/>
                <w:b/>
                <w:bCs/>
                <w:sz w:val="18"/>
                <w:highlight w:val="none"/>
              </w:rPr>
              <w:t>4.6</w:t>
            </w:r>
          </w:p>
        </w:tc>
        <w:tc>
          <w:tcPr>
            <w:tcW w:w="1976" w:type="dxa"/>
            <w:shd w:val="clear" w:color="auto" w:fill="FFFFFF"/>
            <w:tcMar>
              <w:left w:w="28" w:type="dxa"/>
              <w:right w:w="28" w:type="dxa"/>
            </w:tcMar>
            <w:vAlign w:val="center"/>
          </w:tcPr>
          <w:p w14:paraId="7CFA1324">
            <w:pPr>
              <w:pStyle w:val="36"/>
              <w:spacing w:line="260" w:lineRule="exact"/>
              <w:ind w:left="0" w:leftChars="0" w:right="53"/>
              <w:jc w:val="left"/>
              <w:rPr>
                <w:b/>
                <w:bCs/>
                <w:szCs w:val="18"/>
                <w:highlight w:val="none"/>
              </w:rPr>
            </w:pPr>
            <w:r>
              <w:rPr>
                <w:rFonts w:hint="eastAsia" w:ascii="宋体" w:hAnsi="宋体" w:cs="宋体"/>
                <w:b/>
                <w:bCs/>
                <w:highlight w:val="none"/>
              </w:rPr>
              <w:t>应急管理</w:t>
            </w:r>
          </w:p>
        </w:tc>
        <w:tc>
          <w:tcPr>
            <w:tcW w:w="951" w:type="dxa"/>
            <w:shd w:val="clear" w:color="auto" w:fill="FFFFFF"/>
            <w:tcMar>
              <w:left w:w="28" w:type="dxa"/>
              <w:right w:w="28" w:type="dxa"/>
            </w:tcMar>
            <w:vAlign w:val="center"/>
          </w:tcPr>
          <w:p w14:paraId="192BD43C">
            <w:pPr>
              <w:spacing w:line="260" w:lineRule="exact"/>
              <w:jc w:val="center"/>
              <w:rPr>
                <w:color w:val="000000"/>
                <w:sz w:val="18"/>
                <w:szCs w:val="18"/>
                <w:highlight w:val="none"/>
              </w:rPr>
            </w:pPr>
            <w:r>
              <w:rPr>
                <w:rFonts w:hint="eastAsia" w:ascii="宋体" w:hAnsi="宋体" w:cs="宋体"/>
                <w:sz w:val="18"/>
                <w:highlight w:val="none"/>
              </w:rPr>
              <w:t>2</w:t>
            </w:r>
          </w:p>
        </w:tc>
        <w:tc>
          <w:tcPr>
            <w:tcW w:w="3348" w:type="dxa"/>
            <w:shd w:val="clear" w:color="auto" w:fill="FFFFFF"/>
            <w:tcMar>
              <w:left w:w="28" w:type="dxa"/>
              <w:right w:w="28" w:type="dxa"/>
            </w:tcMar>
          </w:tcPr>
          <w:p w14:paraId="32C3CB34">
            <w:pPr>
              <w:spacing w:line="260" w:lineRule="exact"/>
              <w:rPr>
                <w:color w:val="000000"/>
                <w:sz w:val="18"/>
                <w:szCs w:val="18"/>
                <w:highlight w:val="none"/>
              </w:rPr>
            </w:pPr>
            <w:r>
              <w:rPr>
                <w:rFonts w:hint="eastAsia" w:ascii="宋体" w:hAnsi="宋体" w:cs="宋体"/>
                <w:sz w:val="18"/>
                <w:szCs w:val="24"/>
                <w:highlight w:val="none"/>
              </w:rPr>
              <w:t>组建现场应急救援队伍，配备应急救援物资和工器具，参加应急救援知识培训和现场应急演练。</w:t>
            </w:r>
            <w:r>
              <w:rPr>
                <w:rFonts w:hint="eastAsia"/>
                <w:color w:val="000000"/>
                <w:sz w:val="18"/>
                <w:szCs w:val="18"/>
                <w:highlight w:val="none"/>
              </w:rPr>
              <w:t>（2分）</w:t>
            </w:r>
          </w:p>
        </w:tc>
        <w:tc>
          <w:tcPr>
            <w:tcW w:w="3890" w:type="dxa"/>
            <w:shd w:val="clear" w:color="auto" w:fill="FFFFFF"/>
            <w:tcMar>
              <w:left w:w="28" w:type="dxa"/>
              <w:right w:w="28" w:type="dxa"/>
            </w:tcMar>
          </w:tcPr>
          <w:p w14:paraId="5B58DE27">
            <w:pPr>
              <w:spacing w:line="260" w:lineRule="exact"/>
              <w:rPr>
                <w:rFonts w:ascii="宋体" w:hAnsi="宋体" w:cs="宋体"/>
                <w:sz w:val="18"/>
                <w:highlight w:val="none"/>
              </w:rPr>
            </w:pPr>
            <w:r>
              <w:rPr>
                <w:rFonts w:hint="eastAsia" w:ascii="宋体" w:hAnsi="宋体" w:cs="宋体"/>
                <w:sz w:val="18"/>
                <w:highlight w:val="none"/>
              </w:rPr>
              <w:t>（1）未按要求组建现场应急救援队伍，扣1分；</w:t>
            </w:r>
          </w:p>
          <w:p w14:paraId="3D41E76C">
            <w:pPr>
              <w:spacing w:line="260" w:lineRule="exact"/>
              <w:rPr>
                <w:rFonts w:ascii="宋体" w:hAnsi="宋体" w:cs="宋体"/>
                <w:sz w:val="18"/>
                <w:highlight w:val="none"/>
              </w:rPr>
            </w:pPr>
            <w:r>
              <w:rPr>
                <w:rFonts w:hint="eastAsia" w:ascii="宋体" w:hAnsi="宋体" w:cs="宋体"/>
                <w:sz w:val="18"/>
                <w:highlight w:val="none"/>
              </w:rPr>
              <w:t>（2）未配备应急救援物资和工器具，或未落实管理人员及责任，扣1分；</w:t>
            </w:r>
          </w:p>
          <w:p w14:paraId="6A3CE728">
            <w:pPr>
              <w:spacing w:line="260" w:lineRule="exact"/>
              <w:rPr>
                <w:rFonts w:ascii="宋体" w:hAnsi="宋体" w:cs="宋体"/>
                <w:sz w:val="18"/>
                <w:highlight w:val="none"/>
              </w:rPr>
            </w:pPr>
            <w:r>
              <w:rPr>
                <w:rFonts w:hint="eastAsia" w:ascii="宋体" w:hAnsi="宋体" w:cs="宋体"/>
                <w:sz w:val="18"/>
                <w:highlight w:val="none"/>
              </w:rPr>
              <w:t>（3）应急救援物资和工器具配备不全，每缺少一项扣0.5分；</w:t>
            </w:r>
          </w:p>
          <w:p w14:paraId="47437EE7">
            <w:pPr>
              <w:spacing w:line="260" w:lineRule="exact"/>
              <w:rPr>
                <w:color w:val="000000"/>
                <w:sz w:val="18"/>
                <w:szCs w:val="18"/>
                <w:highlight w:val="none"/>
              </w:rPr>
            </w:pPr>
            <w:r>
              <w:rPr>
                <w:rFonts w:hint="eastAsia" w:ascii="宋体" w:hAnsi="宋体" w:cs="宋体"/>
                <w:sz w:val="18"/>
                <w:highlight w:val="none"/>
              </w:rPr>
              <w:t>（4）未填写现场应急处置方案演练记录，扣0.5分。</w:t>
            </w:r>
          </w:p>
        </w:tc>
        <w:tc>
          <w:tcPr>
            <w:tcW w:w="1117" w:type="dxa"/>
            <w:shd w:val="clear" w:color="auto" w:fill="FFFFFF"/>
            <w:tcMar>
              <w:left w:w="28" w:type="dxa"/>
              <w:right w:w="28" w:type="dxa"/>
            </w:tcMar>
            <w:vAlign w:val="center"/>
          </w:tcPr>
          <w:p w14:paraId="7C583AC7">
            <w:pPr>
              <w:jc w:val="center"/>
              <w:rPr>
                <w:rFonts w:ascii="宋体" w:hAnsi="宋体" w:cs="宋体"/>
                <w:b/>
                <w:sz w:val="18"/>
                <w:highlight w:val="none"/>
              </w:rPr>
            </w:pPr>
          </w:p>
        </w:tc>
        <w:tc>
          <w:tcPr>
            <w:tcW w:w="1020" w:type="dxa"/>
            <w:shd w:val="clear" w:color="auto" w:fill="FFFFFF"/>
            <w:tcMar>
              <w:left w:w="28" w:type="dxa"/>
              <w:right w:w="28" w:type="dxa"/>
            </w:tcMar>
            <w:vAlign w:val="center"/>
          </w:tcPr>
          <w:p w14:paraId="6CBBAE15">
            <w:pPr>
              <w:jc w:val="center"/>
              <w:rPr>
                <w:rFonts w:ascii="宋体" w:hAnsi="宋体" w:cs="宋体"/>
                <w:b/>
                <w:sz w:val="18"/>
                <w:highlight w:val="none"/>
              </w:rPr>
            </w:pPr>
          </w:p>
        </w:tc>
      </w:tr>
      <w:tr w14:paraId="3A3118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shd w:val="clear" w:color="auto" w:fill="FFFFFF"/>
            <w:tcMar>
              <w:left w:w="28" w:type="dxa"/>
              <w:right w:w="28" w:type="dxa"/>
            </w:tcMar>
            <w:vAlign w:val="center"/>
          </w:tcPr>
          <w:p w14:paraId="1A1838C8">
            <w:pPr>
              <w:spacing w:line="260" w:lineRule="exact"/>
              <w:jc w:val="center"/>
              <w:rPr>
                <w:b/>
                <w:bCs/>
                <w:color w:val="000000"/>
                <w:sz w:val="18"/>
                <w:szCs w:val="18"/>
                <w:highlight w:val="none"/>
              </w:rPr>
            </w:pPr>
            <w:r>
              <w:rPr>
                <w:rFonts w:hint="eastAsia" w:ascii="宋体" w:hAnsi="宋体" w:cs="宋体"/>
                <w:b/>
                <w:bCs/>
                <w:sz w:val="18"/>
                <w:highlight w:val="none"/>
              </w:rPr>
              <w:t>4.7</w:t>
            </w:r>
          </w:p>
        </w:tc>
        <w:tc>
          <w:tcPr>
            <w:tcW w:w="1976" w:type="dxa"/>
            <w:vMerge w:val="restart"/>
            <w:shd w:val="clear" w:color="auto" w:fill="FFFFFF"/>
            <w:tcMar>
              <w:left w:w="28" w:type="dxa"/>
              <w:right w:w="28" w:type="dxa"/>
            </w:tcMar>
            <w:vAlign w:val="center"/>
          </w:tcPr>
          <w:p w14:paraId="03F95CEE">
            <w:pPr>
              <w:spacing w:line="260" w:lineRule="exact"/>
              <w:ind w:right="53"/>
              <w:jc w:val="left"/>
              <w:rPr>
                <w:b/>
                <w:bCs/>
                <w:color w:val="000000"/>
                <w:sz w:val="18"/>
                <w:szCs w:val="18"/>
                <w:highlight w:val="none"/>
              </w:rPr>
            </w:pPr>
            <w:r>
              <w:rPr>
                <w:rFonts w:hint="eastAsia" w:ascii="宋体" w:hAnsi="宋体" w:cs="宋体"/>
                <w:b/>
                <w:bCs/>
                <w:sz w:val="18"/>
                <w:highlight w:val="none"/>
              </w:rPr>
              <w:t>反违章管理</w:t>
            </w:r>
          </w:p>
        </w:tc>
        <w:tc>
          <w:tcPr>
            <w:tcW w:w="951" w:type="dxa"/>
            <w:vMerge w:val="restart"/>
            <w:shd w:val="clear" w:color="auto" w:fill="FFFFFF"/>
            <w:tcMar>
              <w:left w:w="28" w:type="dxa"/>
              <w:right w:w="28" w:type="dxa"/>
            </w:tcMar>
            <w:vAlign w:val="center"/>
          </w:tcPr>
          <w:p w14:paraId="6A1E121E">
            <w:pPr>
              <w:spacing w:line="260" w:lineRule="exact"/>
              <w:jc w:val="center"/>
              <w:rPr>
                <w:color w:val="000000"/>
                <w:sz w:val="18"/>
                <w:szCs w:val="18"/>
                <w:highlight w:val="none"/>
              </w:rPr>
            </w:pPr>
            <w:r>
              <w:rPr>
                <w:rFonts w:hint="eastAsia" w:ascii="宋体" w:hAnsi="宋体" w:cs="宋体"/>
                <w:sz w:val="18"/>
                <w:highlight w:val="none"/>
              </w:rPr>
              <w:t>6</w:t>
            </w:r>
          </w:p>
        </w:tc>
        <w:tc>
          <w:tcPr>
            <w:tcW w:w="3348" w:type="dxa"/>
            <w:shd w:val="clear" w:color="auto" w:fill="FFFFFF"/>
            <w:tcMar>
              <w:left w:w="28" w:type="dxa"/>
              <w:right w:w="28" w:type="dxa"/>
            </w:tcMar>
          </w:tcPr>
          <w:p w14:paraId="24C60379">
            <w:pPr>
              <w:spacing w:line="260" w:lineRule="exact"/>
              <w:rPr>
                <w:color w:val="000000"/>
                <w:sz w:val="18"/>
                <w:szCs w:val="18"/>
                <w:highlight w:val="none"/>
              </w:rPr>
            </w:pPr>
            <w:r>
              <w:rPr>
                <w:rFonts w:hint="eastAsia" w:ascii="宋体" w:hAnsi="宋体" w:cs="宋体"/>
                <w:sz w:val="18"/>
                <w:highlight w:val="none"/>
              </w:rPr>
              <w:t>组织安全及文明施工例行检查，对检查中发现的各类安全隐患及时整改闭环。</w:t>
            </w:r>
            <w:r>
              <w:rPr>
                <w:rFonts w:hint="eastAsia"/>
                <w:color w:val="000000"/>
                <w:sz w:val="18"/>
                <w:szCs w:val="18"/>
                <w:highlight w:val="none"/>
              </w:rPr>
              <w:t>（3分）</w:t>
            </w:r>
          </w:p>
        </w:tc>
        <w:tc>
          <w:tcPr>
            <w:tcW w:w="3890" w:type="dxa"/>
            <w:shd w:val="clear" w:color="auto" w:fill="FFFFFF"/>
            <w:tcMar>
              <w:left w:w="28" w:type="dxa"/>
              <w:right w:w="28" w:type="dxa"/>
            </w:tcMar>
          </w:tcPr>
          <w:p w14:paraId="4059892D">
            <w:pPr>
              <w:spacing w:line="260" w:lineRule="exact"/>
              <w:rPr>
                <w:rFonts w:ascii="宋体" w:hAnsi="宋体" w:cs="宋体"/>
                <w:sz w:val="18"/>
                <w:highlight w:val="none"/>
              </w:rPr>
            </w:pPr>
            <w:r>
              <w:rPr>
                <w:rFonts w:hint="eastAsia" w:ascii="宋体" w:hAnsi="宋体" w:cs="宋体"/>
                <w:sz w:val="18"/>
                <w:highlight w:val="none"/>
              </w:rPr>
              <w:t>（1）未按规定组织安全检查，缺少一次扣1分；</w:t>
            </w:r>
          </w:p>
          <w:p w14:paraId="38647AC5">
            <w:pPr>
              <w:spacing w:line="260" w:lineRule="exact"/>
              <w:rPr>
                <w:rFonts w:ascii="宋体" w:hAnsi="宋体" w:cs="宋体"/>
                <w:sz w:val="18"/>
                <w:highlight w:val="none"/>
              </w:rPr>
            </w:pPr>
            <w:r>
              <w:rPr>
                <w:rFonts w:hint="eastAsia" w:ascii="宋体" w:hAnsi="宋体" w:cs="宋体"/>
                <w:sz w:val="18"/>
                <w:highlight w:val="none"/>
              </w:rPr>
              <w:t>（2）安全检查发现的问题未及时整改，每次扣0.5分；</w:t>
            </w:r>
          </w:p>
          <w:p w14:paraId="5D554ADF">
            <w:pPr>
              <w:spacing w:line="260" w:lineRule="exact"/>
              <w:rPr>
                <w:color w:val="000000"/>
                <w:sz w:val="18"/>
                <w:szCs w:val="18"/>
                <w:highlight w:val="none"/>
              </w:rPr>
            </w:pPr>
            <w:r>
              <w:rPr>
                <w:rFonts w:hint="eastAsia" w:ascii="宋体" w:hAnsi="宋体" w:cs="宋体"/>
                <w:sz w:val="18"/>
                <w:highlight w:val="none"/>
              </w:rPr>
              <w:t>（3）安全检查不认真，每次扣0.5分。</w:t>
            </w:r>
          </w:p>
        </w:tc>
        <w:tc>
          <w:tcPr>
            <w:tcW w:w="1117" w:type="dxa"/>
            <w:shd w:val="clear" w:color="auto" w:fill="FFFFFF"/>
            <w:tcMar>
              <w:left w:w="28" w:type="dxa"/>
              <w:right w:w="28" w:type="dxa"/>
            </w:tcMar>
            <w:vAlign w:val="center"/>
          </w:tcPr>
          <w:p w14:paraId="0184CB19">
            <w:pPr>
              <w:jc w:val="center"/>
              <w:rPr>
                <w:rFonts w:ascii="宋体" w:hAnsi="宋体" w:cs="宋体"/>
                <w:b/>
                <w:sz w:val="18"/>
                <w:highlight w:val="none"/>
              </w:rPr>
            </w:pPr>
          </w:p>
        </w:tc>
        <w:tc>
          <w:tcPr>
            <w:tcW w:w="1020" w:type="dxa"/>
            <w:shd w:val="clear" w:color="auto" w:fill="FFFFFF"/>
            <w:tcMar>
              <w:left w:w="28" w:type="dxa"/>
              <w:right w:w="28" w:type="dxa"/>
            </w:tcMar>
            <w:vAlign w:val="center"/>
          </w:tcPr>
          <w:p w14:paraId="3C71CABE">
            <w:pPr>
              <w:jc w:val="center"/>
              <w:rPr>
                <w:rFonts w:ascii="宋体" w:hAnsi="宋体" w:cs="宋体"/>
                <w:b/>
                <w:sz w:val="18"/>
                <w:highlight w:val="none"/>
              </w:rPr>
            </w:pPr>
          </w:p>
        </w:tc>
      </w:tr>
      <w:tr w14:paraId="5C450E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shd w:val="clear" w:color="auto" w:fill="FFFFFF"/>
            <w:tcMar>
              <w:left w:w="28" w:type="dxa"/>
              <w:right w:w="28" w:type="dxa"/>
            </w:tcMar>
            <w:vAlign w:val="center"/>
          </w:tcPr>
          <w:p w14:paraId="29803958">
            <w:pPr>
              <w:spacing w:line="260" w:lineRule="exact"/>
              <w:jc w:val="center"/>
              <w:rPr>
                <w:color w:val="000000"/>
                <w:sz w:val="18"/>
                <w:szCs w:val="18"/>
                <w:highlight w:val="none"/>
              </w:rPr>
            </w:pPr>
          </w:p>
        </w:tc>
        <w:tc>
          <w:tcPr>
            <w:tcW w:w="1976" w:type="dxa"/>
            <w:vMerge w:val="continue"/>
            <w:shd w:val="clear" w:color="auto" w:fill="FFFFFF"/>
            <w:tcMar>
              <w:left w:w="28" w:type="dxa"/>
              <w:right w:w="28" w:type="dxa"/>
            </w:tcMar>
            <w:vAlign w:val="center"/>
          </w:tcPr>
          <w:p w14:paraId="6CC106FE">
            <w:pPr>
              <w:spacing w:line="260" w:lineRule="exact"/>
              <w:ind w:right="53"/>
              <w:jc w:val="left"/>
              <w:rPr>
                <w:color w:val="000000"/>
                <w:sz w:val="18"/>
                <w:szCs w:val="18"/>
                <w:highlight w:val="none"/>
              </w:rPr>
            </w:pPr>
          </w:p>
        </w:tc>
        <w:tc>
          <w:tcPr>
            <w:tcW w:w="951" w:type="dxa"/>
            <w:vMerge w:val="continue"/>
            <w:shd w:val="clear" w:color="auto" w:fill="FFFFFF"/>
            <w:tcMar>
              <w:left w:w="28" w:type="dxa"/>
              <w:right w:w="28" w:type="dxa"/>
            </w:tcMar>
            <w:vAlign w:val="center"/>
          </w:tcPr>
          <w:p w14:paraId="30981548">
            <w:pPr>
              <w:spacing w:line="260" w:lineRule="exact"/>
              <w:jc w:val="center"/>
              <w:rPr>
                <w:color w:val="000000"/>
                <w:sz w:val="18"/>
                <w:szCs w:val="18"/>
                <w:highlight w:val="none"/>
              </w:rPr>
            </w:pPr>
          </w:p>
        </w:tc>
        <w:tc>
          <w:tcPr>
            <w:tcW w:w="3348" w:type="dxa"/>
            <w:shd w:val="clear" w:color="auto" w:fill="FFFFFF"/>
            <w:tcMar>
              <w:left w:w="28" w:type="dxa"/>
              <w:right w:w="28" w:type="dxa"/>
            </w:tcMar>
          </w:tcPr>
          <w:p w14:paraId="37E1E0ED">
            <w:pPr>
              <w:spacing w:line="260" w:lineRule="exact"/>
              <w:rPr>
                <w:color w:val="000000"/>
                <w:sz w:val="18"/>
                <w:szCs w:val="18"/>
                <w:highlight w:val="none"/>
              </w:rPr>
            </w:pPr>
            <w:r>
              <w:rPr>
                <w:rFonts w:hint="eastAsia" w:ascii="宋体" w:hAnsi="宋体" w:cs="宋体"/>
                <w:sz w:val="18"/>
                <w:highlight w:val="none"/>
              </w:rPr>
              <w:t>做好各级安全检查迎检工作，并按时完成缺陷整改闭环。</w:t>
            </w:r>
            <w:r>
              <w:rPr>
                <w:rFonts w:hint="eastAsia"/>
                <w:color w:val="000000"/>
                <w:sz w:val="18"/>
                <w:szCs w:val="18"/>
                <w:highlight w:val="none"/>
              </w:rPr>
              <w:t>（3分）</w:t>
            </w:r>
          </w:p>
        </w:tc>
        <w:tc>
          <w:tcPr>
            <w:tcW w:w="3890" w:type="dxa"/>
            <w:shd w:val="clear" w:color="auto" w:fill="FFFFFF"/>
            <w:tcMar>
              <w:left w:w="28" w:type="dxa"/>
              <w:right w:w="28" w:type="dxa"/>
            </w:tcMar>
          </w:tcPr>
          <w:p w14:paraId="52C91B31">
            <w:pPr>
              <w:spacing w:line="260" w:lineRule="exact"/>
              <w:rPr>
                <w:color w:val="000000"/>
                <w:sz w:val="18"/>
                <w:szCs w:val="18"/>
                <w:highlight w:val="none"/>
              </w:rPr>
            </w:pPr>
            <w:r>
              <w:rPr>
                <w:rFonts w:hint="eastAsia" w:ascii="宋体" w:hAnsi="宋体" w:cs="宋体"/>
                <w:sz w:val="18"/>
                <w:highlight w:val="none"/>
              </w:rPr>
              <w:t>未对各级安全检查所发现的问题进行整改闭环，每项扣0.5分。</w:t>
            </w:r>
          </w:p>
        </w:tc>
        <w:tc>
          <w:tcPr>
            <w:tcW w:w="1117" w:type="dxa"/>
            <w:shd w:val="clear" w:color="auto" w:fill="FFFFFF"/>
            <w:tcMar>
              <w:left w:w="28" w:type="dxa"/>
              <w:right w:w="28" w:type="dxa"/>
            </w:tcMar>
            <w:vAlign w:val="center"/>
          </w:tcPr>
          <w:p w14:paraId="3CDE248F">
            <w:pPr>
              <w:jc w:val="center"/>
              <w:rPr>
                <w:rFonts w:ascii="宋体" w:hAnsi="宋体" w:cs="宋体"/>
                <w:b/>
                <w:sz w:val="18"/>
                <w:highlight w:val="none"/>
              </w:rPr>
            </w:pPr>
          </w:p>
        </w:tc>
        <w:tc>
          <w:tcPr>
            <w:tcW w:w="1020" w:type="dxa"/>
            <w:shd w:val="clear" w:color="auto" w:fill="FFFFFF"/>
            <w:tcMar>
              <w:left w:w="28" w:type="dxa"/>
              <w:right w:w="28" w:type="dxa"/>
            </w:tcMar>
            <w:vAlign w:val="center"/>
          </w:tcPr>
          <w:p w14:paraId="687ACC9D">
            <w:pPr>
              <w:jc w:val="center"/>
              <w:rPr>
                <w:rFonts w:ascii="宋体" w:hAnsi="宋体" w:cs="宋体"/>
                <w:b/>
                <w:sz w:val="18"/>
                <w:highlight w:val="none"/>
              </w:rPr>
            </w:pPr>
          </w:p>
        </w:tc>
      </w:tr>
      <w:tr w14:paraId="7C4F4E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60" w:hRule="atLeast"/>
          <w:jc w:val="center"/>
        </w:trPr>
        <w:tc>
          <w:tcPr>
            <w:tcW w:w="547" w:type="dxa"/>
            <w:shd w:val="clear" w:color="auto" w:fill="BFBFBF"/>
            <w:tcMar>
              <w:left w:w="28" w:type="dxa"/>
              <w:right w:w="28" w:type="dxa"/>
            </w:tcMar>
            <w:vAlign w:val="center"/>
          </w:tcPr>
          <w:p w14:paraId="2D1C62AE">
            <w:pPr>
              <w:spacing w:line="260" w:lineRule="exact"/>
              <w:jc w:val="center"/>
              <w:rPr>
                <w:rFonts w:ascii="宋体" w:hAnsi="宋体" w:cs="宋体"/>
                <w:b/>
                <w:sz w:val="18"/>
                <w:highlight w:val="none"/>
              </w:rPr>
            </w:pPr>
            <w:r>
              <w:rPr>
                <w:rFonts w:hint="eastAsia" w:ascii="宋体" w:hAnsi="宋体" w:cs="宋体"/>
                <w:b/>
                <w:sz w:val="18"/>
                <w:highlight w:val="none"/>
              </w:rPr>
              <w:t>5</w:t>
            </w:r>
          </w:p>
        </w:tc>
        <w:tc>
          <w:tcPr>
            <w:tcW w:w="12302" w:type="dxa"/>
            <w:gridSpan w:val="6"/>
            <w:shd w:val="clear" w:color="auto" w:fill="BFBFBF"/>
            <w:tcMar>
              <w:left w:w="28" w:type="dxa"/>
              <w:right w:w="28" w:type="dxa"/>
            </w:tcMar>
            <w:vAlign w:val="center"/>
          </w:tcPr>
          <w:p w14:paraId="7F23C930">
            <w:pPr>
              <w:spacing w:line="260" w:lineRule="exact"/>
              <w:rPr>
                <w:rFonts w:ascii="宋体" w:hAnsi="宋体" w:cs="宋体"/>
                <w:sz w:val="18"/>
                <w:highlight w:val="none"/>
              </w:rPr>
            </w:pPr>
            <w:r>
              <w:rPr>
                <w:rFonts w:hint="eastAsia" w:ascii="宋体" w:hAnsi="宋体" w:cs="宋体"/>
                <w:b/>
                <w:sz w:val="18"/>
                <w:highlight w:val="none"/>
              </w:rPr>
              <w:t>质量管理（28分）</w:t>
            </w:r>
          </w:p>
        </w:tc>
      </w:tr>
      <w:tr w14:paraId="589822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087C40C5">
            <w:pPr>
              <w:spacing w:line="260" w:lineRule="exact"/>
              <w:jc w:val="center"/>
              <w:rPr>
                <w:rFonts w:ascii="宋体" w:hAnsi="宋体" w:cs="宋体"/>
                <w:b/>
                <w:bCs/>
                <w:sz w:val="18"/>
                <w:highlight w:val="none"/>
              </w:rPr>
            </w:pPr>
            <w:r>
              <w:rPr>
                <w:rFonts w:hint="eastAsia" w:ascii="宋体" w:hAnsi="宋体" w:cs="宋体"/>
                <w:b/>
                <w:bCs/>
                <w:sz w:val="18"/>
                <w:highlight w:val="none"/>
              </w:rPr>
              <w:t>5.1</w:t>
            </w:r>
          </w:p>
        </w:tc>
        <w:tc>
          <w:tcPr>
            <w:tcW w:w="1976" w:type="dxa"/>
            <w:vMerge w:val="restart"/>
            <w:tcMar>
              <w:left w:w="28" w:type="dxa"/>
              <w:right w:w="28" w:type="dxa"/>
            </w:tcMar>
            <w:vAlign w:val="center"/>
          </w:tcPr>
          <w:p w14:paraId="702BEB72">
            <w:pPr>
              <w:spacing w:line="260" w:lineRule="exact"/>
              <w:ind w:right="53"/>
              <w:jc w:val="left"/>
              <w:rPr>
                <w:rFonts w:ascii="宋体" w:hAnsi="宋体" w:cs="宋体"/>
                <w:b/>
                <w:bCs/>
                <w:sz w:val="18"/>
                <w:highlight w:val="none"/>
              </w:rPr>
            </w:pPr>
            <w:r>
              <w:rPr>
                <w:rFonts w:hint="eastAsia" w:ascii="宋体" w:hAnsi="宋体" w:cs="宋体"/>
                <w:b/>
                <w:bCs/>
                <w:sz w:val="18"/>
                <w:highlight w:val="none"/>
              </w:rPr>
              <w:t>设备管理</w:t>
            </w:r>
          </w:p>
        </w:tc>
        <w:tc>
          <w:tcPr>
            <w:tcW w:w="951" w:type="dxa"/>
            <w:vMerge w:val="restart"/>
            <w:tcMar>
              <w:left w:w="28" w:type="dxa"/>
              <w:right w:w="28" w:type="dxa"/>
            </w:tcMar>
            <w:vAlign w:val="center"/>
          </w:tcPr>
          <w:p w14:paraId="7CAEC656">
            <w:pPr>
              <w:spacing w:line="260" w:lineRule="exact"/>
              <w:jc w:val="center"/>
              <w:rPr>
                <w:rFonts w:ascii="宋体" w:hAnsi="宋体" w:cs="宋体"/>
                <w:sz w:val="18"/>
                <w:highlight w:val="none"/>
              </w:rPr>
            </w:pPr>
            <w:r>
              <w:rPr>
                <w:rFonts w:hint="eastAsia" w:ascii="宋体" w:hAnsi="宋体" w:cs="宋体"/>
                <w:sz w:val="18"/>
                <w:highlight w:val="none"/>
              </w:rPr>
              <w:t>4</w:t>
            </w:r>
          </w:p>
        </w:tc>
        <w:tc>
          <w:tcPr>
            <w:tcW w:w="3348" w:type="dxa"/>
            <w:tcBorders>
              <w:bottom w:val="single" w:color="000000" w:sz="6" w:space="0"/>
            </w:tcBorders>
            <w:tcMar>
              <w:left w:w="28" w:type="dxa"/>
              <w:right w:w="28" w:type="dxa"/>
            </w:tcMar>
            <w:vAlign w:val="center"/>
          </w:tcPr>
          <w:p w14:paraId="4DD08C64">
            <w:pPr>
              <w:pStyle w:val="36"/>
              <w:spacing w:line="240" w:lineRule="atLeast"/>
              <w:ind w:left="0" w:leftChars="0" w:rightChars="0"/>
              <w:jc w:val="left"/>
              <w:rPr>
                <w:rFonts w:ascii="宋体" w:hAnsi="宋体" w:cs="宋体"/>
                <w:color w:val="auto"/>
                <w:highlight w:val="none"/>
              </w:rPr>
            </w:pPr>
            <w:r>
              <w:rPr>
                <w:rFonts w:hint="eastAsia"/>
                <w:color w:val="auto"/>
                <w:highlight w:val="none"/>
              </w:rPr>
              <w:t>对计量器具、检测设备建立台账并报审，对试验（检测）单位资质进行报审；对主要材料或构配件、设备生产厂家的资质证明文件进行报审，对原材料进行跟踪管理。（2分）</w:t>
            </w:r>
          </w:p>
        </w:tc>
        <w:tc>
          <w:tcPr>
            <w:tcW w:w="3890" w:type="dxa"/>
            <w:tcBorders>
              <w:bottom w:val="single" w:color="000000" w:sz="6" w:space="0"/>
            </w:tcBorders>
            <w:tcMar>
              <w:left w:w="28" w:type="dxa"/>
              <w:right w:w="28" w:type="dxa"/>
            </w:tcMar>
            <w:vAlign w:val="center"/>
          </w:tcPr>
          <w:p w14:paraId="559BA92F">
            <w:pPr>
              <w:rPr>
                <w:rFonts w:ascii="宋体" w:hAnsi="宋体" w:cs="宋体"/>
                <w:sz w:val="18"/>
                <w:highlight w:val="none"/>
              </w:rPr>
            </w:pPr>
            <w:r>
              <w:rPr>
                <w:rFonts w:hint="eastAsia"/>
                <w:sz w:val="18"/>
                <w:highlight w:val="none"/>
              </w:rPr>
              <w:t>（1）各类报审表、台账不完备或不规范，每项扣</w:t>
            </w:r>
            <w:r>
              <w:rPr>
                <w:sz w:val="18"/>
                <w:highlight w:val="none"/>
              </w:rPr>
              <w:t>0.</w:t>
            </w:r>
            <w:r>
              <w:rPr>
                <w:rFonts w:hint="eastAsia"/>
                <w:sz w:val="18"/>
                <w:highlight w:val="none"/>
              </w:rPr>
              <w:t>5分。（2）供货商资质、业绩报审不规范，每项扣0.5分。供货商资质、业绩造假，每项扣2分。</w:t>
            </w:r>
          </w:p>
        </w:tc>
        <w:tc>
          <w:tcPr>
            <w:tcW w:w="1117" w:type="dxa"/>
            <w:tcBorders>
              <w:bottom w:val="single" w:color="000000" w:sz="6" w:space="0"/>
            </w:tcBorders>
            <w:tcMar>
              <w:left w:w="28" w:type="dxa"/>
              <w:right w:w="28" w:type="dxa"/>
            </w:tcMar>
            <w:vAlign w:val="center"/>
          </w:tcPr>
          <w:p w14:paraId="287F3B64">
            <w:pPr>
              <w:topLinePunct/>
              <w:snapToGrid w:val="0"/>
              <w:spacing w:line="240" w:lineRule="atLeas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7910D5A7">
            <w:pPr>
              <w:spacing w:line="260" w:lineRule="exact"/>
              <w:rPr>
                <w:rFonts w:ascii="宋体" w:hAnsi="宋体" w:cs="宋体"/>
                <w:sz w:val="18"/>
                <w:highlight w:val="none"/>
              </w:rPr>
            </w:pPr>
          </w:p>
        </w:tc>
      </w:tr>
      <w:tr w14:paraId="60884C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17801B1C">
            <w:pPr>
              <w:spacing w:line="260" w:lineRule="exact"/>
              <w:jc w:val="center"/>
              <w:rPr>
                <w:rFonts w:ascii="宋体" w:hAnsi="宋体" w:cs="宋体"/>
                <w:b/>
                <w:bCs/>
                <w:sz w:val="18"/>
                <w:highlight w:val="none"/>
              </w:rPr>
            </w:pPr>
          </w:p>
        </w:tc>
        <w:tc>
          <w:tcPr>
            <w:tcW w:w="1976" w:type="dxa"/>
            <w:vMerge w:val="continue"/>
            <w:tcBorders>
              <w:bottom w:val="single" w:color="000000" w:sz="6" w:space="0"/>
            </w:tcBorders>
            <w:tcMar>
              <w:left w:w="28" w:type="dxa"/>
              <w:right w:w="28" w:type="dxa"/>
            </w:tcMar>
            <w:vAlign w:val="center"/>
          </w:tcPr>
          <w:p w14:paraId="757BB230">
            <w:pPr>
              <w:spacing w:line="260" w:lineRule="exact"/>
              <w:ind w:right="53"/>
              <w:jc w:val="left"/>
              <w:rPr>
                <w:rFonts w:ascii="宋体" w:hAnsi="宋体" w:cs="宋体"/>
                <w:sz w:val="18"/>
                <w:highlight w:val="none"/>
              </w:rPr>
            </w:pPr>
          </w:p>
        </w:tc>
        <w:tc>
          <w:tcPr>
            <w:tcW w:w="951" w:type="dxa"/>
            <w:vMerge w:val="continue"/>
            <w:tcBorders>
              <w:bottom w:val="single" w:color="000000" w:sz="6" w:space="0"/>
            </w:tcBorders>
            <w:tcMar>
              <w:left w:w="28" w:type="dxa"/>
              <w:right w:w="28" w:type="dxa"/>
            </w:tcMar>
            <w:vAlign w:val="center"/>
          </w:tcPr>
          <w:p w14:paraId="1FE3DC2D">
            <w:pPr>
              <w:spacing w:line="260" w:lineRule="exact"/>
              <w:jc w:val="center"/>
              <w:rPr>
                <w:rFonts w:ascii="宋体" w:hAnsi="宋体" w:cs="宋体"/>
                <w:sz w:val="18"/>
                <w:highlight w:val="none"/>
              </w:rPr>
            </w:pPr>
          </w:p>
        </w:tc>
        <w:tc>
          <w:tcPr>
            <w:tcW w:w="3348" w:type="dxa"/>
            <w:tcBorders>
              <w:bottom w:val="single" w:color="000000" w:sz="6" w:space="0"/>
            </w:tcBorders>
            <w:tcMar>
              <w:left w:w="28" w:type="dxa"/>
              <w:right w:w="28" w:type="dxa"/>
            </w:tcMar>
            <w:vAlign w:val="center"/>
          </w:tcPr>
          <w:p w14:paraId="5A08574B">
            <w:pPr>
              <w:spacing w:line="260" w:lineRule="exact"/>
              <w:rPr>
                <w:rFonts w:ascii="宋体" w:hAnsi="宋体" w:cs="宋体"/>
                <w:sz w:val="18"/>
                <w:highlight w:val="none"/>
              </w:rPr>
            </w:pPr>
            <w:r>
              <w:rPr>
                <w:rFonts w:hint="eastAsia" w:ascii="宋体" w:hAnsi="宋体" w:cs="宋体"/>
                <w:sz w:val="18"/>
                <w:highlight w:val="none"/>
              </w:rPr>
              <w:t>对特殊工种和特殊作业人员资格、主要施工机械/工器具/安全用具、大中型施工机械进场/出场进行检查并报审。（2分）</w:t>
            </w:r>
          </w:p>
        </w:tc>
        <w:tc>
          <w:tcPr>
            <w:tcW w:w="3890" w:type="dxa"/>
            <w:tcBorders>
              <w:bottom w:val="single" w:color="000000" w:sz="6" w:space="0"/>
            </w:tcBorders>
            <w:tcMar>
              <w:left w:w="28" w:type="dxa"/>
              <w:right w:w="28" w:type="dxa"/>
            </w:tcMar>
          </w:tcPr>
          <w:p w14:paraId="3CB41FC3">
            <w:pPr>
              <w:spacing w:line="260" w:lineRule="exact"/>
              <w:jc w:val="left"/>
              <w:rPr>
                <w:rFonts w:ascii="宋体" w:hAnsi="宋体" w:cs="宋体"/>
                <w:sz w:val="18"/>
                <w:highlight w:val="none"/>
              </w:rPr>
            </w:pPr>
            <w:r>
              <w:rPr>
                <w:rFonts w:hint="eastAsia" w:ascii="宋体" w:hAnsi="宋体" w:cs="宋体"/>
                <w:sz w:val="18"/>
                <w:highlight w:val="none"/>
              </w:rPr>
              <w:t>（1）特种作业人员未做到持有效证件上岗，每人扣0.5分；</w:t>
            </w:r>
          </w:p>
          <w:p w14:paraId="62E366FD">
            <w:pPr>
              <w:spacing w:line="260" w:lineRule="exact"/>
              <w:jc w:val="left"/>
              <w:rPr>
                <w:rFonts w:ascii="宋体" w:hAnsi="宋体" w:cs="宋体"/>
                <w:sz w:val="18"/>
                <w:highlight w:val="none"/>
              </w:rPr>
            </w:pPr>
            <w:r>
              <w:rPr>
                <w:rFonts w:hint="eastAsia" w:ascii="宋体" w:hAnsi="宋体" w:cs="宋体"/>
                <w:sz w:val="18"/>
                <w:highlight w:val="none"/>
              </w:rPr>
              <w:t>（2）证件不合格、过期、存档证件复印件不清楚按无证作业，扣0.5分；</w:t>
            </w:r>
          </w:p>
          <w:p w14:paraId="02E7AE8C">
            <w:pPr>
              <w:spacing w:line="260" w:lineRule="exact"/>
              <w:jc w:val="left"/>
              <w:rPr>
                <w:rFonts w:ascii="宋体" w:hAnsi="宋体" w:cs="宋体"/>
                <w:sz w:val="18"/>
                <w:highlight w:val="none"/>
              </w:rPr>
            </w:pPr>
            <w:r>
              <w:rPr>
                <w:rFonts w:hint="eastAsia" w:ascii="宋体" w:hAnsi="宋体" w:cs="宋体"/>
                <w:sz w:val="18"/>
                <w:highlight w:val="none"/>
              </w:rPr>
              <w:t>（3）未向监理项目部报审特殊工种/特殊作业人员、主要施工机械/工器具/安全用具、报审大中型施工机械进场/出场，每缺一项扣0.5分。</w:t>
            </w:r>
          </w:p>
        </w:tc>
        <w:tc>
          <w:tcPr>
            <w:tcW w:w="1117" w:type="dxa"/>
            <w:tcBorders>
              <w:bottom w:val="single" w:color="000000" w:sz="6" w:space="0"/>
            </w:tcBorders>
            <w:tcMar>
              <w:left w:w="28" w:type="dxa"/>
              <w:right w:w="28" w:type="dxa"/>
            </w:tcMar>
            <w:vAlign w:val="center"/>
          </w:tcPr>
          <w:p w14:paraId="26E27F40">
            <w:pPr>
              <w:topLinePunct/>
              <w:snapToGrid w:val="0"/>
              <w:spacing w:line="240" w:lineRule="atLeas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3F669B79">
            <w:pPr>
              <w:spacing w:line="260" w:lineRule="exact"/>
              <w:rPr>
                <w:rFonts w:ascii="宋体" w:hAnsi="宋体" w:cs="宋体"/>
                <w:sz w:val="18"/>
                <w:highlight w:val="none"/>
              </w:rPr>
            </w:pPr>
          </w:p>
        </w:tc>
      </w:tr>
      <w:tr w14:paraId="282286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1B132B8C">
            <w:pPr>
              <w:spacing w:line="260" w:lineRule="exact"/>
              <w:jc w:val="center"/>
              <w:rPr>
                <w:rFonts w:ascii="宋体" w:hAnsi="宋体" w:cs="宋体"/>
                <w:b/>
                <w:bCs/>
                <w:sz w:val="18"/>
                <w:highlight w:val="none"/>
              </w:rPr>
            </w:pPr>
            <w:r>
              <w:rPr>
                <w:rFonts w:hint="eastAsia" w:ascii="宋体" w:hAnsi="宋体" w:cs="宋体"/>
                <w:b/>
                <w:bCs/>
                <w:sz w:val="18"/>
                <w:highlight w:val="none"/>
              </w:rPr>
              <w:t>5.2</w:t>
            </w:r>
          </w:p>
        </w:tc>
        <w:tc>
          <w:tcPr>
            <w:tcW w:w="1976" w:type="dxa"/>
            <w:vMerge w:val="restart"/>
            <w:tcMar>
              <w:left w:w="28" w:type="dxa"/>
              <w:right w:w="28" w:type="dxa"/>
            </w:tcMar>
            <w:vAlign w:val="center"/>
          </w:tcPr>
          <w:p w14:paraId="511E1D45">
            <w:pPr>
              <w:rPr>
                <w:rFonts w:ascii="宋体" w:hAnsi="宋体" w:cs="宋体"/>
                <w:b/>
                <w:bCs/>
                <w:sz w:val="18"/>
                <w:highlight w:val="none"/>
              </w:rPr>
            </w:pPr>
            <w:r>
              <w:rPr>
                <w:rFonts w:hint="eastAsia"/>
                <w:b/>
                <w:bCs/>
                <w:color w:val="000000"/>
                <w:sz w:val="18"/>
                <w:szCs w:val="18"/>
                <w:highlight w:val="none"/>
              </w:rPr>
              <w:t>过程管理</w:t>
            </w:r>
          </w:p>
        </w:tc>
        <w:tc>
          <w:tcPr>
            <w:tcW w:w="951" w:type="dxa"/>
            <w:vMerge w:val="restart"/>
            <w:tcMar>
              <w:left w:w="28" w:type="dxa"/>
              <w:right w:w="28" w:type="dxa"/>
            </w:tcMar>
            <w:vAlign w:val="center"/>
          </w:tcPr>
          <w:p w14:paraId="4C498251">
            <w:pPr>
              <w:spacing w:line="260" w:lineRule="exact"/>
              <w:jc w:val="center"/>
              <w:rPr>
                <w:rFonts w:ascii="宋体" w:hAnsi="宋体" w:cs="宋体"/>
                <w:sz w:val="18"/>
                <w:highlight w:val="none"/>
              </w:rPr>
            </w:pPr>
            <w:r>
              <w:rPr>
                <w:rFonts w:hint="eastAsia" w:ascii="宋体" w:hAnsi="宋体" w:cs="宋体"/>
                <w:sz w:val="18"/>
                <w:highlight w:val="none"/>
              </w:rPr>
              <w:t>5</w:t>
            </w:r>
          </w:p>
        </w:tc>
        <w:tc>
          <w:tcPr>
            <w:tcW w:w="3348" w:type="dxa"/>
            <w:tcBorders>
              <w:bottom w:val="single" w:color="000000" w:sz="6" w:space="0"/>
            </w:tcBorders>
            <w:tcMar>
              <w:left w:w="28" w:type="dxa"/>
              <w:right w:w="28" w:type="dxa"/>
            </w:tcMar>
            <w:vAlign w:val="center"/>
          </w:tcPr>
          <w:p w14:paraId="414EF214">
            <w:pPr>
              <w:spacing w:line="260" w:lineRule="exact"/>
              <w:rPr>
                <w:rFonts w:ascii="宋体" w:hAnsi="宋体" w:cs="宋体"/>
                <w:sz w:val="18"/>
                <w:highlight w:val="none"/>
              </w:rPr>
            </w:pPr>
            <w:r>
              <w:rPr>
                <w:rFonts w:hint="eastAsia" w:ascii="宋体" w:hAnsi="宋体" w:cs="宋体"/>
                <w:sz w:val="18"/>
                <w:highlight w:val="none"/>
              </w:rPr>
              <w:t>编制、收集设备安装记录（施工记录）及试验报告、隐蔽工程检查记录、签证书等资料。（3分）</w:t>
            </w:r>
          </w:p>
        </w:tc>
        <w:tc>
          <w:tcPr>
            <w:tcW w:w="3890" w:type="dxa"/>
            <w:tcBorders>
              <w:bottom w:val="single" w:color="000000" w:sz="6" w:space="0"/>
            </w:tcBorders>
            <w:tcMar>
              <w:left w:w="28" w:type="dxa"/>
              <w:right w:w="28" w:type="dxa"/>
            </w:tcMar>
            <w:vAlign w:val="center"/>
          </w:tcPr>
          <w:p w14:paraId="51CC4844">
            <w:pPr>
              <w:spacing w:line="260" w:lineRule="exact"/>
              <w:rPr>
                <w:rFonts w:ascii="宋体" w:hAnsi="宋体" w:cs="宋体"/>
                <w:sz w:val="18"/>
                <w:highlight w:val="none"/>
              </w:rPr>
            </w:pPr>
            <w:r>
              <w:rPr>
                <w:rFonts w:hint="eastAsia" w:ascii="宋体" w:hAnsi="宋体" w:cs="宋体"/>
                <w:sz w:val="18"/>
                <w:highlight w:val="none"/>
              </w:rPr>
              <w:t>缺少一份扣1分；不规范每份扣0.5分。</w:t>
            </w:r>
          </w:p>
        </w:tc>
        <w:tc>
          <w:tcPr>
            <w:tcW w:w="1117" w:type="dxa"/>
            <w:tcBorders>
              <w:bottom w:val="single" w:color="000000" w:sz="6" w:space="0"/>
            </w:tcBorders>
            <w:tcMar>
              <w:left w:w="28" w:type="dxa"/>
              <w:right w:w="28" w:type="dxa"/>
            </w:tcMar>
            <w:vAlign w:val="center"/>
          </w:tcPr>
          <w:p w14:paraId="3337A2F5">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3C6449EC">
            <w:pPr>
              <w:spacing w:line="260" w:lineRule="exact"/>
              <w:rPr>
                <w:rFonts w:ascii="宋体" w:hAnsi="宋体" w:cs="宋体"/>
                <w:sz w:val="18"/>
                <w:highlight w:val="none"/>
              </w:rPr>
            </w:pPr>
          </w:p>
        </w:tc>
      </w:tr>
      <w:tr w14:paraId="2132FB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39F3D829">
            <w:pPr>
              <w:spacing w:line="260" w:lineRule="exact"/>
              <w:jc w:val="center"/>
              <w:rPr>
                <w:rFonts w:ascii="宋体" w:hAnsi="宋体" w:cs="宋体"/>
                <w:b/>
                <w:bCs/>
                <w:sz w:val="18"/>
                <w:highlight w:val="none"/>
              </w:rPr>
            </w:pPr>
          </w:p>
        </w:tc>
        <w:tc>
          <w:tcPr>
            <w:tcW w:w="1976" w:type="dxa"/>
            <w:vMerge w:val="continue"/>
            <w:tcBorders>
              <w:bottom w:val="single" w:color="000000" w:sz="6" w:space="0"/>
            </w:tcBorders>
            <w:tcMar>
              <w:left w:w="28" w:type="dxa"/>
              <w:right w:w="28" w:type="dxa"/>
            </w:tcMar>
            <w:vAlign w:val="center"/>
          </w:tcPr>
          <w:p w14:paraId="25247047">
            <w:pPr>
              <w:rPr>
                <w:b/>
                <w:bCs/>
                <w:color w:val="000000"/>
                <w:sz w:val="18"/>
                <w:szCs w:val="18"/>
                <w:highlight w:val="none"/>
              </w:rPr>
            </w:pPr>
          </w:p>
        </w:tc>
        <w:tc>
          <w:tcPr>
            <w:tcW w:w="951" w:type="dxa"/>
            <w:vMerge w:val="continue"/>
            <w:tcBorders>
              <w:bottom w:val="single" w:color="000000" w:sz="6" w:space="0"/>
            </w:tcBorders>
            <w:tcMar>
              <w:left w:w="28" w:type="dxa"/>
              <w:right w:w="28" w:type="dxa"/>
            </w:tcMar>
            <w:vAlign w:val="center"/>
          </w:tcPr>
          <w:p w14:paraId="002ECCEF">
            <w:pPr>
              <w:spacing w:line="260" w:lineRule="exact"/>
              <w:jc w:val="center"/>
              <w:rPr>
                <w:rFonts w:ascii="宋体" w:hAnsi="宋体" w:cs="宋体"/>
                <w:sz w:val="18"/>
                <w:highlight w:val="none"/>
              </w:rPr>
            </w:pPr>
          </w:p>
        </w:tc>
        <w:tc>
          <w:tcPr>
            <w:tcW w:w="3348" w:type="dxa"/>
            <w:tcBorders>
              <w:bottom w:val="single" w:color="000000" w:sz="6" w:space="0"/>
            </w:tcBorders>
            <w:tcMar>
              <w:left w:w="28" w:type="dxa"/>
              <w:right w:w="28" w:type="dxa"/>
            </w:tcMar>
            <w:vAlign w:val="center"/>
          </w:tcPr>
          <w:p w14:paraId="762F020A">
            <w:pPr>
              <w:spacing w:line="260" w:lineRule="exact"/>
              <w:ind w:right="53"/>
              <w:jc w:val="left"/>
              <w:rPr>
                <w:rFonts w:ascii="宋体" w:hAnsi="宋体" w:cs="宋体"/>
                <w:sz w:val="18"/>
                <w:highlight w:val="none"/>
              </w:rPr>
            </w:pPr>
            <w:r>
              <w:rPr>
                <w:rFonts w:hint="eastAsia" w:ascii="宋体" w:hAnsi="宋体" w:cs="宋体"/>
                <w:sz w:val="18"/>
                <w:highlight w:val="none"/>
              </w:rPr>
              <w:t>按规定开展质量检查并对质量检查发现的缺陷问题进行闭环管理。（2分）</w:t>
            </w:r>
          </w:p>
        </w:tc>
        <w:tc>
          <w:tcPr>
            <w:tcW w:w="3890" w:type="dxa"/>
            <w:tcBorders>
              <w:bottom w:val="single" w:color="000000" w:sz="6" w:space="0"/>
            </w:tcBorders>
            <w:tcMar>
              <w:left w:w="28" w:type="dxa"/>
              <w:right w:w="28" w:type="dxa"/>
            </w:tcMar>
            <w:vAlign w:val="center"/>
          </w:tcPr>
          <w:p w14:paraId="4A6263A3">
            <w:pPr>
              <w:spacing w:line="260" w:lineRule="exact"/>
              <w:rPr>
                <w:rFonts w:ascii="宋体" w:hAnsi="宋体" w:cs="宋体"/>
                <w:sz w:val="18"/>
                <w:highlight w:val="none"/>
              </w:rPr>
            </w:pPr>
            <w:r>
              <w:rPr>
                <w:rFonts w:hint="eastAsia" w:ascii="宋体" w:hAnsi="宋体" w:cs="宋体"/>
                <w:sz w:val="18"/>
                <w:highlight w:val="none"/>
              </w:rPr>
              <w:t>每缺一次扣1分，未进行闭环管理每次扣0.5分。</w:t>
            </w:r>
          </w:p>
        </w:tc>
        <w:tc>
          <w:tcPr>
            <w:tcW w:w="1117" w:type="dxa"/>
            <w:tcBorders>
              <w:bottom w:val="single" w:color="000000" w:sz="6" w:space="0"/>
            </w:tcBorders>
            <w:tcMar>
              <w:left w:w="28" w:type="dxa"/>
              <w:right w:w="28" w:type="dxa"/>
            </w:tcMar>
            <w:vAlign w:val="center"/>
          </w:tcPr>
          <w:p w14:paraId="44BEC736">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18CF5FB3">
            <w:pPr>
              <w:spacing w:line="260" w:lineRule="exact"/>
              <w:rPr>
                <w:rFonts w:ascii="宋体" w:hAnsi="宋体" w:cs="宋体"/>
                <w:sz w:val="18"/>
                <w:highlight w:val="none"/>
              </w:rPr>
            </w:pPr>
          </w:p>
        </w:tc>
      </w:tr>
      <w:tr w14:paraId="177604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06E24686">
            <w:pPr>
              <w:spacing w:line="260" w:lineRule="exact"/>
              <w:jc w:val="center"/>
              <w:rPr>
                <w:rFonts w:ascii="宋体" w:hAnsi="宋体" w:cs="宋体"/>
                <w:b/>
                <w:bCs/>
                <w:sz w:val="18"/>
                <w:highlight w:val="none"/>
              </w:rPr>
            </w:pPr>
            <w:r>
              <w:rPr>
                <w:rFonts w:hint="eastAsia" w:ascii="宋体" w:hAnsi="宋体" w:cs="宋体"/>
                <w:b/>
                <w:bCs/>
                <w:sz w:val="18"/>
                <w:highlight w:val="none"/>
              </w:rPr>
              <w:t>5.3</w:t>
            </w:r>
          </w:p>
        </w:tc>
        <w:tc>
          <w:tcPr>
            <w:tcW w:w="1976" w:type="dxa"/>
            <w:tcBorders>
              <w:bottom w:val="single" w:color="000000" w:sz="6" w:space="0"/>
            </w:tcBorders>
            <w:tcMar>
              <w:left w:w="28" w:type="dxa"/>
              <w:right w:w="28" w:type="dxa"/>
            </w:tcMar>
            <w:vAlign w:val="center"/>
          </w:tcPr>
          <w:p w14:paraId="6892F372">
            <w:pPr>
              <w:rPr>
                <w:b/>
                <w:bCs/>
                <w:color w:val="000000"/>
                <w:sz w:val="18"/>
                <w:szCs w:val="18"/>
                <w:highlight w:val="none"/>
              </w:rPr>
            </w:pPr>
            <w:r>
              <w:rPr>
                <w:rFonts w:hint="eastAsia"/>
                <w:b/>
                <w:bCs/>
                <w:color w:val="000000"/>
                <w:sz w:val="18"/>
                <w:szCs w:val="18"/>
                <w:highlight w:val="none"/>
              </w:rPr>
              <w:t>质量隐患管理</w:t>
            </w:r>
          </w:p>
        </w:tc>
        <w:tc>
          <w:tcPr>
            <w:tcW w:w="951" w:type="dxa"/>
            <w:tcBorders>
              <w:bottom w:val="single" w:color="000000" w:sz="6" w:space="0"/>
            </w:tcBorders>
            <w:tcMar>
              <w:left w:w="28" w:type="dxa"/>
              <w:right w:w="28" w:type="dxa"/>
            </w:tcMar>
            <w:vAlign w:val="center"/>
          </w:tcPr>
          <w:p w14:paraId="2ED7AA40">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Borders>
              <w:bottom w:val="single" w:color="000000" w:sz="6" w:space="0"/>
            </w:tcBorders>
            <w:tcMar>
              <w:left w:w="28" w:type="dxa"/>
              <w:right w:w="28" w:type="dxa"/>
            </w:tcMar>
          </w:tcPr>
          <w:p w14:paraId="38A40ED6">
            <w:pPr>
              <w:spacing w:line="260" w:lineRule="exact"/>
              <w:rPr>
                <w:rFonts w:ascii="宋体" w:hAnsi="宋体" w:cs="宋体"/>
                <w:sz w:val="18"/>
                <w:highlight w:val="none"/>
              </w:rPr>
            </w:pPr>
            <w:r>
              <w:rPr>
                <w:rFonts w:hint="eastAsia" w:ascii="宋体" w:hAnsi="宋体" w:cs="宋体"/>
                <w:sz w:val="18"/>
                <w:highlight w:val="none"/>
              </w:rPr>
              <w:t>按规定开展质量隐患排查工作，并按月提交质量隐患排查报告。（2分）</w:t>
            </w:r>
          </w:p>
        </w:tc>
        <w:tc>
          <w:tcPr>
            <w:tcW w:w="3890" w:type="dxa"/>
            <w:tcBorders>
              <w:bottom w:val="single" w:color="000000" w:sz="6" w:space="0"/>
            </w:tcBorders>
            <w:tcMar>
              <w:left w:w="28" w:type="dxa"/>
              <w:right w:w="28" w:type="dxa"/>
            </w:tcMar>
          </w:tcPr>
          <w:p w14:paraId="532CB872">
            <w:pPr>
              <w:numPr>
                <w:ilvl w:val="0"/>
                <w:numId w:val="11"/>
              </w:numPr>
              <w:spacing w:line="260" w:lineRule="exact"/>
              <w:jc w:val="left"/>
              <w:rPr>
                <w:rFonts w:ascii="宋体" w:hAnsi="宋体" w:cs="宋体"/>
                <w:sz w:val="18"/>
                <w:highlight w:val="none"/>
              </w:rPr>
            </w:pPr>
            <w:r>
              <w:rPr>
                <w:rFonts w:hint="eastAsia" w:ascii="宋体" w:hAnsi="宋体" w:cs="宋体"/>
                <w:sz w:val="18"/>
                <w:highlight w:val="none"/>
              </w:rPr>
              <w:t>每月未开展质量隐患排查，扣1分。</w:t>
            </w:r>
          </w:p>
          <w:p w14:paraId="59248AC5">
            <w:pPr>
              <w:numPr>
                <w:ilvl w:val="0"/>
                <w:numId w:val="11"/>
              </w:numPr>
              <w:spacing w:line="260" w:lineRule="exact"/>
              <w:jc w:val="left"/>
              <w:rPr>
                <w:rFonts w:ascii="宋体" w:hAnsi="宋体" w:cs="宋体"/>
                <w:sz w:val="18"/>
                <w:highlight w:val="none"/>
              </w:rPr>
            </w:pPr>
            <w:r>
              <w:rPr>
                <w:rFonts w:hint="eastAsia" w:ascii="宋体" w:hAnsi="宋体" w:cs="宋体"/>
                <w:sz w:val="18"/>
                <w:highlight w:val="none"/>
              </w:rPr>
              <w:t>每月未提交质量隐患排查报告，扣1分。</w:t>
            </w:r>
          </w:p>
        </w:tc>
        <w:tc>
          <w:tcPr>
            <w:tcW w:w="1117" w:type="dxa"/>
            <w:tcBorders>
              <w:bottom w:val="single" w:color="000000" w:sz="6" w:space="0"/>
            </w:tcBorders>
            <w:tcMar>
              <w:left w:w="28" w:type="dxa"/>
              <w:right w:w="28" w:type="dxa"/>
            </w:tcMar>
            <w:vAlign w:val="center"/>
          </w:tcPr>
          <w:p w14:paraId="2DC7AB99">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6A8127C9">
            <w:pPr>
              <w:spacing w:line="260" w:lineRule="exact"/>
              <w:rPr>
                <w:rFonts w:ascii="宋体" w:hAnsi="宋体" w:cs="宋体"/>
                <w:sz w:val="18"/>
                <w:highlight w:val="none"/>
              </w:rPr>
            </w:pPr>
          </w:p>
        </w:tc>
      </w:tr>
      <w:tr w14:paraId="5163AD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69E4E3C5">
            <w:pPr>
              <w:spacing w:line="260" w:lineRule="exact"/>
              <w:jc w:val="center"/>
              <w:rPr>
                <w:rFonts w:ascii="宋体" w:hAnsi="宋体" w:cs="宋体"/>
                <w:b/>
                <w:bCs/>
                <w:sz w:val="18"/>
                <w:highlight w:val="none"/>
              </w:rPr>
            </w:pPr>
            <w:r>
              <w:rPr>
                <w:rFonts w:hint="eastAsia" w:ascii="宋体" w:hAnsi="宋体" w:cs="宋体"/>
                <w:b/>
                <w:bCs/>
                <w:sz w:val="18"/>
                <w:highlight w:val="none"/>
              </w:rPr>
              <w:t>5.4</w:t>
            </w:r>
          </w:p>
        </w:tc>
        <w:tc>
          <w:tcPr>
            <w:tcW w:w="1976" w:type="dxa"/>
            <w:tcBorders>
              <w:bottom w:val="single" w:color="000000" w:sz="6" w:space="0"/>
            </w:tcBorders>
            <w:tcMar>
              <w:left w:w="28" w:type="dxa"/>
              <w:right w:w="28" w:type="dxa"/>
            </w:tcMar>
            <w:vAlign w:val="center"/>
          </w:tcPr>
          <w:p w14:paraId="3AAE494D">
            <w:pPr>
              <w:rPr>
                <w:rFonts w:ascii="宋体" w:hAnsi="宋体" w:cs="宋体"/>
                <w:sz w:val="18"/>
                <w:highlight w:val="none"/>
              </w:rPr>
            </w:pPr>
            <w:r>
              <w:rPr>
                <w:rFonts w:hint="eastAsia"/>
                <w:b/>
                <w:color w:val="000000"/>
                <w:sz w:val="18"/>
                <w:szCs w:val="18"/>
                <w:highlight w:val="none"/>
              </w:rPr>
              <w:t>质量通病管理</w:t>
            </w:r>
          </w:p>
        </w:tc>
        <w:tc>
          <w:tcPr>
            <w:tcW w:w="951" w:type="dxa"/>
            <w:tcBorders>
              <w:bottom w:val="single" w:color="000000" w:sz="6" w:space="0"/>
            </w:tcBorders>
            <w:tcMar>
              <w:left w:w="28" w:type="dxa"/>
              <w:right w:w="28" w:type="dxa"/>
            </w:tcMar>
            <w:vAlign w:val="center"/>
          </w:tcPr>
          <w:p w14:paraId="5C16864D">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Borders>
              <w:bottom w:val="single" w:color="000000" w:sz="6" w:space="0"/>
            </w:tcBorders>
            <w:tcMar>
              <w:left w:w="28" w:type="dxa"/>
              <w:right w:w="28" w:type="dxa"/>
            </w:tcMar>
            <w:vAlign w:val="center"/>
          </w:tcPr>
          <w:p w14:paraId="00602278">
            <w:pPr>
              <w:spacing w:line="260" w:lineRule="exact"/>
              <w:rPr>
                <w:rFonts w:ascii="宋体" w:hAnsi="宋体" w:cs="宋体"/>
                <w:sz w:val="18"/>
                <w:highlight w:val="none"/>
              </w:rPr>
            </w:pPr>
            <w:r>
              <w:rPr>
                <w:rFonts w:hint="eastAsia" w:ascii="宋体" w:hAnsi="宋体" w:cs="宋体"/>
                <w:sz w:val="18"/>
                <w:highlight w:val="none"/>
              </w:rPr>
              <w:t>编写并上报质量通病防治计划和隐患排查计划。</w:t>
            </w:r>
            <w:r>
              <w:rPr>
                <w:rFonts w:hint="eastAsia" w:ascii="宋体" w:hAnsi="宋体" w:cs="宋体"/>
                <w:kern w:val="18"/>
                <w:sz w:val="18"/>
                <w:highlight w:val="none"/>
              </w:rPr>
              <w:t>落实质量通病防治措施，工程结束后进行总结。</w:t>
            </w:r>
            <w:r>
              <w:rPr>
                <w:rFonts w:hint="eastAsia" w:ascii="宋体" w:hAnsi="宋体" w:cs="宋体"/>
                <w:sz w:val="18"/>
                <w:highlight w:val="none"/>
              </w:rPr>
              <w:t>（2分）</w:t>
            </w:r>
          </w:p>
        </w:tc>
        <w:tc>
          <w:tcPr>
            <w:tcW w:w="3890" w:type="dxa"/>
            <w:tcBorders>
              <w:bottom w:val="single" w:color="000000" w:sz="6" w:space="0"/>
            </w:tcBorders>
            <w:tcMar>
              <w:left w:w="28" w:type="dxa"/>
              <w:right w:w="28" w:type="dxa"/>
            </w:tcMar>
            <w:vAlign w:val="center"/>
          </w:tcPr>
          <w:p w14:paraId="42DB6A38">
            <w:pPr>
              <w:spacing w:line="260" w:lineRule="exact"/>
              <w:rPr>
                <w:rFonts w:ascii="宋体" w:hAnsi="宋体" w:cs="宋体"/>
                <w:sz w:val="18"/>
                <w:highlight w:val="none"/>
              </w:rPr>
            </w:pPr>
            <w:r>
              <w:rPr>
                <w:rFonts w:hint="eastAsia" w:ascii="宋体" w:hAnsi="宋体" w:cs="宋体"/>
                <w:sz w:val="18"/>
                <w:highlight w:val="none"/>
              </w:rPr>
              <w:t>（1）未编写并上报质量通病防治计划和隐患排查计划，扣1分；</w:t>
            </w:r>
          </w:p>
          <w:p w14:paraId="6E5138E4">
            <w:pPr>
              <w:spacing w:line="260" w:lineRule="exact"/>
              <w:rPr>
                <w:rFonts w:ascii="宋体" w:hAnsi="宋体" w:cs="宋体"/>
                <w:sz w:val="18"/>
                <w:highlight w:val="none"/>
              </w:rPr>
            </w:pPr>
            <w:r>
              <w:rPr>
                <w:rFonts w:hint="eastAsia" w:ascii="宋体" w:hAnsi="宋体" w:cs="宋体"/>
                <w:sz w:val="18"/>
                <w:highlight w:val="none"/>
              </w:rPr>
              <w:t>（2）工程实体发现质量通病，每处扣0.5分；未按月进行隐患排查，扣0.5分；</w:t>
            </w:r>
          </w:p>
          <w:p w14:paraId="1E74F3CA">
            <w:pPr>
              <w:spacing w:line="260" w:lineRule="exact"/>
              <w:rPr>
                <w:rFonts w:ascii="宋体" w:hAnsi="宋体" w:cs="宋体"/>
                <w:sz w:val="18"/>
                <w:highlight w:val="none"/>
              </w:rPr>
            </w:pPr>
            <w:r>
              <w:rPr>
                <w:rFonts w:hint="eastAsia" w:ascii="宋体" w:hAnsi="宋体" w:cs="宋体"/>
                <w:sz w:val="18"/>
                <w:highlight w:val="none"/>
              </w:rPr>
              <w:t>（3）无质量通病防治过程检查资料，扣0.5分；无通病防治工作总结，扣0.5分。</w:t>
            </w:r>
          </w:p>
        </w:tc>
        <w:tc>
          <w:tcPr>
            <w:tcW w:w="1117" w:type="dxa"/>
            <w:tcBorders>
              <w:bottom w:val="single" w:color="000000" w:sz="6" w:space="0"/>
            </w:tcBorders>
            <w:tcMar>
              <w:left w:w="28" w:type="dxa"/>
              <w:right w:w="28" w:type="dxa"/>
            </w:tcMar>
            <w:vAlign w:val="center"/>
          </w:tcPr>
          <w:p w14:paraId="4889B6C8">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0571576D">
            <w:pPr>
              <w:spacing w:line="260" w:lineRule="exact"/>
              <w:rPr>
                <w:rFonts w:ascii="宋体" w:hAnsi="宋体" w:cs="宋体"/>
                <w:sz w:val="18"/>
                <w:highlight w:val="none"/>
              </w:rPr>
            </w:pPr>
          </w:p>
        </w:tc>
      </w:tr>
      <w:tr w14:paraId="3D5BE9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627BF932">
            <w:pPr>
              <w:spacing w:line="260" w:lineRule="exact"/>
              <w:jc w:val="center"/>
              <w:rPr>
                <w:rFonts w:ascii="宋体" w:hAnsi="宋体" w:cs="宋体"/>
                <w:b/>
                <w:bCs/>
                <w:sz w:val="18"/>
                <w:highlight w:val="none"/>
              </w:rPr>
            </w:pPr>
            <w:r>
              <w:rPr>
                <w:rFonts w:hint="eastAsia" w:ascii="宋体" w:hAnsi="宋体" w:cs="宋体"/>
                <w:b/>
                <w:bCs/>
                <w:sz w:val="18"/>
                <w:highlight w:val="none"/>
              </w:rPr>
              <w:t>5.5</w:t>
            </w:r>
          </w:p>
        </w:tc>
        <w:tc>
          <w:tcPr>
            <w:tcW w:w="1976" w:type="dxa"/>
            <w:tcBorders>
              <w:bottom w:val="single" w:color="000000" w:sz="6" w:space="0"/>
            </w:tcBorders>
            <w:tcMar>
              <w:left w:w="28" w:type="dxa"/>
              <w:right w:w="28" w:type="dxa"/>
            </w:tcMar>
            <w:vAlign w:val="center"/>
          </w:tcPr>
          <w:p w14:paraId="21391E65">
            <w:pPr>
              <w:rPr>
                <w:rFonts w:ascii="宋体" w:hAnsi="宋体" w:cs="宋体"/>
                <w:sz w:val="18"/>
                <w:highlight w:val="none"/>
              </w:rPr>
            </w:pPr>
            <w:r>
              <w:rPr>
                <w:rFonts w:hint="eastAsia"/>
                <w:b/>
                <w:color w:val="000000"/>
                <w:sz w:val="18"/>
                <w:szCs w:val="18"/>
                <w:highlight w:val="none"/>
              </w:rPr>
              <w:t>强制条文管理</w:t>
            </w:r>
          </w:p>
        </w:tc>
        <w:tc>
          <w:tcPr>
            <w:tcW w:w="951" w:type="dxa"/>
            <w:tcBorders>
              <w:bottom w:val="single" w:color="000000" w:sz="6" w:space="0"/>
            </w:tcBorders>
            <w:tcMar>
              <w:left w:w="28" w:type="dxa"/>
              <w:right w:w="28" w:type="dxa"/>
            </w:tcMar>
            <w:vAlign w:val="center"/>
          </w:tcPr>
          <w:p w14:paraId="2FC10ED1">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Borders>
              <w:bottom w:val="single" w:color="000000" w:sz="6" w:space="0"/>
            </w:tcBorders>
            <w:tcMar>
              <w:left w:w="28" w:type="dxa"/>
              <w:right w:w="28" w:type="dxa"/>
            </w:tcMar>
            <w:vAlign w:val="center"/>
          </w:tcPr>
          <w:p w14:paraId="31FF043E">
            <w:pPr>
              <w:spacing w:line="260" w:lineRule="exact"/>
              <w:rPr>
                <w:rFonts w:ascii="宋体" w:hAnsi="宋体" w:cs="宋体"/>
                <w:sz w:val="18"/>
                <w:highlight w:val="none"/>
              </w:rPr>
            </w:pPr>
            <w:r>
              <w:rPr>
                <w:rFonts w:hint="eastAsia" w:ascii="宋体" w:hAnsi="宋体" w:cs="宋体"/>
                <w:sz w:val="18"/>
                <w:highlight w:val="none"/>
              </w:rPr>
              <w:t>编写并上报强条执行计划，据实记录、填写施工强制性条文执行记录。（2分）</w:t>
            </w:r>
          </w:p>
        </w:tc>
        <w:tc>
          <w:tcPr>
            <w:tcW w:w="3890" w:type="dxa"/>
            <w:tcBorders>
              <w:bottom w:val="single" w:color="000000" w:sz="6" w:space="0"/>
            </w:tcBorders>
            <w:tcMar>
              <w:left w:w="28" w:type="dxa"/>
              <w:right w:w="28" w:type="dxa"/>
            </w:tcMar>
            <w:vAlign w:val="center"/>
          </w:tcPr>
          <w:p w14:paraId="63E6B73D">
            <w:pPr>
              <w:spacing w:line="260" w:lineRule="exact"/>
              <w:rPr>
                <w:rFonts w:ascii="宋体" w:hAnsi="宋体" w:cs="宋体"/>
                <w:sz w:val="18"/>
                <w:highlight w:val="none"/>
              </w:rPr>
            </w:pPr>
            <w:r>
              <w:rPr>
                <w:rFonts w:hint="eastAsia" w:ascii="宋体" w:hAnsi="宋体" w:cs="宋体"/>
                <w:sz w:val="18"/>
                <w:highlight w:val="none"/>
              </w:rPr>
              <w:t>（1）未编制强条执行计划，扣1分；无记录，每少一份扣0.5分；</w:t>
            </w:r>
          </w:p>
          <w:p w14:paraId="4A614B64">
            <w:pPr>
              <w:spacing w:line="260" w:lineRule="exact"/>
              <w:rPr>
                <w:rFonts w:ascii="宋体" w:hAnsi="宋体" w:cs="宋体"/>
                <w:sz w:val="18"/>
                <w:highlight w:val="none"/>
              </w:rPr>
            </w:pPr>
            <w:r>
              <w:rPr>
                <w:rFonts w:hint="eastAsia" w:ascii="宋体" w:hAnsi="宋体" w:cs="宋体"/>
                <w:sz w:val="18"/>
                <w:highlight w:val="none"/>
              </w:rPr>
              <w:t>（2）工程实物违反强制性条文规定，每处扣1分</w:t>
            </w:r>
          </w:p>
        </w:tc>
        <w:tc>
          <w:tcPr>
            <w:tcW w:w="1117" w:type="dxa"/>
            <w:tcBorders>
              <w:bottom w:val="single" w:color="000000" w:sz="6" w:space="0"/>
            </w:tcBorders>
            <w:tcMar>
              <w:left w:w="28" w:type="dxa"/>
              <w:right w:w="28" w:type="dxa"/>
            </w:tcMar>
            <w:vAlign w:val="center"/>
          </w:tcPr>
          <w:p w14:paraId="0A653995">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6E8C0300">
            <w:pPr>
              <w:spacing w:line="260" w:lineRule="exact"/>
              <w:rPr>
                <w:rFonts w:ascii="宋体" w:hAnsi="宋体" w:cs="宋体"/>
                <w:sz w:val="18"/>
                <w:highlight w:val="none"/>
              </w:rPr>
            </w:pPr>
          </w:p>
        </w:tc>
      </w:tr>
      <w:tr w14:paraId="474335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35D875D7">
            <w:pPr>
              <w:spacing w:line="260" w:lineRule="exact"/>
              <w:jc w:val="center"/>
              <w:rPr>
                <w:rFonts w:ascii="宋体" w:hAnsi="宋体" w:cs="宋体"/>
                <w:b/>
                <w:bCs/>
                <w:sz w:val="18"/>
                <w:highlight w:val="none"/>
              </w:rPr>
            </w:pPr>
            <w:r>
              <w:rPr>
                <w:rFonts w:hint="eastAsia" w:ascii="宋体" w:hAnsi="宋体" w:cs="宋体"/>
                <w:b/>
                <w:bCs/>
                <w:sz w:val="18"/>
                <w:highlight w:val="none"/>
              </w:rPr>
              <w:t>5.6</w:t>
            </w:r>
          </w:p>
        </w:tc>
        <w:tc>
          <w:tcPr>
            <w:tcW w:w="1976" w:type="dxa"/>
            <w:tcBorders>
              <w:bottom w:val="single" w:color="000000" w:sz="6" w:space="0"/>
            </w:tcBorders>
            <w:tcMar>
              <w:left w:w="28" w:type="dxa"/>
              <w:right w:w="28" w:type="dxa"/>
            </w:tcMar>
            <w:vAlign w:val="center"/>
          </w:tcPr>
          <w:p w14:paraId="385C28F7">
            <w:pPr>
              <w:rPr>
                <w:rFonts w:ascii="宋体" w:hAnsi="宋体" w:cs="宋体"/>
                <w:sz w:val="18"/>
                <w:highlight w:val="none"/>
              </w:rPr>
            </w:pPr>
            <w:r>
              <w:rPr>
                <w:rFonts w:hint="eastAsia"/>
                <w:b/>
                <w:color w:val="000000"/>
                <w:sz w:val="18"/>
                <w:szCs w:val="18"/>
                <w:highlight w:val="none"/>
              </w:rPr>
              <w:t>标准工艺应用</w:t>
            </w:r>
          </w:p>
        </w:tc>
        <w:tc>
          <w:tcPr>
            <w:tcW w:w="951" w:type="dxa"/>
            <w:tcBorders>
              <w:bottom w:val="single" w:color="000000" w:sz="6" w:space="0"/>
            </w:tcBorders>
            <w:tcMar>
              <w:left w:w="28" w:type="dxa"/>
              <w:right w:w="28" w:type="dxa"/>
            </w:tcMar>
            <w:vAlign w:val="center"/>
          </w:tcPr>
          <w:p w14:paraId="2665EF79">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Borders>
              <w:bottom w:val="single" w:color="000000" w:sz="6" w:space="0"/>
            </w:tcBorders>
            <w:tcMar>
              <w:left w:w="28" w:type="dxa"/>
              <w:right w:w="28" w:type="dxa"/>
            </w:tcMar>
            <w:vAlign w:val="center"/>
          </w:tcPr>
          <w:p w14:paraId="412D623C">
            <w:pPr>
              <w:spacing w:line="260" w:lineRule="exact"/>
              <w:rPr>
                <w:rFonts w:ascii="宋体" w:hAnsi="宋体" w:cs="宋体"/>
                <w:sz w:val="18"/>
                <w:highlight w:val="none"/>
              </w:rPr>
            </w:pPr>
            <w:r>
              <w:rPr>
                <w:rFonts w:hint="eastAsia" w:ascii="宋体" w:hAnsi="宋体" w:cs="宋体"/>
                <w:sz w:val="18"/>
                <w:highlight w:val="none"/>
              </w:rPr>
              <w:t>编写并上报标准工艺应用计划，</w:t>
            </w:r>
            <w:r>
              <w:rPr>
                <w:rFonts w:hint="eastAsia" w:ascii="宋体" w:hAnsi="宋体" w:cs="宋体"/>
                <w:kern w:val="18"/>
                <w:sz w:val="18"/>
                <w:highlight w:val="none"/>
              </w:rPr>
              <w:t>全面实施标准工艺，对过程标准工艺的实施情况进行检查，对质量缺陷进行闭环整改。</w:t>
            </w:r>
            <w:r>
              <w:rPr>
                <w:rFonts w:hint="eastAsia" w:ascii="宋体" w:hAnsi="宋体" w:cs="宋体"/>
                <w:sz w:val="18"/>
                <w:highlight w:val="none"/>
              </w:rPr>
              <w:t>（2分）</w:t>
            </w:r>
          </w:p>
        </w:tc>
        <w:tc>
          <w:tcPr>
            <w:tcW w:w="3890" w:type="dxa"/>
            <w:tcBorders>
              <w:bottom w:val="single" w:color="000000" w:sz="6" w:space="0"/>
            </w:tcBorders>
            <w:tcMar>
              <w:left w:w="28" w:type="dxa"/>
              <w:right w:w="28" w:type="dxa"/>
            </w:tcMar>
            <w:vAlign w:val="center"/>
          </w:tcPr>
          <w:p w14:paraId="67D35AE4">
            <w:pPr>
              <w:spacing w:line="260" w:lineRule="exact"/>
              <w:rPr>
                <w:rFonts w:ascii="宋体" w:hAnsi="宋体" w:cs="宋体"/>
                <w:sz w:val="18"/>
                <w:highlight w:val="none"/>
              </w:rPr>
            </w:pPr>
            <w:r>
              <w:rPr>
                <w:rFonts w:hint="eastAsia" w:ascii="宋体" w:hAnsi="宋体" w:cs="宋体"/>
                <w:sz w:val="18"/>
                <w:highlight w:val="none"/>
              </w:rPr>
              <w:t>（1）未编制标准工艺应用计划，扣1分；缺少标准工艺宣贯和培训记录、检查记录，每次扣0.5分；</w:t>
            </w:r>
          </w:p>
          <w:p w14:paraId="76D3C6A7">
            <w:pPr>
              <w:spacing w:line="260" w:lineRule="exact"/>
              <w:rPr>
                <w:rFonts w:ascii="宋体" w:hAnsi="宋体" w:cs="宋体"/>
                <w:sz w:val="18"/>
                <w:highlight w:val="none"/>
              </w:rPr>
            </w:pPr>
            <w:r>
              <w:rPr>
                <w:rFonts w:hint="eastAsia" w:ascii="宋体" w:hAnsi="宋体" w:cs="宋体"/>
                <w:sz w:val="18"/>
                <w:highlight w:val="none"/>
              </w:rPr>
              <w:t>（2）应采用而未采用标准工艺，每项扣1分；</w:t>
            </w:r>
          </w:p>
          <w:p w14:paraId="0D4E8C5D">
            <w:pPr>
              <w:spacing w:line="260" w:lineRule="exact"/>
              <w:rPr>
                <w:rFonts w:ascii="宋体" w:hAnsi="宋体" w:cs="宋体"/>
                <w:sz w:val="18"/>
                <w:highlight w:val="none"/>
              </w:rPr>
            </w:pPr>
            <w:r>
              <w:rPr>
                <w:rFonts w:hint="eastAsia" w:ascii="宋体" w:hAnsi="宋体" w:cs="宋体"/>
                <w:sz w:val="18"/>
                <w:highlight w:val="none"/>
              </w:rPr>
              <w:t>（3）未按要求应用“国家电网公司输变电工程工艺标准库”，每项扣0.5分。</w:t>
            </w:r>
          </w:p>
        </w:tc>
        <w:tc>
          <w:tcPr>
            <w:tcW w:w="1117" w:type="dxa"/>
            <w:tcBorders>
              <w:bottom w:val="single" w:color="000000" w:sz="6" w:space="0"/>
            </w:tcBorders>
            <w:tcMar>
              <w:left w:w="28" w:type="dxa"/>
              <w:right w:w="28" w:type="dxa"/>
            </w:tcMar>
            <w:vAlign w:val="center"/>
          </w:tcPr>
          <w:p w14:paraId="352FE455">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09C5007C">
            <w:pPr>
              <w:spacing w:line="260" w:lineRule="exact"/>
              <w:rPr>
                <w:rFonts w:ascii="宋体" w:hAnsi="宋体" w:cs="宋体"/>
                <w:sz w:val="18"/>
                <w:highlight w:val="none"/>
              </w:rPr>
            </w:pPr>
          </w:p>
        </w:tc>
      </w:tr>
      <w:tr w14:paraId="35F4CA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19A6055C">
            <w:pPr>
              <w:spacing w:line="260" w:lineRule="exact"/>
              <w:jc w:val="center"/>
              <w:rPr>
                <w:rFonts w:ascii="宋体" w:hAnsi="宋体" w:cs="宋体"/>
                <w:b/>
                <w:bCs/>
                <w:sz w:val="18"/>
                <w:highlight w:val="none"/>
              </w:rPr>
            </w:pPr>
            <w:r>
              <w:rPr>
                <w:rFonts w:hint="eastAsia" w:ascii="宋体" w:hAnsi="宋体" w:cs="宋体"/>
                <w:b/>
                <w:bCs/>
                <w:sz w:val="18"/>
                <w:highlight w:val="none"/>
              </w:rPr>
              <w:t>5.7</w:t>
            </w:r>
          </w:p>
        </w:tc>
        <w:tc>
          <w:tcPr>
            <w:tcW w:w="1976" w:type="dxa"/>
            <w:tcBorders>
              <w:bottom w:val="single" w:color="000000" w:sz="6" w:space="0"/>
            </w:tcBorders>
            <w:tcMar>
              <w:left w:w="28" w:type="dxa"/>
              <w:right w:w="28" w:type="dxa"/>
            </w:tcMar>
            <w:vAlign w:val="center"/>
          </w:tcPr>
          <w:p w14:paraId="7910CBA6">
            <w:pPr>
              <w:rPr>
                <w:rFonts w:ascii="宋体" w:hAnsi="宋体" w:cs="宋体"/>
                <w:sz w:val="18"/>
                <w:highlight w:val="none"/>
              </w:rPr>
            </w:pPr>
            <w:r>
              <w:rPr>
                <w:rFonts w:hint="eastAsia"/>
                <w:b/>
                <w:color w:val="000000"/>
                <w:sz w:val="18"/>
                <w:szCs w:val="18"/>
                <w:highlight w:val="none"/>
              </w:rPr>
              <w:t>实物样板管理</w:t>
            </w:r>
          </w:p>
        </w:tc>
        <w:tc>
          <w:tcPr>
            <w:tcW w:w="951" w:type="dxa"/>
            <w:tcBorders>
              <w:bottom w:val="single" w:color="000000" w:sz="6" w:space="0"/>
            </w:tcBorders>
            <w:tcMar>
              <w:left w:w="28" w:type="dxa"/>
              <w:right w:w="28" w:type="dxa"/>
            </w:tcMar>
            <w:vAlign w:val="center"/>
          </w:tcPr>
          <w:p w14:paraId="515764BE">
            <w:pPr>
              <w:spacing w:line="260" w:lineRule="exact"/>
              <w:jc w:val="center"/>
              <w:rPr>
                <w:rFonts w:ascii="宋体" w:hAnsi="宋体" w:cs="宋体"/>
                <w:sz w:val="18"/>
                <w:highlight w:val="none"/>
              </w:rPr>
            </w:pPr>
            <w:r>
              <w:rPr>
                <w:rFonts w:hint="eastAsia" w:ascii="宋体" w:hAnsi="宋体" w:cs="宋体"/>
                <w:sz w:val="18"/>
                <w:highlight w:val="none"/>
              </w:rPr>
              <w:t>3</w:t>
            </w:r>
          </w:p>
        </w:tc>
        <w:tc>
          <w:tcPr>
            <w:tcW w:w="3348" w:type="dxa"/>
            <w:tcBorders>
              <w:bottom w:val="single" w:color="000000" w:sz="6" w:space="0"/>
            </w:tcBorders>
            <w:tcMar>
              <w:left w:w="28" w:type="dxa"/>
              <w:right w:w="28" w:type="dxa"/>
            </w:tcMar>
            <w:vAlign w:val="center"/>
          </w:tcPr>
          <w:p w14:paraId="37EB2884">
            <w:pPr>
              <w:spacing w:line="260" w:lineRule="exact"/>
              <w:rPr>
                <w:rFonts w:ascii="宋体" w:hAnsi="宋体" w:cs="宋体"/>
                <w:sz w:val="18"/>
                <w:highlight w:val="none"/>
              </w:rPr>
            </w:pPr>
            <w:r>
              <w:rPr>
                <w:rFonts w:hint="eastAsia" w:ascii="宋体" w:hAnsi="宋体" w:cs="宋体"/>
                <w:sz w:val="18"/>
                <w:highlight w:val="none"/>
              </w:rPr>
              <w:t>负责制作实物样板，并上报监理项目部、业主项目部验收，并按照审定的实物样板作为标准进行大面积施工。（3分）</w:t>
            </w:r>
          </w:p>
        </w:tc>
        <w:tc>
          <w:tcPr>
            <w:tcW w:w="3890" w:type="dxa"/>
            <w:tcBorders>
              <w:bottom w:val="single" w:color="000000" w:sz="6" w:space="0"/>
            </w:tcBorders>
            <w:tcMar>
              <w:left w:w="28" w:type="dxa"/>
              <w:right w:w="28" w:type="dxa"/>
            </w:tcMar>
            <w:vAlign w:val="center"/>
          </w:tcPr>
          <w:p w14:paraId="7103D695">
            <w:pPr>
              <w:numPr>
                <w:ilvl w:val="0"/>
                <w:numId w:val="12"/>
              </w:numPr>
              <w:spacing w:line="260" w:lineRule="exact"/>
              <w:rPr>
                <w:rFonts w:ascii="宋体" w:hAnsi="宋体" w:cs="宋体"/>
                <w:sz w:val="18"/>
                <w:highlight w:val="none"/>
              </w:rPr>
            </w:pPr>
            <w:r>
              <w:rPr>
                <w:rFonts w:hint="eastAsia" w:ascii="宋体" w:hAnsi="宋体" w:cs="宋体"/>
                <w:sz w:val="18"/>
                <w:highlight w:val="none"/>
              </w:rPr>
              <w:t>未编制样板报审表，每次扣0.5分；</w:t>
            </w:r>
          </w:p>
          <w:p w14:paraId="5A5221B8">
            <w:pPr>
              <w:numPr>
                <w:ilvl w:val="0"/>
                <w:numId w:val="12"/>
              </w:numPr>
              <w:spacing w:line="260" w:lineRule="exact"/>
              <w:rPr>
                <w:rFonts w:ascii="宋体" w:hAnsi="宋体" w:cs="宋体"/>
                <w:sz w:val="18"/>
                <w:highlight w:val="none"/>
              </w:rPr>
            </w:pPr>
            <w:r>
              <w:rPr>
                <w:rFonts w:hint="eastAsia" w:ascii="宋体" w:hAnsi="宋体" w:cs="宋体"/>
                <w:sz w:val="18"/>
                <w:highlight w:val="none"/>
              </w:rPr>
              <w:t>未及时制作实物样板，每次扣0.5分；</w:t>
            </w:r>
          </w:p>
          <w:p w14:paraId="153D7A2A">
            <w:pPr>
              <w:spacing w:line="260" w:lineRule="exact"/>
              <w:rPr>
                <w:rFonts w:ascii="宋体" w:hAnsi="宋体" w:cs="宋体"/>
                <w:sz w:val="18"/>
                <w:highlight w:val="none"/>
              </w:rPr>
            </w:pPr>
            <w:r>
              <w:rPr>
                <w:rFonts w:hint="eastAsia" w:ascii="宋体" w:hAnsi="宋体" w:cs="宋体"/>
                <w:sz w:val="18"/>
                <w:highlight w:val="none"/>
              </w:rPr>
              <w:t>（2）实物样板未及时申报验收，每次扣0.5分；</w:t>
            </w:r>
          </w:p>
          <w:p w14:paraId="1759EE3A">
            <w:pPr>
              <w:spacing w:line="260" w:lineRule="exact"/>
              <w:rPr>
                <w:rFonts w:ascii="宋体" w:hAnsi="宋体" w:cs="宋体"/>
                <w:sz w:val="18"/>
                <w:highlight w:val="none"/>
              </w:rPr>
            </w:pPr>
            <w:r>
              <w:rPr>
                <w:rFonts w:hint="eastAsia" w:ascii="宋体" w:hAnsi="宋体" w:cs="宋体"/>
                <w:sz w:val="18"/>
                <w:highlight w:val="none"/>
              </w:rPr>
              <w:t>（3）施工单位未按实物样板标准进行大面积施工，每次扣1分。</w:t>
            </w:r>
          </w:p>
        </w:tc>
        <w:tc>
          <w:tcPr>
            <w:tcW w:w="1117" w:type="dxa"/>
            <w:tcBorders>
              <w:bottom w:val="single" w:color="000000" w:sz="6" w:space="0"/>
            </w:tcBorders>
            <w:tcMar>
              <w:left w:w="28" w:type="dxa"/>
              <w:right w:w="28" w:type="dxa"/>
            </w:tcMar>
            <w:vAlign w:val="center"/>
          </w:tcPr>
          <w:p w14:paraId="44693FB8">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66BC4356">
            <w:pPr>
              <w:spacing w:line="260" w:lineRule="exact"/>
              <w:rPr>
                <w:rFonts w:ascii="宋体" w:hAnsi="宋体" w:cs="宋体"/>
                <w:sz w:val="18"/>
                <w:highlight w:val="none"/>
              </w:rPr>
            </w:pPr>
          </w:p>
        </w:tc>
      </w:tr>
      <w:tr w14:paraId="5D0C1A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32FD8566">
            <w:pPr>
              <w:spacing w:line="260" w:lineRule="exact"/>
              <w:jc w:val="center"/>
              <w:rPr>
                <w:rFonts w:ascii="宋体" w:hAnsi="宋体" w:cs="宋体"/>
                <w:b/>
                <w:bCs/>
                <w:sz w:val="18"/>
                <w:highlight w:val="none"/>
              </w:rPr>
            </w:pPr>
            <w:r>
              <w:rPr>
                <w:rFonts w:hint="eastAsia" w:ascii="宋体" w:hAnsi="宋体" w:cs="宋体"/>
                <w:b/>
                <w:bCs/>
                <w:sz w:val="18"/>
                <w:highlight w:val="none"/>
              </w:rPr>
              <w:t>5.8</w:t>
            </w:r>
          </w:p>
        </w:tc>
        <w:tc>
          <w:tcPr>
            <w:tcW w:w="1976" w:type="dxa"/>
            <w:vMerge w:val="restart"/>
            <w:tcMar>
              <w:left w:w="28" w:type="dxa"/>
              <w:right w:w="28" w:type="dxa"/>
            </w:tcMar>
            <w:vAlign w:val="center"/>
          </w:tcPr>
          <w:p w14:paraId="2D0CDE33">
            <w:pPr>
              <w:rPr>
                <w:rFonts w:ascii="宋体" w:hAnsi="宋体" w:cs="宋体"/>
                <w:sz w:val="18"/>
                <w:highlight w:val="none"/>
              </w:rPr>
            </w:pPr>
            <w:r>
              <w:rPr>
                <w:rFonts w:hint="eastAsia"/>
                <w:b/>
                <w:color w:val="000000"/>
                <w:sz w:val="18"/>
                <w:szCs w:val="18"/>
                <w:highlight w:val="none"/>
              </w:rPr>
              <w:t>验收管理</w:t>
            </w:r>
          </w:p>
        </w:tc>
        <w:tc>
          <w:tcPr>
            <w:tcW w:w="951" w:type="dxa"/>
            <w:vMerge w:val="restart"/>
            <w:tcMar>
              <w:left w:w="28" w:type="dxa"/>
              <w:right w:w="28" w:type="dxa"/>
            </w:tcMar>
            <w:vAlign w:val="center"/>
          </w:tcPr>
          <w:p w14:paraId="7F548212">
            <w:pPr>
              <w:spacing w:line="260" w:lineRule="exact"/>
              <w:jc w:val="center"/>
              <w:rPr>
                <w:rFonts w:ascii="宋体" w:hAnsi="宋体" w:cs="宋体"/>
                <w:sz w:val="18"/>
                <w:highlight w:val="none"/>
              </w:rPr>
            </w:pPr>
            <w:r>
              <w:rPr>
                <w:rFonts w:hint="eastAsia" w:ascii="宋体" w:hAnsi="宋体" w:cs="宋体"/>
                <w:sz w:val="18"/>
                <w:highlight w:val="none"/>
              </w:rPr>
              <w:t>6</w:t>
            </w:r>
          </w:p>
        </w:tc>
        <w:tc>
          <w:tcPr>
            <w:tcW w:w="3348" w:type="dxa"/>
            <w:tcBorders>
              <w:bottom w:val="single" w:color="000000" w:sz="6" w:space="0"/>
            </w:tcBorders>
            <w:tcMar>
              <w:left w:w="28" w:type="dxa"/>
              <w:right w:w="28" w:type="dxa"/>
            </w:tcMar>
          </w:tcPr>
          <w:p w14:paraId="79F6E04C">
            <w:pPr>
              <w:spacing w:line="260" w:lineRule="exact"/>
              <w:rPr>
                <w:rFonts w:ascii="宋体" w:hAnsi="宋体" w:cs="宋体"/>
                <w:sz w:val="18"/>
                <w:highlight w:val="none"/>
              </w:rPr>
            </w:pPr>
            <w:r>
              <w:rPr>
                <w:rFonts w:hint="eastAsia" w:ascii="宋体" w:hAnsi="宋体" w:cs="宋体"/>
                <w:sz w:val="18"/>
                <w:highlight w:val="none"/>
              </w:rPr>
              <w:t>编写施工单位编制质量验评划分表，并及时填写验评记录。（2分）</w:t>
            </w:r>
          </w:p>
        </w:tc>
        <w:tc>
          <w:tcPr>
            <w:tcW w:w="3890" w:type="dxa"/>
            <w:tcBorders>
              <w:bottom w:val="single" w:color="000000" w:sz="6" w:space="0"/>
            </w:tcBorders>
            <w:tcMar>
              <w:left w:w="28" w:type="dxa"/>
              <w:right w:w="28" w:type="dxa"/>
            </w:tcMar>
          </w:tcPr>
          <w:p w14:paraId="1EE42E8C">
            <w:pPr>
              <w:spacing w:line="260" w:lineRule="exact"/>
              <w:jc w:val="left"/>
              <w:rPr>
                <w:rFonts w:ascii="宋体" w:hAnsi="宋体" w:cs="宋体"/>
                <w:kern w:val="18"/>
                <w:sz w:val="18"/>
                <w:highlight w:val="none"/>
              </w:rPr>
            </w:pPr>
            <w:r>
              <w:rPr>
                <w:rFonts w:hint="eastAsia" w:ascii="宋体" w:hAnsi="宋体" w:cs="宋体"/>
                <w:kern w:val="18"/>
                <w:sz w:val="18"/>
                <w:highlight w:val="none"/>
              </w:rPr>
              <w:t>（1）未及时编写施工单位编制质量验评划分表，扣1分；</w:t>
            </w:r>
          </w:p>
          <w:p w14:paraId="14E570BE">
            <w:pPr>
              <w:spacing w:line="260" w:lineRule="exact"/>
              <w:jc w:val="left"/>
              <w:rPr>
                <w:rFonts w:ascii="宋体" w:hAnsi="宋体" w:cs="宋体"/>
                <w:sz w:val="18"/>
                <w:highlight w:val="none"/>
              </w:rPr>
            </w:pPr>
            <w:r>
              <w:rPr>
                <w:rFonts w:hint="eastAsia" w:ascii="宋体" w:hAnsi="宋体" w:cs="宋体"/>
                <w:kern w:val="18"/>
                <w:sz w:val="18"/>
                <w:highlight w:val="none"/>
              </w:rPr>
              <w:t>（2）未及时填写验评记录，每次扣0.5分。</w:t>
            </w:r>
          </w:p>
        </w:tc>
        <w:tc>
          <w:tcPr>
            <w:tcW w:w="1117" w:type="dxa"/>
            <w:tcBorders>
              <w:bottom w:val="single" w:color="000000" w:sz="6" w:space="0"/>
            </w:tcBorders>
            <w:tcMar>
              <w:left w:w="28" w:type="dxa"/>
              <w:right w:w="28" w:type="dxa"/>
            </w:tcMar>
            <w:vAlign w:val="center"/>
          </w:tcPr>
          <w:p w14:paraId="40C98FE6">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49FB4E6C">
            <w:pPr>
              <w:spacing w:line="260" w:lineRule="exact"/>
              <w:rPr>
                <w:rFonts w:ascii="宋体" w:hAnsi="宋体" w:cs="宋体"/>
                <w:sz w:val="18"/>
                <w:highlight w:val="none"/>
              </w:rPr>
            </w:pPr>
          </w:p>
        </w:tc>
      </w:tr>
      <w:tr w14:paraId="68FA83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90" w:hRule="atLeast"/>
          <w:jc w:val="center"/>
        </w:trPr>
        <w:tc>
          <w:tcPr>
            <w:tcW w:w="547" w:type="dxa"/>
            <w:vMerge w:val="continue"/>
            <w:tcMar>
              <w:left w:w="28" w:type="dxa"/>
              <w:right w:w="28" w:type="dxa"/>
            </w:tcMar>
            <w:vAlign w:val="center"/>
          </w:tcPr>
          <w:p w14:paraId="6A0C5206">
            <w:pPr>
              <w:spacing w:line="260" w:lineRule="exact"/>
              <w:jc w:val="center"/>
              <w:rPr>
                <w:rFonts w:ascii="宋体" w:hAnsi="宋体" w:cs="宋体"/>
                <w:sz w:val="18"/>
                <w:highlight w:val="none"/>
              </w:rPr>
            </w:pPr>
          </w:p>
        </w:tc>
        <w:tc>
          <w:tcPr>
            <w:tcW w:w="1976" w:type="dxa"/>
            <w:vMerge w:val="continue"/>
            <w:tcMar>
              <w:left w:w="28" w:type="dxa"/>
              <w:right w:w="28" w:type="dxa"/>
            </w:tcMar>
            <w:vAlign w:val="center"/>
          </w:tcPr>
          <w:p w14:paraId="1F906E47">
            <w:pPr>
              <w:spacing w:line="260" w:lineRule="exact"/>
              <w:ind w:right="53"/>
              <w:jc w:val="left"/>
              <w:rPr>
                <w:rFonts w:ascii="宋体" w:hAnsi="宋体" w:cs="宋体"/>
                <w:sz w:val="18"/>
                <w:highlight w:val="none"/>
              </w:rPr>
            </w:pPr>
          </w:p>
        </w:tc>
        <w:tc>
          <w:tcPr>
            <w:tcW w:w="951" w:type="dxa"/>
            <w:vMerge w:val="continue"/>
            <w:tcMar>
              <w:left w:w="28" w:type="dxa"/>
              <w:right w:w="28" w:type="dxa"/>
            </w:tcMar>
            <w:vAlign w:val="center"/>
          </w:tcPr>
          <w:p w14:paraId="1F6EEA16">
            <w:pPr>
              <w:spacing w:line="260" w:lineRule="exact"/>
              <w:jc w:val="center"/>
              <w:rPr>
                <w:rFonts w:ascii="宋体" w:hAnsi="宋体" w:cs="宋体"/>
                <w:sz w:val="18"/>
                <w:highlight w:val="none"/>
              </w:rPr>
            </w:pPr>
          </w:p>
        </w:tc>
        <w:tc>
          <w:tcPr>
            <w:tcW w:w="3348" w:type="dxa"/>
            <w:tcBorders>
              <w:bottom w:val="single" w:color="000000" w:sz="6" w:space="0"/>
            </w:tcBorders>
            <w:tcMar>
              <w:left w:w="28" w:type="dxa"/>
              <w:right w:w="28" w:type="dxa"/>
            </w:tcMar>
            <w:vAlign w:val="center"/>
          </w:tcPr>
          <w:p w14:paraId="6678045B">
            <w:pPr>
              <w:spacing w:line="260" w:lineRule="exact"/>
              <w:ind w:right="53"/>
              <w:jc w:val="left"/>
              <w:rPr>
                <w:rFonts w:ascii="宋体" w:hAnsi="宋体" w:cs="宋体"/>
                <w:sz w:val="18"/>
                <w:highlight w:val="none"/>
              </w:rPr>
            </w:pPr>
            <w:r>
              <w:rPr>
                <w:rFonts w:hint="eastAsia" w:ascii="宋体" w:hAnsi="宋体" w:cs="宋体"/>
                <w:sz w:val="18"/>
                <w:highlight w:val="none"/>
              </w:rPr>
              <w:t>执行三级自检，做好三级检验记录、工程验评记录及质量问题管理台账；配合做好监理初检、中间验收、竣工预验收、启动验收和启动试运行以及质量监督检查工作。（2分）</w:t>
            </w:r>
          </w:p>
        </w:tc>
        <w:tc>
          <w:tcPr>
            <w:tcW w:w="3890" w:type="dxa"/>
            <w:tcBorders>
              <w:bottom w:val="single" w:color="000000" w:sz="6" w:space="0"/>
            </w:tcBorders>
            <w:tcMar>
              <w:left w:w="28" w:type="dxa"/>
              <w:right w:w="28" w:type="dxa"/>
            </w:tcMar>
          </w:tcPr>
          <w:p w14:paraId="43873452">
            <w:pPr>
              <w:spacing w:line="260" w:lineRule="exact"/>
              <w:jc w:val="left"/>
              <w:rPr>
                <w:rFonts w:ascii="宋体" w:hAnsi="宋体" w:cs="宋体"/>
                <w:sz w:val="18"/>
                <w:highlight w:val="none"/>
              </w:rPr>
            </w:pPr>
            <w:r>
              <w:rPr>
                <w:rFonts w:hint="eastAsia" w:ascii="宋体" w:hAnsi="宋体" w:cs="宋体"/>
                <w:sz w:val="18"/>
                <w:highlight w:val="none"/>
              </w:rPr>
              <w:t>（1）三级自检记录、工程验评记录及质量问题管理台账，每缺一份扣1分；</w:t>
            </w:r>
          </w:p>
          <w:p w14:paraId="7EA58881">
            <w:pPr>
              <w:spacing w:line="260" w:lineRule="exact"/>
              <w:jc w:val="left"/>
              <w:rPr>
                <w:rFonts w:ascii="宋体" w:hAnsi="宋体" w:cs="宋体"/>
                <w:sz w:val="18"/>
                <w:highlight w:val="none"/>
              </w:rPr>
            </w:pPr>
            <w:r>
              <w:rPr>
                <w:rFonts w:hint="eastAsia" w:ascii="宋体" w:hAnsi="宋体" w:cs="宋体"/>
                <w:sz w:val="18"/>
                <w:highlight w:val="none"/>
              </w:rPr>
              <w:t>（2）验收走过场，每类扣0.5分</w:t>
            </w:r>
          </w:p>
          <w:p w14:paraId="7EDF6556">
            <w:pPr>
              <w:spacing w:line="260" w:lineRule="exact"/>
              <w:jc w:val="left"/>
              <w:rPr>
                <w:rFonts w:ascii="宋体" w:hAnsi="宋体" w:cs="宋体"/>
                <w:sz w:val="18"/>
                <w:highlight w:val="none"/>
              </w:rPr>
            </w:pPr>
            <w:r>
              <w:rPr>
                <w:rFonts w:hint="eastAsia" w:ascii="宋体" w:hAnsi="宋体" w:cs="宋体"/>
                <w:sz w:val="18"/>
                <w:highlight w:val="none"/>
              </w:rPr>
              <w:t>（3）三级自检记录、工程验评记录及质量问题管理台账不真实、代签字等质量问题，每缺一份扣1分；</w:t>
            </w:r>
          </w:p>
        </w:tc>
        <w:tc>
          <w:tcPr>
            <w:tcW w:w="1117" w:type="dxa"/>
            <w:tcBorders>
              <w:bottom w:val="single" w:color="000000" w:sz="6" w:space="0"/>
            </w:tcBorders>
            <w:tcMar>
              <w:left w:w="28" w:type="dxa"/>
              <w:right w:w="28" w:type="dxa"/>
            </w:tcMar>
            <w:vAlign w:val="center"/>
          </w:tcPr>
          <w:p w14:paraId="55A6F527">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2FBE6491">
            <w:pPr>
              <w:spacing w:line="260" w:lineRule="exact"/>
              <w:rPr>
                <w:rFonts w:ascii="宋体" w:hAnsi="宋体" w:cs="宋体"/>
                <w:sz w:val="18"/>
                <w:highlight w:val="none"/>
              </w:rPr>
            </w:pPr>
          </w:p>
        </w:tc>
      </w:tr>
      <w:tr w14:paraId="38E2D2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3393D596">
            <w:pPr>
              <w:spacing w:line="260" w:lineRule="exact"/>
              <w:jc w:val="center"/>
              <w:rPr>
                <w:rFonts w:ascii="宋体" w:hAnsi="宋体" w:cs="宋体"/>
                <w:sz w:val="18"/>
                <w:highlight w:val="none"/>
              </w:rPr>
            </w:pPr>
          </w:p>
        </w:tc>
        <w:tc>
          <w:tcPr>
            <w:tcW w:w="1976" w:type="dxa"/>
            <w:vMerge w:val="continue"/>
            <w:tcBorders>
              <w:bottom w:val="single" w:color="000000" w:sz="6" w:space="0"/>
            </w:tcBorders>
            <w:tcMar>
              <w:left w:w="28" w:type="dxa"/>
              <w:right w:w="28" w:type="dxa"/>
            </w:tcMar>
            <w:vAlign w:val="center"/>
          </w:tcPr>
          <w:p w14:paraId="66A13843">
            <w:pPr>
              <w:spacing w:line="260" w:lineRule="exact"/>
              <w:ind w:right="53"/>
              <w:jc w:val="left"/>
              <w:rPr>
                <w:rFonts w:ascii="宋体" w:hAnsi="宋体" w:cs="宋体"/>
                <w:sz w:val="18"/>
                <w:highlight w:val="none"/>
              </w:rPr>
            </w:pPr>
          </w:p>
        </w:tc>
        <w:tc>
          <w:tcPr>
            <w:tcW w:w="951" w:type="dxa"/>
            <w:vMerge w:val="continue"/>
            <w:tcBorders>
              <w:bottom w:val="single" w:color="000000" w:sz="6" w:space="0"/>
            </w:tcBorders>
            <w:tcMar>
              <w:left w:w="28" w:type="dxa"/>
              <w:right w:w="28" w:type="dxa"/>
            </w:tcMar>
            <w:vAlign w:val="center"/>
          </w:tcPr>
          <w:p w14:paraId="1E1B7669">
            <w:pPr>
              <w:spacing w:line="260" w:lineRule="exact"/>
              <w:jc w:val="center"/>
              <w:rPr>
                <w:rFonts w:ascii="宋体" w:hAnsi="宋体" w:cs="宋体"/>
                <w:sz w:val="18"/>
                <w:highlight w:val="none"/>
              </w:rPr>
            </w:pPr>
          </w:p>
        </w:tc>
        <w:tc>
          <w:tcPr>
            <w:tcW w:w="3348" w:type="dxa"/>
            <w:tcBorders>
              <w:bottom w:val="single" w:color="000000" w:sz="6" w:space="0"/>
            </w:tcBorders>
            <w:tcMar>
              <w:left w:w="28" w:type="dxa"/>
              <w:right w:w="28" w:type="dxa"/>
            </w:tcMar>
            <w:vAlign w:val="center"/>
          </w:tcPr>
          <w:p w14:paraId="7D633D00">
            <w:pPr>
              <w:spacing w:line="260" w:lineRule="exact"/>
              <w:ind w:right="53"/>
              <w:jc w:val="left"/>
              <w:rPr>
                <w:rFonts w:ascii="宋体" w:hAnsi="宋体" w:cs="宋体"/>
                <w:sz w:val="18"/>
                <w:highlight w:val="none"/>
              </w:rPr>
            </w:pPr>
            <w:r>
              <w:rPr>
                <w:rFonts w:hint="eastAsia" w:ascii="宋体" w:hAnsi="宋体" w:cs="宋体"/>
                <w:sz w:val="18"/>
                <w:highlight w:val="none"/>
              </w:rPr>
              <w:t>及时对质监、验收过程发现的缺陷按时整改闭环。（2分）</w:t>
            </w:r>
          </w:p>
        </w:tc>
        <w:tc>
          <w:tcPr>
            <w:tcW w:w="3890" w:type="dxa"/>
            <w:tcBorders>
              <w:bottom w:val="single" w:color="000000" w:sz="6" w:space="0"/>
            </w:tcBorders>
            <w:tcMar>
              <w:left w:w="28" w:type="dxa"/>
              <w:right w:w="28" w:type="dxa"/>
            </w:tcMar>
          </w:tcPr>
          <w:p w14:paraId="13EB9AFA">
            <w:pPr>
              <w:spacing w:line="260" w:lineRule="exact"/>
              <w:jc w:val="left"/>
              <w:rPr>
                <w:rFonts w:ascii="宋体" w:hAnsi="宋体" w:cs="宋体"/>
                <w:sz w:val="18"/>
                <w:highlight w:val="none"/>
              </w:rPr>
            </w:pPr>
            <w:r>
              <w:rPr>
                <w:rFonts w:hint="eastAsia" w:ascii="宋体" w:hAnsi="宋体" w:cs="宋体"/>
                <w:sz w:val="18"/>
                <w:highlight w:val="none"/>
              </w:rPr>
              <w:t>未及时整改，每项扣1分。</w:t>
            </w:r>
          </w:p>
        </w:tc>
        <w:tc>
          <w:tcPr>
            <w:tcW w:w="1117" w:type="dxa"/>
            <w:tcBorders>
              <w:bottom w:val="single" w:color="000000" w:sz="6" w:space="0"/>
            </w:tcBorders>
            <w:tcMar>
              <w:left w:w="28" w:type="dxa"/>
              <w:right w:w="28" w:type="dxa"/>
            </w:tcMar>
            <w:vAlign w:val="center"/>
          </w:tcPr>
          <w:p w14:paraId="18F65231">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10D9EE55">
            <w:pPr>
              <w:spacing w:line="260" w:lineRule="exact"/>
              <w:rPr>
                <w:rFonts w:ascii="宋体" w:hAnsi="宋体" w:cs="宋体"/>
                <w:sz w:val="18"/>
                <w:highlight w:val="none"/>
              </w:rPr>
            </w:pPr>
          </w:p>
        </w:tc>
      </w:tr>
      <w:tr w14:paraId="000877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5F2148B5">
            <w:pPr>
              <w:spacing w:line="260" w:lineRule="exact"/>
              <w:jc w:val="center"/>
              <w:rPr>
                <w:rFonts w:ascii="宋体" w:hAnsi="宋体" w:cs="宋体"/>
                <w:b/>
                <w:bCs/>
                <w:sz w:val="18"/>
                <w:highlight w:val="none"/>
              </w:rPr>
            </w:pPr>
            <w:r>
              <w:rPr>
                <w:rFonts w:hint="eastAsia" w:ascii="宋体" w:hAnsi="宋体" w:cs="宋体"/>
                <w:b/>
                <w:bCs/>
                <w:sz w:val="18"/>
                <w:highlight w:val="none"/>
              </w:rPr>
              <w:t>5.9</w:t>
            </w:r>
          </w:p>
        </w:tc>
        <w:tc>
          <w:tcPr>
            <w:tcW w:w="1976" w:type="dxa"/>
            <w:tcBorders>
              <w:bottom w:val="single" w:color="000000" w:sz="6" w:space="0"/>
            </w:tcBorders>
            <w:tcMar>
              <w:left w:w="28" w:type="dxa"/>
              <w:right w:w="28" w:type="dxa"/>
            </w:tcMar>
            <w:vAlign w:val="center"/>
          </w:tcPr>
          <w:p w14:paraId="6BCFB45A">
            <w:pPr>
              <w:spacing w:line="260" w:lineRule="exact"/>
              <w:jc w:val="center"/>
              <w:rPr>
                <w:rFonts w:ascii="宋体" w:hAnsi="宋体" w:cs="宋体"/>
                <w:b/>
                <w:bCs/>
                <w:sz w:val="18"/>
                <w:highlight w:val="none"/>
              </w:rPr>
            </w:pPr>
            <w:r>
              <w:rPr>
                <w:rFonts w:hint="eastAsia" w:ascii="宋体" w:hAnsi="宋体" w:cs="宋体"/>
                <w:b/>
                <w:bCs/>
                <w:sz w:val="18"/>
                <w:highlight w:val="none"/>
              </w:rPr>
              <w:t>典型案例及典型经验</w:t>
            </w:r>
          </w:p>
        </w:tc>
        <w:tc>
          <w:tcPr>
            <w:tcW w:w="951" w:type="dxa"/>
            <w:tcBorders>
              <w:bottom w:val="single" w:color="000000" w:sz="6" w:space="0"/>
            </w:tcBorders>
            <w:tcMar>
              <w:left w:w="28" w:type="dxa"/>
              <w:right w:w="28" w:type="dxa"/>
            </w:tcMar>
            <w:vAlign w:val="center"/>
          </w:tcPr>
          <w:p w14:paraId="51A30370">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Borders>
              <w:bottom w:val="single" w:color="000000" w:sz="6" w:space="0"/>
            </w:tcBorders>
            <w:tcMar>
              <w:left w:w="28" w:type="dxa"/>
              <w:right w:w="28" w:type="dxa"/>
            </w:tcMar>
            <w:vAlign w:val="center"/>
          </w:tcPr>
          <w:p w14:paraId="228895DE">
            <w:pPr>
              <w:spacing w:line="260" w:lineRule="exact"/>
              <w:ind w:right="53"/>
              <w:jc w:val="left"/>
              <w:rPr>
                <w:rFonts w:ascii="宋体" w:hAnsi="宋体" w:cs="宋体"/>
                <w:sz w:val="18"/>
                <w:highlight w:val="none"/>
              </w:rPr>
            </w:pPr>
            <w:r>
              <w:rPr>
                <w:rFonts w:hint="eastAsia" w:ascii="宋体" w:hAnsi="宋体" w:cs="宋体"/>
                <w:sz w:val="18"/>
                <w:highlight w:val="none"/>
              </w:rPr>
              <w:t>按规定格式及时开展典型案例及典型经验的总结工作，按月提交典型案例及典型经验报告。（2分）</w:t>
            </w:r>
          </w:p>
        </w:tc>
        <w:tc>
          <w:tcPr>
            <w:tcW w:w="3890" w:type="dxa"/>
            <w:tcBorders>
              <w:bottom w:val="single" w:color="000000" w:sz="6" w:space="0"/>
            </w:tcBorders>
            <w:tcMar>
              <w:left w:w="28" w:type="dxa"/>
              <w:right w:w="28" w:type="dxa"/>
            </w:tcMar>
          </w:tcPr>
          <w:p w14:paraId="125936A2">
            <w:pPr>
              <w:spacing w:line="260" w:lineRule="exact"/>
              <w:jc w:val="left"/>
              <w:rPr>
                <w:rFonts w:ascii="宋体" w:hAnsi="宋体" w:cs="宋体"/>
                <w:sz w:val="18"/>
                <w:highlight w:val="none"/>
              </w:rPr>
            </w:pPr>
            <w:r>
              <w:rPr>
                <w:rFonts w:hint="eastAsia" w:ascii="宋体" w:hAnsi="宋体" w:cs="宋体"/>
                <w:sz w:val="18"/>
                <w:highlight w:val="none"/>
              </w:rPr>
              <w:t>（1）每月未开展典型案例及典型经验总结扣0.5分，每月未提交总结报告扣1分。</w:t>
            </w:r>
          </w:p>
        </w:tc>
        <w:tc>
          <w:tcPr>
            <w:tcW w:w="1117" w:type="dxa"/>
            <w:tcBorders>
              <w:bottom w:val="single" w:color="000000" w:sz="6" w:space="0"/>
            </w:tcBorders>
            <w:tcMar>
              <w:left w:w="28" w:type="dxa"/>
              <w:right w:w="28" w:type="dxa"/>
            </w:tcMar>
            <w:vAlign w:val="center"/>
          </w:tcPr>
          <w:p w14:paraId="049033A7">
            <w:pPr>
              <w:spacing w:line="260" w:lineRule="exact"/>
              <w:rPr>
                <w:rFonts w:ascii="宋体" w:hAnsi="宋体" w:cs="宋体"/>
                <w:sz w:val="18"/>
                <w:highlight w:val="none"/>
              </w:rPr>
            </w:pPr>
          </w:p>
        </w:tc>
        <w:tc>
          <w:tcPr>
            <w:tcW w:w="1020" w:type="dxa"/>
            <w:tcBorders>
              <w:bottom w:val="single" w:color="000000" w:sz="6" w:space="0"/>
            </w:tcBorders>
            <w:tcMar>
              <w:left w:w="28" w:type="dxa"/>
              <w:right w:w="28" w:type="dxa"/>
            </w:tcMar>
            <w:vAlign w:val="center"/>
          </w:tcPr>
          <w:p w14:paraId="46967950">
            <w:pPr>
              <w:spacing w:line="260" w:lineRule="exact"/>
              <w:rPr>
                <w:rFonts w:ascii="宋体" w:hAnsi="宋体" w:cs="宋体"/>
                <w:sz w:val="18"/>
                <w:highlight w:val="none"/>
              </w:rPr>
            </w:pPr>
          </w:p>
        </w:tc>
      </w:tr>
      <w:tr w14:paraId="529D01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75" w:hRule="atLeast"/>
          <w:jc w:val="center"/>
        </w:trPr>
        <w:tc>
          <w:tcPr>
            <w:tcW w:w="547" w:type="dxa"/>
            <w:shd w:val="clear" w:color="auto" w:fill="BEBEBE"/>
            <w:tcMar>
              <w:left w:w="28" w:type="dxa"/>
              <w:right w:w="28" w:type="dxa"/>
            </w:tcMar>
            <w:vAlign w:val="center"/>
          </w:tcPr>
          <w:p w14:paraId="3CFE5D54">
            <w:pPr>
              <w:spacing w:line="260" w:lineRule="exact"/>
              <w:jc w:val="center"/>
              <w:rPr>
                <w:rFonts w:ascii="宋体" w:hAnsi="宋体" w:cs="宋体"/>
                <w:sz w:val="18"/>
                <w:szCs w:val="18"/>
                <w:highlight w:val="none"/>
              </w:rPr>
            </w:pPr>
            <w:r>
              <w:rPr>
                <w:rFonts w:hint="eastAsia" w:ascii="宋体" w:hAnsi="宋体" w:cs="宋体"/>
                <w:b/>
                <w:sz w:val="18"/>
                <w:highlight w:val="none"/>
              </w:rPr>
              <w:t>6</w:t>
            </w:r>
          </w:p>
        </w:tc>
        <w:tc>
          <w:tcPr>
            <w:tcW w:w="12302" w:type="dxa"/>
            <w:gridSpan w:val="6"/>
            <w:shd w:val="clear" w:color="auto" w:fill="BEBEBE"/>
            <w:tcMar>
              <w:left w:w="28" w:type="dxa"/>
              <w:right w:w="28" w:type="dxa"/>
            </w:tcMar>
            <w:vAlign w:val="center"/>
          </w:tcPr>
          <w:p w14:paraId="7C1F23A3">
            <w:pPr>
              <w:spacing w:line="260" w:lineRule="exact"/>
              <w:rPr>
                <w:rFonts w:ascii="宋体" w:hAnsi="宋体" w:cs="宋体"/>
                <w:sz w:val="18"/>
                <w:highlight w:val="none"/>
              </w:rPr>
            </w:pPr>
            <w:r>
              <w:rPr>
                <w:rFonts w:hint="eastAsia" w:ascii="宋体" w:hAnsi="宋体" w:cs="宋体"/>
                <w:b/>
                <w:sz w:val="18"/>
                <w:highlight w:val="none"/>
              </w:rPr>
              <w:t>技术管理（8分）</w:t>
            </w:r>
          </w:p>
        </w:tc>
      </w:tr>
      <w:tr w14:paraId="7AE54B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5FA98E8B">
            <w:pPr>
              <w:spacing w:line="260" w:lineRule="exact"/>
              <w:jc w:val="center"/>
              <w:rPr>
                <w:rFonts w:ascii="宋体" w:hAnsi="宋体" w:cs="宋体"/>
                <w:sz w:val="18"/>
                <w:szCs w:val="18"/>
                <w:highlight w:val="none"/>
              </w:rPr>
            </w:pPr>
            <w:r>
              <w:rPr>
                <w:rFonts w:hint="eastAsia" w:ascii="宋体" w:hAnsi="宋体" w:cs="宋体"/>
                <w:b/>
                <w:bCs/>
                <w:sz w:val="18"/>
                <w:highlight w:val="none"/>
              </w:rPr>
              <w:t>6.1</w:t>
            </w:r>
          </w:p>
        </w:tc>
        <w:tc>
          <w:tcPr>
            <w:tcW w:w="1976" w:type="dxa"/>
            <w:tcMar>
              <w:left w:w="28" w:type="dxa"/>
              <w:right w:w="28" w:type="dxa"/>
            </w:tcMar>
            <w:vAlign w:val="center"/>
          </w:tcPr>
          <w:p w14:paraId="2818025B">
            <w:pPr>
              <w:spacing w:line="260" w:lineRule="exact"/>
              <w:rPr>
                <w:rFonts w:ascii="宋体" w:hAnsi="宋体" w:cs="宋体"/>
                <w:sz w:val="18"/>
                <w:szCs w:val="18"/>
                <w:highlight w:val="none"/>
              </w:rPr>
            </w:pPr>
            <w:r>
              <w:rPr>
                <w:rFonts w:hint="eastAsia" w:ascii="宋体" w:hAnsi="宋体" w:cs="宋体"/>
                <w:b/>
                <w:sz w:val="18"/>
                <w:highlight w:val="none"/>
              </w:rPr>
              <w:t>技术清单管理</w:t>
            </w:r>
          </w:p>
        </w:tc>
        <w:tc>
          <w:tcPr>
            <w:tcW w:w="951" w:type="dxa"/>
            <w:tcMar>
              <w:left w:w="28" w:type="dxa"/>
              <w:right w:w="28" w:type="dxa"/>
            </w:tcMar>
            <w:vAlign w:val="center"/>
          </w:tcPr>
          <w:p w14:paraId="003281EB">
            <w:pPr>
              <w:spacing w:line="260" w:lineRule="exact"/>
              <w:jc w:val="center"/>
              <w:rPr>
                <w:rFonts w:ascii="宋体" w:hAnsi="宋体" w:cs="宋体"/>
                <w:sz w:val="18"/>
                <w:szCs w:val="18"/>
                <w:highlight w:val="none"/>
              </w:rPr>
            </w:pPr>
            <w:r>
              <w:rPr>
                <w:rFonts w:hint="eastAsia" w:ascii="宋体" w:hAnsi="宋体" w:cs="宋体"/>
                <w:sz w:val="18"/>
                <w:highlight w:val="none"/>
              </w:rPr>
              <w:t>1</w:t>
            </w:r>
          </w:p>
        </w:tc>
        <w:tc>
          <w:tcPr>
            <w:tcW w:w="3348" w:type="dxa"/>
            <w:tcMar>
              <w:left w:w="28" w:type="dxa"/>
              <w:right w:w="28" w:type="dxa"/>
            </w:tcMar>
          </w:tcPr>
          <w:p w14:paraId="2B1082CD">
            <w:pPr>
              <w:spacing w:line="260" w:lineRule="exact"/>
              <w:rPr>
                <w:rFonts w:ascii="宋体" w:hAnsi="宋体" w:cs="宋体"/>
                <w:sz w:val="18"/>
                <w:highlight w:val="none"/>
              </w:rPr>
            </w:pPr>
            <w:r>
              <w:rPr>
                <w:rFonts w:hint="eastAsia" w:ascii="宋体" w:hAnsi="宋体" w:cs="宋体"/>
                <w:sz w:val="18"/>
                <w:highlight w:val="none"/>
              </w:rPr>
              <w:t>建立施工方案清单并滚动更新编审批及执行情况。建立技术标准执行清单并及时进行更新。（1分）</w:t>
            </w:r>
          </w:p>
        </w:tc>
        <w:tc>
          <w:tcPr>
            <w:tcW w:w="3890" w:type="dxa"/>
            <w:tcMar>
              <w:left w:w="28" w:type="dxa"/>
              <w:right w:w="28" w:type="dxa"/>
            </w:tcMar>
          </w:tcPr>
          <w:p w14:paraId="3351F7FA">
            <w:pPr>
              <w:spacing w:line="260" w:lineRule="exact"/>
              <w:rPr>
                <w:rFonts w:ascii="宋体" w:hAnsi="宋体" w:cs="宋体"/>
                <w:sz w:val="18"/>
                <w:highlight w:val="none"/>
              </w:rPr>
            </w:pPr>
            <w:r>
              <w:rPr>
                <w:rFonts w:hint="eastAsia" w:ascii="宋体" w:hAnsi="宋体" w:cs="宋体"/>
                <w:sz w:val="18"/>
                <w:highlight w:val="none"/>
              </w:rPr>
              <w:t>（1）未建立清单扣1分；</w:t>
            </w:r>
          </w:p>
          <w:p w14:paraId="702945D8">
            <w:pPr>
              <w:spacing w:line="260" w:lineRule="exact"/>
              <w:rPr>
                <w:rFonts w:ascii="宋体" w:hAnsi="宋体" w:cs="宋体"/>
                <w:sz w:val="18"/>
                <w:szCs w:val="18"/>
                <w:highlight w:val="none"/>
              </w:rPr>
            </w:pPr>
            <w:r>
              <w:rPr>
                <w:rFonts w:hint="eastAsia" w:ascii="宋体" w:hAnsi="宋体" w:cs="宋体"/>
                <w:sz w:val="18"/>
                <w:highlight w:val="none"/>
              </w:rPr>
              <w:t>（2）有未更新项，每项扣0.5分。</w:t>
            </w:r>
          </w:p>
        </w:tc>
        <w:tc>
          <w:tcPr>
            <w:tcW w:w="1117" w:type="dxa"/>
            <w:tcMar>
              <w:left w:w="28" w:type="dxa"/>
              <w:right w:w="28" w:type="dxa"/>
            </w:tcMar>
            <w:vAlign w:val="center"/>
          </w:tcPr>
          <w:p w14:paraId="020B505F">
            <w:pPr>
              <w:spacing w:line="260" w:lineRule="exact"/>
              <w:rPr>
                <w:rFonts w:ascii="宋体" w:hAnsi="宋体" w:cs="宋体"/>
                <w:sz w:val="18"/>
                <w:highlight w:val="none"/>
              </w:rPr>
            </w:pPr>
          </w:p>
        </w:tc>
        <w:tc>
          <w:tcPr>
            <w:tcW w:w="1020" w:type="dxa"/>
            <w:tcMar>
              <w:left w:w="28" w:type="dxa"/>
              <w:right w:w="28" w:type="dxa"/>
            </w:tcMar>
            <w:vAlign w:val="center"/>
          </w:tcPr>
          <w:p w14:paraId="5632E1C8">
            <w:pPr>
              <w:spacing w:line="260" w:lineRule="exact"/>
              <w:rPr>
                <w:rFonts w:ascii="宋体" w:hAnsi="宋体" w:cs="宋体"/>
                <w:sz w:val="18"/>
                <w:highlight w:val="none"/>
              </w:rPr>
            </w:pPr>
          </w:p>
        </w:tc>
      </w:tr>
      <w:tr w14:paraId="12ACDC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641805DD">
            <w:pPr>
              <w:spacing w:line="260" w:lineRule="exact"/>
              <w:jc w:val="center"/>
              <w:rPr>
                <w:rFonts w:ascii="宋体" w:hAnsi="宋体" w:cs="宋体"/>
                <w:b/>
                <w:bCs/>
                <w:sz w:val="18"/>
                <w:szCs w:val="18"/>
                <w:highlight w:val="none"/>
              </w:rPr>
            </w:pPr>
            <w:r>
              <w:rPr>
                <w:rFonts w:hint="eastAsia" w:ascii="宋体" w:hAnsi="宋体" w:cs="宋体"/>
                <w:b/>
                <w:bCs/>
                <w:sz w:val="18"/>
                <w:highlight w:val="none"/>
              </w:rPr>
              <w:t>6.2</w:t>
            </w:r>
          </w:p>
        </w:tc>
        <w:tc>
          <w:tcPr>
            <w:tcW w:w="1976" w:type="dxa"/>
            <w:tcMar>
              <w:left w:w="28" w:type="dxa"/>
              <w:right w:w="28" w:type="dxa"/>
            </w:tcMar>
            <w:vAlign w:val="center"/>
          </w:tcPr>
          <w:p w14:paraId="24DC6A90">
            <w:pPr>
              <w:spacing w:line="260" w:lineRule="exact"/>
              <w:rPr>
                <w:rFonts w:ascii="宋体" w:hAnsi="宋体" w:cs="宋体"/>
                <w:b/>
                <w:bCs/>
                <w:sz w:val="18"/>
                <w:szCs w:val="18"/>
                <w:highlight w:val="none"/>
              </w:rPr>
            </w:pPr>
            <w:r>
              <w:rPr>
                <w:rFonts w:hint="eastAsia" w:ascii="宋体" w:hAnsi="宋体" w:cs="宋体"/>
                <w:b/>
                <w:bCs/>
                <w:sz w:val="18"/>
                <w:highlight w:val="none"/>
              </w:rPr>
              <w:t>施工技术管理</w:t>
            </w:r>
          </w:p>
        </w:tc>
        <w:tc>
          <w:tcPr>
            <w:tcW w:w="951" w:type="dxa"/>
            <w:tcMar>
              <w:left w:w="28" w:type="dxa"/>
              <w:right w:w="28" w:type="dxa"/>
            </w:tcMar>
            <w:vAlign w:val="center"/>
          </w:tcPr>
          <w:p w14:paraId="0D3C05BE">
            <w:pPr>
              <w:spacing w:line="260" w:lineRule="exact"/>
              <w:jc w:val="center"/>
              <w:rPr>
                <w:rFonts w:ascii="宋体" w:hAnsi="宋体" w:cs="宋体"/>
                <w:sz w:val="18"/>
                <w:szCs w:val="18"/>
                <w:highlight w:val="none"/>
              </w:rPr>
            </w:pPr>
            <w:r>
              <w:rPr>
                <w:rFonts w:hint="eastAsia" w:ascii="宋体" w:hAnsi="宋体" w:cs="宋体"/>
                <w:sz w:val="18"/>
                <w:highlight w:val="none"/>
              </w:rPr>
              <w:t>4</w:t>
            </w:r>
          </w:p>
        </w:tc>
        <w:tc>
          <w:tcPr>
            <w:tcW w:w="3348" w:type="dxa"/>
            <w:tcMar>
              <w:left w:w="28" w:type="dxa"/>
              <w:right w:w="28" w:type="dxa"/>
            </w:tcMar>
            <w:vAlign w:val="center"/>
          </w:tcPr>
          <w:p w14:paraId="2DB252C7">
            <w:pPr>
              <w:spacing w:line="260" w:lineRule="exact"/>
              <w:rPr>
                <w:rFonts w:ascii="宋体" w:hAnsi="宋体" w:cs="宋体"/>
                <w:sz w:val="18"/>
                <w:highlight w:val="none"/>
              </w:rPr>
            </w:pPr>
            <w:r>
              <w:rPr>
                <w:rFonts w:hint="eastAsia" w:ascii="宋体" w:hAnsi="宋体" w:cs="宋体"/>
                <w:sz w:val="18"/>
                <w:highlight w:val="none"/>
              </w:rPr>
              <w:t>对施工图进行预检，形成预检意见。编制施工方案（措施）、作业指导书并履行审批程序，审批后进行技术交底，监督技术方案在现场的实际执行。（4分）</w:t>
            </w:r>
          </w:p>
        </w:tc>
        <w:tc>
          <w:tcPr>
            <w:tcW w:w="3890" w:type="dxa"/>
            <w:tcMar>
              <w:left w:w="28" w:type="dxa"/>
              <w:right w:w="28" w:type="dxa"/>
            </w:tcMar>
          </w:tcPr>
          <w:p w14:paraId="58FB5F69">
            <w:pPr>
              <w:pStyle w:val="2"/>
              <w:numPr>
                <w:ilvl w:val="0"/>
                <w:numId w:val="13"/>
              </w:numPr>
              <w:rPr>
                <w:highlight w:val="none"/>
                <w:lang w:val="en-US"/>
              </w:rPr>
            </w:pPr>
            <w:r>
              <w:rPr>
                <w:rFonts w:hint="eastAsia"/>
                <w:highlight w:val="none"/>
                <w:lang w:val="en-US"/>
              </w:rPr>
              <w:t>未按施工图施工的，每次扣4分。</w:t>
            </w:r>
          </w:p>
          <w:p w14:paraId="4A6BD923">
            <w:pPr>
              <w:pStyle w:val="2"/>
              <w:numPr>
                <w:ilvl w:val="0"/>
                <w:numId w:val="13"/>
              </w:numPr>
              <w:rPr>
                <w:highlight w:val="none"/>
                <w:lang w:val="en-US"/>
              </w:rPr>
            </w:pPr>
            <w:r>
              <w:rPr>
                <w:rFonts w:hint="eastAsia"/>
                <w:highlight w:val="none"/>
                <w:lang w:val="en-US"/>
              </w:rPr>
              <w:t>无施工方案施工或未按施工方案施工的，每次扣4分。</w:t>
            </w:r>
          </w:p>
          <w:p w14:paraId="25D961E8">
            <w:pPr>
              <w:pStyle w:val="2"/>
              <w:numPr>
                <w:ilvl w:val="0"/>
                <w:numId w:val="13"/>
              </w:numPr>
              <w:rPr>
                <w:highlight w:val="none"/>
              </w:rPr>
            </w:pPr>
            <w:r>
              <w:rPr>
                <w:rFonts w:ascii="宋体" w:hAnsi="宋体" w:cs="宋体"/>
                <w:highlight w:val="none"/>
              </w:rPr>
              <w:t>未按规定开展施工图预检</w:t>
            </w:r>
            <w:r>
              <w:rPr>
                <w:rFonts w:hint="eastAsia" w:ascii="宋体" w:hAnsi="宋体" w:cs="宋体"/>
                <w:highlight w:val="none"/>
                <w:lang w:val="en-US"/>
              </w:rPr>
              <w:t>或施工图预检未发现问题的，</w:t>
            </w:r>
            <w:r>
              <w:rPr>
                <w:rFonts w:ascii="宋体" w:hAnsi="宋体" w:cs="宋体"/>
                <w:highlight w:val="none"/>
              </w:rPr>
              <w:t>每次扣</w:t>
            </w:r>
            <w:r>
              <w:rPr>
                <w:rFonts w:hint="eastAsia" w:ascii="宋体" w:hAnsi="宋体" w:cs="宋体"/>
                <w:highlight w:val="none"/>
                <w:lang w:val="en-US"/>
              </w:rPr>
              <w:t>1</w:t>
            </w:r>
            <w:r>
              <w:rPr>
                <w:rFonts w:ascii="宋体" w:hAnsi="宋体" w:cs="宋体"/>
                <w:highlight w:val="none"/>
              </w:rPr>
              <w:t>分</w:t>
            </w:r>
            <w:r>
              <w:rPr>
                <w:rFonts w:hint="eastAsia" w:ascii="宋体" w:hAnsi="宋体" w:cs="宋体"/>
                <w:highlight w:val="none"/>
              </w:rPr>
              <w:t>；</w:t>
            </w:r>
          </w:p>
          <w:p w14:paraId="64CDC8B0">
            <w:pPr>
              <w:pStyle w:val="2"/>
              <w:numPr>
                <w:ilvl w:val="0"/>
                <w:numId w:val="13"/>
              </w:numPr>
              <w:rPr>
                <w:highlight w:val="none"/>
                <w:lang w:val="en-US"/>
              </w:rPr>
            </w:pPr>
            <w:r>
              <w:rPr>
                <w:rFonts w:hint="eastAsia"/>
                <w:highlight w:val="none"/>
                <w:lang w:val="en-US"/>
              </w:rPr>
              <w:t>施工方案未按规定流程报审和审核的，或未按审核意见修改的，每份扣1分；</w:t>
            </w:r>
          </w:p>
          <w:p w14:paraId="39344C46">
            <w:pPr>
              <w:pStyle w:val="2"/>
              <w:numPr>
                <w:ilvl w:val="0"/>
                <w:numId w:val="13"/>
              </w:numPr>
              <w:rPr>
                <w:highlight w:val="none"/>
                <w:lang w:val="en-US"/>
              </w:rPr>
            </w:pPr>
            <w:r>
              <w:rPr>
                <w:rFonts w:hint="eastAsia"/>
                <w:highlight w:val="none"/>
                <w:lang w:val="en-US"/>
              </w:rPr>
              <w:t>施工方案编审批未签字或签字手续不规范，每份扣0.5分；</w:t>
            </w:r>
          </w:p>
          <w:p w14:paraId="746873C1">
            <w:pPr>
              <w:pStyle w:val="2"/>
              <w:numPr>
                <w:ilvl w:val="0"/>
                <w:numId w:val="13"/>
              </w:numPr>
              <w:rPr>
                <w:rFonts w:ascii="Times New Roman" w:hAnsi="Times New Roman"/>
                <w:szCs w:val="24"/>
                <w:highlight w:val="none"/>
              </w:rPr>
            </w:pPr>
            <w:r>
              <w:rPr>
                <w:rFonts w:hint="eastAsia"/>
                <w:highlight w:val="none"/>
                <w:lang w:val="en-US"/>
              </w:rPr>
              <w:t>未按规定在施工前进行技术交底、交底时未履行签字手续或签字手续不规范，每份扣1分；</w:t>
            </w:r>
          </w:p>
        </w:tc>
        <w:tc>
          <w:tcPr>
            <w:tcW w:w="1117" w:type="dxa"/>
            <w:tcMar>
              <w:left w:w="28" w:type="dxa"/>
              <w:right w:w="28" w:type="dxa"/>
            </w:tcMar>
            <w:vAlign w:val="center"/>
          </w:tcPr>
          <w:p w14:paraId="1264589F">
            <w:pPr>
              <w:spacing w:line="260" w:lineRule="exact"/>
              <w:rPr>
                <w:rFonts w:ascii="宋体" w:hAnsi="宋体" w:cs="宋体"/>
                <w:sz w:val="18"/>
                <w:highlight w:val="none"/>
              </w:rPr>
            </w:pPr>
          </w:p>
        </w:tc>
        <w:tc>
          <w:tcPr>
            <w:tcW w:w="1020" w:type="dxa"/>
            <w:tcMar>
              <w:left w:w="28" w:type="dxa"/>
              <w:right w:w="28" w:type="dxa"/>
            </w:tcMar>
            <w:vAlign w:val="center"/>
          </w:tcPr>
          <w:p w14:paraId="3EB0192A">
            <w:pPr>
              <w:spacing w:line="260" w:lineRule="exact"/>
              <w:rPr>
                <w:rFonts w:ascii="宋体" w:hAnsi="宋体" w:cs="宋体"/>
                <w:sz w:val="18"/>
                <w:highlight w:val="none"/>
              </w:rPr>
            </w:pPr>
          </w:p>
        </w:tc>
      </w:tr>
      <w:tr w14:paraId="766A3F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029A89B1">
            <w:pPr>
              <w:spacing w:line="260" w:lineRule="exact"/>
              <w:jc w:val="center"/>
              <w:rPr>
                <w:rFonts w:ascii="宋体" w:hAnsi="宋体" w:cs="宋体"/>
                <w:b/>
                <w:bCs/>
                <w:sz w:val="18"/>
                <w:szCs w:val="18"/>
                <w:highlight w:val="none"/>
              </w:rPr>
            </w:pPr>
            <w:r>
              <w:rPr>
                <w:rFonts w:hint="eastAsia" w:ascii="宋体" w:hAnsi="宋体" w:cs="宋体"/>
                <w:b/>
                <w:bCs/>
                <w:sz w:val="18"/>
                <w:szCs w:val="18"/>
                <w:highlight w:val="none"/>
              </w:rPr>
              <w:t>6.3</w:t>
            </w:r>
          </w:p>
        </w:tc>
        <w:tc>
          <w:tcPr>
            <w:tcW w:w="1976" w:type="dxa"/>
            <w:vMerge w:val="restart"/>
            <w:tcMar>
              <w:left w:w="28" w:type="dxa"/>
              <w:right w:w="28" w:type="dxa"/>
            </w:tcMar>
            <w:vAlign w:val="center"/>
          </w:tcPr>
          <w:p w14:paraId="2726B0EA">
            <w:pPr>
              <w:spacing w:line="260" w:lineRule="exact"/>
              <w:rPr>
                <w:rFonts w:ascii="宋体" w:hAnsi="宋体" w:cs="宋体"/>
                <w:b/>
                <w:bCs/>
                <w:sz w:val="18"/>
                <w:szCs w:val="18"/>
                <w:highlight w:val="none"/>
              </w:rPr>
            </w:pPr>
            <w:r>
              <w:rPr>
                <w:rFonts w:hint="eastAsia" w:ascii="宋体" w:hAnsi="宋体" w:cs="宋体"/>
                <w:b/>
                <w:bCs/>
                <w:sz w:val="18"/>
                <w:szCs w:val="18"/>
                <w:highlight w:val="none"/>
              </w:rPr>
              <w:t>技术应用管理</w:t>
            </w:r>
          </w:p>
        </w:tc>
        <w:tc>
          <w:tcPr>
            <w:tcW w:w="951" w:type="dxa"/>
            <w:vMerge w:val="restart"/>
            <w:tcMar>
              <w:left w:w="28" w:type="dxa"/>
              <w:right w:w="28" w:type="dxa"/>
            </w:tcMar>
            <w:vAlign w:val="center"/>
          </w:tcPr>
          <w:p w14:paraId="6D2CF076">
            <w:pPr>
              <w:spacing w:line="260" w:lineRule="exact"/>
              <w:jc w:val="center"/>
              <w:rPr>
                <w:rFonts w:ascii="宋体" w:hAnsi="宋体" w:cs="宋体"/>
                <w:sz w:val="18"/>
                <w:szCs w:val="18"/>
                <w:highlight w:val="none"/>
              </w:rPr>
            </w:pPr>
            <w:r>
              <w:rPr>
                <w:rFonts w:hint="eastAsia" w:ascii="宋体" w:hAnsi="宋体" w:cs="宋体"/>
                <w:sz w:val="18"/>
                <w:szCs w:val="18"/>
                <w:highlight w:val="none"/>
              </w:rPr>
              <w:t>3</w:t>
            </w:r>
          </w:p>
        </w:tc>
        <w:tc>
          <w:tcPr>
            <w:tcW w:w="3348" w:type="dxa"/>
            <w:tcMar>
              <w:left w:w="28" w:type="dxa"/>
              <w:right w:w="28" w:type="dxa"/>
            </w:tcMar>
            <w:vAlign w:val="center"/>
          </w:tcPr>
          <w:p w14:paraId="4789086A">
            <w:pPr>
              <w:spacing w:line="260" w:lineRule="exact"/>
              <w:rPr>
                <w:rFonts w:ascii="宋体" w:hAnsi="宋体" w:cs="宋体"/>
                <w:sz w:val="18"/>
                <w:szCs w:val="18"/>
                <w:highlight w:val="none"/>
              </w:rPr>
            </w:pPr>
            <w:r>
              <w:rPr>
                <w:rFonts w:hint="eastAsia" w:ascii="宋体" w:hAnsi="宋体" w:cs="宋体"/>
                <w:sz w:val="18"/>
                <w:highlight w:val="none"/>
              </w:rPr>
              <w:t>编制新技术应用方案，在施工过程中严格执行，并编写新技术应用总结，配合业主项目部申报新技术应用示范工程。（1分）</w:t>
            </w:r>
          </w:p>
        </w:tc>
        <w:tc>
          <w:tcPr>
            <w:tcW w:w="3890" w:type="dxa"/>
            <w:tcMar>
              <w:left w:w="28" w:type="dxa"/>
              <w:right w:w="28" w:type="dxa"/>
            </w:tcMar>
            <w:vAlign w:val="center"/>
          </w:tcPr>
          <w:p w14:paraId="0DB8A055">
            <w:pPr>
              <w:spacing w:line="260" w:lineRule="exact"/>
              <w:rPr>
                <w:rFonts w:ascii="宋体" w:hAnsi="宋体" w:cs="宋体"/>
                <w:sz w:val="18"/>
                <w:szCs w:val="18"/>
                <w:highlight w:val="none"/>
              </w:rPr>
            </w:pPr>
            <w:r>
              <w:rPr>
                <w:rFonts w:hint="eastAsia" w:ascii="宋体" w:hAnsi="宋体" w:cs="宋体"/>
                <w:sz w:val="18"/>
                <w:highlight w:val="none"/>
              </w:rPr>
              <w:t>少实施一项扣0.5分。</w:t>
            </w:r>
          </w:p>
        </w:tc>
        <w:tc>
          <w:tcPr>
            <w:tcW w:w="1117" w:type="dxa"/>
            <w:tcMar>
              <w:left w:w="28" w:type="dxa"/>
              <w:right w:w="28" w:type="dxa"/>
            </w:tcMar>
            <w:vAlign w:val="center"/>
          </w:tcPr>
          <w:p w14:paraId="5C9CC2B4">
            <w:pPr>
              <w:spacing w:line="260" w:lineRule="exact"/>
              <w:rPr>
                <w:rFonts w:ascii="宋体" w:hAnsi="宋体" w:cs="宋体"/>
                <w:sz w:val="18"/>
                <w:highlight w:val="none"/>
              </w:rPr>
            </w:pPr>
          </w:p>
        </w:tc>
        <w:tc>
          <w:tcPr>
            <w:tcW w:w="1020" w:type="dxa"/>
            <w:tcMar>
              <w:left w:w="28" w:type="dxa"/>
              <w:right w:w="28" w:type="dxa"/>
            </w:tcMar>
            <w:vAlign w:val="center"/>
          </w:tcPr>
          <w:p w14:paraId="34EDD129">
            <w:pPr>
              <w:spacing w:line="260" w:lineRule="exact"/>
              <w:rPr>
                <w:rFonts w:ascii="宋体" w:hAnsi="宋体" w:cs="宋体"/>
                <w:sz w:val="18"/>
                <w:highlight w:val="none"/>
              </w:rPr>
            </w:pPr>
          </w:p>
        </w:tc>
      </w:tr>
      <w:tr w14:paraId="04E14D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42AD6D38">
            <w:pPr>
              <w:spacing w:line="260" w:lineRule="exact"/>
              <w:jc w:val="center"/>
              <w:rPr>
                <w:rFonts w:ascii="宋体" w:hAnsi="宋体" w:cs="宋体"/>
                <w:sz w:val="18"/>
                <w:szCs w:val="18"/>
                <w:highlight w:val="none"/>
              </w:rPr>
            </w:pPr>
          </w:p>
        </w:tc>
        <w:tc>
          <w:tcPr>
            <w:tcW w:w="1976" w:type="dxa"/>
            <w:vMerge w:val="continue"/>
            <w:tcMar>
              <w:left w:w="28" w:type="dxa"/>
              <w:right w:w="28" w:type="dxa"/>
            </w:tcMar>
            <w:vAlign w:val="center"/>
          </w:tcPr>
          <w:p w14:paraId="1B1AF7E0">
            <w:pPr>
              <w:spacing w:line="260" w:lineRule="exact"/>
              <w:rPr>
                <w:rFonts w:ascii="宋体" w:hAnsi="宋体" w:cs="宋体"/>
                <w:sz w:val="18"/>
                <w:szCs w:val="18"/>
                <w:highlight w:val="none"/>
              </w:rPr>
            </w:pPr>
          </w:p>
        </w:tc>
        <w:tc>
          <w:tcPr>
            <w:tcW w:w="951" w:type="dxa"/>
            <w:vMerge w:val="continue"/>
            <w:tcMar>
              <w:left w:w="28" w:type="dxa"/>
              <w:right w:w="28" w:type="dxa"/>
            </w:tcMar>
            <w:vAlign w:val="center"/>
          </w:tcPr>
          <w:p w14:paraId="1E3AFE16">
            <w:pPr>
              <w:spacing w:line="260" w:lineRule="exact"/>
              <w:jc w:val="center"/>
              <w:rPr>
                <w:rFonts w:ascii="宋体" w:hAnsi="宋体" w:cs="宋体"/>
                <w:sz w:val="18"/>
                <w:szCs w:val="18"/>
                <w:highlight w:val="none"/>
              </w:rPr>
            </w:pPr>
          </w:p>
        </w:tc>
        <w:tc>
          <w:tcPr>
            <w:tcW w:w="3348" w:type="dxa"/>
            <w:tcMar>
              <w:left w:w="28" w:type="dxa"/>
              <w:right w:w="28" w:type="dxa"/>
            </w:tcMar>
            <w:vAlign w:val="center"/>
          </w:tcPr>
          <w:p w14:paraId="549F8336">
            <w:pPr>
              <w:spacing w:line="260" w:lineRule="exact"/>
              <w:rPr>
                <w:rFonts w:ascii="宋体" w:hAnsi="宋体" w:cs="宋体"/>
                <w:sz w:val="18"/>
                <w:highlight w:val="none"/>
              </w:rPr>
            </w:pPr>
            <w:r>
              <w:rPr>
                <w:rFonts w:hint="eastAsia" w:ascii="宋体" w:hAnsi="宋体" w:cs="宋体"/>
                <w:sz w:val="18"/>
                <w:szCs w:val="18"/>
                <w:highlight w:val="none"/>
              </w:rPr>
              <w:t>开展科技项目、科技进步奖、工法、QC成果奖等的申报工作。</w:t>
            </w:r>
            <w:r>
              <w:rPr>
                <w:rFonts w:hint="eastAsia" w:ascii="宋体" w:hAnsi="宋体" w:cs="宋体"/>
                <w:sz w:val="18"/>
                <w:highlight w:val="none"/>
              </w:rPr>
              <w:t>（2分）</w:t>
            </w:r>
          </w:p>
        </w:tc>
        <w:tc>
          <w:tcPr>
            <w:tcW w:w="3890" w:type="dxa"/>
            <w:tcMar>
              <w:left w:w="28" w:type="dxa"/>
              <w:right w:w="28" w:type="dxa"/>
            </w:tcMar>
            <w:vAlign w:val="center"/>
          </w:tcPr>
          <w:p w14:paraId="7332FD92">
            <w:pPr>
              <w:spacing w:line="260" w:lineRule="exact"/>
              <w:rPr>
                <w:rFonts w:ascii="宋体" w:hAnsi="宋体" w:cs="宋体"/>
                <w:sz w:val="18"/>
                <w:szCs w:val="18"/>
                <w:highlight w:val="none"/>
              </w:rPr>
            </w:pPr>
            <w:r>
              <w:rPr>
                <w:rFonts w:hint="eastAsia" w:ascii="宋体" w:hAnsi="宋体" w:cs="宋体"/>
                <w:sz w:val="18"/>
                <w:szCs w:val="18"/>
                <w:highlight w:val="none"/>
              </w:rPr>
              <w:t>（1）未在工程开工前报送科技项目、科技进步奖、工法、专利及QC成果奖申报计划的，扣1分；</w:t>
            </w:r>
          </w:p>
          <w:p w14:paraId="7653C89A">
            <w:pPr>
              <w:spacing w:line="260" w:lineRule="exact"/>
              <w:rPr>
                <w:rFonts w:ascii="宋体" w:hAnsi="宋体" w:cs="宋体"/>
                <w:sz w:val="18"/>
                <w:szCs w:val="18"/>
                <w:highlight w:val="none"/>
              </w:rPr>
            </w:pPr>
            <w:r>
              <w:rPr>
                <w:rFonts w:hint="eastAsia" w:ascii="宋体" w:hAnsi="宋体" w:cs="宋体"/>
                <w:sz w:val="18"/>
                <w:szCs w:val="18"/>
                <w:highlight w:val="none"/>
              </w:rPr>
              <w:t>（2）未每半年形成科技项目、科技进步奖、工法、专利及QC成果奖报告报业主审查的，扣1分；</w:t>
            </w:r>
          </w:p>
          <w:p w14:paraId="24E2E4A2">
            <w:pPr>
              <w:spacing w:line="260" w:lineRule="exact"/>
              <w:rPr>
                <w:rFonts w:ascii="宋体" w:hAnsi="宋体" w:cs="宋体"/>
                <w:sz w:val="18"/>
                <w:szCs w:val="18"/>
                <w:highlight w:val="none"/>
              </w:rPr>
            </w:pPr>
            <w:r>
              <w:rPr>
                <w:rFonts w:hint="eastAsia" w:ascii="宋体" w:hAnsi="宋体" w:cs="宋体"/>
                <w:sz w:val="18"/>
                <w:szCs w:val="18"/>
                <w:highlight w:val="none"/>
              </w:rPr>
              <w:t>（3）科技奖项申报前未向业主项目部报备，扣1分。</w:t>
            </w:r>
          </w:p>
          <w:p w14:paraId="6108DB64">
            <w:pPr>
              <w:spacing w:line="260" w:lineRule="exact"/>
              <w:rPr>
                <w:rFonts w:ascii="宋体" w:hAnsi="宋体" w:cs="宋体"/>
                <w:sz w:val="18"/>
                <w:szCs w:val="18"/>
                <w:highlight w:val="none"/>
              </w:rPr>
            </w:pPr>
            <w:r>
              <w:rPr>
                <w:rFonts w:hint="eastAsia" w:ascii="宋体" w:hAnsi="宋体" w:cs="宋体"/>
                <w:sz w:val="18"/>
                <w:szCs w:val="18"/>
                <w:highlight w:val="none"/>
              </w:rPr>
              <w:t>（4）未及时报送科技月报，扣0.5分。</w:t>
            </w:r>
          </w:p>
          <w:p w14:paraId="5D405D99">
            <w:pPr>
              <w:spacing w:line="260" w:lineRule="exact"/>
              <w:rPr>
                <w:highlight w:val="none"/>
              </w:rPr>
            </w:pPr>
            <w:r>
              <w:rPr>
                <w:rFonts w:hint="eastAsia" w:ascii="宋体" w:hAnsi="宋体" w:cs="宋体"/>
                <w:sz w:val="18"/>
                <w:szCs w:val="18"/>
                <w:highlight w:val="none"/>
              </w:rPr>
              <w:t>（5）未按合同约定，开展建设管理单位安排开展的课题研究的（1~2项课题），每次扣1分。</w:t>
            </w:r>
          </w:p>
        </w:tc>
        <w:tc>
          <w:tcPr>
            <w:tcW w:w="1117" w:type="dxa"/>
            <w:tcMar>
              <w:left w:w="28" w:type="dxa"/>
              <w:right w:w="28" w:type="dxa"/>
            </w:tcMar>
            <w:vAlign w:val="center"/>
          </w:tcPr>
          <w:p w14:paraId="0DCD68DE">
            <w:pPr>
              <w:spacing w:line="260" w:lineRule="exact"/>
              <w:rPr>
                <w:rFonts w:ascii="宋体" w:hAnsi="宋体" w:cs="宋体"/>
                <w:sz w:val="18"/>
                <w:highlight w:val="none"/>
              </w:rPr>
            </w:pPr>
          </w:p>
        </w:tc>
        <w:tc>
          <w:tcPr>
            <w:tcW w:w="1020" w:type="dxa"/>
            <w:tcMar>
              <w:left w:w="28" w:type="dxa"/>
              <w:right w:w="28" w:type="dxa"/>
            </w:tcMar>
            <w:vAlign w:val="center"/>
          </w:tcPr>
          <w:p w14:paraId="3F88DFEF">
            <w:pPr>
              <w:spacing w:line="260" w:lineRule="exact"/>
              <w:rPr>
                <w:rFonts w:ascii="宋体" w:hAnsi="宋体" w:cs="宋体"/>
                <w:sz w:val="18"/>
                <w:highlight w:val="none"/>
              </w:rPr>
            </w:pPr>
          </w:p>
        </w:tc>
      </w:tr>
      <w:tr w14:paraId="0E04F6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75" w:hRule="atLeast"/>
          <w:jc w:val="center"/>
        </w:trPr>
        <w:tc>
          <w:tcPr>
            <w:tcW w:w="547" w:type="dxa"/>
            <w:shd w:val="clear" w:color="auto" w:fill="BEBEBE"/>
            <w:tcMar>
              <w:left w:w="28" w:type="dxa"/>
              <w:right w:w="28" w:type="dxa"/>
            </w:tcMar>
            <w:vAlign w:val="center"/>
          </w:tcPr>
          <w:p w14:paraId="32E6DB9D">
            <w:pPr>
              <w:spacing w:line="260" w:lineRule="exact"/>
              <w:jc w:val="center"/>
              <w:rPr>
                <w:rFonts w:ascii="宋体" w:hAnsi="宋体" w:cs="宋体"/>
                <w:sz w:val="18"/>
                <w:szCs w:val="18"/>
                <w:highlight w:val="none"/>
              </w:rPr>
            </w:pPr>
            <w:r>
              <w:rPr>
                <w:rFonts w:hint="eastAsia" w:ascii="宋体" w:hAnsi="宋体" w:cs="宋体"/>
                <w:b/>
                <w:sz w:val="18"/>
                <w:highlight w:val="none"/>
              </w:rPr>
              <w:t>7</w:t>
            </w:r>
          </w:p>
        </w:tc>
        <w:tc>
          <w:tcPr>
            <w:tcW w:w="12302" w:type="dxa"/>
            <w:gridSpan w:val="6"/>
            <w:shd w:val="clear" w:color="auto" w:fill="BEBEBE"/>
            <w:tcMar>
              <w:left w:w="28" w:type="dxa"/>
              <w:right w:w="28" w:type="dxa"/>
            </w:tcMar>
            <w:vAlign w:val="center"/>
          </w:tcPr>
          <w:p w14:paraId="4B542255">
            <w:pPr>
              <w:spacing w:line="260" w:lineRule="exact"/>
              <w:rPr>
                <w:rFonts w:ascii="宋体" w:hAnsi="宋体" w:cs="宋体"/>
                <w:sz w:val="18"/>
                <w:highlight w:val="none"/>
              </w:rPr>
            </w:pPr>
            <w:r>
              <w:rPr>
                <w:rFonts w:hint="eastAsia" w:ascii="宋体" w:hAnsi="宋体" w:cs="宋体"/>
                <w:b/>
                <w:sz w:val="18"/>
                <w:highlight w:val="none"/>
              </w:rPr>
              <w:t>环水保管理（4分）</w:t>
            </w:r>
          </w:p>
        </w:tc>
      </w:tr>
      <w:tr w14:paraId="1D31D2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0ECF5FF4">
            <w:pPr>
              <w:spacing w:line="260" w:lineRule="exact"/>
              <w:jc w:val="center"/>
              <w:rPr>
                <w:rFonts w:ascii="宋体" w:hAnsi="宋体" w:cs="宋体"/>
                <w:b/>
                <w:bCs/>
                <w:sz w:val="18"/>
                <w:szCs w:val="18"/>
                <w:highlight w:val="none"/>
              </w:rPr>
            </w:pPr>
            <w:r>
              <w:rPr>
                <w:rFonts w:hint="eastAsia" w:ascii="宋体" w:hAnsi="宋体" w:cs="宋体"/>
                <w:b/>
                <w:bCs/>
                <w:sz w:val="18"/>
                <w:szCs w:val="18"/>
                <w:highlight w:val="none"/>
              </w:rPr>
              <w:t>7.1</w:t>
            </w:r>
          </w:p>
        </w:tc>
        <w:tc>
          <w:tcPr>
            <w:tcW w:w="1976" w:type="dxa"/>
            <w:vMerge w:val="restart"/>
            <w:tcMar>
              <w:left w:w="28" w:type="dxa"/>
              <w:right w:w="28" w:type="dxa"/>
            </w:tcMar>
            <w:vAlign w:val="center"/>
          </w:tcPr>
          <w:p w14:paraId="0C6F26C0">
            <w:pPr>
              <w:spacing w:line="260" w:lineRule="exact"/>
              <w:rPr>
                <w:rFonts w:ascii="宋体" w:hAnsi="宋体" w:cs="宋体"/>
                <w:b/>
                <w:bCs/>
                <w:sz w:val="18"/>
                <w:szCs w:val="18"/>
                <w:highlight w:val="none"/>
              </w:rPr>
            </w:pPr>
            <w:r>
              <w:rPr>
                <w:rFonts w:hint="eastAsia" w:ascii="宋体" w:hAnsi="宋体" w:cs="宋体"/>
                <w:b/>
                <w:bCs/>
                <w:sz w:val="18"/>
                <w:highlight w:val="none"/>
              </w:rPr>
              <w:t>环水保管理</w:t>
            </w:r>
          </w:p>
        </w:tc>
        <w:tc>
          <w:tcPr>
            <w:tcW w:w="951" w:type="dxa"/>
            <w:vMerge w:val="restart"/>
            <w:tcMar>
              <w:left w:w="28" w:type="dxa"/>
              <w:right w:w="28" w:type="dxa"/>
            </w:tcMar>
            <w:vAlign w:val="center"/>
          </w:tcPr>
          <w:p w14:paraId="06AB6484">
            <w:pPr>
              <w:spacing w:line="260" w:lineRule="exact"/>
              <w:jc w:val="center"/>
              <w:rPr>
                <w:rFonts w:ascii="宋体" w:hAnsi="宋体" w:cs="宋体"/>
                <w:sz w:val="18"/>
                <w:szCs w:val="18"/>
                <w:highlight w:val="none"/>
              </w:rPr>
            </w:pPr>
            <w:r>
              <w:rPr>
                <w:rFonts w:hint="eastAsia" w:ascii="宋体" w:hAnsi="宋体" w:cs="宋体"/>
                <w:sz w:val="18"/>
                <w:szCs w:val="18"/>
                <w:highlight w:val="none"/>
              </w:rPr>
              <w:t>4</w:t>
            </w:r>
          </w:p>
        </w:tc>
        <w:tc>
          <w:tcPr>
            <w:tcW w:w="3348" w:type="dxa"/>
            <w:tcMar>
              <w:left w:w="28" w:type="dxa"/>
              <w:right w:w="28" w:type="dxa"/>
            </w:tcMar>
            <w:vAlign w:val="center"/>
          </w:tcPr>
          <w:p w14:paraId="37CB5008">
            <w:pPr>
              <w:spacing w:line="260" w:lineRule="exact"/>
              <w:rPr>
                <w:rFonts w:ascii="宋体" w:hAnsi="宋体" w:cs="宋体"/>
                <w:sz w:val="18"/>
                <w:szCs w:val="18"/>
                <w:highlight w:val="none"/>
              </w:rPr>
            </w:pPr>
            <w:r>
              <w:rPr>
                <w:rFonts w:hint="eastAsia" w:ascii="宋体" w:hAnsi="宋体" w:cs="宋体"/>
                <w:sz w:val="18"/>
                <w:highlight w:val="none"/>
              </w:rPr>
              <w:t>按照规范开展工程环保工作。（2分）</w:t>
            </w:r>
          </w:p>
        </w:tc>
        <w:tc>
          <w:tcPr>
            <w:tcW w:w="3890" w:type="dxa"/>
            <w:tcMar>
              <w:left w:w="28" w:type="dxa"/>
              <w:right w:w="28" w:type="dxa"/>
            </w:tcMar>
            <w:vAlign w:val="center"/>
          </w:tcPr>
          <w:p w14:paraId="2C018444">
            <w:pPr>
              <w:tabs>
                <w:tab w:val="center" w:pos="4153"/>
                <w:tab w:val="right" w:pos="8306"/>
              </w:tabs>
              <w:spacing w:line="260" w:lineRule="exact"/>
              <w:rPr>
                <w:rFonts w:ascii="宋体" w:hAnsi="宋体" w:cs="宋体"/>
                <w:sz w:val="18"/>
                <w:highlight w:val="none"/>
              </w:rPr>
            </w:pPr>
            <w:r>
              <w:rPr>
                <w:rFonts w:hint="eastAsia" w:ascii="宋体" w:hAnsi="宋体" w:cs="宋体"/>
                <w:sz w:val="18"/>
                <w:highlight w:val="none"/>
              </w:rPr>
              <w:t>（1）</w:t>
            </w:r>
            <w:r>
              <w:rPr>
                <w:rFonts w:ascii="宋体" w:hAnsi="宋体" w:cs="宋体"/>
                <w:sz w:val="18"/>
                <w:highlight w:val="none"/>
              </w:rPr>
              <w:t>未采取抑尘措施或扬尘超标，每次扣0.5分</w:t>
            </w:r>
            <w:r>
              <w:rPr>
                <w:rFonts w:hint="eastAsia" w:ascii="宋体" w:hAnsi="宋体" w:cs="宋体"/>
                <w:sz w:val="18"/>
                <w:highlight w:val="none"/>
              </w:rPr>
              <w:t>；</w:t>
            </w:r>
          </w:p>
          <w:p w14:paraId="057AFF32">
            <w:pPr>
              <w:tabs>
                <w:tab w:val="center" w:pos="4153"/>
                <w:tab w:val="right" w:pos="8306"/>
              </w:tabs>
              <w:spacing w:line="260" w:lineRule="exact"/>
              <w:rPr>
                <w:rFonts w:ascii="宋体" w:hAnsi="宋体" w:cs="宋体"/>
                <w:sz w:val="18"/>
                <w:highlight w:val="none"/>
              </w:rPr>
            </w:pPr>
            <w:r>
              <w:rPr>
                <w:rFonts w:hint="eastAsia" w:ascii="宋体" w:hAnsi="宋体" w:cs="宋体"/>
                <w:sz w:val="18"/>
                <w:highlight w:val="none"/>
              </w:rPr>
              <w:t>（2）</w:t>
            </w:r>
            <w:r>
              <w:rPr>
                <w:rFonts w:ascii="宋体" w:hAnsi="宋体" w:cs="宋体"/>
                <w:sz w:val="18"/>
                <w:highlight w:val="none"/>
              </w:rPr>
              <w:t>未采取废水处理措施直接排放，每次扣0.5分</w:t>
            </w:r>
            <w:r>
              <w:rPr>
                <w:rFonts w:hint="eastAsia" w:ascii="宋体" w:hAnsi="宋体" w:cs="宋体"/>
                <w:sz w:val="18"/>
                <w:highlight w:val="none"/>
              </w:rPr>
              <w:t>；</w:t>
            </w:r>
          </w:p>
          <w:p w14:paraId="35FD0897">
            <w:pPr>
              <w:tabs>
                <w:tab w:val="center" w:pos="4153"/>
                <w:tab w:val="right" w:pos="8306"/>
              </w:tabs>
              <w:spacing w:line="260" w:lineRule="exact"/>
              <w:rPr>
                <w:rFonts w:ascii="宋体" w:hAnsi="宋体" w:cs="宋体"/>
                <w:sz w:val="18"/>
                <w:highlight w:val="none"/>
              </w:rPr>
            </w:pPr>
            <w:r>
              <w:rPr>
                <w:rFonts w:ascii="宋体" w:hAnsi="宋体" w:cs="宋体"/>
                <w:sz w:val="18"/>
                <w:highlight w:val="none"/>
              </w:rPr>
              <w:t>机械设备采取吸油、隔离措施。未采取措施产生油污染，每次扣0.5分</w:t>
            </w:r>
            <w:r>
              <w:rPr>
                <w:rFonts w:hint="eastAsia" w:ascii="宋体" w:hAnsi="宋体" w:cs="宋体"/>
                <w:sz w:val="18"/>
                <w:highlight w:val="none"/>
              </w:rPr>
              <w:t>；</w:t>
            </w:r>
          </w:p>
          <w:p w14:paraId="38D9073A">
            <w:pPr>
              <w:tabs>
                <w:tab w:val="center" w:pos="4153"/>
                <w:tab w:val="right" w:pos="8306"/>
              </w:tabs>
              <w:spacing w:line="260" w:lineRule="exact"/>
              <w:rPr>
                <w:rFonts w:ascii="宋体" w:hAnsi="宋体" w:cs="宋体"/>
                <w:sz w:val="18"/>
                <w:highlight w:val="none"/>
              </w:rPr>
            </w:pPr>
            <w:r>
              <w:rPr>
                <w:rFonts w:hint="eastAsia" w:ascii="宋体" w:hAnsi="宋体" w:cs="宋体"/>
                <w:sz w:val="18"/>
                <w:highlight w:val="none"/>
              </w:rPr>
              <w:t>（3）</w:t>
            </w:r>
            <w:r>
              <w:rPr>
                <w:rFonts w:ascii="宋体" w:hAnsi="宋体" w:cs="宋体"/>
                <w:sz w:val="18"/>
                <w:highlight w:val="none"/>
              </w:rPr>
              <w:t>噪声超标时未采取降噪措施，每次扣0.5分</w:t>
            </w:r>
            <w:r>
              <w:rPr>
                <w:rFonts w:hint="eastAsia" w:ascii="宋体" w:hAnsi="宋体" w:cs="宋体"/>
                <w:sz w:val="18"/>
                <w:highlight w:val="none"/>
              </w:rPr>
              <w:t>；</w:t>
            </w:r>
          </w:p>
          <w:p w14:paraId="12C43D1D">
            <w:pPr>
              <w:tabs>
                <w:tab w:val="center" w:pos="4153"/>
                <w:tab w:val="right" w:pos="8306"/>
              </w:tabs>
              <w:spacing w:line="260" w:lineRule="exact"/>
              <w:rPr>
                <w:rFonts w:ascii="宋体" w:hAnsi="宋体" w:cs="宋体"/>
                <w:sz w:val="18"/>
                <w:highlight w:val="none"/>
              </w:rPr>
            </w:pPr>
            <w:r>
              <w:rPr>
                <w:rFonts w:hint="eastAsia" w:ascii="宋体" w:hAnsi="宋体" w:cs="宋体"/>
                <w:sz w:val="18"/>
                <w:highlight w:val="none"/>
              </w:rPr>
              <w:t>（4）</w:t>
            </w:r>
            <w:r>
              <w:rPr>
                <w:rFonts w:ascii="宋体" w:hAnsi="宋体" w:cs="宋体"/>
                <w:sz w:val="18"/>
                <w:highlight w:val="none"/>
              </w:rPr>
              <w:t>未按规定堆放、处置或清运不及时，每次扣0.5分</w:t>
            </w:r>
            <w:r>
              <w:rPr>
                <w:rFonts w:hint="eastAsia" w:ascii="宋体" w:hAnsi="宋体" w:cs="宋体"/>
                <w:sz w:val="18"/>
                <w:highlight w:val="none"/>
              </w:rPr>
              <w:t>；</w:t>
            </w:r>
          </w:p>
          <w:p w14:paraId="4599E579">
            <w:pPr>
              <w:tabs>
                <w:tab w:val="center" w:pos="4153"/>
                <w:tab w:val="right" w:pos="8306"/>
              </w:tabs>
              <w:spacing w:line="260" w:lineRule="exact"/>
              <w:rPr>
                <w:rFonts w:ascii="宋体" w:hAnsi="宋体" w:cs="宋体"/>
                <w:sz w:val="18"/>
                <w:szCs w:val="18"/>
                <w:highlight w:val="none"/>
              </w:rPr>
            </w:pPr>
            <w:r>
              <w:rPr>
                <w:rFonts w:hint="eastAsia" w:ascii="宋体" w:hAnsi="宋体" w:cs="宋体"/>
                <w:sz w:val="18"/>
                <w:highlight w:val="none"/>
              </w:rPr>
              <w:t>（5）</w:t>
            </w:r>
            <w:r>
              <w:rPr>
                <w:rFonts w:ascii="宋体" w:hAnsi="宋体" w:cs="宋体"/>
                <w:sz w:val="18"/>
                <w:highlight w:val="none"/>
              </w:rPr>
              <w:t>对于环保检查发现的问题及时整改</w:t>
            </w:r>
            <w:r>
              <w:rPr>
                <w:rFonts w:hint="eastAsia" w:ascii="宋体" w:hAnsi="宋体" w:cs="宋体"/>
                <w:sz w:val="18"/>
                <w:highlight w:val="none"/>
              </w:rPr>
              <w:t>，</w:t>
            </w:r>
            <w:r>
              <w:rPr>
                <w:rFonts w:ascii="宋体" w:hAnsi="宋体" w:cs="宋体"/>
                <w:sz w:val="18"/>
                <w:highlight w:val="none"/>
              </w:rPr>
              <w:t>未及时整改的，每次扣</w:t>
            </w:r>
            <w:r>
              <w:rPr>
                <w:rFonts w:hint="eastAsia" w:ascii="宋体" w:hAnsi="宋体" w:cs="宋体"/>
                <w:sz w:val="18"/>
                <w:highlight w:val="none"/>
              </w:rPr>
              <w:t>1</w:t>
            </w:r>
            <w:r>
              <w:rPr>
                <w:rFonts w:ascii="宋体" w:hAnsi="宋体" w:cs="宋体"/>
                <w:sz w:val="18"/>
                <w:highlight w:val="none"/>
              </w:rPr>
              <w:t>分；整改不到位的，每次扣0.</w:t>
            </w:r>
            <w:r>
              <w:rPr>
                <w:rFonts w:hint="eastAsia" w:ascii="宋体" w:hAnsi="宋体" w:cs="宋体"/>
                <w:sz w:val="18"/>
                <w:highlight w:val="none"/>
              </w:rPr>
              <w:t>5</w:t>
            </w:r>
            <w:r>
              <w:rPr>
                <w:rFonts w:ascii="宋体" w:hAnsi="宋体" w:cs="宋体"/>
                <w:sz w:val="18"/>
                <w:highlight w:val="none"/>
              </w:rPr>
              <w:t>分。</w:t>
            </w:r>
          </w:p>
        </w:tc>
        <w:tc>
          <w:tcPr>
            <w:tcW w:w="1117" w:type="dxa"/>
            <w:tcMar>
              <w:left w:w="28" w:type="dxa"/>
              <w:right w:w="28" w:type="dxa"/>
            </w:tcMar>
            <w:vAlign w:val="center"/>
          </w:tcPr>
          <w:p w14:paraId="2F61D63F">
            <w:pPr>
              <w:spacing w:line="260" w:lineRule="exact"/>
              <w:rPr>
                <w:rFonts w:ascii="宋体" w:hAnsi="宋体" w:cs="宋体"/>
                <w:sz w:val="18"/>
                <w:highlight w:val="none"/>
              </w:rPr>
            </w:pPr>
          </w:p>
        </w:tc>
        <w:tc>
          <w:tcPr>
            <w:tcW w:w="1020" w:type="dxa"/>
            <w:tcMar>
              <w:left w:w="28" w:type="dxa"/>
              <w:right w:w="28" w:type="dxa"/>
            </w:tcMar>
            <w:vAlign w:val="center"/>
          </w:tcPr>
          <w:p w14:paraId="195BB18D">
            <w:pPr>
              <w:spacing w:line="260" w:lineRule="exact"/>
              <w:rPr>
                <w:rFonts w:ascii="宋体" w:hAnsi="宋体" w:cs="宋体"/>
                <w:sz w:val="18"/>
                <w:highlight w:val="none"/>
              </w:rPr>
            </w:pPr>
          </w:p>
        </w:tc>
      </w:tr>
      <w:tr w14:paraId="154613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559BBE1D">
            <w:pPr>
              <w:spacing w:line="260" w:lineRule="exact"/>
              <w:jc w:val="center"/>
              <w:rPr>
                <w:rFonts w:ascii="宋体" w:hAnsi="宋体" w:cs="宋体"/>
                <w:sz w:val="18"/>
                <w:szCs w:val="18"/>
                <w:highlight w:val="none"/>
              </w:rPr>
            </w:pPr>
          </w:p>
        </w:tc>
        <w:tc>
          <w:tcPr>
            <w:tcW w:w="1976" w:type="dxa"/>
            <w:vMerge w:val="continue"/>
            <w:tcMar>
              <w:left w:w="28" w:type="dxa"/>
              <w:right w:w="28" w:type="dxa"/>
            </w:tcMar>
            <w:vAlign w:val="center"/>
          </w:tcPr>
          <w:p w14:paraId="23686C61">
            <w:pPr>
              <w:spacing w:line="260" w:lineRule="exact"/>
              <w:rPr>
                <w:rFonts w:ascii="宋体" w:hAnsi="宋体" w:cs="宋体"/>
                <w:sz w:val="18"/>
                <w:szCs w:val="18"/>
                <w:highlight w:val="none"/>
              </w:rPr>
            </w:pPr>
          </w:p>
        </w:tc>
        <w:tc>
          <w:tcPr>
            <w:tcW w:w="951" w:type="dxa"/>
            <w:vMerge w:val="continue"/>
            <w:tcMar>
              <w:left w:w="28" w:type="dxa"/>
              <w:right w:w="28" w:type="dxa"/>
            </w:tcMar>
            <w:vAlign w:val="center"/>
          </w:tcPr>
          <w:p w14:paraId="26529ECC">
            <w:pPr>
              <w:spacing w:line="260" w:lineRule="exact"/>
              <w:jc w:val="center"/>
              <w:rPr>
                <w:rFonts w:ascii="宋体" w:hAnsi="宋体" w:cs="宋体"/>
                <w:sz w:val="18"/>
                <w:szCs w:val="18"/>
                <w:highlight w:val="none"/>
              </w:rPr>
            </w:pPr>
          </w:p>
        </w:tc>
        <w:tc>
          <w:tcPr>
            <w:tcW w:w="3348" w:type="dxa"/>
            <w:tcMar>
              <w:left w:w="28" w:type="dxa"/>
              <w:right w:w="28" w:type="dxa"/>
            </w:tcMar>
            <w:vAlign w:val="center"/>
          </w:tcPr>
          <w:p w14:paraId="2094BA2E">
            <w:pPr>
              <w:spacing w:line="260" w:lineRule="exact"/>
              <w:rPr>
                <w:rFonts w:ascii="宋体" w:hAnsi="宋体" w:cs="宋体"/>
                <w:sz w:val="18"/>
                <w:szCs w:val="18"/>
                <w:highlight w:val="none"/>
              </w:rPr>
            </w:pPr>
            <w:r>
              <w:rPr>
                <w:rFonts w:hint="eastAsia" w:ascii="宋体" w:hAnsi="宋体" w:cs="宋体"/>
                <w:sz w:val="18"/>
                <w:highlight w:val="none"/>
              </w:rPr>
              <w:t>按照规范开展工程水保工作。（2分）</w:t>
            </w:r>
          </w:p>
        </w:tc>
        <w:tc>
          <w:tcPr>
            <w:tcW w:w="3890" w:type="dxa"/>
            <w:tcMar>
              <w:left w:w="28" w:type="dxa"/>
              <w:right w:w="28" w:type="dxa"/>
            </w:tcMar>
            <w:vAlign w:val="center"/>
          </w:tcPr>
          <w:p w14:paraId="108587ED">
            <w:pPr>
              <w:spacing w:line="260" w:lineRule="exact"/>
              <w:rPr>
                <w:rFonts w:ascii="宋体" w:hAnsi="宋体" w:cs="宋体"/>
                <w:sz w:val="18"/>
                <w:highlight w:val="none"/>
              </w:rPr>
            </w:pPr>
            <w:r>
              <w:rPr>
                <w:rFonts w:hint="eastAsia" w:ascii="宋体" w:hAnsi="宋体" w:cs="宋体"/>
                <w:sz w:val="18"/>
                <w:highlight w:val="none"/>
              </w:rPr>
              <w:t>（1）未落实表土剥离措施的，每次扣1分；剥离措施落实不到位，每次扣0.5分；</w:t>
            </w:r>
          </w:p>
          <w:p w14:paraId="78665000">
            <w:pPr>
              <w:spacing w:line="260" w:lineRule="exact"/>
              <w:rPr>
                <w:rFonts w:ascii="宋体" w:hAnsi="宋体" w:cs="宋体"/>
                <w:sz w:val="18"/>
                <w:highlight w:val="none"/>
              </w:rPr>
            </w:pPr>
            <w:r>
              <w:rPr>
                <w:rFonts w:hint="eastAsia" w:ascii="宋体" w:hAnsi="宋体" w:cs="宋体"/>
                <w:sz w:val="18"/>
                <w:highlight w:val="none"/>
              </w:rPr>
              <w:t>（2）未落实堆土临时拦挡措施的，每次扣1分；措施落实不及时、不到位，每次扣0.5分；</w:t>
            </w:r>
          </w:p>
          <w:p w14:paraId="52FFBCDB">
            <w:pPr>
              <w:spacing w:line="260" w:lineRule="exact"/>
              <w:rPr>
                <w:rFonts w:ascii="宋体" w:hAnsi="宋体" w:cs="宋体"/>
                <w:sz w:val="18"/>
                <w:highlight w:val="none"/>
              </w:rPr>
            </w:pPr>
            <w:r>
              <w:rPr>
                <w:rFonts w:hint="eastAsia" w:ascii="宋体" w:hAnsi="宋体" w:cs="宋体"/>
                <w:sz w:val="18"/>
                <w:highlight w:val="none"/>
              </w:rPr>
              <w:t>（3）未落实临时截、排水沟措施的，每次扣1分；措施不到位的，每次扣0.5分；</w:t>
            </w:r>
          </w:p>
          <w:p w14:paraId="0CAEECA8">
            <w:pPr>
              <w:spacing w:line="260" w:lineRule="exact"/>
              <w:rPr>
                <w:rFonts w:ascii="宋体" w:hAnsi="宋体" w:cs="宋体"/>
                <w:sz w:val="18"/>
                <w:highlight w:val="none"/>
              </w:rPr>
            </w:pPr>
            <w:r>
              <w:rPr>
                <w:rFonts w:hint="eastAsia" w:ascii="宋体" w:hAnsi="宋体" w:cs="宋体"/>
                <w:sz w:val="18"/>
                <w:highlight w:val="none"/>
              </w:rPr>
              <w:t>（4）未落实植被恢复措施的，每次扣1分；植被恢复措施不到位，每次扣0.5分；</w:t>
            </w:r>
          </w:p>
          <w:p w14:paraId="6E553E23">
            <w:pPr>
              <w:spacing w:line="260" w:lineRule="exact"/>
              <w:rPr>
                <w:rFonts w:ascii="宋体" w:hAnsi="宋体" w:cs="宋体"/>
                <w:sz w:val="18"/>
                <w:highlight w:val="none"/>
              </w:rPr>
            </w:pPr>
            <w:r>
              <w:rPr>
                <w:rFonts w:hint="eastAsia" w:ascii="宋体" w:hAnsi="宋体" w:cs="宋体"/>
                <w:sz w:val="18"/>
                <w:highlight w:val="none"/>
              </w:rPr>
              <w:t>（5）未进行土地整治的，扣1分；土地整治不到位，扣0.5分；</w:t>
            </w:r>
          </w:p>
          <w:p w14:paraId="22A02BA1">
            <w:pPr>
              <w:spacing w:line="260" w:lineRule="exact"/>
              <w:rPr>
                <w:rFonts w:ascii="宋体" w:hAnsi="宋体" w:cs="宋体"/>
                <w:sz w:val="18"/>
                <w:szCs w:val="18"/>
                <w:highlight w:val="none"/>
              </w:rPr>
            </w:pPr>
            <w:r>
              <w:rPr>
                <w:rFonts w:hint="eastAsia" w:ascii="宋体" w:hAnsi="宋体" w:cs="宋体"/>
                <w:sz w:val="18"/>
                <w:highlight w:val="none"/>
              </w:rPr>
              <w:t>（6）对于水保检查发现的问题及时整改。未及时整改的，每次扣1分；整改不到位的，每次扣0.5分。</w:t>
            </w:r>
          </w:p>
        </w:tc>
        <w:tc>
          <w:tcPr>
            <w:tcW w:w="1117" w:type="dxa"/>
            <w:tcMar>
              <w:left w:w="28" w:type="dxa"/>
              <w:right w:w="28" w:type="dxa"/>
            </w:tcMar>
            <w:vAlign w:val="center"/>
          </w:tcPr>
          <w:p w14:paraId="1C0B9593">
            <w:pPr>
              <w:spacing w:line="260" w:lineRule="exact"/>
              <w:rPr>
                <w:rFonts w:ascii="宋体" w:hAnsi="宋体" w:cs="宋体"/>
                <w:sz w:val="18"/>
                <w:highlight w:val="none"/>
              </w:rPr>
            </w:pPr>
          </w:p>
        </w:tc>
        <w:tc>
          <w:tcPr>
            <w:tcW w:w="1020" w:type="dxa"/>
            <w:tcMar>
              <w:left w:w="28" w:type="dxa"/>
              <w:right w:w="28" w:type="dxa"/>
            </w:tcMar>
            <w:vAlign w:val="center"/>
          </w:tcPr>
          <w:p w14:paraId="223BB726">
            <w:pPr>
              <w:spacing w:line="260" w:lineRule="exact"/>
              <w:rPr>
                <w:rFonts w:ascii="宋体" w:hAnsi="宋体" w:cs="宋体"/>
                <w:sz w:val="18"/>
                <w:highlight w:val="none"/>
              </w:rPr>
            </w:pPr>
          </w:p>
        </w:tc>
      </w:tr>
      <w:tr w14:paraId="5484DD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464" w:hRule="atLeast"/>
          <w:jc w:val="center"/>
        </w:trPr>
        <w:tc>
          <w:tcPr>
            <w:tcW w:w="547" w:type="dxa"/>
            <w:shd w:val="clear" w:color="auto" w:fill="BFBFBF"/>
            <w:tcMar>
              <w:left w:w="28" w:type="dxa"/>
              <w:right w:w="28" w:type="dxa"/>
            </w:tcMar>
            <w:vAlign w:val="center"/>
          </w:tcPr>
          <w:p w14:paraId="2748D532">
            <w:pPr>
              <w:spacing w:line="260" w:lineRule="exact"/>
              <w:jc w:val="center"/>
              <w:rPr>
                <w:rFonts w:ascii="宋体" w:hAnsi="宋体" w:cs="宋体"/>
                <w:b/>
                <w:sz w:val="18"/>
                <w:highlight w:val="none"/>
              </w:rPr>
            </w:pPr>
            <w:r>
              <w:rPr>
                <w:rFonts w:hint="eastAsia" w:ascii="宋体" w:hAnsi="宋体" w:cs="宋体"/>
                <w:b/>
                <w:sz w:val="18"/>
                <w:highlight w:val="none"/>
              </w:rPr>
              <w:t>8</w:t>
            </w:r>
          </w:p>
        </w:tc>
        <w:tc>
          <w:tcPr>
            <w:tcW w:w="12302" w:type="dxa"/>
            <w:gridSpan w:val="6"/>
            <w:shd w:val="clear" w:color="auto" w:fill="BFBFBF"/>
            <w:tcMar>
              <w:left w:w="28" w:type="dxa"/>
              <w:right w:w="28" w:type="dxa"/>
            </w:tcMar>
            <w:vAlign w:val="center"/>
          </w:tcPr>
          <w:p w14:paraId="3CF61518">
            <w:pPr>
              <w:spacing w:line="260" w:lineRule="exact"/>
              <w:rPr>
                <w:rFonts w:ascii="宋体" w:hAnsi="宋体" w:cs="宋体"/>
                <w:sz w:val="18"/>
                <w:highlight w:val="none"/>
              </w:rPr>
            </w:pPr>
            <w:r>
              <w:rPr>
                <w:rFonts w:hint="eastAsia" w:ascii="宋体" w:hAnsi="宋体" w:cs="宋体"/>
                <w:b/>
                <w:sz w:val="18"/>
                <w:highlight w:val="none"/>
              </w:rPr>
              <w:t>造价管理（6分）</w:t>
            </w:r>
          </w:p>
        </w:tc>
      </w:tr>
      <w:tr w14:paraId="4123ED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51D09A2E">
            <w:pPr>
              <w:spacing w:line="260" w:lineRule="exact"/>
              <w:jc w:val="center"/>
              <w:rPr>
                <w:rFonts w:ascii="宋体" w:hAnsi="宋体" w:cs="宋体"/>
                <w:b/>
                <w:bCs/>
                <w:sz w:val="18"/>
                <w:highlight w:val="none"/>
              </w:rPr>
            </w:pPr>
            <w:r>
              <w:rPr>
                <w:rFonts w:hint="eastAsia" w:ascii="宋体" w:hAnsi="宋体" w:cs="宋体"/>
                <w:b/>
                <w:bCs/>
                <w:sz w:val="18"/>
                <w:highlight w:val="none"/>
              </w:rPr>
              <w:t>8.1</w:t>
            </w:r>
          </w:p>
        </w:tc>
        <w:tc>
          <w:tcPr>
            <w:tcW w:w="1976" w:type="dxa"/>
            <w:tcMar>
              <w:left w:w="28" w:type="dxa"/>
              <w:right w:w="28" w:type="dxa"/>
            </w:tcMar>
            <w:vAlign w:val="center"/>
          </w:tcPr>
          <w:p w14:paraId="565413D0">
            <w:pPr>
              <w:spacing w:line="260" w:lineRule="exact"/>
              <w:rPr>
                <w:rFonts w:ascii="宋体" w:hAnsi="宋体" w:cs="宋体"/>
                <w:sz w:val="18"/>
                <w:highlight w:val="none"/>
              </w:rPr>
            </w:pPr>
            <w:r>
              <w:rPr>
                <w:rFonts w:hint="eastAsia" w:ascii="宋体" w:hAnsi="宋体" w:cs="宋体"/>
                <w:b/>
                <w:sz w:val="18"/>
                <w:highlight w:val="none"/>
              </w:rPr>
              <w:t>工程预付款与进度款管理</w:t>
            </w:r>
          </w:p>
        </w:tc>
        <w:tc>
          <w:tcPr>
            <w:tcW w:w="951" w:type="dxa"/>
            <w:tcMar>
              <w:left w:w="28" w:type="dxa"/>
              <w:right w:w="28" w:type="dxa"/>
            </w:tcMar>
            <w:vAlign w:val="center"/>
          </w:tcPr>
          <w:p w14:paraId="5E9F0914">
            <w:pPr>
              <w:spacing w:line="260" w:lineRule="exact"/>
              <w:jc w:val="center"/>
              <w:rPr>
                <w:rFonts w:ascii="宋体" w:hAnsi="宋体" w:cs="宋体"/>
                <w:sz w:val="18"/>
                <w:highlight w:val="none"/>
              </w:rPr>
            </w:pPr>
            <w:r>
              <w:rPr>
                <w:rFonts w:hint="eastAsia" w:ascii="宋体" w:hAnsi="宋体" w:cs="宋体"/>
                <w:sz w:val="18"/>
                <w:highlight w:val="none"/>
              </w:rPr>
              <w:t>1</w:t>
            </w:r>
          </w:p>
        </w:tc>
        <w:tc>
          <w:tcPr>
            <w:tcW w:w="3348" w:type="dxa"/>
            <w:tcMar>
              <w:left w:w="28" w:type="dxa"/>
              <w:right w:w="28" w:type="dxa"/>
            </w:tcMar>
            <w:vAlign w:val="center"/>
          </w:tcPr>
          <w:p w14:paraId="53C83490">
            <w:pPr>
              <w:spacing w:line="260" w:lineRule="exact"/>
              <w:rPr>
                <w:rFonts w:ascii="宋体" w:hAnsi="宋体" w:cs="宋体"/>
                <w:sz w:val="18"/>
                <w:highlight w:val="none"/>
              </w:rPr>
            </w:pPr>
            <w:r>
              <w:rPr>
                <w:rFonts w:hint="eastAsia" w:ascii="宋体" w:hAnsi="宋体" w:cs="宋体"/>
                <w:sz w:val="18"/>
                <w:highlight w:val="none"/>
              </w:rPr>
              <w:t>编制工程预付款及进度款报审表并报审。（1分）</w:t>
            </w:r>
          </w:p>
        </w:tc>
        <w:tc>
          <w:tcPr>
            <w:tcW w:w="3890" w:type="dxa"/>
            <w:tcMar>
              <w:left w:w="28" w:type="dxa"/>
              <w:right w:w="28" w:type="dxa"/>
            </w:tcMar>
          </w:tcPr>
          <w:p w14:paraId="3BB06071">
            <w:pPr>
              <w:spacing w:line="260" w:lineRule="exact"/>
              <w:jc w:val="left"/>
              <w:rPr>
                <w:rFonts w:ascii="宋体" w:hAnsi="宋体" w:cs="宋体"/>
                <w:sz w:val="18"/>
                <w:highlight w:val="none"/>
              </w:rPr>
            </w:pPr>
            <w:r>
              <w:rPr>
                <w:rFonts w:hint="eastAsia" w:ascii="宋体" w:hAnsi="宋体" w:cs="宋体"/>
                <w:sz w:val="18"/>
                <w:highlight w:val="none"/>
              </w:rPr>
              <w:t>预付款或进度款支付申请工程量不准确，提供的付款支撑性资料不完善，每缺少一项资料扣0.5分。</w:t>
            </w:r>
          </w:p>
        </w:tc>
        <w:tc>
          <w:tcPr>
            <w:tcW w:w="1117" w:type="dxa"/>
            <w:tcMar>
              <w:left w:w="28" w:type="dxa"/>
              <w:right w:w="28" w:type="dxa"/>
            </w:tcMar>
            <w:vAlign w:val="center"/>
          </w:tcPr>
          <w:p w14:paraId="447BE86E">
            <w:pPr>
              <w:spacing w:line="260" w:lineRule="exact"/>
              <w:rPr>
                <w:rFonts w:ascii="宋体" w:hAnsi="宋体" w:cs="宋体"/>
                <w:sz w:val="18"/>
                <w:highlight w:val="none"/>
              </w:rPr>
            </w:pPr>
          </w:p>
        </w:tc>
        <w:tc>
          <w:tcPr>
            <w:tcW w:w="1020" w:type="dxa"/>
            <w:tcMar>
              <w:left w:w="28" w:type="dxa"/>
              <w:right w:w="28" w:type="dxa"/>
            </w:tcMar>
            <w:vAlign w:val="center"/>
          </w:tcPr>
          <w:p w14:paraId="5B878690">
            <w:pPr>
              <w:spacing w:line="260" w:lineRule="exact"/>
              <w:rPr>
                <w:rFonts w:ascii="宋体" w:hAnsi="宋体" w:cs="宋体"/>
                <w:sz w:val="18"/>
                <w:highlight w:val="none"/>
              </w:rPr>
            </w:pPr>
          </w:p>
        </w:tc>
      </w:tr>
      <w:tr w14:paraId="21784E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5832467C">
            <w:pPr>
              <w:spacing w:line="260" w:lineRule="exact"/>
              <w:jc w:val="center"/>
              <w:rPr>
                <w:rFonts w:ascii="宋体" w:hAnsi="宋体" w:cs="宋体"/>
                <w:b/>
                <w:bCs/>
                <w:sz w:val="18"/>
                <w:highlight w:val="none"/>
              </w:rPr>
            </w:pPr>
            <w:r>
              <w:rPr>
                <w:rFonts w:hint="eastAsia" w:ascii="宋体" w:hAnsi="宋体" w:cs="宋体"/>
                <w:b/>
                <w:bCs/>
                <w:sz w:val="18"/>
                <w:highlight w:val="none"/>
              </w:rPr>
              <w:t>8.2</w:t>
            </w:r>
          </w:p>
        </w:tc>
        <w:tc>
          <w:tcPr>
            <w:tcW w:w="1976" w:type="dxa"/>
            <w:tcMar>
              <w:left w:w="28" w:type="dxa"/>
              <w:right w:w="28" w:type="dxa"/>
            </w:tcMar>
            <w:vAlign w:val="center"/>
          </w:tcPr>
          <w:p w14:paraId="2222133A">
            <w:pPr>
              <w:pStyle w:val="37"/>
              <w:spacing w:line="260" w:lineRule="exact"/>
              <w:rPr>
                <w:rFonts w:ascii="宋体" w:hAnsi="宋体" w:cs="宋体"/>
                <w:sz w:val="18"/>
                <w:highlight w:val="none"/>
              </w:rPr>
            </w:pPr>
            <w:r>
              <w:rPr>
                <w:rFonts w:ascii="宋体" w:hAnsi="宋体" w:cs="宋体"/>
                <w:b/>
                <w:sz w:val="18"/>
                <w:highlight w:val="none"/>
              </w:rPr>
              <w:t>工程结算管理</w:t>
            </w:r>
          </w:p>
        </w:tc>
        <w:tc>
          <w:tcPr>
            <w:tcW w:w="951" w:type="dxa"/>
            <w:tcMar>
              <w:left w:w="28" w:type="dxa"/>
              <w:right w:w="28" w:type="dxa"/>
            </w:tcMar>
            <w:vAlign w:val="center"/>
          </w:tcPr>
          <w:p w14:paraId="7E9B68D8">
            <w:pPr>
              <w:spacing w:line="260" w:lineRule="exact"/>
              <w:jc w:val="center"/>
              <w:rPr>
                <w:rFonts w:ascii="宋体" w:hAnsi="宋体" w:cs="宋体"/>
                <w:sz w:val="18"/>
                <w:highlight w:val="none"/>
              </w:rPr>
            </w:pPr>
            <w:r>
              <w:rPr>
                <w:rFonts w:hint="eastAsia" w:ascii="宋体" w:hAnsi="宋体" w:cs="宋体"/>
                <w:sz w:val="18"/>
                <w:highlight w:val="none"/>
              </w:rPr>
              <w:t>4</w:t>
            </w:r>
          </w:p>
        </w:tc>
        <w:tc>
          <w:tcPr>
            <w:tcW w:w="3348" w:type="dxa"/>
            <w:tcBorders>
              <w:top w:val="nil"/>
              <w:left w:val="single" w:color="000000" w:sz="4" w:space="0"/>
              <w:bottom w:val="single" w:color="000000" w:sz="4" w:space="0"/>
              <w:right w:val="single" w:color="000000" w:sz="4" w:space="0"/>
            </w:tcBorders>
            <w:tcMar>
              <w:left w:w="28" w:type="dxa"/>
              <w:right w:w="28" w:type="dxa"/>
            </w:tcMar>
            <w:vAlign w:val="center"/>
          </w:tcPr>
          <w:p w14:paraId="3FA30DDD">
            <w:pPr>
              <w:spacing w:line="260" w:lineRule="exact"/>
              <w:rPr>
                <w:rFonts w:ascii="宋体" w:hAnsi="宋体" w:cs="宋体"/>
                <w:sz w:val="18"/>
                <w:highlight w:val="none"/>
              </w:rPr>
            </w:pPr>
            <w:r>
              <w:rPr>
                <w:rFonts w:hint="eastAsia" w:ascii="宋体" w:hAnsi="宋体" w:cs="宋体"/>
                <w:sz w:val="18"/>
                <w:highlight w:val="none"/>
              </w:rPr>
              <w:t>按要求提交结算报审文件及支撑材料。（4分）</w:t>
            </w:r>
          </w:p>
        </w:tc>
        <w:tc>
          <w:tcPr>
            <w:tcW w:w="3890" w:type="dxa"/>
            <w:tcBorders>
              <w:top w:val="nil"/>
              <w:left w:val="single" w:color="000000" w:sz="4" w:space="0"/>
              <w:bottom w:val="single" w:color="000000" w:sz="4" w:space="0"/>
              <w:right w:val="single" w:color="000000" w:sz="4" w:space="0"/>
            </w:tcBorders>
            <w:tcMar>
              <w:left w:w="28" w:type="dxa"/>
              <w:right w:w="28" w:type="dxa"/>
            </w:tcMar>
          </w:tcPr>
          <w:p w14:paraId="047174AF">
            <w:pPr>
              <w:topLinePunct/>
              <w:snapToGrid w:val="0"/>
              <w:spacing w:line="240" w:lineRule="atLeast"/>
              <w:rPr>
                <w:color w:val="000000"/>
                <w:sz w:val="18"/>
                <w:highlight w:val="none"/>
              </w:rPr>
            </w:pPr>
            <w:r>
              <w:rPr>
                <w:rFonts w:hint="eastAsia"/>
                <w:color w:val="000000"/>
                <w:sz w:val="18"/>
                <w:highlight w:val="none"/>
              </w:rPr>
              <w:t>（1）未按要求安排专职人员负责结算工作，扣3分；</w:t>
            </w:r>
          </w:p>
          <w:p w14:paraId="6E021A30">
            <w:pPr>
              <w:topLinePunct/>
              <w:snapToGrid w:val="0"/>
              <w:spacing w:line="240" w:lineRule="atLeast"/>
              <w:rPr>
                <w:color w:val="000000"/>
                <w:sz w:val="18"/>
                <w:highlight w:val="none"/>
              </w:rPr>
            </w:pPr>
            <w:r>
              <w:rPr>
                <w:rFonts w:hint="eastAsia"/>
                <w:color w:val="000000"/>
                <w:sz w:val="18"/>
                <w:highlight w:val="none"/>
              </w:rPr>
              <w:t>（2）未按要求组织有关人员参加结算工作，每次扣0.5分；</w:t>
            </w:r>
          </w:p>
          <w:p w14:paraId="4B57DEFC">
            <w:pPr>
              <w:topLinePunct/>
              <w:snapToGrid w:val="0"/>
              <w:spacing w:line="240" w:lineRule="atLeast"/>
              <w:rPr>
                <w:color w:val="000000"/>
                <w:sz w:val="18"/>
                <w:highlight w:val="none"/>
              </w:rPr>
            </w:pPr>
            <w:r>
              <w:rPr>
                <w:rFonts w:hint="eastAsia"/>
                <w:color w:val="000000"/>
                <w:sz w:val="18"/>
                <w:highlight w:val="none"/>
              </w:rPr>
              <w:t>（3）未按时提交分部结算或竣工结算报审文件及支撑资料，每次扣0.5分；</w:t>
            </w:r>
          </w:p>
          <w:p w14:paraId="2DE28CFC">
            <w:pPr>
              <w:spacing w:line="260" w:lineRule="exact"/>
              <w:jc w:val="left"/>
              <w:rPr>
                <w:rFonts w:ascii="宋体" w:hAnsi="宋体" w:cs="宋体"/>
                <w:sz w:val="18"/>
                <w:highlight w:val="none"/>
              </w:rPr>
            </w:pPr>
            <w:r>
              <w:rPr>
                <w:rFonts w:hint="eastAsia"/>
                <w:color w:val="000000"/>
                <w:sz w:val="18"/>
                <w:highlight w:val="none"/>
              </w:rPr>
              <w:t>（4）未按要求落实审查意见，整改结算资料，每项扣0.5分。</w:t>
            </w:r>
          </w:p>
        </w:tc>
        <w:tc>
          <w:tcPr>
            <w:tcW w:w="1117" w:type="dxa"/>
            <w:tcMar>
              <w:left w:w="28" w:type="dxa"/>
              <w:right w:w="28" w:type="dxa"/>
            </w:tcMar>
            <w:vAlign w:val="center"/>
          </w:tcPr>
          <w:p w14:paraId="4CCB0453">
            <w:pPr>
              <w:spacing w:line="260" w:lineRule="exact"/>
              <w:rPr>
                <w:rFonts w:ascii="宋体" w:hAnsi="宋体" w:cs="宋体"/>
                <w:sz w:val="18"/>
                <w:highlight w:val="none"/>
              </w:rPr>
            </w:pPr>
          </w:p>
        </w:tc>
        <w:tc>
          <w:tcPr>
            <w:tcW w:w="1020" w:type="dxa"/>
            <w:tcMar>
              <w:left w:w="28" w:type="dxa"/>
              <w:right w:w="28" w:type="dxa"/>
            </w:tcMar>
            <w:vAlign w:val="center"/>
          </w:tcPr>
          <w:p w14:paraId="070A9370">
            <w:pPr>
              <w:spacing w:line="260" w:lineRule="exact"/>
              <w:rPr>
                <w:rFonts w:ascii="宋体" w:hAnsi="宋体" w:cs="宋体"/>
                <w:sz w:val="18"/>
                <w:highlight w:val="none"/>
              </w:rPr>
            </w:pPr>
          </w:p>
        </w:tc>
      </w:tr>
      <w:tr w14:paraId="7FEF2A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120716DD">
            <w:pPr>
              <w:spacing w:line="260" w:lineRule="exact"/>
              <w:jc w:val="center"/>
              <w:rPr>
                <w:rFonts w:ascii="宋体" w:hAnsi="宋体" w:cs="宋体"/>
                <w:b/>
                <w:bCs/>
                <w:sz w:val="18"/>
                <w:highlight w:val="none"/>
              </w:rPr>
            </w:pPr>
            <w:r>
              <w:rPr>
                <w:rFonts w:hint="eastAsia" w:ascii="宋体" w:hAnsi="宋体" w:cs="宋体"/>
                <w:b/>
                <w:bCs/>
                <w:sz w:val="18"/>
                <w:highlight w:val="none"/>
              </w:rPr>
              <w:t>8.3</w:t>
            </w:r>
          </w:p>
        </w:tc>
        <w:tc>
          <w:tcPr>
            <w:tcW w:w="1976" w:type="dxa"/>
            <w:tcMar>
              <w:left w:w="28" w:type="dxa"/>
              <w:right w:w="28" w:type="dxa"/>
            </w:tcMar>
            <w:vAlign w:val="center"/>
          </w:tcPr>
          <w:p w14:paraId="17DD9172">
            <w:pPr>
              <w:pStyle w:val="37"/>
              <w:spacing w:line="260" w:lineRule="exact"/>
              <w:rPr>
                <w:rFonts w:ascii="宋体" w:hAnsi="宋体" w:cs="宋体"/>
                <w:b/>
                <w:sz w:val="18"/>
                <w:highlight w:val="none"/>
              </w:rPr>
            </w:pPr>
            <w:r>
              <w:rPr>
                <w:rFonts w:hint="eastAsia" w:ascii="宋体" w:hAnsi="宋体" w:cs="宋体"/>
                <w:b/>
                <w:sz w:val="18"/>
                <w:highlight w:val="none"/>
              </w:rPr>
              <w:t>农民工工资管理</w:t>
            </w:r>
          </w:p>
        </w:tc>
        <w:tc>
          <w:tcPr>
            <w:tcW w:w="951" w:type="dxa"/>
            <w:tcMar>
              <w:left w:w="28" w:type="dxa"/>
              <w:right w:w="28" w:type="dxa"/>
            </w:tcMar>
            <w:vAlign w:val="center"/>
          </w:tcPr>
          <w:p w14:paraId="775B6668">
            <w:pPr>
              <w:spacing w:line="260" w:lineRule="exact"/>
              <w:jc w:val="center"/>
              <w:rPr>
                <w:rFonts w:ascii="宋体" w:hAnsi="宋体" w:cs="宋体"/>
                <w:sz w:val="18"/>
                <w:highlight w:val="none"/>
              </w:rPr>
            </w:pPr>
            <w:r>
              <w:rPr>
                <w:rFonts w:hint="eastAsia" w:ascii="宋体" w:hAnsi="宋体" w:cs="宋体"/>
                <w:sz w:val="18"/>
                <w:highlight w:val="none"/>
              </w:rPr>
              <w:t>1</w:t>
            </w:r>
          </w:p>
        </w:tc>
        <w:tc>
          <w:tcPr>
            <w:tcW w:w="3348" w:type="dxa"/>
            <w:tcBorders>
              <w:top w:val="nil"/>
              <w:left w:val="single" w:color="000000" w:sz="4" w:space="0"/>
              <w:bottom w:val="single" w:color="000000" w:sz="4" w:space="0"/>
              <w:right w:val="single" w:color="000000" w:sz="4" w:space="0"/>
            </w:tcBorders>
            <w:tcMar>
              <w:left w:w="28" w:type="dxa"/>
              <w:right w:w="28" w:type="dxa"/>
            </w:tcMar>
            <w:vAlign w:val="center"/>
          </w:tcPr>
          <w:p w14:paraId="49C67FD8">
            <w:pPr>
              <w:spacing w:line="260" w:lineRule="exact"/>
              <w:rPr>
                <w:rFonts w:ascii="宋体" w:hAnsi="宋体" w:cs="宋体"/>
                <w:sz w:val="18"/>
                <w:highlight w:val="none"/>
              </w:rPr>
            </w:pPr>
            <w:r>
              <w:rPr>
                <w:rFonts w:hint="eastAsia" w:ascii="宋体" w:hAnsi="宋体" w:cs="宋体"/>
                <w:sz w:val="18"/>
                <w:highlight w:val="none"/>
              </w:rPr>
              <w:t>按合同要求管理现场农民工工资。（1分）</w:t>
            </w:r>
          </w:p>
        </w:tc>
        <w:tc>
          <w:tcPr>
            <w:tcW w:w="3890" w:type="dxa"/>
            <w:tcBorders>
              <w:top w:val="nil"/>
              <w:left w:val="single" w:color="000000" w:sz="4" w:space="0"/>
              <w:bottom w:val="single" w:color="000000" w:sz="4" w:space="0"/>
              <w:right w:val="single" w:color="000000" w:sz="4" w:space="0"/>
            </w:tcBorders>
            <w:tcMar>
              <w:left w:w="28" w:type="dxa"/>
              <w:right w:w="28" w:type="dxa"/>
            </w:tcMar>
          </w:tcPr>
          <w:p w14:paraId="3348055B">
            <w:pPr>
              <w:spacing w:line="260" w:lineRule="exact"/>
              <w:jc w:val="left"/>
              <w:rPr>
                <w:color w:val="000000"/>
                <w:sz w:val="18"/>
                <w:highlight w:val="none"/>
              </w:rPr>
            </w:pPr>
            <w:r>
              <w:rPr>
                <w:rFonts w:hint="eastAsia"/>
                <w:color w:val="000000"/>
                <w:sz w:val="18"/>
                <w:highlight w:val="none"/>
              </w:rPr>
              <w:t>（1）未设立农民工资专用账户，扣1分；</w:t>
            </w:r>
          </w:p>
          <w:p w14:paraId="72F57FDB">
            <w:pPr>
              <w:spacing w:line="260" w:lineRule="exact"/>
              <w:jc w:val="left"/>
              <w:rPr>
                <w:color w:val="000000"/>
                <w:sz w:val="18"/>
                <w:highlight w:val="none"/>
              </w:rPr>
            </w:pPr>
            <w:r>
              <w:rPr>
                <w:rFonts w:hint="eastAsia"/>
                <w:color w:val="000000"/>
                <w:sz w:val="18"/>
                <w:highlight w:val="none"/>
              </w:rPr>
              <w:t>（2）未按合同要求，建立农民工用工台账、支付台账，未提供代发农民工工资支付手续复印件，每少一份材料扣0.5分。</w:t>
            </w:r>
          </w:p>
        </w:tc>
        <w:tc>
          <w:tcPr>
            <w:tcW w:w="1117" w:type="dxa"/>
            <w:tcMar>
              <w:left w:w="28" w:type="dxa"/>
              <w:right w:w="28" w:type="dxa"/>
            </w:tcMar>
            <w:vAlign w:val="center"/>
          </w:tcPr>
          <w:p w14:paraId="545C2EFB">
            <w:pPr>
              <w:spacing w:line="260" w:lineRule="exact"/>
              <w:rPr>
                <w:rFonts w:ascii="宋体" w:hAnsi="宋体" w:cs="宋体"/>
                <w:sz w:val="18"/>
                <w:highlight w:val="none"/>
              </w:rPr>
            </w:pPr>
          </w:p>
        </w:tc>
        <w:tc>
          <w:tcPr>
            <w:tcW w:w="1020" w:type="dxa"/>
            <w:tcMar>
              <w:left w:w="28" w:type="dxa"/>
              <w:right w:w="28" w:type="dxa"/>
            </w:tcMar>
            <w:vAlign w:val="center"/>
          </w:tcPr>
          <w:p w14:paraId="2237616F">
            <w:pPr>
              <w:spacing w:line="260" w:lineRule="exact"/>
              <w:rPr>
                <w:rFonts w:ascii="宋体" w:hAnsi="宋体" w:cs="宋体"/>
                <w:sz w:val="18"/>
                <w:highlight w:val="none"/>
              </w:rPr>
            </w:pPr>
          </w:p>
        </w:tc>
      </w:tr>
      <w:tr w14:paraId="76D751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82" w:hRule="atLeast"/>
          <w:jc w:val="center"/>
        </w:trPr>
        <w:tc>
          <w:tcPr>
            <w:tcW w:w="547" w:type="dxa"/>
            <w:shd w:val="clear" w:color="auto" w:fill="BEBEBE" w:themeFill="background1" w:themeFillShade="BF"/>
            <w:tcMar>
              <w:left w:w="28" w:type="dxa"/>
              <w:right w:w="28" w:type="dxa"/>
            </w:tcMar>
            <w:vAlign w:val="center"/>
          </w:tcPr>
          <w:p w14:paraId="6DBC8BAA">
            <w:pPr>
              <w:jc w:val="center"/>
              <w:rPr>
                <w:rFonts w:ascii="宋体" w:hAnsi="宋体" w:cs="宋体"/>
                <w:b/>
                <w:bCs/>
                <w:sz w:val="18"/>
                <w:highlight w:val="none"/>
              </w:rPr>
            </w:pPr>
            <w:r>
              <w:rPr>
                <w:rFonts w:hint="eastAsia" w:ascii="宋体" w:hAnsi="宋体" w:cs="宋体"/>
                <w:b/>
                <w:bCs/>
                <w:sz w:val="18"/>
                <w:highlight w:val="none"/>
              </w:rPr>
              <w:t>9</w:t>
            </w:r>
          </w:p>
        </w:tc>
        <w:tc>
          <w:tcPr>
            <w:tcW w:w="12302" w:type="dxa"/>
            <w:gridSpan w:val="6"/>
            <w:shd w:val="clear" w:color="auto" w:fill="BEBEBE" w:themeFill="background1" w:themeFillShade="BF"/>
            <w:tcMar>
              <w:left w:w="28" w:type="dxa"/>
              <w:right w:w="28" w:type="dxa"/>
            </w:tcMar>
            <w:vAlign w:val="center"/>
          </w:tcPr>
          <w:p w14:paraId="693DB3A0">
            <w:pPr>
              <w:jc w:val="left"/>
              <w:rPr>
                <w:rFonts w:ascii="宋体" w:hAnsi="宋体" w:cs="宋体"/>
                <w:b/>
                <w:bCs/>
                <w:sz w:val="18"/>
                <w:highlight w:val="none"/>
              </w:rPr>
            </w:pPr>
            <w:r>
              <w:rPr>
                <w:rFonts w:hint="eastAsia" w:ascii="宋体" w:hAnsi="宋体" w:cs="宋体"/>
                <w:b/>
                <w:bCs/>
                <w:sz w:val="18"/>
                <w:highlight w:val="none"/>
              </w:rPr>
              <w:t>绿色建造管理（2分）</w:t>
            </w:r>
          </w:p>
        </w:tc>
      </w:tr>
      <w:tr w14:paraId="24767A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7A518092">
            <w:pPr>
              <w:spacing w:line="260" w:lineRule="exact"/>
              <w:jc w:val="center"/>
              <w:rPr>
                <w:rFonts w:ascii="宋体" w:hAnsi="宋体" w:cs="宋体"/>
                <w:b/>
                <w:bCs/>
                <w:sz w:val="18"/>
                <w:highlight w:val="none"/>
              </w:rPr>
            </w:pPr>
            <w:r>
              <w:rPr>
                <w:rFonts w:hint="eastAsia" w:ascii="宋体" w:hAnsi="宋体" w:cs="宋体"/>
                <w:b/>
                <w:bCs/>
                <w:sz w:val="18"/>
                <w:highlight w:val="none"/>
              </w:rPr>
              <w:t>9.1</w:t>
            </w:r>
          </w:p>
        </w:tc>
        <w:tc>
          <w:tcPr>
            <w:tcW w:w="1976" w:type="dxa"/>
            <w:tcMar>
              <w:left w:w="28" w:type="dxa"/>
              <w:right w:w="28" w:type="dxa"/>
            </w:tcMar>
            <w:vAlign w:val="center"/>
          </w:tcPr>
          <w:p w14:paraId="1F8D81C2">
            <w:pPr>
              <w:rPr>
                <w:rFonts w:ascii="宋体" w:hAnsi="宋体" w:cs="宋体"/>
                <w:b/>
                <w:sz w:val="18"/>
                <w:highlight w:val="none"/>
              </w:rPr>
            </w:pPr>
            <w:r>
              <w:rPr>
                <w:rFonts w:hint="eastAsia"/>
                <w:b/>
                <w:bCs/>
                <w:color w:val="000000"/>
                <w:sz w:val="18"/>
                <w:szCs w:val="18"/>
                <w:highlight w:val="none"/>
              </w:rPr>
              <w:t>绿色施工管理</w:t>
            </w:r>
          </w:p>
        </w:tc>
        <w:tc>
          <w:tcPr>
            <w:tcW w:w="951" w:type="dxa"/>
            <w:tcMar>
              <w:left w:w="28" w:type="dxa"/>
              <w:right w:w="28" w:type="dxa"/>
            </w:tcMar>
            <w:vAlign w:val="center"/>
          </w:tcPr>
          <w:p w14:paraId="59AE76D2">
            <w:pPr>
              <w:spacing w:line="260" w:lineRule="exact"/>
              <w:jc w:val="center"/>
              <w:rPr>
                <w:rFonts w:ascii="宋体" w:hAnsi="宋体" w:cs="宋体"/>
                <w:sz w:val="18"/>
                <w:highlight w:val="none"/>
              </w:rPr>
            </w:pPr>
            <w:r>
              <w:rPr>
                <w:rFonts w:hint="eastAsia" w:ascii="宋体" w:hAnsi="宋体" w:cs="宋体"/>
                <w:sz w:val="18"/>
                <w:highlight w:val="none"/>
              </w:rPr>
              <w:t>2</w:t>
            </w:r>
          </w:p>
        </w:tc>
        <w:tc>
          <w:tcPr>
            <w:tcW w:w="3348" w:type="dxa"/>
            <w:tcBorders>
              <w:top w:val="nil"/>
              <w:left w:val="single" w:color="000000" w:sz="4" w:space="0"/>
              <w:bottom w:val="single" w:color="000000" w:sz="4" w:space="0"/>
              <w:right w:val="single" w:color="000000" w:sz="4" w:space="0"/>
            </w:tcBorders>
            <w:tcMar>
              <w:left w:w="28" w:type="dxa"/>
              <w:right w:w="28" w:type="dxa"/>
            </w:tcMar>
          </w:tcPr>
          <w:p w14:paraId="7404EFC7">
            <w:pPr>
              <w:spacing w:line="260" w:lineRule="exact"/>
              <w:rPr>
                <w:rFonts w:ascii="宋体" w:hAnsi="宋体" w:cs="宋体"/>
                <w:sz w:val="18"/>
                <w:highlight w:val="none"/>
              </w:rPr>
            </w:pPr>
            <w:r>
              <w:rPr>
                <w:rFonts w:hint="eastAsia" w:ascii="宋体" w:hAnsi="宋体" w:cs="宋体"/>
                <w:sz w:val="18"/>
                <w:szCs w:val="18"/>
                <w:highlight w:val="none"/>
              </w:rPr>
              <w:t>编写并上报绿色施工方案，编制绿色施工总结，配合业主项目部申报绿色示范工程。（2分）</w:t>
            </w:r>
          </w:p>
        </w:tc>
        <w:tc>
          <w:tcPr>
            <w:tcW w:w="3890" w:type="dxa"/>
            <w:tcBorders>
              <w:top w:val="nil"/>
              <w:left w:val="single" w:color="000000" w:sz="4" w:space="0"/>
              <w:bottom w:val="single" w:color="000000" w:sz="4" w:space="0"/>
              <w:right w:val="single" w:color="000000" w:sz="4" w:space="0"/>
            </w:tcBorders>
            <w:tcMar>
              <w:left w:w="28" w:type="dxa"/>
              <w:right w:w="28" w:type="dxa"/>
            </w:tcMar>
          </w:tcPr>
          <w:p w14:paraId="7B889313">
            <w:pPr>
              <w:spacing w:line="260" w:lineRule="exact"/>
              <w:jc w:val="left"/>
              <w:rPr>
                <w:rFonts w:ascii="宋体" w:hAnsi="宋体" w:cs="宋体"/>
                <w:sz w:val="18"/>
                <w:highlight w:val="none"/>
              </w:rPr>
            </w:pPr>
            <w:r>
              <w:rPr>
                <w:rFonts w:hint="eastAsia" w:ascii="宋体" w:hAnsi="宋体" w:cs="宋体"/>
                <w:sz w:val="18"/>
                <w:highlight w:val="none"/>
              </w:rPr>
              <w:t>（1）未及时编写并上报绿色施工方案，开展“四节一环保”活动，扣1分；</w:t>
            </w:r>
          </w:p>
          <w:p w14:paraId="302E23B7">
            <w:pPr>
              <w:spacing w:line="260" w:lineRule="exact"/>
              <w:jc w:val="left"/>
              <w:rPr>
                <w:rFonts w:ascii="宋体" w:hAnsi="宋体" w:cs="宋体"/>
                <w:sz w:val="18"/>
                <w:highlight w:val="none"/>
              </w:rPr>
            </w:pPr>
            <w:r>
              <w:rPr>
                <w:rFonts w:hint="eastAsia" w:ascii="宋体" w:hAnsi="宋体" w:cs="宋体"/>
                <w:sz w:val="18"/>
                <w:highlight w:val="none"/>
              </w:rPr>
              <w:t>（2）未及时编制绿色施工总结，扣1分；</w:t>
            </w:r>
          </w:p>
          <w:p w14:paraId="3F082191">
            <w:pPr>
              <w:spacing w:line="260" w:lineRule="exact"/>
              <w:jc w:val="left"/>
              <w:rPr>
                <w:color w:val="000000"/>
                <w:sz w:val="18"/>
                <w:highlight w:val="none"/>
              </w:rPr>
            </w:pPr>
            <w:r>
              <w:rPr>
                <w:rFonts w:hint="eastAsia" w:ascii="宋体" w:hAnsi="宋体" w:cs="宋体"/>
                <w:sz w:val="18"/>
                <w:highlight w:val="none"/>
              </w:rPr>
              <w:t>（3）未配合业主项目部申报绿色示范工程，扣1分。</w:t>
            </w:r>
          </w:p>
        </w:tc>
        <w:tc>
          <w:tcPr>
            <w:tcW w:w="1117" w:type="dxa"/>
            <w:tcMar>
              <w:left w:w="28" w:type="dxa"/>
              <w:right w:w="28" w:type="dxa"/>
            </w:tcMar>
            <w:vAlign w:val="center"/>
          </w:tcPr>
          <w:p w14:paraId="1A4F029A">
            <w:pPr>
              <w:spacing w:line="260" w:lineRule="exact"/>
              <w:rPr>
                <w:rFonts w:ascii="宋体" w:hAnsi="宋体" w:cs="宋体"/>
                <w:sz w:val="18"/>
                <w:highlight w:val="none"/>
              </w:rPr>
            </w:pPr>
          </w:p>
        </w:tc>
        <w:tc>
          <w:tcPr>
            <w:tcW w:w="1020" w:type="dxa"/>
            <w:tcMar>
              <w:left w:w="28" w:type="dxa"/>
              <w:right w:w="28" w:type="dxa"/>
            </w:tcMar>
            <w:vAlign w:val="center"/>
          </w:tcPr>
          <w:p w14:paraId="01495A77">
            <w:pPr>
              <w:spacing w:line="260" w:lineRule="exact"/>
              <w:jc w:val="center"/>
              <w:rPr>
                <w:rFonts w:ascii="宋体" w:hAnsi="宋体" w:cs="宋体"/>
                <w:sz w:val="18"/>
                <w:highlight w:val="none"/>
              </w:rPr>
            </w:pPr>
          </w:p>
        </w:tc>
      </w:tr>
      <w:tr w14:paraId="65AA53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24" w:hRule="atLeast"/>
          <w:jc w:val="center"/>
        </w:trPr>
        <w:tc>
          <w:tcPr>
            <w:tcW w:w="547" w:type="dxa"/>
            <w:shd w:val="clear" w:color="auto" w:fill="BEBEBE"/>
            <w:tcMar>
              <w:left w:w="28" w:type="dxa"/>
              <w:right w:w="28" w:type="dxa"/>
            </w:tcMar>
            <w:vAlign w:val="center"/>
          </w:tcPr>
          <w:p w14:paraId="4D34A772">
            <w:pPr>
              <w:jc w:val="center"/>
              <w:rPr>
                <w:rFonts w:ascii="宋体" w:hAnsi="宋体" w:cs="宋体"/>
                <w:sz w:val="18"/>
                <w:highlight w:val="none"/>
              </w:rPr>
            </w:pPr>
            <w:r>
              <w:rPr>
                <w:rFonts w:hint="eastAsia" w:ascii="宋体" w:hAnsi="宋体" w:cs="宋体"/>
                <w:sz w:val="18"/>
                <w:highlight w:val="none"/>
              </w:rPr>
              <w:t>10</w:t>
            </w:r>
          </w:p>
        </w:tc>
        <w:tc>
          <w:tcPr>
            <w:tcW w:w="12302" w:type="dxa"/>
            <w:gridSpan w:val="6"/>
            <w:shd w:val="clear" w:color="auto" w:fill="BEBEBE"/>
            <w:tcMar>
              <w:left w:w="28" w:type="dxa"/>
              <w:right w:w="28" w:type="dxa"/>
            </w:tcMar>
            <w:vAlign w:val="center"/>
          </w:tcPr>
          <w:p w14:paraId="74680943">
            <w:pPr>
              <w:rPr>
                <w:rFonts w:ascii="宋体" w:hAnsi="宋体" w:cs="宋体"/>
                <w:sz w:val="18"/>
                <w:highlight w:val="none"/>
              </w:rPr>
            </w:pPr>
            <w:r>
              <w:rPr>
                <w:rFonts w:hint="eastAsia"/>
                <w:b/>
                <w:color w:val="000000"/>
                <w:sz w:val="18"/>
                <w:szCs w:val="18"/>
                <w:highlight w:val="none"/>
              </w:rPr>
              <w:t>工作成效（10分）</w:t>
            </w:r>
          </w:p>
        </w:tc>
      </w:tr>
      <w:tr w14:paraId="31D2BD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1325" w:hRule="atLeast"/>
          <w:jc w:val="center"/>
        </w:trPr>
        <w:tc>
          <w:tcPr>
            <w:tcW w:w="547" w:type="dxa"/>
            <w:tcMar>
              <w:left w:w="28" w:type="dxa"/>
              <w:right w:w="28" w:type="dxa"/>
            </w:tcMar>
            <w:vAlign w:val="center"/>
          </w:tcPr>
          <w:p w14:paraId="1FECCB6A">
            <w:pPr>
              <w:jc w:val="center"/>
              <w:rPr>
                <w:b/>
                <w:bCs/>
                <w:color w:val="000000"/>
                <w:sz w:val="18"/>
                <w:szCs w:val="18"/>
                <w:highlight w:val="none"/>
              </w:rPr>
            </w:pPr>
            <w:r>
              <w:rPr>
                <w:rFonts w:hint="eastAsia"/>
                <w:b/>
                <w:bCs/>
                <w:color w:val="000000"/>
                <w:sz w:val="18"/>
                <w:szCs w:val="18"/>
                <w:highlight w:val="none"/>
              </w:rPr>
              <w:t>10.1</w:t>
            </w:r>
          </w:p>
        </w:tc>
        <w:tc>
          <w:tcPr>
            <w:tcW w:w="1976" w:type="dxa"/>
            <w:tcMar>
              <w:left w:w="28" w:type="dxa"/>
              <w:right w:w="28" w:type="dxa"/>
            </w:tcMar>
            <w:vAlign w:val="center"/>
          </w:tcPr>
          <w:p w14:paraId="2C97D49D">
            <w:pPr>
              <w:pStyle w:val="46"/>
              <w:adjustRightInd w:val="0"/>
              <w:snapToGrid w:val="0"/>
              <w:rPr>
                <w:b/>
                <w:bCs/>
                <w:color w:val="000000"/>
                <w:sz w:val="18"/>
                <w:szCs w:val="18"/>
                <w:highlight w:val="none"/>
                <w:lang w:val="en-US"/>
              </w:rPr>
            </w:pPr>
            <w:r>
              <w:rPr>
                <w:rFonts w:hint="eastAsia" w:ascii="Times New Roman" w:hAnsi="Times New Roman" w:cs="Times New Roman"/>
                <w:b/>
                <w:bCs/>
                <w:color w:val="000000"/>
                <w:sz w:val="18"/>
                <w:szCs w:val="18"/>
                <w:highlight w:val="none"/>
                <w:lang w:val="en-US" w:bidi="ar-SA"/>
              </w:rPr>
              <w:t>工作成效</w:t>
            </w:r>
          </w:p>
        </w:tc>
        <w:tc>
          <w:tcPr>
            <w:tcW w:w="951" w:type="dxa"/>
            <w:tcMar>
              <w:left w:w="28" w:type="dxa"/>
              <w:right w:w="28" w:type="dxa"/>
            </w:tcMar>
            <w:vAlign w:val="center"/>
          </w:tcPr>
          <w:p w14:paraId="76DC8667">
            <w:pPr>
              <w:pStyle w:val="46"/>
              <w:adjustRightInd w:val="0"/>
              <w:snapToGrid w:val="0"/>
              <w:jc w:val="center"/>
              <w:rPr>
                <w:b/>
                <w:color w:val="000000"/>
                <w:sz w:val="18"/>
                <w:szCs w:val="18"/>
                <w:highlight w:val="none"/>
                <w:lang w:val="en-US"/>
              </w:rPr>
            </w:pPr>
            <w:r>
              <w:rPr>
                <w:rFonts w:hint="eastAsia" w:ascii="Times New Roman" w:hAnsi="Times New Roman" w:cs="Times New Roman"/>
                <w:color w:val="000000"/>
                <w:sz w:val="18"/>
                <w:szCs w:val="18"/>
                <w:highlight w:val="none"/>
                <w:lang w:val="en-US" w:bidi="ar-SA"/>
              </w:rPr>
              <w:t>10</w:t>
            </w:r>
          </w:p>
        </w:tc>
        <w:tc>
          <w:tcPr>
            <w:tcW w:w="3348" w:type="dxa"/>
            <w:tcBorders>
              <w:top w:val="nil"/>
              <w:left w:val="single" w:color="000000" w:sz="4" w:space="0"/>
              <w:bottom w:val="single" w:color="000000" w:sz="4" w:space="0"/>
              <w:right w:val="single" w:color="000000" w:sz="4" w:space="0"/>
            </w:tcBorders>
            <w:tcMar>
              <w:left w:w="28" w:type="dxa"/>
              <w:right w:w="28" w:type="dxa"/>
            </w:tcMar>
            <w:vAlign w:val="center"/>
          </w:tcPr>
          <w:p w14:paraId="222B6040">
            <w:pPr>
              <w:pStyle w:val="46"/>
              <w:adjustRightInd w:val="0"/>
              <w:snapToGrid w:val="0"/>
              <w:rPr>
                <w:rFonts w:ascii="Times New Roman" w:hAnsi="Times New Roman" w:cs="Times New Roman"/>
                <w:color w:val="000000"/>
                <w:sz w:val="18"/>
                <w:szCs w:val="18"/>
                <w:highlight w:val="none"/>
                <w:lang w:val="en-US" w:bidi="ar-SA"/>
              </w:rPr>
            </w:pPr>
            <w:r>
              <w:rPr>
                <w:rFonts w:hint="eastAsia" w:ascii="Times New Roman" w:hAnsi="Times New Roman" w:cs="Times New Roman"/>
                <w:color w:val="000000"/>
                <w:sz w:val="18"/>
                <w:szCs w:val="18"/>
                <w:highlight w:val="none"/>
                <w:lang w:val="en-US" w:bidi="ar-SA"/>
              </w:rPr>
              <w:t>按照业主项目部职责开展相关工作；</w:t>
            </w:r>
          </w:p>
          <w:p w14:paraId="4E5B9DB1">
            <w:pPr>
              <w:pStyle w:val="46"/>
              <w:adjustRightInd w:val="0"/>
              <w:snapToGrid w:val="0"/>
              <w:rPr>
                <w:rFonts w:ascii="Times New Roman" w:hAnsi="Times New Roman" w:cs="Times New Roman"/>
                <w:color w:val="000000"/>
                <w:sz w:val="18"/>
                <w:szCs w:val="18"/>
                <w:highlight w:val="none"/>
                <w:lang w:val="en-US" w:bidi="ar-SA"/>
              </w:rPr>
            </w:pPr>
            <w:r>
              <w:rPr>
                <w:rFonts w:hint="eastAsia" w:ascii="Times New Roman" w:hAnsi="Times New Roman" w:cs="Times New Roman"/>
                <w:color w:val="000000"/>
                <w:sz w:val="18"/>
                <w:szCs w:val="18"/>
                <w:highlight w:val="none"/>
                <w:lang w:val="en-US" w:bidi="ar-SA"/>
              </w:rPr>
              <w:t>落实公司安排的工作任务及公司管理要求；严格现场管控避免出现施工项目部工作原因导致各类舆情事件、安全事件、质量事件、上访事件等影响公司事件发生。（10分）</w:t>
            </w:r>
          </w:p>
        </w:tc>
        <w:tc>
          <w:tcPr>
            <w:tcW w:w="3890" w:type="dxa"/>
            <w:tcBorders>
              <w:top w:val="nil"/>
              <w:left w:val="single" w:color="000000" w:sz="4" w:space="0"/>
              <w:bottom w:val="single" w:color="000000" w:sz="4" w:space="0"/>
              <w:right w:val="single" w:color="000000" w:sz="4" w:space="0"/>
            </w:tcBorders>
            <w:tcMar>
              <w:left w:w="28" w:type="dxa"/>
              <w:right w:w="28" w:type="dxa"/>
            </w:tcMar>
            <w:vAlign w:val="center"/>
          </w:tcPr>
          <w:p w14:paraId="038AB686">
            <w:pPr>
              <w:pStyle w:val="46"/>
              <w:adjustRightInd w:val="0"/>
              <w:snapToGrid w:val="0"/>
              <w:jc w:val="left"/>
              <w:rPr>
                <w:rFonts w:ascii="Times New Roman" w:hAnsi="Times New Roman" w:cs="Times New Roman"/>
                <w:color w:val="000000"/>
                <w:sz w:val="18"/>
                <w:szCs w:val="18"/>
                <w:highlight w:val="none"/>
                <w:lang w:val="en-US" w:bidi="ar-SA"/>
              </w:rPr>
            </w:pPr>
            <w:r>
              <w:rPr>
                <w:rFonts w:hint="eastAsia" w:ascii="Times New Roman" w:hAnsi="Times New Roman" w:cs="Times New Roman"/>
                <w:color w:val="000000"/>
                <w:sz w:val="18"/>
                <w:szCs w:val="18"/>
                <w:highlight w:val="none"/>
                <w:lang w:val="en-US" w:bidi="ar-SA"/>
              </w:rPr>
              <w:t>（1）业主项目部安排工作任务未落实每项扣2分；落实质量不符合要求每项扣1分；</w:t>
            </w:r>
          </w:p>
          <w:p w14:paraId="7F67F8D5">
            <w:pPr>
              <w:pStyle w:val="46"/>
              <w:adjustRightInd w:val="0"/>
              <w:snapToGrid w:val="0"/>
              <w:jc w:val="left"/>
              <w:rPr>
                <w:sz w:val="18"/>
                <w:highlight w:val="none"/>
                <w:lang w:val="en-US"/>
              </w:rPr>
            </w:pPr>
            <w:r>
              <w:rPr>
                <w:rFonts w:hint="eastAsia" w:ascii="Times New Roman" w:hAnsi="Times New Roman" w:cs="Times New Roman"/>
                <w:color w:val="000000"/>
                <w:sz w:val="18"/>
                <w:szCs w:val="18"/>
                <w:highlight w:val="none"/>
                <w:lang w:val="en-US" w:bidi="ar-SA"/>
              </w:rPr>
              <w:t>（2）发生因施工项目部工作原因导致各类舆情事件、安全事件、质量事件、上访事件等影响公司事件每次扣5分。</w:t>
            </w:r>
          </w:p>
        </w:tc>
        <w:tc>
          <w:tcPr>
            <w:tcW w:w="1117" w:type="dxa"/>
            <w:tcMar>
              <w:left w:w="28" w:type="dxa"/>
              <w:right w:w="28" w:type="dxa"/>
            </w:tcMar>
            <w:vAlign w:val="center"/>
          </w:tcPr>
          <w:p w14:paraId="411ED5CF">
            <w:pPr>
              <w:spacing w:line="260" w:lineRule="exact"/>
              <w:rPr>
                <w:rFonts w:ascii="宋体" w:hAnsi="宋体" w:cs="宋体"/>
                <w:sz w:val="18"/>
                <w:highlight w:val="none"/>
              </w:rPr>
            </w:pPr>
          </w:p>
        </w:tc>
        <w:tc>
          <w:tcPr>
            <w:tcW w:w="1020" w:type="dxa"/>
            <w:tcMar>
              <w:left w:w="28" w:type="dxa"/>
              <w:right w:w="28" w:type="dxa"/>
            </w:tcMar>
            <w:vAlign w:val="center"/>
          </w:tcPr>
          <w:p w14:paraId="6F42A12C">
            <w:pPr>
              <w:spacing w:line="260" w:lineRule="exact"/>
              <w:rPr>
                <w:rFonts w:ascii="宋体" w:hAnsi="宋体" w:cs="宋体"/>
                <w:sz w:val="18"/>
                <w:highlight w:val="none"/>
              </w:rPr>
            </w:pPr>
          </w:p>
        </w:tc>
      </w:tr>
      <w:tr w14:paraId="0FC664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454" w:hRule="atLeast"/>
          <w:jc w:val="center"/>
        </w:trPr>
        <w:tc>
          <w:tcPr>
            <w:tcW w:w="10712" w:type="dxa"/>
            <w:gridSpan w:val="5"/>
            <w:tcBorders>
              <w:right w:val="single" w:color="000000" w:sz="4" w:space="0"/>
            </w:tcBorders>
            <w:tcMar>
              <w:left w:w="28" w:type="dxa"/>
              <w:right w:w="28" w:type="dxa"/>
            </w:tcMar>
            <w:vAlign w:val="center"/>
          </w:tcPr>
          <w:p w14:paraId="5E7D9DE2">
            <w:pPr>
              <w:pStyle w:val="46"/>
              <w:adjustRightInd w:val="0"/>
              <w:snapToGrid w:val="0"/>
              <w:jc w:val="center"/>
              <w:rPr>
                <w:rFonts w:ascii="Times New Roman" w:hAnsi="Times New Roman" w:cs="Times New Roman"/>
                <w:color w:val="000000"/>
                <w:sz w:val="18"/>
                <w:szCs w:val="18"/>
                <w:highlight w:val="none"/>
                <w:lang w:val="en-US" w:bidi="ar-SA"/>
              </w:rPr>
            </w:pPr>
            <w:r>
              <w:rPr>
                <w:rFonts w:hint="eastAsia" w:ascii="Times New Roman" w:hAnsi="Times New Roman" w:cs="Times New Roman"/>
                <w:color w:val="000000"/>
                <w:sz w:val="18"/>
                <w:szCs w:val="18"/>
                <w:highlight w:val="none"/>
                <w:lang w:val="en-US" w:bidi="ar-SA"/>
              </w:rPr>
              <w:t>合计得分</w:t>
            </w:r>
          </w:p>
        </w:tc>
        <w:tc>
          <w:tcPr>
            <w:tcW w:w="1117" w:type="dxa"/>
            <w:tcMar>
              <w:left w:w="28" w:type="dxa"/>
              <w:right w:w="28" w:type="dxa"/>
            </w:tcMar>
            <w:vAlign w:val="center"/>
          </w:tcPr>
          <w:p w14:paraId="5B543835">
            <w:pPr>
              <w:rPr>
                <w:rFonts w:ascii="宋体" w:hAnsi="宋体" w:cs="宋体"/>
                <w:sz w:val="18"/>
                <w:highlight w:val="none"/>
              </w:rPr>
            </w:pPr>
          </w:p>
        </w:tc>
        <w:tc>
          <w:tcPr>
            <w:tcW w:w="1020" w:type="dxa"/>
            <w:tcMar>
              <w:left w:w="28" w:type="dxa"/>
              <w:right w:w="28" w:type="dxa"/>
            </w:tcMar>
            <w:vAlign w:val="center"/>
          </w:tcPr>
          <w:p w14:paraId="699949BC">
            <w:pPr>
              <w:rPr>
                <w:rFonts w:ascii="宋体" w:hAnsi="宋体" w:cs="宋体"/>
                <w:sz w:val="18"/>
                <w:highlight w:val="none"/>
              </w:rPr>
            </w:pPr>
          </w:p>
        </w:tc>
      </w:tr>
    </w:tbl>
    <w:p w14:paraId="1869B9F1">
      <w:pPr>
        <w:ind w:firstLine="420" w:firstLineChars="200"/>
        <w:rPr>
          <w:highlight w:val="none"/>
        </w:rPr>
      </w:pPr>
      <w:r>
        <w:rPr>
          <w:rFonts w:hint="eastAsia"/>
          <w:highlight w:val="none"/>
        </w:rPr>
        <w:t>备注：1. 每分项扣分最多不超过本分项标准分值。</w:t>
      </w:r>
    </w:p>
    <w:p w14:paraId="22FA003F">
      <w:pPr>
        <w:numPr>
          <w:ilvl w:val="0"/>
          <w:numId w:val="14"/>
        </w:numPr>
        <w:ind w:firstLine="1050" w:firstLineChars="500"/>
        <w:rPr>
          <w:highlight w:val="none"/>
        </w:rPr>
      </w:pPr>
      <w:r>
        <w:rPr>
          <w:rFonts w:hint="eastAsia"/>
          <w:highlight w:val="none"/>
        </w:rPr>
        <w:t>每月由业主项目部按《施工承包商现场过程评价细则》进行评分。</w:t>
      </w:r>
    </w:p>
    <w:p w14:paraId="7DF637B0">
      <w:pPr>
        <w:rPr>
          <w:highlight w:val="none"/>
        </w:rPr>
      </w:pPr>
    </w:p>
    <w:p w14:paraId="29AAD769">
      <w:pPr>
        <w:rPr>
          <w:b/>
          <w:bCs/>
          <w:highlight w:val="none"/>
        </w:rPr>
      </w:pPr>
      <w:r>
        <w:rPr>
          <w:rFonts w:hint="eastAsia"/>
          <w:highlight w:val="none"/>
        </w:rPr>
        <w:t xml:space="preserve">施工项目经理（签名、盖章）                 年   月   日                   业主项目经理（签名）：           年   月   日         </w:t>
      </w:r>
    </w:p>
    <w:p w14:paraId="06C48988">
      <w:pPr>
        <w:jc w:val="center"/>
        <w:rPr>
          <w:b/>
          <w:bCs/>
          <w:highlight w:val="none"/>
        </w:rPr>
      </w:pPr>
    </w:p>
    <w:p w14:paraId="7C118D89">
      <w:pPr>
        <w:spacing w:line="360" w:lineRule="auto"/>
        <w:jc w:val="center"/>
        <w:rPr>
          <w:b/>
          <w:sz w:val="32"/>
          <w:szCs w:val="32"/>
          <w:highlight w:val="none"/>
        </w:rPr>
        <w:sectPr>
          <w:pgSz w:w="16838" w:h="11906" w:orient="landscape"/>
          <w:pgMar w:top="1247" w:right="1701" w:bottom="1247" w:left="1560" w:header="851" w:footer="992" w:gutter="0"/>
          <w:cols w:space="720" w:num="1"/>
          <w:docGrid w:type="lines" w:linePitch="312" w:charSpace="0"/>
        </w:sectPr>
      </w:pPr>
    </w:p>
    <w:p w14:paraId="498C63C0">
      <w:pPr>
        <w:spacing w:line="360" w:lineRule="auto"/>
        <w:jc w:val="center"/>
        <w:outlineLvl w:val="0"/>
        <w:rPr>
          <w:b/>
          <w:sz w:val="32"/>
          <w:szCs w:val="32"/>
          <w:highlight w:val="none"/>
        </w:rPr>
      </w:pPr>
      <w:r>
        <w:rPr>
          <w:rFonts w:hint="eastAsia"/>
          <w:b/>
          <w:sz w:val="32"/>
          <w:szCs w:val="32"/>
          <w:highlight w:val="none"/>
        </w:rPr>
        <w:t>施工项目部现场履约总体评价加分表</w:t>
      </w:r>
    </w:p>
    <w:tbl>
      <w:tblPr>
        <w:tblStyle w:val="15"/>
        <w:tblW w:w="140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631"/>
        <w:gridCol w:w="3396"/>
        <w:gridCol w:w="740"/>
        <w:gridCol w:w="6364"/>
        <w:gridCol w:w="1108"/>
        <w:gridCol w:w="1026"/>
        <w:gridCol w:w="799"/>
      </w:tblGrid>
      <w:tr w14:paraId="181074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17" w:hRule="atLeast"/>
          <w:tblHeader/>
        </w:trPr>
        <w:tc>
          <w:tcPr>
            <w:tcW w:w="631" w:type="dxa"/>
            <w:tcMar>
              <w:left w:w="28" w:type="dxa"/>
              <w:right w:w="28" w:type="dxa"/>
            </w:tcMar>
            <w:vAlign w:val="center"/>
          </w:tcPr>
          <w:p w14:paraId="392D4F18">
            <w:pPr>
              <w:jc w:val="center"/>
              <w:rPr>
                <w:b/>
                <w:color w:val="000000"/>
                <w:szCs w:val="21"/>
                <w:highlight w:val="none"/>
              </w:rPr>
            </w:pPr>
            <w:r>
              <w:rPr>
                <w:rFonts w:hint="eastAsia"/>
                <w:b/>
                <w:color w:val="000000"/>
                <w:szCs w:val="21"/>
                <w:highlight w:val="none"/>
              </w:rPr>
              <w:t>序号</w:t>
            </w:r>
          </w:p>
        </w:tc>
        <w:tc>
          <w:tcPr>
            <w:tcW w:w="3396" w:type="dxa"/>
            <w:vAlign w:val="center"/>
          </w:tcPr>
          <w:p w14:paraId="7816F9DD">
            <w:pPr>
              <w:jc w:val="center"/>
              <w:rPr>
                <w:b/>
                <w:color w:val="000000"/>
                <w:szCs w:val="21"/>
                <w:highlight w:val="none"/>
              </w:rPr>
            </w:pPr>
            <w:r>
              <w:rPr>
                <w:rFonts w:hint="eastAsia"/>
                <w:b/>
                <w:color w:val="000000"/>
                <w:szCs w:val="21"/>
                <w:highlight w:val="none"/>
              </w:rPr>
              <w:t>评价内容</w:t>
            </w:r>
          </w:p>
        </w:tc>
        <w:tc>
          <w:tcPr>
            <w:tcW w:w="740" w:type="dxa"/>
            <w:tcMar>
              <w:left w:w="28" w:type="dxa"/>
              <w:right w:w="28" w:type="dxa"/>
            </w:tcMar>
            <w:vAlign w:val="center"/>
          </w:tcPr>
          <w:p w14:paraId="0DC93C68">
            <w:pPr>
              <w:jc w:val="center"/>
              <w:rPr>
                <w:b/>
                <w:color w:val="000000"/>
                <w:szCs w:val="21"/>
                <w:highlight w:val="none"/>
              </w:rPr>
            </w:pPr>
            <w:r>
              <w:rPr>
                <w:rFonts w:hint="eastAsia"/>
                <w:b/>
                <w:color w:val="000000"/>
                <w:szCs w:val="21"/>
                <w:highlight w:val="none"/>
              </w:rPr>
              <w:t>标准分</w:t>
            </w:r>
          </w:p>
        </w:tc>
        <w:tc>
          <w:tcPr>
            <w:tcW w:w="6364" w:type="dxa"/>
            <w:vAlign w:val="center"/>
          </w:tcPr>
          <w:p w14:paraId="3ADA933C">
            <w:pPr>
              <w:jc w:val="center"/>
              <w:rPr>
                <w:b/>
                <w:color w:val="000000"/>
                <w:szCs w:val="21"/>
                <w:highlight w:val="none"/>
              </w:rPr>
            </w:pPr>
            <w:r>
              <w:rPr>
                <w:rFonts w:hint="eastAsia"/>
                <w:b/>
                <w:color w:val="000000"/>
                <w:szCs w:val="21"/>
                <w:highlight w:val="none"/>
              </w:rPr>
              <w:t>扣分标准</w:t>
            </w:r>
          </w:p>
        </w:tc>
        <w:tc>
          <w:tcPr>
            <w:tcW w:w="1108" w:type="dxa"/>
            <w:tcMar>
              <w:left w:w="28" w:type="dxa"/>
              <w:right w:w="28" w:type="dxa"/>
            </w:tcMar>
            <w:vAlign w:val="center"/>
          </w:tcPr>
          <w:p w14:paraId="17FC1F13">
            <w:pPr>
              <w:jc w:val="center"/>
              <w:rPr>
                <w:b/>
                <w:color w:val="000000"/>
                <w:szCs w:val="21"/>
                <w:highlight w:val="none"/>
              </w:rPr>
            </w:pPr>
            <w:r>
              <w:rPr>
                <w:rFonts w:hint="eastAsia"/>
                <w:b/>
                <w:color w:val="000000"/>
                <w:szCs w:val="21"/>
                <w:highlight w:val="none"/>
              </w:rPr>
              <w:t>检查方法</w:t>
            </w:r>
          </w:p>
        </w:tc>
        <w:tc>
          <w:tcPr>
            <w:tcW w:w="1026" w:type="dxa"/>
            <w:vAlign w:val="center"/>
          </w:tcPr>
          <w:p w14:paraId="01457F22">
            <w:pPr>
              <w:jc w:val="center"/>
              <w:rPr>
                <w:b/>
                <w:color w:val="000000"/>
                <w:szCs w:val="21"/>
                <w:highlight w:val="none"/>
              </w:rPr>
            </w:pPr>
            <w:r>
              <w:rPr>
                <w:rFonts w:hint="eastAsia"/>
                <w:b/>
                <w:color w:val="000000"/>
                <w:szCs w:val="21"/>
                <w:highlight w:val="none"/>
              </w:rPr>
              <w:t>责任部门</w:t>
            </w:r>
          </w:p>
        </w:tc>
        <w:tc>
          <w:tcPr>
            <w:tcW w:w="799" w:type="dxa"/>
            <w:vAlign w:val="center"/>
          </w:tcPr>
          <w:p w14:paraId="1A54B709">
            <w:pPr>
              <w:jc w:val="center"/>
              <w:rPr>
                <w:b/>
                <w:color w:val="000000"/>
                <w:szCs w:val="21"/>
                <w:highlight w:val="none"/>
              </w:rPr>
            </w:pPr>
            <w:r>
              <w:rPr>
                <w:rFonts w:hint="eastAsia"/>
                <w:b/>
                <w:color w:val="000000"/>
                <w:szCs w:val="21"/>
                <w:highlight w:val="none"/>
              </w:rPr>
              <w:t>得分</w:t>
            </w:r>
          </w:p>
        </w:tc>
      </w:tr>
      <w:tr w14:paraId="3C43CA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155" w:hRule="atLeast"/>
          <w:tblHeader/>
        </w:trPr>
        <w:tc>
          <w:tcPr>
            <w:tcW w:w="631" w:type="dxa"/>
            <w:tcMar>
              <w:left w:w="28" w:type="dxa"/>
              <w:right w:w="28" w:type="dxa"/>
            </w:tcMar>
            <w:vAlign w:val="center"/>
          </w:tcPr>
          <w:p w14:paraId="4DF8B7A2">
            <w:pPr>
              <w:jc w:val="center"/>
              <w:rPr>
                <w:color w:val="000000"/>
                <w:sz w:val="18"/>
                <w:szCs w:val="18"/>
                <w:highlight w:val="none"/>
              </w:rPr>
            </w:pPr>
            <w:r>
              <w:rPr>
                <w:rFonts w:hint="eastAsia"/>
                <w:color w:val="000000"/>
                <w:sz w:val="18"/>
                <w:szCs w:val="18"/>
                <w:highlight w:val="none"/>
              </w:rPr>
              <w:t>1</w:t>
            </w:r>
          </w:p>
        </w:tc>
        <w:tc>
          <w:tcPr>
            <w:tcW w:w="3396" w:type="dxa"/>
            <w:vAlign w:val="center"/>
          </w:tcPr>
          <w:p w14:paraId="2463BA89">
            <w:pPr>
              <w:rPr>
                <w:color w:val="000000"/>
                <w:sz w:val="18"/>
                <w:szCs w:val="18"/>
                <w:highlight w:val="none"/>
              </w:rPr>
            </w:pPr>
            <w:r>
              <w:rPr>
                <w:rFonts w:hint="eastAsia"/>
                <w:color w:val="000000"/>
                <w:sz w:val="18"/>
                <w:szCs w:val="18"/>
                <w:highlight w:val="none"/>
              </w:rPr>
              <w:t>获得建管单位或国家电网公司及以上通报表扬。</w:t>
            </w:r>
          </w:p>
        </w:tc>
        <w:tc>
          <w:tcPr>
            <w:tcW w:w="740" w:type="dxa"/>
            <w:tcMar>
              <w:left w:w="28" w:type="dxa"/>
              <w:right w:w="28" w:type="dxa"/>
            </w:tcMar>
            <w:vAlign w:val="center"/>
          </w:tcPr>
          <w:p w14:paraId="6BE221CC">
            <w:pPr>
              <w:jc w:val="center"/>
              <w:rPr>
                <w:color w:val="000000"/>
                <w:sz w:val="18"/>
                <w:szCs w:val="18"/>
                <w:highlight w:val="none"/>
              </w:rPr>
            </w:pPr>
            <w:r>
              <w:rPr>
                <w:rFonts w:hint="eastAsia"/>
                <w:color w:val="000000"/>
                <w:sz w:val="18"/>
                <w:szCs w:val="18"/>
                <w:highlight w:val="none"/>
              </w:rPr>
              <w:t>2</w:t>
            </w:r>
          </w:p>
        </w:tc>
        <w:tc>
          <w:tcPr>
            <w:tcW w:w="6364" w:type="dxa"/>
            <w:vAlign w:val="center"/>
          </w:tcPr>
          <w:p w14:paraId="49E68944">
            <w:pPr>
              <w:rPr>
                <w:color w:val="000000"/>
                <w:sz w:val="18"/>
                <w:szCs w:val="18"/>
                <w:highlight w:val="none"/>
              </w:rPr>
            </w:pPr>
            <w:r>
              <w:rPr>
                <w:rFonts w:hint="eastAsia"/>
                <w:color w:val="000000"/>
                <w:sz w:val="18"/>
                <w:szCs w:val="18"/>
                <w:highlight w:val="none"/>
              </w:rPr>
              <w:t>国网公司及以上发文表扬一次加1分；建设管理单位发文表扬一次加0.5分</w:t>
            </w:r>
          </w:p>
        </w:tc>
        <w:tc>
          <w:tcPr>
            <w:tcW w:w="1108" w:type="dxa"/>
            <w:tcMar>
              <w:left w:w="28" w:type="dxa"/>
              <w:right w:w="28" w:type="dxa"/>
            </w:tcMar>
            <w:vAlign w:val="center"/>
          </w:tcPr>
          <w:p w14:paraId="7FB2872B">
            <w:pPr>
              <w:rPr>
                <w:color w:val="000000"/>
                <w:sz w:val="18"/>
                <w:szCs w:val="18"/>
                <w:highlight w:val="none"/>
              </w:rPr>
            </w:pPr>
            <w:r>
              <w:rPr>
                <w:rFonts w:hint="eastAsia"/>
                <w:color w:val="000000"/>
                <w:sz w:val="18"/>
                <w:szCs w:val="18"/>
                <w:highlight w:val="none"/>
              </w:rPr>
              <w:t>查记录</w:t>
            </w:r>
          </w:p>
        </w:tc>
        <w:tc>
          <w:tcPr>
            <w:tcW w:w="1026" w:type="dxa"/>
            <w:vAlign w:val="center"/>
          </w:tcPr>
          <w:p w14:paraId="74E2C005">
            <w:pPr>
              <w:jc w:val="center"/>
              <w:rPr>
                <w:color w:val="000000"/>
                <w:sz w:val="18"/>
                <w:szCs w:val="18"/>
                <w:highlight w:val="none"/>
              </w:rPr>
            </w:pPr>
          </w:p>
        </w:tc>
        <w:tc>
          <w:tcPr>
            <w:tcW w:w="799" w:type="dxa"/>
            <w:vAlign w:val="center"/>
          </w:tcPr>
          <w:p w14:paraId="57A90AA2">
            <w:pPr>
              <w:jc w:val="center"/>
              <w:rPr>
                <w:color w:val="000000"/>
                <w:szCs w:val="21"/>
                <w:highlight w:val="none"/>
              </w:rPr>
            </w:pPr>
          </w:p>
        </w:tc>
      </w:tr>
      <w:tr w14:paraId="0497BE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899" w:hRule="atLeast"/>
          <w:tblHeader/>
        </w:trPr>
        <w:tc>
          <w:tcPr>
            <w:tcW w:w="631" w:type="dxa"/>
            <w:tcMar>
              <w:left w:w="28" w:type="dxa"/>
              <w:right w:w="28" w:type="dxa"/>
            </w:tcMar>
            <w:vAlign w:val="center"/>
          </w:tcPr>
          <w:p w14:paraId="6E6DE2B8">
            <w:pPr>
              <w:jc w:val="center"/>
              <w:rPr>
                <w:color w:val="000000"/>
                <w:sz w:val="18"/>
                <w:szCs w:val="18"/>
                <w:highlight w:val="none"/>
              </w:rPr>
            </w:pPr>
            <w:r>
              <w:rPr>
                <w:rFonts w:hint="eastAsia"/>
                <w:color w:val="000000"/>
                <w:sz w:val="18"/>
                <w:szCs w:val="18"/>
                <w:highlight w:val="none"/>
              </w:rPr>
              <w:t>2</w:t>
            </w:r>
          </w:p>
        </w:tc>
        <w:tc>
          <w:tcPr>
            <w:tcW w:w="3396" w:type="dxa"/>
            <w:vAlign w:val="center"/>
          </w:tcPr>
          <w:p w14:paraId="190868C9">
            <w:pPr>
              <w:rPr>
                <w:color w:val="000000"/>
                <w:sz w:val="18"/>
                <w:szCs w:val="18"/>
                <w:highlight w:val="none"/>
              </w:rPr>
            </w:pPr>
            <w:r>
              <w:rPr>
                <w:rFonts w:hint="eastAsia"/>
                <w:color w:val="000000"/>
                <w:sz w:val="18"/>
                <w:szCs w:val="18"/>
                <w:highlight w:val="none"/>
              </w:rPr>
              <w:t>国家电网公司及以上级别科技进步奖</w:t>
            </w:r>
          </w:p>
        </w:tc>
        <w:tc>
          <w:tcPr>
            <w:tcW w:w="740" w:type="dxa"/>
            <w:tcMar>
              <w:left w:w="28" w:type="dxa"/>
              <w:right w:w="28" w:type="dxa"/>
            </w:tcMar>
            <w:vAlign w:val="center"/>
          </w:tcPr>
          <w:p w14:paraId="618F72B4">
            <w:pPr>
              <w:jc w:val="center"/>
              <w:rPr>
                <w:color w:val="000000"/>
                <w:sz w:val="18"/>
                <w:szCs w:val="18"/>
                <w:highlight w:val="none"/>
              </w:rPr>
            </w:pPr>
            <w:r>
              <w:rPr>
                <w:rFonts w:hint="eastAsia"/>
                <w:color w:val="000000"/>
                <w:sz w:val="18"/>
                <w:szCs w:val="18"/>
                <w:highlight w:val="none"/>
              </w:rPr>
              <w:t>3</w:t>
            </w:r>
          </w:p>
        </w:tc>
        <w:tc>
          <w:tcPr>
            <w:tcW w:w="6364" w:type="dxa"/>
            <w:vAlign w:val="center"/>
          </w:tcPr>
          <w:p w14:paraId="24452823">
            <w:pPr>
              <w:rPr>
                <w:highlight w:val="none"/>
              </w:rPr>
            </w:pPr>
            <w:r>
              <w:rPr>
                <w:rFonts w:hint="eastAsia"/>
                <w:b/>
                <w:bCs/>
                <w:color w:val="000000"/>
                <w:sz w:val="18"/>
                <w:szCs w:val="18"/>
                <w:highlight w:val="none"/>
              </w:rPr>
              <w:t>一等奖及以上：</w:t>
            </w:r>
            <w:r>
              <w:rPr>
                <w:rFonts w:hint="eastAsia"/>
                <w:color w:val="000000"/>
                <w:sz w:val="18"/>
                <w:szCs w:val="18"/>
                <w:highlight w:val="none"/>
              </w:rPr>
              <w:t>建管单位为第一获奖单位的，每项加1分；建管单位为第二获奖单位的，每项加0.5分；</w:t>
            </w:r>
          </w:p>
          <w:p w14:paraId="03B36771">
            <w:pPr>
              <w:rPr>
                <w:color w:val="000000"/>
                <w:sz w:val="18"/>
                <w:szCs w:val="18"/>
                <w:highlight w:val="none"/>
              </w:rPr>
            </w:pPr>
            <w:r>
              <w:rPr>
                <w:rFonts w:hint="eastAsia"/>
                <w:b/>
                <w:bCs/>
                <w:color w:val="000000"/>
                <w:sz w:val="18"/>
                <w:szCs w:val="18"/>
                <w:highlight w:val="none"/>
              </w:rPr>
              <w:t>二等奖及三等奖：</w:t>
            </w:r>
            <w:r>
              <w:rPr>
                <w:rFonts w:hint="eastAsia"/>
                <w:color w:val="000000"/>
                <w:sz w:val="18"/>
                <w:szCs w:val="18"/>
                <w:highlight w:val="none"/>
              </w:rPr>
              <w:t>建管单位为第一获奖单位的，每项加0.5分；建管单位为第二获奖单位的，每项加0.2分；</w:t>
            </w:r>
          </w:p>
        </w:tc>
        <w:tc>
          <w:tcPr>
            <w:tcW w:w="1108" w:type="dxa"/>
            <w:tcMar>
              <w:left w:w="28" w:type="dxa"/>
              <w:right w:w="28" w:type="dxa"/>
            </w:tcMar>
            <w:vAlign w:val="center"/>
          </w:tcPr>
          <w:p w14:paraId="010EF7F6">
            <w:pPr>
              <w:rPr>
                <w:color w:val="000000"/>
                <w:sz w:val="18"/>
                <w:szCs w:val="18"/>
                <w:highlight w:val="none"/>
              </w:rPr>
            </w:pPr>
            <w:r>
              <w:rPr>
                <w:rFonts w:hint="eastAsia"/>
                <w:color w:val="000000"/>
                <w:sz w:val="18"/>
                <w:szCs w:val="18"/>
                <w:highlight w:val="none"/>
              </w:rPr>
              <w:t>查获奖证明</w:t>
            </w:r>
          </w:p>
        </w:tc>
        <w:tc>
          <w:tcPr>
            <w:tcW w:w="1026" w:type="dxa"/>
            <w:vAlign w:val="center"/>
          </w:tcPr>
          <w:p w14:paraId="2B2201E3">
            <w:pPr>
              <w:jc w:val="center"/>
              <w:rPr>
                <w:color w:val="000000"/>
                <w:sz w:val="18"/>
                <w:szCs w:val="18"/>
                <w:highlight w:val="none"/>
              </w:rPr>
            </w:pPr>
          </w:p>
        </w:tc>
        <w:tc>
          <w:tcPr>
            <w:tcW w:w="799" w:type="dxa"/>
            <w:vAlign w:val="center"/>
          </w:tcPr>
          <w:p w14:paraId="4E7547AD">
            <w:pPr>
              <w:jc w:val="center"/>
              <w:rPr>
                <w:color w:val="000000"/>
                <w:szCs w:val="21"/>
                <w:highlight w:val="none"/>
              </w:rPr>
            </w:pPr>
          </w:p>
        </w:tc>
      </w:tr>
      <w:tr w14:paraId="2CE4CC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23" w:hRule="atLeast"/>
          <w:tblHeader/>
        </w:trPr>
        <w:tc>
          <w:tcPr>
            <w:tcW w:w="631" w:type="dxa"/>
            <w:tcMar>
              <w:left w:w="28" w:type="dxa"/>
              <w:right w:w="28" w:type="dxa"/>
            </w:tcMar>
            <w:vAlign w:val="center"/>
          </w:tcPr>
          <w:p w14:paraId="3AA146A5">
            <w:pPr>
              <w:jc w:val="center"/>
              <w:rPr>
                <w:color w:val="000000"/>
                <w:sz w:val="18"/>
                <w:szCs w:val="18"/>
                <w:highlight w:val="none"/>
              </w:rPr>
            </w:pPr>
            <w:r>
              <w:rPr>
                <w:rFonts w:hint="eastAsia"/>
                <w:color w:val="000000"/>
                <w:sz w:val="18"/>
                <w:szCs w:val="18"/>
                <w:highlight w:val="none"/>
              </w:rPr>
              <w:t>3</w:t>
            </w:r>
          </w:p>
        </w:tc>
        <w:tc>
          <w:tcPr>
            <w:tcW w:w="3396" w:type="dxa"/>
            <w:vAlign w:val="center"/>
          </w:tcPr>
          <w:p w14:paraId="23B6B0D6">
            <w:pPr>
              <w:rPr>
                <w:color w:val="000000"/>
                <w:sz w:val="18"/>
                <w:szCs w:val="18"/>
                <w:highlight w:val="none"/>
              </w:rPr>
            </w:pPr>
            <w:r>
              <w:rPr>
                <w:rFonts w:hint="eastAsia"/>
                <w:color w:val="000000"/>
                <w:sz w:val="18"/>
                <w:szCs w:val="18"/>
                <w:highlight w:val="none"/>
              </w:rPr>
              <w:t>专利</w:t>
            </w:r>
          </w:p>
        </w:tc>
        <w:tc>
          <w:tcPr>
            <w:tcW w:w="740" w:type="dxa"/>
            <w:tcMar>
              <w:left w:w="28" w:type="dxa"/>
              <w:right w:w="28" w:type="dxa"/>
            </w:tcMar>
            <w:vAlign w:val="center"/>
          </w:tcPr>
          <w:p w14:paraId="67240880">
            <w:pPr>
              <w:jc w:val="center"/>
              <w:rPr>
                <w:color w:val="000000"/>
                <w:sz w:val="18"/>
                <w:szCs w:val="18"/>
                <w:highlight w:val="none"/>
              </w:rPr>
            </w:pPr>
            <w:r>
              <w:rPr>
                <w:rFonts w:hint="eastAsia"/>
                <w:color w:val="000000"/>
                <w:sz w:val="18"/>
                <w:szCs w:val="18"/>
                <w:highlight w:val="none"/>
              </w:rPr>
              <w:t>2</w:t>
            </w:r>
          </w:p>
        </w:tc>
        <w:tc>
          <w:tcPr>
            <w:tcW w:w="6364" w:type="dxa"/>
            <w:vAlign w:val="center"/>
          </w:tcPr>
          <w:p w14:paraId="1EFCEF09">
            <w:pPr>
              <w:rPr>
                <w:color w:val="000000"/>
                <w:sz w:val="18"/>
                <w:szCs w:val="18"/>
                <w:highlight w:val="none"/>
              </w:rPr>
            </w:pPr>
            <w:r>
              <w:rPr>
                <w:rFonts w:hint="eastAsia"/>
                <w:color w:val="000000"/>
                <w:sz w:val="18"/>
                <w:szCs w:val="18"/>
                <w:highlight w:val="none"/>
              </w:rPr>
              <w:t>建管单位为第一单位或第二单位的，发明专利每项加1分，满分2分；实用新型等专利每项加0.2分，满分1分。发明及实用新型等专利满分共2分，累计加满2分为止。</w:t>
            </w:r>
          </w:p>
        </w:tc>
        <w:tc>
          <w:tcPr>
            <w:tcW w:w="1108" w:type="dxa"/>
            <w:tcMar>
              <w:left w:w="28" w:type="dxa"/>
              <w:right w:w="28" w:type="dxa"/>
            </w:tcMar>
            <w:vAlign w:val="center"/>
          </w:tcPr>
          <w:p w14:paraId="162A431C">
            <w:pPr>
              <w:rPr>
                <w:color w:val="000000"/>
                <w:sz w:val="18"/>
                <w:szCs w:val="18"/>
                <w:highlight w:val="none"/>
              </w:rPr>
            </w:pPr>
            <w:r>
              <w:rPr>
                <w:rFonts w:hint="eastAsia"/>
                <w:color w:val="000000"/>
                <w:sz w:val="18"/>
                <w:szCs w:val="18"/>
                <w:highlight w:val="none"/>
              </w:rPr>
              <w:t>查专利证书</w:t>
            </w:r>
          </w:p>
        </w:tc>
        <w:tc>
          <w:tcPr>
            <w:tcW w:w="1026" w:type="dxa"/>
            <w:vAlign w:val="center"/>
          </w:tcPr>
          <w:p w14:paraId="4D0FE12A">
            <w:pPr>
              <w:jc w:val="center"/>
              <w:rPr>
                <w:color w:val="000000"/>
                <w:sz w:val="18"/>
                <w:szCs w:val="18"/>
                <w:highlight w:val="none"/>
              </w:rPr>
            </w:pPr>
          </w:p>
        </w:tc>
        <w:tc>
          <w:tcPr>
            <w:tcW w:w="799" w:type="dxa"/>
            <w:vAlign w:val="center"/>
          </w:tcPr>
          <w:p w14:paraId="60B4E4A8">
            <w:pPr>
              <w:jc w:val="center"/>
              <w:rPr>
                <w:color w:val="000000"/>
                <w:szCs w:val="21"/>
                <w:highlight w:val="none"/>
              </w:rPr>
            </w:pPr>
          </w:p>
        </w:tc>
      </w:tr>
      <w:tr w14:paraId="0C20DF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23" w:hRule="atLeast"/>
          <w:tblHeader/>
        </w:trPr>
        <w:tc>
          <w:tcPr>
            <w:tcW w:w="631" w:type="dxa"/>
            <w:tcMar>
              <w:left w:w="28" w:type="dxa"/>
              <w:right w:w="28" w:type="dxa"/>
            </w:tcMar>
            <w:vAlign w:val="center"/>
          </w:tcPr>
          <w:p w14:paraId="19768576">
            <w:pPr>
              <w:jc w:val="center"/>
              <w:rPr>
                <w:color w:val="000000"/>
                <w:sz w:val="18"/>
                <w:szCs w:val="18"/>
                <w:highlight w:val="none"/>
              </w:rPr>
            </w:pPr>
            <w:r>
              <w:rPr>
                <w:rFonts w:hint="eastAsia"/>
                <w:color w:val="000000"/>
                <w:sz w:val="18"/>
                <w:szCs w:val="18"/>
                <w:highlight w:val="none"/>
              </w:rPr>
              <w:t>4</w:t>
            </w:r>
          </w:p>
        </w:tc>
        <w:tc>
          <w:tcPr>
            <w:tcW w:w="3396" w:type="dxa"/>
            <w:vAlign w:val="center"/>
          </w:tcPr>
          <w:p w14:paraId="40F6EBFB">
            <w:pPr>
              <w:rPr>
                <w:color w:val="000000"/>
                <w:sz w:val="18"/>
                <w:szCs w:val="18"/>
                <w:highlight w:val="none"/>
              </w:rPr>
            </w:pPr>
            <w:r>
              <w:rPr>
                <w:rFonts w:hint="eastAsia"/>
                <w:color w:val="000000"/>
                <w:sz w:val="18"/>
                <w:szCs w:val="18"/>
                <w:highlight w:val="none"/>
              </w:rPr>
              <w:t>电力建设工法</w:t>
            </w:r>
          </w:p>
        </w:tc>
        <w:tc>
          <w:tcPr>
            <w:tcW w:w="740" w:type="dxa"/>
            <w:tcMar>
              <w:left w:w="28" w:type="dxa"/>
              <w:right w:w="28" w:type="dxa"/>
            </w:tcMar>
            <w:vAlign w:val="center"/>
          </w:tcPr>
          <w:p w14:paraId="0115966A">
            <w:pPr>
              <w:jc w:val="center"/>
              <w:rPr>
                <w:color w:val="000000"/>
                <w:sz w:val="18"/>
                <w:szCs w:val="18"/>
                <w:highlight w:val="none"/>
              </w:rPr>
            </w:pPr>
            <w:r>
              <w:rPr>
                <w:rFonts w:hint="eastAsia"/>
                <w:color w:val="000000"/>
                <w:sz w:val="18"/>
                <w:szCs w:val="18"/>
                <w:highlight w:val="none"/>
              </w:rPr>
              <w:t>2</w:t>
            </w:r>
          </w:p>
        </w:tc>
        <w:tc>
          <w:tcPr>
            <w:tcW w:w="6364" w:type="dxa"/>
            <w:vAlign w:val="center"/>
          </w:tcPr>
          <w:p w14:paraId="56C69D7D">
            <w:pPr>
              <w:rPr>
                <w:color w:val="000000"/>
                <w:sz w:val="18"/>
                <w:szCs w:val="18"/>
                <w:highlight w:val="none"/>
              </w:rPr>
            </w:pPr>
            <w:r>
              <w:rPr>
                <w:rFonts w:hint="eastAsia"/>
                <w:b/>
                <w:bCs/>
                <w:color w:val="000000"/>
                <w:sz w:val="18"/>
                <w:szCs w:val="18"/>
                <w:highlight w:val="none"/>
              </w:rPr>
              <w:t>省部级及以上：</w:t>
            </w:r>
            <w:r>
              <w:rPr>
                <w:rFonts w:hint="eastAsia"/>
                <w:color w:val="000000"/>
                <w:sz w:val="18"/>
                <w:szCs w:val="18"/>
                <w:highlight w:val="none"/>
              </w:rPr>
              <w:t>建管单位为第一单位的，每项加1分；建管单位为第二单位的，每项加0.5分。</w:t>
            </w:r>
          </w:p>
        </w:tc>
        <w:tc>
          <w:tcPr>
            <w:tcW w:w="1108" w:type="dxa"/>
            <w:tcMar>
              <w:left w:w="28" w:type="dxa"/>
              <w:right w:w="28" w:type="dxa"/>
            </w:tcMar>
            <w:vAlign w:val="center"/>
          </w:tcPr>
          <w:p w14:paraId="1A0E25D1">
            <w:pPr>
              <w:rPr>
                <w:color w:val="000000"/>
                <w:sz w:val="18"/>
                <w:szCs w:val="18"/>
                <w:highlight w:val="none"/>
              </w:rPr>
            </w:pPr>
            <w:r>
              <w:rPr>
                <w:rFonts w:hint="eastAsia"/>
                <w:color w:val="000000"/>
                <w:sz w:val="18"/>
                <w:szCs w:val="18"/>
                <w:highlight w:val="none"/>
              </w:rPr>
              <w:t>查相关证明</w:t>
            </w:r>
          </w:p>
        </w:tc>
        <w:tc>
          <w:tcPr>
            <w:tcW w:w="1026" w:type="dxa"/>
            <w:vAlign w:val="center"/>
          </w:tcPr>
          <w:p w14:paraId="558CEBA6">
            <w:pPr>
              <w:jc w:val="center"/>
              <w:rPr>
                <w:color w:val="000000"/>
                <w:sz w:val="18"/>
                <w:szCs w:val="18"/>
                <w:highlight w:val="none"/>
              </w:rPr>
            </w:pPr>
          </w:p>
        </w:tc>
        <w:tc>
          <w:tcPr>
            <w:tcW w:w="799" w:type="dxa"/>
            <w:vAlign w:val="center"/>
          </w:tcPr>
          <w:p w14:paraId="06C51D6E">
            <w:pPr>
              <w:jc w:val="center"/>
              <w:rPr>
                <w:color w:val="000000"/>
                <w:szCs w:val="21"/>
                <w:highlight w:val="none"/>
              </w:rPr>
            </w:pPr>
          </w:p>
        </w:tc>
      </w:tr>
      <w:tr w14:paraId="623C54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90" w:hRule="atLeast"/>
          <w:tblHeader/>
        </w:trPr>
        <w:tc>
          <w:tcPr>
            <w:tcW w:w="631" w:type="dxa"/>
            <w:tcMar>
              <w:left w:w="28" w:type="dxa"/>
              <w:right w:w="28" w:type="dxa"/>
            </w:tcMar>
            <w:vAlign w:val="center"/>
          </w:tcPr>
          <w:p w14:paraId="24EEC722">
            <w:pPr>
              <w:jc w:val="center"/>
              <w:rPr>
                <w:color w:val="000000"/>
                <w:sz w:val="18"/>
                <w:szCs w:val="18"/>
                <w:highlight w:val="none"/>
              </w:rPr>
            </w:pPr>
            <w:r>
              <w:rPr>
                <w:rFonts w:hint="eastAsia"/>
                <w:color w:val="000000"/>
                <w:sz w:val="18"/>
                <w:szCs w:val="18"/>
                <w:highlight w:val="none"/>
              </w:rPr>
              <w:t>5</w:t>
            </w:r>
          </w:p>
        </w:tc>
        <w:tc>
          <w:tcPr>
            <w:tcW w:w="3396" w:type="dxa"/>
            <w:vAlign w:val="center"/>
          </w:tcPr>
          <w:p w14:paraId="68763F2E">
            <w:pPr>
              <w:rPr>
                <w:color w:val="000000"/>
                <w:sz w:val="18"/>
                <w:szCs w:val="18"/>
                <w:highlight w:val="none"/>
              </w:rPr>
            </w:pPr>
            <w:r>
              <w:rPr>
                <w:rFonts w:hint="eastAsia"/>
                <w:color w:val="000000"/>
                <w:sz w:val="18"/>
                <w:szCs w:val="18"/>
                <w:highlight w:val="none"/>
              </w:rPr>
              <w:t>电力建设优秀质量管理（QC）小组成果奖</w:t>
            </w:r>
          </w:p>
        </w:tc>
        <w:tc>
          <w:tcPr>
            <w:tcW w:w="740" w:type="dxa"/>
            <w:tcMar>
              <w:left w:w="28" w:type="dxa"/>
              <w:right w:w="28" w:type="dxa"/>
            </w:tcMar>
            <w:vAlign w:val="center"/>
          </w:tcPr>
          <w:p w14:paraId="3A33A8B5">
            <w:pPr>
              <w:jc w:val="center"/>
              <w:rPr>
                <w:color w:val="000000"/>
                <w:sz w:val="18"/>
                <w:szCs w:val="18"/>
                <w:highlight w:val="none"/>
              </w:rPr>
            </w:pPr>
            <w:r>
              <w:rPr>
                <w:rFonts w:hint="eastAsia"/>
                <w:color w:val="000000"/>
                <w:sz w:val="18"/>
                <w:szCs w:val="18"/>
                <w:highlight w:val="none"/>
              </w:rPr>
              <w:t>1</w:t>
            </w:r>
          </w:p>
        </w:tc>
        <w:tc>
          <w:tcPr>
            <w:tcW w:w="6364" w:type="dxa"/>
            <w:vAlign w:val="center"/>
          </w:tcPr>
          <w:p w14:paraId="10FD4E4A">
            <w:pPr>
              <w:rPr>
                <w:highlight w:val="none"/>
              </w:rPr>
            </w:pPr>
            <w:r>
              <w:rPr>
                <w:rFonts w:hint="eastAsia"/>
                <w:b/>
                <w:bCs/>
                <w:color w:val="000000"/>
                <w:sz w:val="18"/>
                <w:szCs w:val="18"/>
                <w:highlight w:val="none"/>
              </w:rPr>
              <w:t>一等成果及以上：</w:t>
            </w:r>
            <w:r>
              <w:rPr>
                <w:rFonts w:hint="eastAsia"/>
                <w:color w:val="000000"/>
                <w:sz w:val="18"/>
                <w:szCs w:val="18"/>
                <w:highlight w:val="none"/>
              </w:rPr>
              <w:t>建管单位为第一单位的，每项加0.5分；建管单位为第二单位的，每项加0.2分；</w:t>
            </w:r>
            <w:r>
              <w:rPr>
                <w:rFonts w:hint="eastAsia"/>
                <w:b/>
                <w:bCs/>
                <w:color w:val="000000"/>
                <w:sz w:val="18"/>
                <w:szCs w:val="18"/>
                <w:highlight w:val="none"/>
              </w:rPr>
              <w:t>二等及三等成果：建管单位为</w:t>
            </w:r>
            <w:r>
              <w:rPr>
                <w:rFonts w:hint="eastAsia"/>
                <w:color w:val="000000"/>
                <w:sz w:val="18"/>
                <w:szCs w:val="18"/>
                <w:highlight w:val="none"/>
              </w:rPr>
              <w:t>第一单位的，每项加0.2分；建管单位为第二单位的，每项加0.1分；</w:t>
            </w:r>
          </w:p>
        </w:tc>
        <w:tc>
          <w:tcPr>
            <w:tcW w:w="1108" w:type="dxa"/>
            <w:tcMar>
              <w:left w:w="28" w:type="dxa"/>
              <w:right w:w="28" w:type="dxa"/>
            </w:tcMar>
            <w:vAlign w:val="center"/>
          </w:tcPr>
          <w:p w14:paraId="4D0C5A2C">
            <w:pPr>
              <w:rPr>
                <w:color w:val="000000"/>
                <w:sz w:val="18"/>
                <w:szCs w:val="18"/>
                <w:highlight w:val="none"/>
              </w:rPr>
            </w:pPr>
            <w:r>
              <w:rPr>
                <w:rFonts w:hint="eastAsia"/>
                <w:color w:val="000000"/>
                <w:sz w:val="18"/>
                <w:szCs w:val="18"/>
                <w:highlight w:val="none"/>
              </w:rPr>
              <w:t>查获奖证明</w:t>
            </w:r>
          </w:p>
        </w:tc>
        <w:tc>
          <w:tcPr>
            <w:tcW w:w="1026" w:type="dxa"/>
            <w:vAlign w:val="center"/>
          </w:tcPr>
          <w:p w14:paraId="7D592177">
            <w:pPr>
              <w:jc w:val="center"/>
              <w:rPr>
                <w:color w:val="000000"/>
                <w:sz w:val="18"/>
                <w:szCs w:val="18"/>
                <w:highlight w:val="none"/>
              </w:rPr>
            </w:pPr>
          </w:p>
        </w:tc>
        <w:tc>
          <w:tcPr>
            <w:tcW w:w="799" w:type="dxa"/>
            <w:vAlign w:val="center"/>
          </w:tcPr>
          <w:p w14:paraId="47DC081B">
            <w:pPr>
              <w:jc w:val="center"/>
              <w:rPr>
                <w:color w:val="000000"/>
                <w:szCs w:val="21"/>
                <w:highlight w:val="none"/>
              </w:rPr>
            </w:pPr>
          </w:p>
        </w:tc>
      </w:tr>
      <w:tr w14:paraId="66F452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98" w:hRule="atLeast"/>
          <w:tblHeader/>
        </w:trPr>
        <w:tc>
          <w:tcPr>
            <w:tcW w:w="12239" w:type="dxa"/>
            <w:gridSpan w:val="5"/>
            <w:tcMar>
              <w:left w:w="28" w:type="dxa"/>
              <w:right w:w="28" w:type="dxa"/>
            </w:tcMar>
            <w:vAlign w:val="center"/>
          </w:tcPr>
          <w:p w14:paraId="2C700ACC">
            <w:pPr>
              <w:jc w:val="center"/>
              <w:rPr>
                <w:color w:val="000000"/>
                <w:szCs w:val="21"/>
                <w:highlight w:val="none"/>
              </w:rPr>
            </w:pPr>
            <w:r>
              <w:rPr>
                <w:rFonts w:hint="eastAsia"/>
                <w:b/>
                <w:color w:val="000000"/>
                <w:szCs w:val="21"/>
                <w:highlight w:val="none"/>
              </w:rPr>
              <w:t>总体评价加分</w:t>
            </w:r>
          </w:p>
        </w:tc>
        <w:tc>
          <w:tcPr>
            <w:tcW w:w="1026" w:type="dxa"/>
            <w:vAlign w:val="center"/>
          </w:tcPr>
          <w:p w14:paraId="38A6058A">
            <w:pPr>
              <w:jc w:val="center"/>
              <w:rPr>
                <w:color w:val="000000"/>
                <w:szCs w:val="21"/>
                <w:highlight w:val="none"/>
              </w:rPr>
            </w:pPr>
          </w:p>
        </w:tc>
        <w:tc>
          <w:tcPr>
            <w:tcW w:w="799" w:type="dxa"/>
            <w:vAlign w:val="center"/>
          </w:tcPr>
          <w:p w14:paraId="489388E4">
            <w:pPr>
              <w:jc w:val="center"/>
              <w:rPr>
                <w:color w:val="000000"/>
                <w:szCs w:val="21"/>
                <w:highlight w:val="none"/>
              </w:rPr>
            </w:pPr>
          </w:p>
        </w:tc>
      </w:tr>
    </w:tbl>
    <w:p w14:paraId="609E1DCB">
      <w:pPr>
        <w:pStyle w:val="2"/>
        <w:ind w:left="540" w:hanging="540" w:hangingChars="300"/>
        <w:rPr>
          <w:rFonts w:ascii="仿宋" w:hAnsi="仿宋" w:eastAsia="仿宋" w:cs="仿宋"/>
          <w:highlight w:val="none"/>
        </w:rPr>
      </w:pPr>
      <w:r>
        <w:rPr>
          <w:rFonts w:hint="eastAsia" w:ascii="仿宋" w:hAnsi="仿宋" w:eastAsia="仿宋" w:cs="仿宋"/>
          <w:highlight w:val="none"/>
        </w:rPr>
        <w:t>备注：1.以上各加分项的加分期限为工程开工至整体工程试运行结束后一个月内。凡是在该时段内取得的上述加分项最终证明文件（如表扬信、专利证书、科技进步奖、工法、QC成果证书/文件）才给予计分，超出时段取得的加分项证明文件不予计分。</w:t>
      </w:r>
    </w:p>
    <w:p w14:paraId="34FA461B">
      <w:pPr>
        <w:pStyle w:val="2"/>
        <w:ind w:left="535" w:leftChars="255"/>
        <w:rPr>
          <w:rFonts w:ascii="仿宋" w:hAnsi="仿宋" w:eastAsia="仿宋" w:cs="仿宋"/>
          <w:highlight w:val="none"/>
        </w:rPr>
      </w:pPr>
      <w:r>
        <w:rPr>
          <w:rFonts w:hint="eastAsia" w:ascii="仿宋" w:hAnsi="仿宋" w:eastAsia="仿宋" w:cs="仿宋"/>
          <w:highlight w:val="none"/>
        </w:rPr>
        <w:t>2.表扬信中的表扬对象</w:t>
      </w:r>
      <w:r>
        <w:rPr>
          <w:rFonts w:hint="eastAsia" w:ascii="仿宋" w:hAnsi="仿宋" w:eastAsia="仿宋" w:cs="仿宋"/>
          <w:highlight w:val="none"/>
          <w:lang w:val="en-US"/>
        </w:rPr>
        <w:t>及表扬</w:t>
      </w:r>
      <w:r>
        <w:rPr>
          <w:rFonts w:hint="eastAsia" w:ascii="仿宋" w:hAnsi="仿宋" w:eastAsia="仿宋" w:cs="仿宋"/>
          <w:highlight w:val="none"/>
        </w:rPr>
        <w:t>内容，未涉及本工程施工项目部</w:t>
      </w:r>
      <w:r>
        <w:rPr>
          <w:rFonts w:hint="eastAsia" w:ascii="仿宋" w:hAnsi="仿宋" w:eastAsia="仿宋" w:cs="仿宋"/>
          <w:highlight w:val="none"/>
          <w:lang w:val="en-US"/>
        </w:rPr>
        <w:t>及其</w:t>
      </w:r>
      <w:r>
        <w:rPr>
          <w:rFonts w:hint="eastAsia" w:ascii="仿宋" w:hAnsi="仿宋" w:eastAsia="仿宋" w:cs="仿宋"/>
          <w:highlight w:val="none"/>
        </w:rPr>
        <w:t>施工内容的不予计分。</w:t>
      </w:r>
    </w:p>
    <w:p w14:paraId="25160ACB">
      <w:pPr>
        <w:pStyle w:val="2"/>
        <w:ind w:firstLine="540" w:firstLineChars="300"/>
        <w:rPr>
          <w:rFonts w:ascii="仿宋" w:hAnsi="仿宋" w:eastAsia="仿宋" w:cs="仿宋"/>
          <w:highlight w:val="none"/>
        </w:rPr>
      </w:pPr>
      <w:r>
        <w:rPr>
          <w:rFonts w:hint="eastAsia" w:ascii="仿宋" w:hAnsi="仿宋" w:eastAsia="仿宋" w:cs="仿宋"/>
          <w:highlight w:val="none"/>
        </w:rPr>
        <w:t>3.科技进步奖、专利、工法、QC成果的参与单位中，无</w:t>
      </w:r>
      <w:r>
        <w:rPr>
          <w:rFonts w:hint="eastAsia" w:ascii="仿宋" w:hAnsi="仿宋" w:eastAsia="仿宋" w:cs="仿宋"/>
          <w:highlight w:val="none"/>
          <w:lang w:val="en-US"/>
        </w:rPr>
        <w:t>建管单位</w:t>
      </w:r>
      <w:r>
        <w:rPr>
          <w:rFonts w:hint="eastAsia" w:ascii="仿宋" w:hAnsi="仿宋" w:eastAsia="仿宋" w:cs="仿宋"/>
          <w:highlight w:val="none"/>
        </w:rPr>
        <w:t>的不予计分，无申请加分的施工单位的不予计分。</w:t>
      </w:r>
    </w:p>
    <w:p w14:paraId="6534AFD4">
      <w:pPr>
        <w:pStyle w:val="2"/>
        <w:ind w:left="535" w:leftChars="255"/>
        <w:rPr>
          <w:rFonts w:ascii="仿宋" w:hAnsi="仿宋" w:eastAsia="仿宋" w:cs="仿宋"/>
          <w:highlight w:val="none"/>
        </w:rPr>
      </w:pPr>
      <w:r>
        <w:rPr>
          <w:rFonts w:hint="eastAsia" w:ascii="仿宋" w:hAnsi="仿宋" w:eastAsia="仿宋" w:cs="仿宋"/>
          <w:highlight w:val="none"/>
        </w:rPr>
        <w:t>4.科技进步奖、专利、工法、QC成果的参与人员名单中，</w:t>
      </w:r>
      <w:bookmarkStart w:id="3" w:name="OLE_LINK1"/>
      <w:r>
        <w:rPr>
          <w:rFonts w:hint="eastAsia" w:ascii="仿宋" w:hAnsi="仿宋" w:eastAsia="仿宋" w:cs="仿宋"/>
          <w:highlight w:val="none"/>
        </w:rPr>
        <w:t>无</w:t>
      </w:r>
      <w:r>
        <w:rPr>
          <w:rFonts w:hint="eastAsia" w:ascii="仿宋" w:hAnsi="仿宋" w:eastAsia="仿宋" w:cs="仿宋"/>
          <w:highlight w:val="none"/>
          <w:lang w:val="en-US"/>
        </w:rPr>
        <w:t>建管单位</w:t>
      </w:r>
      <w:r>
        <w:rPr>
          <w:rFonts w:hint="eastAsia" w:ascii="仿宋" w:hAnsi="仿宋" w:eastAsia="仿宋" w:cs="仿宋"/>
          <w:highlight w:val="none"/>
        </w:rPr>
        <w:t>相关人员的不予计分，</w:t>
      </w:r>
      <w:bookmarkEnd w:id="3"/>
      <w:r>
        <w:rPr>
          <w:rFonts w:hint="eastAsia" w:ascii="仿宋" w:hAnsi="仿宋" w:eastAsia="仿宋" w:cs="仿宋"/>
          <w:highlight w:val="none"/>
        </w:rPr>
        <w:t>无本工程施工项目部人员(以施工项目部成立的红头文件为准)的不予计分。</w:t>
      </w:r>
    </w:p>
    <w:p w14:paraId="0EAD6AF4">
      <w:pPr>
        <w:pStyle w:val="2"/>
        <w:ind w:left="535" w:leftChars="255"/>
        <w:rPr>
          <w:rFonts w:ascii="仿宋" w:hAnsi="仿宋" w:eastAsia="仿宋" w:cs="仿宋"/>
          <w:highlight w:val="none"/>
          <w:lang w:val="en-US"/>
        </w:rPr>
      </w:pPr>
      <w:r>
        <w:rPr>
          <w:rFonts w:hint="eastAsia" w:ascii="仿宋" w:hAnsi="仿宋" w:eastAsia="仿宋" w:cs="仿宋"/>
          <w:highlight w:val="none"/>
        </w:rPr>
        <w:t>5.科技进步奖、工法、QC成果</w:t>
      </w:r>
      <w:r>
        <w:rPr>
          <w:rFonts w:hint="eastAsia" w:ascii="仿宋" w:hAnsi="仿宋" w:eastAsia="仿宋" w:cs="仿宋"/>
          <w:highlight w:val="none"/>
          <w:lang w:val="en-US"/>
        </w:rPr>
        <w:t>单位排名</w:t>
      </w:r>
      <w:r>
        <w:rPr>
          <w:rFonts w:hint="eastAsia" w:ascii="仿宋" w:hAnsi="仿宋" w:eastAsia="仿宋" w:cs="仿宋"/>
          <w:highlight w:val="none"/>
        </w:rPr>
        <w:t>中，</w:t>
      </w:r>
      <w:r>
        <w:rPr>
          <w:rFonts w:hint="eastAsia" w:ascii="仿宋" w:hAnsi="仿宋" w:eastAsia="仿宋" w:cs="仿宋"/>
          <w:highlight w:val="none"/>
          <w:lang w:val="en-US"/>
        </w:rPr>
        <w:t>将建管单位作为</w:t>
      </w:r>
      <w:r>
        <w:rPr>
          <w:rFonts w:hint="eastAsia" w:ascii="仿宋" w:hAnsi="仿宋" w:eastAsia="仿宋" w:cs="仿宋"/>
          <w:highlight w:val="none"/>
        </w:rPr>
        <w:t>第一或第二单位</w:t>
      </w:r>
      <w:r>
        <w:rPr>
          <w:rFonts w:hint="eastAsia" w:ascii="仿宋" w:hAnsi="仿宋" w:eastAsia="仿宋" w:cs="仿宋"/>
          <w:highlight w:val="none"/>
          <w:lang w:val="en-US"/>
        </w:rPr>
        <w:t>的</w:t>
      </w:r>
      <w:r>
        <w:rPr>
          <w:rFonts w:hint="eastAsia" w:ascii="仿宋" w:hAnsi="仿宋" w:eastAsia="仿宋" w:cs="仿宋"/>
          <w:highlight w:val="none"/>
        </w:rPr>
        <w:t>给予对应计分，</w:t>
      </w:r>
      <w:r>
        <w:rPr>
          <w:rFonts w:hint="eastAsia" w:ascii="仿宋" w:hAnsi="仿宋" w:eastAsia="仿宋" w:cs="仿宋"/>
          <w:highlight w:val="none"/>
          <w:lang w:val="en-US"/>
        </w:rPr>
        <w:t>将建管单位作为</w:t>
      </w:r>
      <w:r>
        <w:rPr>
          <w:rFonts w:hint="eastAsia" w:ascii="仿宋" w:hAnsi="仿宋" w:eastAsia="仿宋" w:cs="仿宋"/>
          <w:highlight w:val="none"/>
        </w:rPr>
        <w:t>第三及以下</w:t>
      </w:r>
      <w:r>
        <w:rPr>
          <w:rFonts w:hint="eastAsia" w:ascii="仿宋" w:hAnsi="仿宋" w:eastAsia="仿宋" w:cs="仿宋"/>
          <w:highlight w:val="none"/>
          <w:lang w:val="en-US"/>
        </w:rPr>
        <w:t>单位的</w:t>
      </w:r>
      <w:r>
        <w:rPr>
          <w:rFonts w:hint="eastAsia" w:ascii="仿宋" w:hAnsi="仿宋" w:eastAsia="仿宋" w:cs="仿宋"/>
          <w:highlight w:val="none"/>
        </w:rPr>
        <w:t>不予计分。</w:t>
      </w:r>
    </w:p>
    <w:p w14:paraId="7384909D">
      <w:pPr>
        <w:rPr>
          <w:rFonts w:ascii="方正仿宋_GBK" w:hAnsi="方正仿宋_GBK" w:eastAsia="方正仿宋_GBK" w:cs="方正仿宋_GBK"/>
          <w:sz w:val="18"/>
          <w:szCs w:val="18"/>
          <w:highlight w:val="none"/>
        </w:rPr>
        <w:sectPr>
          <w:pgSz w:w="16838" w:h="11906" w:orient="landscape"/>
          <w:pgMar w:top="1247" w:right="1701" w:bottom="1247" w:left="1560" w:header="851" w:footer="992" w:gutter="0"/>
          <w:cols w:space="720" w:num="1"/>
          <w:docGrid w:type="lines" w:linePitch="312" w:charSpace="0"/>
        </w:sectPr>
      </w:pPr>
    </w:p>
    <w:p w14:paraId="26519C9E">
      <w:pPr>
        <w:rPr>
          <w:rFonts w:ascii="方正仿宋_GBK" w:eastAsia="方正仿宋_GBK"/>
          <w:sz w:val="28"/>
          <w:szCs w:val="30"/>
          <w:highlight w:val="none"/>
        </w:rPr>
      </w:pPr>
      <w:r>
        <w:rPr>
          <w:rFonts w:hint="eastAsia" w:ascii="方正仿宋_GBK" w:eastAsia="方正仿宋_GBK"/>
          <w:sz w:val="28"/>
          <w:szCs w:val="30"/>
          <w:highlight w:val="none"/>
        </w:rPr>
        <w:t>附件</w:t>
      </w:r>
      <w:r>
        <w:rPr>
          <w:rFonts w:hint="eastAsia" w:ascii="方正仿宋_GBK" w:eastAsia="方正仿宋_GBK"/>
          <w:sz w:val="28"/>
          <w:szCs w:val="30"/>
          <w:highlight w:val="none"/>
          <w:lang w:val="en-US" w:eastAsia="zh-CN"/>
        </w:rPr>
        <w:t>16</w:t>
      </w:r>
      <w:r>
        <w:rPr>
          <w:rFonts w:hint="eastAsia" w:ascii="方正仿宋_GBK" w:eastAsia="方正仿宋_GBK"/>
          <w:sz w:val="28"/>
          <w:szCs w:val="30"/>
          <w:highlight w:val="none"/>
        </w:rPr>
        <w:t>典型环保水保问题清单</w:t>
      </w:r>
    </w:p>
    <w:p w14:paraId="6689A7FB">
      <w:pPr>
        <w:wordWrap w:val="0"/>
        <w:spacing w:before="156" w:beforeLines="50" w:after="156" w:afterLines="50"/>
        <w:jc w:val="center"/>
        <w:rPr>
          <w:rFonts w:ascii="华文中宋" w:hAnsi="Times New Roman" w:eastAsia="华文中宋" w:cs="华文中宋"/>
          <w:b/>
          <w:bCs/>
          <w:sz w:val="28"/>
          <w:szCs w:val="32"/>
          <w:highlight w:val="none"/>
        </w:rPr>
      </w:pPr>
      <w:r>
        <w:rPr>
          <w:rFonts w:hint="eastAsia" w:ascii="华文中宋" w:hAnsi="Times New Roman" w:eastAsia="华文中宋" w:cs="华文中宋"/>
          <w:b/>
          <w:bCs/>
          <w:sz w:val="28"/>
          <w:szCs w:val="32"/>
          <w:highlight w:val="none"/>
        </w:rPr>
        <w:t>严重环保水保问题清单</w:t>
      </w:r>
    </w:p>
    <w:tbl>
      <w:tblPr>
        <w:tblStyle w:val="15"/>
        <w:tblW w:w="13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1440"/>
        <w:gridCol w:w="6181"/>
        <w:gridCol w:w="5149"/>
      </w:tblGrid>
      <w:tr w14:paraId="5D26F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blHeader/>
          <w:jc w:val="center"/>
        </w:trPr>
        <w:tc>
          <w:tcPr>
            <w:tcW w:w="1020" w:type="dxa"/>
            <w:vMerge w:val="restart"/>
            <w:vAlign w:val="center"/>
          </w:tcPr>
          <w:p w14:paraId="777D1600">
            <w:pPr>
              <w:widowControl/>
              <w:autoSpaceDE w:val="0"/>
              <w:autoSpaceDN w:val="0"/>
              <w:snapToGrid w:val="0"/>
              <w:jc w:val="center"/>
              <w:rPr>
                <w:b/>
                <w:bCs/>
                <w:snapToGrid w:val="0"/>
                <w:color w:val="000000"/>
                <w:kern w:val="0"/>
                <w:sz w:val="18"/>
                <w:szCs w:val="18"/>
                <w:highlight w:val="none"/>
              </w:rPr>
            </w:pPr>
            <w:r>
              <w:rPr>
                <w:b/>
                <w:bCs/>
                <w:snapToGrid w:val="0"/>
                <w:color w:val="000000"/>
                <w:kern w:val="0"/>
                <w:sz w:val="18"/>
                <w:szCs w:val="18"/>
                <w:highlight w:val="none"/>
              </w:rPr>
              <w:t>序号</w:t>
            </w:r>
          </w:p>
        </w:tc>
        <w:tc>
          <w:tcPr>
            <w:tcW w:w="1440" w:type="dxa"/>
            <w:vMerge w:val="restart"/>
            <w:vAlign w:val="center"/>
          </w:tcPr>
          <w:p w14:paraId="2D6B9284">
            <w:pPr>
              <w:widowControl/>
              <w:autoSpaceDE w:val="0"/>
              <w:autoSpaceDN w:val="0"/>
              <w:snapToGrid w:val="0"/>
              <w:jc w:val="center"/>
              <w:rPr>
                <w:b/>
                <w:bCs/>
                <w:snapToGrid w:val="0"/>
                <w:color w:val="000000"/>
                <w:kern w:val="0"/>
                <w:sz w:val="18"/>
                <w:szCs w:val="18"/>
                <w:highlight w:val="none"/>
              </w:rPr>
            </w:pPr>
            <w:r>
              <w:rPr>
                <w:rFonts w:hint="eastAsia"/>
                <w:b/>
                <w:bCs/>
                <w:snapToGrid w:val="0"/>
                <w:color w:val="000000"/>
                <w:kern w:val="0"/>
                <w:sz w:val="18"/>
                <w:szCs w:val="18"/>
                <w:highlight w:val="none"/>
              </w:rPr>
              <w:t>问题分类</w:t>
            </w:r>
          </w:p>
        </w:tc>
        <w:tc>
          <w:tcPr>
            <w:tcW w:w="6181" w:type="dxa"/>
            <w:vMerge w:val="restart"/>
            <w:vAlign w:val="center"/>
          </w:tcPr>
          <w:p w14:paraId="0F892EF0">
            <w:pPr>
              <w:widowControl/>
              <w:autoSpaceDE w:val="0"/>
              <w:autoSpaceDN w:val="0"/>
              <w:snapToGrid w:val="0"/>
              <w:jc w:val="center"/>
              <w:rPr>
                <w:b/>
                <w:bCs/>
                <w:snapToGrid w:val="0"/>
                <w:color w:val="000000"/>
                <w:kern w:val="0"/>
                <w:sz w:val="18"/>
                <w:szCs w:val="18"/>
                <w:highlight w:val="none"/>
              </w:rPr>
            </w:pPr>
            <w:r>
              <w:rPr>
                <w:rFonts w:hint="eastAsia"/>
                <w:b/>
                <w:bCs/>
                <w:snapToGrid w:val="0"/>
                <w:color w:val="000000"/>
                <w:kern w:val="0"/>
                <w:sz w:val="18"/>
                <w:szCs w:val="18"/>
                <w:highlight w:val="none"/>
              </w:rPr>
              <w:t>相关要求</w:t>
            </w:r>
          </w:p>
        </w:tc>
        <w:tc>
          <w:tcPr>
            <w:tcW w:w="5149" w:type="dxa"/>
            <w:vMerge w:val="restart"/>
            <w:vAlign w:val="center"/>
          </w:tcPr>
          <w:p w14:paraId="4BBDE114">
            <w:pPr>
              <w:widowControl/>
              <w:autoSpaceDE w:val="0"/>
              <w:autoSpaceDN w:val="0"/>
              <w:snapToGrid w:val="0"/>
              <w:jc w:val="center"/>
              <w:rPr>
                <w:b/>
                <w:bCs/>
                <w:snapToGrid w:val="0"/>
                <w:color w:val="000000"/>
                <w:kern w:val="0"/>
                <w:sz w:val="18"/>
                <w:szCs w:val="18"/>
                <w:highlight w:val="none"/>
              </w:rPr>
            </w:pPr>
            <w:r>
              <w:rPr>
                <w:rFonts w:hint="eastAsia"/>
                <w:b/>
                <w:bCs/>
                <w:snapToGrid w:val="0"/>
                <w:color w:val="000000"/>
                <w:kern w:val="0"/>
                <w:sz w:val="18"/>
                <w:szCs w:val="18"/>
                <w:highlight w:val="none"/>
              </w:rPr>
              <w:t>问题案例</w:t>
            </w:r>
          </w:p>
        </w:tc>
      </w:tr>
      <w:tr w14:paraId="5F11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blHeader/>
          <w:jc w:val="center"/>
        </w:trPr>
        <w:tc>
          <w:tcPr>
            <w:tcW w:w="1020" w:type="dxa"/>
            <w:vMerge w:val="continue"/>
            <w:vAlign w:val="center"/>
          </w:tcPr>
          <w:p w14:paraId="5F39F3B6">
            <w:pPr>
              <w:widowControl/>
              <w:autoSpaceDE w:val="0"/>
              <w:autoSpaceDN w:val="0"/>
              <w:snapToGrid w:val="0"/>
              <w:jc w:val="center"/>
              <w:rPr>
                <w:rFonts w:ascii="Arial" w:hAnsi="Arial" w:eastAsia="Arial"/>
                <w:snapToGrid w:val="0"/>
                <w:color w:val="000000"/>
                <w:kern w:val="0"/>
                <w:sz w:val="18"/>
                <w:szCs w:val="18"/>
                <w:highlight w:val="none"/>
              </w:rPr>
            </w:pPr>
          </w:p>
        </w:tc>
        <w:tc>
          <w:tcPr>
            <w:tcW w:w="1440" w:type="dxa"/>
            <w:vMerge w:val="continue"/>
            <w:vAlign w:val="center"/>
          </w:tcPr>
          <w:p w14:paraId="3400154A">
            <w:pPr>
              <w:widowControl/>
              <w:autoSpaceDE w:val="0"/>
              <w:autoSpaceDN w:val="0"/>
              <w:snapToGrid w:val="0"/>
              <w:jc w:val="center"/>
              <w:rPr>
                <w:rFonts w:ascii="Arial" w:hAnsi="Arial" w:eastAsia="Arial"/>
                <w:snapToGrid w:val="0"/>
                <w:color w:val="000000"/>
                <w:kern w:val="0"/>
                <w:sz w:val="18"/>
                <w:szCs w:val="18"/>
                <w:highlight w:val="none"/>
              </w:rPr>
            </w:pPr>
          </w:p>
        </w:tc>
        <w:tc>
          <w:tcPr>
            <w:tcW w:w="6181" w:type="dxa"/>
            <w:vMerge w:val="continue"/>
            <w:vAlign w:val="center"/>
          </w:tcPr>
          <w:p w14:paraId="76640338">
            <w:pPr>
              <w:widowControl/>
              <w:autoSpaceDE w:val="0"/>
              <w:autoSpaceDN w:val="0"/>
              <w:snapToGrid w:val="0"/>
              <w:jc w:val="center"/>
              <w:rPr>
                <w:rFonts w:ascii="Arial" w:hAnsi="Arial" w:eastAsia="Arial"/>
                <w:snapToGrid w:val="0"/>
                <w:color w:val="000000"/>
                <w:kern w:val="0"/>
                <w:sz w:val="18"/>
                <w:szCs w:val="18"/>
                <w:highlight w:val="none"/>
              </w:rPr>
            </w:pPr>
          </w:p>
        </w:tc>
        <w:tc>
          <w:tcPr>
            <w:tcW w:w="5149" w:type="dxa"/>
            <w:vMerge w:val="continue"/>
            <w:vAlign w:val="center"/>
          </w:tcPr>
          <w:p w14:paraId="44F2E6CE">
            <w:pPr>
              <w:widowControl/>
              <w:autoSpaceDE w:val="0"/>
              <w:autoSpaceDN w:val="0"/>
              <w:snapToGrid w:val="0"/>
              <w:jc w:val="center"/>
              <w:rPr>
                <w:rFonts w:ascii="Arial" w:hAnsi="Arial" w:eastAsia="Arial"/>
                <w:snapToGrid w:val="0"/>
                <w:color w:val="000000"/>
                <w:kern w:val="0"/>
                <w:sz w:val="18"/>
                <w:szCs w:val="18"/>
                <w:highlight w:val="none"/>
              </w:rPr>
            </w:pPr>
          </w:p>
        </w:tc>
      </w:tr>
      <w:tr w14:paraId="3034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20" w:type="dxa"/>
            <w:vAlign w:val="center"/>
          </w:tcPr>
          <w:p w14:paraId="31ECC500">
            <w:pPr>
              <w:widowControl/>
              <w:autoSpaceDE w:val="0"/>
              <w:autoSpaceDN w:val="0"/>
              <w:snapToGrid w:val="0"/>
              <w:jc w:val="center"/>
              <w:rPr>
                <w:snapToGrid w:val="0"/>
                <w:color w:val="000000"/>
                <w:kern w:val="0"/>
                <w:sz w:val="18"/>
                <w:szCs w:val="18"/>
                <w:highlight w:val="none"/>
              </w:rPr>
            </w:pPr>
            <w:r>
              <w:rPr>
                <w:rFonts w:hint="eastAsia"/>
                <w:snapToGrid w:val="0"/>
                <w:color w:val="000000"/>
                <w:kern w:val="0"/>
                <w:sz w:val="18"/>
                <w:szCs w:val="18"/>
                <w:highlight w:val="none"/>
              </w:rPr>
              <w:t>1</w:t>
            </w:r>
          </w:p>
        </w:tc>
        <w:tc>
          <w:tcPr>
            <w:tcW w:w="1440" w:type="dxa"/>
            <w:vAlign w:val="center"/>
          </w:tcPr>
          <w:p w14:paraId="4A26644A">
            <w:pPr>
              <w:widowControl/>
              <w:autoSpaceDE w:val="0"/>
              <w:autoSpaceDN w:val="0"/>
              <w:snapToGrid w:val="0"/>
              <w:jc w:val="center"/>
              <w:rPr>
                <w:snapToGrid w:val="0"/>
                <w:color w:val="000000"/>
                <w:kern w:val="0"/>
                <w:sz w:val="18"/>
                <w:szCs w:val="18"/>
                <w:highlight w:val="none"/>
              </w:rPr>
            </w:pPr>
            <w:r>
              <w:rPr>
                <w:rFonts w:hint="eastAsia"/>
                <w:snapToGrid w:val="0"/>
                <w:color w:val="000000"/>
                <w:kern w:val="0"/>
                <w:sz w:val="18"/>
                <w:szCs w:val="18"/>
                <w:highlight w:val="none"/>
              </w:rPr>
              <w:t>违规弃渣</w:t>
            </w:r>
          </w:p>
        </w:tc>
        <w:tc>
          <w:tcPr>
            <w:tcW w:w="6181" w:type="dxa"/>
            <w:vAlign w:val="center"/>
          </w:tcPr>
          <w:p w14:paraId="55E19B4E">
            <w:pPr>
              <w:widowControl/>
              <w:autoSpaceDE w:val="0"/>
              <w:autoSpaceDN w:val="0"/>
              <w:snapToGrid w:val="0"/>
              <w:rPr>
                <w:snapToGrid w:val="0"/>
                <w:color w:val="000000"/>
                <w:kern w:val="0"/>
                <w:sz w:val="18"/>
                <w:szCs w:val="18"/>
                <w:highlight w:val="none"/>
              </w:rPr>
            </w:pPr>
            <w:r>
              <w:rPr>
                <w:rFonts w:hint="eastAsia"/>
                <w:snapToGrid w:val="0"/>
                <w:color w:val="000000"/>
                <w:kern w:val="0"/>
                <w:sz w:val="18"/>
                <w:szCs w:val="18"/>
                <w:highlight w:val="none"/>
              </w:rPr>
              <w:t>《中华人民共和国水土保持法》第二十八条：依法应当编制水土保持方案的生产建设项目，其生产建设活动中排弃的砂、石、土、矸石、尾矿、废渣等应当综合利用；不能综合利用，确需废弃的，应当堆放在水土保持方案确定的专门存放地，并采取措施保证不产生新的危害。</w:t>
            </w:r>
          </w:p>
          <w:p w14:paraId="4464A866">
            <w:pPr>
              <w:widowControl/>
              <w:autoSpaceDE w:val="0"/>
              <w:autoSpaceDN w:val="0"/>
              <w:snapToGrid w:val="0"/>
              <w:rPr>
                <w:snapToGrid w:val="0"/>
                <w:color w:val="000000"/>
                <w:kern w:val="0"/>
                <w:sz w:val="18"/>
                <w:szCs w:val="18"/>
                <w:highlight w:val="none"/>
              </w:rPr>
            </w:pPr>
            <w:r>
              <w:rPr>
                <w:rFonts w:hint="eastAsia"/>
                <w:snapToGrid w:val="0"/>
                <w:color w:val="000000"/>
                <w:kern w:val="0"/>
                <w:sz w:val="18"/>
                <w:szCs w:val="18"/>
                <w:highlight w:val="none"/>
              </w:rPr>
              <w:t>在水土保持方案确定的专门存放地以外的区域倾倒砂、石、土、矸石、尾矿、废渣等的，由县级以上地方人民政府水行政主管部门责令停止违法行为，限期清理，按照倾倒数量处每立方米十元以上二十元以下的罚款；逾期仍不清理的，县级以上地方人民政府水行政主管部门可以指定有清理能力的单位代为清理，所需费用由违法行为人承担。</w:t>
            </w:r>
          </w:p>
        </w:tc>
        <w:tc>
          <w:tcPr>
            <w:tcW w:w="5149" w:type="dxa"/>
            <w:vAlign w:val="center"/>
          </w:tcPr>
          <w:p w14:paraId="298F80D8">
            <w:pPr>
              <w:widowControl/>
              <w:autoSpaceDE w:val="0"/>
              <w:autoSpaceDN w:val="0"/>
              <w:snapToGrid w:val="0"/>
              <w:rPr>
                <w:snapToGrid w:val="0"/>
                <w:color w:val="000000"/>
                <w:kern w:val="0"/>
                <w:sz w:val="18"/>
                <w:szCs w:val="18"/>
                <w:highlight w:val="none"/>
              </w:rPr>
            </w:pPr>
            <w:r>
              <w:rPr>
                <w:rFonts w:hint="eastAsia"/>
                <w:snapToGrid w:val="0"/>
                <w:color w:val="000000"/>
                <w:kern w:val="0"/>
                <w:sz w:val="18"/>
                <w:szCs w:val="18"/>
                <w:highlight w:val="none"/>
              </w:rPr>
              <w:t>（1）站区、施工道路区、生产生活区等土石方开挖作业余土未按设计要求处置，产生站区边坡、施工道路、生产生活临建区域顺坡溜渣现象；</w:t>
            </w:r>
          </w:p>
          <w:p w14:paraId="5CDBCA9C">
            <w:pPr>
              <w:widowControl/>
              <w:autoSpaceDE w:val="0"/>
              <w:autoSpaceDN w:val="0"/>
              <w:snapToGrid w:val="0"/>
              <w:rPr>
                <w:snapToGrid w:val="0"/>
                <w:color w:val="000000"/>
                <w:kern w:val="0"/>
                <w:sz w:val="18"/>
                <w:szCs w:val="18"/>
                <w:highlight w:val="none"/>
              </w:rPr>
            </w:pPr>
            <w:r>
              <w:rPr>
                <w:rFonts w:hint="eastAsia"/>
                <w:snapToGrid w:val="0"/>
                <w:color w:val="000000"/>
                <w:kern w:val="0"/>
                <w:sz w:val="18"/>
                <w:szCs w:val="18"/>
                <w:highlight w:val="none"/>
              </w:rPr>
              <w:t>（2）余土（渣、石）外运后未按协议综合利用或未在弃渣场弃渣。</w:t>
            </w:r>
          </w:p>
        </w:tc>
      </w:tr>
      <w:tr w14:paraId="1A998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20" w:type="dxa"/>
            <w:vAlign w:val="center"/>
          </w:tcPr>
          <w:p w14:paraId="4D6FF5C7">
            <w:pPr>
              <w:widowControl/>
              <w:autoSpaceDE w:val="0"/>
              <w:autoSpaceDN w:val="0"/>
              <w:snapToGrid w:val="0"/>
              <w:jc w:val="center"/>
              <w:rPr>
                <w:snapToGrid w:val="0"/>
                <w:color w:val="000000"/>
                <w:kern w:val="0"/>
                <w:sz w:val="18"/>
                <w:szCs w:val="18"/>
                <w:highlight w:val="none"/>
              </w:rPr>
            </w:pPr>
            <w:r>
              <w:rPr>
                <w:rFonts w:hint="eastAsia"/>
                <w:snapToGrid w:val="0"/>
                <w:color w:val="000000"/>
                <w:kern w:val="0"/>
                <w:sz w:val="18"/>
                <w:szCs w:val="18"/>
                <w:highlight w:val="none"/>
              </w:rPr>
              <w:t>2</w:t>
            </w:r>
          </w:p>
        </w:tc>
        <w:tc>
          <w:tcPr>
            <w:tcW w:w="1440" w:type="dxa"/>
            <w:vAlign w:val="center"/>
          </w:tcPr>
          <w:p w14:paraId="535727AC">
            <w:pPr>
              <w:widowControl/>
              <w:autoSpaceDE w:val="0"/>
              <w:autoSpaceDN w:val="0"/>
              <w:snapToGrid w:val="0"/>
              <w:jc w:val="center"/>
              <w:rPr>
                <w:snapToGrid w:val="0"/>
                <w:color w:val="000000"/>
                <w:kern w:val="0"/>
                <w:sz w:val="18"/>
                <w:szCs w:val="18"/>
                <w:highlight w:val="none"/>
              </w:rPr>
            </w:pPr>
            <w:r>
              <w:rPr>
                <w:rFonts w:hint="eastAsia"/>
                <w:snapToGrid w:val="0"/>
                <w:color w:val="000000"/>
                <w:kern w:val="0"/>
                <w:sz w:val="18"/>
                <w:szCs w:val="18"/>
                <w:highlight w:val="none"/>
              </w:rPr>
              <w:t>表土保护不到位造成表土资源损失</w:t>
            </w:r>
          </w:p>
        </w:tc>
        <w:tc>
          <w:tcPr>
            <w:tcW w:w="6181" w:type="dxa"/>
            <w:vAlign w:val="center"/>
          </w:tcPr>
          <w:p w14:paraId="342AB45C">
            <w:pPr>
              <w:widowControl/>
              <w:autoSpaceDE w:val="0"/>
              <w:autoSpaceDN w:val="0"/>
              <w:snapToGrid w:val="0"/>
              <w:rPr>
                <w:snapToGrid w:val="0"/>
                <w:color w:val="000000"/>
                <w:kern w:val="0"/>
                <w:sz w:val="18"/>
                <w:szCs w:val="18"/>
                <w:highlight w:val="none"/>
              </w:rPr>
            </w:pPr>
            <w:r>
              <w:rPr>
                <w:rFonts w:hint="eastAsia"/>
                <w:color w:val="000000"/>
                <w:kern w:val="0"/>
                <w:sz w:val="18"/>
                <w:szCs w:val="18"/>
                <w:highlight w:val="none"/>
              </w:rPr>
              <w:t>《土壤污染防治法》第三十三条：国家加强对土壤资源的保护和合理利用。对开发建设过程中剥离的表土，应当单独收集和存放，符合条件的应当优先用于土地复垦、土壤改良、造地和绿化等。</w:t>
            </w:r>
            <w:r>
              <w:rPr>
                <w:rFonts w:hint="eastAsia"/>
                <w:color w:val="000000"/>
                <w:kern w:val="0"/>
                <w:sz w:val="18"/>
                <w:szCs w:val="18"/>
                <w:highlight w:val="none"/>
              </w:rPr>
              <w:br w:type="textWrapping"/>
            </w:r>
            <w:r>
              <w:rPr>
                <w:rFonts w:hint="eastAsia"/>
                <w:color w:val="000000"/>
                <w:kern w:val="0"/>
                <w:sz w:val="18"/>
                <w:szCs w:val="18"/>
                <w:highlight w:val="none"/>
              </w:rPr>
              <w:t>第九十一条：未单独收集、存放开发建设过程中剥离的表土的，由地方人民政府生态环境主管部门责令改正，处十万元以上五十万元以下的罚款；情节严重的，处五十万元以上一百万元以下的罚款；有违法所得的，没收违法所得；对直接负责的主管人员和其他直接责任人员处五千元以上二万元以下的罚款。</w:t>
            </w:r>
          </w:p>
        </w:tc>
        <w:tc>
          <w:tcPr>
            <w:tcW w:w="5149" w:type="dxa"/>
            <w:vAlign w:val="center"/>
          </w:tcPr>
          <w:p w14:paraId="59988862">
            <w:pPr>
              <w:widowControl/>
              <w:autoSpaceDE w:val="0"/>
              <w:autoSpaceDN w:val="0"/>
              <w:snapToGrid w:val="0"/>
              <w:rPr>
                <w:snapToGrid w:val="0"/>
                <w:color w:val="000000"/>
                <w:kern w:val="0"/>
                <w:sz w:val="18"/>
                <w:szCs w:val="18"/>
                <w:highlight w:val="none"/>
              </w:rPr>
            </w:pPr>
            <w:r>
              <w:rPr>
                <w:rFonts w:hint="eastAsia"/>
                <w:snapToGrid w:val="0"/>
                <w:color w:val="000000"/>
                <w:kern w:val="0"/>
                <w:sz w:val="18"/>
                <w:szCs w:val="18"/>
                <w:highlight w:val="none"/>
              </w:rPr>
              <w:t>（1）表土未按设计或实际情况剥离造成表土损失。</w:t>
            </w:r>
          </w:p>
          <w:p w14:paraId="46B57A34">
            <w:pPr>
              <w:widowControl/>
              <w:autoSpaceDE w:val="0"/>
              <w:autoSpaceDN w:val="0"/>
              <w:snapToGrid w:val="0"/>
              <w:rPr>
                <w:snapToGrid w:val="0"/>
                <w:color w:val="000000"/>
                <w:kern w:val="0"/>
                <w:sz w:val="18"/>
                <w:szCs w:val="18"/>
                <w:highlight w:val="none"/>
              </w:rPr>
            </w:pPr>
            <w:r>
              <w:rPr>
                <w:rFonts w:hint="eastAsia"/>
                <w:snapToGrid w:val="0"/>
                <w:color w:val="000000"/>
                <w:kern w:val="0"/>
                <w:sz w:val="18"/>
                <w:szCs w:val="18"/>
                <w:highlight w:val="none"/>
              </w:rPr>
              <w:t>（2）表土未按设计或实际需要与生土分开堆存。</w:t>
            </w:r>
          </w:p>
          <w:p w14:paraId="45ACD7D2">
            <w:pPr>
              <w:widowControl/>
              <w:autoSpaceDE w:val="0"/>
              <w:autoSpaceDN w:val="0"/>
              <w:snapToGrid w:val="0"/>
              <w:rPr>
                <w:snapToGrid w:val="0"/>
                <w:color w:val="000000"/>
                <w:kern w:val="0"/>
                <w:sz w:val="18"/>
                <w:szCs w:val="18"/>
                <w:highlight w:val="none"/>
              </w:rPr>
            </w:pPr>
            <w:r>
              <w:rPr>
                <w:rFonts w:hint="eastAsia"/>
                <w:snapToGrid w:val="0"/>
                <w:color w:val="000000"/>
                <w:kern w:val="0"/>
                <w:sz w:val="18"/>
                <w:szCs w:val="18"/>
                <w:highlight w:val="none"/>
              </w:rPr>
              <w:t>（3）表土未装袋堆存、或集中堆存未采取拦挡措施，因水蚀、风蚀造成表土损失。</w:t>
            </w:r>
          </w:p>
          <w:p w14:paraId="797450F6">
            <w:pPr>
              <w:widowControl/>
              <w:autoSpaceDE w:val="0"/>
              <w:autoSpaceDN w:val="0"/>
              <w:snapToGrid w:val="0"/>
              <w:rPr>
                <w:snapToGrid w:val="0"/>
                <w:color w:val="000000"/>
                <w:kern w:val="0"/>
                <w:sz w:val="18"/>
                <w:szCs w:val="18"/>
                <w:highlight w:val="none"/>
              </w:rPr>
            </w:pPr>
            <w:r>
              <w:rPr>
                <w:rFonts w:hint="eastAsia"/>
                <w:snapToGrid w:val="0"/>
                <w:color w:val="000000"/>
                <w:kern w:val="0"/>
                <w:sz w:val="18"/>
                <w:szCs w:val="18"/>
                <w:highlight w:val="none"/>
              </w:rPr>
              <w:t>（4）表土未按设计或实际需要回覆及利用。</w:t>
            </w:r>
          </w:p>
        </w:tc>
      </w:tr>
      <w:tr w14:paraId="1296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20" w:type="dxa"/>
            <w:vAlign w:val="center"/>
          </w:tcPr>
          <w:p w14:paraId="179FF117">
            <w:pPr>
              <w:widowControl/>
              <w:autoSpaceDE w:val="0"/>
              <w:autoSpaceDN w:val="0"/>
              <w:snapToGrid w:val="0"/>
              <w:jc w:val="center"/>
              <w:rPr>
                <w:snapToGrid w:val="0"/>
                <w:color w:val="000000"/>
                <w:kern w:val="0"/>
                <w:sz w:val="18"/>
                <w:szCs w:val="18"/>
                <w:highlight w:val="none"/>
              </w:rPr>
            </w:pPr>
            <w:r>
              <w:rPr>
                <w:snapToGrid w:val="0"/>
                <w:color w:val="000000"/>
                <w:kern w:val="0"/>
                <w:sz w:val="18"/>
                <w:szCs w:val="18"/>
                <w:highlight w:val="none"/>
              </w:rPr>
              <w:t>3</w:t>
            </w:r>
          </w:p>
        </w:tc>
        <w:tc>
          <w:tcPr>
            <w:tcW w:w="1440" w:type="dxa"/>
            <w:vAlign w:val="center"/>
          </w:tcPr>
          <w:p w14:paraId="66AE82AC">
            <w:pPr>
              <w:widowControl/>
              <w:autoSpaceDE w:val="0"/>
              <w:autoSpaceDN w:val="0"/>
              <w:snapToGrid w:val="0"/>
              <w:jc w:val="center"/>
              <w:rPr>
                <w:snapToGrid w:val="0"/>
                <w:color w:val="000000"/>
                <w:kern w:val="0"/>
                <w:sz w:val="18"/>
                <w:szCs w:val="18"/>
                <w:highlight w:val="none"/>
              </w:rPr>
            </w:pPr>
            <w:r>
              <w:rPr>
                <w:rFonts w:hint="eastAsia"/>
                <w:snapToGrid w:val="0"/>
                <w:color w:val="000000"/>
                <w:kern w:val="0"/>
                <w:sz w:val="18"/>
                <w:szCs w:val="18"/>
                <w:highlight w:val="none"/>
              </w:rPr>
              <w:t>污水、泥浆、废油随意外排造成水污染</w:t>
            </w:r>
          </w:p>
        </w:tc>
        <w:tc>
          <w:tcPr>
            <w:tcW w:w="6181" w:type="dxa"/>
            <w:vAlign w:val="center"/>
          </w:tcPr>
          <w:p w14:paraId="7F69F12E">
            <w:pPr>
              <w:widowControl/>
              <w:autoSpaceDE w:val="0"/>
              <w:autoSpaceDN w:val="0"/>
              <w:snapToGrid w:val="0"/>
              <w:rPr>
                <w:color w:val="000000"/>
                <w:kern w:val="0"/>
                <w:sz w:val="18"/>
                <w:szCs w:val="18"/>
                <w:highlight w:val="none"/>
              </w:rPr>
            </w:pPr>
            <w:r>
              <w:rPr>
                <w:rFonts w:hint="eastAsia"/>
                <w:color w:val="000000"/>
                <w:kern w:val="0"/>
                <w:sz w:val="18"/>
                <w:szCs w:val="18"/>
                <w:highlight w:val="none"/>
              </w:rPr>
              <w:t>第七十八条企业事业单位发生事故或者其他突发性事件，造成或者可能造成水污染事故的，应当立即启动本单位的应急方案，采取隔离等应急措施，防止水污染物进入水体，并向事故发生地的县级以上地方人民政府或者环境保护主管部门报告。</w:t>
            </w:r>
          </w:p>
          <w:p w14:paraId="32C466ED">
            <w:pPr>
              <w:pStyle w:val="2"/>
              <w:rPr>
                <w:sz w:val="18"/>
                <w:highlight w:val="none"/>
              </w:rPr>
            </w:pPr>
            <w:r>
              <w:rPr>
                <w:rFonts w:hint="eastAsia"/>
                <w:sz w:val="18"/>
                <w:highlight w:val="none"/>
              </w:rPr>
              <w:t>第九十三条 由县级以上人民政府环境保护主管部门责令改正；情节严重的，处二万元以上十万元以下的罚款。</w:t>
            </w:r>
          </w:p>
        </w:tc>
        <w:tc>
          <w:tcPr>
            <w:tcW w:w="5149" w:type="dxa"/>
            <w:vAlign w:val="center"/>
          </w:tcPr>
          <w:p w14:paraId="70BF6E22">
            <w:pPr>
              <w:widowControl/>
              <w:autoSpaceDE w:val="0"/>
              <w:autoSpaceDN w:val="0"/>
              <w:snapToGrid w:val="0"/>
              <w:rPr>
                <w:snapToGrid w:val="0"/>
                <w:color w:val="000000"/>
                <w:kern w:val="0"/>
                <w:sz w:val="18"/>
                <w:szCs w:val="18"/>
                <w:highlight w:val="none"/>
              </w:rPr>
            </w:pPr>
            <w:r>
              <w:rPr>
                <w:rFonts w:hint="eastAsia"/>
                <w:snapToGrid w:val="0"/>
                <w:color w:val="000000"/>
                <w:kern w:val="0"/>
                <w:sz w:val="18"/>
                <w:szCs w:val="18"/>
                <w:highlight w:val="none"/>
              </w:rPr>
              <w:t>（1）现场未设置泥浆池、废水池等设施，施工过程泥浆、施工污水、机具废油随意排放，造成周边水体污染；</w:t>
            </w:r>
          </w:p>
          <w:p w14:paraId="289927E7">
            <w:pPr>
              <w:pStyle w:val="2"/>
              <w:rPr>
                <w:sz w:val="18"/>
                <w:highlight w:val="none"/>
              </w:rPr>
            </w:pPr>
            <w:r>
              <w:rPr>
                <w:rFonts w:hint="eastAsia"/>
                <w:sz w:val="18"/>
                <w:highlight w:val="none"/>
              </w:rPr>
              <w:t>（2）现场未设置生活污水处理设施，生活污水随意排放，造成周边水体污染。</w:t>
            </w:r>
          </w:p>
        </w:tc>
      </w:tr>
      <w:tr w14:paraId="32D9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20" w:type="dxa"/>
            <w:vAlign w:val="center"/>
          </w:tcPr>
          <w:p w14:paraId="60EB7250">
            <w:pPr>
              <w:widowControl/>
              <w:autoSpaceDE w:val="0"/>
              <w:autoSpaceDN w:val="0"/>
              <w:snapToGrid w:val="0"/>
              <w:jc w:val="center"/>
              <w:rPr>
                <w:snapToGrid w:val="0"/>
                <w:color w:val="000000"/>
                <w:kern w:val="0"/>
                <w:sz w:val="18"/>
                <w:szCs w:val="18"/>
                <w:highlight w:val="none"/>
              </w:rPr>
            </w:pPr>
            <w:r>
              <w:rPr>
                <w:rFonts w:hint="eastAsia"/>
                <w:snapToGrid w:val="0"/>
                <w:color w:val="000000"/>
                <w:kern w:val="0"/>
                <w:sz w:val="18"/>
                <w:szCs w:val="18"/>
                <w:highlight w:val="none"/>
              </w:rPr>
              <w:t>4</w:t>
            </w:r>
          </w:p>
        </w:tc>
        <w:tc>
          <w:tcPr>
            <w:tcW w:w="1440" w:type="dxa"/>
            <w:vAlign w:val="center"/>
          </w:tcPr>
          <w:p w14:paraId="2385C982">
            <w:pPr>
              <w:widowControl/>
              <w:autoSpaceDE w:val="0"/>
              <w:autoSpaceDN w:val="0"/>
              <w:snapToGrid w:val="0"/>
              <w:jc w:val="center"/>
              <w:rPr>
                <w:snapToGrid w:val="0"/>
                <w:color w:val="000000"/>
                <w:kern w:val="0"/>
                <w:sz w:val="18"/>
                <w:szCs w:val="18"/>
                <w:highlight w:val="none"/>
              </w:rPr>
            </w:pPr>
            <w:r>
              <w:rPr>
                <w:rFonts w:hint="eastAsia"/>
                <w:snapToGrid w:val="0"/>
                <w:color w:val="000000"/>
                <w:kern w:val="0"/>
                <w:sz w:val="18"/>
                <w:szCs w:val="18"/>
                <w:highlight w:val="none"/>
              </w:rPr>
              <w:t>水保三色评价低于8</w:t>
            </w:r>
            <w:r>
              <w:rPr>
                <w:snapToGrid w:val="0"/>
                <w:color w:val="000000"/>
                <w:kern w:val="0"/>
                <w:sz w:val="18"/>
                <w:szCs w:val="18"/>
                <w:highlight w:val="none"/>
              </w:rPr>
              <w:t>0分</w:t>
            </w:r>
          </w:p>
        </w:tc>
        <w:tc>
          <w:tcPr>
            <w:tcW w:w="6181" w:type="dxa"/>
            <w:vAlign w:val="center"/>
          </w:tcPr>
          <w:p w14:paraId="61823551">
            <w:pPr>
              <w:widowControl/>
              <w:autoSpaceDE w:val="0"/>
              <w:autoSpaceDN w:val="0"/>
              <w:snapToGrid w:val="0"/>
              <w:rPr>
                <w:color w:val="000000"/>
                <w:kern w:val="0"/>
                <w:sz w:val="18"/>
                <w:szCs w:val="18"/>
                <w:highlight w:val="none"/>
              </w:rPr>
            </w:pPr>
            <w:r>
              <w:rPr>
                <w:rFonts w:hint="eastAsia"/>
                <w:color w:val="000000"/>
                <w:kern w:val="0"/>
                <w:sz w:val="18"/>
                <w:szCs w:val="18"/>
                <w:highlight w:val="none"/>
              </w:rPr>
              <w:t>依法编制水土保持报告书的项目，实行水土保持监测“绿黄红”三色评价。</w:t>
            </w:r>
          </w:p>
        </w:tc>
        <w:tc>
          <w:tcPr>
            <w:tcW w:w="5149" w:type="dxa"/>
            <w:vAlign w:val="center"/>
          </w:tcPr>
          <w:p w14:paraId="55E5BBB8">
            <w:pPr>
              <w:widowControl/>
              <w:autoSpaceDE w:val="0"/>
              <w:autoSpaceDN w:val="0"/>
              <w:snapToGrid w:val="0"/>
              <w:rPr>
                <w:snapToGrid w:val="0"/>
                <w:color w:val="000000"/>
                <w:kern w:val="0"/>
                <w:sz w:val="18"/>
                <w:szCs w:val="18"/>
                <w:highlight w:val="none"/>
              </w:rPr>
            </w:pPr>
            <w:r>
              <w:rPr>
                <w:rFonts w:hint="eastAsia"/>
                <w:color w:val="000000"/>
                <w:kern w:val="0"/>
                <w:sz w:val="18"/>
                <w:szCs w:val="18"/>
                <w:highlight w:val="none"/>
              </w:rPr>
              <w:t>水土保持监测单位根据监测情况，在监测季报和总结报告等监测成果中评价工程水保工作低于8</w:t>
            </w:r>
            <w:r>
              <w:rPr>
                <w:color w:val="000000"/>
                <w:kern w:val="0"/>
                <w:sz w:val="18"/>
                <w:szCs w:val="18"/>
                <w:highlight w:val="none"/>
              </w:rPr>
              <w:t>0分的。</w:t>
            </w:r>
          </w:p>
        </w:tc>
      </w:tr>
    </w:tbl>
    <w:p w14:paraId="60B526EF">
      <w:pPr>
        <w:wordWrap w:val="0"/>
        <w:spacing w:before="156" w:beforeLines="50" w:after="156" w:afterLines="50"/>
        <w:jc w:val="center"/>
        <w:rPr>
          <w:rFonts w:ascii="华文中宋" w:hAnsi="Times New Roman" w:eastAsia="华文中宋" w:cs="华文中宋"/>
          <w:b/>
          <w:bCs/>
          <w:sz w:val="28"/>
          <w:szCs w:val="32"/>
          <w:highlight w:val="none"/>
        </w:rPr>
      </w:pPr>
      <w:r>
        <w:rPr>
          <w:rFonts w:ascii="华文中宋" w:hAnsi="Times New Roman" w:eastAsia="华文中宋" w:cs="华文中宋"/>
          <w:b/>
          <w:bCs/>
          <w:sz w:val="28"/>
          <w:szCs w:val="32"/>
          <w:highlight w:val="none"/>
        </w:rPr>
        <w:br w:type="page"/>
      </w:r>
      <w:r>
        <w:rPr>
          <w:rFonts w:hint="eastAsia" w:ascii="华文中宋" w:hAnsi="Times New Roman" w:eastAsia="华文中宋" w:cs="华文中宋"/>
          <w:b/>
          <w:bCs/>
          <w:sz w:val="28"/>
          <w:szCs w:val="32"/>
          <w:highlight w:val="none"/>
        </w:rPr>
        <w:t>一般环保水保问题清单</w:t>
      </w:r>
    </w:p>
    <w:tbl>
      <w:tblPr>
        <w:tblStyle w:val="15"/>
        <w:tblW w:w="137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34"/>
        <w:gridCol w:w="1887"/>
        <w:gridCol w:w="5641"/>
        <w:gridCol w:w="5225"/>
      </w:tblGrid>
      <w:tr w14:paraId="09FAD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 w:hRule="atLeast"/>
          <w:tblHeader/>
          <w:jc w:val="center"/>
        </w:trPr>
        <w:tc>
          <w:tcPr>
            <w:tcW w:w="1034" w:type="dxa"/>
            <w:vAlign w:val="center"/>
          </w:tcPr>
          <w:p w14:paraId="4BFE35DB">
            <w:pPr>
              <w:widowControl/>
              <w:autoSpaceDE w:val="0"/>
              <w:autoSpaceDN w:val="0"/>
              <w:snapToGrid w:val="0"/>
              <w:jc w:val="center"/>
              <w:rPr>
                <w:rFonts w:eastAsiaTheme="minorHAnsi"/>
                <w:b/>
                <w:bCs/>
                <w:snapToGrid w:val="0"/>
                <w:color w:val="000000"/>
                <w:kern w:val="0"/>
                <w:sz w:val="18"/>
                <w:szCs w:val="18"/>
                <w:highlight w:val="none"/>
              </w:rPr>
            </w:pPr>
            <w:r>
              <w:rPr>
                <w:rFonts w:hint="eastAsia" w:cs="宋体" w:eastAsiaTheme="minorHAnsi"/>
                <w:b/>
                <w:snapToGrid w:val="0"/>
                <w:color w:val="000000"/>
                <w:kern w:val="0"/>
                <w:sz w:val="18"/>
                <w:szCs w:val="18"/>
                <w:highlight w:val="none"/>
              </w:rPr>
              <w:t>序号</w:t>
            </w:r>
          </w:p>
        </w:tc>
        <w:tc>
          <w:tcPr>
            <w:tcW w:w="1887" w:type="dxa"/>
            <w:vAlign w:val="center"/>
          </w:tcPr>
          <w:p w14:paraId="4419B61A">
            <w:pPr>
              <w:widowControl/>
              <w:autoSpaceDE w:val="0"/>
              <w:autoSpaceDN w:val="0"/>
              <w:snapToGrid w:val="0"/>
              <w:jc w:val="center"/>
              <w:rPr>
                <w:rFonts w:eastAsiaTheme="minorHAnsi"/>
                <w:b/>
                <w:bCs/>
                <w:snapToGrid w:val="0"/>
                <w:color w:val="000000"/>
                <w:kern w:val="0"/>
                <w:sz w:val="18"/>
                <w:szCs w:val="18"/>
                <w:highlight w:val="none"/>
              </w:rPr>
            </w:pPr>
            <w:r>
              <w:rPr>
                <w:rFonts w:hint="eastAsia" w:cs="宋体" w:eastAsiaTheme="minorHAnsi"/>
                <w:b/>
                <w:snapToGrid w:val="0"/>
                <w:color w:val="000000"/>
                <w:kern w:val="0"/>
                <w:sz w:val="18"/>
                <w:szCs w:val="18"/>
                <w:highlight w:val="none"/>
              </w:rPr>
              <w:t>问题分类</w:t>
            </w:r>
          </w:p>
        </w:tc>
        <w:tc>
          <w:tcPr>
            <w:tcW w:w="5641" w:type="dxa"/>
            <w:vAlign w:val="center"/>
          </w:tcPr>
          <w:p w14:paraId="2FF1B87E">
            <w:pPr>
              <w:widowControl/>
              <w:autoSpaceDE w:val="0"/>
              <w:autoSpaceDN w:val="0"/>
              <w:snapToGrid w:val="0"/>
              <w:jc w:val="center"/>
              <w:rPr>
                <w:rFonts w:eastAsiaTheme="minorHAnsi"/>
                <w:b/>
                <w:bCs/>
                <w:snapToGrid w:val="0"/>
                <w:color w:val="000000"/>
                <w:kern w:val="0"/>
                <w:sz w:val="18"/>
                <w:szCs w:val="18"/>
                <w:highlight w:val="none"/>
              </w:rPr>
            </w:pPr>
            <w:r>
              <w:rPr>
                <w:rFonts w:hint="eastAsia" w:cs="宋体" w:eastAsiaTheme="minorHAnsi"/>
                <w:b/>
                <w:snapToGrid w:val="0"/>
                <w:color w:val="000000"/>
                <w:kern w:val="0"/>
                <w:sz w:val="18"/>
                <w:szCs w:val="18"/>
                <w:highlight w:val="none"/>
              </w:rPr>
              <w:t>措施要求</w:t>
            </w:r>
          </w:p>
        </w:tc>
        <w:tc>
          <w:tcPr>
            <w:tcW w:w="5225" w:type="dxa"/>
            <w:vAlign w:val="center"/>
          </w:tcPr>
          <w:p w14:paraId="25B24F03">
            <w:pPr>
              <w:widowControl/>
              <w:autoSpaceDE w:val="0"/>
              <w:autoSpaceDN w:val="0"/>
              <w:snapToGrid w:val="0"/>
              <w:jc w:val="center"/>
              <w:rPr>
                <w:rFonts w:eastAsiaTheme="minorHAnsi"/>
                <w:b/>
                <w:bCs/>
                <w:snapToGrid w:val="0"/>
                <w:color w:val="000000"/>
                <w:kern w:val="0"/>
                <w:sz w:val="18"/>
                <w:szCs w:val="18"/>
                <w:highlight w:val="none"/>
              </w:rPr>
            </w:pPr>
            <w:r>
              <w:rPr>
                <w:rFonts w:hint="eastAsia" w:cs="宋体" w:eastAsiaTheme="minorHAnsi"/>
                <w:b/>
                <w:snapToGrid w:val="0"/>
                <w:color w:val="000000"/>
                <w:kern w:val="0"/>
                <w:sz w:val="18"/>
                <w:szCs w:val="18"/>
                <w:highlight w:val="none"/>
              </w:rPr>
              <w:t>问题案例</w:t>
            </w:r>
          </w:p>
        </w:tc>
      </w:tr>
      <w:tr w14:paraId="13049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 w:hRule="atLeast"/>
          <w:jc w:val="center"/>
        </w:trPr>
        <w:tc>
          <w:tcPr>
            <w:tcW w:w="1034" w:type="dxa"/>
            <w:vAlign w:val="center"/>
          </w:tcPr>
          <w:p w14:paraId="50D48028">
            <w:pPr>
              <w:widowControl/>
              <w:autoSpaceDE w:val="0"/>
              <w:autoSpaceDN w:val="0"/>
              <w:snapToGrid w:val="0"/>
              <w:jc w:val="center"/>
              <w:rPr>
                <w:rFonts w:cs="宋体" w:eastAsiaTheme="minorHAnsi"/>
                <w:b/>
                <w:snapToGrid w:val="0"/>
                <w:color w:val="000000"/>
                <w:kern w:val="0"/>
                <w:sz w:val="18"/>
                <w:szCs w:val="18"/>
                <w:highlight w:val="none"/>
              </w:rPr>
            </w:pPr>
            <w:r>
              <w:rPr>
                <w:rFonts w:hint="eastAsia" w:cs="宋体" w:eastAsiaTheme="minorHAnsi"/>
                <w:b/>
                <w:snapToGrid w:val="0"/>
                <w:color w:val="000000"/>
                <w:kern w:val="0"/>
                <w:sz w:val="18"/>
                <w:szCs w:val="18"/>
                <w:highlight w:val="none"/>
              </w:rPr>
              <w:t>1</w:t>
            </w:r>
          </w:p>
        </w:tc>
        <w:tc>
          <w:tcPr>
            <w:tcW w:w="1887" w:type="dxa"/>
            <w:vAlign w:val="center"/>
          </w:tcPr>
          <w:p w14:paraId="2C5E99B4">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组织机构设置及人员配备不完善</w:t>
            </w:r>
          </w:p>
        </w:tc>
        <w:tc>
          <w:tcPr>
            <w:tcW w:w="5641" w:type="dxa"/>
            <w:vAlign w:val="center"/>
          </w:tcPr>
          <w:p w14:paraId="0DA0A093">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在合同签订一个月内成立施工项目部，以文件形式任命项目经理及环水保专（兼）职人员，并以书面形式报送监理单位和建设单位；施工项目部在项目管理体系中增加环保水保管理体系。</w:t>
            </w:r>
          </w:p>
        </w:tc>
        <w:tc>
          <w:tcPr>
            <w:tcW w:w="5225" w:type="dxa"/>
            <w:vAlign w:val="center"/>
          </w:tcPr>
          <w:p w14:paraId="1CA31922">
            <w:pPr>
              <w:pStyle w:val="2"/>
              <w:jc w:val="both"/>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w:t>
            </w:r>
            <w:r>
              <w:rPr>
                <w:rFonts w:eastAsiaTheme="minorHAnsi"/>
                <w:snapToGrid w:val="0"/>
                <w:color w:val="000000"/>
                <w:kern w:val="0"/>
                <w:sz w:val="18"/>
                <w:szCs w:val="18"/>
                <w:highlight w:val="none"/>
              </w:rPr>
              <w:t>1</w:t>
            </w:r>
            <w:r>
              <w:rPr>
                <w:rFonts w:hint="eastAsia" w:eastAsiaTheme="minorHAnsi"/>
                <w:snapToGrid w:val="0"/>
                <w:color w:val="000000"/>
                <w:kern w:val="0"/>
                <w:sz w:val="18"/>
                <w:szCs w:val="18"/>
                <w:highlight w:val="none"/>
              </w:rPr>
              <w:t>）未以文件形式成立施工项目部或未配备环水保专（兼）职管理岗位；</w:t>
            </w:r>
          </w:p>
          <w:p w14:paraId="32EF703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w:t>
            </w:r>
            <w:r>
              <w:rPr>
                <w:rFonts w:eastAsiaTheme="minorHAnsi"/>
                <w:snapToGrid w:val="0"/>
                <w:color w:val="000000"/>
                <w:kern w:val="0"/>
                <w:sz w:val="18"/>
                <w:szCs w:val="18"/>
                <w:highlight w:val="none"/>
              </w:rPr>
              <w:t>2</w:t>
            </w:r>
            <w:r>
              <w:rPr>
                <w:rFonts w:hint="eastAsia" w:eastAsiaTheme="minorHAnsi"/>
                <w:snapToGrid w:val="0"/>
                <w:color w:val="000000"/>
                <w:kern w:val="0"/>
                <w:sz w:val="18"/>
                <w:szCs w:val="18"/>
                <w:highlight w:val="none"/>
              </w:rPr>
              <w:t>）环保水保管理未纳入项目部体系。</w:t>
            </w:r>
          </w:p>
        </w:tc>
      </w:tr>
      <w:tr w14:paraId="4FE8A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5" w:hRule="atLeast"/>
          <w:jc w:val="center"/>
        </w:trPr>
        <w:tc>
          <w:tcPr>
            <w:tcW w:w="1034" w:type="dxa"/>
            <w:vAlign w:val="center"/>
          </w:tcPr>
          <w:p w14:paraId="3A257394">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w:t>
            </w:r>
          </w:p>
        </w:tc>
        <w:tc>
          <w:tcPr>
            <w:tcW w:w="1887" w:type="dxa"/>
            <w:vMerge w:val="restart"/>
            <w:vAlign w:val="center"/>
          </w:tcPr>
          <w:p w14:paraId="538D1F2B">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大气污染防治措施</w:t>
            </w:r>
          </w:p>
        </w:tc>
        <w:tc>
          <w:tcPr>
            <w:tcW w:w="5641" w:type="dxa"/>
            <w:vAlign w:val="center"/>
          </w:tcPr>
          <w:p w14:paraId="2B994A31">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采取洒水抑尘、雾炮机抑尘等手段对设备材料运输、施工土方开挖或堆土作业等过程中产生的施工扬尘。</w:t>
            </w:r>
          </w:p>
        </w:tc>
        <w:tc>
          <w:tcPr>
            <w:tcW w:w="5225" w:type="dxa"/>
            <w:vAlign w:val="center"/>
          </w:tcPr>
          <w:p w14:paraId="7AC0446C">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在施工过程产生扬尘的过程中，未采取相关抑尘手续。</w:t>
            </w:r>
          </w:p>
        </w:tc>
      </w:tr>
      <w:tr w14:paraId="3E2CE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0" w:hRule="atLeast"/>
          <w:jc w:val="center"/>
        </w:trPr>
        <w:tc>
          <w:tcPr>
            <w:tcW w:w="1034" w:type="dxa"/>
            <w:vAlign w:val="center"/>
          </w:tcPr>
          <w:p w14:paraId="27481B82">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3</w:t>
            </w:r>
          </w:p>
        </w:tc>
        <w:tc>
          <w:tcPr>
            <w:tcW w:w="1887" w:type="dxa"/>
            <w:vMerge w:val="continue"/>
            <w:vAlign w:val="center"/>
          </w:tcPr>
          <w:p w14:paraId="0CDBCF1B">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275BC0A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堆土、堆料场等起尘物质堆放点及裸露地表区域进行苫盖。</w:t>
            </w:r>
          </w:p>
        </w:tc>
        <w:tc>
          <w:tcPr>
            <w:tcW w:w="5225" w:type="dxa"/>
            <w:vAlign w:val="center"/>
          </w:tcPr>
          <w:p w14:paraId="2441F4E7">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未在堆放点或裸露地表区域进行苫盖。</w:t>
            </w:r>
          </w:p>
        </w:tc>
      </w:tr>
      <w:tr w14:paraId="3465F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5" w:hRule="atLeast"/>
          <w:jc w:val="center"/>
        </w:trPr>
        <w:tc>
          <w:tcPr>
            <w:tcW w:w="1034" w:type="dxa"/>
            <w:vAlign w:val="center"/>
          </w:tcPr>
          <w:p w14:paraId="22492BFF">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4</w:t>
            </w:r>
          </w:p>
        </w:tc>
        <w:tc>
          <w:tcPr>
            <w:tcW w:w="1887" w:type="dxa"/>
            <w:vMerge w:val="restart"/>
            <w:vAlign w:val="center"/>
          </w:tcPr>
          <w:p w14:paraId="39D9DC14">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水环境保护措施</w:t>
            </w:r>
          </w:p>
        </w:tc>
        <w:tc>
          <w:tcPr>
            <w:tcW w:w="5641" w:type="dxa"/>
            <w:vAlign w:val="center"/>
          </w:tcPr>
          <w:p w14:paraId="43F1B100">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工程设置的施工生产生活区未配套建设临时化粪池等污水处理设施，进行防渗处理并定期清运。</w:t>
            </w:r>
          </w:p>
        </w:tc>
        <w:tc>
          <w:tcPr>
            <w:tcW w:w="5225" w:type="dxa"/>
            <w:vAlign w:val="center"/>
          </w:tcPr>
          <w:p w14:paraId="36EAFE36">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未设置污水处理设施或未进行防渗处理、清运。</w:t>
            </w:r>
          </w:p>
        </w:tc>
      </w:tr>
      <w:tr w14:paraId="58037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jc w:val="center"/>
        </w:trPr>
        <w:tc>
          <w:tcPr>
            <w:tcW w:w="1034" w:type="dxa"/>
            <w:vAlign w:val="center"/>
          </w:tcPr>
          <w:p w14:paraId="056AF9F8">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5</w:t>
            </w:r>
          </w:p>
        </w:tc>
        <w:tc>
          <w:tcPr>
            <w:tcW w:w="1887" w:type="dxa"/>
            <w:vMerge w:val="continue"/>
            <w:vAlign w:val="center"/>
          </w:tcPr>
          <w:p w14:paraId="72282AEB">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6668829C">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在饮用水水源保护区和其他水体保护区内或附近施工时，设置泥浆沉淀池或泥浆槽集中处理，并设置围栏及警示标识，泥浆和污水不外排。</w:t>
            </w:r>
          </w:p>
        </w:tc>
        <w:tc>
          <w:tcPr>
            <w:tcW w:w="5225" w:type="dxa"/>
            <w:vAlign w:val="center"/>
          </w:tcPr>
          <w:p w14:paraId="4F74F4E8">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（1）未对泥浆进行处理；</w:t>
            </w:r>
          </w:p>
          <w:p w14:paraId="08610E7B">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（2）未设置围栏、警示标识；泥浆及污水外排。</w:t>
            </w:r>
          </w:p>
        </w:tc>
      </w:tr>
      <w:tr w14:paraId="0C8F2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34" w:type="dxa"/>
            <w:vAlign w:val="center"/>
          </w:tcPr>
          <w:p w14:paraId="54BCBACF">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6</w:t>
            </w:r>
          </w:p>
        </w:tc>
        <w:tc>
          <w:tcPr>
            <w:tcW w:w="1887" w:type="dxa"/>
            <w:vMerge w:val="continue"/>
            <w:vAlign w:val="center"/>
          </w:tcPr>
          <w:p w14:paraId="10CCE2B4">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27E0E39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做好施工场地周围的拦挡措施，禁止直接外排施工废水。</w:t>
            </w:r>
          </w:p>
        </w:tc>
        <w:tc>
          <w:tcPr>
            <w:tcW w:w="5225" w:type="dxa"/>
            <w:vAlign w:val="center"/>
          </w:tcPr>
          <w:p w14:paraId="1BAF0801">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（1）未做拦挡措施；</w:t>
            </w:r>
          </w:p>
          <w:p w14:paraId="0E5DE8A9">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（2）施工废水直接外排。</w:t>
            </w:r>
          </w:p>
        </w:tc>
      </w:tr>
      <w:tr w14:paraId="00E8E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1034" w:type="dxa"/>
            <w:vAlign w:val="center"/>
          </w:tcPr>
          <w:p w14:paraId="3ADCA8FC">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7</w:t>
            </w:r>
          </w:p>
        </w:tc>
        <w:tc>
          <w:tcPr>
            <w:tcW w:w="1887" w:type="dxa"/>
            <w:vMerge w:val="continue"/>
            <w:vAlign w:val="center"/>
          </w:tcPr>
          <w:p w14:paraId="03408EA0">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56512C8E">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设置临时水冲厕所及移动式生活污水处理装置。</w:t>
            </w:r>
          </w:p>
        </w:tc>
        <w:tc>
          <w:tcPr>
            <w:tcW w:w="5225" w:type="dxa"/>
            <w:vAlign w:val="center"/>
          </w:tcPr>
          <w:p w14:paraId="1CF36787">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（1）未设置临时水冲厕所；</w:t>
            </w:r>
          </w:p>
          <w:p w14:paraId="67C6220D">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（2）未设置生活污水处理装置。</w:t>
            </w:r>
          </w:p>
        </w:tc>
      </w:tr>
      <w:tr w14:paraId="609279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jc w:val="center"/>
        </w:trPr>
        <w:tc>
          <w:tcPr>
            <w:tcW w:w="1034" w:type="dxa"/>
            <w:vAlign w:val="center"/>
          </w:tcPr>
          <w:p w14:paraId="6CC5D99F">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8</w:t>
            </w:r>
          </w:p>
        </w:tc>
        <w:tc>
          <w:tcPr>
            <w:tcW w:w="1887" w:type="dxa"/>
            <w:vMerge w:val="restart"/>
            <w:vAlign w:val="center"/>
          </w:tcPr>
          <w:p w14:paraId="4CA576DA">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声环境保护措施</w:t>
            </w:r>
          </w:p>
        </w:tc>
        <w:tc>
          <w:tcPr>
            <w:tcW w:w="5641" w:type="dxa"/>
            <w:vAlign w:val="center"/>
          </w:tcPr>
          <w:p w14:paraId="22C75584">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应按设计方案落实降噪设施（措施）。</w:t>
            </w:r>
          </w:p>
        </w:tc>
        <w:tc>
          <w:tcPr>
            <w:tcW w:w="5225" w:type="dxa"/>
            <w:vAlign w:val="center"/>
          </w:tcPr>
          <w:p w14:paraId="26EE1421">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未按要求落实降噪设施（措施）。</w:t>
            </w:r>
          </w:p>
        </w:tc>
      </w:tr>
      <w:tr w14:paraId="2DE20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034" w:type="dxa"/>
            <w:vAlign w:val="center"/>
          </w:tcPr>
          <w:p w14:paraId="01E6D995">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9</w:t>
            </w:r>
          </w:p>
        </w:tc>
        <w:tc>
          <w:tcPr>
            <w:tcW w:w="1887" w:type="dxa"/>
            <w:vMerge w:val="continue"/>
            <w:vAlign w:val="center"/>
          </w:tcPr>
          <w:p w14:paraId="683B6D0E">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398DA203">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严禁夜间施工，确需夜间施工的，需取得县级生态环境主管部门的同意。</w:t>
            </w:r>
          </w:p>
        </w:tc>
        <w:tc>
          <w:tcPr>
            <w:tcW w:w="5225" w:type="dxa"/>
            <w:vAlign w:val="center"/>
          </w:tcPr>
          <w:p w14:paraId="5021C7A1">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未取得主管部门同意夜间施工。</w:t>
            </w:r>
          </w:p>
        </w:tc>
      </w:tr>
      <w:tr w14:paraId="55003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034" w:type="dxa"/>
            <w:vAlign w:val="center"/>
          </w:tcPr>
          <w:p w14:paraId="4D99E57E">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10</w:t>
            </w:r>
          </w:p>
        </w:tc>
        <w:tc>
          <w:tcPr>
            <w:tcW w:w="1887" w:type="dxa"/>
            <w:vMerge w:val="continue"/>
            <w:vAlign w:val="center"/>
          </w:tcPr>
          <w:p w14:paraId="66B1863A">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7894F316">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运输材料的车辆进入施工现场严禁鸣笛。</w:t>
            </w:r>
          </w:p>
        </w:tc>
        <w:tc>
          <w:tcPr>
            <w:tcW w:w="5225" w:type="dxa"/>
            <w:vAlign w:val="center"/>
          </w:tcPr>
          <w:p w14:paraId="4139A52C">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运输车辆进入施工现场鸣笛。</w:t>
            </w:r>
          </w:p>
        </w:tc>
      </w:tr>
      <w:tr w14:paraId="609BC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1034" w:type="dxa"/>
            <w:vAlign w:val="center"/>
          </w:tcPr>
          <w:p w14:paraId="07F3E717">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11</w:t>
            </w:r>
          </w:p>
        </w:tc>
        <w:tc>
          <w:tcPr>
            <w:tcW w:w="1887" w:type="dxa"/>
            <w:vMerge w:val="restart"/>
            <w:vAlign w:val="center"/>
          </w:tcPr>
          <w:p w14:paraId="78741FC3">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固废防治措施</w:t>
            </w:r>
          </w:p>
        </w:tc>
        <w:tc>
          <w:tcPr>
            <w:tcW w:w="5641" w:type="dxa"/>
            <w:vAlign w:val="center"/>
          </w:tcPr>
          <w:p w14:paraId="59D669B1">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建筑垃圾、施工废料、原材料和设备包装应集中堆放，优先回收利用，不能回收的委托有资质单位回收利用。</w:t>
            </w:r>
          </w:p>
        </w:tc>
        <w:tc>
          <w:tcPr>
            <w:tcW w:w="5225" w:type="dxa"/>
            <w:vAlign w:val="center"/>
          </w:tcPr>
          <w:p w14:paraId="0FBA4E43">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（1）建筑垃圾、施工废料、原材料和设备包装未按要求堆放；</w:t>
            </w:r>
          </w:p>
          <w:p w14:paraId="42C234C6">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（2）未及时回收。</w:t>
            </w:r>
          </w:p>
        </w:tc>
      </w:tr>
      <w:tr w14:paraId="7C9C5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034" w:type="dxa"/>
            <w:vAlign w:val="center"/>
          </w:tcPr>
          <w:p w14:paraId="3738648B">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12</w:t>
            </w:r>
          </w:p>
        </w:tc>
        <w:tc>
          <w:tcPr>
            <w:tcW w:w="1887" w:type="dxa"/>
            <w:vMerge w:val="continue"/>
            <w:vAlign w:val="center"/>
          </w:tcPr>
          <w:p w14:paraId="75123097">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0BC8E3C9">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施工场地应设置垃圾箱对生活垃圾进行集中收集。</w:t>
            </w:r>
          </w:p>
        </w:tc>
        <w:tc>
          <w:tcPr>
            <w:tcW w:w="5225" w:type="dxa"/>
            <w:vAlign w:val="center"/>
          </w:tcPr>
          <w:p w14:paraId="172CF368">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生活垃圾未进行集中收集。</w:t>
            </w:r>
          </w:p>
        </w:tc>
      </w:tr>
      <w:tr w14:paraId="5C164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1034" w:type="dxa"/>
            <w:vAlign w:val="center"/>
          </w:tcPr>
          <w:p w14:paraId="2B2EDB7A">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13</w:t>
            </w:r>
          </w:p>
        </w:tc>
        <w:tc>
          <w:tcPr>
            <w:tcW w:w="1887" w:type="dxa"/>
            <w:vMerge w:val="continue"/>
            <w:vAlign w:val="center"/>
          </w:tcPr>
          <w:p w14:paraId="61205742">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4890E730">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施工临时占地采取隔离保护措施，施工结束后将混凝土余料和建渣及时清除。</w:t>
            </w:r>
          </w:p>
        </w:tc>
        <w:tc>
          <w:tcPr>
            <w:tcW w:w="5225" w:type="dxa"/>
            <w:vAlign w:val="center"/>
          </w:tcPr>
          <w:p w14:paraId="441B50F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（1）未做隔离保护措施；</w:t>
            </w:r>
          </w:p>
          <w:p w14:paraId="5B5BAF2F">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（2）施工废弃物未及时清除。</w:t>
            </w:r>
          </w:p>
        </w:tc>
      </w:tr>
      <w:tr w14:paraId="6DFE0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034" w:type="dxa"/>
            <w:vAlign w:val="center"/>
          </w:tcPr>
          <w:p w14:paraId="4191E61F">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14</w:t>
            </w:r>
          </w:p>
        </w:tc>
        <w:tc>
          <w:tcPr>
            <w:tcW w:w="1887" w:type="dxa"/>
            <w:vMerge w:val="continue"/>
            <w:vAlign w:val="center"/>
          </w:tcPr>
          <w:p w14:paraId="408B223F">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0FC54278">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施工现场禁止就地燃烧包装物、可燃垃圾等固体废弃物。</w:t>
            </w:r>
          </w:p>
        </w:tc>
        <w:tc>
          <w:tcPr>
            <w:tcW w:w="5225" w:type="dxa"/>
            <w:vAlign w:val="center"/>
          </w:tcPr>
          <w:p w14:paraId="515A6216">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发生就地燃烧固体废弃物。</w:t>
            </w:r>
          </w:p>
        </w:tc>
      </w:tr>
      <w:tr w14:paraId="00332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1034" w:type="dxa"/>
            <w:vAlign w:val="center"/>
          </w:tcPr>
          <w:p w14:paraId="147B5D10">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15</w:t>
            </w:r>
          </w:p>
        </w:tc>
        <w:tc>
          <w:tcPr>
            <w:tcW w:w="1887" w:type="dxa"/>
            <w:vMerge w:val="restart"/>
            <w:vAlign w:val="center"/>
          </w:tcPr>
          <w:p w14:paraId="05E78C57">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电磁控制措施</w:t>
            </w:r>
          </w:p>
        </w:tc>
        <w:tc>
          <w:tcPr>
            <w:tcW w:w="5641" w:type="dxa"/>
            <w:vAlign w:val="center"/>
          </w:tcPr>
          <w:p w14:paraId="0F86237A">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进行临电作业时，应设置高压标识牌；局放试验、耐压试验等过程中临时围挡设置应牢靠。</w:t>
            </w:r>
          </w:p>
        </w:tc>
        <w:tc>
          <w:tcPr>
            <w:tcW w:w="5225" w:type="dxa"/>
            <w:vAlign w:val="center"/>
          </w:tcPr>
          <w:p w14:paraId="22846944">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（1）未设置高压标识牌；</w:t>
            </w:r>
          </w:p>
          <w:p w14:paraId="7BDE3A32">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（2）临时拦挡未设置或设置不牢固。</w:t>
            </w:r>
          </w:p>
        </w:tc>
      </w:tr>
      <w:tr w14:paraId="0BC4C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jc w:val="center"/>
        </w:trPr>
        <w:tc>
          <w:tcPr>
            <w:tcW w:w="1034" w:type="dxa"/>
            <w:vAlign w:val="center"/>
          </w:tcPr>
          <w:p w14:paraId="1149D015">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16</w:t>
            </w:r>
          </w:p>
        </w:tc>
        <w:tc>
          <w:tcPr>
            <w:tcW w:w="1887" w:type="dxa"/>
            <w:vMerge w:val="continue"/>
            <w:vAlign w:val="center"/>
          </w:tcPr>
          <w:p w14:paraId="6AA3486A">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5DF1EAB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母线架设过程中，应预防设备尖端放电。</w:t>
            </w:r>
          </w:p>
        </w:tc>
        <w:tc>
          <w:tcPr>
            <w:tcW w:w="5225" w:type="dxa"/>
            <w:vAlign w:val="center"/>
          </w:tcPr>
          <w:p w14:paraId="1AB5E2B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操作不合格。</w:t>
            </w:r>
          </w:p>
        </w:tc>
      </w:tr>
      <w:tr w14:paraId="321DE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034" w:type="dxa"/>
            <w:vAlign w:val="center"/>
          </w:tcPr>
          <w:p w14:paraId="0A9DA68F">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17</w:t>
            </w:r>
          </w:p>
        </w:tc>
        <w:tc>
          <w:tcPr>
            <w:tcW w:w="1887" w:type="dxa"/>
            <w:vMerge w:val="restart"/>
            <w:vAlign w:val="center"/>
          </w:tcPr>
          <w:p w14:paraId="7BCD9D89">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生态环境保护措施</w:t>
            </w:r>
          </w:p>
        </w:tc>
        <w:tc>
          <w:tcPr>
            <w:tcW w:w="5641" w:type="dxa"/>
            <w:vAlign w:val="center"/>
          </w:tcPr>
          <w:p w14:paraId="35F28F98">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施工现场应采取限界措施，以限制施工范围，避免对施工区域外的植被、土壤造成破坏。</w:t>
            </w:r>
          </w:p>
        </w:tc>
        <w:tc>
          <w:tcPr>
            <w:tcW w:w="5225" w:type="dxa"/>
            <w:vAlign w:val="center"/>
          </w:tcPr>
          <w:p w14:paraId="123F0E3E">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施工现场未做限界措施。</w:t>
            </w:r>
          </w:p>
        </w:tc>
      </w:tr>
      <w:tr w14:paraId="53858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034" w:type="dxa"/>
            <w:vAlign w:val="center"/>
          </w:tcPr>
          <w:p w14:paraId="7E7A8480">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18</w:t>
            </w:r>
          </w:p>
        </w:tc>
        <w:tc>
          <w:tcPr>
            <w:tcW w:w="1887" w:type="dxa"/>
            <w:vMerge w:val="continue"/>
            <w:vAlign w:val="center"/>
          </w:tcPr>
          <w:p w14:paraId="1AD3FC2A">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0048C6B6">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在地表植被较脆弱、恢复困难的地段设置应棕垫等隔离。</w:t>
            </w:r>
          </w:p>
        </w:tc>
        <w:tc>
          <w:tcPr>
            <w:tcW w:w="5225" w:type="dxa"/>
            <w:vAlign w:val="center"/>
          </w:tcPr>
          <w:p w14:paraId="7E18BC1A">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在植被脆弱地段未设置相应地面隔离。</w:t>
            </w:r>
          </w:p>
        </w:tc>
      </w:tr>
      <w:tr w14:paraId="61E6B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1034" w:type="dxa"/>
            <w:vAlign w:val="center"/>
          </w:tcPr>
          <w:p w14:paraId="52CA7503">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19</w:t>
            </w:r>
          </w:p>
        </w:tc>
        <w:tc>
          <w:tcPr>
            <w:tcW w:w="1887" w:type="dxa"/>
            <w:vMerge w:val="continue"/>
            <w:vAlign w:val="center"/>
          </w:tcPr>
          <w:p w14:paraId="12248C2F">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7F985DFB">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在利用田间道路作为施工便道或需占用农田作为临时用地的地段，选用钢板铺垫等方法。</w:t>
            </w:r>
          </w:p>
        </w:tc>
        <w:tc>
          <w:tcPr>
            <w:tcW w:w="5225" w:type="dxa"/>
            <w:vAlign w:val="center"/>
          </w:tcPr>
          <w:p w14:paraId="1D148B46">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在利用田间道路作为施工便道或需占用农田作为临时用地的地段，未采取铺垫。</w:t>
            </w:r>
          </w:p>
        </w:tc>
      </w:tr>
      <w:tr w14:paraId="30631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1034" w:type="dxa"/>
            <w:vAlign w:val="center"/>
          </w:tcPr>
          <w:p w14:paraId="147E62CE">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20</w:t>
            </w:r>
          </w:p>
        </w:tc>
        <w:tc>
          <w:tcPr>
            <w:tcW w:w="1887" w:type="dxa"/>
            <w:vMerge w:val="continue"/>
            <w:vAlign w:val="center"/>
          </w:tcPr>
          <w:p w14:paraId="76B5F7EB">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2C52F861">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施工用地应做到永临结合，采取隔离措施减少地表扰动，施工完结后及时进行迹地恢复。</w:t>
            </w:r>
          </w:p>
        </w:tc>
        <w:tc>
          <w:tcPr>
            <w:tcW w:w="5225" w:type="dxa"/>
            <w:vAlign w:val="center"/>
          </w:tcPr>
          <w:p w14:paraId="1FE87DBD">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（1）施工用地未做到永临结合；</w:t>
            </w:r>
          </w:p>
          <w:p w14:paraId="7040FF38">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（2）未及时完成土地恢复。</w:t>
            </w:r>
          </w:p>
        </w:tc>
      </w:tr>
      <w:tr w14:paraId="36074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jc w:val="center"/>
        </w:trPr>
        <w:tc>
          <w:tcPr>
            <w:tcW w:w="1034" w:type="dxa"/>
            <w:vAlign w:val="center"/>
          </w:tcPr>
          <w:p w14:paraId="092D417E">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21</w:t>
            </w:r>
          </w:p>
        </w:tc>
        <w:tc>
          <w:tcPr>
            <w:tcW w:w="1887" w:type="dxa"/>
            <w:vMerge w:val="continue"/>
            <w:vAlign w:val="center"/>
          </w:tcPr>
          <w:p w14:paraId="63A4B15D">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7E56AF7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在自然保护区等敏感区施工时，落实环境影响评价文件和设计阶段制定的生态环境保护方案。</w:t>
            </w:r>
          </w:p>
        </w:tc>
        <w:tc>
          <w:tcPr>
            <w:tcW w:w="5225" w:type="dxa"/>
            <w:vAlign w:val="center"/>
          </w:tcPr>
          <w:p w14:paraId="047C8DC2">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未落实环评或设计阶段要求的施工工艺。</w:t>
            </w:r>
          </w:p>
        </w:tc>
      </w:tr>
      <w:tr w14:paraId="771F3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jc w:val="center"/>
        </w:trPr>
        <w:tc>
          <w:tcPr>
            <w:tcW w:w="1034" w:type="dxa"/>
            <w:vAlign w:val="center"/>
          </w:tcPr>
          <w:p w14:paraId="24762FFA">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22</w:t>
            </w:r>
          </w:p>
        </w:tc>
        <w:tc>
          <w:tcPr>
            <w:tcW w:w="1887" w:type="dxa"/>
            <w:vMerge w:val="restart"/>
            <w:vAlign w:val="center"/>
          </w:tcPr>
          <w:p w14:paraId="305C7442">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水土保持工程措施</w:t>
            </w:r>
          </w:p>
        </w:tc>
        <w:tc>
          <w:tcPr>
            <w:tcW w:w="5641" w:type="dxa"/>
            <w:vAlign w:val="center"/>
          </w:tcPr>
          <w:p w14:paraId="1296ECB4">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扰动地表的永久及临时征地范围，包括地表开挖和回填施工区域应采取表土剥离措施。</w:t>
            </w:r>
          </w:p>
        </w:tc>
        <w:tc>
          <w:tcPr>
            <w:tcW w:w="5225" w:type="dxa"/>
            <w:vAlign w:val="center"/>
          </w:tcPr>
          <w:p w14:paraId="047FAA23">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未采取表土剥离措施。</w:t>
            </w:r>
          </w:p>
        </w:tc>
      </w:tr>
      <w:tr w14:paraId="37FC7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jc w:val="center"/>
        </w:trPr>
        <w:tc>
          <w:tcPr>
            <w:tcW w:w="1034" w:type="dxa"/>
            <w:vAlign w:val="center"/>
          </w:tcPr>
          <w:p w14:paraId="3BB78531">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23</w:t>
            </w:r>
          </w:p>
        </w:tc>
        <w:tc>
          <w:tcPr>
            <w:tcW w:w="1887" w:type="dxa"/>
            <w:vMerge w:val="continue"/>
            <w:vAlign w:val="center"/>
          </w:tcPr>
          <w:p w14:paraId="699EDD62">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72BE8FD3">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在施工结束后，在需要进行植被建设、复耕的区域进行表土回覆，若剥离的表土不满足种植要求，应外运客土回覆。</w:t>
            </w:r>
          </w:p>
        </w:tc>
        <w:tc>
          <w:tcPr>
            <w:tcW w:w="5225" w:type="dxa"/>
            <w:vAlign w:val="center"/>
          </w:tcPr>
          <w:p w14:paraId="775928F3">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施工结束后，未及时表土回覆。</w:t>
            </w:r>
          </w:p>
        </w:tc>
      </w:tr>
      <w:tr w14:paraId="2D8FB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jc w:val="center"/>
        </w:trPr>
        <w:tc>
          <w:tcPr>
            <w:tcW w:w="1034" w:type="dxa"/>
            <w:vAlign w:val="center"/>
          </w:tcPr>
          <w:p w14:paraId="510CDC4F">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24</w:t>
            </w:r>
          </w:p>
        </w:tc>
        <w:tc>
          <w:tcPr>
            <w:tcW w:w="1887" w:type="dxa"/>
            <w:vMerge w:val="continue"/>
            <w:vAlign w:val="center"/>
          </w:tcPr>
          <w:p w14:paraId="4BFEA5F8">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25F6BEDD">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裸露的地表可选用彩条布铺垫在底部再集中堆存表土，减少对原地貌的扰动，堆土边沿用装入表土的植生袋进行拦挡，堆土上部用密目网苫盖避免扬尘。</w:t>
            </w:r>
          </w:p>
        </w:tc>
        <w:tc>
          <w:tcPr>
            <w:tcW w:w="5225" w:type="dxa"/>
            <w:vAlign w:val="center"/>
          </w:tcPr>
          <w:p w14:paraId="2EC933C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未采取有效手段。</w:t>
            </w:r>
          </w:p>
        </w:tc>
      </w:tr>
      <w:tr w14:paraId="55F9E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1034" w:type="dxa"/>
            <w:vAlign w:val="center"/>
          </w:tcPr>
          <w:p w14:paraId="1D5196AA">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25</w:t>
            </w:r>
          </w:p>
        </w:tc>
        <w:tc>
          <w:tcPr>
            <w:tcW w:w="1887" w:type="dxa"/>
            <w:vMerge w:val="continue"/>
            <w:vAlign w:val="center"/>
          </w:tcPr>
          <w:p w14:paraId="29ACC67A">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5333EE0D">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在青藏高原等高寒草原草甸地区应进行草皮剥离、养护及回铺。</w:t>
            </w:r>
          </w:p>
        </w:tc>
        <w:tc>
          <w:tcPr>
            <w:tcW w:w="5225" w:type="dxa"/>
            <w:vAlign w:val="center"/>
          </w:tcPr>
          <w:p w14:paraId="5D1DA0C8">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在青藏高原等高寒草原草甸地区未进行草皮剥离、养护及回铺。</w:t>
            </w:r>
          </w:p>
        </w:tc>
      </w:tr>
      <w:tr w14:paraId="5F457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0" w:hRule="atLeast"/>
          <w:jc w:val="center"/>
        </w:trPr>
        <w:tc>
          <w:tcPr>
            <w:tcW w:w="1034" w:type="dxa"/>
            <w:vAlign w:val="center"/>
          </w:tcPr>
          <w:p w14:paraId="4A49E36F">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26</w:t>
            </w:r>
          </w:p>
        </w:tc>
        <w:tc>
          <w:tcPr>
            <w:tcW w:w="1887" w:type="dxa"/>
            <w:vMerge w:val="continue"/>
            <w:vAlign w:val="center"/>
          </w:tcPr>
          <w:p w14:paraId="4861FFAC">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3C98570A">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项目各防治责任分区应结合所在地的类型及地型，布设合理的工程措施，如拦渣措施、边坡防护措施、截排水措施、土地整治措施等。</w:t>
            </w:r>
          </w:p>
        </w:tc>
        <w:tc>
          <w:tcPr>
            <w:tcW w:w="5225" w:type="dxa"/>
            <w:vAlign w:val="center"/>
          </w:tcPr>
          <w:p w14:paraId="2C25BCBD">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在各区内未设置拦渣措施、边坡防护措施、截排水措施、土地整治措施。</w:t>
            </w:r>
          </w:p>
        </w:tc>
      </w:tr>
      <w:tr w14:paraId="31E7F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jc w:val="center"/>
        </w:trPr>
        <w:tc>
          <w:tcPr>
            <w:tcW w:w="1034" w:type="dxa"/>
            <w:vAlign w:val="center"/>
          </w:tcPr>
          <w:p w14:paraId="794C9340">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27</w:t>
            </w:r>
          </w:p>
        </w:tc>
        <w:tc>
          <w:tcPr>
            <w:tcW w:w="1887" w:type="dxa"/>
            <w:vMerge w:val="continue"/>
            <w:vAlign w:val="center"/>
          </w:tcPr>
          <w:p w14:paraId="0263EB88">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5A95FE8E">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设置弃土</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石、渣</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场的项目，应在弃土</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石、渣</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场周围设置拦渣措施（拦渣墙、拦渣堤、围渣堰等），且措施的设置未与防洪排水、土地整治工程统筹考虑，满足弃土</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石、渣</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场整体稳定、安全运行的要求。</w:t>
            </w:r>
          </w:p>
        </w:tc>
        <w:tc>
          <w:tcPr>
            <w:tcW w:w="5225" w:type="dxa"/>
            <w:vAlign w:val="center"/>
          </w:tcPr>
          <w:p w14:paraId="563C867A">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无相关措施。</w:t>
            </w:r>
          </w:p>
        </w:tc>
      </w:tr>
      <w:tr w14:paraId="39C0A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034" w:type="dxa"/>
            <w:vAlign w:val="center"/>
          </w:tcPr>
          <w:p w14:paraId="7AA7DA20">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28</w:t>
            </w:r>
          </w:p>
        </w:tc>
        <w:tc>
          <w:tcPr>
            <w:tcW w:w="1887" w:type="dxa"/>
            <w:vMerge w:val="restart"/>
            <w:vAlign w:val="center"/>
          </w:tcPr>
          <w:p w14:paraId="4ABA061B">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水土保持临时措施</w:t>
            </w:r>
          </w:p>
        </w:tc>
        <w:tc>
          <w:tcPr>
            <w:tcW w:w="5641" w:type="dxa"/>
            <w:vAlign w:val="center"/>
          </w:tcPr>
          <w:p w14:paraId="2A156029">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临时堆土、取土</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石、砂</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场、弃土</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石、渣</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场、施工场地等裸露区域应布设临时防护措施，如苫盖、铺垫、拦挡、临时排水沟、沉沙池、泥浆沉淀池等。</w:t>
            </w:r>
          </w:p>
        </w:tc>
        <w:tc>
          <w:tcPr>
            <w:tcW w:w="5225" w:type="dxa"/>
            <w:vAlign w:val="center"/>
          </w:tcPr>
          <w:p w14:paraId="3CC73E24">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在临时地表裸露区域未设置临时防护措施。</w:t>
            </w:r>
          </w:p>
        </w:tc>
      </w:tr>
      <w:tr w14:paraId="30956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0" w:hRule="atLeast"/>
          <w:jc w:val="center"/>
        </w:trPr>
        <w:tc>
          <w:tcPr>
            <w:tcW w:w="1034" w:type="dxa"/>
            <w:vAlign w:val="center"/>
          </w:tcPr>
          <w:p w14:paraId="1FED61C9">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29</w:t>
            </w:r>
          </w:p>
        </w:tc>
        <w:tc>
          <w:tcPr>
            <w:tcW w:w="1887" w:type="dxa"/>
            <w:vMerge w:val="continue"/>
            <w:vAlign w:val="center"/>
          </w:tcPr>
          <w:p w14:paraId="6FE83EFA">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0CBBF62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变电站</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换流站</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站区、施工生产生活区等区域临时堆放的生土和熟土</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表土</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应分开堆放，应采取临时防护措施，如苫盖、编织袋拦挡等。</w:t>
            </w:r>
          </w:p>
        </w:tc>
        <w:tc>
          <w:tcPr>
            <w:tcW w:w="5225" w:type="dxa"/>
            <w:vAlign w:val="center"/>
          </w:tcPr>
          <w:p w14:paraId="30F1EDB0">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（1）生土熟土未分类堆放；</w:t>
            </w:r>
          </w:p>
          <w:p w14:paraId="0D9D28E1">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（2）未做防护措施。</w:t>
            </w:r>
          </w:p>
        </w:tc>
      </w:tr>
      <w:tr w14:paraId="39E61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0" w:hRule="atLeast"/>
          <w:jc w:val="center"/>
        </w:trPr>
        <w:tc>
          <w:tcPr>
            <w:tcW w:w="1034" w:type="dxa"/>
            <w:vAlign w:val="center"/>
          </w:tcPr>
          <w:p w14:paraId="13816103">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30</w:t>
            </w:r>
          </w:p>
        </w:tc>
        <w:tc>
          <w:tcPr>
            <w:tcW w:w="1887" w:type="dxa"/>
            <w:vMerge w:val="continue"/>
            <w:vAlign w:val="center"/>
          </w:tcPr>
          <w:p w14:paraId="59D54A03">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1B4E480F">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变电站</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换流站</w:t>
            </w:r>
            <w:r>
              <w:rPr>
                <w:rFonts w:eastAsiaTheme="minorHAnsi"/>
                <w:snapToGrid w:val="0"/>
                <w:color w:val="000000"/>
                <w:kern w:val="0"/>
                <w:sz w:val="18"/>
                <w:szCs w:val="18"/>
                <w:highlight w:val="none"/>
              </w:rPr>
              <w:t>)</w:t>
            </w:r>
            <w:r>
              <w:rPr>
                <w:rFonts w:hint="eastAsia" w:eastAsiaTheme="minorHAnsi"/>
                <w:snapToGrid w:val="0"/>
                <w:color w:val="000000"/>
                <w:kern w:val="0"/>
                <w:sz w:val="18"/>
                <w:szCs w:val="18"/>
                <w:highlight w:val="none"/>
              </w:rPr>
              <w:t>站区、施工生产生活区应根据地形布置临时排水沟，且排水口处布设沉沙池进行缓冲和沉淀泥沙。</w:t>
            </w:r>
          </w:p>
        </w:tc>
        <w:tc>
          <w:tcPr>
            <w:tcW w:w="5225" w:type="dxa"/>
            <w:vAlign w:val="center"/>
          </w:tcPr>
          <w:p w14:paraId="5A0E809A">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（1）未布置临时排水沟；</w:t>
            </w:r>
          </w:p>
          <w:p w14:paraId="7537012D">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（2）排水口未做相应措施。</w:t>
            </w:r>
          </w:p>
        </w:tc>
      </w:tr>
      <w:tr w14:paraId="22320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0" w:hRule="atLeast"/>
          <w:jc w:val="center"/>
        </w:trPr>
        <w:tc>
          <w:tcPr>
            <w:tcW w:w="1034" w:type="dxa"/>
            <w:vAlign w:val="center"/>
          </w:tcPr>
          <w:p w14:paraId="298D8333">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31</w:t>
            </w:r>
          </w:p>
        </w:tc>
        <w:tc>
          <w:tcPr>
            <w:tcW w:w="1887" w:type="dxa"/>
            <w:vMerge w:val="continue"/>
            <w:vAlign w:val="center"/>
          </w:tcPr>
          <w:p w14:paraId="114936C5">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46039CD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灌注桩基础施工时，应设置泥浆沉淀池，用于存放钻孔施工需要的泥浆；施工结束后，应对施工场地区进行坑凹回填，土地整治。</w:t>
            </w:r>
          </w:p>
        </w:tc>
        <w:tc>
          <w:tcPr>
            <w:tcW w:w="5225" w:type="dxa"/>
            <w:vAlign w:val="center"/>
          </w:tcPr>
          <w:p w14:paraId="3B32FD69">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（1）在灌注桩基础施工过程中，未设置泥浆沉淀池；</w:t>
            </w:r>
          </w:p>
          <w:p w14:paraId="167D9D5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（2）施工结束后，未进行土地整治。</w:t>
            </w:r>
          </w:p>
        </w:tc>
      </w:tr>
      <w:tr w14:paraId="5A133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034" w:type="dxa"/>
            <w:vAlign w:val="center"/>
          </w:tcPr>
          <w:p w14:paraId="10D77539">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32</w:t>
            </w:r>
          </w:p>
        </w:tc>
        <w:tc>
          <w:tcPr>
            <w:tcW w:w="1887" w:type="dxa"/>
            <w:vMerge w:val="continue"/>
            <w:vAlign w:val="center"/>
          </w:tcPr>
          <w:p w14:paraId="29383F8D">
            <w:pPr>
              <w:widowControl/>
              <w:autoSpaceDE w:val="0"/>
              <w:autoSpaceDN w:val="0"/>
              <w:snapToGrid w:val="0"/>
              <w:jc w:val="left"/>
              <w:rPr>
                <w:rFonts w:eastAsiaTheme="minorHAnsi"/>
                <w:snapToGrid w:val="0"/>
                <w:color w:val="000000"/>
                <w:kern w:val="0"/>
                <w:sz w:val="18"/>
                <w:szCs w:val="18"/>
                <w:highlight w:val="none"/>
              </w:rPr>
            </w:pPr>
          </w:p>
        </w:tc>
        <w:tc>
          <w:tcPr>
            <w:tcW w:w="5641" w:type="dxa"/>
            <w:vAlign w:val="center"/>
          </w:tcPr>
          <w:p w14:paraId="2029FA6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站外施工临时道路以及材料、机械堆放区域等应采用彩条布或钢板铺垫等隔离措施。</w:t>
            </w:r>
          </w:p>
        </w:tc>
        <w:tc>
          <w:tcPr>
            <w:tcW w:w="5225" w:type="dxa"/>
            <w:vAlign w:val="center"/>
          </w:tcPr>
          <w:p w14:paraId="2A3F5FF8">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在上述区域内未采取隔离措施。</w:t>
            </w:r>
          </w:p>
        </w:tc>
      </w:tr>
      <w:tr w14:paraId="7A4B3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jc w:val="center"/>
        </w:trPr>
        <w:tc>
          <w:tcPr>
            <w:tcW w:w="1034" w:type="dxa"/>
            <w:vAlign w:val="center"/>
          </w:tcPr>
          <w:p w14:paraId="410DA45F">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33</w:t>
            </w:r>
          </w:p>
        </w:tc>
        <w:tc>
          <w:tcPr>
            <w:tcW w:w="1887" w:type="dxa"/>
            <w:vAlign w:val="center"/>
          </w:tcPr>
          <w:p w14:paraId="5D1EE401">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水土保持植物措施</w:t>
            </w:r>
          </w:p>
        </w:tc>
        <w:tc>
          <w:tcPr>
            <w:tcW w:w="5641" w:type="dxa"/>
            <w:vAlign w:val="center"/>
          </w:tcPr>
          <w:p w14:paraId="1F6D3AA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施工生产生活区、临时堆土场区、临时施工道路等区域施工结束后，应按原有土地性质恢复植被。</w:t>
            </w:r>
          </w:p>
        </w:tc>
        <w:tc>
          <w:tcPr>
            <w:tcW w:w="5225" w:type="dxa"/>
            <w:vAlign w:val="center"/>
          </w:tcPr>
          <w:p w14:paraId="1CD93497">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在上述区域施工结束后，未恢复植被。</w:t>
            </w:r>
          </w:p>
        </w:tc>
      </w:tr>
      <w:tr w14:paraId="5CB79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1034" w:type="dxa"/>
            <w:vAlign w:val="center"/>
          </w:tcPr>
          <w:p w14:paraId="1D3783A7">
            <w:pPr>
              <w:widowControl/>
              <w:autoSpaceDE w:val="0"/>
              <w:autoSpaceDN w:val="0"/>
              <w:snapToGrid w:val="0"/>
              <w:jc w:val="center"/>
              <w:rPr>
                <w:rFonts w:eastAsiaTheme="minorHAnsi"/>
                <w:snapToGrid w:val="0"/>
                <w:color w:val="000000"/>
                <w:kern w:val="0"/>
                <w:sz w:val="18"/>
                <w:szCs w:val="18"/>
                <w:highlight w:val="none"/>
              </w:rPr>
            </w:pPr>
            <w:r>
              <w:rPr>
                <w:rFonts w:eastAsiaTheme="minorHAnsi"/>
                <w:snapToGrid w:val="0"/>
                <w:color w:val="000000"/>
                <w:kern w:val="0"/>
                <w:sz w:val="18"/>
                <w:szCs w:val="18"/>
                <w:highlight w:val="none"/>
              </w:rPr>
              <w:t>34</w:t>
            </w:r>
          </w:p>
        </w:tc>
        <w:tc>
          <w:tcPr>
            <w:tcW w:w="1887" w:type="dxa"/>
            <w:vAlign w:val="center"/>
          </w:tcPr>
          <w:p w14:paraId="4FC800EF">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防风固沙措施</w:t>
            </w:r>
          </w:p>
        </w:tc>
        <w:tc>
          <w:tcPr>
            <w:tcW w:w="5641" w:type="dxa"/>
            <w:vAlign w:val="center"/>
          </w:tcPr>
          <w:p w14:paraId="64C5DF16">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对容易引起土地沙化、荒漠化的扰动区域进行防风固沙、涵养水分。</w:t>
            </w:r>
          </w:p>
        </w:tc>
        <w:tc>
          <w:tcPr>
            <w:tcW w:w="5225" w:type="dxa"/>
            <w:vAlign w:val="center"/>
          </w:tcPr>
          <w:p w14:paraId="2A50CD15">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在容易引起土地沙化、荒漠化的扰动区域未采取有效防风固沙措施。</w:t>
            </w:r>
          </w:p>
        </w:tc>
      </w:tr>
      <w:tr w14:paraId="24098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1034" w:type="dxa"/>
            <w:vAlign w:val="center"/>
          </w:tcPr>
          <w:p w14:paraId="096DB35F">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3</w:t>
            </w:r>
            <w:r>
              <w:rPr>
                <w:rFonts w:eastAsiaTheme="minorHAnsi"/>
                <w:snapToGrid w:val="0"/>
                <w:color w:val="000000"/>
                <w:kern w:val="0"/>
                <w:sz w:val="18"/>
                <w:szCs w:val="18"/>
                <w:highlight w:val="none"/>
              </w:rPr>
              <w:t>5</w:t>
            </w:r>
          </w:p>
        </w:tc>
        <w:tc>
          <w:tcPr>
            <w:tcW w:w="1887" w:type="dxa"/>
            <w:vAlign w:val="center"/>
          </w:tcPr>
          <w:p w14:paraId="275CFFB2">
            <w:pPr>
              <w:widowControl/>
              <w:autoSpaceDE w:val="0"/>
              <w:autoSpaceDN w:val="0"/>
              <w:snapToGrid w:val="0"/>
              <w:jc w:val="center"/>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设施验收</w:t>
            </w:r>
          </w:p>
        </w:tc>
        <w:tc>
          <w:tcPr>
            <w:tcW w:w="5641" w:type="dxa"/>
            <w:vAlign w:val="center"/>
          </w:tcPr>
          <w:p w14:paraId="4C953D38">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确保竣工前完成环保水保设施验收，确保工程顺利通过环保和水保验收。</w:t>
            </w:r>
          </w:p>
        </w:tc>
        <w:tc>
          <w:tcPr>
            <w:tcW w:w="5225" w:type="dxa"/>
            <w:vAlign w:val="center"/>
          </w:tcPr>
          <w:p w14:paraId="672CED12">
            <w:pPr>
              <w:widowControl/>
              <w:autoSpaceDE w:val="0"/>
              <w:autoSpaceDN w:val="0"/>
              <w:snapToGrid w:val="0"/>
              <w:rPr>
                <w:rFonts w:eastAsiaTheme="minorHAnsi"/>
                <w:snapToGrid w:val="0"/>
                <w:color w:val="000000"/>
                <w:kern w:val="0"/>
                <w:sz w:val="18"/>
                <w:szCs w:val="18"/>
                <w:highlight w:val="none"/>
              </w:rPr>
            </w:pPr>
            <w:r>
              <w:rPr>
                <w:rFonts w:hint="eastAsia" w:eastAsiaTheme="minorHAnsi"/>
                <w:snapToGrid w:val="0"/>
                <w:color w:val="000000"/>
                <w:kern w:val="0"/>
                <w:sz w:val="18"/>
                <w:szCs w:val="18"/>
                <w:highlight w:val="none"/>
              </w:rPr>
              <w:t>存在因工程实施过程中的重大环水保问题影响项目验收或创优。</w:t>
            </w:r>
          </w:p>
        </w:tc>
      </w:tr>
    </w:tbl>
    <w:p w14:paraId="446B0C9D">
      <w:pPr>
        <w:pStyle w:val="2"/>
        <w:rPr>
          <w:rFonts w:ascii="方正仿宋_GBK" w:hAnsi="方正仿宋_GBK" w:eastAsia="方正仿宋_GBK" w:cs="方正仿宋_GBK"/>
          <w:highlight w:val="none"/>
        </w:rPr>
      </w:pPr>
    </w:p>
    <w:p w14:paraId="48D34A78">
      <w:pPr>
        <w:widowControl/>
        <w:jc w:val="left"/>
        <w:rPr>
          <w:rFonts w:ascii="方正仿宋_GBK" w:hAnsi="方正仿宋_GBK" w:eastAsia="方正仿宋_GBK" w:cs="方正仿宋_GBK"/>
          <w:sz w:val="18"/>
          <w:szCs w:val="18"/>
          <w:highlight w:val="none"/>
        </w:rPr>
      </w:pPr>
    </w:p>
    <w:p w14:paraId="75C09B33">
      <w:pPr>
        <w:rPr>
          <w:rFonts w:ascii="方正仿宋_GBK" w:hAnsi="方正仿宋_GBK" w:eastAsia="方正仿宋_GBK" w:cs="方正仿宋_GBK"/>
          <w:sz w:val="18"/>
          <w:szCs w:val="18"/>
          <w:highlight w:val="none"/>
        </w:rPr>
      </w:pPr>
    </w:p>
    <w:p w14:paraId="4755CA43">
      <w:pPr>
        <w:pStyle w:val="2"/>
        <w:rPr>
          <w:highlight w:val="none"/>
        </w:rPr>
      </w:pPr>
    </w:p>
    <w:p w14:paraId="10305CBE">
      <w:pPr>
        <w:pStyle w:val="2"/>
        <w:rPr>
          <w:rFonts w:ascii="方正仿宋_GBK" w:hAnsi="方正仿宋_GBK" w:eastAsia="方正仿宋_GBK" w:cs="方正仿宋_GBK"/>
          <w:highlight w:val="none"/>
        </w:rPr>
      </w:pPr>
    </w:p>
    <w:p w14:paraId="20044F7C">
      <w:pPr>
        <w:widowControl/>
        <w:jc w:val="left"/>
        <w:rPr>
          <w:rFonts w:ascii="方正仿宋_GBK" w:hAnsi="方正仿宋_GBK" w:eastAsia="方正仿宋_GBK" w:cs="方正仿宋_GBK"/>
          <w:sz w:val="18"/>
          <w:szCs w:val="18"/>
          <w:highlight w:val="none"/>
        </w:rPr>
      </w:pPr>
    </w:p>
    <w:p w14:paraId="6212A527">
      <w:pPr>
        <w:rPr>
          <w:rFonts w:ascii="方正仿宋_GBK" w:hAnsi="方正仿宋_GBK" w:eastAsia="方正仿宋_GBK" w:cs="方正仿宋_GBK"/>
          <w:sz w:val="18"/>
          <w:szCs w:val="18"/>
          <w:highlight w:val="none"/>
        </w:rPr>
      </w:pPr>
    </w:p>
    <w:sectPr>
      <w:pgSz w:w="16838" w:h="11906" w:orient="landscape"/>
      <w:pgMar w:top="1247" w:right="1701" w:bottom="1247" w:left="156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92"/>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9ABD948-7B1B-4BB2-B18D-33C91A5D608F}"/>
  </w:font>
  <w:font w:name="Arial">
    <w:panose1 w:val="020B0604020202020204"/>
    <w:charset w:val="01"/>
    <w:family w:val="swiss"/>
    <w:pitch w:val="default"/>
    <w:sig w:usb0="E0002EFF" w:usb1="C000785B" w:usb2="00000009" w:usb3="00000000" w:csb0="400001FF" w:csb1="FFFF0000"/>
    <w:embedRegular r:id="rId2" w:fontKey="{9B50ABF8-4A0C-4C3A-B203-F4446B9B969D}"/>
  </w:font>
  <w:font w:name="黑体">
    <w:panose1 w:val="02010609060101010101"/>
    <w:charset w:val="86"/>
    <w:family w:val="auto"/>
    <w:pitch w:val="default"/>
    <w:sig w:usb0="800002BF" w:usb1="38CF7CFA" w:usb2="00000016" w:usb3="00000000" w:csb0="00040001" w:csb1="00000000"/>
    <w:embedRegular r:id="rId3" w:fontKey="{09E4CC4D-45FD-4278-B899-384AD0EF51EE}"/>
  </w:font>
  <w:font w:name="Courier New">
    <w:panose1 w:val="02070309020205020404"/>
    <w:charset w:val="01"/>
    <w:family w:val="modern"/>
    <w:pitch w:val="default"/>
    <w:sig w:usb0="E0002EFF" w:usb1="C0007843" w:usb2="00000009" w:usb3="00000000" w:csb0="400001FF" w:csb1="FFFF0000"/>
    <w:embedRegular r:id="rId4" w:fontKey="{72765473-4C2D-431E-B35C-777A4F73D6F0}"/>
  </w:font>
  <w:font w:name="Symbol">
    <w:panose1 w:val="05050102010706020507"/>
    <w:charset w:val="02"/>
    <w:family w:val="roman"/>
    <w:pitch w:val="default"/>
    <w:sig w:usb0="00000000" w:usb1="00000000" w:usb2="00000000" w:usb3="00000000" w:csb0="80000000" w:csb1="00000000"/>
    <w:embedRegular r:id="rId5" w:fontKey="{2240D401-9E54-4659-8A18-E9426A147BB4}"/>
  </w:font>
  <w:font w:name="Calibri">
    <w:panose1 w:val="020F0502020204030204"/>
    <w:charset w:val="00"/>
    <w:family w:val="swiss"/>
    <w:pitch w:val="default"/>
    <w:sig w:usb0="E4002EFF" w:usb1="C200247B" w:usb2="00000009" w:usb3="00000000" w:csb0="200001FF" w:csb1="00000000"/>
    <w:embedRegular r:id="rId6" w:fontKey="{720E7BA0-16E6-4C42-9B15-49BDB444272D}"/>
  </w:font>
  <w:font w:name="仿宋">
    <w:panose1 w:val="02010609060101010101"/>
    <w:charset w:val="86"/>
    <w:family w:val="modern"/>
    <w:pitch w:val="default"/>
    <w:sig w:usb0="800002BF" w:usb1="38CF7CFA" w:usb2="00000016" w:usb3="00000000" w:csb0="00040001" w:csb1="00000000"/>
    <w:embedRegular r:id="rId7" w:fontKey="{2462090A-01BF-4C5C-A556-B4B08BD16F16}"/>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EU-F1">
    <w:altName w:val="宋体"/>
    <w:panose1 w:val="00000000000000000000"/>
    <w:charset w:val="86"/>
    <w:family w:val="auto"/>
    <w:pitch w:val="default"/>
    <w:sig w:usb0="00000000" w:usb1="00000000" w:usb2="00000010" w:usb3="00000000" w:csb0="00040000" w:csb1="00000000"/>
  </w:font>
  <w:font w:name="方正仿宋_GBK">
    <w:panose1 w:val="02000000000000000000"/>
    <w:charset w:val="86"/>
    <w:family w:val="script"/>
    <w:pitch w:val="default"/>
    <w:sig w:usb0="A00002BF" w:usb1="38CF7CFA" w:usb2="00082016" w:usb3="00000000" w:csb0="00040001" w:csb1="00000000"/>
    <w:embedRegular r:id="rId8" w:fontKey="{B8F4B1C7-4D26-4386-B5CE-E5AB8386EEB3}"/>
  </w:font>
  <w:font w:name="Cambria">
    <w:panose1 w:val="02040503050406030204"/>
    <w:charset w:val="00"/>
    <w:family w:val="roman"/>
    <w:pitch w:val="default"/>
    <w:sig w:usb0="E00006FF" w:usb1="420024FF" w:usb2="02000000" w:usb3="00000000" w:csb0="2000019F" w:csb1="00000000"/>
    <w:embedRegular r:id="rId9" w:fontKey="{1F91CBAC-EE38-4F28-A2DC-D6EA6362AAC6}"/>
  </w:font>
  <w:font w:name="Wingdings 2">
    <w:panose1 w:val="05020102010507070707"/>
    <w:charset w:val="02"/>
    <w:family w:val="roman"/>
    <w:pitch w:val="default"/>
    <w:sig w:usb0="00000000" w:usb1="00000000" w:usb2="00000000" w:usb3="00000000" w:csb0="80000000" w:csb1="00000000"/>
    <w:embedRegular r:id="rId10" w:fontKey="{CDE23FFE-2293-4721-93B1-B4BC257DAC61}"/>
  </w:font>
  <w:font w:name="方正黑体_GBK">
    <w:panose1 w:val="03000509000000000000"/>
    <w:charset w:val="86"/>
    <w:family w:val="script"/>
    <w:pitch w:val="default"/>
    <w:sig w:usb0="00000001" w:usb1="080E0000" w:usb2="00000000" w:usb3="00000000" w:csb0="00040000" w:csb1="00000000"/>
    <w:embedRegular r:id="rId11" w:fontKey="{1F9B616E-6A07-4D8D-B502-4DBD8895B3C4}"/>
  </w:font>
  <w:font w:name="方正楷体_GBK">
    <w:panose1 w:val="02000000000000000000"/>
    <w:charset w:val="86"/>
    <w:family w:val="script"/>
    <w:pitch w:val="default"/>
    <w:sig w:usb0="800002BF" w:usb1="38CF7CFA" w:usb2="00000016" w:usb3="00000000" w:csb0="00040000" w:csb1="00000000"/>
    <w:embedRegular r:id="rId12" w:fontKey="{5BB897DF-BBD8-4FAF-9334-76CED49EA472}"/>
  </w:font>
  <w:font w:name="仿宋_GB2312">
    <w:panose1 w:val="02010609030101010101"/>
    <w:charset w:val="86"/>
    <w:family w:val="modern"/>
    <w:pitch w:val="default"/>
    <w:sig w:usb0="00000001" w:usb1="080E0000" w:usb2="00000000" w:usb3="00000000" w:csb0="00040000" w:csb1="00000000"/>
    <w:embedRegular r:id="rId13" w:fontKey="{366B8ACF-4953-4996-A02D-71AF57720B26}"/>
  </w:font>
  <w:font w:name="华文中宋">
    <w:panose1 w:val="02010600040101010101"/>
    <w:charset w:val="86"/>
    <w:family w:val="auto"/>
    <w:pitch w:val="default"/>
    <w:sig w:usb0="00000287" w:usb1="080F0000" w:usb2="00000000" w:usb3="00000000" w:csb0="0004009F" w:csb1="DFD70000"/>
    <w:embedRegular r:id="rId14" w:fontKey="{48078A6D-E885-49E5-9D51-15124CE7F844}"/>
  </w:font>
  <w:font w:name="WPSEMBED15">
    <w:panose1 w:val="03000509000000000000"/>
    <w:charset w:val="86"/>
    <w:family w:val="auto"/>
    <w:pitch w:val="default"/>
    <w:sig w:usb0="00000001" w:usb1="080E0000" w:usb2="00000000" w:usb3="00000000" w:csb0="00040000" w:csb1="00000000"/>
  </w:font>
  <w:font w:name="WPSEMBED16">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6A3BF">
    <w:pPr>
      <w:pStyle w:val="2"/>
      <w:jc w:val="center"/>
      <w:rPr>
        <w:sz w:val="22"/>
      </w:rPr>
    </w:pPr>
    <w:r>
      <w:rPr>
        <w:sz w:val="22"/>
      </w:rPr>
      <w:fldChar w:fldCharType="begin"/>
    </w:r>
    <w:r>
      <w:rPr>
        <w:sz w:val="22"/>
      </w:rPr>
      <w:instrText xml:space="preserve">PAGE   \* MERGEFORMAT</w:instrText>
    </w:r>
    <w:r>
      <w:rPr>
        <w:sz w:val="22"/>
      </w:rPr>
      <w:fldChar w:fldCharType="separate"/>
    </w:r>
    <w:r>
      <w:rPr>
        <w:sz w:val="22"/>
      </w:rPr>
      <w:t>47</w:t>
    </w:r>
    <w:r>
      <w:rPr>
        <w:sz w:val="22"/>
      </w:rPr>
      <w:fldChar w:fldCharType="end"/>
    </w:r>
  </w:p>
  <w:p w14:paraId="06E12EB3">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14:paraId="471BB819">
      <w:pPr>
        <w:pStyle w:val="13"/>
      </w:pPr>
      <w:r>
        <w:rPr>
          <w:rStyle w:val="20"/>
          <w:rFonts w:hint="default"/>
        </w:rPr>
        <w:footnoteRef/>
      </w:r>
      <w:r>
        <w:rPr>
          <w:rFonts w:hint="eastAsia"/>
        </w:rPr>
        <w:t>非招标工程的承包人报价折扣率=（合同签约价/施工图预算）×100%</w:t>
      </w:r>
    </w:p>
  </w:footnote>
  <w:footnote w:id="1">
    <w:p w14:paraId="3A46F5B6">
      <w:pPr>
        <w:pStyle w:val="13"/>
        <w:adjustRightInd w:val="0"/>
        <w:rPr>
          <w:rFonts w:ascii="宋体" w:hAnsi="宋体"/>
        </w:rPr>
      </w:pPr>
    </w:p>
  </w:footnote>
  <w:footnote w:id="2">
    <w:p w14:paraId="0063E3B7">
      <w:pPr>
        <w:pStyle w:val="13"/>
        <w:adjustRightInd w:val="0"/>
        <w:rPr>
          <w:rFonts w:ascii="宋体" w:hAnsi="宋体"/>
        </w:rPr>
      </w:pPr>
    </w:p>
  </w:footnote>
  <w:footnote w:id="3">
    <w:p w14:paraId="79F1D50F">
      <w:pPr>
        <w:pStyle w:val="13"/>
        <w:adjustRightInd w:val="0"/>
        <w:rPr>
          <w:rFonts w:ascii="方正仿宋_GBK" w:eastAsia="方正仿宋_GBK"/>
          <w:sz w:val="21"/>
        </w:rPr>
      </w:pPr>
    </w:p>
  </w:footnote>
  <w:footnote w:id="4">
    <w:p w14:paraId="34F830AA">
      <w:pPr>
        <w:pStyle w:val="13"/>
        <w:adjustRightInd w:val="0"/>
        <w:rPr>
          <w:rFonts w:ascii="方正仿宋_GBK" w:eastAsia="方正仿宋_GBK"/>
          <w:sz w:val="21"/>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670CD"/>
    <w:multiLevelType w:val="singleLevel"/>
    <w:tmpl w:val="932670CD"/>
    <w:lvl w:ilvl="0" w:tentative="0">
      <w:start w:val="1"/>
      <w:numFmt w:val="decimal"/>
      <w:suff w:val="nothing"/>
      <w:lvlText w:val="（%1）"/>
      <w:lvlJc w:val="left"/>
    </w:lvl>
  </w:abstractNum>
  <w:abstractNum w:abstractNumId="1">
    <w:nsid w:val="E5B0188D"/>
    <w:multiLevelType w:val="singleLevel"/>
    <w:tmpl w:val="E5B0188D"/>
    <w:lvl w:ilvl="0" w:tentative="0">
      <w:start w:val="1"/>
      <w:numFmt w:val="decimal"/>
      <w:suff w:val="nothing"/>
      <w:lvlText w:val="（%1）"/>
      <w:lvlJc w:val="left"/>
    </w:lvl>
  </w:abstractNum>
  <w:abstractNum w:abstractNumId="2">
    <w:nsid w:val="F3087880"/>
    <w:multiLevelType w:val="singleLevel"/>
    <w:tmpl w:val="F3087880"/>
    <w:lvl w:ilvl="0" w:tentative="0">
      <w:start w:val="1"/>
      <w:numFmt w:val="decimal"/>
      <w:suff w:val="nothing"/>
      <w:lvlText w:val="（%1）"/>
      <w:lvlJc w:val="left"/>
    </w:lvl>
  </w:abstractNum>
  <w:abstractNum w:abstractNumId="3">
    <w:nsid w:val="F314E32B"/>
    <w:multiLevelType w:val="singleLevel"/>
    <w:tmpl w:val="F314E32B"/>
    <w:lvl w:ilvl="0" w:tentative="0">
      <w:start w:val="1"/>
      <w:numFmt w:val="decimal"/>
      <w:suff w:val="nothing"/>
      <w:lvlText w:val="（%1）"/>
      <w:lvlJc w:val="left"/>
    </w:lvl>
  </w:abstractNum>
  <w:abstractNum w:abstractNumId="4">
    <w:nsid w:val="00000013"/>
    <w:multiLevelType w:val="singleLevel"/>
    <w:tmpl w:val="00000013"/>
    <w:lvl w:ilvl="0" w:tentative="0">
      <w:start w:val="1"/>
      <w:numFmt w:val="decimal"/>
      <w:suff w:val="space"/>
      <w:lvlText w:val="%1."/>
      <w:lvlJc w:val="left"/>
    </w:lvl>
  </w:abstractNum>
  <w:abstractNum w:abstractNumId="5">
    <w:nsid w:val="00000016"/>
    <w:multiLevelType w:val="singleLevel"/>
    <w:tmpl w:val="00000016"/>
    <w:lvl w:ilvl="0" w:tentative="0">
      <w:start w:val="1"/>
      <w:numFmt w:val="decimal"/>
      <w:lvlText w:val="%1."/>
      <w:lvlJc w:val="left"/>
      <w:pPr>
        <w:tabs>
          <w:tab w:val="left" w:pos="312"/>
        </w:tabs>
      </w:pPr>
    </w:lvl>
  </w:abstractNum>
  <w:abstractNum w:abstractNumId="6">
    <w:nsid w:val="00000017"/>
    <w:multiLevelType w:val="singleLevel"/>
    <w:tmpl w:val="00000017"/>
    <w:lvl w:ilvl="0" w:tentative="0">
      <w:start w:val="1"/>
      <w:numFmt w:val="chineseCounting"/>
      <w:suff w:val="nothing"/>
      <w:lvlText w:val="%1、"/>
      <w:lvlJc w:val="left"/>
      <w:rPr>
        <w:rFonts w:hint="eastAsia"/>
      </w:rPr>
    </w:lvl>
  </w:abstractNum>
  <w:abstractNum w:abstractNumId="7">
    <w:nsid w:val="00000026"/>
    <w:multiLevelType w:val="singleLevel"/>
    <w:tmpl w:val="00000026"/>
    <w:lvl w:ilvl="0" w:tentative="0">
      <w:start w:val="2"/>
      <w:numFmt w:val="decimal"/>
      <w:suff w:val="space"/>
      <w:lvlText w:val="%1."/>
      <w:lvlJc w:val="left"/>
    </w:lvl>
  </w:abstractNum>
  <w:abstractNum w:abstractNumId="8">
    <w:nsid w:val="0A48F63C"/>
    <w:multiLevelType w:val="singleLevel"/>
    <w:tmpl w:val="0A48F63C"/>
    <w:lvl w:ilvl="0" w:tentative="0">
      <w:start w:val="1"/>
      <w:numFmt w:val="decimal"/>
      <w:suff w:val="nothing"/>
      <w:lvlText w:val="%1）"/>
      <w:lvlJc w:val="left"/>
    </w:lvl>
  </w:abstractNum>
  <w:abstractNum w:abstractNumId="9">
    <w:nsid w:val="0DF91FA0"/>
    <w:multiLevelType w:val="singleLevel"/>
    <w:tmpl w:val="0DF91FA0"/>
    <w:lvl w:ilvl="0" w:tentative="0">
      <w:start w:val="1"/>
      <w:numFmt w:val="decimal"/>
      <w:suff w:val="nothing"/>
      <w:lvlText w:val="（%1）"/>
      <w:lvlJc w:val="left"/>
    </w:lvl>
  </w:abstractNum>
  <w:abstractNum w:abstractNumId="10">
    <w:nsid w:val="23AB0322"/>
    <w:multiLevelType w:val="multilevel"/>
    <w:tmpl w:val="23AB0322"/>
    <w:lvl w:ilvl="0" w:tentative="0">
      <w:start w:val="1"/>
      <w:numFmt w:val="decimal"/>
      <w:lvlText w:val="%1."/>
      <w:lvlJc w:val="left"/>
      <w:pPr>
        <w:ind w:left="987"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718AA3C"/>
    <w:multiLevelType w:val="singleLevel"/>
    <w:tmpl w:val="5718AA3C"/>
    <w:lvl w:ilvl="0" w:tentative="0">
      <w:start w:val="1"/>
      <w:numFmt w:val="decimal"/>
      <w:suff w:val="nothing"/>
      <w:lvlText w:val="（%1）"/>
      <w:lvlJc w:val="left"/>
    </w:lvl>
  </w:abstractNum>
  <w:abstractNum w:abstractNumId="12">
    <w:nsid w:val="648760EA"/>
    <w:multiLevelType w:val="multilevel"/>
    <w:tmpl w:val="648760EA"/>
    <w:lvl w:ilvl="0" w:tentative="0">
      <w:start w:val="1"/>
      <w:numFmt w:val="decimal"/>
      <w:lvlText w:val="%1."/>
      <w:lvlJc w:val="left"/>
      <w:pPr>
        <w:ind w:left="420" w:hanging="420"/>
      </w:pPr>
    </w:lvl>
    <w:lvl w:ilvl="1" w:tentative="0">
      <w:start w:val="1"/>
      <w:numFmt w:val="lowerLetter"/>
      <w:pStyle w:val="49"/>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48D16CD"/>
    <w:multiLevelType w:val="multilevel"/>
    <w:tmpl w:val="748D16CD"/>
    <w:lvl w:ilvl="0" w:tentative="0">
      <w:start w:val="1"/>
      <w:numFmt w:val="decimal"/>
      <w:pStyle w:val="40"/>
      <w:lvlText w:val="（%1）"/>
      <w:lvlJc w:val="left"/>
      <w:pPr>
        <w:tabs>
          <w:tab w:val="left" w:pos="1200"/>
        </w:tabs>
        <w:ind w:left="1200" w:hanging="720"/>
      </w:pPr>
      <w:rPr>
        <w:rFonts w:hint="default"/>
        <w:u w:val="none"/>
      </w:rPr>
    </w:lvl>
    <w:lvl w:ilvl="1" w:tentative="0">
      <w:start w:val="1"/>
      <w:numFmt w:val="lowerLetter"/>
      <w:lvlText w:val="%2)"/>
      <w:lvlJc w:val="left"/>
      <w:pPr>
        <w:tabs>
          <w:tab w:val="left" w:pos="1320"/>
        </w:tabs>
        <w:ind w:left="1320" w:hanging="420"/>
      </w:pPr>
      <w:rPr>
        <w:rFonts w:hint="default"/>
        <w:u w:val="none"/>
      </w:rPr>
    </w:lvl>
    <w:lvl w:ilvl="2" w:tentative="0">
      <w:start w:val="1"/>
      <w:numFmt w:val="lowerRoman"/>
      <w:lvlText w:val="%3."/>
      <w:lvlJc w:val="right"/>
      <w:pPr>
        <w:tabs>
          <w:tab w:val="left" w:pos="1740"/>
        </w:tabs>
        <w:ind w:left="1740" w:hanging="420"/>
      </w:pPr>
      <w:rPr>
        <w:rFonts w:hint="default"/>
        <w:u w:val="none"/>
      </w:rPr>
    </w:lvl>
    <w:lvl w:ilvl="3" w:tentative="0">
      <w:start w:val="1"/>
      <w:numFmt w:val="decimal"/>
      <w:lvlText w:val="%4."/>
      <w:lvlJc w:val="left"/>
      <w:pPr>
        <w:tabs>
          <w:tab w:val="left" w:pos="2160"/>
        </w:tabs>
        <w:ind w:left="2160" w:hanging="420"/>
      </w:pPr>
      <w:rPr>
        <w:rFonts w:hint="default"/>
        <w:u w:val="none"/>
      </w:rPr>
    </w:lvl>
    <w:lvl w:ilvl="4" w:tentative="0">
      <w:start w:val="1"/>
      <w:numFmt w:val="lowerLetter"/>
      <w:lvlText w:val="%5)"/>
      <w:lvlJc w:val="left"/>
      <w:pPr>
        <w:tabs>
          <w:tab w:val="left" w:pos="2580"/>
        </w:tabs>
        <w:ind w:left="2580" w:hanging="420"/>
      </w:pPr>
      <w:rPr>
        <w:rFonts w:hint="default"/>
        <w:u w:val="none"/>
      </w:rPr>
    </w:lvl>
    <w:lvl w:ilvl="5" w:tentative="0">
      <w:start w:val="1"/>
      <w:numFmt w:val="lowerRoman"/>
      <w:lvlText w:val="%6."/>
      <w:lvlJc w:val="right"/>
      <w:pPr>
        <w:tabs>
          <w:tab w:val="left" w:pos="3000"/>
        </w:tabs>
        <w:ind w:left="3000" w:hanging="420"/>
      </w:pPr>
      <w:rPr>
        <w:rFonts w:hint="default"/>
        <w:u w:val="none"/>
      </w:rPr>
    </w:lvl>
    <w:lvl w:ilvl="6" w:tentative="0">
      <w:start w:val="1"/>
      <w:numFmt w:val="decimal"/>
      <w:lvlText w:val="%7."/>
      <w:lvlJc w:val="left"/>
      <w:pPr>
        <w:tabs>
          <w:tab w:val="left" w:pos="3420"/>
        </w:tabs>
        <w:ind w:left="3420" w:hanging="420"/>
      </w:pPr>
      <w:rPr>
        <w:rFonts w:hint="default"/>
        <w:u w:val="none"/>
      </w:rPr>
    </w:lvl>
    <w:lvl w:ilvl="7" w:tentative="0">
      <w:start w:val="1"/>
      <w:numFmt w:val="lowerLetter"/>
      <w:lvlText w:val="%8)"/>
      <w:lvlJc w:val="left"/>
      <w:pPr>
        <w:tabs>
          <w:tab w:val="left" w:pos="3840"/>
        </w:tabs>
        <w:ind w:left="3840" w:hanging="420"/>
      </w:pPr>
      <w:rPr>
        <w:rFonts w:hint="default"/>
        <w:u w:val="none"/>
      </w:rPr>
    </w:lvl>
    <w:lvl w:ilvl="8" w:tentative="0">
      <w:start w:val="1"/>
      <w:numFmt w:val="lowerRoman"/>
      <w:lvlText w:val="%9."/>
      <w:lvlJc w:val="right"/>
      <w:pPr>
        <w:tabs>
          <w:tab w:val="left" w:pos="4260"/>
        </w:tabs>
        <w:ind w:left="4260" w:hanging="420"/>
      </w:pPr>
      <w:rPr>
        <w:rFonts w:hint="default"/>
        <w:u w:val="none"/>
      </w:rPr>
    </w:lvl>
  </w:abstractNum>
  <w:num w:numId="1">
    <w:abstractNumId w:val="13"/>
  </w:num>
  <w:num w:numId="2">
    <w:abstractNumId w:val="12"/>
  </w:num>
  <w:num w:numId="3">
    <w:abstractNumId w:val="10"/>
  </w:num>
  <w:num w:numId="4">
    <w:abstractNumId w:val="0"/>
  </w:num>
  <w:num w:numId="5">
    <w:abstractNumId w:val="8"/>
  </w:num>
  <w:num w:numId="6">
    <w:abstractNumId w:val="3"/>
  </w:num>
  <w:num w:numId="7">
    <w:abstractNumId w:val="11"/>
  </w:num>
  <w:num w:numId="8">
    <w:abstractNumId w:val="6"/>
  </w:num>
  <w:num w:numId="9">
    <w:abstractNumId w:val="4"/>
  </w:num>
  <w:num w:numId="10">
    <w:abstractNumId w:val="5"/>
  </w:num>
  <w:num w:numId="11">
    <w:abstractNumId w:val="1"/>
  </w:num>
  <w:num w:numId="12">
    <w:abstractNumId w:val="9"/>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TrueTypeFonts/>
  <w:bordersDoNotSurroundHeader w:val="1"/>
  <w:bordersDoNotSurroundFooter w:val="1"/>
  <w:hideSpellingErrors/>
  <w:trackRevisions w:val="1"/>
  <w:documentProtection w:enforcement="0"/>
  <w:defaultTabStop w:val="420"/>
  <w:drawingGridVerticalSpacing w:val="156"/>
  <w:noPunctuationKerning w:val="1"/>
  <w:characterSpacingControl w:val="compressPunctuation"/>
  <w:footnotePr>
    <w:footnote w:id="10"/>
    <w:footnote w:id="1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FkYmJmNTdjNTIxZjRhMmE3NjhmNzA3YjkyZTFiNDMifQ=="/>
    <w:docVar w:name="KSO_WPS_MARK_KEY" w:val="58ecbabc-3e39-4a2e-bcc8-bdc377ac0385"/>
  </w:docVars>
  <w:rsids>
    <w:rsidRoot w:val="005461B6"/>
    <w:rsid w:val="0000032A"/>
    <w:rsid w:val="00016BC2"/>
    <w:rsid w:val="00026FB7"/>
    <w:rsid w:val="00034E27"/>
    <w:rsid w:val="00036766"/>
    <w:rsid w:val="00043A81"/>
    <w:rsid w:val="00050579"/>
    <w:rsid w:val="0005159A"/>
    <w:rsid w:val="00053525"/>
    <w:rsid w:val="00054A43"/>
    <w:rsid w:val="00057E01"/>
    <w:rsid w:val="00062987"/>
    <w:rsid w:val="00063974"/>
    <w:rsid w:val="0006495B"/>
    <w:rsid w:val="0007329D"/>
    <w:rsid w:val="0008440A"/>
    <w:rsid w:val="00086105"/>
    <w:rsid w:val="00090323"/>
    <w:rsid w:val="000943BE"/>
    <w:rsid w:val="000A07D9"/>
    <w:rsid w:val="000A3BB9"/>
    <w:rsid w:val="000B4924"/>
    <w:rsid w:val="000B6B5B"/>
    <w:rsid w:val="000C4979"/>
    <w:rsid w:val="000C54A6"/>
    <w:rsid w:val="000D0FFB"/>
    <w:rsid w:val="000D1029"/>
    <w:rsid w:val="000D44DA"/>
    <w:rsid w:val="000E05CE"/>
    <w:rsid w:val="000E330E"/>
    <w:rsid w:val="000E4FA9"/>
    <w:rsid w:val="001078B8"/>
    <w:rsid w:val="00110DFC"/>
    <w:rsid w:val="00113297"/>
    <w:rsid w:val="001151ED"/>
    <w:rsid w:val="001163AD"/>
    <w:rsid w:val="0012252A"/>
    <w:rsid w:val="00136868"/>
    <w:rsid w:val="00142087"/>
    <w:rsid w:val="001420B7"/>
    <w:rsid w:val="00144D04"/>
    <w:rsid w:val="001506E7"/>
    <w:rsid w:val="001519DF"/>
    <w:rsid w:val="00164AF1"/>
    <w:rsid w:val="00170A7A"/>
    <w:rsid w:val="00177C95"/>
    <w:rsid w:val="00190B21"/>
    <w:rsid w:val="0019193E"/>
    <w:rsid w:val="001A1E64"/>
    <w:rsid w:val="001A5385"/>
    <w:rsid w:val="001A780C"/>
    <w:rsid w:val="001B1272"/>
    <w:rsid w:val="001B1AC3"/>
    <w:rsid w:val="001C753B"/>
    <w:rsid w:val="001D1113"/>
    <w:rsid w:val="001D5836"/>
    <w:rsid w:val="001D58EF"/>
    <w:rsid w:val="001E02A2"/>
    <w:rsid w:val="001F3AC8"/>
    <w:rsid w:val="001F42FA"/>
    <w:rsid w:val="00215B9B"/>
    <w:rsid w:val="00235242"/>
    <w:rsid w:val="00241B7D"/>
    <w:rsid w:val="002443A4"/>
    <w:rsid w:val="00246CDF"/>
    <w:rsid w:val="00253536"/>
    <w:rsid w:val="00255550"/>
    <w:rsid w:val="00255BA5"/>
    <w:rsid w:val="00257641"/>
    <w:rsid w:val="002657FE"/>
    <w:rsid w:val="00275628"/>
    <w:rsid w:val="00276352"/>
    <w:rsid w:val="00277ECB"/>
    <w:rsid w:val="00286EC3"/>
    <w:rsid w:val="00290A63"/>
    <w:rsid w:val="0029181A"/>
    <w:rsid w:val="00295889"/>
    <w:rsid w:val="002A3DEC"/>
    <w:rsid w:val="002B29CE"/>
    <w:rsid w:val="002B3740"/>
    <w:rsid w:val="002B3D21"/>
    <w:rsid w:val="002C4F5F"/>
    <w:rsid w:val="002D707A"/>
    <w:rsid w:val="002F0906"/>
    <w:rsid w:val="002F347B"/>
    <w:rsid w:val="002F476C"/>
    <w:rsid w:val="002F5C72"/>
    <w:rsid w:val="003007B7"/>
    <w:rsid w:val="00316921"/>
    <w:rsid w:val="00316E39"/>
    <w:rsid w:val="00316E7A"/>
    <w:rsid w:val="003203C5"/>
    <w:rsid w:val="00320668"/>
    <w:rsid w:val="0032638E"/>
    <w:rsid w:val="00326571"/>
    <w:rsid w:val="00336F05"/>
    <w:rsid w:val="003549D6"/>
    <w:rsid w:val="00356A35"/>
    <w:rsid w:val="003571E6"/>
    <w:rsid w:val="00361135"/>
    <w:rsid w:val="003645B6"/>
    <w:rsid w:val="00371C37"/>
    <w:rsid w:val="00371C8B"/>
    <w:rsid w:val="00372C55"/>
    <w:rsid w:val="0037428E"/>
    <w:rsid w:val="00386CAE"/>
    <w:rsid w:val="003A1B6E"/>
    <w:rsid w:val="003A24F6"/>
    <w:rsid w:val="003A49D3"/>
    <w:rsid w:val="003A7501"/>
    <w:rsid w:val="003C058E"/>
    <w:rsid w:val="003C2986"/>
    <w:rsid w:val="003C29D2"/>
    <w:rsid w:val="003C4106"/>
    <w:rsid w:val="003C6224"/>
    <w:rsid w:val="003D1296"/>
    <w:rsid w:val="003D2045"/>
    <w:rsid w:val="003D6C3A"/>
    <w:rsid w:val="003D7910"/>
    <w:rsid w:val="003F383B"/>
    <w:rsid w:val="003F7C8D"/>
    <w:rsid w:val="004014D6"/>
    <w:rsid w:val="0041011A"/>
    <w:rsid w:val="00411E24"/>
    <w:rsid w:val="00413158"/>
    <w:rsid w:val="00416591"/>
    <w:rsid w:val="004172F6"/>
    <w:rsid w:val="00434F7D"/>
    <w:rsid w:val="00435C8D"/>
    <w:rsid w:val="0044090A"/>
    <w:rsid w:val="0044399A"/>
    <w:rsid w:val="0045598A"/>
    <w:rsid w:val="004620CD"/>
    <w:rsid w:val="00464FD8"/>
    <w:rsid w:val="00467DE4"/>
    <w:rsid w:val="00473007"/>
    <w:rsid w:val="00473F94"/>
    <w:rsid w:val="0047607E"/>
    <w:rsid w:val="004916E9"/>
    <w:rsid w:val="004A2667"/>
    <w:rsid w:val="004A275A"/>
    <w:rsid w:val="004A2F5F"/>
    <w:rsid w:val="004A2FD9"/>
    <w:rsid w:val="004A6855"/>
    <w:rsid w:val="004C4F3F"/>
    <w:rsid w:val="004C5F66"/>
    <w:rsid w:val="004D4762"/>
    <w:rsid w:val="004F14C4"/>
    <w:rsid w:val="004F610D"/>
    <w:rsid w:val="00501901"/>
    <w:rsid w:val="00505323"/>
    <w:rsid w:val="00505E5A"/>
    <w:rsid w:val="005105AF"/>
    <w:rsid w:val="0051082D"/>
    <w:rsid w:val="00515F2D"/>
    <w:rsid w:val="00521DD7"/>
    <w:rsid w:val="00522003"/>
    <w:rsid w:val="00544F3B"/>
    <w:rsid w:val="00545945"/>
    <w:rsid w:val="005461B6"/>
    <w:rsid w:val="005462F1"/>
    <w:rsid w:val="00550251"/>
    <w:rsid w:val="005532DB"/>
    <w:rsid w:val="00555541"/>
    <w:rsid w:val="005565C8"/>
    <w:rsid w:val="00557456"/>
    <w:rsid w:val="005679BF"/>
    <w:rsid w:val="005761EC"/>
    <w:rsid w:val="005818E9"/>
    <w:rsid w:val="00591409"/>
    <w:rsid w:val="005968D4"/>
    <w:rsid w:val="005A042A"/>
    <w:rsid w:val="005A0BE0"/>
    <w:rsid w:val="005A7EDB"/>
    <w:rsid w:val="005B27E3"/>
    <w:rsid w:val="005B5029"/>
    <w:rsid w:val="005C2D12"/>
    <w:rsid w:val="005E5F69"/>
    <w:rsid w:val="005E697B"/>
    <w:rsid w:val="00613844"/>
    <w:rsid w:val="00613B5E"/>
    <w:rsid w:val="006266A9"/>
    <w:rsid w:val="00646898"/>
    <w:rsid w:val="00647C31"/>
    <w:rsid w:val="006541CF"/>
    <w:rsid w:val="006569A5"/>
    <w:rsid w:val="00663442"/>
    <w:rsid w:val="006651F3"/>
    <w:rsid w:val="00665CC7"/>
    <w:rsid w:val="00676270"/>
    <w:rsid w:val="00677D3F"/>
    <w:rsid w:val="006816DF"/>
    <w:rsid w:val="0068192E"/>
    <w:rsid w:val="00694E4C"/>
    <w:rsid w:val="00696A52"/>
    <w:rsid w:val="006A55E6"/>
    <w:rsid w:val="006A676F"/>
    <w:rsid w:val="006B32E4"/>
    <w:rsid w:val="006B5BDF"/>
    <w:rsid w:val="006C4C4F"/>
    <w:rsid w:val="006D4126"/>
    <w:rsid w:val="006D4B94"/>
    <w:rsid w:val="006D7027"/>
    <w:rsid w:val="006E49D6"/>
    <w:rsid w:val="006F25D4"/>
    <w:rsid w:val="006F3896"/>
    <w:rsid w:val="00706EB6"/>
    <w:rsid w:val="00714C9E"/>
    <w:rsid w:val="00715240"/>
    <w:rsid w:val="007238BA"/>
    <w:rsid w:val="00732926"/>
    <w:rsid w:val="00734E52"/>
    <w:rsid w:val="00735434"/>
    <w:rsid w:val="00741FCD"/>
    <w:rsid w:val="007462F1"/>
    <w:rsid w:val="00750FF0"/>
    <w:rsid w:val="00755C61"/>
    <w:rsid w:val="00756ED8"/>
    <w:rsid w:val="007669D8"/>
    <w:rsid w:val="0077473A"/>
    <w:rsid w:val="00775CB0"/>
    <w:rsid w:val="00781552"/>
    <w:rsid w:val="007A0A59"/>
    <w:rsid w:val="007B30C5"/>
    <w:rsid w:val="007C07F5"/>
    <w:rsid w:val="007C1D0A"/>
    <w:rsid w:val="007C2632"/>
    <w:rsid w:val="007D05E7"/>
    <w:rsid w:val="007D1084"/>
    <w:rsid w:val="007D6F4D"/>
    <w:rsid w:val="007E017D"/>
    <w:rsid w:val="007F7DFF"/>
    <w:rsid w:val="00807A2E"/>
    <w:rsid w:val="00810C7E"/>
    <w:rsid w:val="00820C37"/>
    <w:rsid w:val="00827835"/>
    <w:rsid w:val="00844214"/>
    <w:rsid w:val="008636B8"/>
    <w:rsid w:val="00874F33"/>
    <w:rsid w:val="00892899"/>
    <w:rsid w:val="00897B6E"/>
    <w:rsid w:val="008A0DBB"/>
    <w:rsid w:val="008A6E70"/>
    <w:rsid w:val="008B2DA4"/>
    <w:rsid w:val="008C7AB6"/>
    <w:rsid w:val="008D5CBF"/>
    <w:rsid w:val="008F2ECB"/>
    <w:rsid w:val="008F5F6E"/>
    <w:rsid w:val="008F6880"/>
    <w:rsid w:val="008F7060"/>
    <w:rsid w:val="009031B8"/>
    <w:rsid w:val="00904D50"/>
    <w:rsid w:val="00906FD1"/>
    <w:rsid w:val="00907C1E"/>
    <w:rsid w:val="009139A8"/>
    <w:rsid w:val="00914A37"/>
    <w:rsid w:val="0092353D"/>
    <w:rsid w:val="00926D34"/>
    <w:rsid w:val="009274C6"/>
    <w:rsid w:val="00940678"/>
    <w:rsid w:val="00942DBE"/>
    <w:rsid w:val="00962E57"/>
    <w:rsid w:val="00976A09"/>
    <w:rsid w:val="009845FC"/>
    <w:rsid w:val="00984749"/>
    <w:rsid w:val="00986BAC"/>
    <w:rsid w:val="009A36C7"/>
    <w:rsid w:val="009A4EFA"/>
    <w:rsid w:val="009A69B5"/>
    <w:rsid w:val="009B258C"/>
    <w:rsid w:val="009C0AE4"/>
    <w:rsid w:val="009C3D14"/>
    <w:rsid w:val="009C5398"/>
    <w:rsid w:val="009C75E4"/>
    <w:rsid w:val="009D4269"/>
    <w:rsid w:val="009D54D6"/>
    <w:rsid w:val="009D753E"/>
    <w:rsid w:val="009D77B6"/>
    <w:rsid w:val="009E4501"/>
    <w:rsid w:val="009F12B1"/>
    <w:rsid w:val="009F3EB6"/>
    <w:rsid w:val="00A0018B"/>
    <w:rsid w:val="00A05EC8"/>
    <w:rsid w:val="00A11074"/>
    <w:rsid w:val="00A11E9C"/>
    <w:rsid w:val="00A14AA7"/>
    <w:rsid w:val="00A17547"/>
    <w:rsid w:val="00A342DA"/>
    <w:rsid w:val="00A37C9B"/>
    <w:rsid w:val="00A47F4C"/>
    <w:rsid w:val="00A5238F"/>
    <w:rsid w:val="00A5573D"/>
    <w:rsid w:val="00A57758"/>
    <w:rsid w:val="00A742E2"/>
    <w:rsid w:val="00A75071"/>
    <w:rsid w:val="00A75530"/>
    <w:rsid w:val="00A82E28"/>
    <w:rsid w:val="00A909D1"/>
    <w:rsid w:val="00A93789"/>
    <w:rsid w:val="00AA0E1C"/>
    <w:rsid w:val="00AA1003"/>
    <w:rsid w:val="00AA5E7F"/>
    <w:rsid w:val="00AB61A2"/>
    <w:rsid w:val="00AC1058"/>
    <w:rsid w:val="00AC65B6"/>
    <w:rsid w:val="00AE4B8F"/>
    <w:rsid w:val="00AE5F1D"/>
    <w:rsid w:val="00AF4190"/>
    <w:rsid w:val="00B00AFA"/>
    <w:rsid w:val="00B024F0"/>
    <w:rsid w:val="00B05535"/>
    <w:rsid w:val="00B07DF1"/>
    <w:rsid w:val="00B20910"/>
    <w:rsid w:val="00B34D83"/>
    <w:rsid w:val="00B40B14"/>
    <w:rsid w:val="00B4192A"/>
    <w:rsid w:val="00B4349A"/>
    <w:rsid w:val="00B455E7"/>
    <w:rsid w:val="00B46063"/>
    <w:rsid w:val="00B46980"/>
    <w:rsid w:val="00B52F51"/>
    <w:rsid w:val="00B645E4"/>
    <w:rsid w:val="00B77D63"/>
    <w:rsid w:val="00B87981"/>
    <w:rsid w:val="00B952BB"/>
    <w:rsid w:val="00B957CC"/>
    <w:rsid w:val="00B95E1E"/>
    <w:rsid w:val="00B96108"/>
    <w:rsid w:val="00BA1550"/>
    <w:rsid w:val="00BA6C57"/>
    <w:rsid w:val="00BB38FB"/>
    <w:rsid w:val="00BB6783"/>
    <w:rsid w:val="00BB6FB0"/>
    <w:rsid w:val="00BD00FE"/>
    <w:rsid w:val="00BD4E56"/>
    <w:rsid w:val="00BD5FA4"/>
    <w:rsid w:val="00BD65BA"/>
    <w:rsid w:val="00BD71A9"/>
    <w:rsid w:val="00BE4E48"/>
    <w:rsid w:val="00BF087B"/>
    <w:rsid w:val="00BF194C"/>
    <w:rsid w:val="00BF67B2"/>
    <w:rsid w:val="00BF73C9"/>
    <w:rsid w:val="00C03004"/>
    <w:rsid w:val="00C107FD"/>
    <w:rsid w:val="00C11075"/>
    <w:rsid w:val="00C20006"/>
    <w:rsid w:val="00C30F93"/>
    <w:rsid w:val="00C34DC4"/>
    <w:rsid w:val="00C442BE"/>
    <w:rsid w:val="00C519EA"/>
    <w:rsid w:val="00C60FE0"/>
    <w:rsid w:val="00C61FC1"/>
    <w:rsid w:val="00C65365"/>
    <w:rsid w:val="00C66A43"/>
    <w:rsid w:val="00C672B9"/>
    <w:rsid w:val="00C67DDF"/>
    <w:rsid w:val="00C72873"/>
    <w:rsid w:val="00C72F0E"/>
    <w:rsid w:val="00C85ACE"/>
    <w:rsid w:val="00C87BC8"/>
    <w:rsid w:val="00C9001A"/>
    <w:rsid w:val="00C904E8"/>
    <w:rsid w:val="00CA7812"/>
    <w:rsid w:val="00CB1763"/>
    <w:rsid w:val="00CB24B3"/>
    <w:rsid w:val="00CB5B3B"/>
    <w:rsid w:val="00CC133B"/>
    <w:rsid w:val="00CC45AB"/>
    <w:rsid w:val="00CC4EF1"/>
    <w:rsid w:val="00CD42B3"/>
    <w:rsid w:val="00CE6387"/>
    <w:rsid w:val="00CF18AF"/>
    <w:rsid w:val="00CF18FB"/>
    <w:rsid w:val="00CF46B7"/>
    <w:rsid w:val="00CF6E8D"/>
    <w:rsid w:val="00D00D19"/>
    <w:rsid w:val="00D0360A"/>
    <w:rsid w:val="00D0407D"/>
    <w:rsid w:val="00D04611"/>
    <w:rsid w:val="00D216F4"/>
    <w:rsid w:val="00D30B2E"/>
    <w:rsid w:val="00D32DA3"/>
    <w:rsid w:val="00D32FBC"/>
    <w:rsid w:val="00D36258"/>
    <w:rsid w:val="00D374F6"/>
    <w:rsid w:val="00D47094"/>
    <w:rsid w:val="00D52380"/>
    <w:rsid w:val="00D7004C"/>
    <w:rsid w:val="00D762D7"/>
    <w:rsid w:val="00D82DBC"/>
    <w:rsid w:val="00D91CB4"/>
    <w:rsid w:val="00D9561B"/>
    <w:rsid w:val="00DA2661"/>
    <w:rsid w:val="00DA65D2"/>
    <w:rsid w:val="00DC1B98"/>
    <w:rsid w:val="00DD1B8E"/>
    <w:rsid w:val="00DD479C"/>
    <w:rsid w:val="00DE0678"/>
    <w:rsid w:val="00DE2837"/>
    <w:rsid w:val="00DE7CF3"/>
    <w:rsid w:val="00DF095D"/>
    <w:rsid w:val="00DF1E65"/>
    <w:rsid w:val="00E154FA"/>
    <w:rsid w:val="00E1731C"/>
    <w:rsid w:val="00E178BC"/>
    <w:rsid w:val="00E21DCE"/>
    <w:rsid w:val="00E21EEE"/>
    <w:rsid w:val="00E31592"/>
    <w:rsid w:val="00E33CD5"/>
    <w:rsid w:val="00E430EE"/>
    <w:rsid w:val="00E462AD"/>
    <w:rsid w:val="00E46415"/>
    <w:rsid w:val="00E548CA"/>
    <w:rsid w:val="00E56368"/>
    <w:rsid w:val="00E612EB"/>
    <w:rsid w:val="00E7593E"/>
    <w:rsid w:val="00E85855"/>
    <w:rsid w:val="00E90AA3"/>
    <w:rsid w:val="00E95B22"/>
    <w:rsid w:val="00EA4698"/>
    <w:rsid w:val="00EA498A"/>
    <w:rsid w:val="00EA73C5"/>
    <w:rsid w:val="00EA7F09"/>
    <w:rsid w:val="00EB1D11"/>
    <w:rsid w:val="00EB5E22"/>
    <w:rsid w:val="00EC4A07"/>
    <w:rsid w:val="00EC63C7"/>
    <w:rsid w:val="00EC7094"/>
    <w:rsid w:val="00ED2391"/>
    <w:rsid w:val="00ED4D1B"/>
    <w:rsid w:val="00ED53F7"/>
    <w:rsid w:val="00ED57EA"/>
    <w:rsid w:val="00F0483D"/>
    <w:rsid w:val="00F11F64"/>
    <w:rsid w:val="00F16459"/>
    <w:rsid w:val="00F168FB"/>
    <w:rsid w:val="00F17F14"/>
    <w:rsid w:val="00F23039"/>
    <w:rsid w:val="00F302BA"/>
    <w:rsid w:val="00F363C9"/>
    <w:rsid w:val="00F62F4F"/>
    <w:rsid w:val="00F844FF"/>
    <w:rsid w:val="00F92336"/>
    <w:rsid w:val="00FA1410"/>
    <w:rsid w:val="00FA3EC5"/>
    <w:rsid w:val="00FA56AA"/>
    <w:rsid w:val="00FB0688"/>
    <w:rsid w:val="00FB19E6"/>
    <w:rsid w:val="00FC2F8C"/>
    <w:rsid w:val="00FC4133"/>
    <w:rsid w:val="00FD52BB"/>
    <w:rsid w:val="00FE2052"/>
    <w:rsid w:val="00FE5660"/>
    <w:rsid w:val="00FF17BD"/>
    <w:rsid w:val="00FF7808"/>
    <w:rsid w:val="011C2CA2"/>
    <w:rsid w:val="012F7AF8"/>
    <w:rsid w:val="01424481"/>
    <w:rsid w:val="016C3D94"/>
    <w:rsid w:val="021912FD"/>
    <w:rsid w:val="030963A2"/>
    <w:rsid w:val="04BA01BD"/>
    <w:rsid w:val="04D31B73"/>
    <w:rsid w:val="05174330"/>
    <w:rsid w:val="059C4AB5"/>
    <w:rsid w:val="05C42334"/>
    <w:rsid w:val="05F0405C"/>
    <w:rsid w:val="060702B6"/>
    <w:rsid w:val="06F8028D"/>
    <w:rsid w:val="078316B6"/>
    <w:rsid w:val="0794538A"/>
    <w:rsid w:val="081D5EBB"/>
    <w:rsid w:val="082951B0"/>
    <w:rsid w:val="09884C04"/>
    <w:rsid w:val="09956A2E"/>
    <w:rsid w:val="099A13F8"/>
    <w:rsid w:val="0AB03DCB"/>
    <w:rsid w:val="0AD0640C"/>
    <w:rsid w:val="0BBC1F6B"/>
    <w:rsid w:val="0C0E4B7B"/>
    <w:rsid w:val="0C47583F"/>
    <w:rsid w:val="0C916D24"/>
    <w:rsid w:val="0DC703D5"/>
    <w:rsid w:val="0DEC3429"/>
    <w:rsid w:val="0E304CD4"/>
    <w:rsid w:val="0E442E1D"/>
    <w:rsid w:val="0E88396E"/>
    <w:rsid w:val="0E981627"/>
    <w:rsid w:val="0EE24F94"/>
    <w:rsid w:val="0F924C80"/>
    <w:rsid w:val="0FD572B7"/>
    <w:rsid w:val="0FE661C7"/>
    <w:rsid w:val="0FF2345E"/>
    <w:rsid w:val="0FF7068F"/>
    <w:rsid w:val="100E5EAE"/>
    <w:rsid w:val="103C1264"/>
    <w:rsid w:val="105D22EE"/>
    <w:rsid w:val="107401A4"/>
    <w:rsid w:val="107B5880"/>
    <w:rsid w:val="10881854"/>
    <w:rsid w:val="10C3663D"/>
    <w:rsid w:val="10DA083E"/>
    <w:rsid w:val="10E81932"/>
    <w:rsid w:val="111C2F1F"/>
    <w:rsid w:val="11552E50"/>
    <w:rsid w:val="12206139"/>
    <w:rsid w:val="12372F3A"/>
    <w:rsid w:val="12F408EF"/>
    <w:rsid w:val="13BA5C19"/>
    <w:rsid w:val="13FD7A70"/>
    <w:rsid w:val="1407232B"/>
    <w:rsid w:val="16187EEF"/>
    <w:rsid w:val="1623008B"/>
    <w:rsid w:val="164E0662"/>
    <w:rsid w:val="164E1571"/>
    <w:rsid w:val="166F5446"/>
    <w:rsid w:val="16D74788"/>
    <w:rsid w:val="17410D1C"/>
    <w:rsid w:val="17AC662B"/>
    <w:rsid w:val="17E666A3"/>
    <w:rsid w:val="184A0758"/>
    <w:rsid w:val="187D7B07"/>
    <w:rsid w:val="189F5BF6"/>
    <w:rsid w:val="18AA4886"/>
    <w:rsid w:val="18F57876"/>
    <w:rsid w:val="1A146438"/>
    <w:rsid w:val="1A196E21"/>
    <w:rsid w:val="1AD851AE"/>
    <w:rsid w:val="1B0C4067"/>
    <w:rsid w:val="1BE36945"/>
    <w:rsid w:val="1C0F0294"/>
    <w:rsid w:val="1C5C4D3E"/>
    <w:rsid w:val="1C976872"/>
    <w:rsid w:val="1CB10616"/>
    <w:rsid w:val="1D002E00"/>
    <w:rsid w:val="1D517361"/>
    <w:rsid w:val="1D7A2638"/>
    <w:rsid w:val="1DE127D8"/>
    <w:rsid w:val="1E184FA0"/>
    <w:rsid w:val="1ECE797C"/>
    <w:rsid w:val="1F915384"/>
    <w:rsid w:val="1F93293E"/>
    <w:rsid w:val="20273124"/>
    <w:rsid w:val="210608A4"/>
    <w:rsid w:val="216311D2"/>
    <w:rsid w:val="227F4E77"/>
    <w:rsid w:val="2393161B"/>
    <w:rsid w:val="23C02785"/>
    <w:rsid w:val="24697EB0"/>
    <w:rsid w:val="24CE655F"/>
    <w:rsid w:val="24E54A58"/>
    <w:rsid w:val="24E9310B"/>
    <w:rsid w:val="25123843"/>
    <w:rsid w:val="25C04D88"/>
    <w:rsid w:val="26582293"/>
    <w:rsid w:val="269B3BBA"/>
    <w:rsid w:val="26F23665"/>
    <w:rsid w:val="272E37DD"/>
    <w:rsid w:val="27306191"/>
    <w:rsid w:val="277D28E2"/>
    <w:rsid w:val="27F237BA"/>
    <w:rsid w:val="288719E4"/>
    <w:rsid w:val="28A126E5"/>
    <w:rsid w:val="28A20FAB"/>
    <w:rsid w:val="28AE55FA"/>
    <w:rsid w:val="29315979"/>
    <w:rsid w:val="2A6C5B56"/>
    <w:rsid w:val="2AEA2993"/>
    <w:rsid w:val="2B0E394A"/>
    <w:rsid w:val="2BD14A9B"/>
    <w:rsid w:val="2BE3120E"/>
    <w:rsid w:val="2D851DFA"/>
    <w:rsid w:val="2E331F0B"/>
    <w:rsid w:val="2E556727"/>
    <w:rsid w:val="31772BF0"/>
    <w:rsid w:val="323D436D"/>
    <w:rsid w:val="324F606E"/>
    <w:rsid w:val="3279795A"/>
    <w:rsid w:val="32F06E24"/>
    <w:rsid w:val="33655906"/>
    <w:rsid w:val="347D2669"/>
    <w:rsid w:val="34D4107F"/>
    <w:rsid w:val="35012166"/>
    <w:rsid w:val="35233EA6"/>
    <w:rsid w:val="353433BC"/>
    <w:rsid w:val="359D2E9C"/>
    <w:rsid w:val="366C6195"/>
    <w:rsid w:val="36911EEE"/>
    <w:rsid w:val="369D6800"/>
    <w:rsid w:val="370C5392"/>
    <w:rsid w:val="37CF756C"/>
    <w:rsid w:val="37DB4F2E"/>
    <w:rsid w:val="3831232B"/>
    <w:rsid w:val="3A277ABC"/>
    <w:rsid w:val="3A6409C6"/>
    <w:rsid w:val="3B064512"/>
    <w:rsid w:val="3B7E3595"/>
    <w:rsid w:val="3BF72ECD"/>
    <w:rsid w:val="3BFB1FBA"/>
    <w:rsid w:val="3C1B4511"/>
    <w:rsid w:val="3C2C6288"/>
    <w:rsid w:val="3D3949F7"/>
    <w:rsid w:val="3DCF7769"/>
    <w:rsid w:val="3E1A36BF"/>
    <w:rsid w:val="3FD528A0"/>
    <w:rsid w:val="412B1A4D"/>
    <w:rsid w:val="41BA40CF"/>
    <w:rsid w:val="42166345"/>
    <w:rsid w:val="42503015"/>
    <w:rsid w:val="42AF5D99"/>
    <w:rsid w:val="42C51BEC"/>
    <w:rsid w:val="43123CBB"/>
    <w:rsid w:val="43417998"/>
    <w:rsid w:val="43801781"/>
    <w:rsid w:val="43F9568E"/>
    <w:rsid w:val="43F971B5"/>
    <w:rsid w:val="44CE793D"/>
    <w:rsid w:val="44ED3380"/>
    <w:rsid w:val="44F12C6C"/>
    <w:rsid w:val="45701D62"/>
    <w:rsid w:val="459200A1"/>
    <w:rsid w:val="45C0021A"/>
    <w:rsid w:val="46AE7CE6"/>
    <w:rsid w:val="46CD69C0"/>
    <w:rsid w:val="4729448F"/>
    <w:rsid w:val="4A256BB2"/>
    <w:rsid w:val="4AC47F53"/>
    <w:rsid w:val="4B472054"/>
    <w:rsid w:val="4B565B1D"/>
    <w:rsid w:val="4B6405EC"/>
    <w:rsid w:val="4B693B00"/>
    <w:rsid w:val="4B894DE2"/>
    <w:rsid w:val="4BCF3AC8"/>
    <w:rsid w:val="4DAD6FBC"/>
    <w:rsid w:val="4DC21DEE"/>
    <w:rsid w:val="4E0E12EA"/>
    <w:rsid w:val="4F136032"/>
    <w:rsid w:val="4F9550FA"/>
    <w:rsid w:val="4FE43405"/>
    <w:rsid w:val="50077F54"/>
    <w:rsid w:val="50493828"/>
    <w:rsid w:val="504B048C"/>
    <w:rsid w:val="508C7A06"/>
    <w:rsid w:val="50A921DC"/>
    <w:rsid w:val="51046789"/>
    <w:rsid w:val="518A41CD"/>
    <w:rsid w:val="519C0C0E"/>
    <w:rsid w:val="52BF76F7"/>
    <w:rsid w:val="53217C70"/>
    <w:rsid w:val="53FB36A0"/>
    <w:rsid w:val="541E51B4"/>
    <w:rsid w:val="54344507"/>
    <w:rsid w:val="54657DB9"/>
    <w:rsid w:val="55842468"/>
    <w:rsid w:val="55B21ACE"/>
    <w:rsid w:val="55E15D54"/>
    <w:rsid w:val="567A4D2B"/>
    <w:rsid w:val="56A53097"/>
    <w:rsid w:val="56AD780E"/>
    <w:rsid w:val="56C85F44"/>
    <w:rsid w:val="582A4588"/>
    <w:rsid w:val="589F02F9"/>
    <w:rsid w:val="591667A6"/>
    <w:rsid w:val="59B27FD7"/>
    <w:rsid w:val="59C95C21"/>
    <w:rsid w:val="5A4E4EE0"/>
    <w:rsid w:val="5A735A9C"/>
    <w:rsid w:val="5ABF3398"/>
    <w:rsid w:val="5B057621"/>
    <w:rsid w:val="5B3976D8"/>
    <w:rsid w:val="5B92080B"/>
    <w:rsid w:val="5C21787C"/>
    <w:rsid w:val="5C6D0EF8"/>
    <w:rsid w:val="5CFD578D"/>
    <w:rsid w:val="5D2912F6"/>
    <w:rsid w:val="5D93776C"/>
    <w:rsid w:val="5DD43788"/>
    <w:rsid w:val="5DF06FF9"/>
    <w:rsid w:val="5E1F5767"/>
    <w:rsid w:val="5E7D5F39"/>
    <w:rsid w:val="5EE9258D"/>
    <w:rsid w:val="5F33641E"/>
    <w:rsid w:val="5F367228"/>
    <w:rsid w:val="5F871A1B"/>
    <w:rsid w:val="5FF315E3"/>
    <w:rsid w:val="5FFB5B91"/>
    <w:rsid w:val="5FFC3FFC"/>
    <w:rsid w:val="600D4207"/>
    <w:rsid w:val="6061355D"/>
    <w:rsid w:val="608F4391"/>
    <w:rsid w:val="60972ECA"/>
    <w:rsid w:val="60AB67E1"/>
    <w:rsid w:val="61144F8F"/>
    <w:rsid w:val="612043A3"/>
    <w:rsid w:val="61522C19"/>
    <w:rsid w:val="61951544"/>
    <w:rsid w:val="61D053B0"/>
    <w:rsid w:val="62DD667E"/>
    <w:rsid w:val="636A57A4"/>
    <w:rsid w:val="638549B0"/>
    <w:rsid w:val="639A6022"/>
    <w:rsid w:val="63BB092A"/>
    <w:rsid w:val="63BB555F"/>
    <w:rsid w:val="63D16F65"/>
    <w:rsid w:val="648A394D"/>
    <w:rsid w:val="64A31301"/>
    <w:rsid w:val="64A8792F"/>
    <w:rsid w:val="64D87AED"/>
    <w:rsid w:val="660921F5"/>
    <w:rsid w:val="66211782"/>
    <w:rsid w:val="67314E66"/>
    <w:rsid w:val="67737ABF"/>
    <w:rsid w:val="677F2428"/>
    <w:rsid w:val="67B73616"/>
    <w:rsid w:val="680C3197"/>
    <w:rsid w:val="68897B34"/>
    <w:rsid w:val="68A60FF8"/>
    <w:rsid w:val="691550F3"/>
    <w:rsid w:val="6929286F"/>
    <w:rsid w:val="692A38D0"/>
    <w:rsid w:val="6A4409AD"/>
    <w:rsid w:val="6A8B67B6"/>
    <w:rsid w:val="6ADC2978"/>
    <w:rsid w:val="6B9028A7"/>
    <w:rsid w:val="6C0F1FD2"/>
    <w:rsid w:val="6C9270B7"/>
    <w:rsid w:val="6D0566DA"/>
    <w:rsid w:val="6DB76AA7"/>
    <w:rsid w:val="6E6C7DDA"/>
    <w:rsid w:val="6F0C124F"/>
    <w:rsid w:val="6FC86C59"/>
    <w:rsid w:val="6FFF0458"/>
    <w:rsid w:val="708A34B7"/>
    <w:rsid w:val="70EE6327"/>
    <w:rsid w:val="714F6800"/>
    <w:rsid w:val="71A01087"/>
    <w:rsid w:val="71F3349D"/>
    <w:rsid w:val="72B1231D"/>
    <w:rsid w:val="72F7300B"/>
    <w:rsid w:val="73160455"/>
    <w:rsid w:val="73905D5E"/>
    <w:rsid w:val="73A76034"/>
    <w:rsid w:val="73EE13AC"/>
    <w:rsid w:val="741265C2"/>
    <w:rsid w:val="74D057DA"/>
    <w:rsid w:val="74E076F6"/>
    <w:rsid w:val="757A3424"/>
    <w:rsid w:val="75D95D90"/>
    <w:rsid w:val="76E33AF7"/>
    <w:rsid w:val="76E74309"/>
    <w:rsid w:val="77086156"/>
    <w:rsid w:val="79462FFF"/>
    <w:rsid w:val="797447FC"/>
    <w:rsid w:val="7A7D2CCA"/>
    <w:rsid w:val="7AA90141"/>
    <w:rsid w:val="7ABB367B"/>
    <w:rsid w:val="7AD8689A"/>
    <w:rsid w:val="7BBF180B"/>
    <w:rsid w:val="7BC90AB6"/>
    <w:rsid w:val="7C1B6A58"/>
    <w:rsid w:val="7CA02390"/>
    <w:rsid w:val="7DA436B7"/>
    <w:rsid w:val="7E1451F2"/>
    <w:rsid w:val="7E2C7C5E"/>
    <w:rsid w:val="7E5A428C"/>
    <w:rsid w:val="7E89667F"/>
    <w:rsid w:val="7EF900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48"/>
    <w:qFormat/>
    <w:uiPriority w:val="0"/>
    <w:pPr>
      <w:keepNext/>
      <w:keepLines/>
      <w:snapToGrid w:val="0"/>
      <w:spacing w:line="360" w:lineRule="auto"/>
      <w:jc w:val="center"/>
      <w:outlineLvl w:val="0"/>
    </w:pPr>
    <w:rPr>
      <w:rFonts w:eastAsia="黑体"/>
      <w:kern w:val="44"/>
      <w:sz w:val="32"/>
      <w:szCs w:val="20"/>
      <w:lang w:val="zh-CN"/>
    </w:rPr>
  </w:style>
  <w:style w:type="paragraph" w:styleId="4">
    <w:name w:val="heading 2"/>
    <w:basedOn w:val="1"/>
    <w:next w:val="1"/>
    <w:link w:val="23"/>
    <w:qFormat/>
    <w:uiPriority w:val="0"/>
    <w:pPr>
      <w:keepNext/>
      <w:keepLines/>
      <w:topLinePunct/>
      <w:adjustRightInd w:val="0"/>
      <w:snapToGrid w:val="0"/>
      <w:spacing w:beforeLines="80" w:afterLines="80"/>
      <w:jc w:val="left"/>
      <w:outlineLvl w:val="1"/>
    </w:pPr>
    <w:rPr>
      <w:rFonts w:ascii="Arial" w:hAnsi="Arial" w:eastAsia="黑体"/>
      <w:kern w:val="0"/>
      <w:sz w:val="20"/>
      <w:szCs w:val="20"/>
      <w:lang w:val="zh-CN"/>
    </w:rPr>
  </w:style>
  <w:style w:type="paragraph" w:styleId="5">
    <w:name w:val="heading 3"/>
    <w:basedOn w:val="1"/>
    <w:next w:val="1"/>
    <w:link w:val="21"/>
    <w:qFormat/>
    <w:uiPriority w:val="0"/>
    <w:pPr>
      <w:keepNext/>
      <w:keepLines/>
      <w:spacing w:before="260" w:after="260" w:line="416" w:lineRule="auto"/>
      <w:outlineLvl w:val="2"/>
    </w:pPr>
    <w:rPr>
      <w:b/>
      <w:bCs/>
      <w:kern w:val="0"/>
      <w:sz w:val="32"/>
      <w:szCs w:val="32"/>
      <w:lang w:val="zh-CN"/>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47"/>
    <w:qFormat/>
    <w:uiPriority w:val="99"/>
    <w:pPr>
      <w:tabs>
        <w:tab w:val="center" w:pos="4153"/>
        <w:tab w:val="right" w:pos="8306"/>
      </w:tabs>
      <w:snapToGrid w:val="0"/>
      <w:jc w:val="left"/>
    </w:pPr>
    <w:rPr>
      <w:kern w:val="0"/>
      <w:sz w:val="18"/>
      <w:szCs w:val="18"/>
      <w:lang w:val="zh-CN"/>
    </w:rPr>
  </w:style>
  <w:style w:type="paragraph" w:styleId="6">
    <w:name w:val="Normal Indent"/>
    <w:basedOn w:val="1"/>
    <w:qFormat/>
    <w:uiPriority w:val="0"/>
    <w:pPr>
      <w:spacing w:line="240" w:lineRule="atLeast"/>
      <w:jc w:val="center"/>
    </w:pPr>
    <w:rPr>
      <w:rFonts w:ascii="宋体" w:hAnsi="宋体"/>
      <w:sz w:val="24"/>
    </w:rPr>
  </w:style>
  <w:style w:type="paragraph" w:styleId="7">
    <w:name w:val="Document Map"/>
    <w:basedOn w:val="1"/>
    <w:link w:val="27"/>
    <w:unhideWhenUsed/>
    <w:qFormat/>
    <w:uiPriority w:val="99"/>
    <w:rPr>
      <w:rFonts w:ascii="宋体"/>
      <w:kern w:val="0"/>
      <w:sz w:val="18"/>
      <w:szCs w:val="18"/>
      <w:lang w:val="zh-CN"/>
    </w:rPr>
  </w:style>
  <w:style w:type="paragraph" w:styleId="8">
    <w:name w:val="annotation text"/>
    <w:basedOn w:val="1"/>
    <w:link w:val="43"/>
    <w:unhideWhenUsed/>
    <w:qFormat/>
    <w:uiPriority w:val="0"/>
    <w:pPr>
      <w:jc w:val="left"/>
    </w:pPr>
    <w:rPr>
      <w:kern w:val="0"/>
      <w:sz w:val="20"/>
      <w:szCs w:val="20"/>
      <w:lang w:val="zh-CN"/>
    </w:rPr>
  </w:style>
  <w:style w:type="paragraph" w:styleId="9">
    <w:name w:val="Body Text"/>
    <w:basedOn w:val="1"/>
    <w:next w:val="1"/>
    <w:semiHidden/>
    <w:unhideWhenUsed/>
    <w:qFormat/>
    <w:uiPriority w:val="99"/>
    <w:pPr>
      <w:shd w:val="clear" w:color="auto" w:fill="FFFFFF"/>
      <w:jc w:val="left"/>
    </w:pPr>
    <w:rPr>
      <w:rFonts w:ascii="仿宋" w:hAnsi="仿宋" w:cs="MingLiU"/>
      <w:sz w:val="28"/>
      <w:szCs w:val="28"/>
    </w:rPr>
  </w:style>
  <w:style w:type="paragraph" w:styleId="10">
    <w:name w:val="Plain Text"/>
    <w:basedOn w:val="1"/>
    <w:link w:val="53"/>
    <w:qFormat/>
    <w:uiPriority w:val="99"/>
    <w:rPr>
      <w:rFonts w:ascii="宋体" w:hAnsi="Courier New"/>
      <w:kern w:val="0"/>
      <w:sz w:val="20"/>
      <w:szCs w:val="20"/>
      <w:lang w:val="zh-CN"/>
    </w:rPr>
  </w:style>
  <w:style w:type="paragraph" w:styleId="11">
    <w:name w:val="Balloon Text"/>
    <w:basedOn w:val="1"/>
    <w:link w:val="25"/>
    <w:unhideWhenUsed/>
    <w:qFormat/>
    <w:uiPriority w:val="99"/>
    <w:rPr>
      <w:kern w:val="0"/>
      <w:sz w:val="18"/>
      <w:szCs w:val="18"/>
      <w:lang w:val="zh-CN"/>
    </w:rPr>
  </w:style>
  <w:style w:type="paragraph" w:styleId="12">
    <w:name w:val="header"/>
    <w:basedOn w:val="1"/>
    <w:link w:val="42"/>
    <w:unhideWhenUsed/>
    <w:qFormat/>
    <w:uiPriority w:val="99"/>
    <w:pPr>
      <w:pBdr>
        <w:bottom w:val="single" w:color="auto" w:sz="6" w:space="1"/>
      </w:pBdr>
      <w:tabs>
        <w:tab w:val="center" w:pos="4153"/>
        <w:tab w:val="right" w:pos="8306"/>
      </w:tabs>
      <w:snapToGrid w:val="0"/>
      <w:jc w:val="center"/>
    </w:pPr>
    <w:rPr>
      <w:kern w:val="0"/>
      <w:sz w:val="18"/>
      <w:szCs w:val="18"/>
      <w:lang w:val="zh-CN"/>
    </w:rPr>
  </w:style>
  <w:style w:type="paragraph" w:styleId="13">
    <w:name w:val="footnote text"/>
    <w:basedOn w:val="1"/>
    <w:link w:val="31"/>
    <w:qFormat/>
    <w:uiPriority w:val="0"/>
    <w:pPr>
      <w:snapToGrid w:val="0"/>
      <w:jc w:val="left"/>
    </w:pPr>
    <w:rPr>
      <w:sz w:val="18"/>
      <w:szCs w:val="20"/>
      <w:lang w:val="zh-CN"/>
    </w:rPr>
  </w:style>
  <w:style w:type="paragraph" w:styleId="14">
    <w:name w:val="annotation subject"/>
    <w:basedOn w:val="8"/>
    <w:next w:val="8"/>
    <w:link w:val="29"/>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qFormat/>
    <w:uiPriority w:val="0"/>
    <w:rPr>
      <w:b/>
      <w:bCs/>
    </w:rPr>
  </w:style>
  <w:style w:type="character" w:styleId="19">
    <w:name w:val="annotation reference"/>
    <w:qFormat/>
    <w:uiPriority w:val="0"/>
    <w:rPr>
      <w:sz w:val="21"/>
    </w:rPr>
  </w:style>
  <w:style w:type="character" w:styleId="20">
    <w:name w:val="footnote reference"/>
    <w:qFormat/>
    <w:uiPriority w:val="0"/>
    <w:rPr>
      <w:rFonts w:hint="eastAsia" w:ascii="宋体" w:hAnsi="宋体" w:eastAsia="宋体"/>
      <w:kern w:val="2"/>
      <w:sz w:val="21"/>
      <w:vertAlign w:val="superscript"/>
      <w:lang w:val="en-US" w:eastAsia="zh-CN"/>
    </w:rPr>
  </w:style>
  <w:style w:type="character" w:customStyle="1" w:styleId="21">
    <w:name w:val="标题 3 Char"/>
    <w:link w:val="5"/>
    <w:qFormat/>
    <w:uiPriority w:val="0"/>
    <w:rPr>
      <w:rFonts w:ascii="Calibri" w:hAnsi="Calibri" w:eastAsia="宋体" w:cs="Times New Roman"/>
      <w:b/>
      <w:bCs/>
      <w:sz w:val="32"/>
      <w:szCs w:val="32"/>
    </w:rPr>
  </w:style>
  <w:style w:type="character" w:customStyle="1" w:styleId="22">
    <w:name w:val="脚注文本 字符"/>
    <w:qFormat/>
    <w:uiPriority w:val="0"/>
    <w:rPr>
      <w:kern w:val="2"/>
      <w:sz w:val="18"/>
      <w:szCs w:val="18"/>
    </w:rPr>
  </w:style>
  <w:style w:type="character" w:customStyle="1" w:styleId="23">
    <w:name w:val="标题 2 Char"/>
    <w:link w:val="4"/>
    <w:qFormat/>
    <w:uiPriority w:val="0"/>
    <w:rPr>
      <w:rFonts w:ascii="Arial" w:hAnsi="Arial" w:eastAsia="黑体" w:cs="Times New Roman"/>
      <w:szCs w:val="20"/>
    </w:rPr>
  </w:style>
  <w:style w:type="paragraph" w:customStyle="1" w:styleId="24">
    <w:name w:val="段"/>
    <w:qFormat/>
    <w:uiPriority w:val="0"/>
    <w:pPr>
      <w:autoSpaceDE w:val="0"/>
      <w:autoSpaceDN w:val="0"/>
      <w:ind w:firstLine="200"/>
      <w:jc w:val="both"/>
    </w:pPr>
    <w:rPr>
      <w:rFonts w:ascii="宋体" w:hAnsi="Calibri" w:eastAsia="宋体" w:cs="Times New Roman"/>
      <w:sz w:val="21"/>
      <w:szCs w:val="22"/>
      <w:lang w:val="en-US" w:eastAsia="zh-CN" w:bidi="ar-SA"/>
    </w:rPr>
  </w:style>
  <w:style w:type="character" w:customStyle="1" w:styleId="25">
    <w:name w:val="批注框文本 Char"/>
    <w:link w:val="11"/>
    <w:qFormat/>
    <w:uiPriority w:val="99"/>
    <w:rPr>
      <w:rFonts w:ascii="Calibri" w:hAnsi="Calibri" w:eastAsia="宋体" w:cs="Times New Roman"/>
      <w:sz w:val="18"/>
      <w:szCs w:val="18"/>
    </w:rPr>
  </w:style>
  <w:style w:type="paragraph" w:customStyle="1" w:styleId="26">
    <w:name w:val="样式3"/>
    <w:basedOn w:val="1"/>
    <w:link w:val="45"/>
    <w:qFormat/>
    <w:uiPriority w:val="0"/>
    <w:pPr>
      <w:keepNext/>
      <w:keepLines/>
      <w:topLinePunct/>
      <w:spacing w:line="312" w:lineRule="exact"/>
    </w:pPr>
    <w:rPr>
      <w:rFonts w:ascii="EU-F1" w:eastAsia="黑体"/>
      <w:kern w:val="0"/>
      <w:sz w:val="20"/>
      <w:szCs w:val="20"/>
      <w:lang w:val="zh-CN"/>
    </w:rPr>
  </w:style>
  <w:style w:type="character" w:customStyle="1" w:styleId="27">
    <w:name w:val="文档结构图 Char"/>
    <w:link w:val="7"/>
    <w:semiHidden/>
    <w:qFormat/>
    <w:uiPriority w:val="99"/>
    <w:rPr>
      <w:rFonts w:ascii="宋体" w:hAnsi="Calibri" w:eastAsia="宋体" w:cs="Times New Roman"/>
      <w:sz w:val="18"/>
      <w:szCs w:val="18"/>
    </w:rPr>
  </w:style>
  <w:style w:type="paragraph" w:customStyle="1" w:styleId="28">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character" w:customStyle="1" w:styleId="29">
    <w:name w:val="批注主题 Char"/>
    <w:link w:val="14"/>
    <w:qFormat/>
    <w:uiPriority w:val="99"/>
    <w:rPr>
      <w:rFonts w:ascii="Calibri" w:hAnsi="Calibri" w:eastAsia="宋体" w:cs="Times New Roman"/>
      <w:b/>
      <w:bCs/>
    </w:rPr>
  </w:style>
  <w:style w:type="paragraph" w:customStyle="1" w:styleId="30">
    <w:name w:val="修订1"/>
    <w:semiHidden/>
    <w:qFormat/>
    <w:uiPriority w:val="99"/>
    <w:rPr>
      <w:rFonts w:ascii="Calibri" w:hAnsi="Calibri" w:eastAsia="宋体" w:cs="Times New Roman"/>
      <w:kern w:val="2"/>
      <w:sz w:val="21"/>
      <w:szCs w:val="22"/>
      <w:lang w:val="en-US" w:eastAsia="zh-CN" w:bidi="ar-SA"/>
    </w:rPr>
  </w:style>
  <w:style w:type="character" w:customStyle="1" w:styleId="31">
    <w:name w:val="脚注文本 Char"/>
    <w:link w:val="13"/>
    <w:qFormat/>
    <w:uiPriority w:val="0"/>
    <w:rPr>
      <w:kern w:val="2"/>
      <w:sz w:val="18"/>
    </w:rPr>
  </w:style>
  <w:style w:type="character" w:customStyle="1" w:styleId="32">
    <w:name w:val="Char Char16"/>
    <w:qFormat/>
    <w:uiPriority w:val="0"/>
    <w:rPr>
      <w:b/>
      <w:kern w:val="2"/>
      <w:sz w:val="32"/>
    </w:rPr>
  </w:style>
  <w:style w:type="character" w:customStyle="1" w:styleId="33">
    <w:name w:val="16"/>
    <w:basedOn w:val="17"/>
    <w:qFormat/>
    <w:uiPriority w:val="0"/>
    <w:rPr>
      <w:rFonts w:hint="eastAsia" w:ascii="方正仿宋_GBK" w:hAnsi="方正仿宋_GBK" w:eastAsia="方正仿宋_GBK" w:cs="方正仿宋_GBK"/>
      <w:color w:val="000000"/>
      <w:sz w:val="22"/>
      <w:szCs w:val="22"/>
    </w:rPr>
  </w:style>
  <w:style w:type="paragraph" w:customStyle="1" w:styleId="34">
    <w:name w:val="列表段落1"/>
    <w:basedOn w:val="1"/>
    <w:qFormat/>
    <w:uiPriority w:val="34"/>
    <w:pPr>
      <w:ind w:firstLine="420" w:firstLineChars="200"/>
    </w:pPr>
  </w:style>
  <w:style w:type="paragraph" w:customStyle="1" w:styleId="35">
    <w:name w:val="列出段落1"/>
    <w:basedOn w:val="1"/>
    <w:qFormat/>
    <w:uiPriority w:val="34"/>
    <w:pPr>
      <w:ind w:firstLine="420" w:firstLineChars="200"/>
    </w:pPr>
  </w:style>
  <w:style w:type="paragraph" w:customStyle="1" w:styleId="36">
    <w:name w:val="bn"/>
    <w:basedOn w:val="1"/>
    <w:qFormat/>
    <w:uiPriority w:val="0"/>
    <w:pPr>
      <w:snapToGrid w:val="0"/>
      <w:ind w:left="25" w:leftChars="25" w:right="25" w:rightChars="25"/>
      <w:jc w:val="center"/>
    </w:pPr>
    <w:rPr>
      <w:color w:val="000000"/>
      <w:kern w:val="18"/>
      <w:sz w:val="18"/>
    </w:rPr>
  </w:style>
  <w:style w:type="paragraph" w:customStyle="1" w:styleId="37">
    <w:name w:val="p0"/>
    <w:basedOn w:val="1"/>
    <w:qFormat/>
    <w:uiPriority w:val="0"/>
    <w:pPr>
      <w:widowControl/>
    </w:pPr>
    <w:rPr>
      <w:rFonts w:ascii="Times New Roman" w:hAnsi="Times New Roman"/>
      <w:kern w:val="0"/>
      <w:szCs w:val="21"/>
    </w:rPr>
  </w:style>
  <w:style w:type="paragraph" w:customStyle="1" w:styleId="38">
    <w:name w:val="修订2"/>
    <w:semiHidden/>
    <w:qFormat/>
    <w:uiPriority w:val="99"/>
    <w:rPr>
      <w:rFonts w:ascii="Calibri" w:hAnsi="Calibri" w:eastAsia="宋体" w:cs="Times New Roman"/>
      <w:kern w:val="2"/>
      <w:sz w:val="21"/>
      <w:szCs w:val="22"/>
      <w:lang w:val="en-US" w:eastAsia="zh-CN" w:bidi="ar-SA"/>
    </w:rPr>
  </w:style>
  <w:style w:type="paragraph" w:styleId="39">
    <w:name w:val="List Paragraph"/>
    <w:basedOn w:val="1"/>
    <w:qFormat/>
    <w:uiPriority w:val="0"/>
    <w:pPr>
      <w:ind w:firstLine="420" w:firstLineChars="200"/>
    </w:pPr>
  </w:style>
  <w:style w:type="paragraph" w:customStyle="1" w:styleId="40">
    <w:name w:val="引言一级条标题"/>
    <w:basedOn w:val="1"/>
    <w:next w:val="24"/>
    <w:unhideWhenUsed/>
    <w:qFormat/>
    <w:uiPriority w:val="0"/>
    <w:pPr>
      <w:widowControl/>
      <w:numPr>
        <w:ilvl w:val="0"/>
        <w:numId w:val="1"/>
      </w:numPr>
    </w:pPr>
    <w:rPr>
      <w:rFonts w:hint="eastAsia" w:eastAsia="黑体"/>
      <w:b/>
    </w:rPr>
  </w:style>
  <w:style w:type="character" w:customStyle="1" w:styleId="41">
    <w:name w:val="15"/>
    <w:basedOn w:val="17"/>
    <w:qFormat/>
    <w:uiPriority w:val="0"/>
    <w:rPr>
      <w:rFonts w:hint="eastAsia" w:ascii="方正仿宋_GBK" w:hAnsi="方正仿宋_GBK" w:eastAsia="方正仿宋_GBK" w:cs="方正仿宋_GBK"/>
      <w:color w:val="FF0000"/>
      <w:sz w:val="22"/>
      <w:szCs w:val="22"/>
    </w:rPr>
  </w:style>
  <w:style w:type="character" w:customStyle="1" w:styleId="42">
    <w:name w:val="页眉 Char"/>
    <w:link w:val="12"/>
    <w:qFormat/>
    <w:uiPriority w:val="99"/>
    <w:rPr>
      <w:rFonts w:ascii="Calibri" w:hAnsi="Calibri" w:eastAsia="宋体" w:cs="Times New Roman"/>
      <w:sz w:val="18"/>
      <w:szCs w:val="18"/>
    </w:rPr>
  </w:style>
  <w:style w:type="character" w:customStyle="1" w:styleId="43">
    <w:name w:val="批注文字 Char"/>
    <w:link w:val="8"/>
    <w:qFormat/>
    <w:uiPriority w:val="0"/>
    <w:rPr>
      <w:rFonts w:ascii="Calibri" w:hAnsi="Calibri" w:eastAsia="宋体" w:cs="Times New Roman"/>
    </w:rPr>
  </w:style>
  <w:style w:type="paragraph" w:customStyle="1" w:styleId="44">
    <w:name w:val="样式 标题 2 + 首行缩进:  1.13 厘米"/>
    <w:basedOn w:val="1"/>
    <w:qFormat/>
    <w:uiPriority w:val="0"/>
    <w:pPr>
      <w:keepNext/>
      <w:keepLines/>
      <w:spacing w:line="408" w:lineRule="auto"/>
      <w:ind w:firstLine="641"/>
      <w:outlineLvl w:val="1"/>
    </w:pPr>
    <w:rPr>
      <w:rFonts w:ascii="Cambria" w:hAnsi="Cambria"/>
      <w:b/>
      <w:kern w:val="0"/>
      <w:sz w:val="32"/>
    </w:rPr>
  </w:style>
  <w:style w:type="character" w:customStyle="1" w:styleId="45">
    <w:name w:val="样式3 Char Char"/>
    <w:link w:val="26"/>
    <w:qFormat/>
    <w:uiPriority w:val="0"/>
    <w:rPr>
      <w:rFonts w:ascii="EU-F1" w:eastAsia="黑体"/>
    </w:rPr>
  </w:style>
  <w:style w:type="paragraph" w:customStyle="1" w:styleId="46">
    <w:name w:val="Table Paragraph"/>
    <w:basedOn w:val="1"/>
    <w:qFormat/>
    <w:uiPriority w:val="1"/>
    <w:rPr>
      <w:rFonts w:ascii="宋体" w:hAnsi="宋体" w:cs="宋体"/>
      <w:lang w:val="zh-CN" w:bidi="zh-CN"/>
    </w:rPr>
  </w:style>
  <w:style w:type="character" w:customStyle="1" w:styleId="47">
    <w:name w:val="页脚 Char"/>
    <w:link w:val="2"/>
    <w:qFormat/>
    <w:uiPriority w:val="99"/>
    <w:rPr>
      <w:rFonts w:ascii="Calibri" w:hAnsi="Calibri" w:eastAsia="宋体" w:cs="Times New Roman"/>
      <w:sz w:val="18"/>
      <w:szCs w:val="18"/>
    </w:rPr>
  </w:style>
  <w:style w:type="character" w:customStyle="1" w:styleId="48">
    <w:name w:val="标题 1 Char"/>
    <w:link w:val="3"/>
    <w:qFormat/>
    <w:uiPriority w:val="0"/>
    <w:rPr>
      <w:rFonts w:ascii="Calibri" w:hAnsi="Calibri" w:eastAsia="黑体" w:cs="Times New Roman"/>
      <w:kern w:val="44"/>
      <w:sz w:val="32"/>
      <w:szCs w:val="20"/>
    </w:rPr>
  </w:style>
  <w:style w:type="paragraph" w:customStyle="1" w:styleId="49">
    <w:name w:val="引言二级条标题"/>
    <w:basedOn w:val="40"/>
    <w:next w:val="24"/>
    <w:unhideWhenUsed/>
    <w:qFormat/>
    <w:uiPriority w:val="99"/>
    <w:pPr>
      <w:numPr>
        <w:ilvl w:val="1"/>
        <w:numId w:val="2"/>
      </w:numPr>
      <w:tabs>
        <w:tab w:val="left" w:pos="360"/>
      </w:tabs>
      <w:ind w:firstLine="0"/>
    </w:pPr>
    <w:rPr>
      <w:b w:val="0"/>
      <w:szCs w:val="20"/>
    </w:rPr>
  </w:style>
  <w:style w:type="paragraph" w:customStyle="1" w:styleId="50">
    <w:name w:val="Revision"/>
    <w:hidden/>
    <w:unhideWhenUsed/>
    <w:qFormat/>
    <w:uiPriority w:val="99"/>
    <w:rPr>
      <w:rFonts w:ascii="Calibri" w:hAnsi="Calibri" w:eastAsia="宋体" w:cs="Times New Roman"/>
      <w:kern w:val="2"/>
      <w:sz w:val="21"/>
      <w:szCs w:val="22"/>
      <w:lang w:val="en-US" w:eastAsia="zh-CN" w:bidi="ar-SA"/>
    </w:rPr>
  </w:style>
  <w:style w:type="paragraph" w:customStyle="1" w:styleId="51">
    <w:name w:val="正文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52">
    <w:name w:val="NormalCharacter"/>
    <w:qFormat/>
    <w:uiPriority w:val="0"/>
  </w:style>
  <w:style w:type="character" w:customStyle="1" w:styleId="53">
    <w:name w:val="纯文本 Char"/>
    <w:link w:val="10"/>
    <w:qFormat/>
    <w:uiPriority w:val="99"/>
    <w:rPr>
      <w:rFonts w:ascii="宋体" w:hAnsi="Courier New"/>
    </w:rPr>
  </w:style>
  <w:style w:type="character" w:customStyle="1" w:styleId="54">
    <w:name w:val="纯文本 Char1"/>
    <w:semiHidden/>
    <w:qFormat/>
    <w:uiPriority w:val="99"/>
    <w:rPr>
      <w:rFonts w:ascii="宋体" w:hAnsi="Courier New" w:eastAsia="宋体"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35"/>
    <customShpInfo spid="_x0000_s1036"/>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63</Pages>
  <Words>52896</Words>
  <Characters>55119</Characters>
  <TotalTime>1</TotalTime>
  <ScaleCrop>false</ScaleCrop>
  <LinksUpToDate>false</LinksUpToDate>
  <CharactersWithSpaces>56231</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2026-07-01T15:33:00Z</dcterms:created>
  <dc:creator>Jack</dc:creator>
  <cp:lastModifiedBy>杨钊</cp:lastModifiedBy>
  <dcterms:modified xsi:type="dcterms:W3CDTF">2026-08-21T02:13:04Z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eyJoZGlkIjoiYzFkMDlhMmUwYzJmYWYyODI2MjI5NDk3YzMzMTgzYWUiLCJ1c2VySWQiOiIzNTkyODkwODcifQ==</vt:lpwstr>
  </property>
  <property fmtid="{D5CDD505-2E9C-101B-9397-08002B2CF9AE}" pid="4" name="ICV">
    <vt:lpwstr>6348ADF67B6748C6B712C78B95AC2E31_12</vt:lpwstr>
  </property>
</Properties>
</file>