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highlight w:val="none"/>
        </w:rPr>
      </w:pPr>
      <w:bookmarkStart w:id="57" w:name="_GoBack"/>
      <w:bookmarkStart w:id="0" w:name="_Toc386615162"/>
      <w:bookmarkStart w:id="1" w:name="_Toc389718401"/>
      <w:bookmarkStart w:id="2" w:name="_Toc386987446"/>
      <w:bookmarkStart w:id="3" w:name="_Toc496648692"/>
      <w:bookmarkStart w:id="4" w:name="_Toc499890692"/>
      <w:bookmarkStart w:id="5" w:name="_Toc386559386"/>
      <w:bookmarkStart w:id="6" w:name="_Toc387167879"/>
      <w:bookmarkStart w:id="7" w:name="_Toc389216850"/>
      <w:bookmarkStart w:id="8" w:name="_Toc390063334"/>
      <w:bookmarkStart w:id="9" w:name="_Toc389216530"/>
      <w:r>
        <w:rPr>
          <w:highlight w:val="none"/>
        </w:rPr>
        <w:t>第</w:t>
      </w:r>
      <w:r>
        <w:rPr>
          <w:rFonts w:hint="eastAsia"/>
          <w:highlight w:val="none"/>
        </w:rPr>
        <w:t>九</w:t>
      </w:r>
      <w:r>
        <w:rPr>
          <w:highlight w:val="none"/>
        </w:rPr>
        <w:t>章</w:t>
      </w:r>
      <w:r>
        <w:rPr>
          <w:rFonts w:hint="eastAsia"/>
          <w:highlight w:val="none"/>
        </w:rPr>
        <w:t>工程量清单及投标报价说明</w:t>
      </w:r>
      <w:bookmarkEnd w:id="0"/>
      <w:bookmarkEnd w:id="1"/>
      <w:bookmarkEnd w:id="2"/>
      <w:bookmarkEnd w:id="3"/>
      <w:bookmarkEnd w:id="4"/>
      <w:bookmarkEnd w:id="5"/>
      <w:bookmarkEnd w:id="6"/>
      <w:bookmarkEnd w:id="7"/>
      <w:bookmarkEnd w:id="8"/>
      <w:bookmarkEnd w:id="9"/>
    </w:p>
    <w:p>
      <w:pPr>
        <w:pStyle w:val="4"/>
        <w:spacing w:before="192" w:beforeLines="0" w:after="192" w:afterLines="0"/>
        <w:rPr>
          <w:highlight w:val="none"/>
        </w:rPr>
      </w:pPr>
      <w:bookmarkStart w:id="10" w:name="_Toc386615163"/>
      <w:bookmarkStart w:id="11" w:name="_Toc390063335"/>
      <w:bookmarkStart w:id="12" w:name="_Toc386559387"/>
      <w:bookmarkStart w:id="13" w:name="_Toc387167880"/>
      <w:bookmarkStart w:id="14" w:name="_Toc385584573"/>
      <w:bookmarkStart w:id="15" w:name="_Toc386987447"/>
      <w:bookmarkStart w:id="16" w:name="_Toc385586295"/>
      <w:bookmarkStart w:id="17" w:name="_Toc389718402"/>
      <w:bookmarkStart w:id="18" w:name="_Toc385787548"/>
      <w:bookmarkStart w:id="19" w:name="_Toc433526768"/>
      <w:bookmarkStart w:id="20" w:name="_Toc385783803"/>
      <w:bookmarkStart w:id="21" w:name="_Toc389216531"/>
      <w:bookmarkStart w:id="22" w:name="_Toc385609838"/>
      <w:r>
        <w:rPr>
          <w:highlight w:val="none"/>
        </w:rPr>
        <w:t>1　工程量清单说明</w:t>
      </w:r>
      <w:bookmarkEnd w:id="10"/>
      <w:bookmarkEnd w:id="11"/>
      <w:bookmarkEnd w:id="12"/>
      <w:bookmarkEnd w:id="13"/>
      <w:bookmarkEnd w:id="14"/>
      <w:bookmarkEnd w:id="15"/>
      <w:bookmarkEnd w:id="16"/>
      <w:bookmarkEnd w:id="17"/>
      <w:bookmarkEnd w:id="18"/>
      <w:bookmarkEnd w:id="19"/>
      <w:bookmarkEnd w:id="20"/>
      <w:bookmarkEnd w:id="21"/>
      <w:bookmarkEnd w:id="22"/>
    </w:p>
    <w:p>
      <w:pPr>
        <w:spacing w:line="360" w:lineRule="exact"/>
        <w:rPr>
          <w:highlight w:val="none"/>
        </w:rPr>
      </w:pPr>
      <w:r>
        <w:rPr>
          <w:rFonts w:hint="eastAsia"/>
          <w:highlight w:val="none"/>
        </w:rPr>
        <w:t>1.1</w:t>
      </w:r>
      <w:r>
        <w:rPr>
          <w:highlight w:val="none"/>
        </w:rPr>
        <w:t>　</w:t>
      </w:r>
      <w:r>
        <w:rPr>
          <w:rFonts w:hint="eastAsia"/>
          <w:highlight w:val="none"/>
        </w:rPr>
        <w:t>本工程量清单是根据招标文件中包括的、有合同约束力的图纸以及有关工程量清单的国家标准、行业标准、合同条款中约定的工程量计算规则编制。计量采用中华人民共和国法定计量单位。</w:t>
      </w:r>
    </w:p>
    <w:p>
      <w:pPr>
        <w:spacing w:line="360" w:lineRule="exact"/>
        <w:rPr>
          <w:highlight w:val="none"/>
        </w:rPr>
      </w:pPr>
      <w:r>
        <w:rPr>
          <w:rFonts w:hint="eastAsia"/>
          <w:highlight w:val="none"/>
        </w:rPr>
        <w:t>1.2</w:t>
      </w:r>
      <w:r>
        <w:rPr>
          <w:highlight w:val="none"/>
        </w:rPr>
        <w:t>　</w:t>
      </w:r>
      <w:r>
        <w:rPr>
          <w:rFonts w:hint="eastAsia"/>
          <w:highlight w:val="none"/>
        </w:rPr>
        <w:t>本工程量清单应与招标文件中的投标人须知、通用合同条款、专用合同条款、技术标准和要求及图纸等一起阅读和理解。</w:t>
      </w:r>
    </w:p>
    <w:p>
      <w:pPr>
        <w:spacing w:line="360" w:lineRule="exact"/>
        <w:rPr>
          <w:highlight w:val="none"/>
        </w:rPr>
      </w:pPr>
      <w:r>
        <w:rPr>
          <w:rFonts w:hint="eastAsia"/>
          <w:highlight w:val="none"/>
        </w:rPr>
        <w:t>1.3</w:t>
      </w:r>
      <w:r>
        <w:rPr>
          <w:highlight w:val="none"/>
        </w:rPr>
        <w:t>　</w:t>
      </w:r>
      <w:r>
        <w:rPr>
          <w:rFonts w:hint="eastAsia"/>
          <w:highlight w:val="none"/>
        </w:rPr>
        <w:t>本工程量清单仅是投标报价的共同基础，实际工程计量和工程价款的支付应遵循合同条款的约定和“工程技术规范书”的有关规定。</w:t>
      </w:r>
    </w:p>
    <w:p>
      <w:pPr>
        <w:spacing w:line="360" w:lineRule="exact"/>
        <w:rPr>
          <w:highlight w:val="none"/>
        </w:rPr>
      </w:pPr>
      <w:r>
        <w:rPr>
          <w:rFonts w:hint="eastAsia"/>
          <w:highlight w:val="none"/>
        </w:rPr>
        <w:t>1.4</w:t>
      </w:r>
      <w:r>
        <w:rPr>
          <w:highlight w:val="none"/>
        </w:rPr>
        <w:t>　</w:t>
      </w:r>
      <w:r>
        <w:rPr>
          <w:rFonts w:hint="eastAsia"/>
          <w:highlight w:val="none"/>
        </w:rPr>
        <w:t>补充子目工程量计算规则及子目工作内容说明：</w:t>
      </w:r>
    </w:p>
    <w:p>
      <w:pPr>
        <w:spacing w:line="360" w:lineRule="exact"/>
        <w:rPr>
          <w:highlight w:val="none"/>
        </w:rPr>
      </w:pPr>
      <w:r>
        <w:rPr>
          <w:rFonts w:hint="eastAsia"/>
          <w:highlight w:val="none"/>
        </w:rPr>
        <w:t>无。</w:t>
      </w:r>
    </w:p>
    <w:p>
      <w:pPr>
        <w:pStyle w:val="4"/>
        <w:spacing w:before="192" w:beforeLines="0" w:after="192" w:afterLines="0"/>
        <w:rPr>
          <w:highlight w:val="none"/>
        </w:rPr>
      </w:pPr>
      <w:bookmarkStart w:id="23" w:name="_Toc390063336"/>
      <w:bookmarkStart w:id="24" w:name="_Toc386615164"/>
      <w:bookmarkStart w:id="25" w:name="_Toc385586296"/>
      <w:bookmarkStart w:id="26" w:name="_Toc389718403"/>
      <w:bookmarkStart w:id="27" w:name="_Toc263169387"/>
      <w:bookmarkStart w:id="28" w:name="_Toc387167881"/>
      <w:bookmarkStart w:id="29" w:name="_Toc385783804"/>
      <w:bookmarkStart w:id="30" w:name="_Toc385787549"/>
      <w:bookmarkStart w:id="31" w:name="_Toc221424151"/>
      <w:bookmarkStart w:id="32" w:name="_Toc226891100"/>
      <w:bookmarkStart w:id="33" w:name="_Toc386559388"/>
      <w:bookmarkStart w:id="34" w:name="_Toc385584574"/>
      <w:bookmarkStart w:id="35" w:name="_Toc386987448"/>
      <w:bookmarkStart w:id="36" w:name="_Toc389216532"/>
      <w:bookmarkStart w:id="37" w:name="_Toc433526769"/>
      <w:bookmarkStart w:id="38" w:name="_Toc385609839"/>
      <w:r>
        <w:rPr>
          <w:highlight w:val="none"/>
        </w:rPr>
        <w:t>2　投标报价说明</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pPr>
        <w:spacing w:line="360" w:lineRule="exact"/>
        <w:rPr>
          <w:highlight w:val="none"/>
        </w:rPr>
      </w:pPr>
      <w:r>
        <w:rPr>
          <w:rFonts w:hint="eastAsia"/>
          <w:highlight w:val="none"/>
        </w:rPr>
        <w:t>2.1</w:t>
      </w:r>
      <w:r>
        <w:rPr>
          <w:highlight w:val="none"/>
        </w:rPr>
        <w:t>　</w:t>
      </w:r>
      <w:r>
        <w:rPr>
          <w:rFonts w:hint="eastAsia"/>
          <w:highlight w:val="none"/>
        </w:rPr>
        <w:t>投标报价包含的费用：</w:t>
      </w:r>
    </w:p>
    <w:p>
      <w:pPr>
        <w:spacing w:line="360" w:lineRule="exact"/>
        <w:ind w:firstLine="447" w:firstLineChars="213"/>
        <w:rPr>
          <w:highlight w:val="none"/>
        </w:rPr>
      </w:pPr>
      <w:r>
        <w:rPr>
          <w:rFonts w:hint="eastAsia"/>
          <w:highlight w:val="none"/>
        </w:rPr>
        <w:t>1.与招标范围对应的投标报价为在工程项目建设期和保修期内，完成招标文件工作内容的各项费用，包括人工、材料、机械、设备、施工管理（含项目信息系统）、进场道路等建设场地准备、临时设施、各种施工措施费、维护、利润、税金、政策性文件规定及合同包含的文明施工、安全措施、各种形式的检查验收费用、建设周边环境协调等所有风险、责任等各项应有费用。</w:t>
      </w:r>
    </w:p>
    <w:p>
      <w:pPr>
        <w:spacing w:line="360" w:lineRule="exact"/>
        <w:ind w:firstLine="447" w:firstLineChars="213"/>
        <w:rPr>
          <w:highlight w:val="none"/>
        </w:rPr>
      </w:pPr>
      <w:r>
        <w:rPr>
          <w:rFonts w:hint="eastAsia"/>
          <w:highlight w:val="none"/>
        </w:rPr>
        <w:t>2. 投标人的报价还应包括：在工程建设期间与本工程相关的各种费用（含各种协调会、调度会、技术方案审查会、检查监督、中间验收、各种安全质量活动、安全质量环保水保等检查、施工技术培训、专家咨询与指导、各种观摩、工程宣传、竣工预验收、运行交接验收、竣工验收、启动调试配合、达标投产各阶段检查迎检、创优申报及现场迎检、工程总结以及进一步提高工程安全质量工艺水平、安全年、安全管理提升专项活动和受招标人要求的其它工作等）；按规定办理开工许可和其他各种施工手续，为开展上述工作根据规定(包括地方文件规定)所缴纳的各种税费；由承包人自行组织或受益的协调会所需费用等，以及必要的工作协调费；依法依规施工及工程维稳（及时支付地方赔偿等相关工程费用和工资，已由发包人明确另行支付的费用除外）等相关费用；环保、水保、档案、安全、劳动卫生等专项验收配合费、后评估工作配合费。</w:t>
      </w:r>
    </w:p>
    <w:p>
      <w:pPr>
        <w:topLinePunct w:val="0"/>
        <w:ind w:firstLine="403" w:firstLineChars="192"/>
        <w:rPr>
          <w:rFonts w:asciiTheme="minorEastAsia" w:hAnsiTheme="minorEastAsia" w:eastAsiaTheme="minorEastAsia" w:cstheme="minorEastAsia"/>
          <w:szCs w:val="21"/>
          <w:highlight w:val="none"/>
        </w:rPr>
      </w:pPr>
      <w:r>
        <w:rPr>
          <w:rFonts w:hint="eastAsia"/>
          <w:highlight w:val="none"/>
        </w:rPr>
        <w:t>3. 除</w:t>
      </w:r>
      <w:r>
        <w:rPr>
          <w:rFonts w:hint="eastAsia" w:asciiTheme="minorEastAsia" w:hAnsiTheme="minorEastAsia" w:eastAsiaTheme="minorEastAsia" w:cstheme="minorEastAsia"/>
          <w:szCs w:val="21"/>
          <w:highlight w:val="none"/>
        </w:rPr>
        <w:t>招标文件确定的甲供设备（材料）外，其它所需的设备（材料）均为投标人采购，由投标人负责采购、运输和保管，投标报价应包含上述费用。</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2.2投标报价计算：</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投标报价应参照下列依据编制，包括但不限于：招标文件、工程量清单及其补充通知、答疑纪要；建设工程设计文件及相关资料；施工现场情况、工程特点及拟定的投标施工组织设计或施工方案；与建设项目相关的标准、规范等技术资料；其它相关资料。</w:t>
      </w:r>
    </w:p>
    <w:p>
      <w:pPr>
        <w:topLinePunct w:val="0"/>
        <w:adjustRightInd/>
        <w:snapToGrid/>
        <w:spacing w:line="240" w:lineRule="auto"/>
        <w:ind w:firstLine="403" w:firstLineChars="192"/>
        <w:rPr>
          <w:rFonts w:asciiTheme="minorEastAsia" w:hAnsiTheme="minorEastAsia" w:eastAsiaTheme="minorEastAsia" w:cstheme="minorEastAsia"/>
          <w:bCs w:val="0"/>
          <w:snapToGrid/>
          <w:spacing w:val="0"/>
          <w:kern w:val="2"/>
          <w:sz w:val="21"/>
          <w:szCs w:val="21"/>
          <w:highlight w:val="none"/>
          <w:lang w:eastAsia="zh-CN"/>
        </w:rPr>
      </w:pPr>
      <w:bookmarkStart w:id="39" w:name="OLE_LINK7"/>
      <w:bookmarkStart w:id="40" w:name="OLE_LINK6"/>
      <w:r>
        <w:rPr>
          <w:rFonts w:hint="eastAsia" w:asciiTheme="minorEastAsia" w:hAnsiTheme="minorEastAsia" w:eastAsiaTheme="minorEastAsia" w:cstheme="minorEastAsia"/>
          <w:szCs w:val="21"/>
          <w:highlight w:val="none"/>
        </w:rPr>
        <w:t>陕豫特高压直流工程报价中的</w:t>
      </w:r>
      <w:r>
        <w:rPr>
          <w:rFonts w:hint="eastAsia" w:asciiTheme="minorEastAsia" w:hAnsiTheme="minorEastAsia" w:eastAsiaTheme="minorEastAsia" w:cstheme="minorEastAsia"/>
          <w:szCs w:val="21"/>
          <w:highlight w:val="none"/>
        </w:rPr>
        <w:t>安全生产费、文明施工及环保费</w:t>
      </w:r>
      <w:r>
        <w:rPr>
          <w:rFonts w:hint="eastAsia" w:asciiTheme="minorEastAsia" w:hAnsiTheme="minorEastAsia" w:eastAsiaTheme="minorEastAsia" w:cstheme="minorEastAsia"/>
          <w:szCs w:val="21"/>
          <w:highlight w:val="none"/>
        </w:rPr>
        <w:t>按不低于国家能源局发布的《电网工程建设预算编制与计算规定》(2025年版)费率执行，其中榆溪站及汴梁站建筑工程安全生产费费率11.09%，建筑工程文明施工及环保费费率2.11%；安装工程安全生产费费率13.74%，安装工程文明施工及环保费费率2.83%。临时设施费取费标准按不低于国家能源局发布的《电网工程建设预算编制与计算规定》(2025年版)费率执行，其中榆溪站临时设施费率建筑工程7.22%、安装工程6.71%，汴梁站临时设施费率建筑工程5.15%、安装工程5.34%。</w:t>
      </w:r>
    </w:p>
    <w:p>
      <w:pPr>
        <w:topLinePunct w:val="0"/>
        <w:adjustRightInd/>
        <w:snapToGrid/>
        <w:spacing w:line="240" w:lineRule="auto"/>
        <w:ind w:firstLine="403" w:firstLineChars="192"/>
        <w:rPr>
          <w:rFonts w:hint="eastAsia" w:asciiTheme="minorEastAsia" w:hAnsiTheme="minorEastAsia" w:eastAsiaTheme="minorEastAsia" w:cstheme="minorEastAsia"/>
          <w:bCs w:val="0"/>
          <w:snapToGrid/>
          <w:spacing w:val="0"/>
          <w:kern w:val="2"/>
          <w:sz w:val="21"/>
          <w:szCs w:val="21"/>
          <w:highlight w:val="none"/>
          <w:lang w:val="en-US" w:eastAsia="zh-CN"/>
        </w:rPr>
      </w:pPr>
      <w:r>
        <w:rPr>
          <w:rFonts w:hint="eastAsia" w:asciiTheme="minorEastAsia" w:hAnsiTheme="minorEastAsia" w:eastAsiaTheme="minorEastAsia" w:cstheme="minorEastAsia"/>
          <w:bCs w:val="0"/>
          <w:snapToGrid/>
          <w:spacing w:val="0"/>
          <w:kern w:val="2"/>
          <w:sz w:val="21"/>
          <w:szCs w:val="21"/>
          <w:highlight w:val="none"/>
          <w:lang w:val="en-US" w:eastAsia="zh-CN"/>
        </w:rPr>
        <w:t>鲁苏换流站工程报价中的安全生产费、文明施工及环保费按不低于国家能源局发布的《电网工程建设预算编制与计算规定》(2025年版)费率执行，其中建筑工程安全生产费费率10.58%，建筑工程文明施工及环保费费率2.06%；安装工程安全生产费费率13.41%，安装工程文明施工及环保费费率2.51%。临时设施费取费标准按不低于国家能源局发布的《电网工程建设预算编制与计算规定》(2025年版)费率执行，其中建筑工程费率5.15%，安装工程费率5.34%。</w:t>
      </w:r>
    </w:p>
    <w:p>
      <w:pPr>
        <w:topLinePunct w:val="0"/>
        <w:adjustRightInd/>
        <w:snapToGrid/>
        <w:spacing w:line="240" w:lineRule="auto"/>
        <w:ind w:firstLine="403" w:firstLineChars="192"/>
        <w:rPr>
          <w:rFonts w:hint="eastAsia" w:asciiTheme="minorEastAsia" w:hAnsiTheme="minorEastAsia" w:eastAsiaTheme="minorEastAsia" w:cstheme="minorEastAsia"/>
          <w:bCs w:val="0"/>
          <w:snapToGrid/>
          <w:spacing w:val="0"/>
          <w:kern w:val="2"/>
          <w:sz w:val="21"/>
          <w:szCs w:val="21"/>
          <w:highlight w:val="none"/>
          <w:lang w:val="en-US" w:eastAsia="zh-CN"/>
        </w:rPr>
      </w:pPr>
      <w:r>
        <w:rPr>
          <w:rFonts w:hint="eastAsia" w:asciiTheme="minorEastAsia" w:hAnsiTheme="minorEastAsia" w:eastAsiaTheme="minorEastAsia" w:cstheme="minorEastAsia"/>
          <w:bCs w:val="0"/>
          <w:snapToGrid/>
          <w:spacing w:val="0"/>
          <w:kern w:val="2"/>
          <w:sz w:val="21"/>
          <w:szCs w:val="21"/>
          <w:highlight w:val="none"/>
          <w:lang w:val="en-US" w:eastAsia="zh-CN"/>
        </w:rPr>
        <w:t>芜湖GIL管廊</w:t>
      </w:r>
      <w:r>
        <w:rPr>
          <w:rFonts w:hint="eastAsia" w:asciiTheme="minorEastAsia" w:hAnsiTheme="minorEastAsia" w:eastAsiaTheme="minorEastAsia" w:cstheme="minorEastAsia"/>
          <w:szCs w:val="21"/>
          <w:highlight w:val="none"/>
        </w:rPr>
        <w:t>工程报价中的</w:t>
      </w:r>
      <w:r>
        <w:rPr>
          <w:rFonts w:hint="eastAsia" w:asciiTheme="minorEastAsia" w:hAnsiTheme="minorEastAsia" w:eastAsiaTheme="minorEastAsia" w:cstheme="minorEastAsia"/>
          <w:bCs w:val="0"/>
          <w:snapToGrid/>
          <w:spacing w:val="0"/>
          <w:kern w:val="2"/>
          <w:sz w:val="21"/>
          <w:szCs w:val="21"/>
          <w:highlight w:val="none"/>
          <w:lang w:val="en-US" w:eastAsia="zh-CN"/>
        </w:rPr>
        <w:t>安全生产费、文明施工及环保费按不低于国家能源局发布的《电网工程建设预算编制与计算规定》（2025年版）费率执行，其中建筑工程安全生产费费率13.13%，建筑工程文明施工及环保费费率2.31%；安装工程安全生产费费率10.86%，安装工程文明施工及环保费费率2.19%。临时设施费按不低于国家能源局发布的《电网工程建设预算编制与计算规定》（2025年版）费率执行，其中建筑工程费率4.46%，安装工程费率4.39%。</w:t>
      </w:r>
    </w:p>
    <w:bookmarkEnd w:id="39"/>
    <w:bookmarkEnd w:id="40"/>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2.3　投标报价方式</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 分部分项工程量清单（清单表-2）</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（1）投标人必须按照招标资料中列出的工程量清单项目和工程量进行报价，不允许投标人擅自改变项目或工程量（包括漏项、增项），否则招标人将有权视为未响应招标文件。</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（2）投标人提供的报价文件中，应按照招标工程量清单中列明项目的顺序依次提出相应报价资料。</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3）除招标资料或工程承包合同中另有约定外，投标人根据分部分项工程量清单项目提出的投标综合单价应包括所需人工费、施工机械使用费、材料费、各项编制基准期价差调整、措施费、规费、管理费、利润、增值税以及其他（包括应由承包人承担的材料及设备运杂费、质检费、安装费、缺陷修复费以及合同明示或暗示的风险、责任和义务等）。</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（4）</w:t>
      </w:r>
      <w:r>
        <w:rPr>
          <w:rFonts w:hint="eastAsia" w:asciiTheme="minorEastAsia" w:hAnsiTheme="minorEastAsia" w:eastAsiaTheme="minorEastAsia" w:cstheme="minorEastAsia"/>
          <w:szCs w:val="21"/>
          <w:highlight w:val="none"/>
        </w:rPr>
        <w:t>投标人报送的各项全费用综合单价中，所含的</w:t>
      </w:r>
      <w:r>
        <w:rPr>
          <w:rFonts w:hint="eastAsia" w:asciiTheme="minorEastAsia" w:hAnsiTheme="minorEastAsia" w:eastAsiaTheme="minorEastAsia" w:cstheme="minorEastAsia"/>
          <w:bCs w:val="0"/>
          <w:snapToGrid/>
          <w:spacing w:val="0"/>
          <w:kern w:val="2"/>
          <w:sz w:val="21"/>
          <w:szCs w:val="21"/>
          <w:highlight w:val="none"/>
          <w:lang w:val="en-US" w:eastAsia="zh-CN"/>
        </w:rPr>
        <w:t>安全生产费、文明施工及环保费</w:t>
      </w:r>
      <w:r>
        <w:rPr>
          <w:rFonts w:hint="eastAsia" w:asciiTheme="minorEastAsia" w:hAnsiTheme="minorEastAsia" w:eastAsiaTheme="minorEastAsia" w:cstheme="minorEastAsia"/>
          <w:szCs w:val="21"/>
          <w:highlight w:val="none"/>
        </w:rPr>
        <w:t>、临时设施费等费用项目报价水平不得低于国家或省级、电力行业现行计价规定中提出的计价水平，否则招标人将有权视为未响应招标文件。</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 措施项目清单（清单表-3）</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措施项目清单（清单表-3）中列出的措施项目，均为发包人根据工程建设实际情况提出的采用全费用综合单价承包形式招标的措施项目，投标人报价时可参考上述分部分项工程量清单项目的报价要求执行。</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投标人不得在措施项目清单报价表中自行增项，并进行报价，如投标人确在措施项目清单报价表中自行增项并报送综合单价的，发包人有权认为投标人自行增项提出的施工措施所需费用含在其他清单项报价中，结算时不予单独考虑此处增项措施项目的结算价。</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如投标人根据自身经验，提出需增加其他施工措施等项目，并需单独报价的，应在其他项目清单的最尾处，自行增项，说明需增加采用的施工措施等项目名称，并按照总价包干（即采用单位为“项”，工程量为“1”）的方式进行报价，汇入最终总报价中。</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3. 其他项目清单（清单表-4）</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对于其他项目清单（清单表-4）中列出的暂列金额以及专业工程暂估价项目，投标人应严格按照招标清单中给定项目及金额列入报价文件其他项目清单计价表（投标报价表-8）中，且该项金额不允许采用投标致函等方式进行调整。</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对于材料、工程设备暂估单价表（清单表-4.2）中列出的材料、工程设备暂估单价，投标人应按其中材料暂估单价作为分部分项工程量清单中相应项目的计价依据，相关报价费用应计入报价文件分部分项工程量清单计价表（投标报价表-4）各相关清单项目全费用综合单价中，在其他项目清单计价表（投标报价表-8）中无需体现使用材料暂估单价计价项目的报价总额。工程竣工结算时，按照2021版清单计价规范的规定调整合同价款。</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4. 投标人采购材料及设备表（清单表-5）</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本清单表中列出了由投标人负责采购供应的设备性质清单项目。此部分设备性质清单项目对应的设备采购与运输保管等投标报价费用均应计入报价文件投标人采购设备计价表（投标报价表-6）中。分部分项工程量清单（清单表-2）中列出与本表设备清单项目名称相同的对应项时，相关设备安装调试费用应计入报价文件分部分项工程量清单计价表（投标报价表-4），按照报送设备安装调试综合单价的方式体现，在投标人采购设备计价表（投标报价表-6）中不再重复包含设备安装调试费用。</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如在本清单表中列出了由投标人负责采购供应的材料性质的清单项目，则此部分内容仅供投标人参考，所列材料性质项目名称、内容、数量如与分部分项工程量清单（清单表-2）中所列项目名称、内容、数量等不一致的，均以分部分项工程量清单为准。在报价文件中无需提供此部分材料性质项目的单独报价。</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5. 招标人采购材料及设备表（清单表-6）</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（1）本清单表中一般只需列出招标人采购的材料（甲供材料）项目，属招标人采购的设备性质项目，一般在分部分项清单（清单表-2）相应清单项的备注栏中予以说明，本清单表中可不另行开列。</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本清单表中列出了由招标人（发包人）负责采购供应的主要装置性材料等项目，除工程量清单或其他招标文件中另有说明外，本表项目均由投标人（承包人）负责现场保管及安装。本清单表中列出的各项目单价供投标人在提出投标报价时参考，投标人在计取相关各项费用后，应在对应清单项所报送的全费用综合单价（承包人自得费用综合单价）及投标报价总额中予以扣除。</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3）在本清单表中列出的由招标人负责采购供应的各项目，其内容仅供投标人参考，所列材料性质项目的名称、内容、数量如与分部分项工程量清单（清单表-2）中所列项目的名称、内容、数量等不一致的，投标人应以分部分项工程量清单给定工程量为基础，自行测算所报送的全费用综合单价（承包人自得费用综合单价）。</w:t>
      </w:r>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6、除招标文件中已经给出规定格式的表格应按要求填写外，其他报价文件的表格格式由投标人参考电力行业现行计价规定与2021版清单计价规范的内容自行确定。</w:t>
      </w:r>
    </w:p>
    <w:p>
      <w:pPr>
        <w:topLinePunct w:val="0"/>
        <w:ind w:firstLine="403" w:firstLineChars="192"/>
        <w:rPr>
          <w:rFonts w:asciiTheme="minorEastAsia" w:hAnsiTheme="minorEastAsia" w:eastAsiaTheme="minorEastAsia" w:cstheme="minorEastAsia"/>
          <w:szCs w:val="21"/>
          <w:highlight w:val="none"/>
        </w:rPr>
      </w:pPr>
      <w:bookmarkStart w:id="41" w:name="_Toc389718405"/>
      <w:bookmarkStart w:id="42" w:name="_Toc390063338"/>
      <w:bookmarkStart w:id="43" w:name="_Toc389216534"/>
      <w:bookmarkStart w:id="44" w:name="_Toc224532569"/>
      <w:bookmarkStart w:id="45" w:name="_Toc387167883"/>
      <w:bookmarkStart w:id="46" w:name="_Toc385787551"/>
      <w:bookmarkStart w:id="47" w:name="_Toc385609841"/>
      <w:bookmarkStart w:id="48" w:name="_Toc263169389"/>
      <w:bookmarkStart w:id="49" w:name="_Toc385586298"/>
      <w:bookmarkStart w:id="50" w:name="_Toc386615166"/>
      <w:bookmarkStart w:id="51" w:name="_Toc385584576"/>
      <w:bookmarkStart w:id="52" w:name="_Toc223949732"/>
      <w:bookmarkStart w:id="53" w:name="_Toc386987450"/>
      <w:bookmarkStart w:id="54" w:name="_Toc386559390"/>
      <w:bookmarkStart w:id="55" w:name="_Toc385783806"/>
      <w:bookmarkStart w:id="56" w:name="_Toc433526771"/>
      <w:r>
        <w:rPr>
          <w:rFonts w:hint="eastAsia" w:asciiTheme="minorEastAsia" w:hAnsiTheme="minorEastAsia" w:eastAsiaTheme="minorEastAsia" w:cstheme="minorEastAsia"/>
          <w:szCs w:val="21"/>
          <w:highlight w:val="none"/>
        </w:rPr>
        <w:t>3　工程量清单</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Pr>
          <w:rFonts w:hint="eastAsia" w:asciiTheme="minorEastAsia" w:hAnsiTheme="minorEastAsia" w:eastAsiaTheme="minorEastAsia" w:cstheme="minorEastAsia"/>
          <w:szCs w:val="21"/>
          <w:highlight w:val="none"/>
        </w:rPr>
        <w:t>及投标报价表</w:t>
      </w:r>
      <w:bookmarkEnd w:id="56"/>
    </w:p>
    <w:p>
      <w:pPr>
        <w:topLinePunct w:val="0"/>
        <w:ind w:firstLine="403" w:firstLineChars="192"/>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工程量清单及投标报价表格式原则上应执行国家能源局批准的2021 版《电力建设工程工程量清单计算规范变电工程》（简称：2021 版清单计算规范）中给定的相关表格格式要求。</w:t>
      </w:r>
    </w:p>
    <w:p>
      <w:pPr>
        <w:topLinePunct w:val="0"/>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投标人需在投标编制说明或在投标报价汇总表中明确</w:t>
      </w:r>
      <w:r>
        <w:rPr>
          <w:rFonts w:hint="eastAsia" w:asciiTheme="minorEastAsia" w:hAnsiTheme="minorEastAsia" w:eastAsiaTheme="minorEastAsia" w:cstheme="minorEastAsia"/>
          <w:bCs w:val="0"/>
          <w:snapToGrid/>
          <w:spacing w:val="0"/>
          <w:kern w:val="2"/>
          <w:sz w:val="21"/>
          <w:szCs w:val="21"/>
          <w:highlight w:val="none"/>
          <w:lang w:val="en-US" w:eastAsia="zh-CN"/>
        </w:rPr>
        <w:t>安全生产费、文明施工及环保费</w:t>
      </w:r>
      <w:r>
        <w:rPr>
          <w:rFonts w:hint="eastAsia" w:asciiTheme="minorEastAsia" w:hAnsiTheme="minorEastAsia" w:eastAsiaTheme="minorEastAsia" w:cstheme="minorEastAsia"/>
          <w:szCs w:val="21"/>
          <w:highlight w:val="none"/>
        </w:rPr>
        <w:t>、临时设施费费率。</w:t>
      </w:r>
    </w:p>
    <w:p>
      <w:pPr>
        <w:rPr>
          <w:highlight w:val="none"/>
        </w:rPr>
      </w:pPr>
      <w:r>
        <w:rPr>
          <w:rFonts w:hint="eastAsia"/>
          <w:highlight w:val="none"/>
        </w:rPr>
        <w:t>附表1：工程量清单</w:t>
      </w:r>
    </w:p>
    <w:p>
      <w:pPr>
        <w:topLinePunct w:val="0"/>
        <w:ind w:firstLine="537" w:firstLineChars="192"/>
        <w:jc w:val="left"/>
        <w:rPr>
          <w:rFonts w:ascii="Arial" w:hAnsi="Arial" w:eastAsia="黑体"/>
          <w:highlight w:val="none"/>
        </w:rPr>
      </w:pPr>
      <w:r>
        <w:rPr>
          <w:rFonts w:hint="eastAsia" w:ascii="方正仿宋_GBK" w:hAnsi="仿宋" w:eastAsia="方正仿宋_GBK"/>
          <w:sz w:val="28"/>
          <w:highlight w:val="none"/>
        </w:rPr>
        <w:br w:type="page"/>
      </w:r>
      <w:r>
        <w:rPr>
          <w:rFonts w:hint="eastAsia" w:ascii="Arial" w:hAnsi="Arial" w:eastAsia="黑体"/>
          <w:highlight w:val="none"/>
        </w:rPr>
        <w:t>附表1：</w:t>
      </w:r>
    </w:p>
    <w:p>
      <w:pPr>
        <w:spacing w:line="360" w:lineRule="exact"/>
        <w:ind w:leftChars="-10" w:hanging="21" w:hangingChars="10"/>
        <w:jc w:val="center"/>
        <w:rPr>
          <w:rFonts w:ascii="Arial" w:hAnsi="Arial"/>
          <w:b/>
          <w:highlight w:val="none"/>
        </w:rPr>
      </w:pPr>
      <w:r>
        <w:rPr>
          <w:rFonts w:hint="eastAsia" w:ascii="Arial" w:hAnsi="Arial"/>
          <w:b/>
          <w:highlight w:val="none"/>
        </w:rPr>
        <w:t>工程量清单</w:t>
      </w:r>
    </w:p>
    <w:p>
      <w:pPr>
        <w:spacing w:line="360" w:lineRule="exact"/>
        <w:ind w:leftChars="-10" w:hanging="21" w:hangingChars="10"/>
        <w:jc w:val="center"/>
        <w:rPr>
          <w:rFonts w:ascii="Arial" w:hAnsi="Arial"/>
          <w:b/>
          <w:highlight w:val="none"/>
        </w:rPr>
      </w:pPr>
      <w:r>
        <w:rPr>
          <w:rFonts w:hint="eastAsia" w:ascii="Arial" w:hAnsi="Arial"/>
          <w:b/>
          <w:highlight w:val="none"/>
        </w:rPr>
        <w:t>（另附）</w:t>
      </w: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bookmarkEnd w:id="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2F7"/>
    <w:rsid w:val="0003670F"/>
    <w:rsid w:val="000740A9"/>
    <w:rsid w:val="000803D1"/>
    <w:rsid w:val="00187B07"/>
    <w:rsid w:val="001952F7"/>
    <w:rsid w:val="001A5686"/>
    <w:rsid w:val="00235B9D"/>
    <w:rsid w:val="00285E03"/>
    <w:rsid w:val="002C1BF5"/>
    <w:rsid w:val="00403985"/>
    <w:rsid w:val="00410778"/>
    <w:rsid w:val="00497759"/>
    <w:rsid w:val="004D40E4"/>
    <w:rsid w:val="0057775C"/>
    <w:rsid w:val="005D60CB"/>
    <w:rsid w:val="006D7BE1"/>
    <w:rsid w:val="00710BE2"/>
    <w:rsid w:val="00762D0F"/>
    <w:rsid w:val="00814D66"/>
    <w:rsid w:val="0082512D"/>
    <w:rsid w:val="008E2EEF"/>
    <w:rsid w:val="009B164C"/>
    <w:rsid w:val="009F28DF"/>
    <w:rsid w:val="00C60DC8"/>
    <w:rsid w:val="00D929D9"/>
    <w:rsid w:val="00F00C52"/>
    <w:rsid w:val="00F00DEE"/>
    <w:rsid w:val="06BB721E"/>
    <w:rsid w:val="06D7534B"/>
    <w:rsid w:val="087F2EE7"/>
    <w:rsid w:val="0AA1103C"/>
    <w:rsid w:val="104101F9"/>
    <w:rsid w:val="19B439F6"/>
    <w:rsid w:val="19BD2C74"/>
    <w:rsid w:val="1B1A04AC"/>
    <w:rsid w:val="268C1DA2"/>
    <w:rsid w:val="2A165B42"/>
    <w:rsid w:val="2E0C3139"/>
    <w:rsid w:val="31F37E2E"/>
    <w:rsid w:val="32FE1A5C"/>
    <w:rsid w:val="36E83689"/>
    <w:rsid w:val="389C2E45"/>
    <w:rsid w:val="3956631D"/>
    <w:rsid w:val="3C243C21"/>
    <w:rsid w:val="3D42067E"/>
    <w:rsid w:val="4386221F"/>
    <w:rsid w:val="481C37A6"/>
    <w:rsid w:val="54997D7F"/>
    <w:rsid w:val="56745C36"/>
    <w:rsid w:val="585442E3"/>
    <w:rsid w:val="5E1E4725"/>
    <w:rsid w:val="6D3B1757"/>
    <w:rsid w:val="6F9B741C"/>
    <w:rsid w:val="714A172B"/>
    <w:rsid w:val="74AA37A0"/>
    <w:rsid w:val="77FF81B5"/>
    <w:rsid w:val="788543C8"/>
    <w:rsid w:val="7FCA47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topLinePunct/>
      <w:jc w:val="both"/>
    </w:pPr>
    <w:rPr>
      <w:rFonts w:ascii="Times New Roman" w:hAnsi="Times New Roman" w:eastAsia="宋体" w:cs="Times New Roman"/>
      <w:kern w:val="2"/>
      <w:sz w:val="21"/>
      <w:lang w:val="en-US" w:eastAsia="zh-CN" w:bidi="ar-SA"/>
    </w:rPr>
  </w:style>
  <w:style w:type="paragraph" w:styleId="3">
    <w:name w:val="heading 1"/>
    <w:basedOn w:val="1"/>
    <w:next w:val="1"/>
    <w:link w:val="12"/>
    <w:qFormat/>
    <w:uiPriority w:val="0"/>
    <w:pPr>
      <w:keepNext/>
      <w:keepLines/>
      <w:snapToGrid w:val="0"/>
      <w:spacing w:line="360" w:lineRule="auto"/>
      <w:jc w:val="center"/>
      <w:outlineLvl w:val="0"/>
    </w:pPr>
    <w:rPr>
      <w:rFonts w:eastAsia="黑体"/>
      <w:kern w:val="44"/>
      <w:sz w:val="32"/>
    </w:rPr>
  </w:style>
  <w:style w:type="paragraph" w:styleId="4">
    <w:name w:val="heading 2"/>
    <w:basedOn w:val="1"/>
    <w:next w:val="1"/>
    <w:link w:val="13"/>
    <w:qFormat/>
    <w:uiPriority w:val="0"/>
    <w:pPr>
      <w:keepNext/>
      <w:keepLines/>
      <w:adjustRightInd w:val="0"/>
      <w:snapToGrid w:val="0"/>
      <w:spacing w:beforeLines="80" w:afterLines="80"/>
      <w:jc w:val="left"/>
      <w:outlineLvl w:val="1"/>
    </w:pPr>
    <w:rPr>
      <w:rFonts w:ascii="Arial" w:hAnsi="Arial" w:eastAsia="黑体"/>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topLinePunct w:val="0"/>
      <w:snapToGrid w:val="0"/>
      <w:jc w:val="left"/>
    </w:pPr>
    <w:rPr>
      <w:rFonts w:asciiTheme="minorHAnsi" w:hAnsiTheme="minorHAnsi" w:eastAsiaTheme="minorEastAsia" w:cstheme="minorBidi"/>
      <w:sz w:val="18"/>
      <w:szCs w:val="18"/>
    </w:rPr>
  </w:style>
  <w:style w:type="paragraph" w:styleId="5">
    <w:name w:val="annotation text"/>
    <w:basedOn w:val="1"/>
    <w:semiHidden/>
    <w:unhideWhenUsed/>
    <w:qFormat/>
    <w:uiPriority w:val="99"/>
    <w:pPr>
      <w:jc w:val="left"/>
    </w:pPr>
  </w:style>
  <w:style w:type="paragraph" w:styleId="6">
    <w:name w:val="Balloon Text"/>
    <w:basedOn w:val="1"/>
    <w:link w:val="14"/>
    <w:semiHidden/>
    <w:unhideWhenUsed/>
    <w:qFormat/>
    <w:uiPriority w:val="99"/>
    <w:rPr>
      <w:sz w:val="18"/>
      <w:szCs w:val="18"/>
    </w:rPr>
  </w:style>
  <w:style w:type="paragraph" w:styleId="7">
    <w:name w:val="header"/>
    <w:basedOn w:val="1"/>
    <w:link w:val="10"/>
    <w:unhideWhenUsed/>
    <w:qFormat/>
    <w:uiPriority w:val="99"/>
    <w:pPr>
      <w:pBdr>
        <w:bottom w:val="single" w:color="auto" w:sz="6" w:space="1"/>
      </w:pBdr>
      <w:tabs>
        <w:tab w:val="center" w:pos="4153"/>
        <w:tab w:val="right" w:pos="8306"/>
      </w:tabs>
      <w:topLinePunct w:val="0"/>
      <w:snapToGrid w:val="0"/>
      <w:jc w:val="center"/>
    </w:pPr>
    <w:rPr>
      <w:rFonts w:asciiTheme="minorHAnsi" w:hAnsiTheme="minorHAnsi" w:eastAsiaTheme="minorEastAsia" w:cstheme="minorBidi"/>
      <w:sz w:val="18"/>
      <w:szCs w:val="18"/>
    </w:rPr>
  </w:style>
  <w:style w:type="character" w:customStyle="1" w:styleId="10">
    <w:name w:val="页眉 Char"/>
    <w:basedOn w:val="9"/>
    <w:link w:val="7"/>
    <w:qFormat/>
    <w:uiPriority w:val="99"/>
    <w:rPr>
      <w:sz w:val="18"/>
      <w:szCs w:val="18"/>
    </w:rPr>
  </w:style>
  <w:style w:type="character" w:customStyle="1" w:styleId="11">
    <w:name w:val="页脚 Char"/>
    <w:basedOn w:val="9"/>
    <w:link w:val="2"/>
    <w:qFormat/>
    <w:uiPriority w:val="99"/>
    <w:rPr>
      <w:sz w:val="18"/>
      <w:szCs w:val="18"/>
    </w:rPr>
  </w:style>
  <w:style w:type="character" w:customStyle="1" w:styleId="12">
    <w:name w:val="标题 1 Char"/>
    <w:basedOn w:val="9"/>
    <w:link w:val="3"/>
    <w:qFormat/>
    <w:uiPriority w:val="0"/>
    <w:rPr>
      <w:rFonts w:ascii="Times New Roman" w:hAnsi="Times New Roman" w:eastAsia="黑体" w:cs="Times New Roman"/>
      <w:kern w:val="44"/>
      <w:sz w:val="32"/>
      <w:szCs w:val="20"/>
    </w:rPr>
  </w:style>
  <w:style w:type="character" w:customStyle="1" w:styleId="13">
    <w:name w:val="标题 2 Char"/>
    <w:basedOn w:val="9"/>
    <w:link w:val="4"/>
    <w:qFormat/>
    <w:uiPriority w:val="0"/>
    <w:rPr>
      <w:rFonts w:ascii="Arial" w:hAnsi="Arial" w:eastAsia="黑体" w:cs="Times New Roman"/>
      <w:szCs w:val="20"/>
    </w:rPr>
  </w:style>
  <w:style w:type="character" w:customStyle="1" w:styleId="14">
    <w:name w:val="批注框文本 Char"/>
    <w:basedOn w:val="9"/>
    <w:link w:val="6"/>
    <w:semiHidden/>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3634</Words>
  <Characters>3798</Characters>
  <Lines>71</Lines>
  <Paragraphs>43</Paragraphs>
  <TotalTime>4</TotalTime>
  <ScaleCrop>false</ScaleCrop>
  <LinksUpToDate>false</LinksUpToDate>
  <CharactersWithSpaces>3816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2018-11-27T21:34:00Z</dcterms:created>
  <dc:creator>lenovo</dc:creator>
  <cp:lastModifiedBy>hucy</cp:lastModifiedBy>
  <dcterms:modified xsi:type="dcterms:W3CDTF">2026-08-21T09:05:40Z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376B025098F64098B844C8835AB11EB4</vt:lpwstr>
  </property>
  <property fmtid="{D5CDD505-2E9C-101B-9397-08002B2CF9AE}" pid="4" name="KSOTemplateDocerSaveRecord">
    <vt:lpwstr>eyJoZGlkIjoiYjFjNmJiYWZlODU1YTcxYWNhMjIyMzlmMDUxZDcxZjciLCJ1c2VySWQiOiIxNTcwNzM3MjIyIn0=</vt:lpwstr>
  </property>
</Properties>
</file>