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8"/>
        <w:jc w:val="right"/>
        <w:rPr>
          <w:rFonts w:ascii="方正小标宋_GBK" w:eastAsia="方正小标宋_GBK"/>
          <w:color w:val="auto"/>
          <w:sz w:val="30"/>
          <w:szCs w:val="30"/>
          <w:highlight w:val="none"/>
        </w:rPr>
      </w:pPr>
      <w:r>
        <w:rPr>
          <w:rFonts w:hint="eastAsia" w:ascii="方正小标宋_GBK" w:eastAsia="方正小标宋_GBK"/>
          <w:color w:val="auto"/>
          <w:sz w:val="30"/>
          <w:szCs w:val="30"/>
          <w:highlight w:val="none"/>
          <w:lang w:val="en-US" w:eastAsia="zh-CN"/>
        </w:rPr>
        <w:t>招标</w:t>
      </w:r>
      <w:r>
        <w:rPr>
          <w:rFonts w:hint="eastAsia" w:ascii="方正小标宋_GBK" w:eastAsia="方正小标宋_GBK"/>
          <w:color w:val="auto"/>
          <w:sz w:val="30"/>
          <w:szCs w:val="30"/>
          <w:highlight w:val="none"/>
        </w:rPr>
        <w:t>编号：</w:t>
      </w:r>
      <w:r>
        <w:rPr>
          <w:rFonts w:hint="eastAsia" w:ascii="方正小标宋_GBK" w:eastAsia="方正小标宋_GBK"/>
          <w:color w:val="auto"/>
          <w:sz w:val="30"/>
          <w:szCs w:val="30"/>
          <w:highlight w:val="none"/>
          <w:lang w:val="en-US" w:eastAsia="zh-CN"/>
        </w:rPr>
        <w:t>0711-26OTL11013056</w:t>
      </w:r>
    </w:p>
    <w:p>
      <w:pPr>
        <w:spacing w:line="360" w:lineRule="auto"/>
        <w:ind w:right="-58"/>
        <w:jc w:val="right"/>
        <w:rPr>
          <w:rFonts w:ascii="方正小标宋_GBK" w:eastAsia="方正小标宋_GBK"/>
          <w:color w:val="auto"/>
          <w:sz w:val="30"/>
          <w:szCs w:val="30"/>
          <w:highlight w:val="none"/>
        </w:rPr>
      </w:pPr>
    </w:p>
    <w:p>
      <w:pPr>
        <w:spacing w:line="360" w:lineRule="auto"/>
        <w:ind w:right="-58"/>
        <w:jc w:val="right"/>
        <w:rPr>
          <w:rFonts w:ascii="方正小标宋_GBK" w:eastAsia="方正小标宋_GBK"/>
          <w:color w:val="auto"/>
          <w:sz w:val="30"/>
          <w:szCs w:val="30"/>
          <w:highlight w:val="none"/>
        </w:rPr>
      </w:pPr>
    </w:p>
    <w:p>
      <w:pPr>
        <w:snapToGrid w:val="0"/>
        <w:spacing w:line="800" w:lineRule="exact"/>
        <w:jc w:val="center"/>
        <w:rPr>
          <w:rFonts w:hint="eastAsia" w:ascii="方正小标宋_GBK" w:eastAsia="方正小标宋_GBK"/>
          <w:b/>
          <w:color w:val="auto"/>
          <w:sz w:val="44"/>
          <w:szCs w:val="44"/>
          <w:highlight w:val="none"/>
        </w:rPr>
      </w:pPr>
      <w:r>
        <w:rPr>
          <w:rFonts w:hint="eastAsia" w:ascii="方正小标宋_GBK" w:eastAsia="方正小标宋_GBK"/>
          <w:b/>
          <w:color w:val="auto"/>
          <w:sz w:val="44"/>
          <w:szCs w:val="44"/>
          <w:highlight w:val="none"/>
        </w:rPr>
        <w:t>国家电网有限公司2026年特高压项目第四次服务公开招标采购</w:t>
      </w:r>
    </w:p>
    <w:p>
      <w:pPr>
        <w:snapToGrid w:val="0"/>
        <w:spacing w:line="800" w:lineRule="exact"/>
        <w:jc w:val="center"/>
        <w:rPr>
          <w:rFonts w:ascii="方正小标宋_GBK" w:eastAsia="方正小标宋_GBK"/>
          <w:b/>
          <w:color w:val="auto"/>
          <w:sz w:val="44"/>
          <w:szCs w:val="44"/>
          <w:highlight w:val="none"/>
        </w:rPr>
      </w:pPr>
      <w:r>
        <w:rPr>
          <w:rFonts w:hint="eastAsia" w:ascii="方正小标宋_GBK" w:eastAsia="方正小标宋_GBK"/>
          <w:b/>
          <w:color w:val="auto"/>
          <w:sz w:val="44"/>
          <w:szCs w:val="44"/>
          <w:highlight w:val="none"/>
        </w:rPr>
        <w:t>服务公开招标文件</w:t>
      </w:r>
    </w:p>
    <w:p>
      <w:pPr>
        <w:snapToGrid w:val="0"/>
        <w:spacing w:line="700" w:lineRule="exact"/>
        <w:jc w:val="center"/>
        <w:rPr>
          <w:rFonts w:ascii="方正小标宋_GBK" w:eastAsia="方正小标宋_GBK"/>
          <w:b/>
          <w:color w:val="auto"/>
          <w:sz w:val="44"/>
          <w:szCs w:val="44"/>
          <w:highlight w:val="none"/>
        </w:rPr>
      </w:pPr>
    </w:p>
    <w:p>
      <w:pPr>
        <w:snapToGrid w:val="0"/>
        <w:spacing w:line="700" w:lineRule="exact"/>
        <w:jc w:val="center"/>
        <w:rPr>
          <w:rFonts w:ascii="方正小标宋_GBK" w:eastAsia="方正小标宋_GBK"/>
          <w:b/>
          <w:color w:val="auto"/>
          <w:sz w:val="44"/>
          <w:szCs w:val="44"/>
          <w:highlight w:val="none"/>
        </w:rPr>
      </w:pPr>
    </w:p>
    <w:p>
      <w:pPr>
        <w:snapToGrid w:val="0"/>
        <w:spacing w:line="700" w:lineRule="exact"/>
        <w:jc w:val="center"/>
        <w:rPr>
          <w:rFonts w:hint="eastAsia" w:ascii="方正小标宋_GBK" w:eastAsia="方正小标宋_GBK"/>
          <w:b/>
          <w:color w:val="auto"/>
          <w:sz w:val="32"/>
          <w:szCs w:val="32"/>
          <w:highlight w:val="none"/>
          <w:lang w:eastAsia="zh-CN"/>
        </w:rPr>
      </w:pPr>
      <w:r>
        <w:rPr>
          <w:rFonts w:hint="eastAsia" w:ascii="方正小标宋_GBK" w:eastAsia="方正小标宋_GBK"/>
          <w:b/>
          <w:color w:val="auto"/>
          <w:sz w:val="32"/>
          <w:szCs w:val="32"/>
          <w:highlight w:val="none"/>
          <w:lang w:val="en-US" w:eastAsia="zh-CN"/>
        </w:rPr>
        <w:t>监理类分标：</w:t>
      </w:r>
      <w:r>
        <w:rPr>
          <w:rFonts w:hint="eastAsia" w:ascii="方正小标宋_GBK" w:eastAsia="方正小标宋_GBK" w:cs="Times New Roman"/>
          <w:b w:val="0"/>
          <w:bCs/>
          <w:color w:val="auto"/>
          <w:sz w:val="32"/>
          <w:szCs w:val="32"/>
          <w:highlight w:val="none"/>
          <w:lang w:val="en-US" w:eastAsia="zh-CN"/>
        </w:rPr>
        <w:t>变电站监理、</w:t>
      </w:r>
      <w:r>
        <w:rPr>
          <w:rFonts w:hint="eastAsia" w:ascii="方正小标宋_GBK" w:eastAsia="方正小标宋_GBK"/>
          <w:b w:val="0"/>
          <w:bCs/>
          <w:color w:val="auto"/>
          <w:sz w:val="32"/>
          <w:szCs w:val="32"/>
          <w:highlight w:val="none"/>
        </w:rPr>
        <w:t>通信监理</w:t>
      </w:r>
    </w:p>
    <w:p>
      <w:pPr>
        <w:snapToGrid w:val="0"/>
        <w:spacing w:line="700" w:lineRule="exact"/>
        <w:ind w:left="0"/>
        <w:jc w:val="center"/>
        <w:rPr>
          <w:rFonts w:hint="eastAsia" w:ascii="方正小标宋_GBK" w:eastAsia="方正小标宋_GBK"/>
          <w:b w:val="0"/>
          <w:bCs/>
          <w:color w:val="auto"/>
          <w:sz w:val="32"/>
          <w:szCs w:val="32"/>
          <w:highlight w:val="none"/>
          <w:lang w:val="en-US" w:eastAsia="zh-CN"/>
        </w:rPr>
      </w:pPr>
      <w:r>
        <w:rPr>
          <w:rFonts w:hint="eastAsia" w:ascii="方正小标宋_GBK" w:eastAsia="方正小标宋_GBK"/>
          <w:b/>
          <w:color w:val="auto"/>
          <w:sz w:val="32"/>
          <w:szCs w:val="32"/>
          <w:highlight w:val="none"/>
          <w:lang w:val="en-US" w:eastAsia="zh-CN"/>
        </w:rPr>
        <w:t>其他服务类分标：</w:t>
      </w:r>
      <w:r>
        <w:rPr>
          <w:rFonts w:hint="eastAsia" w:ascii="方正小标宋_GBK" w:eastAsia="方正小标宋_GBK"/>
          <w:b w:val="0"/>
          <w:bCs/>
          <w:color w:val="auto"/>
          <w:sz w:val="32"/>
          <w:szCs w:val="32"/>
          <w:highlight w:val="none"/>
        </w:rPr>
        <w:t>结算审核</w:t>
      </w:r>
      <w:r>
        <w:rPr>
          <w:rFonts w:hint="eastAsia" w:ascii="方正小标宋_GBK" w:eastAsia="方正小标宋_GBK"/>
          <w:b w:val="0"/>
          <w:bCs/>
          <w:color w:val="auto"/>
          <w:sz w:val="32"/>
          <w:szCs w:val="32"/>
          <w:highlight w:val="none"/>
          <w:lang w:eastAsia="zh-CN"/>
        </w:rPr>
        <w:t>、</w:t>
      </w:r>
      <w:r>
        <w:rPr>
          <w:rFonts w:hint="eastAsia" w:ascii="方正小标宋_GBK" w:eastAsia="方正小标宋_GBK"/>
          <w:b w:val="0"/>
          <w:bCs/>
          <w:color w:val="auto"/>
          <w:sz w:val="32"/>
          <w:szCs w:val="32"/>
          <w:highlight w:val="none"/>
        </w:rPr>
        <w:t>设备监造</w:t>
      </w:r>
      <w:r>
        <w:rPr>
          <w:rFonts w:hint="eastAsia" w:ascii="方正小标宋_GBK" w:eastAsia="方正小标宋_GBK"/>
          <w:b w:val="0"/>
          <w:bCs/>
          <w:color w:val="auto"/>
          <w:sz w:val="32"/>
          <w:szCs w:val="32"/>
          <w:highlight w:val="none"/>
          <w:lang w:eastAsia="zh-CN"/>
        </w:rPr>
        <w:t>、</w:t>
      </w:r>
      <w:r>
        <w:rPr>
          <w:rFonts w:hint="eastAsia" w:ascii="方正小标宋_GBK" w:eastAsia="方正小标宋_GBK"/>
          <w:b w:val="0"/>
          <w:bCs/>
          <w:color w:val="auto"/>
          <w:sz w:val="32"/>
          <w:szCs w:val="32"/>
          <w:highlight w:val="none"/>
        </w:rPr>
        <w:t>系统调试</w:t>
      </w:r>
      <w:r>
        <w:rPr>
          <w:rFonts w:hint="eastAsia" w:ascii="方正小标宋_GBK" w:eastAsia="方正小标宋_GBK"/>
          <w:b w:val="0"/>
          <w:bCs/>
          <w:color w:val="auto"/>
          <w:sz w:val="32"/>
          <w:szCs w:val="32"/>
          <w:highlight w:val="none"/>
          <w:lang w:eastAsia="zh-CN"/>
        </w:rPr>
        <w:t>、</w:t>
      </w:r>
      <w:r>
        <w:rPr>
          <w:rFonts w:hint="eastAsia" w:ascii="方正小标宋_GBK" w:eastAsia="方正小标宋_GBK"/>
          <w:b w:val="0"/>
          <w:bCs/>
          <w:color w:val="auto"/>
          <w:sz w:val="32"/>
          <w:szCs w:val="32"/>
          <w:highlight w:val="none"/>
        </w:rPr>
        <w:t>科研</w:t>
      </w:r>
      <w:r>
        <w:rPr>
          <w:rFonts w:hint="eastAsia" w:ascii="方正小标宋_GBK" w:eastAsia="方正小标宋_GBK"/>
          <w:b w:val="0"/>
          <w:bCs/>
          <w:color w:val="auto"/>
          <w:sz w:val="32"/>
          <w:szCs w:val="32"/>
          <w:highlight w:val="none"/>
          <w:lang w:eastAsia="zh-CN"/>
        </w:rPr>
        <w:t>、</w:t>
      </w:r>
      <w:r>
        <w:rPr>
          <w:rFonts w:hint="eastAsia" w:ascii="方正小标宋_GBK" w:eastAsia="方正小标宋_GBK"/>
          <w:b w:val="0"/>
          <w:bCs/>
          <w:color w:val="auto"/>
          <w:sz w:val="32"/>
          <w:szCs w:val="32"/>
          <w:highlight w:val="none"/>
        </w:rPr>
        <w:t>工程保险</w:t>
      </w:r>
      <w:r>
        <w:rPr>
          <w:rFonts w:hint="eastAsia" w:ascii="方正小标宋_GBK" w:eastAsia="方正小标宋_GBK"/>
          <w:b w:val="0"/>
          <w:bCs/>
          <w:color w:val="auto"/>
          <w:sz w:val="32"/>
          <w:szCs w:val="32"/>
          <w:highlight w:val="none"/>
          <w:lang w:eastAsia="zh-CN"/>
        </w:rPr>
        <w:t>、</w:t>
      </w:r>
      <w:r>
        <w:rPr>
          <w:rFonts w:hint="eastAsia" w:ascii="方正小标宋_GBK" w:eastAsia="方正小标宋_GBK"/>
          <w:b w:val="0"/>
          <w:bCs/>
          <w:color w:val="auto"/>
          <w:sz w:val="32"/>
          <w:szCs w:val="32"/>
          <w:highlight w:val="none"/>
        </w:rPr>
        <w:t>决算审核</w:t>
      </w:r>
    </w:p>
    <w:p>
      <w:pPr>
        <w:snapToGrid w:val="0"/>
        <w:spacing w:line="360" w:lineRule="auto"/>
        <w:ind w:left="1642"/>
        <w:rPr>
          <w:rFonts w:hint="default" w:ascii="方正小标宋_GBK" w:eastAsia="方正小标宋_GBK"/>
          <w:b w:val="0"/>
          <w:bCs/>
          <w:color w:val="auto"/>
          <w:sz w:val="32"/>
          <w:szCs w:val="32"/>
          <w:highlight w:val="none"/>
          <w:lang w:val="en-US" w:eastAsia="zh-CN"/>
        </w:rPr>
      </w:pPr>
    </w:p>
    <w:p>
      <w:pPr>
        <w:pStyle w:val="17"/>
        <w:rPr>
          <w:rFonts w:hint="default" w:ascii="方正小标宋_GBK" w:eastAsia="方正小标宋_GBK"/>
          <w:b w:val="0"/>
          <w:bCs/>
          <w:color w:val="auto"/>
          <w:sz w:val="32"/>
          <w:szCs w:val="32"/>
          <w:highlight w:val="none"/>
          <w:lang w:val="en-US" w:eastAsia="zh-CN"/>
        </w:rPr>
      </w:pPr>
    </w:p>
    <w:p>
      <w:pPr>
        <w:pStyle w:val="18"/>
        <w:rPr>
          <w:rFonts w:hint="default" w:ascii="方正小标宋_GBK" w:eastAsia="方正小标宋_GBK"/>
          <w:b w:val="0"/>
          <w:bCs/>
          <w:color w:val="auto"/>
          <w:sz w:val="32"/>
          <w:szCs w:val="32"/>
          <w:highlight w:val="none"/>
          <w:lang w:val="en-US" w:eastAsia="zh-CN"/>
        </w:rPr>
      </w:pPr>
    </w:p>
    <w:p>
      <w:pPr>
        <w:rPr>
          <w:rFonts w:hint="default"/>
          <w:highlight w:val="none"/>
          <w:lang w:val="en-US" w:eastAsia="zh-CN"/>
        </w:rPr>
      </w:pPr>
    </w:p>
    <w:p>
      <w:pPr>
        <w:snapToGrid w:val="0"/>
        <w:spacing w:line="360" w:lineRule="auto"/>
        <w:ind w:left="1642"/>
        <w:rPr>
          <w:rFonts w:ascii="方正小标宋_GBK" w:eastAsia="方正小标宋_GBK"/>
          <w:b/>
          <w:color w:val="auto"/>
          <w:sz w:val="32"/>
          <w:szCs w:val="32"/>
          <w:highlight w:val="none"/>
        </w:rPr>
      </w:pPr>
    </w:p>
    <w:p>
      <w:pPr>
        <w:snapToGrid w:val="0"/>
        <w:spacing w:line="360" w:lineRule="auto"/>
        <w:ind w:left="924"/>
        <w:rPr>
          <w:rFonts w:ascii="方正小标宋_GBK" w:eastAsia="方正小标宋_GBK"/>
          <w:b/>
          <w:color w:val="auto"/>
          <w:sz w:val="18"/>
          <w:szCs w:val="32"/>
          <w:highlight w:val="none"/>
        </w:rPr>
      </w:pPr>
    </w:p>
    <w:p>
      <w:pPr>
        <w:adjustRightInd w:val="0"/>
        <w:snapToGrid w:val="0"/>
        <w:spacing w:line="360" w:lineRule="auto"/>
        <w:jc w:val="center"/>
        <w:rPr>
          <w:rFonts w:ascii="黑体" w:eastAsia="黑体"/>
          <w:color w:val="auto"/>
          <w:sz w:val="30"/>
          <w:szCs w:val="32"/>
          <w:highlight w:val="none"/>
        </w:rPr>
      </w:pPr>
      <w:r>
        <w:rPr>
          <w:rFonts w:hint="eastAsia" w:ascii="黑体" w:eastAsia="黑体"/>
          <w:color w:val="auto"/>
          <w:sz w:val="30"/>
          <w:szCs w:val="32"/>
          <w:highlight w:val="none"/>
        </w:rPr>
        <w:t>国家电网有限公司</w:t>
      </w:r>
    </w:p>
    <w:p>
      <w:pPr>
        <w:jc w:val="center"/>
        <w:rPr>
          <w:rFonts w:hint="eastAsia" w:ascii="黑体" w:eastAsia="黑体"/>
          <w:color w:val="auto"/>
          <w:sz w:val="30"/>
          <w:szCs w:val="32"/>
          <w:highlight w:val="none"/>
        </w:rPr>
      </w:pPr>
      <w:r>
        <w:rPr>
          <w:rFonts w:hint="eastAsia" w:ascii="黑体" w:eastAsia="黑体"/>
          <w:color w:val="auto"/>
          <w:sz w:val="30"/>
          <w:szCs w:val="32"/>
          <w:highlight w:val="none"/>
          <w:shd w:val="clear" w:fill="FFFFFF" w:themeFill="background1"/>
        </w:rPr>
        <w:t>二〇二</w:t>
      </w:r>
      <w:r>
        <w:rPr>
          <w:rFonts w:hint="eastAsia" w:ascii="黑体" w:eastAsia="黑体"/>
          <w:color w:val="auto"/>
          <w:sz w:val="30"/>
          <w:szCs w:val="32"/>
          <w:highlight w:val="none"/>
          <w:shd w:val="clear" w:fill="FFFFFF" w:themeFill="background1"/>
          <w:lang w:val="en-US" w:eastAsia="zh-CN"/>
        </w:rPr>
        <w:t>六</w:t>
      </w:r>
      <w:r>
        <w:rPr>
          <w:rFonts w:hint="eastAsia" w:ascii="黑体" w:eastAsia="黑体"/>
          <w:color w:val="auto"/>
          <w:sz w:val="30"/>
          <w:szCs w:val="32"/>
          <w:highlight w:val="none"/>
        </w:rPr>
        <w:t>年</w:t>
      </w:r>
    </w:p>
    <w:p>
      <w:pPr>
        <w:pStyle w:val="17"/>
        <w:rPr>
          <w:rFonts w:hint="eastAsia" w:ascii="黑体" w:eastAsia="黑体"/>
          <w:color w:val="auto"/>
          <w:sz w:val="30"/>
          <w:szCs w:val="32"/>
          <w:highlight w:val="none"/>
        </w:rPr>
      </w:pPr>
    </w:p>
    <w:p>
      <w:pPr>
        <w:tabs>
          <w:tab w:val="left" w:pos="3783"/>
          <w:tab w:val="center" w:pos="4654"/>
        </w:tabs>
        <w:adjustRightInd w:val="0"/>
        <w:snapToGrid w:val="0"/>
        <w:ind w:firstLine="0"/>
        <w:jc w:val="left"/>
        <w:outlineLvl w:val="0"/>
        <w:rPr>
          <w:rFonts w:hint="eastAsia" w:ascii="黑体" w:eastAsia="黑体"/>
          <w:b/>
          <w:color w:val="auto"/>
          <w:sz w:val="44"/>
          <w:szCs w:val="44"/>
          <w:highlight w:val="none"/>
        </w:rPr>
        <w:sectPr>
          <w:headerReference r:id="rId4" w:type="first"/>
          <w:footerReference r:id="rId6" w:type="first"/>
          <w:headerReference r:id="rId3" w:type="default"/>
          <w:footerReference r:id="rId5" w:type="default"/>
          <w:pgSz w:w="11850" w:h="16783"/>
          <w:pgMar w:top="1134" w:right="1800" w:bottom="1134" w:left="1800" w:header="0" w:footer="841" w:gutter="0"/>
          <w:pgBorders>
            <w:top w:val="none" w:sz="0" w:space="0"/>
            <w:left w:val="none" w:sz="0" w:space="0"/>
            <w:bottom w:val="none" w:sz="0" w:space="0"/>
            <w:right w:val="none" w:sz="0" w:space="0"/>
          </w:pgBorders>
          <w:pgNumType w:start="0"/>
          <w:cols w:space="720" w:num="1"/>
          <w:titlePg/>
          <w:docGrid w:linePitch="286" w:charSpace="0"/>
        </w:sectPr>
      </w:pPr>
      <w:r>
        <w:rPr>
          <w:rFonts w:hint="eastAsia" w:ascii="黑体" w:eastAsia="黑体"/>
          <w:b/>
          <w:color w:val="auto"/>
          <w:sz w:val="44"/>
          <w:szCs w:val="44"/>
          <w:highlight w:val="none"/>
        </w:rPr>
        <w:tab/>
      </w:r>
      <w:r>
        <w:rPr>
          <w:rFonts w:hint="eastAsia" w:ascii="黑体" w:eastAsia="黑体"/>
          <w:b/>
          <w:color w:val="auto"/>
          <w:sz w:val="44"/>
          <w:szCs w:val="44"/>
          <w:highlight w:val="none"/>
        </w:rPr>
        <w:tab/>
      </w:r>
    </w:p>
    <w:p>
      <w:pPr>
        <w:tabs>
          <w:tab w:val="left" w:pos="3783"/>
          <w:tab w:val="center" w:pos="4654"/>
        </w:tabs>
        <w:adjustRightInd w:val="0"/>
        <w:snapToGrid w:val="0"/>
        <w:ind w:firstLine="0"/>
        <w:jc w:val="center"/>
        <w:outlineLvl w:val="0"/>
        <w:rPr>
          <w:rFonts w:ascii="黑体" w:eastAsia="黑体"/>
          <w:b/>
          <w:color w:val="auto"/>
          <w:sz w:val="44"/>
          <w:szCs w:val="44"/>
          <w:highlight w:val="none"/>
        </w:rPr>
      </w:pPr>
      <w:r>
        <w:rPr>
          <w:rFonts w:hint="eastAsia" w:ascii="黑体" w:eastAsia="黑体"/>
          <w:b/>
          <w:color w:val="auto"/>
          <w:sz w:val="44"/>
          <w:szCs w:val="44"/>
          <w:highlight w:val="none"/>
        </w:rPr>
        <w:t>目  录</w:t>
      </w:r>
    </w:p>
    <w:p>
      <w:pPr>
        <w:adjustRightInd w:val="0"/>
        <w:spacing w:line="360" w:lineRule="auto"/>
        <w:ind w:firstLine="880"/>
        <w:jc w:val="center"/>
        <w:rPr>
          <w:rFonts w:ascii="黑体" w:eastAsia="黑体"/>
          <w:color w:val="auto"/>
          <w:sz w:val="44"/>
          <w:highlight w:val="none"/>
        </w:rPr>
      </w:pPr>
    </w:p>
    <w:p>
      <w:pPr>
        <w:pStyle w:val="24"/>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第一章  招标公告</w:t>
      </w:r>
    </w:p>
    <w:p>
      <w:pPr>
        <w:pStyle w:val="24"/>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第二章  投标人须知</w:t>
      </w:r>
    </w:p>
    <w:p>
      <w:pPr>
        <w:pStyle w:val="24"/>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第三章  评标办法（综合评估法）</w:t>
      </w:r>
    </w:p>
    <w:p>
      <w:pPr>
        <w:pStyle w:val="24"/>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第四章  合同条款及格式</w:t>
      </w:r>
    </w:p>
    <w:p>
      <w:pPr>
        <w:pStyle w:val="24"/>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第五章  委托人要求（技术标准和要求）</w:t>
      </w:r>
    </w:p>
    <w:p>
      <w:pPr>
        <w:pStyle w:val="24"/>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第六章  投标文件格式</w:t>
      </w:r>
    </w:p>
    <w:p>
      <w:pPr>
        <w:pStyle w:val="7"/>
        <w:rPr>
          <w:rFonts w:hint="default"/>
          <w:color w:val="auto"/>
          <w:highlight w:val="none"/>
        </w:rPr>
        <w:sectPr>
          <w:pgSz w:w="11850" w:h="16783"/>
          <w:pgMar w:top="1134" w:right="1800" w:bottom="1134" w:left="1800" w:header="0" w:footer="841" w:gutter="0"/>
          <w:pgBorders>
            <w:top w:val="none" w:sz="0" w:space="0"/>
            <w:left w:val="none" w:sz="0" w:space="0"/>
            <w:bottom w:val="none" w:sz="0" w:space="0"/>
            <w:right w:val="none" w:sz="0" w:space="0"/>
          </w:pgBorders>
          <w:pgNumType w:start="0"/>
          <w:cols w:space="720" w:num="1"/>
          <w:titlePg/>
          <w:docGrid w:linePitch="286" w:charSpace="0"/>
        </w:sectPr>
      </w:pPr>
    </w:p>
    <w:p>
      <w:pPr>
        <w:adjustRightInd w:val="0"/>
        <w:snapToGrid w:val="0"/>
        <w:jc w:val="center"/>
        <w:outlineLvl w:val="0"/>
        <w:rPr>
          <w:rFonts w:hint="eastAsia" w:ascii="黑体" w:eastAsia="黑体"/>
          <w:b/>
          <w:color w:val="auto"/>
          <w:sz w:val="28"/>
          <w:szCs w:val="28"/>
          <w:highlight w:val="none"/>
        </w:rPr>
      </w:pPr>
      <w:bookmarkStart w:id="0" w:name="_Toc22863"/>
      <w:bookmarkStart w:id="1" w:name="_Toc7051"/>
      <w:bookmarkStart w:id="2" w:name="_Toc62551528"/>
      <w:bookmarkStart w:id="3" w:name="_Toc5823"/>
    </w:p>
    <w:p>
      <w:pPr>
        <w:adjustRightInd w:val="0"/>
        <w:snapToGrid w:val="0"/>
        <w:jc w:val="center"/>
        <w:outlineLvl w:val="0"/>
        <w:rPr>
          <w:rFonts w:ascii="黑体" w:eastAsia="黑体"/>
          <w:b/>
          <w:color w:val="auto"/>
          <w:sz w:val="28"/>
          <w:szCs w:val="28"/>
          <w:highlight w:val="none"/>
        </w:rPr>
      </w:pPr>
      <w:r>
        <w:rPr>
          <w:rFonts w:hint="eastAsia" w:ascii="黑体" w:eastAsia="黑体"/>
          <w:b/>
          <w:color w:val="auto"/>
          <w:sz w:val="28"/>
          <w:szCs w:val="28"/>
          <w:highlight w:val="none"/>
        </w:rPr>
        <w:t>第一章 招标公告</w:t>
      </w:r>
      <w:bookmarkEnd w:id="0"/>
      <w:bookmarkEnd w:id="1"/>
      <w:bookmarkEnd w:id="2"/>
      <w:bookmarkEnd w:id="3"/>
    </w:p>
    <w:p>
      <w:pPr>
        <w:adjustRightInd w:val="0"/>
        <w:snapToGrid w:val="0"/>
        <w:jc w:val="center"/>
        <w:rPr>
          <w:rFonts w:hint="eastAsia" w:ascii="黑体" w:eastAsia="黑体"/>
          <w:b/>
          <w:color w:val="auto"/>
          <w:sz w:val="28"/>
          <w:szCs w:val="28"/>
          <w:highlight w:val="none"/>
          <w:lang w:val="en-US" w:eastAsia="zh-CN"/>
        </w:rPr>
      </w:pPr>
    </w:p>
    <w:p>
      <w:pPr>
        <w:adjustRightInd w:val="0"/>
        <w:snapToGrid w:val="0"/>
        <w:jc w:val="center"/>
        <w:rPr>
          <w:rFonts w:hint="eastAsia" w:ascii="黑体" w:eastAsia="黑体"/>
          <w:b/>
          <w:color w:val="auto"/>
          <w:sz w:val="28"/>
          <w:szCs w:val="28"/>
          <w:highlight w:val="none"/>
          <w:lang w:val="en-US" w:eastAsia="zh-CN"/>
        </w:rPr>
      </w:pPr>
    </w:p>
    <w:p>
      <w:pPr>
        <w:adjustRightInd w:val="0"/>
        <w:snapToGrid w:val="0"/>
        <w:jc w:val="center"/>
        <w:rPr>
          <w:rFonts w:hint="eastAsia" w:ascii="黑体" w:eastAsia="黑体"/>
          <w:b/>
          <w:color w:val="auto"/>
          <w:sz w:val="28"/>
          <w:szCs w:val="28"/>
          <w:highlight w:val="none"/>
          <w:lang w:val="en-US" w:eastAsia="zh-CN"/>
        </w:rPr>
      </w:pPr>
      <w:r>
        <w:rPr>
          <w:rFonts w:hint="eastAsia" w:ascii="黑体" w:eastAsia="黑体"/>
          <w:b/>
          <w:color w:val="auto"/>
          <w:sz w:val="28"/>
          <w:szCs w:val="28"/>
          <w:highlight w:val="none"/>
          <w:lang w:val="en-US" w:eastAsia="zh-CN"/>
        </w:rPr>
        <w:t>（另附）</w:t>
      </w:r>
    </w:p>
    <w:p>
      <w:pPr>
        <w:rPr>
          <w:rFonts w:hint="eastAsia"/>
          <w:color w:val="auto"/>
          <w:sz w:val="21"/>
          <w:highlight w:val="none"/>
        </w:rPr>
      </w:pPr>
      <w:r>
        <w:rPr>
          <w:rFonts w:hint="eastAsia"/>
          <w:color w:val="auto"/>
          <w:sz w:val="21"/>
          <w:highlight w:val="none"/>
        </w:rPr>
        <w:br w:type="page"/>
      </w:r>
    </w:p>
    <w:p>
      <w:pPr>
        <w:pStyle w:val="25"/>
        <w:rPr>
          <w:color w:val="auto"/>
          <w:sz w:val="24"/>
          <w:szCs w:val="24"/>
          <w:highlight w:val="none"/>
        </w:rPr>
      </w:pPr>
      <w:bookmarkStart w:id="4" w:name="_Toc26150"/>
      <w:bookmarkStart w:id="5" w:name="_Toc9224"/>
      <w:bookmarkStart w:id="6" w:name="_Toc18273"/>
      <w:bookmarkStart w:id="7" w:name="_Toc1021"/>
      <w:bookmarkStart w:id="8" w:name="_Toc1424"/>
      <w:bookmarkStart w:id="9" w:name="_Toc2457"/>
      <w:bookmarkStart w:id="10" w:name="_Toc23588"/>
      <w:bookmarkStart w:id="11" w:name="_Toc62549138"/>
      <w:bookmarkStart w:id="12" w:name="_Toc2259"/>
      <w:bookmarkStart w:id="13" w:name="_Toc23924"/>
      <w:bookmarkStart w:id="14" w:name="_Toc62222031"/>
      <w:bookmarkStart w:id="15" w:name="_Toc62221472"/>
      <w:bookmarkStart w:id="16" w:name="_Toc1951"/>
      <w:bookmarkStart w:id="17" w:name="_Toc22876"/>
      <w:bookmarkStart w:id="18" w:name="_Toc13670"/>
      <w:bookmarkStart w:id="19" w:name="_Toc62549194"/>
      <w:bookmarkStart w:id="20" w:name="_Toc3078"/>
      <w:bookmarkStart w:id="21" w:name="_Toc1501"/>
      <w:bookmarkStart w:id="22" w:name="_Toc29981"/>
      <w:bookmarkStart w:id="23" w:name="_Toc62221763"/>
      <w:bookmarkStart w:id="24" w:name="_Toc22989"/>
      <w:bookmarkStart w:id="25" w:name="_Toc24381"/>
      <w:bookmarkStart w:id="26" w:name="_Toc11776"/>
      <w:bookmarkStart w:id="27" w:name="_Toc13168"/>
      <w:bookmarkStart w:id="28" w:name="_Toc62222579"/>
      <w:bookmarkStart w:id="29" w:name="_Toc11946"/>
      <w:r>
        <w:rPr>
          <w:color w:val="auto"/>
          <w:sz w:val="24"/>
          <w:szCs w:val="24"/>
          <w:highlight w:val="none"/>
        </w:rPr>
        <w:t>第二章</w:t>
      </w:r>
      <w:r>
        <w:rPr>
          <w:rFonts w:hint="eastAsia"/>
          <w:color w:val="auto"/>
          <w:sz w:val="24"/>
          <w:szCs w:val="24"/>
          <w:highlight w:val="none"/>
        </w:rPr>
        <w:t xml:space="preserve"> </w:t>
      </w:r>
      <w:r>
        <w:rPr>
          <w:color w:val="auto"/>
          <w:sz w:val="24"/>
          <w:szCs w:val="24"/>
          <w:highlight w:val="none"/>
        </w:rPr>
        <w:t xml:space="preserve"> 投标人须知</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pPr>
        <w:pStyle w:val="3"/>
        <w:keepNext/>
        <w:keepLines/>
        <w:autoSpaceDE/>
        <w:autoSpaceDN/>
        <w:spacing w:line="400" w:lineRule="exact"/>
        <w:ind w:left="0" w:firstLine="0"/>
        <w:jc w:val="both"/>
        <w:rPr>
          <w:rFonts w:ascii="黑体" w:hAnsi="黑体" w:eastAsia="黑体"/>
          <w:bCs w:val="0"/>
          <w:color w:val="auto"/>
          <w:sz w:val="24"/>
          <w:szCs w:val="24"/>
          <w:highlight w:val="none"/>
        </w:rPr>
      </w:pPr>
      <w:bookmarkStart w:id="30" w:name="_bookmark19"/>
      <w:bookmarkEnd w:id="30"/>
      <w:bookmarkStart w:id="31" w:name="_Toc25515"/>
      <w:bookmarkStart w:id="32" w:name="_Toc4275"/>
      <w:bookmarkStart w:id="33" w:name="_Toc23946"/>
      <w:bookmarkStart w:id="34" w:name="_Toc1339"/>
      <w:bookmarkStart w:id="35" w:name="_Toc23080"/>
      <w:bookmarkStart w:id="36" w:name="_Toc8699"/>
      <w:bookmarkStart w:id="37" w:name="_Toc32695"/>
      <w:bookmarkStart w:id="38" w:name="_Toc13038"/>
      <w:bookmarkStart w:id="39" w:name="_Toc11552"/>
      <w:bookmarkStart w:id="40" w:name="_Toc20625"/>
      <w:bookmarkStart w:id="41" w:name="_Toc15852"/>
      <w:bookmarkStart w:id="42" w:name="_Toc8223"/>
      <w:bookmarkStart w:id="43" w:name="_Toc27291"/>
      <w:bookmarkStart w:id="44" w:name="_Toc6090"/>
      <w:bookmarkStart w:id="45" w:name="_Toc4344"/>
      <w:bookmarkStart w:id="46" w:name="_Toc19370"/>
      <w:bookmarkStart w:id="47" w:name="_Toc2361"/>
      <w:bookmarkStart w:id="48" w:name="_Toc10359"/>
      <w:bookmarkStart w:id="49" w:name="_Toc2206"/>
      <w:bookmarkStart w:id="50" w:name="_Toc13959"/>
      <w:r>
        <w:rPr>
          <w:rFonts w:ascii="黑体" w:hAnsi="黑体" w:eastAsia="黑体"/>
          <w:bCs w:val="0"/>
          <w:color w:val="auto"/>
          <w:sz w:val="24"/>
          <w:szCs w:val="24"/>
          <w:highlight w:val="none"/>
        </w:rPr>
        <w:t>投标人须知前附表</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tbl>
      <w:tblPr>
        <w:tblStyle w:val="19"/>
        <w:tblW w:w="84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
      <w:tblGrid>
        <w:gridCol w:w="1056"/>
        <w:gridCol w:w="1171"/>
        <w:gridCol w:w="619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blHeader/>
        </w:trPr>
        <w:tc>
          <w:tcPr>
            <w:tcW w:w="1056" w:type="dxa"/>
            <w:vAlign w:val="center"/>
          </w:tcPr>
          <w:p>
            <w:pPr>
              <w:pStyle w:val="27"/>
              <w:jc w:val="center"/>
              <w:rPr>
                <w:b/>
                <w:color w:val="auto"/>
                <w:sz w:val="21"/>
                <w:szCs w:val="21"/>
                <w:highlight w:val="none"/>
              </w:rPr>
            </w:pPr>
            <w:bookmarkStart w:id="51" w:name="_Toc15683"/>
            <w:bookmarkStart w:id="52" w:name="_Toc2109"/>
            <w:bookmarkStart w:id="53" w:name="_Toc500521530"/>
            <w:bookmarkStart w:id="54" w:name="_Toc9273"/>
            <w:bookmarkStart w:id="55" w:name="_Toc62551538"/>
            <w:r>
              <w:rPr>
                <w:rFonts w:hint="eastAsia"/>
                <w:b/>
                <w:color w:val="auto"/>
                <w:sz w:val="21"/>
                <w:szCs w:val="21"/>
                <w:highlight w:val="none"/>
                <w:lang w:eastAsia="en-US"/>
              </w:rPr>
              <w:t>条款号</w:t>
            </w:r>
          </w:p>
        </w:tc>
        <w:tc>
          <w:tcPr>
            <w:tcW w:w="1171" w:type="dxa"/>
            <w:vAlign w:val="center"/>
          </w:tcPr>
          <w:p>
            <w:pPr>
              <w:pStyle w:val="27"/>
              <w:jc w:val="center"/>
              <w:rPr>
                <w:b/>
                <w:color w:val="auto"/>
                <w:sz w:val="21"/>
                <w:szCs w:val="21"/>
                <w:highlight w:val="none"/>
                <w:lang w:eastAsia="en-US"/>
              </w:rPr>
            </w:pPr>
            <w:r>
              <w:rPr>
                <w:rFonts w:hint="eastAsia"/>
                <w:b/>
                <w:color w:val="auto"/>
                <w:sz w:val="21"/>
                <w:szCs w:val="21"/>
                <w:highlight w:val="none"/>
                <w:lang w:eastAsia="en-US"/>
              </w:rPr>
              <w:t>条款名称</w:t>
            </w:r>
          </w:p>
        </w:tc>
        <w:tc>
          <w:tcPr>
            <w:tcW w:w="6193" w:type="dxa"/>
            <w:vAlign w:val="center"/>
          </w:tcPr>
          <w:p>
            <w:pPr>
              <w:pStyle w:val="27"/>
              <w:jc w:val="center"/>
              <w:rPr>
                <w:b/>
                <w:color w:val="auto"/>
                <w:sz w:val="21"/>
                <w:szCs w:val="21"/>
                <w:highlight w:val="none"/>
                <w:lang w:eastAsia="en-US"/>
              </w:rPr>
            </w:pPr>
            <w:r>
              <w:rPr>
                <w:rFonts w:hint="eastAsia"/>
                <w:b/>
                <w:color w:val="auto"/>
                <w:sz w:val="21"/>
                <w:szCs w:val="21"/>
                <w:highlight w:val="none"/>
                <w:lang w:eastAsia="en-US"/>
              </w:rPr>
              <w:t>编列内容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1.1.1</w:t>
            </w:r>
          </w:p>
        </w:tc>
        <w:tc>
          <w:tcPr>
            <w:tcW w:w="1171" w:type="dxa"/>
            <w:vAlign w:val="center"/>
          </w:tcPr>
          <w:p>
            <w:pPr>
              <w:pStyle w:val="27"/>
              <w:spacing w:before="120" w:beforeLines="50" w:after="120" w:afterLines="50"/>
              <w:jc w:val="center"/>
              <w:rPr>
                <w:rFonts w:hint="default" w:ascii="宋体" w:hAnsi="宋体" w:eastAsia="宋体" w:cs="宋体"/>
                <w:color w:val="auto"/>
                <w:sz w:val="21"/>
                <w:szCs w:val="21"/>
                <w:highlight w:val="none"/>
                <w:lang w:val="en-US" w:eastAsia="zh-CN"/>
              </w:rPr>
            </w:pPr>
            <w:r>
              <w:rPr>
                <w:rFonts w:hint="eastAsia" w:cs="宋体"/>
                <w:b w:val="0"/>
                <w:bCs/>
                <w:color w:val="auto"/>
                <w:sz w:val="21"/>
                <w:szCs w:val="21"/>
                <w:highlight w:val="none"/>
                <w:lang w:val="en-US" w:eastAsia="zh-CN"/>
              </w:rPr>
              <w:t>招标依据</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根据《中华人民共和国招标投标法》、《中华人民共和国招标投标法实施条例》和《电子招标投标办法》等有关法律、法规和规章的规定，本招标项目已具备招标条件，现进行招标。</w:t>
            </w:r>
          </w:p>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b/>
                <w:color w:val="auto"/>
                <w:kern w:val="0"/>
                <w:szCs w:val="21"/>
                <w:highlight w:val="none"/>
              </w:rPr>
              <w:t>招标文件中所指“本招标项目”，均指其对应的“包”或“标段”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招标人</w:t>
            </w:r>
          </w:p>
        </w:tc>
        <w:tc>
          <w:tcPr>
            <w:tcW w:w="6193" w:type="dxa"/>
            <w:vAlign w:val="center"/>
          </w:tcPr>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名称：见招标公告</w:t>
            </w:r>
          </w:p>
          <w:p>
            <w:pPr>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地址：见招标公告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招标代理机构</w:t>
            </w:r>
          </w:p>
        </w:tc>
        <w:tc>
          <w:tcPr>
            <w:tcW w:w="6193" w:type="dxa"/>
            <w:vAlign w:val="center"/>
          </w:tcPr>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名称：见招标公告</w:t>
            </w:r>
          </w:p>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地址：见招标公告</w:t>
            </w:r>
          </w:p>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联系人：见招标公告</w:t>
            </w:r>
          </w:p>
          <w:p>
            <w:pPr>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电话：见招标公告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1.1.4</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招标项目名称</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1.1.5</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项目建设地点</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见招标公告</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1.1.6</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项目建设规模</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见技术规范书</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1.1.7</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工程项目施工预计开工日期和建设周期</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见招标公告</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1.2.1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资金来源及比例</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1.2.2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资金落实情况</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已落实</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1.3.1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招标范围</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见招标公告</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1.3.2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服务期限</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见招标公告</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1.3.3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质量标准</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1.基本要求：严格执行国家、行业、国家电网有限公司有关工程建设质量管理的法律、法规和规章制度，贯彻国家及行业现行规范，保证工程满足国家和行业施工验收规范的要求。</w:t>
            </w:r>
          </w:p>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2.具体要求见</w:t>
            </w:r>
            <w:r>
              <w:rPr>
                <w:rFonts w:hint="eastAsia" w:ascii="宋体" w:hAnsi="宋体" w:eastAsia="宋体" w:cs="宋体"/>
                <w:b/>
                <w:bCs/>
                <w:color w:val="auto"/>
                <w:kern w:val="0"/>
                <w:sz w:val="21"/>
                <w:szCs w:val="21"/>
                <w:highlight w:val="none"/>
                <w:u w:val="none"/>
                <w:lang w:val="en-US" w:eastAsia="zh-CN"/>
              </w:rPr>
              <w:t>技术规范书和</w:t>
            </w:r>
            <w:r>
              <w:rPr>
                <w:rFonts w:hint="eastAsia" w:ascii="宋体" w:hAnsi="宋体" w:eastAsia="宋体" w:cs="宋体"/>
                <w:color w:val="auto"/>
                <w:kern w:val="0"/>
                <w:szCs w:val="21"/>
                <w:highlight w:val="none"/>
              </w:rPr>
              <w:t>合同条款。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1.4.1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投标人资质条件、能力、信誉</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见招标公告</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1.4.2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是否接受联合体投标</w:t>
            </w:r>
          </w:p>
        </w:tc>
        <w:tc>
          <w:tcPr>
            <w:tcW w:w="6193" w:type="dxa"/>
            <w:vAlign w:val="center"/>
          </w:tcPr>
          <w:p>
            <w:pPr>
              <w:adjustRightInd w:val="0"/>
              <w:snapToGrid w:val="0"/>
              <w:spacing w:before="120" w:beforeLines="50" w:after="120" w:afterLines="50"/>
              <w:jc w:val="left"/>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见招标公告</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1.4.3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投标人不得存在下列情形之一</w:t>
            </w:r>
          </w:p>
        </w:tc>
        <w:tc>
          <w:tcPr>
            <w:tcW w:w="6193" w:type="dxa"/>
            <w:vAlign w:val="center"/>
          </w:tcPr>
          <w:p>
            <w:pPr>
              <w:snapToGrid w:val="0"/>
              <w:spacing w:before="120" w:beforeLines="50" w:after="120" w:afterLines="50"/>
              <w:rPr>
                <w:rFonts w:hint="eastAsia"/>
                <w:color w:val="auto"/>
                <w:highlight w:val="none"/>
              </w:rPr>
            </w:pPr>
            <w:r>
              <w:rPr>
                <w:rFonts w:hint="eastAsia"/>
                <w:color w:val="auto"/>
                <w:highlight w:val="none"/>
              </w:rPr>
              <w:t>修改：</w:t>
            </w:r>
          </w:p>
          <w:p>
            <w:pPr>
              <w:numPr>
                <w:ilvl w:val="255"/>
                <w:numId w:val="0"/>
              </w:numPr>
              <w:snapToGrid w:val="0"/>
              <w:spacing w:before="120" w:beforeLines="50" w:after="120" w:afterLines="50"/>
              <w:rPr>
                <w:rFonts w:hint="eastAsia"/>
                <w:color w:val="auto"/>
                <w:highlight w:val="none"/>
              </w:rPr>
            </w:pPr>
            <w:r>
              <w:rPr>
                <w:rFonts w:hint="eastAsia"/>
                <w:color w:val="auto"/>
                <w:highlight w:val="none"/>
              </w:rPr>
              <w:t>（13）在投标截止日前三年内发生重大质量问题（以相关行业主管部门的行政处罚决定或司法机关出具的有关法律文书为准）；</w:t>
            </w:r>
          </w:p>
          <w:p>
            <w:pPr>
              <w:snapToGrid w:val="0"/>
              <w:spacing w:before="120" w:beforeLines="50" w:after="120" w:afterLines="50"/>
              <w:rPr>
                <w:rFonts w:hint="eastAsia"/>
                <w:color w:val="auto"/>
                <w:highlight w:val="none"/>
              </w:rPr>
            </w:pPr>
            <w:r>
              <w:rPr>
                <w:rFonts w:hint="eastAsia"/>
                <w:color w:val="auto"/>
                <w:highlight w:val="none"/>
              </w:rPr>
              <w:t>（14）被市场监督管理机关在国家企业信用信息公示系统中列入市场监督管理严重违法失信企业名单或列入经营异常名录信息的；</w:t>
            </w:r>
          </w:p>
          <w:p>
            <w:pPr>
              <w:autoSpaceDE w:val="0"/>
              <w:autoSpaceDN w:val="0"/>
              <w:adjustRightInd w:val="0"/>
              <w:snapToGrid w:val="0"/>
              <w:spacing w:before="120" w:beforeLines="50" w:after="120" w:afterLines="50"/>
              <w:rPr>
                <w:rFonts w:hint="eastAsia"/>
                <w:color w:val="auto"/>
                <w:highlight w:val="none"/>
              </w:rPr>
            </w:pPr>
            <w:r>
              <w:rPr>
                <w:rFonts w:hint="eastAsia"/>
                <w:color w:val="auto"/>
                <w:highlight w:val="none"/>
              </w:rPr>
              <w:t>（16）在投标截止日前三年内投标人或其法定代表人（单位负责人）、拟委任的项目负责人有</w:t>
            </w:r>
            <w:r>
              <w:rPr>
                <w:rFonts w:hint="eastAsia"/>
                <w:color w:val="auto"/>
                <w:highlight w:val="none"/>
                <w:lang w:eastAsia="zh-CN"/>
              </w:rPr>
              <w:t>行贿犯罪记录</w:t>
            </w:r>
            <w:r>
              <w:rPr>
                <w:rFonts w:hint="eastAsia"/>
                <w:color w:val="auto"/>
                <w:highlight w:val="none"/>
              </w:rPr>
              <w:t>的。</w:t>
            </w:r>
          </w:p>
          <w:p>
            <w:pPr>
              <w:pStyle w:val="17"/>
              <w:ind w:left="0" w:firstLine="0"/>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补充：</w:t>
            </w:r>
          </w:p>
          <w:p>
            <w:pPr>
              <w:pStyle w:val="17"/>
              <w:ind w:left="0" w:firstLine="0"/>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（18）</w:t>
            </w:r>
            <w:r>
              <w:rPr>
                <w:rFonts w:hint="eastAsia" w:ascii="宋体" w:hAnsi="宋体" w:cs="宋体"/>
                <w:color w:val="auto"/>
                <w:szCs w:val="21"/>
                <w:highlight w:val="none"/>
              </w:rPr>
              <w:t>被责令停产停业、暂扣或吊销许可证、吊销执照，存在弄虚作假、重大质量等问题以及履约能力受影响不符合中标条件。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1.9.1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踏勘现场</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cs="宋体"/>
                <w:color w:val="auto"/>
                <w:kern w:val="0"/>
                <w:szCs w:val="21"/>
                <w:highlight w:val="none"/>
                <w:lang w:eastAsia="zh-CN"/>
              </w:rPr>
              <w:t>☑</w:t>
            </w:r>
            <w:r>
              <w:rPr>
                <w:rFonts w:hint="eastAsia" w:ascii="宋体" w:hAnsi="宋体" w:eastAsia="宋体" w:cs="宋体"/>
                <w:color w:val="auto"/>
                <w:kern w:val="0"/>
                <w:szCs w:val="21"/>
                <w:highlight w:val="none"/>
              </w:rPr>
              <w:t>不组织。</w:t>
            </w:r>
          </w:p>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□组织</w:t>
            </w:r>
          </w:p>
          <w:p>
            <w:pPr>
              <w:pStyle w:val="5"/>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踏勘时间：</w:t>
            </w:r>
          </w:p>
          <w:p>
            <w:pPr>
              <w:pStyle w:val="5"/>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踏勘集中地点：</w:t>
            </w:r>
          </w:p>
          <w:p>
            <w:pPr>
              <w:pStyle w:val="5"/>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联系人：</w:t>
            </w:r>
          </w:p>
          <w:p>
            <w:pPr>
              <w:pStyle w:val="6"/>
              <w:rPr>
                <w:rFonts w:hint="eastAsia"/>
                <w:color w:val="auto"/>
                <w:highlight w:val="none"/>
              </w:rPr>
            </w:pPr>
            <w:r>
              <w:rPr>
                <w:rFonts w:hint="eastAsia" w:ascii="宋体" w:hAnsi="宋体" w:eastAsia="宋体" w:cs="宋体"/>
                <w:color w:val="auto"/>
                <w:szCs w:val="21"/>
                <w:highlight w:val="none"/>
              </w:rPr>
              <w:t>电话：</w:t>
            </w:r>
          </w:p>
          <w:p>
            <w:pPr>
              <w:pStyle w:val="5"/>
              <w:adjustRightInd w:val="0"/>
              <w:snapToGrid w:val="0"/>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b/>
                <w:bCs/>
                <w:color w:val="auto"/>
                <w:sz w:val="21"/>
                <w:szCs w:val="21"/>
                <w:highlight w:val="none"/>
                <w:lang w:eastAsia="zh-CN"/>
              </w:rPr>
              <w:t>部分投标人未按时参加踏勘现场的，不影响踏勘现场的正常进行。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1.10.1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投标预备会</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cs="宋体"/>
                <w:color w:val="auto"/>
                <w:kern w:val="0"/>
                <w:szCs w:val="21"/>
                <w:highlight w:val="none"/>
                <w:lang w:eastAsia="zh-CN"/>
              </w:rPr>
              <w:t>☑</w:t>
            </w:r>
            <w:r>
              <w:rPr>
                <w:rFonts w:hint="eastAsia" w:ascii="宋体" w:hAnsi="宋体" w:eastAsia="宋体" w:cs="宋体"/>
                <w:color w:val="auto"/>
                <w:kern w:val="0"/>
                <w:szCs w:val="21"/>
                <w:highlight w:val="none"/>
              </w:rPr>
              <w:t>召开。</w:t>
            </w:r>
            <w:r>
              <w:rPr>
                <w:rFonts w:hint="eastAsia" w:ascii="宋体" w:hAnsi="宋体" w:eastAsia="宋体" w:cs="宋体"/>
                <w:color w:val="auto"/>
                <w:sz w:val="21"/>
                <w:szCs w:val="21"/>
                <w:highlight w:val="none"/>
                <w:lang w:eastAsia="zh-CN"/>
              </w:rPr>
              <w:t>召开时间：具体时间另行通知，</w:t>
            </w:r>
            <w:r>
              <w:rPr>
                <w:rFonts w:hint="eastAsia" w:ascii="宋体" w:hAnsi="宋体" w:eastAsia="宋体" w:cs="宋体"/>
                <w:b w:val="0"/>
                <w:bCs w:val="0"/>
                <w:color w:val="auto"/>
                <w:sz w:val="21"/>
                <w:szCs w:val="21"/>
                <w:highlight w:val="none"/>
                <w:lang w:eastAsia="zh-CN"/>
              </w:rPr>
              <w:t>召开地点：</w:t>
            </w:r>
            <w:r>
              <w:rPr>
                <w:rFonts w:hint="eastAsia" w:ascii="宋体" w:hAnsi="宋体" w:eastAsia="宋体" w:cs="宋体"/>
                <w:b w:val="0"/>
                <w:bCs w:val="0"/>
                <w:color w:val="auto"/>
                <w:sz w:val="21"/>
                <w:szCs w:val="21"/>
                <w:highlight w:val="none"/>
                <w:u w:val="none"/>
                <w:lang w:val="en-US" w:eastAsia="zh-CN"/>
              </w:rPr>
              <w:t>i国网视频会议。</w:t>
            </w:r>
          </w:p>
          <w:p>
            <w:pPr>
              <w:pStyle w:val="17"/>
              <w:ind w:left="0" w:leftChars="0" w:firstLine="0" w:firstLineChars="0"/>
              <w:rPr>
                <w:rFonts w:hint="eastAsia"/>
                <w:color w:val="auto"/>
                <w:highlight w:val="none"/>
              </w:rPr>
            </w:pPr>
            <w:r>
              <w:rPr>
                <w:rFonts w:hint="eastAsia" w:ascii="宋体" w:hAnsi="宋体" w:eastAsia="宋体" w:cs="宋体"/>
                <w:color w:val="auto"/>
                <w:kern w:val="0"/>
                <w:szCs w:val="21"/>
                <w:highlight w:val="none"/>
              </w:rPr>
              <w:t>□不召开。</w:t>
            </w:r>
          </w:p>
          <w:p>
            <w:pPr>
              <w:adjustRightInd w:val="0"/>
              <w:snapToGrid w:val="0"/>
              <w:spacing w:before="120" w:beforeLines="50" w:after="120" w:afterLines="50"/>
              <w:rPr>
                <w:rFonts w:hint="eastAsia" w:ascii="宋体" w:hAnsi="宋体" w:eastAsia="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1.10.2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投标人在投标预备会前提出问题</w:t>
            </w:r>
          </w:p>
        </w:tc>
        <w:tc>
          <w:tcPr>
            <w:tcW w:w="6193" w:type="dxa"/>
            <w:vAlign w:val="center"/>
          </w:tcPr>
          <w:p>
            <w:pPr>
              <w:autoSpaceDE/>
              <w:autoSpaceDN/>
              <w:adjustRightInd w:val="0"/>
              <w:snapToGrid w:val="0"/>
              <w:spacing w:before="120" w:beforeLines="50" w:after="120" w:afterLines="5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时间：</w:t>
            </w:r>
          </w:p>
          <w:p>
            <w:pPr>
              <w:autoSpaceDE/>
              <w:autoSpaceDN/>
              <w:adjustRightInd w:val="0"/>
              <w:snapToGrid w:val="0"/>
              <w:spacing w:before="120" w:beforeLines="50" w:after="120" w:afterLines="5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形式：</w:t>
            </w:r>
            <w:r>
              <w:rPr>
                <w:rFonts w:hint="eastAsia" w:ascii="宋体" w:hAnsi="宋体" w:eastAsia="宋体" w:cs="宋体"/>
                <w:color w:val="auto"/>
                <w:sz w:val="21"/>
                <w:szCs w:val="21"/>
                <w:highlight w:val="none"/>
                <w:u w:val="none"/>
                <w:lang w:eastAsia="zh-CN"/>
              </w:rPr>
              <w:t>通过国家电网有限公司</w:t>
            </w:r>
            <w:r>
              <w:rPr>
                <w:rFonts w:hint="eastAsia" w:ascii="宋体" w:hAnsi="宋体" w:cs="宋体"/>
                <w:color w:val="auto"/>
                <w:sz w:val="21"/>
                <w:szCs w:val="21"/>
                <w:highlight w:val="none"/>
                <w:u w:val="none"/>
                <w:lang w:eastAsia="zh-CN"/>
              </w:rPr>
              <w:t>电子商务平台</w:t>
            </w:r>
            <w:r>
              <w:rPr>
                <w:rFonts w:hint="eastAsia" w:ascii="宋体" w:hAnsi="宋体" w:eastAsia="宋体" w:cs="宋体"/>
                <w:color w:val="auto"/>
                <w:sz w:val="21"/>
                <w:szCs w:val="21"/>
                <w:highlight w:val="none"/>
                <w:u w:val="none"/>
                <w:lang w:eastAsia="zh-CN"/>
              </w:rPr>
              <w:t>发出</w:t>
            </w:r>
          </w:p>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 w:val="21"/>
                <w:szCs w:val="21"/>
                <w:highlight w:val="none"/>
                <w:lang w:eastAsia="zh-CN"/>
              </w:rPr>
              <w:t>若不召开投标预备会，则不适用。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1.10.3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投标预备会后招标人发出澄清</w:t>
            </w:r>
          </w:p>
        </w:tc>
        <w:tc>
          <w:tcPr>
            <w:tcW w:w="6193" w:type="dxa"/>
            <w:vAlign w:val="center"/>
          </w:tcPr>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时间：</w:t>
            </w:r>
          </w:p>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形式：通过国家电网有限公司电子商务平台发出</w:t>
            </w:r>
          </w:p>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若不召开投标预备会，则不适用。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分包</w:t>
            </w:r>
          </w:p>
        </w:tc>
        <w:tc>
          <w:tcPr>
            <w:tcW w:w="6193" w:type="dxa"/>
            <w:vAlign w:val="center"/>
          </w:tcPr>
          <w:p>
            <w:pPr>
              <w:pStyle w:val="27"/>
              <w:spacing w:before="120" w:beforeLines="50" w:after="120" w:afterLines="50"/>
              <w:jc w:val="both"/>
              <w:rPr>
                <w:rFonts w:hint="eastAsia" w:ascii="宋体" w:hAnsi="宋体" w:eastAsia="宋体" w:cs="宋体"/>
                <w:strike/>
                <w:dstrike w:val="0"/>
                <w:color w:val="auto"/>
                <w:sz w:val="21"/>
                <w:szCs w:val="21"/>
                <w:highlight w:val="none"/>
                <w:lang w:val="en-US" w:eastAsia="en-US"/>
              </w:rPr>
            </w:pPr>
            <w:r>
              <w:rPr>
                <w:rFonts w:hint="eastAsia" w:ascii="宋体" w:hAnsi="宋体" w:eastAsia="宋体" w:cs="宋体"/>
                <w:b w:val="0"/>
                <w:bCs w:val="0"/>
                <w:color w:val="auto"/>
                <w:spacing w:val="-4"/>
                <w:kern w:val="0"/>
                <w:sz w:val="21"/>
                <w:szCs w:val="21"/>
                <w:highlight w:val="none"/>
                <w:lang w:val="en-US" w:bidi="zh-CN"/>
              </w:rPr>
              <w:t>招标人不允许投标人在中标后将中标项目的部分非主体、非关键性工作进行分包（招标文件有特殊约定允许将非主体、非关键性工作进行分包的除外）</w:t>
            </w:r>
            <w:r>
              <w:rPr>
                <w:rFonts w:hint="eastAsia" w:cs="宋体"/>
                <w:b w:val="0"/>
                <w:bCs w:val="0"/>
                <w:color w:val="auto"/>
                <w:spacing w:val="-4"/>
                <w:kern w:val="0"/>
                <w:sz w:val="21"/>
                <w:szCs w:val="21"/>
                <w:highlight w:val="none"/>
                <w:lang w:val="en-US" w:bidi="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1.12.1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实质性要求和条件</w:t>
            </w:r>
          </w:p>
        </w:tc>
        <w:tc>
          <w:tcPr>
            <w:tcW w:w="6193"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投标人不得出现评标办法前附表“</w:t>
            </w:r>
            <w:r>
              <w:rPr>
                <w:rFonts w:hint="eastAsia" w:ascii="宋体" w:hAnsi="宋体" w:eastAsia="宋体" w:cs="宋体"/>
                <w:b/>
                <w:bCs/>
                <w:color w:val="auto"/>
                <w:kern w:val="0"/>
                <w:szCs w:val="21"/>
                <w:highlight w:val="none"/>
                <w:lang w:eastAsia="en-US"/>
              </w:rPr>
              <w:t>否决情形</w:t>
            </w:r>
            <w:r>
              <w:rPr>
                <w:rFonts w:hint="eastAsia" w:ascii="宋体" w:hAnsi="宋体" w:eastAsia="宋体" w:cs="宋体"/>
                <w:color w:val="auto"/>
                <w:kern w:val="0"/>
                <w:szCs w:val="21"/>
                <w:highlight w:val="none"/>
                <w:lang w:eastAsia="en-US"/>
              </w:rPr>
              <w:t>”规定的否决投标内容。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1.12.3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偏差</w:t>
            </w:r>
          </w:p>
        </w:tc>
        <w:tc>
          <w:tcPr>
            <w:tcW w:w="6193" w:type="dxa"/>
            <w:vAlign w:val="center"/>
          </w:tcPr>
          <w:p>
            <w:pPr>
              <w:pStyle w:val="27"/>
              <w:spacing w:before="120" w:beforeLines="50" w:after="120" w:afterLines="50"/>
              <w:jc w:val="both"/>
              <w:rPr>
                <w:rFonts w:hint="eastAsia" w:ascii="宋体" w:hAnsi="宋体" w:eastAsia="宋体" w:cs="宋体"/>
                <w:color w:val="auto"/>
                <w:sz w:val="21"/>
                <w:szCs w:val="21"/>
                <w:highlight w:val="none"/>
                <w:lang w:val="en-US" w:eastAsia="en-US"/>
              </w:rPr>
            </w:pPr>
            <w:r>
              <w:rPr>
                <w:rFonts w:hint="eastAsia"/>
                <w:color w:val="auto"/>
                <w:sz w:val="21"/>
                <w:szCs w:val="21"/>
                <w:highlight w:val="none"/>
                <w:lang w:val="en-US" w:eastAsia="en-US"/>
              </w:rPr>
              <w:t>投标的技术参数允许优于招标文件的规定：投标人针对招标文件提出的偏离应填写在“投标文件格式”规定的偏差表中，未在偏差表中列明的偏离且未被评标委员会发现的，视为无偏离；被评标委员会发现的偏离，按实际偏离情况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2.1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构成招标文件的其他文件</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补充：</w:t>
            </w:r>
          </w:p>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本招标活动期间招标人及招标代理机构依法发出的澄清修改等函件。</w:t>
            </w:r>
          </w:p>
          <w:p>
            <w:pPr>
              <w:pStyle w:val="17"/>
              <w:ind w:left="0" w:leftChars="0" w:firstLine="0" w:firstLineChars="0"/>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lang w:val="en-US" w:eastAsia="zh-CN" w:bidi="ar-SA"/>
              </w:rPr>
              <w:t>投标人应详细阅读招标文件，并按招标文件要求提交全部投标文件。如投标人无特殊声明，则视为投标人已全部理解并接受招标文件规定的条款。</w:t>
            </w:r>
          </w:p>
          <w:p>
            <w:pPr>
              <w:keepNext/>
              <w:keepLines/>
              <w:pageBreakBefore w:val="0"/>
              <w:widowControl w:val="0"/>
              <w:kinsoku/>
              <w:wordWrap/>
              <w:overflowPunct/>
              <w:topLinePunct w:val="0"/>
              <w:bidi w:val="0"/>
              <w:adjustRightInd w:val="0"/>
              <w:snapToGrid w:val="0"/>
              <w:spacing w:beforeLines="50" w:afterLines="50"/>
              <w:textAlignment w:val="auto"/>
              <w:rPr>
                <w:rFonts w:hint="eastAsia" w:ascii="宋体" w:hAnsi="宋体" w:eastAsia="宋体" w:cs="宋体"/>
                <w:color w:val="auto"/>
                <w:szCs w:val="21"/>
                <w:highlight w:val="none"/>
              </w:rPr>
            </w:pPr>
            <w:r>
              <w:rPr>
                <w:rFonts w:hint="eastAsia" w:ascii="宋体" w:hAnsi="宋体" w:eastAsia="宋体" w:cs="宋体"/>
                <w:b w:val="0"/>
                <w:bCs w:val="0"/>
                <w:color w:val="auto"/>
                <w:kern w:val="0"/>
                <w:sz w:val="21"/>
                <w:szCs w:val="21"/>
                <w:highlight w:val="none"/>
                <w:lang w:val="en-US" w:eastAsia="zh-CN"/>
              </w:rPr>
              <w:t>如招标文件中商务部分与技术规范书中的内容有差异，</w:t>
            </w:r>
            <w:r>
              <w:rPr>
                <w:rFonts w:hint="eastAsia" w:ascii="宋体" w:hAnsi="宋体" w:eastAsia="宋体" w:cs="宋体"/>
                <w:b w:val="0"/>
                <w:bCs w:val="0"/>
                <w:color w:val="auto"/>
                <w:kern w:val="0"/>
                <w:sz w:val="21"/>
                <w:szCs w:val="21"/>
                <w:highlight w:val="none"/>
              </w:rPr>
              <w:t>技术</w:t>
            </w:r>
            <w:r>
              <w:rPr>
                <w:rFonts w:hint="eastAsia" w:ascii="宋体" w:hAnsi="宋体" w:eastAsia="宋体" w:cs="宋体"/>
                <w:b w:val="0"/>
                <w:bCs w:val="0"/>
                <w:color w:val="auto"/>
                <w:kern w:val="0"/>
                <w:sz w:val="21"/>
                <w:szCs w:val="21"/>
                <w:highlight w:val="none"/>
                <w:lang w:val="en-US" w:eastAsia="zh-CN"/>
              </w:rPr>
              <w:t>标准</w:t>
            </w:r>
            <w:r>
              <w:rPr>
                <w:rFonts w:hint="eastAsia" w:ascii="宋体" w:hAnsi="宋体" w:eastAsia="宋体" w:cs="宋体"/>
                <w:b w:val="0"/>
                <w:bCs w:val="0"/>
                <w:color w:val="auto"/>
                <w:kern w:val="0"/>
                <w:sz w:val="21"/>
                <w:szCs w:val="21"/>
                <w:highlight w:val="none"/>
                <w:lang w:eastAsia="zh-CN"/>
              </w:rPr>
              <w:t>、</w:t>
            </w:r>
            <w:r>
              <w:rPr>
                <w:rFonts w:hint="eastAsia" w:ascii="宋体" w:hAnsi="宋体" w:eastAsia="宋体" w:cs="宋体"/>
                <w:b w:val="0"/>
                <w:bCs w:val="0"/>
                <w:color w:val="auto"/>
                <w:kern w:val="0"/>
                <w:sz w:val="21"/>
                <w:szCs w:val="21"/>
                <w:highlight w:val="none"/>
                <w:lang w:val="en-US" w:eastAsia="zh-CN"/>
              </w:rPr>
              <w:t>工程规模、招标范围及工期/服务期要求</w:t>
            </w:r>
            <w:r>
              <w:rPr>
                <w:rFonts w:hint="eastAsia" w:ascii="宋体" w:hAnsi="宋体" w:eastAsia="宋体" w:cs="宋体"/>
                <w:b w:val="0"/>
                <w:bCs w:val="0"/>
                <w:color w:val="auto"/>
                <w:kern w:val="0"/>
                <w:sz w:val="21"/>
                <w:szCs w:val="21"/>
                <w:highlight w:val="none"/>
              </w:rPr>
              <w:t>以技术规范书为准，</w:t>
            </w:r>
            <w:r>
              <w:rPr>
                <w:rFonts w:hint="eastAsia" w:ascii="宋体" w:hAnsi="宋体" w:eastAsia="宋体" w:cs="宋体"/>
                <w:b w:val="0"/>
                <w:bCs w:val="0"/>
                <w:color w:val="auto"/>
                <w:kern w:val="0"/>
                <w:sz w:val="21"/>
                <w:szCs w:val="21"/>
                <w:highlight w:val="none"/>
                <w:lang w:eastAsia="zh-CN"/>
              </w:rPr>
              <w:t>投标人资格要求、质保期以商务部分为准</w:t>
            </w:r>
            <w:r>
              <w:rPr>
                <w:rFonts w:hint="eastAsia" w:ascii="宋体" w:hAnsi="宋体" w:eastAsia="宋体" w:cs="宋体"/>
                <w:b w:val="0"/>
                <w:bCs w:val="0"/>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Merge w:val="restart"/>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2.2.1</w:t>
            </w:r>
          </w:p>
        </w:tc>
        <w:tc>
          <w:tcPr>
            <w:tcW w:w="1171" w:type="dxa"/>
            <w:vMerge w:val="restart"/>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投标人要求澄清招标文件</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时间：投标截止时间</w:t>
            </w:r>
            <w:r>
              <w:rPr>
                <w:rFonts w:hint="eastAsia" w:ascii="宋体" w:hAnsi="宋体" w:eastAsia="宋体" w:cs="宋体"/>
                <w:b/>
                <w:bCs/>
                <w:color w:val="auto"/>
                <w:sz w:val="21"/>
                <w:szCs w:val="21"/>
                <w:highlight w:val="none"/>
              </w:rPr>
              <w:t>1</w:t>
            </w:r>
            <w:r>
              <w:rPr>
                <w:rFonts w:hint="eastAsia" w:ascii="宋体" w:hAnsi="宋体" w:eastAsia="宋体" w:cs="宋体"/>
                <w:b/>
                <w:bCs/>
                <w:color w:val="auto"/>
                <w:sz w:val="21"/>
                <w:szCs w:val="21"/>
                <w:highlight w:val="none"/>
                <w:lang w:val="en-US" w:eastAsia="zh-CN"/>
              </w:rPr>
              <w:t>6</w:t>
            </w:r>
            <w:r>
              <w:rPr>
                <w:rFonts w:hint="eastAsia" w:ascii="宋体" w:hAnsi="宋体" w:eastAsia="宋体" w:cs="宋体"/>
                <w:color w:val="auto"/>
                <w:szCs w:val="21"/>
                <w:highlight w:val="none"/>
              </w:rPr>
              <w:t>日前。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p>
        </w:tc>
        <w:tc>
          <w:tcPr>
            <w:tcW w:w="1171"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p>
        </w:tc>
        <w:tc>
          <w:tcPr>
            <w:tcW w:w="6193" w:type="dxa"/>
            <w:vAlign w:val="center"/>
          </w:tcPr>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形式：上传至招标人招投标交易平台信息系统。招标人仅接受投标人上传至招标人招投标交易平台信息系统相应位置的澄清函。</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Theme="minorEastAsia" w:hAnsiTheme="minorEastAsia" w:eastAsiaTheme="minorEastAsia" w:cstheme="minorEastAsia"/>
                <w:color w:val="auto"/>
                <w:sz w:val="21"/>
                <w:szCs w:val="22"/>
                <w:highlight w:val="none"/>
              </w:rPr>
              <w:t>具体操作方式：登</w:t>
            </w:r>
            <w:r>
              <w:rPr>
                <w:rFonts w:hint="eastAsia" w:asciiTheme="minorEastAsia" w:hAnsiTheme="minorEastAsia" w:eastAsiaTheme="minorEastAsia" w:cstheme="minorEastAsia"/>
                <w:color w:val="auto"/>
                <w:sz w:val="21"/>
                <w:szCs w:val="22"/>
                <w:highlight w:val="none"/>
                <w:lang w:val="en-US" w:eastAsia="zh-CN"/>
              </w:rPr>
              <w:t>录</w:t>
            </w:r>
            <w:r>
              <w:rPr>
                <w:rFonts w:hint="eastAsia" w:asciiTheme="minorEastAsia" w:hAnsiTheme="minorEastAsia" w:eastAsiaTheme="minorEastAsia" w:cstheme="minorEastAsia"/>
                <w:color w:val="auto"/>
                <w:sz w:val="21"/>
                <w:szCs w:val="22"/>
                <w:highlight w:val="none"/>
              </w:rPr>
              <w:t>招标人招投标交易平台信息系统→“采购项目管理”→“招标项目”→“投标阶段”→“招标文件澄清与修改”，找到相应招标项目，发布澄清。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2.2.2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招标文件澄清发出的形式与时间</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形式：通过招标人招投标交易平台信息系统。</w:t>
            </w:r>
          </w:p>
          <w:p>
            <w:pPr>
              <w:adjustRightInd w:val="0"/>
              <w:snapToGrid w:val="0"/>
              <w:spacing w:before="120" w:beforeLines="50" w:after="120" w:afterLines="50"/>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时间：澄清或者修改的内容可能影响投标文件编制的，投标截止时间至少15日前</w:t>
            </w:r>
            <w:r>
              <w:rPr>
                <w:rFonts w:hint="eastAsia" w:ascii="宋体" w:hAnsi="宋体" w:eastAsia="宋体" w:cs="宋体"/>
                <w:color w:val="auto"/>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Merge w:val="restart"/>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2.2.3</w:t>
            </w:r>
          </w:p>
        </w:tc>
        <w:tc>
          <w:tcPr>
            <w:tcW w:w="1171" w:type="dxa"/>
            <w:vMerge w:val="restart"/>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投标人确认收到招标文件澄清</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时间：收到澄清后24小时内,逾期未在规定时间内确认的，招标人一律视为已收到。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p>
        </w:tc>
        <w:tc>
          <w:tcPr>
            <w:tcW w:w="1171"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p>
        </w:tc>
        <w:tc>
          <w:tcPr>
            <w:tcW w:w="6193" w:type="dxa"/>
            <w:vAlign w:val="center"/>
          </w:tcPr>
          <w:p>
            <w:pPr>
              <w:pStyle w:val="27"/>
              <w:adjustRightInd w:val="0"/>
              <w:snapToGrid w:val="0"/>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形式：</w:t>
            </w:r>
            <w:r>
              <w:rPr>
                <w:rFonts w:hint="eastAsia" w:ascii="宋体" w:hAnsi="宋体" w:eastAsia="宋体" w:cs="宋体"/>
                <w:color w:val="auto"/>
                <w:sz w:val="21"/>
                <w:szCs w:val="21"/>
                <w:highlight w:val="none"/>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2.3.1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招标文件修改发出的形式</w:t>
            </w:r>
          </w:p>
        </w:tc>
        <w:tc>
          <w:tcPr>
            <w:tcW w:w="6193" w:type="dxa"/>
            <w:vAlign w:val="center"/>
          </w:tcPr>
          <w:p>
            <w:pPr>
              <w:pStyle w:val="17"/>
              <w:ind w:left="0" w:leftChars="0" w:firstLine="0" w:firstLineChars="0"/>
              <w:rPr>
                <w:rFonts w:hint="eastAsia"/>
                <w:color w:val="auto"/>
                <w:highlight w:val="none"/>
              </w:rPr>
            </w:pPr>
            <w:r>
              <w:rPr>
                <w:rFonts w:hint="eastAsia" w:ascii="宋体" w:hAnsi="宋体" w:eastAsia="宋体" w:cs="宋体"/>
                <w:color w:val="auto"/>
                <w:kern w:val="0"/>
                <w:sz w:val="21"/>
                <w:szCs w:val="21"/>
                <w:highlight w:val="none"/>
              </w:rPr>
              <w:t>在投标截止时间15天前，招标人可以通过招标人招投标交易平台信息系统修改招标文件。如果修改招标文件的时间距投标截止时间不足15天，且对投标可能产生实质性影响的，招标人应相应延长投标截止时间。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Merge w:val="restart"/>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2.3.2</w:t>
            </w:r>
          </w:p>
        </w:tc>
        <w:tc>
          <w:tcPr>
            <w:tcW w:w="1171" w:type="dxa"/>
            <w:vMerge w:val="restart"/>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投标人确认收到招标文件修改</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时间：收到修改后24小时内, 逾期未在规定时间内确认的，招标人一律视为已收到</w:t>
            </w:r>
            <w:r>
              <w:rPr>
                <w:rFonts w:hint="eastAsia" w:ascii="宋体" w:hAnsi="宋体" w:eastAsia="宋体" w:cs="宋体"/>
                <w:color w:val="auto"/>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Merge w:val="continue"/>
            <w:tcBorders>
              <w:top w:val="nil"/>
            </w:tcBorders>
            <w:vAlign w:val="center"/>
          </w:tcPr>
          <w:p>
            <w:pPr>
              <w:spacing w:before="120" w:beforeLines="50" w:after="120" w:afterLines="50"/>
              <w:jc w:val="center"/>
              <w:rPr>
                <w:rFonts w:hint="eastAsia" w:ascii="宋体" w:hAnsi="宋体" w:eastAsia="宋体" w:cs="宋体"/>
                <w:color w:val="auto"/>
                <w:szCs w:val="21"/>
                <w:highlight w:val="none"/>
              </w:rPr>
            </w:pPr>
          </w:p>
        </w:tc>
        <w:tc>
          <w:tcPr>
            <w:tcW w:w="1171"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p>
        </w:tc>
        <w:tc>
          <w:tcPr>
            <w:tcW w:w="6193" w:type="dxa"/>
            <w:vAlign w:val="center"/>
          </w:tcPr>
          <w:p>
            <w:pPr>
              <w:pStyle w:val="27"/>
              <w:adjustRightInd w:val="0"/>
              <w:snapToGrid w:val="0"/>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形式：</w:t>
            </w:r>
            <w:r>
              <w:rPr>
                <w:rFonts w:hint="eastAsia" w:ascii="宋体" w:hAnsi="宋体" w:eastAsia="宋体" w:cs="宋体"/>
                <w:color w:val="auto"/>
                <w:sz w:val="21"/>
                <w:szCs w:val="21"/>
                <w:highlight w:val="none"/>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tcBorders>
              <w:top w:val="nil"/>
            </w:tcBorders>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2.4</w:t>
            </w:r>
          </w:p>
        </w:tc>
        <w:tc>
          <w:tcPr>
            <w:tcW w:w="1171" w:type="dxa"/>
            <w:tcBorders>
              <w:top w:val="nil"/>
            </w:tcBorders>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招标文件的异议</w:t>
            </w:r>
          </w:p>
        </w:tc>
        <w:tc>
          <w:tcPr>
            <w:tcW w:w="6193" w:type="dxa"/>
            <w:vAlign w:val="center"/>
          </w:tcPr>
          <w:p>
            <w:pPr>
              <w:autoSpaceDE w:val="0"/>
              <w:autoSpaceDN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补充：</w:t>
            </w:r>
          </w:p>
          <w:p>
            <w:pPr>
              <w:autoSpaceDE w:val="0"/>
              <w:autoSpaceDN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1.异议的提出应按</w:t>
            </w:r>
            <w:r>
              <w:rPr>
                <w:rFonts w:hint="eastAsia" w:ascii="宋体" w:hAnsi="宋体" w:eastAsia="宋体" w:cs="宋体"/>
                <w:color w:val="auto"/>
                <w:szCs w:val="21"/>
                <w:highlight w:val="none"/>
              </w:rPr>
              <w:t>附件</w:t>
            </w:r>
            <w:r>
              <w:rPr>
                <w:rFonts w:hint="eastAsia" w:ascii="宋体" w:hAnsi="宋体" w:eastAsia="宋体" w:cs="宋体"/>
                <w:color w:val="auto"/>
                <w:kern w:val="0"/>
                <w:szCs w:val="21"/>
                <w:highlight w:val="none"/>
              </w:rPr>
              <w:t>格式填写《招标文件异议单》，盖章扫描件发送至指定电子邮箱，电子邮箱见招标公告。</w:t>
            </w:r>
          </w:p>
          <w:p>
            <w:pPr>
              <w:autoSpaceDE w:val="0"/>
              <w:autoSpaceDN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2.其他利害关系人提出异议的，应提供关于利害关系的支撑材料。</w:t>
            </w:r>
          </w:p>
          <w:p>
            <w:pPr>
              <w:autoSpaceDE w:val="0"/>
              <w:autoSpaceDN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3.不受理匿名或其他形式的异议。</w:t>
            </w:r>
          </w:p>
          <w:p>
            <w:pPr>
              <w:autoSpaceDE w:val="0"/>
              <w:autoSpaceDN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4.投标人应详细阅读招标文件，并按招标文件要求提交全部资料。如投标人无特殊声明，则视为投标人已全部理解并接受招标文件规定的条款。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tcBorders>
              <w:top w:val="nil"/>
            </w:tcBorders>
            <w:vAlign w:val="center"/>
          </w:tcPr>
          <w:p>
            <w:pPr>
              <w:adjustRightInd w:val="0"/>
              <w:snapToGrid w:val="0"/>
              <w:spacing w:before="120" w:beforeLines="50" w:after="120" w:afterLines="50"/>
              <w:jc w:val="center"/>
              <w:rPr>
                <w:rFonts w:hint="eastAsia" w:ascii="宋体" w:hAnsi="宋体" w:eastAsia="宋体" w:cs="宋体"/>
                <w:color w:val="auto"/>
                <w:szCs w:val="21"/>
                <w:highlight w:val="none"/>
                <w:lang w:eastAsia="en-US"/>
              </w:rPr>
            </w:pPr>
            <w:r>
              <w:rPr>
                <w:rFonts w:hint="eastAsia" w:ascii="宋体" w:hAnsi="宋体" w:eastAsia="宋体" w:cs="宋体"/>
                <w:color w:val="auto"/>
                <w:szCs w:val="21"/>
                <w:highlight w:val="none"/>
              </w:rPr>
              <w:t>3.1.1</w:t>
            </w:r>
          </w:p>
        </w:tc>
        <w:tc>
          <w:tcPr>
            <w:tcW w:w="1171" w:type="dxa"/>
            <w:tcBorders>
              <w:top w:val="nil"/>
            </w:tcBorders>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构成投标文件的其他资料</w:t>
            </w:r>
          </w:p>
        </w:tc>
        <w:tc>
          <w:tcPr>
            <w:tcW w:w="6193" w:type="dxa"/>
            <w:vAlign w:val="center"/>
          </w:tcPr>
          <w:p>
            <w:pPr>
              <w:pStyle w:val="8"/>
              <w:rPr>
                <w:rFonts w:hint="default" w:ascii="宋体" w:hAnsi="宋体" w:eastAsia="宋体" w:cs="宋体"/>
                <w:color w:val="auto"/>
                <w:kern w:val="0"/>
                <w:szCs w:val="21"/>
                <w:highlight w:val="none"/>
                <w:lang w:val="en-US" w:eastAsia="zh-CN"/>
              </w:rPr>
            </w:pPr>
            <w:r>
              <w:rPr>
                <w:rFonts w:hint="eastAsia" w:ascii="宋体" w:hAnsi="宋体" w:eastAsia="宋体" w:cs="宋体"/>
                <w:color w:val="auto"/>
                <w:kern w:val="0"/>
                <w:sz w:val="21"/>
                <w:szCs w:val="21"/>
                <w:highlight w:val="none"/>
                <w:lang w:eastAsia="en-US"/>
              </w:rPr>
              <w:t>详见投标文件格式</w:t>
            </w:r>
            <w:r>
              <w:rPr>
                <w:rFonts w:hint="eastAsia" w:ascii="宋体" w:hAnsi="宋体" w:eastAsia="宋体" w:cs="宋体"/>
                <w:color w:val="auto"/>
                <w:kern w:val="0"/>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3.2.1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增值税税金的计算方法</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投标人应按照国家规定税率填报增值税税率或征收率。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3.2.3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报价方式</w:t>
            </w:r>
          </w:p>
        </w:tc>
        <w:tc>
          <w:tcPr>
            <w:tcW w:w="6193" w:type="dxa"/>
            <w:vAlign w:val="center"/>
          </w:tcPr>
          <w:p>
            <w:pPr>
              <w:autoSpaceDE w:val="0"/>
              <w:autoSpaceDN w:val="0"/>
              <w:adjustRightInd w:val="0"/>
              <w:snapToGrid w:val="0"/>
              <w:jc w:val="left"/>
              <w:rPr>
                <w:rFonts w:hint="eastAsia" w:ascii="宋体" w:hAnsi="宋体" w:eastAsia="宋体" w:cs="宋体"/>
                <w:b w:val="0"/>
                <w:bCs w:val="0"/>
                <w:color w:val="auto"/>
                <w:sz w:val="21"/>
                <w:szCs w:val="21"/>
                <w:highlight w:val="none"/>
                <w:lang w:eastAsia="zh-CN"/>
              </w:rPr>
            </w:pPr>
            <w:r>
              <w:rPr>
                <w:rFonts w:hint="eastAsia" w:ascii="宋体" w:hAnsi="宋体" w:cs="宋体"/>
                <w:color w:val="auto"/>
                <w:kern w:val="0"/>
                <w:szCs w:val="21"/>
                <w:highlight w:val="none"/>
                <w:lang w:eastAsia="zh-CN"/>
              </w:rPr>
              <w:t>☑</w:t>
            </w:r>
            <w:r>
              <w:rPr>
                <w:rFonts w:hint="eastAsia" w:ascii="宋体" w:hAnsi="宋体" w:eastAsia="宋体" w:cs="宋体"/>
                <w:b w:val="0"/>
                <w:bCs w:val="0"/>
                <w:color w:val="auto"/>
                <w:sz w:val="21"/>
                <w:szCs w:val="21"/>
                <w:highlight w:val="none"/>
                <w:lang w:eastAsia="zh-CN"/>
              </w:rPr>
              <w:t>投标金额（</w:t>
            </w:r>
            <w:r>
              <w:rPr>
                <w:rFonts w:hint="eastAsia" w:ascii="宋体" w:hAnsi="宋体" w:eastAsia="宋体" w:cs="宋体"/>
                <w:b/>
                <w:bCs/>
                <w:color w:val="auto"/>
                <w:sz w:val="21"/>
                <w:szCs w:val="21"/>
                <w:highlight w:val="none"/>
                <w:lang w:val="en-US" w:eastAsia="zh-CN"/>
              </w:rPr>
              <w:t>除主体设计协调、</w:t>
            </w:r>
            <w:r>
              <w:rPr>
                <w:rFonts w:hint="eastAsia" w:ascii="宋体" w:hAnsi="宋体" w:cs="宋体"/>
                <w:b/>
                <w:bCs/>
                <w:color w:val="auto"/>
                <w:sz w:val="21"/>
                <w:szCs w:val="21"/>
                <w:highlight w:val="none"/>
                <w:lang w:val="en-US" w:eastAsia="zh-CN"/>
              </w:rPr>
              <w:t>工程保证</w:t>
            </w:r>
            <w:r>
              <w:rPr>
                <w:rFonts w:hint="eastAsia" w:ascii="宋体" w:hAnsi="宋体" w:eastAsia="宋体" w:cs="宋体"/>
                <w:b/>
                <w:bCs/>
                <w:color w:val="auto"/>
                <w:sz w:val="21"/>
                <w:szCs w:val="21"/>
                <w:highlight w:val="none"/>
                <w:lang w:val="en-US" w:eastAsia="zh-CN"/>
              </w:rPr>
              <w:t>保险、</w:t>
            </w:r>
            <w:r>
              <w:rPr>
                <w:rFonts w:hint="eastAsia" w:ascii="宋体" w:hAnsi="宋体" w:eastAsia="宋体" w:cs="宋体"/>
                <w:b/>
                <w:bCs/>
                <w:color w:val="auto"/>
                <w:sz w:val="21"/>
                <w:szCs w:val="21"/>
                <w:highlight w:val="none"/>
                <w:lang w:eastAsia="zh-CN"/>
              </w:rPr>
              <w:t>系统二次及光纤通信设计</w:t>
            </w:r>
            <w:r>
              <w:rPr>
                <w:rFonts w:hint="eastAsia" w:ascii="宋体" w:hAnsi="宋体" w:eastAsia="宋体" w:cs="宋体"/>
                <w:b/>
                <w:bCs/>
                <w:color w:val="auto"/>
                <w:sz w:val="21"/>
                <w:szCs w:val="21"/>
                <w:highlight w:val="none"/>
                <w:lang w:val="en-US" w:eastAsia="zh-CN"/>
              </w:rPr>
              <w:t>外其他分标</w:t>
            </w:r>
            <w:r>
              <w:rPr>
                <w:rFonts w:hint="eastAsia" w:ascii="宋体" w:hAnsi="宋体" w:cs="宋体"/>
                <w:b/>
                <w:bCs/>
                <w:color w:val="auto"/>
                <w:sz w:val="21"/>
                <w:szCs w:val="21"/>
                <w:highlight w:val="none"/>
                <w:lang w:val="en-US" w:eastAsia="zh-CN"/>
              </w:rPr>
              <w:t>，本次适用</w:t>
            </w:r>
            <w:r>
              <w:rPr>
                <w:rFonts w:hint="eastAsia" w:ascii="宋体" w:hAnsi="宋体" w:eastAsia="宋体" w:cs="宋体"/>
                <w:b w:val="0"/>
                <w:bCs w:val="0"/>
                <w:color w:val="auto"/>
                <w:sz w:val="21"/>
                <w:szCs w:val="21"/>
                <w:highlight w:val="none"/>
                <w:lang w:eastAsia="zh-CN"/>
              </w:rPr>
              <w:t>）</w:t>
            </w:r>
          </w:p>
          <w:p>
            <w:pPr>
              <w:autoSpaceDE w:val="0"/>
              <w:autoSpaceDN w:val="0"/>
              <w:adjustRightInd w:val="0"/>
              <w:snapToGrid w:val="0"/>
              <w:jc w:val="left"/>
              <w:rPr>
                <w:rFonts w:hint="eastAsia" w:ascii="宋体" w:hAnsi="宋体" w:eastAsia="宋体" w:cs="宋体"/>
                <w:b w:val="0"/>
                <w:bCs w:val="0"/>
                <w:color w:val="auto"/>
                <w:sz w:val="21"/>
                <w:szCs w:val="21"/>
                <w:highlight w:val="none"/>
                <w:lang w:eastAsia="zh-CN"/>
              </w:rPr>
            </w:pPr>
            <w:r>
              <w:rPr>
                <w:rFonts w:hint="eastAsia" w:ascii="宋体" w:hAnsi="宋体" w:cs="宋体"/>
                <w:color w:val="auto"/>
                <w:kern w:val="0"/>
                <w:szCs w:val="21"/>
                <w:highlight w:val="none"/>
                <w:lang w:eastAsia="zh-CN"/>
              </w:rPr>
              <w:t>□</w:t>
            </w:r>
            <w:r>
              <w:rPr>
                <w:rFonts w:hint="eastAsia" w:ascii="宋体" w:hAnsi="宋体" w:eastAsia="宋体" w:cs="宋体"/>
                <w:b w:val="0"/>
                <w:bCs w:val="0"/>
                <w:color w:val="auto"/>
                <w:sz w:val="21"/>
                <w:szCs w:val="21"/>
                <w:highlight w:val="none"/>
                <w:lang w:eastAsia="zh-CN"/>
              </w:rPr>
              <w:t>折扣比例（</w:t>
            </w:r>
            <w:r>
              <w:rPr>
                <w:rFonts w:hint="eastAsia" w:ascii="宋体" w:hAnsi="宋体" w:cs="宋体"/>
                <w:b w:val="0"/>
                <w:bCs w:val="0"/>
                <w:color w:val="auto"/>
                <w:sz w:val="21"/>
                <w:szCs w:val="21"/>
                <w:highlight w:val="none"/>
                <w:lang w:val="en-US" w:eastAsia="zh-CN"/>
              </w:rPr>
              <w:t>不适用，</w:t>
            </w:r>
            <w:r>
              <w:rPr>
                <w:rFonts w:hint="eastAsia" w:ascii="宋体" w:hAnsi="宋体" w:eastAsia="宋体" w:cs="宋体"/>
                <w:b/>
                <w:bCs/>
                <w:color w:val="auto"/>
                <w:sz w:val="21"/>
                <w:szCs w:val="21"/>
                <w:highlight w:val="none"/>
                <w:lang w:val="en-US" w:eastAsia="zh-CN"/>
              </w:rPr>
              <w:t>适用于</w:t>
            </w:r>
            <w:r>
              <w:rPr>
                <w:rFonts w:hint="eastAsia" w:ascii="宋体" w:hAnsi="宋体" w:eastAsia="宋体" w:cs="宋体"/>
                <w:b/>
                <w:bCs/>
                <w:color w:val="auto"/>
                <w:sz w:val="21"/>
                <w:szCs w:val="21"/>
                <w:highlight w:val="none"/>
                <w:lang w:eastAsia="zh-CN"/>
              </w:rPr>
              <w:t>系统二次及光纤通信设计</w:t>
            </w:r>
            <w:r>
              <w:rPr>
                <w:rFonts w:hint="eastAsia" w:ascii="宋体" w:hAnsi="宋体" w:eastAsia="宋体" w:cs="宋体"/>
                <w:b/>
                <w:bCs/>
                <w:color w:val="auto"/>
                <w:sz w:val="21"/>
                <w:szCs w:val="21"/>
                <w:highlight w:val="none"/>
                <w:lang w:val="en-US" w:eastAsia="zh-CN"/>
              </w:rPr>
              <w:t>分标</w:t>
            </w:r>
            <w:r>
              <w:rPr>
                <w:rFonts w:hint="eastAsia" w:ascii="宋体" w:hAnsi="宋体" w:eastAsia="宋体" w:cs="宋体"/>
                <w:b w:val="0"/>
                <w:bCs w:val="0"/>
                <w:color w:val="auto"/>
                <w:sz w:val="21"/>
                <w:szCs w:val="21"/>
                <w:highlight w:val="none"/>
                <w:lang w:eastAsia="zh-CN"/>
              </w:rPr>
              <w:t>）</w:t>
            </w:r>
          </w:p>
          <w:p>
            <w:pPr>
              <w:adjustRightInd w:val="0"/>
              <w:snapToGrid w:val="0"/>
              <w:rPr>
                <w:rFonts w:hint="eastAsia" w:ascii="宋体" w:hAnsi="宋体" w:eastAsia="宋体" w:cs="宋体"/>
                <w:b w:val="0"/>
                <w:bCs w:val="0"/>
                <w:color w:val="auto"/>
                <w:sz w:val="21"/>
                <w:szCs w:val="21"/>
                <w:highlight w:val="none"/>
                <w:lang w:eastAsia="zh-CN"/>
              </w:rPr>
            </w:pPr>
            <w:r>
              <w:rPr>
                <w:rFonts w:hint="eastAsia" w:ascii="宋体" w:hAnsi="宋体" w:cs="宋体"/>
                <w:color w:val="auto"/>
                <w:kern w:val="0"/>
                <w:szCs w:val="21"/>
                <w:highlight w:val="none"/>
                <w:lang w:eastAsia="zh-CN"/>
              </w:rPr>
              <w:t>□</w:t>
            </w:r>
            <w:r>
              <w:rPr>
                <w:rFonts w:hint="eastAsia" w:ascii="宋体" w:hAnsi="宋体" w:eastAsia="宋体" w:cs="宋体"/>
                <w:b w:val="0"/>
                <w:bCs w:val="0"/>
                <w:color w:val="auto"/>
                <w:sz w:val="21"/>
                <w:szCs w:val="21"/>
                <w:highlight w:val="none"/>
              </w:rPr>
              <w:t>费率</w:t>
            </w:r>
            <w:r>
              <w:rPr>
                <w:rFonts w:hint="eastAsia" w:ascii="宋体" w:hAnsi="宋体" w:eastAsia="宋体" w:cs="宋体"/>
                <w:b w:val="0"/>
                <w:bCs w:val="0"/>
                <w:color w:val="auto"/>
                <w:sz w:val="21"/>
                <w:szCs w:val="21"/>
                <w:highlight w:val="none"/>
                <w:lang w:eastAsia="zh-CN"/>
              </w:rPr>
              <w:t>（</w:t>
            </w:r>
            <w:r>
              <w:rPr>
                <w:rFonts w:hint="eastAsia" w:ascii="宋体" w:hAnsi="宋体" w:cs="宋体"/>
                <w:b w:val="0"/>
                <w:bCs w:val="0"/>
                <w:color w:val="auto"/>
                <w:sz w:val="21"/>
                <w:szCs w:val="21"/>
                <w:highlight w:val="none"/>
                <w:lang w:val="en-US" w:eastAsia="zh-CN"/>
              </w:rPr>
              <w:t>不适用，</w:t>
            </w:r>
            <w:r>
              <w:rPr>
                <w:rFonts w:hint="eastAsia" w:ascii="宋体" w:hAnsi="宋体" w:eastAsia="宋体" w:cs="宋体"/>
                <w:b/>
                <w:bCs/>
                <w:color w:val="auto"/>
                <w:sz w:val="21"/>
                <w:szCs w:val="21"/>
                <w:highlight w:val="none"/>
                <w:lang w:val="en-US" w:eastAsia="zh-CN"/>
              </w:rPr>
              <w:t>适用于主体设计协调、</w:t>
            </w:r>
            <w:r>
              <w:rPr>
                <w:rFonts w:hint="eastAsia" w:ascii="宋体" w:hAnsi="宋体" w:cs="宋体"/>
                <w:b/>
                <w:bCs/>
                <w:color w:val="auto"/>
                <w:sz w:val="21"/>
                <w:szCs w:val="21"/>
                <w:highlight w:val="none"/>
                <w:lang w:val="en-US" w:eastAsia="zh-CN"/>
              </w:rPr>
              <w:t>工程保证</w:t>
            </w:r>
            <w:r>
              <w:rPr>
                <w:rFonts w:hint="eastAsia" w:ascii="宋体" w:hAnsi="宋体" w:eastAsia="宋体" w:cs="宋体"/>
                <w:b/>
                <w:bCs/>
                <w:color w:val="auto"/>
                <w:sz w:val="21"/>
                <w:szCs w:val="21"/>
                <w:highlight w:val="none"/>
                <w:lang w:val="en-US" w:eastAsia="zh-CN"/>
              </w:rPr>
              <w:t>保险分标</w:t>
            </w:r>
            <w:r>
              <w:rPr>
                <w:rFonts w:hint="eastAsia" w:ascii="宋体" w:hAnsi="宋体" w:eastAsia="宋体" w:cs="宋体"/>
                <w:b w:val="0"/>
                <w:bCs w:val="0"/>
                <w:color w:val="auto"/>
                <w:sz w:val="21"/>
                <w:szCs w:val="21"/>
                <w:highlight w:val="none"/>
                <w:lang w:eastAsia="zh-CN"/>
              </w:rPr>
              <w:t>）</w:t>
            </w:r>
          </w:p>
          <w:p>
            <w:pPr>
              <w:pStyle w:val="5"/>
              <w:rPr>
                <w:rFonts w:hint="eastAsia" w:ascii="宋体" w:hAnsi="宋体" w:eastAsia="宋体" w:cs="宋体"/>
                <w:color w:val="auto"/>
                <w:sz w:val="21"/>
                <w:szCs w:val="21"/>
                <w:highlight w:val="none"/>
              </w:rPr>
            </w:pPr>
          </w:p>
          <w:p>
            <w:pPr>
              <w:pStyle w:val="17"/>
              <w:ind w:left="0" w:leftChars="0" w:firstLine="0" w:firstLineChars="0"/>
              <w:rPr>
                <w:rFonts w:hint="eastAsia" w:ascii="宋体" w:hAnsi="宋体" w:eastAsia="宋体" w:cs="宋体"/>
                <w:b w:val="0"/>
                <w:bCs/>
                <w:color w:val="auto"/>
                <w:sz w:val="21"/>
                <w:szCs w:val="21"/>
                <w:highlight w:val="none"/>
              </w:rPr>
            </w:pPr>
            <w:r>
              <w:rPr>
                <w:rFonts w:hint="eastAsia" w:ascii="宋体" w:hAnsi="宋体" w:cs="宋体"/>
                <w:b/>
                <w:bCs w:val="0"/>
                <w:color w:val="auto"/>
                <w:sz w:val="21"/>
                <w:szCs w:val="21"/>
                <w:highlight w:val="none"/>
                <w:lang w:val="en-US" w:eastAsia="zh-CN"/>
              </w:rPr>
              <w:t>4.1</w:t>
            </w:r>
            <w:r>
              <w:rPr>
                <w:rFonts w:hint="eastAsia" w:ascii="宋体" w:hAnsi="宋体" w:eastAsia="宋体" w:cs="宋体"/>
                <w:b/>
                <w:bCs w:val="0"/>
                <w:color w:val="auto"/>
                <w:sz w:val="21"/>
                <w:szCs w:val="21"/>
                <w:highlight w:val="none"/>
              </w:rPr>
              <w:t>采用投标金额报价</w:t>
            </w:r>
            <w:r>
              <w:rPr>
                <w:rFonts w:hint="eastAsia" w:ascii="宋体" w:hAnsi="宋体" w:eastAsia="宋体" w:cs="宋体"/>
                <w:b w:val="0"/>
                <w:bCs/>
                <w:color w:val="auto"/>
                <w:sz w:val="21"/>
                <w:szCs w:val="21"/>
                <w:highlight w:val="none"/>
              </w:rPr>
              <w:t>：投标总价即为合同价格。合同价格是完成合同所规定的所有服务的全部报酬，任何一方不得以任何理由要求对合同价格作任何调整（合同另有规定除外）。</w:t>
            </w:r>
          </w:p>
          <w:p>
            <w:pPr>
              <w:pStyle w:val="17"/>
              <w:ind w:left="0" w:leftChars="0" w:firstLine="0" w:firstLineChars="0"/>
              <w:rPr>
                <w:rFonts w:hint="eastAsia" w:ascii="宋体" w:hAnsi="宋体" w:eastAsia="宋体" w:cs="宋体"/>
                <w:b w:val="0"/>
                <w:bCs/>
                <w:color w:val="auto"/>
                <w:sz w:val="21"/>
                <w:szCs w:val="21"/>
                <w:highlight w:val="none"/>
              </w:rPr>
            </w:pPr>
            <w:r>
              <w:rPr>
                <w:rFonts w:hint="eastAsia" w:ascii="宋体" w:hAnsi="宋体" w:cs="宋体"/>
                <w:b/>
                <w:bCs w:val="0"/>
                <w:color w:val="auto"/>
                <w:sz w:val="21"/>
                <w:szCs w:val="21"/>
                <w:highlight w:val="none"/>
                <w:lang w:val="en-US" w:eastAsia="zh-CN"/>
              </w:rPr>
              <w:t>4.2</w:t>
            </w:r>
            <w:r>
              <w:rPr>
                <w:rFonts w:hint="eastAsia" w:ascii="宋体" w:hAnsi="宋体" w:eastAsia="宋体" w:cs="宋体"/>
                <w:b/>
                <w:bCs w:val="0"/>
                <w:color w:val="auto"/>
                <w:sz w:val="21"/>
                <w:szCs w:val="21"/>
                <w:highlight w:val="none"/>
              </w:rPr>
              <w:t>采用折扣比例报价：</w:t>
            </w:r>
            <w:r>
              <w:rPr>
                <w:rFonts w:hint="eastAsia" w:ascii="宋体" w:hAnsi="宋体" w:eastAsia="宋体" w:cs="宋体"/>
                <w:b w:val="0"/>
                <w:bCs/>
                <w:color w:val="auto"/>
                <w:sz w:val="21"/>
                <w:szCs w:val="21"/>
                <w:highlight w:val="none"/>
              </w:rPr>
              <w:t>折扣比例定义为相对于报价基数的百分比。投标人报价时，应报出正的（＋）百分比。例如：下浮10%，折扣比例应填写为90%。</w:t>
            </w:r>
          </w:p>
          <w:p>
            <w:pPr>
              <w:pStyle w:val="17"/>
              <w:ind w:left="0" w:leftChars="0" w:firstLine="0" w:firstLineChars="0"/>
              <w:rPr>
                <w:rFonts w:hint="eastAsia" w:ascii="宋体" w:hAnsi="宋体" w:eastAsia="宋体" w:cs="宋体"/>
                <w:b w:val="0"/>
                <w:bCs/>
                <w:color w:val="auto"/>
                <w:sz w:val="21"/>
                <w:szCs w:val="21"/>
                <w:highlight w:val="none"/>
              </w:rPr>
            </w:pPr>
            <w:r>
              <w:rPr>
                <w:rFonts w:hint="eastAsia" w:ascii="宋体" w:hAnsi="宋体" w:cs="宋体"/>
                <w:b/>
                <w:bCs w:val="0"/>
                <w:color w:val="auto"/>
                <w:sz w:val="21"/>
                <w:szCs w:val="21"/>
                <w:highlight w:val="none"/>
                <w:lang w:val="en-US" w:eastAsia="zh-CN"/>
              </w:rPr>
              <w:t>4.3</w:t>
            </w:r>
            <w:r>
              <w:rPr>
                <w:rFonts w:hint="eastAsia" w:ascii="宋体" w:hAnsi="宋体" w:eastAsia="宋体" w:cs="宋体"/>
                <w:b/>
                <w:bCs w:val="0"/>
                <w:color w:val="auto"/>
                <w:sz w:val="21"/>
                <w:szCs w:val="21"/>
                <w:highlight w:val="none"/>
              </w:rPr>
              <w:t>采用费率报价：</w:t>
            </w:r>
            <w:r>
              <w:rPr>
                <w:rFonts w:hint="eastAsia" w:ascii="宋体" w:hAnsi="宋体" w:eastAsia="宋体" w:cs="宋体"/>
                <w:b w:val="0"/>
                <w:bCs/>
                <w:color w:val="auto"/>
                <w:sz w:val="21"/>
                <w:szCs w:val="21"/>
                <w:highlight w:val="none"/>
              </w:rPr>
              <w:t>投标人填报主体设计协调费费率。该费率为含税费率。中标费率将作为主体设计协调费的合同价格计算依据，任何一方不得以任何理由要求对中标费率作任何调整（合同另有规定除外）。</w:t>
            </w:r>
          </w:p>
          <w:p>
            <w:pPr>
              <w:pStyle w:val="17"/>
              <w:ind w:left="0" w:leftChars="0" w:firstLine="0" w:firstLineChars="0"/>
              <w:rPr>
                <w:rFonts w:hint="eastAsia" w:ascii="宋体" w:hAnsi="宋体" w:eastAsia="宋体" w:cs="宋体"/>
                <w:b w:val="0"/>
                <w:bCs/>
                <w:color w:val="auto"/>
                <w:sz w:val="21"/>
                <w:szCs w:val="21"/>
                <w:highlight w:val="none"/>
              </w:rPr>
            </w:pPr>
            <w:r>
              <w:rPr>
                <w:rFonts w:hint="eastAsia" w:ascii="宋体" w:hAnsi="宋体" w:eastAsia="宋体" w:cs="宋体"/>
                <w:b w:val="0"/>
                <w:bCs/>
                <w:color w:val="auto"/>
                <w:sz w:val="21"/>
                <w:szCs w:val="21"/>
                <w:highlight w:val="none"/>
              </w:rPr>
              <w:t>（1）本次招标要求投标人在通过离线投标工具报价时，在“折扣率”字段中填报“费率”。例如：拟报的费率为3%，则在“折扣率（%）”字段中填报3。系统中折扣率单位为%，填写时请注意。</w:t>
            </w:r>
          </w:p>
          <w:p>
            <w:pPr>
              <w:pStyle w:val="17"/>
              <w:ind w:left="0" w:leftChars="0" w:firstLine="0" w:firstLineChars="0"/>
              <w:rPr>
                <w:rFonts w:hint="eastAsia"/>
                <w:color w:val="auto"/>
                <w:highlight w:val="none"/>
              </w:rPr>
            </w:pPr>
            <w:r>
              <w:rPr>
                <w:rFonts w:hint="eastAsia" w:ascii="宋体" w:hAnsi="宋体" w:eastAsia="宋体" w:cs="宋体"/>
                <w:b w:val="0"/>
                <w:bCs/>
                <w:color w:val="auto"/>
                <w:sz w:val="21"/>
                <w:szCs w:val="21"/>
                <w:highlight w:val="none"/>
              </w:rPr>
              <w:t>（2）投标人在通过离线投标工具报价时，所有行信息的“费率”必须一致。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3.2.4</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zh-CN"/>
              </w:rPr>
            </w:pPr>
            <w:r>
              <w:rPr>
                <w:rFonts w:hint="eastAsia" w:ascii="宋体" w:hAnsi="宋体" w:eastAsia="宋体" w:cs="宋体"/>
                <w:color w:val="auto"/>
                <w:kern w:val="0"/>
                <w:szCs w:val="21"/>
                <w:highlight w:val="none"/>
                <w:lang w:eastAsia="zh-CN"/>
              </w:rPr>
              <w:t>最高限价</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详见</w:t>
            </w:r>
            <w:r>
              <w:rPr>
                <w:rFonts w:hint="eastAsia" w:ascii="宋体" w:hAnsi="宋体" w:eastAsia="宋体" w:cs="宋体"/>
                <w:b/>
                <w:bCs/>
                <w:color w:val="auto"/>
                <w:sz w:val="21"/>
                <w:szCs w:val="21"/>
                <w:highlight w:val="none"/>
                <w:lang w:val="en-US" w:eastAsia="zh-CN"/>
              </w:rPr>
              <w:t>招标公告</w:t>
            </w:r>
            <w:r>
              <w:rPr>
                <w:rFonts w:hint="eastAsia" w:ascii="宋体" w:hAnsi="宋体" w:eastAsia="宋体" w:cs="宋体"/>
                <w:b/>
                <w:bCs/>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3.2.5（1）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投标报价的其他要求</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招标人不接受投标人</w:t>
            </w:r>
            <w:r>
              <w:rPr>
                <w:rFonts w:hint="eastAsia" w:ascii="宋体" w:hAnsi="宋体" w:eastAsia="宋体" w:cs="宋体"/>
                <w:color w:val="auto"/>
                <w:szCs w:val="21"/>
                <w:highlight w:val="none"/>
              </w:rPr>
              <w:t>任何形式的价格调整声明，</w:t>
            </w:r>
            <w:r>
              <w:rPr>
                <w:rFonts w:hint="eastAsia" w:ascii="宋体" w:hAnsi="宋体" w:eastAsia="宋体" w:cs="宋体"/>
                <w:color w:val="auto"/>
                <w:kern w:val="0"/>
                <w:szCs w:val="21"/>
                <w:highlight w:val="none"/>
              </w:rPr>
              <w:t>在投标截止时间前，如投标价格有变动</w:t>
            </w:r>
            <w:r>
              <w:rPr>
                <w:rFonts w:hint="eastAsia" w:ascii="宋体" w:hAnsi="宋体" w:eastAsia="宋体" w:cs="宋体"/>
                <w:color w:val="auto"/>
                <w:szCs w:val="21"/>
                <w:highlight w:val="none"/>
              </w:rPr>
              <w:t>，</w:t>
            </w:r>
            <w:r>
              <w:rPr>
                <w:rFonts w:hint="eastAsia" w:ascii="宋体" w:hAnsi="宋体" w:eastAsia="宋体" w:cs="宋体"/>
                <w:color w:val="auto"/>
                <w:kern w:val="0"/>
                <w:szCs w:val="21"/>
                <w:highlight w:val="none"/>
              </w:rPr>
              <w:t>投标人应在投标截止时间前登录招标人招投标交易平台信息系统将原有投标价格删除重新填报新的价格。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864" w:hRule="atLeast"/>
        </w:trPr>
        <w:tc>
          <w:tcPr>
            <w:tcW w:w="1056" w:type="dxa"/>
            <w:vAlign w:val="center"/>
          </w:tcPr>
          <w:p>
            <w:pPr>
              <w:pStyle w:val="27"/>
              <w:spacing w:before="120" w:beforeLines="50" w:after="120" w:afterLines="50"/>
              <w:ind w:left="245" w:right="234"/>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lang w:eastAsia="en-US"/>
              </w:rPr>
              <w:t>3.2.5</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rPr>
              <w:t>2）</w:t>
            </w:r>
          </w:p>
        </w:tc>
        <w:tc>
          <w:tcPr>
            <w:tcW w:w="1171" w:type="dxa"/>
            <w:vAlign w:val="center"/>
          </w:tcPr>
          <w:p>
            <w:pPr>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投标报价的其他要求</w:t>
            </w:r>
          </w:p>
        </w:tc>
        <w:tc>
          <w:tcPr>
            <w:tcW w:w="6193" w:type="dxa"/>
            <w:vAlign w:val="center"/>
          </w:tcPr>
          <w:p>
            <w:pPr>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详见投标人须知前附表之附表一。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618"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3.3.1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投标有效期</w:t>
            </w:r>
          </w:p>
        </w:tc>
        <w:tc>
          <w:tcPr>
            <w:tcW w:w="6193" w:type="dxa"/>
            <w:vAlign w:val="center"/>
          </w:tcPr>
          <w:p>
            <w:p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自投标截止日起</w:t>
            </w:r>
            <w:r>
              <w:rPr>
                <w:rFonts w:hint="eastAsia" w:ascii="宋体" w:hAnsi="宋体" w:eastAsia="宋体" w:cs="宋体"/>
                <w:b/>
                <w:bCs/>
                <w:color w:val="auto"/>
                <w:sz w:val="21"/>
                <w:szCs w:val="21"/>
                <w:highlight w:val="none"/>
                <w:lang w:val="en-US" w:eastAsia="zh-CN"/>
              </w:rPr>
              <w:t>90</w:t>
            </w:r>
            <w:r>
              <w:rPr>
                <w:rFonts w:hint="eastAsia" w:ascii="宋体" w:hAnsi="宋体" w:eastAsia="宋体" w:cs="宋体"/>
                <w:color w:val="auto"/>
                <w:szCs w:val="21"/>
                <w:highlight w:val="none"/>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76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3.4.1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投标保证金</w:t>
            </w:r>
          </w:p>
        </w:tc>
        <w:tc>
          <w:tcPr>
            <w:tcW w:w="6193" w:type="dxa"/>
            <w:vAlign w:val="center"/>
          </w:tcPr>
          <w:p>
            <w:pPr>
              <w:adjustRightInd w:val="0"/>
              <w:snapToGrid w:val="0"/>
              <w:spacing w:before="120" w:beforeLines="50" w:after="120" w:afterLines="50"/>
              <w:ind w:firstLine="0"/>
              <w:rPr>
                <w:rFonts w:hint="eastAsia" w:ascii="宋体" w:hAnsi="宋体" w:eastAsia="宋体" w:cs="宋体"/>
                <w:color w:val="auto"/>
                <w:szCs w:val="21"/>
                <w:highlight w:val="none"/>
              </w:rPr>
            </w:pPr>
            <w:r>
              <w:rPr>
                <w:rFonts w:hint="eastAsia" w:ascii="宋体" w:hAnsi="宋体" w:cs="宋体"/>
                <w:color w:val="auto"/>
                <w:szCs w:val="21"/>
                <w:highlight w:val="none"/>
                <w:lang w:eastAsia="zh-CN"/>
              </w:rPr>
              <w:t>□</w:t>
            </w:r>
            <w:r>
              <w:rPr>
                <w:rFonts w:hint="eastAsia" w:ascii="宋体" w:hAnsi="宋体" w:eastAsia="宋体" w:cs="宋体"/>
                <w:color w:val="auto"/>
                <w:szCs w:val="21"/>
                <w:highlight w:val="none"/>
                <w:lang w:val="en-US" w:eastAsia="zh-CN"/>
              </w:rPr>
              <w:t>本项目免收</w:t>
            </w:r>
            <w:r>
              <w:rPr>
                <w:rFonts w:hint="eastAsia" w:ascii="宋体" w:hAnsi="宋体" w:eastAsia="宋体" w:cs="宋体"/>
                <w:color w:val="auto"/>
                <w:szCs w:val="21"/>
                <w:highlight w:val="none"/>
              </w:rPr>
              <w:t>投标保证金，招标文件中保证金的相关要求均不适用。</w:t>
            </w:r>
          </w:p>
          <w:p>
            <w:pPr>
              <w:adjustRightInd w:val="0"/>
              <w:snapToGrid w:val="0"/>
              <w:spacing w:before="120" w:beforeLines="50" w:after="120" w:afterLines="50"/>
              <w:ind w:firstLine="0"/>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eastAsia="zh-CN"/>
              </w:rPr>
              <w:t>☑</w:t>
            </w:r>
            <w:r>
              <w:rPr>
                <w:rFonts w:hint="eastAsia" w:ascii="宋体" w:hAnsi="宋体" w:eastAsia="宋体" w:cs="宋体"/>
                <w:color w:val="auto"/>
                <w:sz w:val="21"/>
                <w:szCs w:val="21"/>
                <w:highlight w:val="none"/>
                <w:shd w:val="clear" w:fill="FFFFFF" w:themeFill="background1"/>
                <w:lang w:eastAsia="zh-CN"/>
              </w:rPr>
              <w:t>本次招标要求投标人递交投标保证金，</w:t>
            </w:r>
            <w:r>
              <w:rPr>
                <w:rFonts w:hint="eastAsia" w:ascii="宋体" w:hAnsi="宋体" w:eastAsia="宋体" w:cs="宋体"/>
                <w:color w:val="auto"/>
                <w:szCs w:val="21"/>
                <w:highlight w:val="none"/>
                <w:lang w:val="en-US" w:eastAsia="zh-CN"/>
              </w:rPr>
              <w:t>投标保证金金额详见投标人须知前附表之附表一，</w:t>
            </w:r>
          </w:p>
          <w:p>
            <w:pPr>
              <w:adjustRightInd w:val="0"/>
              <w:snapToGrid w:val="0"/>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按以下方式递交投标保证金, 具体要求如下：</w:t>
            </w:r>
          </w:p>
          <w:p>
            <w:pPr>
              <w:pStyle w:val="28"/>
              <w:numPr>
                <w:ilvl w:val="0"/>
                <w:numId w:val="0"/>
              </w:numPr>
              <w:rPr>
                <w:rFonts w:hint="eastAsia" w:ascii="宋体" w:hAnsi="宋体" w:eastAsia="宋体" w:cs="宋体"/>
                <w:b/>
                <w:color w:val="auto"/>
                <w:sz w:val="21"/>
                <w:szCs w:val="21"/>
                <w:highlight w:val="none"/>
              </w:rPr>
            </w:pPr>
            <w:r>
              <w:rPr>
                <w:rFonts w:hint="eastAsia" w:ascii="宋体" w:hAnsi="宋体" w:eastAsia="宋体" w:cs="宋体"/>
                <w:b/>
                <w:bCs/>
                <w:color w:val="auto"/>
                <w:kern w:val="0"/>
                <w:sz w:val="21"/>
                <w:szCs w:val="21"/>
                <w:highlight w:val="none"/>
              </w:rPr>
              <w:t>投标人需登录BOSP2.0系统（https://bosp.sgm.sgcc.com.cn 国网物资业务运营服务平台），完成保证金支付、保证金明细的选定，并按招标文件要求上传相应材料至国家电网有限公司</w:t>
            </w:r>
            <w:r>
              <w:rPr>
                <w:rFonts w:hint="eastAsia" w:ascii="宋体" w:hAnsi="宋体" w:eastAsia="宋体" w:cs="宋体"/>
                <w:b/>
                <w:bCs/>
                <w:color w:val="auto"/>
                <w:kern w:val="0"/>
                <w:sz w:val="21"/>
                <w:szCs w:val="21"/>
                <w:highlight w:val="none"/>
                <w:lang w:eastAsia="zh-CN"/>
              </w:rPr>
              <w:t>电子商务平台</w:t>
            </w:r>
            <w:r>
              <w:rPr>
                <w:rFonts w:hint="eastAsia" w:ascii="宋体" w:hAnsi="宋体" w:eastAsia="宋体" w:cs="宋体"/>
                <w:b/>
                <w:bCs/>
                <w:color w:val="auto"/>
                <w:kern w:val="0"/>
                <w:sz w:val="21"/>
                <w:szCs w:val="21"/>
                <w:highlight w:val="none"/>
              </w:rPr>
              <w:t>。</w:t>
            </w:r>
          </w:p>
          <w:p>
            <w:pPr>
              <w:pStyle w:val="28"/>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1.不限制投标保证金开具形式，可以银行汇款、银行保函（抬头：国网物资有限公司）、投标保证保险（被保险人：国网物资有限公司）、年度投标保证金（含年度投标保证保险）或现金等方式开具。</w:t>
            </w:r>
          </w:p>
          <w:p>
            <w:pPr>
              <w:pStyle w:val="28"/>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以电汇、银行保函、投标保证保险方式提交保证金的，同时随附投标保证金明细表。对于未提供保证金明细表或提供的明细表内容不全的、所提供的明细表内容表达模糊不清的，招标人将按照招标编号、分标编号、包号顺序核定。</w:t>
            </w:r>
          </w:p>
          <w:p>
            <w:pPr>
              <w:pStyle w:val="28"/>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2.对于没有年度投标保证金证明的投标人，必须按投标人提交保证金。</w:t>
            </w:r>
          </w:p>
          <w:p>
            <w:pPr>
              <w:pStyle w:val="28"/>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对于以</w:t>
            </w:r>
            <w:r>
              <w:rPr>
                <w:rFonts w:hint="eastAsia" w:ascii="宋体" w:hAnsi="宋体" w:eastAsia="宋体" w:cs="宋体"/>
                <w:b/>
                <w:color w:val="auto"/>
                <w:sz w:val="21"/>
                <w:szCs w:val="21"/>
                <w:highlight w:val="none"/>
              </w:rPr>
              <w:t>电汇方式</w:t>
            </w:r>
            <w:r>
              <w:rPr>
                <w:rFonts w:hint="eastAsia" w:ascii="宋体" w:hAnsi="宋体" w:eastAsia="宋体" w:cs="宋体"/>
                <w:color w:val="auto"/>
                <w:sz w:val="21"/>
                <w:szCs w:val="21"/>
                <w:highlight w:val="none"/>
              </w:rPr>
              <w:t>提交投标保证金的投标人，应从投标人基本账户转出，投标文件应附企业基本账户开户许可证扫描件或由投标人基本账户开户银行通过账户管理系统打印的《基本存款账户信息》扫描件、银行回单电子版扫描件、投标保证金明细表（按照第</w:t>
            </w:r>
            <w:r>
              <w:rPr>
                <w:rFonts w:hint="eastAsia" w:ascii="宋体" w:hAnsi="宋体" w:eastAsia="宋体" w:cs="宋体"/>
                <w:color w:val="auto"/>
                <w:sz w:val="21"/>
                <w:szCs w:val="21"/>
                <w:highlight w:val="none"/>
                <w:lang w:val="en-US" w:eastAsia="zh-CN"/>
              </w:rPr>
              <w:t>六</w:t>
            </w:r>
            <w:r>
              <w:rPr>
                <w:rFonts w:hint="eastAsia" w:ascii="宋体" w:hAnsi="宋体" w:eastAsia="宋体" w:cs="宋体"/>
                <w:color w:val="auto"/>
                <w:sz w:val="21"/>
                <w:szCs w:val="21"/>
                <w:highlight w:val="none"/>
              </w:rPr>
              <w:t>章《投标保证金明细表（格式）》）（word版）编入商务投标文件，上传至电子商务平台。</w:t>
            </w:r>
          </w:p>
          <w:p>
            <w:pPr>
              <w:pStyle w:val="28"/>
              <w:numPr>
                <w:ilvl w:val="0"/>
                <w:numId w:val="0"/>
              </w:num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对于以</w:t>
            </w:r>
            <w:r>
              <w:rPr>
                <w:rFonts w:hint="eastAsia" w:ascii="宋体" w:hAnsi="宋体" w:eastAsia="宋体" w:cs="宋体"/>
                <w:b/>
                <w:bCs/>
                <w:color w:val="auto"/>
                <w:sz w:val="21"/>
                <w:szCs w:val="21"/>
                <w:highlight w:val="none"/>
              </w:rPr>
              <w:t>银行保函</w:t>
            </w:r>
            <w:r>
              <w:rPr>
                <w:rFonts w:hint="eastAsia" w:ascii="宋体" w:hAnsi="宋体" w:eastAsia="宋体" w:cs="宋体"/>
                <w:color w:val="auto"/>
                <w:sz w:val="21"/>
                <w:szCs w:val="21"/>
                <w:highlight w:val="none"/>
              </w:rPr>
              <w:t>形式提交的投标保证金的投标人，银行保函应由信誉良好的具备开具保函资格的商业银行开出。投标保证金的有效期应与投标有效期一致。投标时提交保函扫描件、投标保证金明细表（word版）编入商务投标文件，上传至电子商务平台。</w:t>
            </w:r>
          </w:p>
          <w:p>
            <w:pPr>
              <w:pStyle w:val="28"/>
              <w:numPr>
                <w:ilvl w:val="0"/>
                <w:numId w:val="0"/>
              </w:numPr>
              <w:rPr>
                <w:rFonts w:hint="eastAsia" w:ascii="宋体" w:hAnsi="宋体" w:eastAsia="宋体" w:cs="宋体"/>
                <w:color w:val="auto"/>
                <w:kern w:val="0"/>
                <w:sz w:val="21"/>
                <w:szCs w:val="21"/>
                <w:highlight w:val="none"/>
                <w:lang w:eastAsia="zh-CN"/>
              </w:rPr>
            </w:pPr>
            <w:r>
              <w:rPr>
                <w:rFonts w:hint="eastAsia" w:ascii="宋体" w:hAnsi="宋体" w:eastAsia="宋体" w:cs="宋体"/>
                <w:color w:val="auto"/>
                <w:kern w:val="0"/>
                <w:sz w:val="21"/>
                <w:szCs w:val="21"/>
                <w:highlight w:val="none"/>
                <w:lang w:eastAsia="zh-CN"/>
              </w:rPr>
              <w:t>根据《国务院关于印发扎实稳住经济一揽子政策措施的通知》（国发[2022]12号），在招投标领域全面推行保函（保险）替代现金缴纳投标保证金的要求，鼓励投标人以投标保证保险形式提交的投标保证金。</w:t>
            </w:r>
          </w:p>
          <w:p>
            <w:pPr>
              <w:pStyle w:val="28"/>
              <w:numPr>
                <w:ilvl w:val="0"/>
                <w:numId w:val="0"/>
              </w:numP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eastAsia="zh-CN"/>
              </w:rPr>
              <w:t>对于</w:t>
            </w:r>
            <w:r>
              <w:rPr>
                <w:rFonts w:hint="eastAsia" w:ascii="宋体" w:hAnsi="宋体" w:eastAsia="宋体" w:cs="宋体"/>
                <w:color w:val="auto"/>
                <w:kern w:val="0"/>
                <w:sz w:val="21"/>
                <w:szCs w:val="21"/>
                <w:highlight w:val="none"/>
              </w:rPr>
              <w:t>以</w:t>
            </w:r>
            <w:r>
              <w:rPr>
                <w:rFonts w:hint="eastAsia" w:ascii="宋体" w:hAnsi="宋体" w:eastAsia="宋体" w:cs="宋体"/>
                <w:b/>
                <w:bCs/>
                <w:color w:val="auto"/>
                <w:kern w:val="0"/>
                <w:sz w:val="21"/>
                <w:szCs w:val="21"/>
                <w:highlight w:val="none"/>
              </w:rPr>
              <w:t>投标保证保险</w:t>
            </w:r>
            <w:r>
              <w:rPr>
                <w:rFonts w:hint="eastAsia" w:ascii="宋体" w:hAnsi="宋体" w:eastAsia="宋体" w:cs="宋体"/>
                <w:color w:val="auto"/>
                <w:kern w:val="0"/>
                <w:sz w:val="21"/>
                <w:szCs w:val="21"/>
                <w:highlight w:val="none"/>
              </w:rPr>
              <w:t>形式提交的投标保证金，保险责任需满足招标人的要求，投标保证保险保单作为有效的投标文件依据，应由具备相应保险资质、信誉良好、且支持保单查询的保险公司开具，保单保费应从投标人基本账户转出，提交的保单上应体现保费是否由投标人基本账户支付的相关信息。投标保证保险的保险期限应与投标有效期一致。保险责任及相关要求见第</w:t>
            </w:r>
            <w:r>
              <w:rPr>
                <w:rFonts w:hint="eastAsia" w:ascii="宋体" w:hAnsi="宋体" w:eastAsia="宋体" w:cs="宋体"/>
                <w:color w:val="auto"/>
                <w:kern w:val="0"/>
                <w:sz w:val="21"/>
                <w:szCs w:val="21"/>
                <w:highlight w:val="none"/>
                <w:lang w:val="en-US" w:eastAsia="zh-CN"/>
              </w:rPr>
              <w:t>六</w:t>
            </w:r>
            <w:r>
              <w:rPr>
                <w:rFonts w:hint="eastAsia" w:ascii="宋体" w:hAnsi="宋体" w:eastAsia="宋体" w:cs="宋体"/>
                <w:color w:val="auto"/>
                <w:kern w:val="0"/>
                <w:sz w:val="21"/>
                <w:szCs w:val="21"/>
                <w:highlight w:val="none"/>
              </w:rPr>
              <w:t>章投标文件格式。以投标保证保险形式提交投标保证金的投标人，须将保证金明细表上传至电子商务平台，并将清晰标注了线上或电话查询保单真伪性路径的纸制保单扫描件（电子保单）PDF格式文件按照“投标保证保险-XXX公司（全称）”命名后上传至供应商投标工具中商务文件的“商务部分（附加）”端口。保单保费未从投标人基本帐户转出、保单未体现保费是否由投标人基本账户支付的相关信息、未提供保单查询途径或提供的查询途径招标人无法查询的，视为提交的投标保证金无效。</w:t>
            </w:r>
          </w:p>
          <w:p>
            <w:pPr>
              <w:pStyle w:val="28"/>
              <w:numPr>
                <w:ilvl w:val="0"/>
                <w:numId w:val="0"/>
              </w:numPr>
              <w:ind w:firstLine="360"/>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推荐投标人使用银行保函、投标保证保险。</w:t>
            </w:r>
          </w:p>
          <w:p>
            <w:pPr>
              <w:pStyle w:val="28"/>
              <w:numPr>
                <w:ilvl w:val="0"/>
                <w:numId w:val="0"/>
              </w:numPr>
              <w:autoSpaceDE/>
              <w:autoSpaceDN/>
              <w:adjustRightInd w:val="0"/>
              <w:snapToGrid w:val="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3.对于已提交年度投标保证金</w:t>
            </w:r>
            <w:r>
              <w:rPr>
                <w:rFonts w:hint="eastAsia" w:ascii="宋体" w:hAnsi="宋体" w:eastAsia="宋体" w:cs="宋体"/>
                <w:color w:val="auto"/>
                <w:sz w:val="21"/>
                <w:szCs w:val="21"/>
                <w:highlight w:val="none"/>
                <w:lang w:val="en-US" w:eastAsia="zh-CN"/>
              </w:rPr>
              <w:t>（含年度投标保证保险）</w:t>
            </w:r>
            <w:r>
              <w:rPr>
                <w:rFonts w:hint="eastAsia" w:ascii="宋体" w:hAnsi="宋体" w:eastAsia="宋体" w:cs="宋体"/>
                <w:color w:val="auto"/>
                <w:sz w:val="21"/>
                <w:szCs w:val="21"/>
                <w:highlight w:val="none"/>
              </w:rPr>
              <w:t>的投标人，仅须提交加盖公章的有效年度投标保证金</w:t>
            </w:r>
            <w:r>
              <w:rPr>
                <w:rFonts w:hint="eastAsia" w:ascii="宋体" w:hAnsi="宋体" w:eastAsia="宋体" w:cs="宋体"/>
                <w:color w:val="auto"/>
                <w:sz w:val="21"/>
                <w:szCs w:val="21"/>
                <w:highlight w:val="none"/>
                <w:lang w:val="en-US" w:eastAsia="zh-CN"/>
              </w:rPr>
              <w:t>（含年度投标保证保险）</w:t>
            </w:r>
            <w:r>
              <w:rPr>
                <w:rFonts w:hint="eastAsia" w:ascii="宋体" w:hAnsi="宋体" w:eastAsia="宋体" w:cs="宋体"/>
                <w:color w:val="auto"/>
                <w:sz w:val="21"/>
                <w:szCs w:val="21"/>
                <w:highlight w:val="none"/>
              </w:rPr>
              <w:t>的财务证明扫描件，编入商务投标文件，上传至电子商务平台。发生3.4.4投标保证金不予退还情形时，投标保证金将从年度投标保证金中直接扣减。年度投标保证金被扣减后，投标人应在参加下一次投标前主动补足其年度投标保证金不足部分，否则因年度投标保证金不足而引起的风险由投标人自行承担。</w:t>
            </w:r>
          </w:p>
          <w:p>
            <w:pPr>
              <w:pStyle w:val="28"/>
              <w:numPr>
                <w:ilvl w:val="0"/>
                <w:numId w:val="0"/>
              </w:numPr>
              <w:autoSpaceDE/>
              <w:autoSpaceDN/>
              <w:adjustRightInd w:val="0"/>
              <w:snapToGrid w:val="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对于以年度投标保证保险形式提交的投标保证金，保单保费应从投标人基本账户转出，保单上应体现保费是否由投标人基本账户支付的相关信息，投标人应按照</w:t>
            </w:r>
            <w:r>
              <w:rPr>
                <w:rFonts w:hint="eastAsia" w:ascii="宋体" w:hAnsi="宋体" w:eastAsia="宋体" w:cs="宋体"/>
                <w:color w:val="auto"/>
                <w:kern w:val="0"/>
                <w:sz w:val="21"/>
                <w:szCs w:val="21"/>
                <w:highlight w:val="none"/>
              </w:rPr>
              <w:t>第</w:t>
            </w:r>
            <w:r>
              <w:rPr>
                <w:rFonts w:hint="eastAsia" w:ascii="宋体" w:hAnsi="宋体" w:eastAsia="宋体" w:cs="宋体"/>
                <w:color w:val="auto"/>
                <w:kern w:val="0"/>
                <w:sz w:val="21"/>
                <w:szCs w:val="21"/>
                <w:highlight w:val="none"/>
                <w:lang w:val="en-US" w:eastAsia="zh-CN"/>
              </w:rPr>
              <w:t>六</w:t>
            </w:r>
            <w:r>
              <w:rPr>
                <w:rFonts w:hint="eastAsia" w:ascii="宋体" w:hAnsi="宋体" w:eastAsia="宋体" w:cs="宋体"/>
                <w:color w:val="auto"/>
                <w:kern w:val="0"/>
                <w:sz w:val="21"/>
                <w:szCs w:val="21"/>
                <w:highlight w:val="none"/>
              </w:rPr>
              <w:t>章投标文件格式</w:t>
            </w:r>
            <w:r>
              <w:rPr>
                <w:rFonts w:hint="eastAsia" w:ascii="宋体" w:hAnsi="宋体" w:eastAsia="宋体" w:cs="宋体"/>
                <w:color w:val="auto"/>
                <w:sz w:val="21"/>
                <w:szCs w:val="21"/>
                <w:highlight w:val="none"/>
                <w:lang w:val="en-US" w:eastAsia="zh-CN"/>
              </w:rPr>
              <w:t>要求递交年度投标保证保险保单，未提交年度投标保证保险保单、保单保费未从投标人基本帐户转出、保单未体现保费是否由投标人基本账户支付的相关信息，视为提交的投标保证金无效。</w:t>
            </w:r>
          </w:p>
          <w:p>
            <w:pPr>
              <w:pStyle w:val="28"/>
              <w:numPr>
                <w:ilvl w:val="0"/>
                <w:numId w:val="0"/>
              </w:numPr>
              <w:autoSpaceDE/>
              <w:autoSpaceDN/>
              <w:adjustRightInd w:val="0"/>
              <w:snapToGrid w:val="0"/>
              <w:ind w:firstLine="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4.</w:t>
            </w:r>
            <w:r>
              <w:rPr>
                <w:rFonts w:hint="eastAsia" w:ascii="宋体" w:hAnsi="宋体" w:eastAsia="宋体" w:cs="宋体"/>
                <w:b/>
                <w:bCs/>
                <w:color w:val="auto"/>
                <w:sz w:val="21"/>
                <w:szCs w:val="21"/>
                <w:highlight w:val="none"/>
                <w:lang w:eastAsia="zh-CN"/>
              </w:rPr>
              <w:t>投标保证金的金额：</w:t>
            </w:r>
            <w:r>
              <w:rPr>
                <w:rFonts w:hint="eastAsia" w:ascii="宋体" w:hAnsi="宋体" w:eastAsia="宋体" w:cs="宋体"/>
                <w:color w:val="auto"/>
                <w:kern w:val="2"/>
                <w:sz w:val="21"/>
                <w:szCs w:val="21"/>
                <w:highlight w:val="none"/>
                <w:lang w:val="en-US" w:eastAsia="zh-CN" w:bidi="ar-SA"/>
              </w:rPr>
              <w:t>投标人每个</w:t>
            </w:r>
            <w:r>
              <w:rPr>
                <w:rFonts w:hint="eastAsia" w:ascii="宋体" w:hAnsi="宋体" w:eastAsia="宋体" w:cs="宋体"/>
                <w:b/>
                <w:bCs/>
                <w:color w:val="auto"/>
                <w:kern w:val="2"/>
                <w:sz w:val="21"/>
                <w:szCs w:val="21"/>
                <w:highlight w:val="none"/>
                <w:lang w:val="en-US" w:eastAsia="zh-CN" w:bidi="ar-SA"/>
              </w:rPr>
              <w:t>分标</w:t>
            </w:r>
            <w:r>
              <w:rPr>
                <w:rFonts w:hint="eastAsia" w:ascii="宋体" w:hAnsi="宋体" w:eastAsia="宋体" w:cs="宋体"/>
                <w:color w:val="auto"/>
                <w:kern w:val="2"/>
                <w:sz w:val="21"/>
                <w:szCs w:val="21"/>
                <w:highlight w:val="none"/>
                <w:lang w:val="en-US" w:eastAsia="zh-CN" w:bidi="ar-SA"/>
              </w:rPr>
              <w:t>仅需交纳一份</w:t>
            </w:r>
            <w:r>
              <w:rPr>
                <w:rFonts w:hint="eastAsia" w:ascii="宋体" w:hAnsi="宋体" w:eastAsia="宋体" w:cs="宋体"/>
                <w:color w:val="auto"/>
                <w:sz w:val="21"/>
                <w:szCs w:val="21"/>
                <w:highlight w:val="none"/>
                <w:lang w:val="en-US" w:eastAsia="zh-CN"/>
              </w:rPr>
              <w:t>投标保证金，投标保证金金额为分标下投标人</w:t>
            </w:r>
            <w:r>
              <w:rPr>
                <w:rFonts w:hint="eastAsia" w:ascii="宋体" w:hAnsi="宋体" w:eastAsia="宋体" w:cs="宋体"/>
                <w:b/>
                <w:bCs/>
                <w:color w:val="auto"/>
                <w:sz w:val="21"/>
                <w:szCs w:val="21"/>
                <w:highlight w:val="none"/>
                <w:lang w:val="en-US" w:eastAsia="zh-CN"/>
              </w:rPr>
              <w:t>所投包的最大应交保证金金额</w:t>
            </w:r>
            <w:r>
              <w:rPr>
                <w:rFonts w:hint="eastAsia" w:ascii="宋体" w:hAnsi="宋体" w:eastAsia="宋体" w:cs="宋体"/>
                <w:color w:val="auto"/>
                <w:sz w:val="21"/>
                <w:szCs w:val="21"/>
                <w:highlight w:val="none"/>
                <w:lang w:val="en-US" w:eastAsia="zh-CN"/>
              </w:rPr>
              <w:t>。各包相应的投标保证金应交金额详见“应提交保证金一览表”。（各包保证金金额无需根据投标报价另行计算）。</w:t>
            </w:r>
          </w:p>
          <w:p>
            <w:pPr>
              <w:pStyle w:val="28"/>
              <w:numPr>
                <w:ilvl w:val="0"/>
                <w:numId w:val="0"/>
              </w:numPr>
              <w:ind w:firstLine="360"/>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当投标人投标多个分标，合并交纳一笔投标保证金时，若实交金额与应交金额不一致时，评标委员会将按照招标公告中分标先后顺序核定所投各分标实交投标保证金金额。当分标实交投标保证金金额不足时，</w:t>
            </w:r>
            <w:r>
              <w:rPr>
                <w:rFonts w:hint="eastAsia" w:ascii="宋体" w:hAnsi="宋体" w:eastAsia="宋体" w:cs="宋体"/>
                <w:b/>
                <w:bCs/>
                <w:color w:val="auto"/>
                <w:sz w:val="21"/>
                <w:szCs w:val="21"/>
                <w:highlight w:val="none"/>
              </w:rPr>
              <w:t>评标委员会</w:t>
            </w:r>
            <w:r>
              <w:rPr>
                <w:rFonts w:hint="eastAsia" w:ascii="宋体" w:hAnsi="宋体" w:eastAsia="宋体" w:cs="宋体"/>
                <w:b/>
                <w:bCs/>
                <w:color w:val="auto"/>
                <w:sz w:val="21"/>
                <w:szCs w:val="21"/>
                <w:highlight w:val="none"/>
                <w:lang w:val="en-US" w:eastAsia="zh-CN"/>
              </w:rPr>
              <w:t>将否决应交投标保证金金额超出实交投标保证金金额的标包。</w:t>
            </w:r>
            <w:r>
              <w:rPr>
                <w:rFonts w:hint="eastAsia" w:ascii="宋体" w:hAnsi="宋体" w:eastAsia="宋体" w:cs="宋体"/>
                <w:color w:val="auto"/>
                <w:sz w:val="21"/>
                <w:szCs w:val="21"/>
                <w:highlight w:val="none"/>
                <w:lang w:val="en-US" w:eastAsia="zh-CN"/>
              </w:rPr>
              <w:t>举例说明如下：</w:t>
            </w:r>
          </w:p>
          <w:p>
            <w:pPr>
              <w:pStyle w:val="28"/>
              <w:numPr>
                <w:ilvl w:val="0"/>
                <w:numId w:val="0"/>
              </w:numPr>
              <w:ind w:firstLine="36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drawing>
                <wp:inline distT="0" distB="0" distL="114300" distR="114300">
                  <wp:extent cx="3183890" cy="10674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3183890" cy="1067435"/>
                          </a:xfrm>
                          <a:prstGeom prst="rect">
                            <a:avLst/>
                          </a:prstGeom>
                          <a:noFill/>
                          <a:ln>
                            <a:noFill/>
                          </a:ln>
                        </pic:spPr>
                      </pic:pic>
                    </a:graphicData>
                  </a:graphic>
                </wp:inline>
              </w:drawing>
            </w:r>
          </w:p>
          <w:p>
            <w:pPr>
              <w:pStyle w:val="28"/>
              <w:numPr>
                <w:ilvl w:val="0"/>
                <w:numId w:val="0"/>
              </w:numPr>
              <w:autoSpaceDE/>
              <w:autoSpaceDN/>
              <w:adjustRightInd w:val="0"/>
              <w:snapToGrid w:val="0"/>
              <w:ind w:firstLine="0" w:firstLineChars="0"/>
              <w:rPr>
                <w:rFonts w:hint="eastAsia" w:ascii="宋体" w:hAnsi="宋体" w:eastAsia="宋体" w:cs="宋体"/>
                <w:color w:val="auto"/>
                <w:kern w:val="0"/>
                <w:sz w:val="21"/>
                <w:szCs w:val="21"/>
                <w:highlight w:val="none"/>
                <w:lang w:eastAsia="zh-CN"/>
              </w:rPr>
            </w:pPr>
            <w:r>
              <w:rPr>
                <w:rFonts w:hint="eastAsia" w:ascii="宋体" w:hAnsi="宋体" w:eastAsia="宋体" w:cs="宋体"/>
                <w:color w:val="auto"/>
                <w:kern w:val="0"/>
                <w:sz w:val="21"/>
                <w:szCs w:val="21"/>
                <w:highlight w:val="none"/>
                <w:lang w:val="en-US" w:eastAsia="zh-CN"/>
              </w:rPr>
              <w:t>5</w:t>
            </w:r>
            <w:r>
              <w:rPr>
                <w:rFonts w:hint="eastAsia" w:ascii="宋体" w:hAnsi="宋体" w:eastAsia="宋体" w:cs="宋体"/>
                <w:color w:val="auto"/>
                <w:kern w:val="0"/>
                <w:sz w:val="21"/>
                <w:szCs w:val="21"/>
                <w:highlight w:val="none"/>
                <w:lang w:eastAsia="zh-CN"/>
              </w:rPr>
              <w:t>.保证金提交操作方式</w:t>
            </w:r>
          </w:p>
          <w:p>
            <w:pPr>
              <w:pStyle w:val="28"/>
              <w:numPr>
                <w:ilvl w:val="0"/>
                <w:numId w:val="0"/>
              </w:numPr>
              <w:adjustRightInd w:val="0"/>
              <w:snapToGrid w:val="0"/>
              <w:ind w:firstLine="360"/>
              <w:rPr>
                <w:rFonts w:hint="eastAsia" w:ascii="宋体" w:hAnsi="宋体" w:eastAsia="宋体" w:cs="宋体"/>
                <w:b/>
                <w:color w:val="auto"/>
                <w:sz w:val="21"/>
                <w:szCs w:val="21"/>
                <w:highlight w:val="none"/>
                <w:lang w:eastAsia="zh-CN"/>
              </w:rPr>
            </w:pPr>
            <w:r>
              <w:rPr>
                <w:rFonts w:hint="eastAsia" w:ascii="宋体" w:hAnsi="宋体" w:eastAsia="宋体" w:cs="宋体"/>
                <w:b/>
                <w:color w:val="auto"/>
                <w:sz w:val="21"/>
                <w:szCs w:val="21"/>
                <w:highlight w:val="none"/>
                <w:lang w:eastAsia="zh-CN"/>
              </w:rPr>
              <w:t>银行汇款保证金专用账户操作：</w:t>
            </w:r>
          </w:p>
          <w:p>
            <w:pPr>
              <w:pStyle w:val="28"/>
              <w:numPr>
                <w:ilvl w:val="0"/>
                <w:numId w:val="0"/>
              </w:numPr>
              <w:adjustRightInd w:val="0"/>
              <w:snapToGrid w:val="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投标人需登录BOSP2.0系统（</w:t>
            </w:r>
            <w:r>
              <w:rPr>
                <w:rFonts w:hint="eastAsia" w:ascii="宋体" w:hAnsi="宋体" w:eastAsia="宋体" w:cs="宋体"/>
                <w:color w:val="auto"/>
                <w:sz w:val="21"/>
                <w:szCs w:val="21"/>
                <w:highlight w:val="none"/>
              </w:rPr>
              <w:fldChar w:fldCharType="begin"/>
            </w:r>
            <w:r>
              <w:rPr>
                <w:rFonts w:hint="eastAsia" w:ascii="宋体" w:hAnsi="宋体" w:eastAsia="宋体" w:cs="宋体"/>
                <w:color w:val="auto"/>
                <w:sz w:val="21"/>
                <w:szCs w:val="21"/>
                <w:highlight w:val="none"/>
              </w:rPr>
              <w:instrText xml:space="preserve"> HYPERLINK "https://bosp.sgm.sgcc.com.cn/" </w:instrText>
            </w:r>
            <w:r>
              <w:rPr>
                <w:rFonts w:hint="eastAsia" w:ascii="宋体" w:hAnsi="宋体" w:eastAsia="宋体" w:cs="宋体"/>
                <w:color w:val="auto"/>
                <w:sz w:val="21"/>
                <w:szCs w:val="21"/>
                <w:highlight w:val="none"/>
              </w:rPr>
              <w:fldChar w:fldCharType="separate"/>
            </w:r>
            <w:r>
              <w:rPr>
                <w:rStyle w:val="22"/>
                <w:rFonts w:hint="eastAsia" w:ascii="宋体" w:hAnsi="宋体" w:eastAsia="宋体" w:cs="宋体"/>
                <w:color w:val="auto"/>
                <w:sz w:val="21"/>
                <w:szCs w:val="21"/>
                <w:highlight w:val="none"/>
                <w:lang w:eastAsia="zh-CN"/>
              </w:rPr>
              <w:t>https://bosp.sgm.sgcc.com.cn</w:t>
            </w:r>
            <w:r>
              <w:rPr>
                <w:rFonts w:hint="eastAsia" w:ascii="宋体" w:hAnsi="宋体" w:eastAsia="宋体" w:cs="宋体"/>
                <w:color w:val="auto"/>
                <w:sz w:val="21"/>
                <w:szCs w:val="21"/>
                <w:highlight w:val="none"/>
                <w:lang w:eastAsia="zh-CN"/>
              </w:rPr>
              <w:fldChar w:fldCharType="end"/>
            </w:r>
            <w:r>
              <w:rPr>
                <w:rFonts w:hint="eastAsia" w:ascii="宋体" w:hAnsi="宋体" w:eastAsia="宋体" w:cs="宋体"/>
                <w:color w:val="auto"/>
                <w:sz w:val="21"/>
                <w:szCs w:val="21"/>
                <w:highlight w:val="none"/>
                <w:lang w:eastAsia="zh-CN"/>
              </w:rPr>
              <w:t xml:space="preserve"> 国网物资业务运营服务平台），生成《银行汇款说明》。在系统首页中依次点击单批次保证金-选择项目-保证金支付（银行汇款）-保证金明细</w:t>
            </w:r>
            <w:r>
              <w:rPr>
                <w:rFonts w:hint="eastAsia" w:ascii="宋体" w:hAnsi="宋体" w:eastAsia="宋体" w:cs="宋体"/>
                <w:b/>
                <w:bCs/>
                <w:color w:val="auto"/>
                <w:sz w:val="21"/>
                <w:szCs w:val="21"/>
                <w:highlight w:val="none"/>
              </w:rPr>
              <w:t>（选择分标及所投应</w:t>
            </w:r>
            <w:r>
              <w:rPr>
                <w:rFonts w:hint="eastAsia" w:ascii="宋体" w:hAnsi="宋体" w:eastAsia="宋体" w:cs="宋体"/>
                <w:b/>
                <w:bCs/>
                <w:color w:val="auto"/>
                <w:sz w:val="21"/>
                <w:szCs w:val="21"/>
                <w:highlight w:val="none"/>
                <w:lang w:eastAsia="zh-CN"/>
              </w:rPr>
              <w:t>交</w:t>
            </w:r>
            <w:r>
              <w:rPr>
                <w:rFonts w:hint="eastAsia" w:ascii="宋体" w:hAnsi="宋体" w:eastAsia="宋体" w:cs="宋体"/>
                <w:b/>
                <w:bCs/>
                <w:color w:val="auto"/>
                <w:sz w:val="21"/>
                <w:szCs w:val="21"/>
                <w:highlight w:val="none"/>
              </w:rPr>
              <w:t>保证金金额最大包</w:t>
            </w:r>
            <w:r>
              <w:rPr>
                <w:rFonts w:hint="eastAsia" w:ascii="宋体" w:hAnsi="宋体" w:eastAsia="宋体" w:cs="宋体"/>
                <w:b/>
                <w:bCs/>
                <w:color w:val="auto"/>
                <w:sz w:val="21"/>
                <w:szCs w:val="21"/>
                <w:highlight w:val="none"/>
                <w:lang w:eastAsia="zh-CN"/>
              </w:rPr>
              <w:t>，如金额最大包有多个，则选择其中</w:t>
            </w:r>
            <w:r>
              <w:rPr>
                <w:rFonts w:hint="eastAsia" w:ascii="宋体" w:hAnsi="宋体" w:eastAsia="宋体" w:cs="宋体"/>
                <w:b/>
                <w:bCs/>
                <w:color w:val="auto"/>
                <w:sz w:val="21"/>
                <w:szCs w:val="21"/>
                <w:highlight w:val="none"/>
              </w:rPr>
              <w:t>自然序号最小的包</w:t>
            </w: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rPr>
              <w:t>并填写</w:t>
            </w:r>
            <w:r>
              <w:rPr>
                <w:rFonts w:hint="eastAsia" w:ascii="宋体" w:hAnsi="宋体" w:eastAsia="宋体" w:cs="宋体"/>
                <w:b/>
                <w:bCs/>
                <w:color w:val="auto"/>
                <w:sz w:val="21"/>
                <w:szCs w:val="21"/>
                <w:highlight w:val="none"/>
                <w:lang w:eastAsia="zh-CN"/>
              </w:rPr>
              <w:t>应交保证金</w:t>
            </w:r>
            <w:r>
              <w:rPr>
                <w:rFonts w:hint="eastAsia" w:ascii="宋体" w:hAnsi="宋体" w:eastAsia="宋体" w:cs="宋体"/>
                <w:b/>
                <w:bCs/>
                <w:color w:val="auto"/>
                <w:sz w:val="21"/>
                <w:szCs w:val="21"/>
                <w:highlight w:val="none"/>
              </w:rPr>
              <w:t>金额，其他包无需填写）</w:t>
            </w:r>
            <w:r>
              <w:rPr>
                <w:rFonts w:hint="eastAsia" w:ascii="宋体" w:hAnsi="宋体" w:eastAsia="宋体" w:cs="宋体"/>
                <w:color w:val="auto"/>
                <w:sz w:val="21"/>
                <w:szCs w:val="21"/>
                <w:highlight w:val="none"/>
                <w:lang w:eastAsia="zh-CN"/>
              </w:rPr>
              <w:t>去结算-汇款确认-生成《银行汇款说明》）。根据《银行汇款说明》提供的账号及金额，方可缴纳本批次保证金。详见BOSP操作手册。</w:t>
            </w:r>
          </w:p>
          <w:p>
            <w:pPr>
              <w:pStyle w:val="28"/>
              <w:numPr>
                <w:ilvl w:val="0"/>
                <w:numId w:val="0"/>
              </w:numPr>
              <w:adjustRightInd w:val="0"/>
              <w:snapToGrid w:val="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提示：请严格根据每个订单对应的账号汇款足额保证金。</w:t>
            </w:r>
          </w:p>
          <w:p>
            <w:pPr>
              <w:pStyle w:val="28"/>
              <w:numPr>
                <w:ilvl w:val="0"/>
                <w:numId w:val="0"/>
              </w:numPr>
              <w:adjustRightInd w:val="0"/>
              <w:snapToGrid w:val="0"/>
              <w:ind w:firstLine="360"/>
              <w:rPr>
                <w:rFonts w:hint="eastAsia" w:ascii="宋体" w:hAnsi="宋体" w:eastAsia="宋体" w:cs="宋体"/>
                <w:b/>
                <w:color w:val="auto"/>
                <w:sz w:val="21"/>
                <w:szCs w:val="21"/>
                <w:highlight w:val="none"/>
                <w:lang w:eastAsia="zh-CN"/>
              </w:rPr>
            </w:pPr>
            <w:r>
              <w:rPr>
                <w:rFonts w:hint="eastAsia" w:ascii="宋体" w:hAnsi="宋体" w:eastAsia="宋体" w:cs="宋体"/>
                <w:b/>
                <w:color w:val="auto"/>
                <w:sz w:val="21"/>
                <w:szCs w:val="21"/>
                <w:highlight w:val="none"/>
                <w:lang w:eastAsia="zh-CN"/>
              </w:rPr>
              <w:t>年度保证金操作：</w:t>
            </w:r>
          </w:p>
          <w:p>
            <w:pPr>
              <w:pStyle w:val="28"/>
              <w:numPr>
                <w:ilvl w:val="0"/>
                <w:numId w:val="0"/>
              </w:numPr>
              <w:adjustRightInd w:val="0"/>
              <w:snapToGrid w:val="0"/>
              <w:ind w:firstLine="420" w:firstLineChars="20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ab/>
            </w:r>
            <w:r>
              <w:rPr>
                <w:rFonts w:hint="eastAsia" w:ascii="宋体" w:hAnsi="宋体" w:eastAsia="宋体" w:cs="宋体"/>
                <w:color w:val="auto"/>
                <w:sz w:val="21"/>
                <w:szCs w:val="21"/>
                <w:highlight w:val="none"/>
                <w:lang w:eastAsia="zh-CN"/>
              </w:rPr>
              <w:t>投标人需登录BOSP2.0系统（</w:t>
            </w:r>
            <w:r>
              <w:rPr>
                <w:rFonts w:hint="eastAsia" w:ascii="宋体" w:hAnsi="宋体" w:eastAsia="宋体" w:cs="宋体"/>
                <w:color w:val="auto"/>
                <w:sz w:val="21"/>
                <w:szCs w:val="21"/>
                <w:highlight w:val="none"/>
              </w:rPr>
              <w:fldChar w:fldCharType="begin"/>
            </w:r>
            <w:r>
              <w:rPr>
                <w:rFonts w:hint="eastAsia" w:ascii="宋体" w:hAnsi="宋体" w:eastAsia="宋体" w:cs="宋体"/>
                <w:color w:val="auto"/>
                <w:sz w:val="21"/>
                <w:szCs w:val="21"/>
                <w:highlight w:val="none"/>
              </w:rPr>
              <w:instrText xml:space="preserve"> HYPERLINK "https://bosp.sgm.sgcc.com.cn/" </w:instrText>
            </w:r>
            <w:r>
              <w:rPr>
                <w:rFonts w:hint="eastAsia" w:ascii="宋体" w:hAnsi="宋体" w:eastAsia="宋体" w:cs="宋体"/>
                <w:color w:val="auto"/>
                <w:sz w:val="21"/>
                <w:szCs w:val="21"/>
                <w:highlight w:val="none"/>
              </w:rPr>
              <w:fldChar w:fldCharType="separate"/>
            </w:r>
            <w:r>
              <w:rPr>
                <w:rStyle w:val="22"/>
                <w:rFonts w:hint="eastAsia" w:ascii="宋体" w:hAnsi="宋体" w:eastAsia="宋体" w:cs="宋体"/>
                <w:color w:val="auto"/>
                <w:sz w:val="21"/>
                <w:szCs w:val="21"/>
                <w:highlight w:val="none"/>
                <w:lang w:eastAsia="zh-CN"/>
              </w:rPr>
              <w:t>https://bosp.sgm.sgcc.com.cn</w:t>
            </w:r>
            <w:r>
              <w:rPr>
                <w:rFonts w:hint="eastAsia" w:ascii="宋体" w:hAnsi="宋体" w:eastAsia="宋体" w:cs="宋体"/>
                <w:color w:val="auto"/>
                <w:sz w:val="21"/>
                <w:szCs w:val="21"/>
                <w:highlight w:val="none"/>
                <w:lang w:eastAsia="zh-CN"/>
              </w:rPr>
              <w:fldChar w:fldCharType="end"/>
            </w:r>
            <w:r>
              <w:rPr>
                <w:rFonts w:hint="eastAsia" w:ascii="宋体" w:hAnsi="宋体" w:eastAsia="宋体" w:cs="宋体"/>
                <w:color w:val="auto"/>
                <w:sz w:val="21"/>
                <w:szCs w:val="21"/>
                <w:highlight w:val="none"/>
                <w:lang w:eastAsia="zh-CN"/>
              </w:rPr>
              <w:t xml:space="preserve"> 国网物资业务运营服务平台），在系统首页中依次点击单批次保证金-选择项目-保证金支付（年度保证金）-保证金明细</w:t>
            </w:r>
            <w:r>
              <w:rPr>
                <w:rFonts w:hint="eastAsia" w:ascii="宋体" w:hAnsi="宋体" w:eastAsia="宋体" w:cs="宋体"/>
                <w:b/>
                <w:bCs/>
                <w:color w:val="auto"/>
                <w:sz w:val="21"/>
                <w:szCs w:val="21"/>
                <w:highlight w:val="none"/>
              </w:rPr>
              <w:t>（选择分标及所投应</w:t>
            </w:r>
            <w:r>
              <w:rPr>
                <w:rFonts w:hint="eastAsia" w:ascii="宋体" w:hAnsi="宋体" w:eastAsia="宋体" w:cs="宋体"/>
                <w:b/>
                <w:bCs/>
                <w:color w:val="auto"/>
                <w:sz w:val="21"/>
                <w:szCs w:val="21"/>
                <w:highlight w:val="none"/>
                <w:lang w:eastAsia="zh-CN"/>
              </w:rPr>
              <w:t>交</w:t>
            </w:r>
            <w:r>
              <w:rPr>
                <w:rFonts w:hint="eastAsia" w:ascii="宋体" w:hAnsi="宋体" w:eastAsia="宋体" w:cs="宋体"/>
                <w:b/>
                <w:bCs/>
                <w:color w:val="auto"/>
                <w:sz w:val="21"/>
                <w:szCs w:val="21"/>
                <w:highlight w:val="none"/>
              </w:rPr>
              <w:t>保证金金额最大包</w:t>
            </w:r>
            <w:r>
              <w:rPr>
                <w:rFonts w:hint="eastAsia" w:ascii="宋体" w:hAnsi="宋体" w:eastAsia="宋体" w:cs="宋体"/>
                <w:b/>
                <w:bCs/>
                <w:color w:val="auto"/>
                <w:sz w:val="21"/>
                <w:szCs w:val="21"/>
                <w:highlight w:val="none"/>
                <w:lang w:eastAsia="zh-CN"/>
              </w:rPr>
              <w:t>，如金额最大包有多个，则选择其中</w:t>
            </w:r>
            <w:r>
              <w:rPr>
                <w:rFonts w:hint="eastAsia" w:ascii="宋体" w:hAnsi="宋体" w:eastAsia="宋体" w:cs="宋体"/>
                <w:b/>
                <w:bCs/>
                <w:color w:val="auto"/>
                <w:sz w:val="21"/>
                <w:szCs w:val="21"/>
                <w:highlight w:val="none"/>
              </w:rPr>
              <w:t>自然序号最小的包</w:t>
            </w: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rPr>
              <w:t>并填写</w:t>
            </w:r>
            <w:r>
              <w:rPr>
                <w:rFonts w:hint="eastAsia" w:ascii="宋体" w:hAnsi="宋体" w:eastAsia="宋体" w:cs="宋体"/>
                <w:b/>
                <w:bCs/>
                <w:color w:val="auto"/>
                <w:sz w:val="21"/>
                <w:szCs w:val="21"/>
                <w:highlight w:val="none"/>
                <w:lang w:eastAsia="zh-CN"/>
              </w:rPr>
              <w:t>应交保证金</w:t>
            </w:r>
            <w:r>
              <w:rPr>
                <w:rFonts w:hint="eastAsia" w:ascii="宋体" w:hAnsi="宋体" w:eastAsia="宋体" w:cs="宋体"/>
                <w:b/>
                <w:bCs/>
                <w:color w:val="auto"/>
                <w:sz w:val="21"/>
                <w:szCs w:val="21"/>
                <w:highlight w:val="none"/>
              </w:rPr>
              <w:t>金额，其他包无需填写）</w:t>
            </w:r>
            <w:r>
              <w:rPr>
                <w:rFonts w:hint="eastAsia" w:ascii="宋体" w:hAnsi="宋体" w:eastAsia="宋体" w:cs="宋体"/>
                <w:color w:val="auto"/>
                <w:sz w:val="21"/>
                <w:szCs w:val="21"/>
                <w:highlight w:val="none"/>
                <w:lang w:eastAsia="zh-CN"/>
              </w:rPr>
              <w:t>-去结算-保证金确认-选择年度保证金证书-确定。操作完成后页面会跳转到单批次保证金支付查询页面，可选择项目查看订单内容。详见BOSP操作手册。</w:t>
            </w:r>
          </w:p>
          <w:p>
            <w:pPr>
              <w:pStyle w:val="28"/>
              <w:numPr>
                <w:ilvl w:val="0"/>
                <w:numId w:val="0"/>
              </w:numPr>
              <w:adjustRightInd w:val="0"/>
              <w:snapToGrid w:val="0"/>
              <w:ind w:firstLine="360"/>
              <w:rPr>
                <w:rFonts w:hint="eastAsia" w:ascii="宋体" w:hAnsi="宋体" w:eastAsia="宋体" w:cs="宋体"/>
                <w:b/>
                <w:color w:val="auto"/>
                <w:sz w:val="21"/>
                <w:szCs w:val="21"/>
                <w:highlight w:val="none"/>
                <w:lang w:eastAsia="zh-CN"/>
              </w:rPr>
            </w:pPr>
            <w:r>
              <w:rPr>
                <w:rFonts w:hint="eastAsia" w:ascii="宋体" w:hAnsi="宋体" w:eastAsia="宋体" w:cs="宋体"/>
                <w:b/>
                <w:color w:val="auto"/>
                <w:sz w:val="21"/>
                <w:szCs w:val="21"/>
                <w:highlight w:val="none"/>
                <w:lang w:eastAsia="zh-CN"/>
              </w:rPr>
              <w:t>保险、保函操作：</w:t>
            </w:r>
          </w:p>
          <w:p>
            <w:pPr>
              <w:spacing w:before="120" w:beforeLines="50" w:after="120" w:afterLines="50"/>
              <w:rPr>
                <w:rFonts w:hint="eastAsia" w:ascii="宋体" w:hAnsi="宋体" w:eastAsia="宋体" w:cs="宋体"/>
                <w:color w:val="auto"/>
                <w:szCs w:val="21"/>
                <w:highlight w:val="none"/>
                <w:lang w:val="en-US" w:eastAsia="zh-CN"/>
              </w:rPr>
            </w:pPr>
            <w:r>
              <w:rPr>
                <w:rFonts w:hint="eastAsia" w:ascii="宋体" w:hAnsi="宋体" w:eastAsia="宋体" w:cs="宋体"/>
                <w:color w:val="auto"/>
                <w:sz w:val="21"/>
                <w:szCs w:val="21"/>
                <w:highlight w:val="none"/>
                <w:lang w:eastAsia="zh-CN"/>
              </w:rPr>
              <w:t>投标人需登录BOSP系统（</w:t>
            </w:r>
            <w:r>
              <w:rPr>
                <w:rFonts w:hint="eastAsia" w:ascii="宋体" w:hAnsi="宋体" w:eastAsia="宋体" w:cs="宋体"/>
                <w:color w:val="auto"/>
                <w:sz w:val="21"/>
                <w:szCs w:val="21"/>
                <w:highlight w:val="none"/>
              </w:rPr>
              <w:fldChar w:fldCharType="begin"/>
            </w:r>
            <w:r>
              <w:rPr>
                <w:rFonts w:hint="eastAsia" w:ascii="宋体" w:hAnsi="宋体" w:eastAsia="宋体" w:cs="宋体"/>
                <w:color w:val="auto"/>
                <w:sz w:val="21"/>
                <w:szCs w:val="21"/>
                <w:highlight w:val="none"/>
              </w:rPr>
              <w:instrText xml:space="preserve"> HYPERLINK "https://bosp.sgm.sgcc.com.cn/" </w:instrText>
            </w:r>
            <w:r>
              <w:rPr>
                <w:rFonts w:hint="eastAsia" w:ascii="宋体" w:hAnsi="宋体" w:eastAsia="宋体" w:cs="宋体"/>
                <w:color w:val="auto"/>
                <w:sz w:val="21"/>
                <w:szCs w:val="21"/>
                <w:highlight w:val="none"/>
              </w:rPr>
              <w:fldChar w:fldCharType="separate"/>
            </w:r>
            <w:r>
              <w:rPr>
                <w:rStyle w:val="22"/>
                <w:rFonts w:hint="eastAsia" w:ascii="宋体" w:hAnsi="宋体" w:eastAsia="宋体" w:cs="宋体"/>
                <w:color w:val="auto"/>
                <w:sz w:val="21"/>
                <w:szCs w:val="21"/>
                <w:highlight w:val="none"/>
                <w:lang w:eastAsia="zh-CN"/>
              </w:rPr>
              <w:t>https://bosp.sgm.sgcc.com.cn</w:t>
            </w:r>
            <w:r>
              <w:rPr>
                <w:rFonts w:hint="eastAsia" w:ascii="宋体" w:hAnsi="宋体" w:eastAsia="宋体" w:cs="宋体"/>
                <w:color w:val="auto"/>
                <w:sz w:val="21"/>
                <w:szCs w:val="21"/>
                <w:highlight w:val="none"/>
                <w:lang w:eastAsia="zh-CN"/>
              </w:rPr>
              <w:fldChar w:fldCharType="end"/>
            </w:r>
            <w:r>
              <w:rPr>
                <w:rFonts w:hint="eastAsia" w:ascii="宋体" w:hAnsi="宋体" w:eastAsia="宋体" w:cs="宋体"/>
                <w:color w:val="auto"/>
                <w:sz w:val="21"/>
                <w:szCs w:val="21"/>
                <w:highlight w:val="none"/>
                <w:lang w:eastAsia="zh-CN"/>
              </w:rPr>
              <w:t xml:space="preserve"> 国网物资业务运营服务平台），在系统首页中依次点击单批次保证金-选择项目-保证金支付（线下保函、保险）保证金明细</w:t>
            </w:r>
            <w:r>
              <w:rPr>
                <w:rFonts w:hint="eastAsia" w:ascii="宋体" w:hAnsi="宋体" w:eastAsia="宋体" w:cs="宋体"/>
                <w:b/>
                <w:bCs/>
                <w:color w:val="auto"/>
                <w:sz w:val="21"/>
                <w:szCs w:val="21"/>
                <w:highlight w:val="none"/>
              </w:rPr>
              <w:t>（选择分标及所投应</w:t>
            </w:r>
            <w:r>
              <w:rPr>
                <w:rFonts w:hint="eastAsia" w:ascii="宋体" w:hAnsi="宋体" w:eastAsia="宋体" w:cs="宋体"/>
                <w:b/>
                <w:bCs/>
                <w:color w:val="auto"/>
                <w:sz w:val="21"/>
                <w:szCs w:val="21"/>
                <w:highlight w:val="none"/>
                <w:lang w:eastAsia="zh-CN"/>
              </w:rPr>
              <w:t>交</w:t>
            </w:r>
            <w:r>
              <w:rPr>
                <w:rFonts w:hint="eastAsia" w:ascii="宋体" w:hAnsi="宋体" w:eastAsia="宋体" w:cs="宋体"/>
                <w:b/>
                <w:bCs/>
                <w:color w:val="auto"/>
                <w:sz w:val="21"/>
                <w:szCs w:val="21"/>
                <w:highlight w:val="none"/>
              </w:rPr>
              <w:t>保证金金额最大包</w:t>
            </w:r>
            <w:r>
              <w:rPr>
                <w:rFonts w:hint="eastAsia" w:ascii="宋体" w:hAnsi="宋体" w:eastAsia="宋体" w:cs="宋体"/>
                <w:b/>
                <w:bCs/>
                <w:color w:val="auto"/>
                <w:sz w:val="21"/>
                <w:szCs w:val="21"/>
                <w:highlight w:val="none"/>
                <w:lang w:eastAsia="zh-CN"/>
              </w:rPr>
              <w:t>，如金额最大包有多个，则选择其中</w:t>
            </w:r>
            <w:r>
              <w:rPr>
                <w:rFonts w:hint="eastAsia" w:ascii="宋体" w:hAnsi="宋体" w:eastAsia="宋体" w:cs="宋体"/>
                <w:b/>
                <w:bCs/>
                <w:color w:val="auto"/>
                <w:sz w:val="21"/>
                <w:szCs w:val="21"/>
                <w:highlight w:val="none"/>
              </w:rPr>
              <w:t>自然序号最小的包</w:t>
            </w: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rPr>
              <w:t>并填写</w:t>
            </w:r>
            <w:r>
              <w:rPr>
                <w:rFonts w:hint="eastAsia" w:ascii="宋体" w:hAnsi="宋体" w:eastAsia="宋体" w:cs="宋体"/>
                <w:b/>
                <w:bCs/>
                <w:color w:val="auto"/>
                <w:sz w:val="21"/>
                <w:szCs w:val="21"/>
                <w:highlight w:val="none"/>
                <w:lang w:eastAsia="zh-CN"/>
              </w:rPr>
              <w:t>应交保证金</w:t>
            </w:r>
            <w:r>
              <w:rPr>
                <w:rFonts w:hint="eastAsia" w:ascii="宋体" w:hAnsi="宋体" w:eastAsia="宋体" w:cs="宋体"/>
                <w:b/>
                <w:bCs/>
                <w:color w:val="auto"/>
                <w:sz w:val="21"/>
                <w:szCs w:val="21"/>
                <w:highlight w:val="none"/>
              </w:rPr>
              <w:t>金额，其他包无需填写）</w:t>
            </w:r>
            <w:r>
              <w:rPr>
                <w:rFonts w:hint="eastAsia" w:ascii="宋体" w:hAnsi="宋体" w:eastAsia="宋体" w:cs="宋体"/>
                <w:color w:val="auto"/>
                <w:sz w:val="21"/>
                <w:szCs w:val="21"/>
                <w:highlight w:val="none"/>
                <w:lang w:eastAsia="zh-CN"/>
              </w:rPr>
              <w:t>-去结算-保函确认。操作完成后页面会跳转到单批次保证金支付查询页面，可选择项目查看订单内容。</w:t>
            </w:r>
            <w:r>
              <w:rPr>
                <w:rFonts w:hint="eastAsia" w:ascii="宋体" w:hAnsi="宋体" w:eastAsia="宋体" w:cs="宋体"/>
                <w:color w:val="auto"/>
                <w:sz w:val="21"/>
                <w:szCs w:val="21"/>
                <w:highlight w:val="none"/>
                <w:lang w:eastAsia="en-US"/>
              </w:rPr>
              <w:t>详见BOSP操作手册。</w:t>
            </w:r>
            <w:r>
              <w:rPr>
                <w:rFonts w:hint="eastAsia" w:ascii="宋体" w:hAnsi="宋体" w:eastAsia="宋体" w:cs="宋体"/>
                <w:color w:val="auto"/>
                <w:sz w:val="21"/>
                <w:szCs w:val="21"/>
                <w:highlight w:val="none"/>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349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3.4.3</w:t>
            </w:r>
          </w:p>
        </w:tc>
        <w:tc>
          <w:tcPr>
            <w:tcW w:w="1171" w:type="dxa"/>
            <w:vAlign w:val="center"/>
          </w:tcPr>
          <w:p>
            <w:pPr>
              <w:pStyle w:val="27"/>
              <w:spacing w:before="120" w:beforeLines="50" w:after="120" w:afterLines="50"/>
              <w:jc w:val="center"/>
              <w:outlineLvl w:val="0"/>
              <w:rPr>
                <w:rFonts w:hint="eastAsia" w:ascii="宋体" w:hAnsi="宋体" w:eastAsia="宋体" w:cs="宋体"/>
                <w:color w:val="auto"/>
                <w:sz w:val="21"/>
                <w:szCs w:val="21"/>
                <w:highlight w:val="none"/>
                <w:lang w:eastAsia="en-US"/>
              </w:rPr>
            </w:pPr>
            <w:bookmarkStart w:id="56" w:name="_Toc62551539"/>
            <w:r>
              <w:rPr>
                <w:rFonts w:hint="eastAsia" w:ascii="宋体" w:hAnsi="宋体" w:eastAsia="宋体" w:cs="宋体"/>
                <w:color w:val="auto"/>
                <w:sz w:val="21"/>
                <w:szCs w:val="21"/>
                <w:highlight w:val="none"/>
              </w:rPr>
              <w:t>投标保证金退还</w:t>
            </w:r>
            <w:bookmarkEnd w:id="56"/>
          </w:p>
        </w:tc>
        <w:tc>
          <w:tcPr>
            <w:tcW w:w="6193" w:type="dxa"/>
            <w:vAlign w:val="center"/>
          </w:tcPr>
          <w:p>
            <w:pPr>
              <w:keepNext/>
              <w:keepLines/>
              <w:pageBreakBefore w:val="0"/>
              <w:widowControl w:val="0"/>
              <w:kinsoku/>
              <w:wordWrap/>
              <w:overflowPunct/>
              <w:topLinePunct w:val="0"/>
              <w:autoSpaceDE w:val="0"/>
              <w:autoSpaceDN w:val="0"/>
              <w:bidi w:val="0"/>
              <w:adjustRightInd w:val="0"/>
              <w:snapToGrid w:val="0"/>
              <w:spacing w:before="120" w:beforeLines="50" w:after="120" w:afterLines="50"/>
              <w:ind w:firstLine="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不适用。</w:t>
            </w:r>
          </w:p>
          <w:p>
            <w:pPr>
              <w:pStyle w:val="27"/>
              <w:keepNext/>
              <w:keepLines/>
              <w:pageBreakBefore w:val="0"/>
              <w:widowControl w:val="0"/>
              <w:kinsoku/>
              <w:wordWrap/>
              <w:overflowPunct/>
              <w:topLinePunct w:val="0"/>
              <w:autoSpaceDE w:val="0"/>
              <w:autoSpaceDN w:val="0"/>
              <w:bidi w:val="0"/>
              <w:spacing w:before="120" w:beforeLines="50" w:after="120" w:afterLines="5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补充：</w:t>
            </w:r>
          </w:p>
          <w:p>
            <w:pPr>
              <w:pStyle w:val="27"/>
              <w:keepNext/>
              <w:keepLines/>
              <w:pageBreakBefore w:val="0"/>
              <w:widowControl w:val="0"/>
              <w:kinsoku/>
              <w:wordWrap/>
              <w:overflowPunct/>
              <w:topLinePunct w:val="0"/>
              <w:autoSpaceDE w:val="0"/>
              <w:autoSpaceDN w:val="0"/>
              <w:bidi w:val="0"/>
              <w:spacing w:beforeLines="50" w:afterLines="50"/>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1.招标人最迟应当在书面合同签订后5日内向中标人和未中标的投标人退还投标保证金及银行同期存款利息。</w:t>
            </w:r>
          </w:p>
          <w:p>
            <w:pPr>
              <w:pStyle w:val="27"/>
              <w:keepNext/>
              <w:keepLines/>
              <w:pageBreakBefore w:val="0"/>
              <w:widowControl w:val="0"/>
              <w:kinsoku/>
              <w:wordWrap/>
              <w:overflowPunct/>
              <w:topLinePunct w:val="0"/>
              <w:autoSpaceDE w:val="0"/>
              <w:autoSpaceDN w:val="0"/>
              <w:bidi w:val="0"/>
              <w:spacing w:beforeLines="50" w:afterLines="50"/>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2.以投标保证保险形式提交的投标保证金，投标保证保险保单载明的保险期间届满后自动失效，不另行退还。</w:t>
            </w:r>
          </w:p>
          <w:p>
            <w:pPr>
              <w:pStyle w:val="27"/>
              <w:keepNext/>
              <w:keepLines/>
              <w:pageBreakBefore w:val="0"/>
              <w:widowControl w:val="0"/>
              <w:kinsoku/>
              <w:wordWrap/>
              <w:overflowPunct/>
              <w:topLinePunct w:val="0"/>
              <w:autoSpaceDE w:val="0"/>
              <w:autoSpaceDN w:val="0"/>
              <w:bidi w:val="0"/>
              <w:spacing w:beforeLines="50" w:afterLines="50"/>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3.以银行保函形式提交的投标保证金，采取投标人在招标代理机构财务窗口领取方式退还。</w:t>
            </w:r>
          </w:p>
          <w:p>
            <w:pPr>
              <w:pStyle w:val="27"/>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kern w:val="2"/>
                <w:sz w:val="21"/>
                <w:szCs w:val="21"/>
                <w:highlight w:val="none"/>
              </w:rPr>
              <w:t>4.以银行汇款形式提交的投标保证金，采取原路退回至投标人原来款账户方式退还。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3.4.4</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其他可以不予退还投标保证金的情形</w:t>
            </w:r>
          </w:p>
        </w:tc>
        <w:tc>
          <w:tcPr>
            <w:tcW w:w="6193" w:type="dxa"/>
            <w:vAlign w:val="center"/>
          </w:tcPr>
          <w:p>
            <w:pPr>
              <w:adjustRightInd w:val="0"/>
              <w:snapToGrid w:val="0"/>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不适用。</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cs="宋体"/>
                <w:color w:val="auto"/>
                <w:szCs w:val="21"/>
                <w:highlight w:val="none"/>
                <w:lang w:eastAsia="zh-CN"/>
              </w:rPr>
              <w:t>☑</w:t>
            </w:r>
            <w:r>
              <w:rPr>
                <w:rFonts w:hint="eastAsia" w:ascii="宋体" w:hAnsi="宋体" w:eastAsia="宋体" w:cs="宋体"/>
                <w:color w:val="auto"/>
                <w:szCs w:val="21"/>
                <w:highlight w:val="none"/>
              </w:rPr>
              <w:t>补充：</w:t>
            </w:r>
          </w:p>
          <w:p>
            <w:pPr>
              <w:pStyle w:val="17"/>
              <w:ind w:left="0"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1.在提交投标文件截止时间后主动对投标文件提出实质性修改的。</w:t>
            </w:r>
          </w:p>
          <w:p>
            <w:pPr>
              <w:pStyle w:val="17"/>
              <w:ind w:left="0"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2.投标人通过弄虚作假、相互串通、借用资质等违法手段谋取中标的。</w:t>
            </w:r>
          </w:p>
          <w:p>
            <w:pPr>
              <w:pStyle w:val="17"/>
              <w:ind w:left="0"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3.国家法律法规及招标文件规定的其他情形。</w:t>
            </w:r>
          </w:p>
          <w:p>
            <w:pPr>
              <w:pStyle w:val="17"/>
              <w:ind w:left="0" w:firstLine="0"/>
              <w:rPr>
                <w:rFonts w:hint="eastAsia" w:ascii="宋体" w:hAnsi="宋体" w:eastAsia="宋体" w:cs="宋体"/>
                <w:color w:val="auto"/>
                <w:sz w:val="21"/>
                <w:szCs w:val="21"/>
                <w:highlight w:val="none"/>
              </w:rPr>
            </w:pPr>
            <w:r>
              <w:rPr>
                <w:rFonts w:hint="eastAsia" w:ascii="宋体" w:hAnsi="宋体" w:eastAsia="宋体" w:cs="宋体"/>
                <w:color w:val="auto"/>
                <w:szCs w:val="21"/>
                <w:highlight w:val="none"/>
              </w:rPr>
              <w:t>4.</w:t>
            </w:r>
            <w:r>
              <w:rPr>
                <w:rFonts w:hint="eastAsia" w:ascii="宋体" w:hAnsi="宋体" w:cs="宋体"/>
                <w:color w:val="auto"/>
                <w:szCs w:val="21"/>
                <w:highlight w:val="none"/>
              </w:rPr>
              <w:t>中标候选人在中标候选公示期间无正当理由主动放弃资格的</w:t>
            </w:r>
            <w:r>
              <w:rPr>
                <w:rFonts w:hint="eastAsia" w:ascii="宋体" w:hAnsi="宋体" w:eastAsia="宋体" w:cs="宋体"/>
                <w:color w:val="auto"/>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3.5</w:t>
            </w:r>
          </w:p>
        </w:tc>
        <w:tc>
          <w:tcPr>
            <w:tcW w:w="1171"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资格审查资料的特殊要求</w:t>
            </w:r>
          </w:p>
          <w:p>
            <w:pPr>
              <w:adjustRightInd w:val="0"/>
              <w:snapToGrid w:val="0"/>
              <w:spacing w:before="120" w:beforeLines="50" w:after="120" w:afterLines="50"/>
              <w:jc w:val="center"/>
              <w:rPr>
                <w:rFonts w:hint="eastAsia" w:ascii="宋体" w:hAnsi="宋体" w:eastAsia="宋体" w:cs="宋体"/>
                <w:color w:val="auto"/>
                <w:kern w:val="0"/>
                <w:szCs w:val="21"/>
                <w:highlight w:val="none"/>
              </w:rPr>
            </w:pPr>
          </w:p>
        </w:tc>
        <w:tc>
          <w:tcPr>
            <w:tcW w:w="6193" w:type="dxa"/>
            <w:vAlign w:val="center"/>
          </w:tcPr>
          <w:p>
            <w:pPr>
              <w:pStyle w:val="27"/>
              <w:spacing w:before="120" w:beforeLines="50" w:after="120" w:afterLines="50"/>
              <w:jc w:val="both"/>
              <w:rPr>
                <w:rFonts w:hint="eastAsia" w:ascii="宋体" w:hAnsi="宋体" w:eastAsia="宋体" w:cs="宋体"/>
                <w:color w:val="auto"/>
                <w:sz w:val="21"/>
                <w:szCs w:val="21"/>
                <w:highlight w:val="none"/>
                <w:lang w:val="en-US"/>
              </w:rPr>
            </w:pPr>
            <w:r>
              <w:rPr>
                <w:rFonts w:hint="eastAsia" w:cs="宋体"/>
                <w:color w:val="auto"/>
                <w:sz w:val="21"/>
                <w:szCs w:val="21"/>
                <w:highlight w:val="none"/>
                <w:lang w:eastAsia="zh-CN"/>
              </w:rPr>
              <w:t>☑</w:t>
            </w:r>
            <w:r>
              <w:rPr>
                <w:rFonts w:hint="eastAsia" w:ascii="宋体" w:hAnsi="宋体" w:eastAsia="宋体" w:cs="宋体"/>
                <w:b/>
                <w:bCs/>
                <w:color w:val="auto"/>
                <w:sz w:val="21"/>
                <w:szCs w:val="21"/>
                <w:highlight w:val="none"/>
                <w:lang w:val="en-US"/>
              </w:rPr>
              <w:t>不接受资质业绩凭证单。</w:t>
            </w:r>
            <w:r>
              <w:rPr>
                <w:rFonts w:hint="eastAsia" w:ascii="宋体" w:hAnsi="宋体" w:eastAsia="宋体" w:cs="宋体"/>
                <w:color w:val="auto"/>
                <w:sz w:val="21"/>
                <w:szCs w:val="21"/>
                <w:highlight w:val="none"/>
                <w:lang w:val="en-US"/>
              </w:rPr>
              <w:t>投标人按“编制说明”提供对应支持证明材料，无须上传资质业绩凭证单。</w:t>
            </w:r>
          </w:p>
          <w:p>
            <w:pPr>
              <w:pStyle w:val="27"/>
              <w:spacing w:before="120" w:beforeLines="50" w:after="120" w:afterLines="5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bidi="zh-CN"/>
              </w:rPr>
              <w:t>接受资质业绩凭证单（分标名称详见</w:t>
            </w:r>
            <w:r>
              <w:rPr>
                <w:rFonts w:hint="eastAsia" w:ascii="宋体" w:hAnsi="宋体" w:eastAsia="宋体" w:cs="宋体"/>
                <w:color w:val="auto"/>
                <w:sz w:val="21"/>
                <w:szCs w:val="21"/>
                <w:highlight w:val="none"/>
                <w:lang w:val="en-US"/>
              </w:rPr>
              <w:t>投标人须知前附表之附表一</w:t>
            </w:r>
            <w:r>
              <w:rPr>
                <w:rFonts w:hint="eastAsia" w:ascii="宋体" w:hAnsi="宋体" w:eastAsia="宋体" w:cs="宋体"/>
                <w:color w:val="auto"/>
                <w:sz w:val="21"/>
                <w:szCs w:val="21"/>
                <w:highlight w:val="none"/>
                <w:lang w:val="en-US" w:bidi="zh-CN"/>
              </w:rPr>
              <w:t>），其相关要求如下。</w:t>
            </w:r>
          </w:p>
          <w:p>
            <w:pPr>
              <w:pStyle w:val="5"/>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应按要求在ECP2.0系统中生成资质业绩凭证单（以下简称“凭证单”），“凭证单”应当在资质能力信息核实结果公告发布后生成，在投标工具中直接上传ECP2.0系统中生成的凭证单压缩包，用于投标的“凭证单”不得从招投标交易平台信息系统中删除，否则投标人将承担由此导致的包括但不限于投标失败等不利评价风险。</w:t>
            </w:r>
          </w:p>
          <w:p>
            <w:pPr>
              <w:pStyle w:val="16"/>
              <w:widowControl w:val="0"/>
              <w:autoSpaceDE w:val="0"/>
              <w:autoSpaceDN w:val="0"/>
              <w:spacing w:before="120" w:beforeLines="50" w:beforeAutospacing="0" w:after="120" w:afterLines="50" w:afterAutospacing="0"/>
              <w:ind w:firstLine="42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请投标人选择</w:t>
            </w:r>
            <w:r>
              <w:rPr>
                <w:rFonts w:hint="eastAsia" w:cs="宋体"/>
                <w:color w:val="auto"/>
                <w:sz w:val="21"/>
                <w:szCs w:val="21"/>
                <w:highlight w:val="none"/>
                <w:lang w:val="en-US" w:eastAsia="zh-CN"/>
              </w:rPr>
              <w:t>XX年</w:t>
            </w:r>
            <w:r>
              <w:rPr>
                <w:rFonts w:hint="eastAsia" w:ascii="宋体" w:hAnsi="宋体" w:eastAsia="宋体" w:cs="宋体"/>
                <w:color w:val="auto"/>
                <w:sz w:val="21"/>
                <w:szCs w:val="21"/>
                <w:highlight w:val="none"/>
              </w:rPr>
              <w:t>资质能力核实任务的核实结果，并勾选保存需更新的未核实信息一并生成凭证单。</w:t>
            </w:r>
          </w:p>
          <w:p>
            <w:p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（1）“资质业绩凭证单”载明时间段内的业绩情况均以国网公司</w:t>
            </w:r>
            <w:r>
              <w:rPr>
                <w:rFonts w:hint="eastAsia" w:ascii="宋体" w:hAnsi="宋体" w:cs="宋体"/>
                <w:color w:val="auto"/>
                <w:szCs w:val="21"/>
                <w:highlight w:val="none"/>
                <w:lang w:eastAsia="zh-CN"/>
              </w:rPr>
              <w:t>招标人招投标交易平台信息系统</w:t>
            </w:r>
            <w:r>
              <w:rPr>
                <w:rFonts w:hint="eastAsia" w:ascii="宋体" w:hAnsi="宋体" w:eastAsia="宋体" w:cs="宋体"/>
                <w:color w:val="auto"/>
                <w:szCs w:val="21"/>
                <w:highlight w:val="none"/>
              </w:rPr>
              <w:t>所载明的数据为准，无需再编入此时间段内的任何业绩证明材料，编入的不作评审。</w:t>
            </w:r>
          </w:p>
          <w:p>
            <w:p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“资质业绩凭证单”载明时间段之外的资质、获奖情况、业绩情况允许提供补充材料。</w:t>
            </w:r>
          </w:p>
          <w:p>
            <w:p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即：</w:t>
            </w:r>
          </w:p>
          <w:p>
            <w:p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①“凭证单”上所载明的“核实结果”为“是”的数据作为评审依据，无需提供其他证明材料。</w:t>
            </w:r>
          </w:p>
          <w:p>
            <w:p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②供货业绩以凭证单载明的“核实结果”为“是”的数据为准，其他业绩及其支撑证明文件无需编入投标文件，编入的不作评审。</w:t>
            </w:r>
          </w:p>
          <w:p>
            <w:pPr>
              <w:pStyle w:val="5"/>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③除供货业绩外，接受相关报告证书等信息的更新补充，更新补充的支撑文件按照《资质业绩信息集中应答文件》格式编制提交并提供支撑文件扫描件</w:t>
            </w:r>
          </w:p>
          <w:p>
            <w:p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④提交“凭证单”且“凭证单”包含股权结构信息、且信息无修改的，以“凭证单”内容为准。未提交“凭证单”或“凭证单”中股权结构信息有修改的，投标人须按相应格式提供股权结构说明书及相关证明文件（投标人为事业单位的不需提供）</w:t>
            </w:r>
          </w:p>
          <w:p>
            <w:pPr>
              <w:numPr>
                <w:ilvl w:val="0"/>
                <w:numId w:val="1"/>
              </w:num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投标人未取得“资质业绩凭证单”或已取得“资质业绩凭证单”但未在投标文件中提供的，应按招标文件格式要求编制投标文件。</w:t>
            </w:r>
          </w:p>
          <w:p>
            <w:pPr>
              <w:pStyle w:val="5"/>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（3）ECP</w:t>
            </w:r>
            <w:r>
              <w:rPr>
                <w:rFonts w:hint="eastAsia" w:ascii="宋体" w:hAnsi="宋体" w:eastAsia="宋体" w:cs="宋体"/>
                <w:b/>
                <w:bCs/>
                <w:color w:val="auto"/>
                <w:szCs w:val="21"/>
                <w:highlight w:val="none"/>
              </w:rPr>
              <w:t>投标工具支持上传多份不同产品类别的“凭证单”：</w:t>
            </w:r>
            <w:r>
              <w:rPr>
                <w:rFonts w:hint="eastAsia" w:ascii="宋体" w:hAnsi="宋体" w:eastAsia="宋体" w:cs="宋体"/>
                <w:color w:val="auto"/>
                <w:szCs w:val="21"/>
                <w:highlight w:val="none"/>
              </w:rPr>
              <w:t>如所投产品涉及两个核实产品类别，两种凭证单均应全部上传。</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●已参加XX年国网财务信息专项核实的投标人，需上传财务信息核实结果凭证单。</w:t>
            </w:r>
          </w:p>
          <w:p>
            <w:pPr>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●未参加XX年国网财务信息专项核实的投标人，仅需提供XX年的财务会计报表审计报告、资产负债表、利润表及现金流量表，其他报表无需提供。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970" w:hRule="atLeast"/>
        </w:trPr>
        <w:tc>
          <w:tcPr>
            <w:tcW w:w="1056"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3.5.2</w:t>
            </w:r>
          </w:p>
        </w:tc>
        <w:tc>
          <w:tcPr>
            <w:tcW w:w="1171"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近年财务状况的年份要求</w:t>
            </w:r>
          </w:p>
        </w:tc>
        <w:tc>
          <w:tcPr>
            <w:tcW w:w="6193"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b w:val="0"/>
                <w:bCs w:val="0"/>
                <w:color w:val="auto"/>
                <w:kern w:val="0"/>
                <w:sz w:val="21"/>
                <w:szCs w:val="21"/>
                <w:highlight w:val="none"/>
              </w:rPr>
              <w:t>20</w:t>
            </w:r>
            <w:r>
              <w:rPr>
                <w:rFonts w:hint="eastAsia" w:ascii="宋体" w:hAnsi="宋体" w:eastAsia="宋体" w:cs="宋体"/>
                <w:b w:val="0"/>
                <w:bCs w:val="0"/>
                <w:color w:val="auto"/>
                <w:kern w:val="0"/>
                <w:sz w:val="21"/>
                <w:szCs w:val="21"/>
                <w:highlight w:val="none"/>
                <w:lang w:val="en-US" w:eastAsia="zh-CN"/>
              </w:rPr>
              <w:t>2</w:t>
            </w:r>
            <w:r>
              <w:rPr>
                <w:rFonts w:hint="eastAsia" w:ascii="宋体" w:hAnsi="宋体" w:cs="宋体"/>
                <w:b w:val="0"/>
                <w:bCs w:val="0"/>
                <w:color w:val="auto"/>
                <w:kern w:val="0"/>
                <w:sz w:val="21"/>
                <w:szCs w:val="21"/>
                <w:highlight w:val="none"/>
                <w:lang w:val="en-US" w:eastAsia="zh-CN"/>
              </w:rPr>
              <w:t>3</w:t>
            </w:r>
            <w:r>
              <w:rPr>
                <w:rFonts w:hint="eastAsia" w:ascii="宋体" w:hAnsi="宋体" w:eastAsia="宋体" w:cs="宋体"/>
                <w:b w:val="0"/>
                <w:bCs w:val="0"/>
                <w:color w:val="auto"/>
                <w:kern w:val="0"/>
                <w:sz w:val="21"/>
                <w:szCs w:val="21"/>
                <w:highlight w:val="none"/>
              </w:rPr>
              <w:t>年-20</w:t>
            </w:r>
            <w:r>
              <w:rPr>
                <w:rFonts w:hint="eastAsia" w:ascii="宋体" w:hAnsi="宋体" w:eastAsia="宋体" w:cs="宋体"/>
                <w:b w:val="0"/>
                <w:bCs w:val="0"/>
                <w:color w:val="auto"/>
                <w:kern w:val="0"/>
                <w:sz w:val="21"/>
                <w:szCs w:val="21"/>
                <w:highlight w:val="none"/>
                <w:lang w:val="en-US" w:eastAsia="zh-CN"/>
              </w:rPr>
              <w:t>2</w:t>
            </w:r>
            <w:r>
              <w:rPr>
                <w:rFonts w:hint="eastAsia" w:ascii="宋体" w:hAnsi="宋体" w:cs="宋体"/>
                <w:b w:val="0"/>
                <w:bCs w:val="0"/>
                <w:color w:val="auto"/>
                <w:kern w:val="0"/>
                <w:sz w:val="21"/>
                <w:szCs w:val="21"/>
                <w:highlight w:val="none"/>
                <w:lang w:val="en-US" w:eastAsia="zh-CN"/>
              </w:rPr>
              <w:t>5</w:t>
            </w:r>
            <w:r>
              <w:rPr>
                <w:rFonts w:hint="eastAsia" w:ascii="宋体" w:hAnsi="宋体" w:eastAsia="宋体" w:cs="宋体"/>
                <w:b w:val="0"/>
                <w:bCs w:val="0"/>
                <w:color w:val="auto"/>
                <w:kern w:val="0"/>
                <w:sz w:val="21"/>
                <w:szCs w:val="21"/>
                <w:highlight w:val="none"/>
              </w:rPr>
              <w:t>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3.5.3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近年完成的类似项目情况要求</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按照第一章招标公告投标人业绩要求和第三章评标办法附表“评分标准”要求提供相关文件。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3.5.5</w:t>
            </w:r>
          </w:p>
        </w:tc>
        <w:tc>
          <w:tcPr>
            <w:tcW w:w="1171"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kern w:val="0"/>
                <w:sz w:val="21"/>
                <w:szCs w:val="21"/>
                <w:highlight w:val="none"/>
              </w:rPr>
              <w:t>近年发生的诉讼及仲裁情况的时间要求</w:t>
            </w:r>
          </w:p>
        </w:tc>
        <w:tc>
          <w:tcPr>
            <w:tcW w:w="6193"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bCs w:val="0"/>
                <w:color w:val="auto"/>
                <w:kern w:val="0"/>
                <w:sz w:val="21"/>
                <w:szCs w:val="21"/>
                <w:highlight w:val="none"/>
                <w:u w:val="single"/>
              </w:rPr>
              <w:t>202</w:t>
            </w:r>
            <w:r>
              <w:rPr>
                <w:rFonts w:hint="default" w:ascii="宋体" w:hAnsi="宋体" w:eastAsia="宋体" w:cs="宋体"/>
                <w:b w:val="0"/>
                <w:bCs w:val="0"/>
                <w:color w:val="auto"/>
                <w:kern w:val="0"/>
                <w:sz w:val="21"/>
                <w:szCs w:val="21"/>
                <w:highlight w:val="none"/>
                <w:u w:val="single"/>
                <w:lang w:val="en-US" w:eastAsia="zh-CN"/>
              </w:rPr>
              <w:t>1</w:t>
            </w:r>
            <w:r>
              <w:rPr>
                <w:rFonts w:hint="eastAsia" w:ascii="宋体" w:hAnsi="宋体" w:eastAsia="宋体" w:cs="宋体"/>
                <w:b w:val="0"/>
                <w:bCs w:val="0"/>
                <w:color w:val="auto"/>
                <w:kern w:val="0"/>
                <w:sz w:val="21"/>
                <w:szCs w:val="21"/>
                <w:highlight w:val="none"/>
                <w:u w:val="single"/>
                <w:lang w:eastAsia="en-US"/>
              </w:rPr>
              <w:t>年</w:t>
            </w:r>
            <w:r>
              <w:rPr>
                <w:rFonts w:hint="eastAsia" w:ascii="宋体" w:hAnsi="宋体" w:eastAsia="宋体" w:cs="宋体"/>
                <w:b w:val="0"/>
                <w:bCs w:val="0"/>
                <w:color w:val="auto"/>
                <w:kern w:val="0"/>
                <w:sz w:val="21"/>
                <w:szCs w:val="21"/>
                <w:highlight w:val="none"/>
              </w:rPr>
              <w:t>至投标截止日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新增</w:t>
            </w:r>
          </w:p>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 xml:space="preserve">3.5.6 </w:t>
            </w:r>
          </w:p>
        </w:tc>
        <w:tc>
          <w:tcPr>
            <w:tcW w:w="1171"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b w:val="0"/>
                <w:bCs w:val="0"/>
                <w:color w:val="auto"/>
                <w:kern w:val="0"/>
                <w:sz w:val="21"/>
                <w:szCs w:val="21"/>
                <w:highlight w:val="none"/>
                <w:lang w:val="en-US" w:eastAsia="zh-CN" w:bidi="ar-SA"/>
              </w:rPr>
            </w:pPr>
            <w:r>
              <w:rPr>
                <w:rFonts w:hint="eastAsia" w:ascii="宋体" w:hAnsi="宋体" w:eastAsia="宋体" w:cs="宋体"/>
                <w:b w:val="0"/>
                <w:bCs w:val="0"/>
                <w:color w:val="auto"/>
                <w:kern w:val="0"/>
                <w:sz w:val="21"/>
                <w:szCs w:val="21"/>
                <w:highlight w:val="none"/>
              </w:rPr>
              <w:t>主要人员信息</w:t>
            </w:r>
          </w:p>
        </w:tc>
        <w:tc>
          <w:tcPr>
            <w:tcW w:w="6193"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b w:val="0"/>
                <w:bCs w:val="0"/>
                <w:color w:val="auto"/>
                <w:kern w:val="0"/>
                <w:sz w:val="21"/>
                <w:szCs w:val="21"/>
                <w:highlight w:val="none"/>
                <w:lang w:val="en-US" w:eastAsia="zh-CN" w:bidi="ar-SA"/>
              </w:rPr>
            </w:pPr>
            <w:r>
              <w:rPr>
                <w:rFonts w:hint="eastAsia" w:ascii="宋体" w:hAnsi="宋体" w:eastAsia="宋体" w:cs="宋体"/>
                <w:b w:val="0"/>
                <w:bCs w:val="0"/>
                <w:color w:val="auto"/>
                <w:kern w:val="0"/>
                <w:sz w:val="21"/>
                <w:szCs w:val="21"/>
                <w:highlight w:val="none"/>
                <w:lang w:val="en-US" w:eastAsia="zh-CN"/>
              </w:rPr>
              <w:t>补充：对主要人员有资格要求的，应按照第六章投标文件格式中项目人员配置情况要求提供相关证明材料。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3.6.1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是否允许递交备选投标方案</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lang w:eastAsia="en-US"/>
              </w:rPr>
              <w:t>不允许</w:t>
            </w:r>
            <w:r>
              <w:rPr>
                <w:rFonts w:hint="eastAsia" w:ascii="宋体" w:hAnsi="宋体" w:eastAsia="宋体" w:cs="宋体"/>
                <w:color w:val="auto"/>
                <w:kern w:val="0"/>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3.</w:t>
            </w:r>
            <w:r>
              <w:rPr>
                <w:rFonts w:hint="eastAsia" w:ascii="宋体" w:hAnsi="宋体" w:cs="宋体"/>
                <w:color w:val="auto"/>
                <w:szCs w:val="21"/>
                <w:highlight w:val="none"/>
                <w:lang w:val="en-US" w:eastAsia="zh-CN"/>
              </w:rPr>
              <w:t>7</w:t>
            </w:r>
            <w:r>
              <w:rPr>
                <w:rFonts w:hint="eastAsia" w:ascii="宋体" w:hAnsi="宋体" w:eastAsia="宋体" w:cs="宋体"/>
                <w:color w:val="auto"/>
                <w:szCs w:val="21"/>
                <w:highlight w:val="none"/>
              </w:rPr>
              <w:t>.</w:t>
            </w:r>
            <w:r>
              <w:rPr>
                <w:rFonts w:hint="eastAsia" w:ascii="宋体" w:hAnsi="宋体" w:cs="宋体"/>
                <w:color w:val="auto"/>
                <w:szCs w:val="21"/>
                <w:highlight w:val="none"/>
                <w:lang w:val="en-US" w:eastAsia="zh-CN"/>
              </w:rPr>
              <w:t>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投标文件编制要求</w:t>
            </w:r>
          </w:p>
        </w:tc>
        <w:tc>
          <w:tcPr>
            <w:tcW w:w="6193" w:type="dxa"/>
            <w:vAlign w:val="center"/>
          </w:tcPr>
          <w:p>
            <w:pPr>
              <w:pStyle w:val="27"/>
              <w:spacing w:before="120" w:beforeLines="50" w:after="120" w:afterLines="50"/>
              <w:jc w:val="both"/>
              <w:rPr>
                <w:rFonts w:hint="eastAsia" w:ascii="宋体" w:hAnsi="宋体" w:eastAsia="宋体" w:cs="宋体"/>
                <w:color w:val="auto"/>
                <w:kern w:val="0"/>
                <w:szCs w:val="21"/>
                <w:highlight w:val="none"/>
              </w:rPr>
            </w:pPr>
            <w:r>
              <w:rPr>
                <w:rFonts w:hint="eastAsia" w:cs="宋体"/>
                <w:color w:val="auto"/>
                <w:sz w:val="21"/>
                <w:szCs w:val="21"/>
                <w:highlight w:val="none"/>
                <w:lang w:val="en-US" w:eastAsia="zh-CN"/>
              </w:rPr>
              <w:t>补充：</w:t>
            </w:r>
            <w:r>
              <w:rPr>
                <w:rFonts w:hint="eastAsia" w:ascii="宋体" w:hAnsi="宋体" w:eastAsia="宋体" w:cs="宋体"/>
                <w:color w:val="auto"/>
                <w:sz w:val="21"/>
                <w:szCs w:val="21"/>
                <w:highlight w:val="none"/>
                <w:lang w:val="en-US"/>
              </w:rPr>
              <w:t>对投标人提供的</w:t>
            </w:r>
            <w:r>
              <w:rPr>
                <w:rFonts w:hint="eastAsia" w:cs="宋体"/>
                <w:color w:val="auto"/>
                <w:sz w:val="21"/>
                <w:szCs w:val="21"/>
                <w:highlight w:val="none"/>
                <w:lang w:val="en-US" w:eastAsia="zh-CN"/>
              </w:rPr>
              <w:t>招标</w:t>
            </w:r>
            <w:r>
              <w:rPr>
                <w:rFonts w:hint="eastAsia" w:ascii="宋体" w:hAnsi="宋体" w:eastAsia="宋体" w:cs="宋体"/>
                <w:color w:val="auto"/>
                <w:sz w:val="21"/>
                <w:szCs w:val="21"/>
                <w:highlight w:val="none"/>
                <w:lang w:val="en-US"/>
              </w:rPr>
              <w:t>文件要求之外的文件，评标委员会不作评审。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pacing w:val="-6"/>
                <w:sz w:val="21"/>
                <w:szCs w:val="21"/>
                <w:highlight w:val="none"/>
                <w:lang w:eastAsia="en-US"/>
              </w:rPr>
              <w:t>3.7.3（A）（1）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投标文件盖章要求</w:t>
            </w:r>
          </w:p>
        </w:tc>
        <w:tc>
          <w:tcPr>
            <w:tcW w:w="6193" w:type="dxa"/>
            <w:vAlign w:val="center"/>
          </w:tcPr>
          <w:p>
            <w:pPr>
              <w:autoSpaceDE w:val="0"/>
              <w:autoSpaceDN w:val="0"/>
              <w:adjustRightInd w:val="0"/>
              <w:snapToGrid w:val="0"/>
              <w:spacing w:before="120" w:beforeLines="50" w:after="120" w:afterLines="50"/>
              <w:rPr>
                <w:rFonts w:hint="eastAsia" w:ascii="宋体" w:hAnsi="宋体" w:eastAsia="宋体" w:cs="宋体"/>
                <w:b/>
                <w:color w:val="auto"/>
                <w:szCs w:val="21"/>
                <w:highlight w:val="none"/>
              </w:rPr>
            </w:pPr>
            <w:r>
              <w:rPr>
                <w:rFonts w:hint="eastAsia" w:ascii="宋体" w:hAnsi="宋体" w:cs="宋体"/>
                <w:bCs/>
                <w:color w:val="auto"/>
                <w:szCs w:val="21"/>
                <w:highlight w:val="none"/>
              </w:rPr>
              <w:t>对于系统电子投标文件，需完成价格文件、商务文件、技术文件整体电子签章。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3.7.3(A)(2)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投标文件份数及其他要求</w:t>
            </w:r>
          </w:p>
        </w:tc>
        <w:tc>
          <w:tcPr>
            <w:tcW w:w="6193" w:type="dxa"/>
            <w:vAlign w:val="center"/>
          </w:tcPr>
          <w:p>
            <w:pPr>
              <w:autoSpaceDE w:val="0"/>
              <w:autoSpaceDN w:val="0"/>
              <w:adjustRightInd w:val="0"/>
              <w:snapToGrid w:val="0"/>
              <w:spacing w:before="120" w:beforeLines="50" w:after="120" w:afterLines="50"/>
              <w:rPr>
                <w:rFonts w:hint="default" w:ascii="宋体" w:hAnsi="宋体" w:eastAsia="宋体" w:cs="宋体"/>
                <w:color w:val="auto"/>
                <w:szCs w:val="21"/>
                <w:highlight w:val="none"/>
                <w:lang w:val="en-US"/>
              </w:rPr>
            </w:pPr>
            <w:r>
              <w:rPr>
                <w:rFonts w:hint="eastAsia" w:ascii="宋体" w:hAnsi="宋体" w:eastAsia="宋体" w:cs="宋体"/>
                <w:bCs/>
                <w:color w:val="auto"/>
                <w:szCs w:val="21"/>
                <w:highlight w:val="none"/>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3.7.3（A）（3）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投标文件装订要求</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bCs/>
                <w:color w:val="auto"/>
                <w:szCs w:val="21"/>
                <w:highlight w:val="none"/>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3.7.3（B）</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投标文件签字或盖章要求</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1.在互联网上，投标人使用本人的合法数字证书之私钥对所投电子投标文件进行数字（电子）签名，使用招标人的合法数字证书之公钥对所投电子投标文件进行加密后，提交招标人招投标交易平台信息系统。</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2.招标文件第六章中提供了格式文件的，投标人应按格式进行编制。对上述格式文件进行实质性修改或未按格式进行签署的文件，被视为无效文件。</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3.对于系统电子投标文件，需完成价格文件、商务文件、技术文件整体电子签章，投标工具默认盖章至文件首页。</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投标文件的签署应能通过招标人招投标交易平台信息系统供应商投标工具的校验。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pacing w:val="-6"/>
                <w:kern w:val="2"/>
                <w:sz w:val="21"/>
                <w:szCs w:val="21"/>
                <w:highlight w:val="none"/>
                <w:lang w:val="en-US"/>
              </w:rPr>
            </w:pPr>
            <w:r>
              <w:rPr>
                <w:rFonts w:hint="eastAsia" w:ascii="宋体" w:hAnsi="宋体" w:eastAsia="宋体" w:cs="宋体"/>
                <w:color w:val="auto"/>
                <w:spacing w:val="-6"/>
                <w:kern w:val="2"/>
                <w:sz w:val="21"/>
                <w:szCs w:val="21"/>
                <w:highlight w:val="none"/>
                <w:lang w:eastAsia="en-US"/>
              </w:rPr>
              <w:t>3.7.</w:t>
            </w:r>
            <w:r>
              <w:rPr>
                <w:rFonts w:hint="eastAsia" w:ascii="宋体" w:hAnsi="宋体" w:eastAsia="宋体" w:cs="宋体"/>
                <w:color w:val="auto"/>
                <w:spacing w:val="-6"/>
                <w:kern w:val="2"/>
                <w:sz w:val="21"/>
                <w:szCs w:val="21"/>
                <w:highlight w:val="none"/>
                <w:lang w:val="en-US"/>
              </w:rPr>
              <w:t>4</w:t>
            </w:r>
          </w:p>
          <w:p>
            <w:pPr>
              <w:pStyle w:val="27"/>
              <w:spacing w:before="120" w:beforeLines="50" w:after="120" w:afterLines="50"/>
              <w:jc w:val="center"/>
              <w:rPr>
                <w:rFonts w:hint="eastAsia" w:ascii="宋体" w:hAnsi="宋体" w:eastAsia="宋体" w:cs="宋体"/>
                <w:color w:val="auto"/>
                <w:sz w:val="21"/>
                <w:szCs w:val="21"/>
                <w:highlight w:val="none"/>
                <w:lang w:val="en-US" w:eastAsia="en-US"/>
              </w:rPr>
            </w:pPr>
            <w:r>
              <w:rPr>
                <w:rFonts w:hint="eastAsia" w:ascii="宋体" w:hAnsi="宋体" w:eastAsia="宋体" w:cs="宋体"/>
                <w:color w:val="auto"/>
                <w:kern w:val="2"/>
                <w:sz w:val="21"/>
                <w:szCs w:val="21"/>
                <w:highlight w:val="none"/>
              </w:rPr>
              <w:t>新增</w:t>
            </w:r>
          </w:p>
        </w:tc>
        <w:tc>
          <w:tcPr>
            <w:tcW w:w="1171" w:type="dxa"/>
            <w:vAlign w:val="center"/>
          </w:tcPr>
          <w:p>
            <w:pPr>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投标文件效力</w:t>
            </w:r>
          </w:p>
        </w:tc>
        <w:tc>
          <w:tcPr>
            <w:tcW w:w="6193" w:type="dxa"/>
            <w:vAlign w:val="center"/>
          </w:tcPr>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不接受网盘递交方式。</w:t>
            </w:r>
          </w:p>
          <w:p>
            <w:pPr>
              <w:snapToGrid w:val="0"/>
              <w:spacing w:before="120" w:beforeLines="50" w:after="120" w:afterLines="50"/>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全部文件应上传</w:t>
            </w:r>
            <w:r>
              <w:rPr>
                <w:rFonts w:hint="eastAsia" w:ascii="宋体" w:hAnsi="宋体" w:cs="宋体"/>
                <w:color w:val="auto"/>
                <w:szCs w:val="21"/>
                <w:highlight w:val="none"/>
                <w:lang w:eastAsia="zh-CN"/>
              </w:rPr>
              <w:t>招标人招投标交易平台信息系统</w:t>
            </w:r>
            <w:r>
              <w:rPr>
                <w:rFonts w:hint="eastAsia" w:ascii="宋体" w:hAnsi="宋体" w:eastAsia="宋体" w:cs="宋体"/>
                <w:color w:val="auto"/>
                <w:szCs w:val="21"/>
                <w:highlight w:val="none"/>
              </w:rPr>
              <w:t>，投标人仅可通过</w:t>
            </w:r>
            <w:r>
              <w:rPr>
                <w:rFonts w:hint="eastAsia" w:ascii="宋体" w:hAnsi="宋体" w:cs="宋体"/>
                <w:color w:val="auto"/>
                <w:szCs w:val="21"/>
                <w:highlight w:val="none"/>
                <w:lang w:eastAsia="zh-CN"/>
              </w:rPr>
              <w:t>招标人招投标交易平台信息系统</w:t>
            </w:r>
            <w:r>
              <w:rPr>
                <w:rFonts w:hint="eastAsia" w:ascii="宋体" w:hAnsi="宋体" w:eastAsia="宋体" w:cs="宋体"/>
                <w:color w:val="auto"/>
                <w:szCs w:val="21"/>
                <w:highlight w:val="none"/>
              </w:rPr>
              <w:t>提交全部投标文件”</w:t>
            </w:r>
            <w:r>
              <w:rPr>
                <w:rFonts w:hint="eastAsia" w:ascii="宋体" w:hAnsi="宋体" w:cs="宋体"/>
                <w:color w:val="auto"/>
                <w:szCs w:val="21"/>
                <w:highlight w:val="none"/>
                <w:lang w:eastAsia="zh-CN"/>
              </w:rPr>
              <w:t>。</w:t>
            </w:r>
          </w:p>
          <w:p>
            <w:pPr>
              <w:snapToGrid w:val="0"/>
              <w:spacing w:before="120" w:beforeLines="50" w:after="120" w:afterLines="50"/>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eastAsia="zh-CN"/>
              </w:rPr>
              <w:t>☑</w:t>
            </w:r>
            <w:r>
              <w:rPr>
                <w:rFonts w:hint="eastAsia" w:ascii="宋体" w:hAnsi="宋体" w:eastAsia="宋体" w:cs="宋体"/>
                <w:color w:val="auto"/>
                <w:szCs w:val="21"/>
                <w:highlight w:val="none"/>
              </w:rPr>
              <w:t>接受网盘递交方式</w:t>
            </w:r>
            <w:r>
              <w:rPr>
                <w:rFonts w:hint="eastAsia" w:ascii="宋体" w:hAnsi="宋体" w:cs="宋体"/>
                <w:color w:val="auto"/>
                <w:szCs w:val="21"/>
                <w:highlight w:val="none"/>
                <w:lang w:eastAsia="zh-CN"/>
              </w:rPr>
              <w:t>。</w:t>
            </w:r>
          </w:p>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受</w:t>
            </w:r>
            <w:r>
              <w:rPr>
                <w:rFonts w:hint="eastAsia" w:ascii="宋体" w:hAnsi="宋体" w:cs="宋体"/>
                <w:color w:val="auto"/>
                <w:szCs w:val="21"/>
                <w:highlight w:val="none"/>
                <w:lang w:eastAsia="zh-CN"/>
              </w:rPr>
              <w:t>招标人招投标交易平台信息系统</w:t>
            </w:r>
            <w:r>
              <w:rPr>
                <w:rFonts w:hint="eastAsia" w:ascii="宋体" w:hAnsi="宋体" w:eastAsia="宋体" w:cs="宋体"/>
                <w:color w:val="auto"/>
                <w:szCs w:val="21"/>
                <w:highlight w:val="none"/>
              </w:rPr>
              <w:t>容量限制，要求通过网盘递交的文件，投标人需应用投标工具U+商务技术大文件功能加密提交网盘文件，在投标截止时间前完成上传提交。</w:t>
            </w:r>
          </w:p>
          <w:p>
            <w:pPr>
              <w:snapToGrid w:val="0"/>
              <w:spacing w:before="120" w:beforeLines="50" w:after="120" w:afterLines="50"/>
              <w:rPr>
                <w:rFonts w:hint="eastAsia"/>
                <w:color w:val="auto"/>
                <w:highlight w:val="none"/>
              </w:rPr>
            </w:pPr>
            <w:r>
              <w:rPr>
                <w:rFonts w:hint="eastAsia" w:ascii="宋体" w:hAnsi="宋体" w:eastAsia="宋体" w:cs="宋体"/>
                <w:color w:val="auto"/>
                <w:szCs w:val="21"/>
                <w:highlight w:val="none"/>
              </w:rPr>
              <w:t>不递交网盘的投标人，投标文件以提交至</w:t>
            </w:r>
            <w:r>
              <w:rPr>
                <w:rFonts w:hint="eastAsia" w:ascii="宋体" w:hAnsi="宋体" w:cs="宋体"/>
                <w:color w:val="auto"/>
                <w:szCs w:val="21"/>
                <w:highlight w:val="none"/>
                <w:lang w:eastAsia="zh-CN"/>
              </w:rPr>
              <w:t>招标人招投标交易平台信息系统</w:t>
            </w:r>
            <w:r>
              <w:rPr>
                <w:rFonts w:hint="eastAsia" w:ascii="宋体" w:hAnsi="宋体" w:eastAsia="宋体" w:cs="宋体"/>
                <w:color w:val="auto"/>
                <w:szCs w:val="21"/>
                <w:highlight w:val="none"/>
              </w:rPr>
              <w:t>的电子投标文件为准。递交网盘的投标人，网盘内容和</w:t>
            </w:r>
            <w:r>
              <w:rPr>
                <w:rFonts w:hint="eastAsia" w:ascii="宋体" w:hAnsi="宋体" w:cs="宋体"/>
                <w:color w:val="auto"/>
                <w:szCs w:val="21"/>
                <w:highlight w:val="none"/>
                <w:lang w:eastAsia="zh-CN"/>
              </w:rPr>
              <w:t>招标人招投标交易平台信息系统</w:t>
            </w:r>
            <w:r>
              <w:rPr>
                <w:rFonts w:hint="eastAsia" w:ascii="宋体" w:hAnsi="宋体" w:eastAsia="宋体" w:cs="宋体"/>
                <w:color w:val="auto"/>
                <w:szCs w:val="21"/>
                <w:highlight w:val="none"/>
              </w:rPr>
              <w:t>上传内容重复的文件或存在不一致内容的，以</w:t>
            </w:r>
            <w:r>
              <w:rPr>
                <w:rFonts w:hint="eastAsia" w:ascii="宋体" w:hAnsi="宋体" w:cs="宋体"/>
                <w:color w:val="auto"/>
                <w:szCs w:val="21"/>
                <w:highlight w:val="none"/>
                <w:lang w:eastAsia="zh-CN"/>
              </w:rPr>
              <w:t>招标人招投标交易平台信息系统</w:t>
            </w:r>
            <w:r>
              <w:rPr>
                <w:rFonts w:hint="eastAsia" w:ascii="宋体" w:hAnsi="宋体" w:eastAsia="宋体" w:cs="宋体"/>
                <w:color w:val="auto"/>
                <w:szCs w:val="21"/>
                <w:highlight w:val="none"/>
              </w:rPr>
              <w:t>的电子投标文件为准。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eastAsia="en-US"/>
              </w:rPr>
              <w:t>4.1.1（</w:t>
            </w:r>
            <w:r>
              <w:rPr>
                <w:rFonts w:hint="eastAsia" w:ascii="宋体" w:hAnsi="宋体" w:eastAsia="宋体" w:cs="宋体"/>
                <w:color w:val="auto"/>
                <w:sz w:val="21"/>
                <w:szCs w:val="21"/>
                <w:highlight w:val="none"/>
                <w:lang w:val="en-US"/>
              </w:rPr>
              <w:t>A</w:t>
            </w:r>
            <w:r>
              <w:rPr>
                <w:rFonts w:hint="eastAsia" w:ascii="宋体" w:hAnsi="宋体" w:eastAsia="宋体" w:cs="宋体"/>
                <w:color w:val="auto"/>
                <w:sz w:val="21"/>
                <w:szCs w:val="21"/>
                <w:highlight w:val="none"/>
                <w:lang w:val="en-US" w:eastAsia="en-US"/>
              </w:rPr>
              <w:t>）</w:t>
            </w:r>
          </w:p>
        </w:tc>
        <w:tc>
          <w:tcPr>
            <w:tcW w:w="1171" w:type="dxa"/>
            <w:vAlign w:val="center"/>
          </w:tcPr>
          <w:p>
            <w:pPr>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纸质投标文件密封要求</w:t>
            </w:r>
          </w:p>
        </w:tc>
        <w:tc>
          <w:tcPr>
            <w:tcW w:w="6193" w:type="dxa"/>
            <w:vAlign w:val="center"/>
          </w:tcPr>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bCs/>
                <w:color w:val="auto"/>
                <w:kern w:val="0"/>
                <w:szCs w:val="21"/>
                <w:highlight w:val="none"/>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4.1.1（B）</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投标文件加密要求</w:t>
            </w:r>
          </w:p>
        </w:tc>
        <w:tc>
          <w:tcPr>
            <w:tcW w:w="6193" w:type="dxa"/>
            <w:vAlign w:val="center"/>
          </w:tcPr>
          <w:p>
            <w:pPr>
              <w:snapToGrid w:val="0"/>
              <w:spacing w:before="120" w:beforeLines="50" w:after="120" w:afterLines="50"/>
              <w:jc w:val="left"/>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lang w:bidi="zh-CN"/>
              </w:rPr>
              <w:t>投标人使用本人的合法数字证书之私钥对所投电子投标文件进行数字（电子）签名，使用招标人的合法数字证书之公钥对所投电子投标文件进行加密后，提交招标人招投标交易平台信息系统。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4.1.2</w:t>
            </w:r>
          </w:p>
        </w:tc>
        <w:tc>
          <w:tcPr>
            <w:tcW w:w="1171" w:type="dxa"/>
            <w:vAlign w:val="center"/>
          </w:tcPr>
          <w:p>
            <w:pPr>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投标文件封套应写明的内容</w:t>
            </w:r>
          </w:p>
        </w:tc>
        <w:tc>
          <w:tcPr>
            <w:tcW w:w="6193" w:type="dxa"/>
            <w:vAlign w:val="center"/>
          </w:tcPr>
          <w:p>
            <w:pPr>
              <w:autoSpaceDE w:val="0"/>
              <w:autoSpaceDN w:val="0"/>
              <w:spacing w:before="120" w:beforeLines="50" w:after="120" w:afterLine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4.2.1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投标截止时间</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4.2.2（A）</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递交纸质投标文件地点</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4.2.2（B）</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投标人通过电子招标投标交易平台递交电子投标文件</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补充：</w:t>
            </w:r>
          </w:p>
          <w:p>
            <w:pPr>
              <w:pStyle w:val="28"/>
              <w:snapToGrid w:val="0"/>
              <w:spacing w:before="120" w:beforeLines="50" w:after="120" w:afterLines="50"/>
              <w:ind w:firstLine="0" w:firstLineChars="0"/>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kern w:val="0"/>
                <w:szCs w:val="21"/>
                <w:highlight w:val="none"/>
              </w:rPr>
              <w:t>投标人应使用投标工具制作投标文件价格文件、商务文件、技术文件，生成完整投标文件、进行电子签章后加密提交。</w:t>
            </w:r>
          </w:p>
          <w:p>
            <w:pPr>
              <w:pStyle w:val="29"/>
              <w:adjustRightInd w:val="0"/>
              <w:snapToGrid w:val="0"/>
              <w:spacing w:before="120" w:beforeLines="50" w:after="120" w:afterLines="50"/>
              <w:ind w:left="0" w:firstLine="0"/>
              <w:rPr>
                <w:rFonts w:hint="eastAsia"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rPr>
              <w:t>2.投标人未能在招标人招投标交易平台信息系统上提交投标报价的，或当众公示的开标一览表中不显示、显示为空白或乱码的投标报价，或投标人价格文件与开标一览表中的投标价格</w:t>
            </w:r>
            <w:r>
              <w:rPr>
                <w:rFonts w:hint="eastAsia" w:ascii="宋体" w:hAnsi="宋体" w:eastAsia="宋体" w:cs="宋体"/>
                <w:color w:val="auto"/>
                <w:sz w:val="21"/>
                <w:szCs w:val="21"/>
                <w:highlight w:val="none"/>
              </w:rPr>
              <w:t>（或折扣率）</w:t>
            </w:r>
            <w:r>
              <w:rPr>
                <w:rFonts w:hint="eastAsia" w:ascii="宋体" w:hAnsi="宋体" w:eastAsia="宋体" w:cs="宋体"/>
                <w:color w:val="auto"/>
                <w:sz w:val="21"/>
                <w:szCs w:val="21"/>
                <w:highlight w:val="none"/>
                <w:lang w:val="en-US"/>
              </w:rPr>
              <w:t>不一致的，或投标报价错误的，视为无效报价。如有价格调整，投标人应在截标前在招标人招投标交易平台信息系统上重新报价，并重新生成全套价格文件以保持开标一览表与报价明细表（如有）、单价分析表（如有）的报价一致性。</w:t>
            </w:r>
          </w:p>
          <w:p>
            <w:pPr>
              <w:pStyle w:val="29"/>
              <w:adjustRightInd w:val="0"/>
              <w:snapToGrid w:val="0"/>
              <w:spacing w:before="120" w:beforeLines="50" w:after="120" w:afterLines="50"/>
              <w:ind w:left="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3.投标人放弃全部或部分标包的投标，投标人必须在截标前在招标人招投标交易平台信息系统撤回已提交的投标文件，否则将视为投标人参加投标并按本章第5条规定进行解密公示，公示后的开标报价具有法律效力，如该投标人中标，后续合同签订受相关法律责任约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rPr>
              <w:t>4.2.3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en-US"/>
              </w:rPr>
              <w:t>投标文件是否退还</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szCs w:val="21"/>
                <w:highlight w:val="none"/>
                <w:lang w:bidi="zh-CN"/>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tcBorders>
              <w:top w:val="single" w:color="000000" w:sz="4" w:space="0"/>
              <w:left w:val="single" w:color="000000" w:sz="4" w:space="0"/>
              <w:bottom w:val="single" w:color="000000" w:sz="4" w:space="0"/>
              <w:right w:val="single" w:color="000000" w:sz="4" w:space="0"/>
            </w:tcBorders>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4.2.4</w:t>
            </w:r>
          </w:p>
        </w:tc>
        <w:tc>
          <w:tcPr>
            <w:tcW w:w="1171"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投标文件提交时间</w:t>
            </w:r>
          </w:p>
        </w:tc>
        <w:tc>
          <w:tcPr>
            <w:tcW w:w="6193" w:type="dxa"/>
            <w:tcBorders>
              <w:top w:val="single" w:color="000000" w:sz="4" w:space="0"/>
              <w:left w:val="single" w:color="000000" w:sz="4" w:space="0"/>
              <w:bottom w:val="single" w:color="000000" w:sz="4" w:space="0"/>
              <w:right w:val="single" w:color="000000" w:sz="4" w:space="0"/>
            </w:tcBorders>
            <w:vAlign w:val="center"/>
          </w:tcPr>
          <w:p>
            <w:pPr>
              <w:adjustRightInd w:val="0"/>
              <w:spacing w:before="120" w:beforeLines="50" w:after="120" w:afterLines="50"/>
              <w:rPr>
                <w:rFonts w:hint="eastAsia" w:ascii="宋体" w:hAnsi="宋体" w:eastAsia="宋体" w:cs="宋体"/>
                <w:color w:val="auto"/>
                <w:szCs w:val="21"/>
                <w:highlight w:val="none"/>
                <w:lang w:bidi="zh-CN"/>
              </w:rPr>
            </w:pPr>
            <w:r>
              <w:rPr>
                <w:rFonts w:hint="eastAsia" w:ascii="宋体" w:hAnsi="宋体" w:eastAsia="宋体" w:cs="宋体"/>
                <w:color w:val="auto"/>
                <w:szCs w:val="21"/>
                <w:highlight w:val="none"/>
                <w:lang w:bidi="zh-CN"/>
              </w:rPr>
              <w:t>投标人完成电子投标文件上传后，</w:t>
            </w:r>
            <w:r>
              <w:rPr>
                <w:rFonts w:hint="eastAsia" w:ascii="宋体" w:hAnsi="宋体" w:eastAsia="宋体" w:cs="宋体"/>
                <w:color w:val="auto"/>
                <w:sz w:val="21"/>
                <w:szCs w:val="21"/>
                <w:highlight w:val="none"/>
                <w:lang w:bidi="zh-CN"/>
              </w:rPr>
              <w:t>可</w:t>
            </w:r>
            <w:r>
              <w:rPr>
                <w:rFonts w:hint="eastAsia" w:ascii="宋体" w:hAnsi="宋体" w:eastAsia="宋体" w:cs="宋体"/>
                <w:color w:val="auto"/>
                <w:sz w:val="21"/>
                <w:szCs w:val="21"/>
                <w:highlight w:val="none"/>
                <w:lang w:val="en-US" w:bidi="zh-CN"/>
              </w:rPr>
              <w:t>登</w:t>
            </w:r>
            <w:r>
              <w:rPr>
                <w:rFonts w:hint="eastAsia" w:ascii="宋体" w:hAnsi="宋体" w:eastAsia="宋体" w:cs="宋体"/>
                <w:b w:val="0"/>
                <w:bCs w:val="0"/>
                <w:color w:val="auto"/>
                <w:sz w:val="21"/>
                <w:szCs w:val="21"/>
                <w:highlight w:val="none"/>
                <w:u w:val="none"/>
                <w:lang w:val="en-US" w:bidi="zh-CN"/>
              </w:rPr>
              <w:t>录</w:t>
            </w:r>
            <w:r>
              <w:rPr>
                <w:rFonts w:hint="eastAsia" w:ascii="宋体" w:hAnsi="宋体" w:eastAsia="宋体" w:cs="宋体"/>
                <w:color w:val="auto"/>
                <w:szCs w:val="21"/>
                <w:highlight w:val="none"/>
                <w:lang w:bidi="zh-CN"/>
              </w:rPr>
              <w:t>招标人招投标交易平台信息系统查看投标文件上传情况统计。提交时间以招标人招投标交易平台信息系统记录的传输完成时间为准。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4.2.5</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拒收投标文件的其他情形</w:t>
            </w:r>
          </w:p>
        </w:tc>
        <w:tc>
          <w:tcPr>
            <w:tcW w:w="6193" w:type="dxa"/>
            <w:vAlign w:val="center"/>
          </w:tcPr>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补充：</w:t>
            </w:r>
          </w:p>
          <w:p>
            <w:pPr>
              <w:pStyle w:val="27"/>
              <w:tabs>
                <w:tab w:val="left" w:pos="1401"/>
                <w:tab w:val="left" w:pos="2171"/>
                <w:tab w:val="left" w:pos="2945"/>
              </w:tabs>
              <w:spacing w:before="120" w:beforeLines="50" w:after="120" w:afterLines="50"/>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1.未按招标公告规定的时间和方式获取并下载招标文件的投标将予以拒收。</w:t>
            </w:r>
          </w:p>
          <w:p>
            <w:pPr>
              <w:pStyle w:val="27"/>
              <w:tabs>
                <w:tab w:val="left" w:pos="1401"/>
                <w:tab w:val="left" w:pos="2171"/>
                <w:tab w:val="left" w:pos="2945"/>
              </w:tabs>
              <w:spacing w:before="120" w:beforeLines="50" w:after="120" w:afterLines="50"/>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2.以邮寄、现场方式递交的投标文件将予以拒收。</w:t>
            </w:r>
          </w:p>
          <w:p>
            <w:pPr>
              <w:pStyle w:val="28"/>
              <w:autoSpaceDE w:val="0"/>
              <w:autoSpaceDN w:val="0"/>
              <w:snapToGrid w:val="0"/>
              <w:spacing w:before="120" w:beforeLines="50" w:after="120" w:afterLines="50"/>
              <w:ind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3.纸质投标文件将予以拒收。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5.1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开标时间和地点</w:t>
            </w:r>
          </w:p>
        </w:tc>
        <w:tc>
          <w:tcPr>
            <w:tcW w:w="6193"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开标时间：同投标截止时间，见招标公告。</w:t>
            </w:r>
          </w:p>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b/>
                <w:bCs/>
                <w:color w:val="auto"/>
                <w:sz w:val="21"/>
                <w:szCs w:val="21"/>
                <w:highlight w:val="none"/>
                <w:u w:val="single"/>
                <w:lang w:eastAsia="zh-CN"/>
              </w:rPr>
            </w:pPr>
            <w:r>
              <w:rPr>
                <w:rFonts w:hint="eastAsia" w:ascii="宋体" w:hAnsi="宋体" w:eastAsia="宋体" w:cs="宋体"/>
                <w:strike w:val="0"/>
                <w:dstrike w:val="0"/>
                <w:color w:val="auto"/>
                <w:sz w:val="21"/>
                <w:szCs w:val="21"/>
                <w:highlight w:val="none"/>
              </w:rPr>
              <w:t>开标地点：</w:t>
            </w:r>
            <w:r>
              <w:rPr>
                <w:rFonts w:hint="eastAsia" w:ascii="宋体" w:hAnsi="宋体" w:eastAsia="宋体" w:cs="宋体"/>
                <w:b w:val="0"/>
                <w:bCs w:val="0"/>
                <w:color w:val="auto"/>
                <w:sz w:val="21"/>
                <w:szCs w:val="21"/>
                <w:highlight w:val="none"/>
                <w:u w:val="single"/>
                <w:lang w:eastAsia="zh-CN"/>
              </w:rPr>
              <w:t>国网物资有限公司</w:t>
            </w:r>
            <w:r>
              <w:rPr>
                <w:rFonts w:hint="eastAsia" w:ascii="宋体" w:hAnsi="宋体" w:eastAsia="宋体" w:cs="宋体"/>
                <w:b/>
                <w:bCs/>
                <w:color w:val="auto"/>
                <w:sz w:val="21"/>
                <w:szCs w:val="21"/>
                <w:highlight w:val="none"/>
                <w:u w:val="none"/>
                <w:lang w:eastAsia="zh-CN"/>
              </w:rPr>
              <w:t>（</w:t>
            </w:r>
            <w:r>
              <w:rPr>
                <w:rFonts w:hint="eastAsia" w:ascii="宋体" w:hAnsi="宋体" w:eastAsia="宋体" w:cs="宋体"/>
                <w:b w:val="0"/>
                <w:bCs w:val="0"/>
                <w:color w:val="auto"/>
                <w:sz w:val="21"/>
                <w:szCs w:val="21"/>
                <w:highlight w:val="none"/>
                <w:u w:val="none"/>
                <w:lang w:eastAsia="zh-CN"/>
              </w:rPr>
              <w:t>不组织现场开标，电子商务平台线上开标</w:t>
            </w:r>
            <w:r>
              <w:rPr>
                <w:rFonts w:hint="eastAsia" w:ascii="宋体" w:hAnsi="宋体" w:eastAsia="宋体" w:cs="宋体"/>
                <w:b/>
                <w:bCs/>
                <w:color w:val="auto"/>
                <w:sz w:val="21"/>
                <w:szCs w:val="21"/>
                <w:highlight w:val="none"/>
                <w:u w:val="none"/>
                <w:lang w:eastAsia="zh-CN"/>
              </w:rPr>
              <w:t>）</w:t>
            </w:r>
          </w:p>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strike/>
                <w:dstrike w:val="0"/>
                <w:color w:val="auto"/>
                <w:sz w:val="21"/>
                <w:szCs w:val="21"/>
                <w:highlight w:val="none"/>
              </w:rPr>
            </w:pPr>
            <w:r>
              <w:rPr>
                <w:rFonts w:hint="eastAsia" w:ascii="宋体" w:hAnsi="宋体" w:eastAsia="宋体" w:cs="宋体"/>
                <w:strike w:val="0"/>
                <w:dstrike w:val="0"/>
                <w:color w:val="auto"/>
                <w:sz w:val="21"/>
                <w:szCs w:val="21"/>
                <w:highlight w:val="none"/>
              </w:rPr>
              <w:t>本项目开标过程全程在</w:t>
            </w:r>
            <w:r>
              <w:rPr>
                <w:rFonts w:hint="eastAsia" w:ascii="宋体" w:hAnsi="宋体" w:eastAsia="宋体" w:cs="宋体"/>
                <w:color w:val="auto"/>
                <w:sz w:val="21"/>
                <w:szCs w:val="21"/>
                <w:highlight w:val="none"/>
                <w:lang w:eastAsia="zh-CN"/>
              </w:rPr>
              <w:t>电子商务平台在线直播。</w:t>
            </w:r>
          </w:p>
          <w:p>
            <w:pPr>
              <w:pStyle w:val="5"/>
              <w:adjustRightInd w:val="0"/>
              <w:snapToGrid w:val="0"/>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strike w:val="0"/>
                <w:dstrike w:val="0"/>
                <w:color w:val="auto"/>
                <w:sz w:val="21"/>
                <w:szCs w:val="21"/>
                <w:highlight w:val="none"/>
              </w:rPr>
              <w:t>参加开标的方法</w:t>
            </w:r>
            <w:r>
              <w:rPr>
                <w:rFonts w:hint="eastAsia" w:ascii="宋体" w:hAnsi="宋体" w:eastAsia="宋体" w:cs="宋体"/>
                <w:strike w:val="0"/>
                <w:dstrike w:val="0"/>
                <w:color w:val="auto"/>
                <w:sz w:val="21"/>
                <w:szCs w:val="21"/>
                <w:highlight w:val="none"/>
                <w:lang w:val="en-US" w:eastAsia="zh-CN"/>
              </w:rPr>
              <w:t>:</w:t>
            </w:r>
            <w:r>
              <w:rPr>
                <w:rFonts w:hint="eastAsia" w:ascii="宋体" w:hAnsi="宋体" w:eastAsia="宋体" w:cs="宋体"/>
                <w:color w:val="auto"/>
                <w:sz w:val="21"/>
                <w:szCs w:val="21"/>
                <w:highlight w:val="none"/>
                <w:lang w:eastAsia="zh-CN"/>
              </w:rPr>
              <w:t>投标人在开标前登录电子商务平台，在本次投标项目界面，点击进入“开标直播大厅”，并按系统提示完成操作后在线参加开标直播。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5.2</w:t>
            </w:r>
          </w:p>
        </w:tc>
        <w:tc>
          <w:tcPr>
            <w:tcW w:w="1171" w:type="dxa"/>
            <w:shd w:val="clear" w:color="auto" w:fill="auto"/>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val="en-US" w:eastAsia="zh-CN"/>
              </w:rPr>
            </w:pPr>
            <w:r>
              <w:rPr>
                <w:rFonts w:hint="eastAsia" w:ascii="宋体" w:hAnsi="宋体" w:eastAsia="宋体" w:cs="宋体"/>
                <w:color w:val="auto"/>
                <w:kern w:val="0"/>
                <w:szCs w:val="21"/>
                <w:highlight w:val="none"/>
                <w:lang w:val="en-US" w:eastAsia="zh-CN"/>
              </w:rPr>
              <w:t>开标程序</w:t>
            </w:r>
          </w:p>
        </w:tc>
        <w:tc>
          <w:tcPr>
            <w:tcW w:w="6193" w:type="dxa"/>
            <w:shd w:val="clear" w:color="auto" w:fill="auto"/>
            <w:vAlign w:val="center"/>
          </w:tcPr>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 </w:t>
            </w:r>
            <w:r>
              <w:rPr>
                <w:rFonts w:hint="eastAsia" w:ascii="宋体" w:hAnsi="宋体" w:eastAsia="宋体" w:cs="宋体"/>
                <w:b/>
                <w:bCs/>
                <w:color w:val="auto"/>
                <w:sz w:val="21"/>
                <w:szCs w:val="21"/>
                <w:highlight w:val="none"/>
              </w:rPr>
              <w:t>本项目开标仪式通过ECP开标直播大厅-i国网视频会议进行网络直播，请提前完成i国网客户端的下载、账号注册等工作。</w:t>
            </w:r>
          </w:p>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投标人在开标前，登录ECP2.0系统，进入“查看开标记录”页面后，点击“进入开标直播大厅”，根据系统的弹出i国网下载页面下载i国网客户端，注册isc账号，登录i国网后，输入会议号</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开标前短信通知</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观看开标直播。</w:t>
            </w:r>
          </w:p>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1）i国网平台下载地址：https://id.sgcc.com.cn:10443/igw/index.html</w:t>
            </w:r>
          </w:p>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投标人isc账号注册地址：http://id.sgcc.com.cn:18088/；点击“外部单位注册”登录isc注册页面，填写单位信息，并在“审核凭证”处上传供应商注册ECP账号审核通过的截图（ECP截图路径为“账号信息管理-注册信息管理”）即可，</w:t>
            </w:r>
            <w:r>
              <w:rPr>
                <w:rFonts w:hint="eastAsia" w:ascii="宋体" w:hAnsi="宋体" w:eastAsia="宋体" w:cs="宋体"/>
                <w:color w:val="auto"/>
                <w:sz w:val="21"/>
                <w:szCs w:val="21"/>
                <w:highlight w:val="none"/>
                <w:lang w:eastAsia="zh-CN"/>
              </w:rPr>
              <w:t>所提交的申请将在1个工作日</w:t>
            </w:r>
            <w:r>
              <w:rPr>
                <w:rFonts w:hint="eastAsia" w:ascii="宋体" w:hAnsi="宋体" w:eastAsia="宋体" w:cs="宋体"/>
                <w:color w:val="auto"/>
                <w:sz w:val="21"/>
                <w:szCs w:val="21"/>
                <w:highlight w:val="none"/>
              </w:rPr>
              <w:t>后审核通过。</w:t>
            </w:r>
          </w:p>
          <w:p>
            <w:pPr>
              <w:keepNext w:val="0"/>
              <w:keepLines w:val="0"/>
              <w:suppressLineNumbers w:val="0"/>
              <w:autoSpaceDE w:val="0"/>
              <w:autoSpaceDN w:val="0"/>
              <w:adjustRightInd w:val="0"/>
              <w:snapToGrid w:val="0"/>
              <w:spacing w:before="0" w:beforeAutospacing="0" w:after="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如遇i国网注册问题，请联系运维电话：</w:t>
            </w:r>
            <w:r>
              <w:rPr>
                <w:rFonts w:hint="eastAsia" w:ascii="宋体" w:hAnsi="宋体" w:eastAsia="宋体" w:cs="宋体"/>
                <w:b/>
                <w:bCs/>
                <w:color w:val="auto"/>
                <w:sz w:val="21"/>
                <w:szCs w:val="21"/>
                <w:highlight w:val="none"/>
              </w:rPr>
              <w:t>010-60617604。</w:t>
            </w:r>
          </w:p>
          <w:p>
            <w:pPr>
              <w:shd w:val="clea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按下列程序进行开标：</w:t>
            </w:r>
          </w:p>
          <w:p>
            <w:pPr>
              <w:numPr>
                <w:ilvl w:val="0"/>
                <w:numId w:val="2"/>
              </w:numPr>
              <w:shd w:val="clea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宣布开标纪律</w:t>
            </w:r>
            <w:r>
              <w:rPr>
                <w:rFonts w:hint="eastAsia" w:ascii="宋体" w:hAnsi="宋体" w:cs="宋体"/>
                <w:color w:val="auto"/>
                <w:szCs w:val="21"/>
                <w:highlight w:val="none"/>
                <w:lang w:eastAsia="zh-CN"/>
              </w:rPr>
              <w:t>；</w:t>
            </w:r>
          </w:p>
          <w:p>
            <w:pPr>
              <w:numPr>
                <w:ilvl w:val="0"/>
                <w:numId w:val="2"/>
              </w:numPr>
              <w:shd w:val="clea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上传招标人招投标交易平台信息系统价格文件不足3家的项目不予开标</w:t>
            </w:r>
            <w:r>
              <w:rPr>
                <w:rFonts w:hint="eastAsia" w:ascii="宋体" w:hAnsi="宋体" w:cs="宋体"/>
                <w:color w:val="auto"/>
                <w:szCs w:val="21"/>
                <w:highlight w:val="none"/>
                <w:lang w:eastAsia="zh-CN"/>
              </w:rPr>
              <w:t>；</w:t>
            </w:r>
          </w:p>
          <w:p>
            <w:pPr>
              <w:shd w:val="clear"/>
              <w:snapToGrid w:val="0"/>
              <w:spacing w:before="120" w:beforeLines="50" w:after="120" w:afterLines="50"/>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（3）投标人加密上传的投标文件将在投标截止时间起开始解密。开标报价通过招标人招投标交易平台信息系统向所有投标人公示。投标人的投标报价以招标人招投标交易平台信息系统公示的电子报价为准</w:t>
            </w:r>
            <w:r>
              <w:rPr>
                <w:rFonts w:hint="eastAsia" w:ascii="宋体" w:hAnsi="宋体" w:cs="宋体"/>
                <w:color w:val="auto"/>
                <w:szCs w:val="21"/>
                <w:highlight w:val="none"/>
                <w:lang w:eastAsia="zh-CN"/>
              </w:rPr>
              <w:t>。</w:t>
            </w:r>
          </w:p>
          <w:p>
            <w:pPr>
              <w:snapToGrid w:val="0"/>
              <w:spacing w:before="120" w:beforeLines="50" w:after="120" w:afterLines="50"/>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因投标人原因造成投标文件未解密的，视为撤销其投标文件；因投标人之外的原因造成投标文件未解密的，视为撤回其投标文件，投标人有权要求责任方赔偿因此遭受的直接损失。部分投标文件未解密的，其他投标文件的开标可以继续进行</w:t>
            </w:r>
            <w:r>
              <w:rPr>
                <w:rFonts w:hint="eastAsia" w:ascii="宋体" w:hAnsi="宋体" w:cs="宋体"/>
                <w:color w:val="auto"/>
                <w:szCs w:val="21"/>
                <w:highlight w:val="none"/>
                <w:lang w:eastAsia="zh-CN"/>
              </w:rPr>
              <w:t>。</w:t>
            </w:r>
          </w:p>
          <w:p>
            <w:pPr>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开标过程中，如发生系统解密中断或解密速度异常缓慢等情形，招标人将迅速组织进行信息系统检查和维护，各投标人可以在任何具备互联网条件的环境自行登录系统，继续见证开标过程和开标内容，直到服务器未解密开标信息数据全部解密完成。</w:t>
            </w:r>
          </w:p>
          <w:p>
            <w:pPr>
              <w:pStyle w:val="27"/>
              <w:tabs>
                <w:tab w:val="left" w:pos="1401"/>
                <w:tab w:val="left" w:pos="2171"/>
                <w:tab w:val="left" w:pos="2945"/>
              </w:tabs>
              <w:spacing w:before="120" w:beforeLines="50" w:after="120" w:afterLines="50"/>
              <w:jc w:val="both"/>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投标人的投标报价以招标人招投标交易平台信息系统公示的电子报价为准；投标人可以登录招标人招投标交易平台信息系统见证监督开标过程。如投标人对开标过程有异议的，应按照招标文件规定的通信方式和异议格式向招标人提出。在评标中投标人的报价以招标人招投标交易平台信息系统公示的电子报价为准</w:t>
            </w:r>
            <w:r>
              <w:rPr>
                <w:rFonts w:hint="eastAsia" w:cs="宋体"/>
                <w:color w:val="auto"/>
                <w:sz w:val="21"/>
                <w:szCs w:val="21"/>
                <w:highlight w:val="none"/>
                <w:lang w:eastAsia="zh-CN"/>
              </w:rPr>
              <w:t>；</w:t>
            </w:r>
          </w:p>
          <w:p>
            <w:pPr>
              <w:snapToGrid w:val="0"/>
              <w:spacing w:before="120" w:beforeLines="50" w:after="120" w:afterLines="50"/>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（4）各投标人须于开标后24小时内在招标人招投标交易平台信息系统完成开标结果确认，逾期未在招标人招投标交易平台信息系统完成开标结果确认的视为投标人对开标结果已确认</w:t>
            </w:r>
            <w:r>
              <w:rPr>
                <w:rFonts w:hint="eastAsia" w:ascii="宋体" w:hAnsi="宋体" w:cs="宋体"/>
                <w:color w:val="auto"/>
                <w:szCs w:val="21"/>
                <w:highlight w:val="none"/>
                <w:lang w:eastAsia="zh-CN"/>
              </w:rPr>
              <w:t>；</w:t>
            </w:r>
          </w:p>
          <w:p>
            <w:pPr>
              <w:snapToGrid w:val="0"/>
              <w:spacing w:before="120" w:beforeLines="50" w:after="120" w:afterLines="50"/>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（5）整个开标过程由监</w:t>
            </w:r>
            <w:r>
              <w:rPr>
                <w:rFonts w:hint="eastAsia" w:ascii="宋体" w:hAnsi="宋体" w:eastAsia="宋体" w:cs="宋体"/>
                <w:color w:val="auto"/>
                <w:szCs w:val="21"/>
                <w:highlight w:val="none"/>
                <w:lang w:val="en-US" w:eastAsia="zh-CN"/>
              </w:rPr>
              <w:t>督</w:t>
            </w:r>
            <w:r>
              <w:rPr>
                <w:rFonts w:hint="eastAsia" w:ascii="宋体" w:hAnsi="宋体" w:eastAsia="宋体" w:cs="宋体"/>
                <w:color w:val="auto"/>
                <w:szCs w:val="21"/>
                <w:highlight w:val="none"/>
              </w:rPr>
              <w:t>人员监督</w:t>
            </w:r>
            <w:r>
              <w:rPr>
                <w:rFonts w:hint="eastAsia" w:ascii="宋体" w:hAnsi="宋体" w:cs="宋体"/>
                <w:color w:val="auto"/>
                <w:szCs w:val="21"/>
                <w:highlight w:val="none"/>
                <w:lang w:eastAsia="zh-CN"/>
              </w:rPr>
              <w:t>；</w:t>
            </w:r>
          </w:p>
          <w:p>
            <w:pPr>
              <w:snapToGrid w:val="0"/>
              <w:spacing w:before="120" w:beforeLines="50" w:after="120" w:afterLines="50"/>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6）投标人可在招标文件规定的投标截止时间前任意时间，在任何具备互联网环境的地方登录招标人招投标交易平台信息系统并插入CA钥匙，验证开标信息是否准时解密，以及是否发生提前解密的情形，监督招标人招投标交易平台信息系统的解密进程</w:t>
            </w:r>
            <w:r>
              <w:rPr>
                <w:rFonts w:hint="eastAsia" w:ascii="宋体" w:hAnsi="宋体" w:cs="宋体"/>
                <w:color w:val="auto"/>
                <w:szCs w:val="21"/>
                <w:highlight w:val="none"/>
                <w:lang w:eastAsia="zh-CN"/>
              </w:rPr>
              <w:t>；</w:t>
            </w:r>
          </w:p>
          <w:p>
            <w:pPr>
              <w:pStyle w:val="5"/>
              <w:autoSpaceDE w:val="0"/>
              <w:autoSpaceDN w:val="0"/>
              <w:adjustRightInd w:val="0"/>
              <w:snapToGrid w:val="0"/>
              <w:spacing w:before="120" w:beforeLines="50" w:after="120" w:afterLines="50"/>
              <w:ind w:firstLine="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（7）价格公式中的</w:t>
            </w:r>
            <w:r>
              <w:rPr>
                <w:rFonts w:hint="eastAsia" w:ascii="宋体" w:hAnsi="宋体" w:eastAsia="宋体" w:cs="宋体"/>
                <w:color w:val="auto"/>
                <w:szCs w:val="21"/>
                <w:highlight w:val="none"/>
                <w:lang w:val="en-US" w:eastAsia="zh-CN"/>
              </w:rPr>
              <w:t>浮动</w:t>
            </w:r>
            <w:r>
              <w:rPr>
                <w:rFonts w:hint="eastAsia" w:ascii="宋体" w:hAnsi="宋体" w:eastAsia="宋体" w:cs="宋体"/>
                <w:color w:val="auto"/>
                <w:szCs w:val="21"/>
                <w:highlight w:val="none"/>
              </w:rPr>
              <w:t>系数（须开标现场抽取的），在开标现场在监察监督下进行抽取，并通过互联网进行直播，抽取结果在招标人招投标交易平台信息系统进行公示</w:t>
            </w:r>
            <w:r>
              <w:rPr>
                <w:rFonts w:hint="eastAsia" w:ascii="宋体" w:hAnsi="宋体" w:cs="宋体"/>
                <w:color w:val="auto"/>
                <w:szCs w:val="21"/>
                <w:highlight w:val="none"/>
                <w:lang w:eastAsia="zh-CN"/>
              </w:rPr>
              <w:t>；</w:t>
            </w:r>
          </w:p>
          <w:p>
            <w:pPr>
              <w:pStyle w:val="5"/>
              <w:autoSpaceDE w:val="0"/>
              <w:autoSpaceDN w:val="0"/>
              <w:adjustRightInd w:val="0"/>
              <w:snapToGrid w:val="0"/>
              <w:spacing w:before="120" w:beforeLines="50" w:after="120" w:afterLines="50"/>
              <w:ind w:firstLine="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8）投标人可在招标文件规定的投标截止时间后，在任何具备互联网环境的地方登录招标人招投标交易平台信息系统，并使用本人合法数字证书，查看开标一览表，如对其开标过程有异议，投标人根据附件格式填写《开标异议单》，并及时将该记录表在开标结束时间后1个小时内盖章扫描发送至指定电子邮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5.3</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开标异议</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补充：</w:t>
            </w:r>
          </w:p>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投标人对开标有异议的，应按附件格式填写《开标异议单》并在</w:t>
            </w:r>
            <w:r>
              <w:rPr>
                <w:rFonts w:hint="eastAsia" w:ascii="宋体" w:hAnsi="宋体" w:eastAsia="宋体" w:cs="宋体"/>
                <w:b/>
                <w:color w:val="auto"/>
                <w:kern w:val="0"/>
                <w:szCs w:val="21"/>
                <w:highlight w:val="none"/>
              </w:rPr>
              <w:t>开标结束时间后1个小时内盖章扫描</w:t>
            </w:r>
            <w:r>
              <w:rPr>
                <w:rFonts w:hint="eastAsia" w:ascii="宋体" w:hAnsi="宋体" w:eastAsia="宋体" w:cs="宋体"/>
                <w:color w:val="auto"/>
                <w:kern w:val="0"/>
                <w:szCs w:val="21"/>
                <w:highlight w:val="none"/>
              </w:rPr>
              <w:t>发送至指定电子邮箱，电子邮箱见招标公告。</w:t>
            </w:r>
          </w:p>
          <w:p>
            <w:pPr>
              <w:pStyle w:val="17"/>
              <w:ind w:left="0" w:leftChars="0" w:firstLine="0" w:firstLineChars="0"/>
              <w:rPr>
                <w:rFonts w:hint="eastAsia"/>
                <w:color w:val="auto"/>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6.1.1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评标委员会的组建</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评标委员会构成：5人及以上单数。技术、经济专家不少于成员总数的三分之二。</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技术、经济等方面专家确定方式：</w:t>
            </w:r>
            <w:r>
              <w:rPr>
                <w:rFonts w:hint="eastAsia" w:ascii="宋体" w:hAnsi="宋体" w:eastAsia="宋体" w:cs="宋体"/>
                <w:color w:val="auto"/>
                <w:szCs w:val="21"/>
                <w:highlight w:val="none"/>
              </w:rPr>
              <w:t>根据国家法律法规和国家电网有限公司相关规定组建。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6.3.2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评标委员会推荐中标候选人的人数</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评标委员会每包推荐中标候选人1名。招标人公示由评标委员会推荐的中标候选人。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7.1</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中标候选人公示媒介及期限</w:t>
            </w:r>
          </w:p>
        </w:tc>
        <w:tc>
          <w:tcPr>
            <w:tcW w:w="6193" w:type="dxa"/>
            <w:vAlign w:val="center"/>
          </w:tcPr>
          <w:p>
            <w:pPr>
              <w:adjustRightInd w:val="0"/>
              <w:snapToGrid w:val="0"/>
              <w:spacing w:before="120" w:beforeLines="50" w:after="120" w:afterLines="50"/>
              <w:rPr>
                <w:rFonts w:hint="eastAsia"/>
                <w:color w:val="auto"/>
                <w:highlight w:val="none"/>
              </w:rPr>
            </w:pPr>
            <w:r>
              <w:rPr>
                <w:rFonts w:hint="eastAsia"/>
                <w:color w:val="auto"/>
                <w:highlight w:val="none"/>
              </w:rPr>
              <w:t>公示媒介：招标人招投标交易平台信息系统、中国招标投标公共服务平台。</w:t>
            </w:r>
          </w:p>
          <w:p>
            <w:pPr>
              <w:adjustRightInd w:val="0"/>
              <w:snapToGrid w:val="0"/>
              <w:spacing w:before="120" w:beforeLines="50" w:after="120" w:afterLines="50"/>
              <w:rPr>
                <w:rFonts w:hint="eastAsia"/>
                <w:color w:val="auto"/>
                <w:highlight w:val="none"/>
              </w:rPr>
            </w:pPr>
            <w:r>
              <w:rPr>
                <w:rFonts w:hint="eastAsia"/>
                <w:color w:val="auto"/>
                <w:highlight w:val="none"/>
                <w:lang w:eastAsia="en-US"/>
              </w:rPr>
              <w:t>公示期限：</w:t>
            </w:r>
            <w:r>
              <w:rPr>
                <w:rFonts w:hint="eastAsia"/>
                <w:color w:val="auto"/>
                <w:highlight w:val="none"/>
              </w:rPr>
              <w:t>3</w:t>
            </w:r>
            <w:r>
              <w:rPr>
                <w:rFonts w:hint="eastAsia"/>
                <w:color w:val="auto"/>
                <w:highlight w:val="none"/>
                <w:lang w:eastAsia="en-US"/>
              </w:rPr>
              <w:t>日</w:t>
            </w:r>
            <w:r>
              <w:rPr>
                <w:rFonts w:hint="eastAsia"/>
                <w:color w:val="auto"/>
                <w:highlight w:val="none"/>
              </w:rPr>
              <w:t>。</w:t>
            </w:r>
          </w:p>
          <w:p>
            <w:pPr>
              <w:autoSpaceDE w:val="0"/>
              <w:autoSpaceDN w:val="0"/>
              <w:adjustRightInd w:val="0"/>
              <w:snapToGrid w:val="0"/>
              <w:jc w:val="left"/>
              <w:rPr>
                <w:rFonts w:hint="eastAsia" w:ascii="宋体" w:hAnsi="宋体" w:eastAsia="宋体" w:cs="宋体"/>
                <w:b/>
                <w:color w:val="auto"/>
                <w:sz w:val="21"/>
                <w:szCs w:val="21"/>
                <w:highlight w:val="none"/>
                <w:lang w:eastAsia="en-US"/>
              </w:rPr>
            </w:pPr>
            <w:r>
              <w:rPr>
                <w:rFonts w:hint="eastAsia" w:ascii="宋体" w:hAnsi="宋体" w:eastAsia="宋体" w:cs="宋体"/>
                <w:b/>
                <w:color w:val="auto"/>
                <w:sz w:val="21"/>
                <w:szCs w:val="21"/>
                <w:highlight w:val="none"/>
                <w:lang w:eastAsia="zh-CN"/>
              </w:rPr>
              <w:t>若投标人被推荐为中标候选人且提交的保证金为银行保函，推荐的中标候选人需在推荐中标候选人公示期间将银行保函原件邮寄至招标代理机构。如原件与投标保证金扫描件不一致，或在公示期间未按要求提交的，招标人有权取消其中标资格。</w:t>
            </w:r>
            <w:r>
              <w:rPr>
                <w:rFonts w:hint="eastAsia" w:ascii="宋体" w:hAnsi="宋体" w:eastAsia="宋体" w:cs="宋体"/>
                <w:b/>
                <w:color w:val="auto"/>
                <w:sz w:val="21"/>
                <w:szCs w:val="21"/>
                <w:highlight w:val="none"/>
                <w:lang w:eastAsia="en-US"/>
              </w:rPr>
              <w:t>邮寄信息详见下表。</w:t>
            </w:r>
          </w:p>
          <w:p>
            <w:pPr>
              <w:pStyle w:val="17"/>
              <w:ind w:left="0" w:leftChars="0" w:firstLine="0" w:firstLineChars="0"/>
              <w:rPr>
                <w:rFonts w:hint="eastAsia"/>
                <w:color w:val="auto"/>
                <w:highlight w:val="none"/>
              </w:rPr>
            </w:pPr>
            <w:r>
              <w:rPr>
                <w:rFonts w:hint="eastAsia" w:ascii="宋体" w:hAnsi="宋体" w:eastAsia="宋体" w:cs="宋体"/>
                <w:color w:val="auto"/>
                <w:sz w:val="21"/>
                <w:szCs w:val="21"/>
                <w:highlight w:val="none"/>
              </w:rPr>
              <w:drawing>
                <wp:inline distT="0" distB="0" distL="114300" distR="114300">
                  <wp:extent cx="2691130" cy="5873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2691130" cy="587375"/>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7.2</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评标结果异议</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补充：</w:t>
            </w:r>
          </w:p>
          <w:p>
            <w:pPr>
              <w:pStyle w:val="28"/>
              <w:adjustRightInd w:val="0"/>
              <w:snapToGrid w:val="0"/>
              <w:spacing w:before="120" w:beforeLines="50" w:after="120" w:afterLines="50"/>
              <w:ind w:firstLine="0" w:firstLineChars="0"/>
              <w:rPr>
                <w:rFonts w:hint="eastAsia" w:ascii="宋体" w:hAnsi="宋体" w:eastAsia="宋体" w:cs="宋体"/>
                <w:color w:val="auto"/>
                <w:szCs w:val="21"/>
                <w:highlight w:val="none"/>
              </w:rPr>
            </w:pPr>
            <w:r>
              <w:rPr>
                <w:rFonts w:hint="eastAsia" w:ascii="宋体" w:hAnsi="宋体" w:eastAsia="宋体" w:cs="宋体"/>
                <w:color w:val="auto"/>
                <w:szCs w:val="21"/>
                <w:highlight w:val="none"/>
              </w:rPr>
              <w:t>1.投标人或者其他利害关系人对依法必须进行招标的项目的评标结果有异议的，应当在中标候选人公示期间，实名以书面形式向招标人提出。若提出异议的为利害关系人，应提供关于利害关系的支撑材料。不受理匿名或其他形式的异议。</w:t>
            </w:r>
          </w:p>
          <w:p>
            <w:pPr>
              <w:pStyle w:val="28"/>
              <w:adjustRightInd w:val="0"/>
              <w:snapToGrid w:val="0"/>
              <w:spacing w:before="120" w:beforeLines="50" w:after="120" w:afterLines="50"/>
              <w:ind w:firstLine="0" w:firstLineChars="0"/>
              <w:rPr>
                <w:rFonts w:hint="eastAsia" w:ascii="宋体" w:hAnsi="宋体" w:eastAsia="宋体" w:cs="宋体"/>
                <w:color w:val="auto"/>
                <w:szCs w:val="21"/>
                <w:highlight w:val="none"/>
              </w:rPr>
            </w:pPr>
            <w:r>
              <w:rPr>
                <w:rFonts w:hint="eastAsia" w:ascii="宋体" w:hAnsi="宋体" w:eastAsia="宋体" w:cs="宋体"/>
                <w:color w:val="auto"/>
                <w:szCs w:val="21"/>
                <w:highlight w:val="none"/>
              </w:rPr>
              <w:t>2.应按附件格式填写《评标结果异议单》，盖章扫描件发送至指定电子邮箱或传真电话，电子邮箱或传真电话详见中标候选人公示。</w:t>
            </w:r>
          </w:p>
          <w:p>
            <w:pPr>
              <w:pStyle w:val="28"/>
              <w:adjustRightInd w:val="0"/>
              <w:snapToGrid w:val="0"/>
              <w:spacing w:before="120" w:beforeLines="50" w:after="120" w:afterLines="50"/>
              <w:ind w:firstLine="0" w:firstLineChars="0"/>
              <w:rPr>
                <w:rFonts w:hint="eastAsia" w:ascii="宋体" w:hAnsi="宋体" w:eastAsia="宋体" w:cs="宋体"/>
                <w:color w:val="auto"/>
                <w:szCs w:val="21"/>
                <w:highlight w:val="none"/>
              </w:rPr>
            </w:pPr>
            <w:r>
              <w:rPr>
                <w:rFonts w:hint="eastAsia" w:ascii="宋体" w:hAnsi="宋体" w:eastAsia="宋体" w:cs="宋体"/>
                <w:color w:val="auto"/>
                <w:szCs w:val="21"/>
                <w:highlight w:val="none"/>
              </w:rPr>
              <w:t>3.异议人所提事项应当客观真实，对其所提供材料内容的真实性负责，不得捏造事实或者提供虚假材料。对于捏造事实或者提供虚假材料的，招标人有权按照《国家电网有限公司供应商关系管理办法》对该异议人做出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7.4</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是否授权评标委员会确定中标人</w:t>
            </w:r>
          </w:p>
        </w:tc>
        <w:tc>
          <w:tcPr>
            <w:tcW w:w="6193" w:type="dxa"/>
            <w:vAlign w:val="center"/>
          </w:tcPr>
          <w:p>
            <w:pPr>
              <w:autoSpaceDE w:val="0"/>
              <w:autoSpaceDN w:val="0"/>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628"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7.5</w:t>
            </w:r>
          </w:p>
        </w:tc>
        <w:tc>
          <w:tcPr>
            <w:tcW w:w="1171" w:type="dxa"/>
            <w:vAlign w:val="center"/>
          </w:tcPr>
          <w:p>
            <w:pPr>
              <w:pStyle w:val="27"/>
              <w:spacing w:before="120" w:beforeLines="50" w:after="120" w:afterLines="50"/>
              <w:jc w:val="center"/>
              <w:outlineLvl w:val="0"/>
              <w:rPr>
                <w:rFonts w:hint="eastAsia" w:ascii="宋体" w:hAnsi="宋体" w:eastAsia="宋体" w:cs="宋体"/>
                <w:color w:val="auto"/>
                <w:sz w:val="21"/>
                <w:szCs w:val="21"/>
                <w:highlight w:val="none"/>
                <w:lang w:eastAsia="en-US"/>
              </w:rPr>
            </w:pPr>
            <w:bookmarkStart w:id="57" w:name="_Toc62551540"/>
            <w:r>
              <w:rPr>
                <w:rFonts w:hint="eastAsia" w:ascii="宋体" w:hAnsi="宋体" w:eastAsia="宋体" w:cs="宋体"/>
                <w:color w:val="auto"/>
                <w:sz w:val="21"/>
                <w:szCs w:val="21"/>
                <w:highlight w:val="none"/>
              </w:rPr>
              <w:t>中标通知</w:t>
            </w:r>
            <w:bookmarkEnd w:id="57"/>
          </w:p>
        </w:tc>
        <w:tc>
          <w:tcPr>
            <w:tcW w:w="6193" w:type="dxa"/>
            <w:vAlign w:val="center"/>
          </w:tcPr>
          <w:p>
            <w:pPr>
              <w:adjustRightInd w:val="0"/>
              <w:snapToGrid w:val="0"/>
              <w:spacing w:before="120" w:beforeLines="50" w:after="120" w:afterLines="50"/>
              <w:outlineLvl w:val="0"/>
              <w:rPr>
                <w:rFonts w:hint="eastAsia" w:ascii="宋体" w:hAnsi="宋体" w:eastAsia="宋体" w:cs="宋体"/>
                <w:color w:val="auto"/>
                <w:szCs w:val="21"/>
                <w:highlight w:val="none"/>
              </w:rPr>
            </w:pPr>
            <w:bookmarkStart w:id="58" w:name="_Toc62551541"/>
            <w:r>
              <w:rPr>
                <w:rFonts w:hint="eastAsia" w:ascii="宋体" w:hAnsi="宋体" w:eastAsia="宋体" w:cs="宋体"/>
                <w:color w:val="auto"/>
                <w:szCs w:val="21"/>
                <w:highlight w:val="none"/>
              </w:rPr>
              <w:t>补充：</w:t>
            </w:r>
            <w:bookmarkEnd w:id="58"/>
          </w:p>
          <w:p>
            <w:pPr>
              <w:pStyle w:val="27"/>
              <w:tabs>
                <w:tab w:val="left" w:pos="1401"/>
                <w:tab w:val="left" w:pos="2171"/>
                <w:tab w:val="left" w:pos="2945"/>
              </w:tabs>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rPr>
              <w:t>招标人</w:t>
            </w:r>
            <w:r>
              <w:rPr>
                <w:rFonts w:hint="eastAsia" w:ascii="宋体" w:hAnsi="宋体" w:eastAsia="宋体" w:cs="宋体"/>
                <w:color w:val="auto"/>
                <w:sz w:val="21"/>
                <w:szCs w:val="21"/>
                <w:highlight w:val="none"/>
              </w:rPr>
              <w:t>通过招标人招投标交易平台信息系统或以书面形式向中标人发出中标通知书，同时通过公开发布中标结果公告的方式将中标结果</w:t>
            </w:r>
            <w:r>
              <w:rPr>
                <w:rFonts w:hint="eastAsia" w:ascii="宋体" w:hAnsi="宋体" w:eastAsia="宋体" w:cs="宋体"/>
                <w:color w:val="auto"/>
                <w:sz w:val="21"/>
                <w:szCs w:val="21"/>
                <w:highlight w:val="none"/>
                <w:lang w:val="en-US"/>
              </w:rPr>
              <w:t>告知所有</w:t>
            </w:r>
            <w:r>
              <w:rPr>
                <w:rFonts w:hint="eastAsia" w:ascii="宋体" w:hAnsi="宋体" w:eastAsia="宋体" w:cs="宋体"/>
                <w:color w:val="auto"/>
                <w:sz w:val="21"/>
                <w:szCs w:val="21"/>
                <w:highlight w:val="none"/>
              </w:rPr>
              <w:t>投标人。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628" w:hRule="atLeast"/>
        </w:trPr>
        <w:tc>
          <w:tcPr>
            <w:tcW w:w="1056" w:type="dxa"/>
            <w:vAlign w:val="center"/>
          </w:tcPr>
          <w:p>
            <w:pPr>
              <w:pStyle w:val="27"/>
              <w:keepNext/>
              <w:keepLines/>
              <w:pageBreakBefore w:val="0"/>
              <w:widowControl w:val="0"/>
              <w:kinsoku/>
              <w:wordWrap/>
              <w:overflowPunct/>
              <w:topLinePunct w:val="0"/>
              <w:autoSpaceDE w:val="0"/>
              <w:autoSpaceDN w:val="0"/>
              <w:bidi w:val="0"/>
              <w:spacing w:beforeLines="50" w:afterLines="50"/>
              <w:jc w:val="center"/>
              <w:textAlignment w:val="auto"/>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sz w:val="21"/>
                <w:szCs w:val="21"/>
                <w:highlight w:val="none"/>
                <w:lang w:val="en-US" w:eastAsia="zh-CN"/>
              </w:rPr>
              <w:t>7.5</w:t>
            </w:r>
          </w:p>
        </w:tc>
        <w:tc>
          <w:tcPr>
            <w:tcW w:w="1171" w:type="dxa"/>
            <w:vAlign w:val="center"/>
          </w:tcPr>
          <w:p>
            <w:pPr>
              <w:pStyle w:val="27"/>
              <w:keepNext/>
              <w:keepLines/>
              <w:pageBreakBefore w:val="0"/>
              <w:widowControl w:val="0"/>
              <w:kinsoku/>
              <w:wordWrap/>
              <w:overflowPunct/>
              <w:topLinePunct w:val="0"/>
              <w:autoSpaceDE w:val="0"/>
              <w:autoSpaceDN w:val="0"/>
              <w:bidi w:val="0"/>
              <w:spacing w:beforeLines="50" w:afterLines="50"/>
              <w:jc w:val="center"/>
              <w:textAlignment w:val="auto"/>
              <w:outlineLvl w:val="0"/>
              <w:rPr>
                <w:rFonts w:hint="eastAsia" w:ascii="宋体" w:hAnsi="宋体" w:eastAsia="宋体" w:cs="宋体"/>
                <w:color w:val="auto"/>
                <w:kern w:val="0"/>
                <w:sz w:val="21"/>
                <w:szCs w:val="21"/>
                <w:highlight w:val="none"/>
                <w:lang w:val="zh-CN" w:eastAsia="zh-CN" w:bidi="ar-SA"/>
              </w:rPr>
            </w:pPr>
            <w:r>
              <w:rPr>
                <w:rFonts w:hint="eastAsia" w:ascii="宋体" w:hAnsi="宋体" w:eastAsia="宋体" w:cs="宋体"/>
                <w:color w:val="auto"/>
                <w:sz w:val="21"/>
                <w:szCs w:val="21"/>
                <w:highlight w:val="none"/>
                <w:lang w:eastAsia="zh-CN"/>
              </w:rPr>
              <w:t>中标人投标文件正本的制作及递交</w:t>
            </w:r>
          </w:p>
        </w:tc>
        <w:tc>
          <w:tcPr>
            <w:tcW w:w="6193" w:type="dxa"/>
            <w:vAlign w:val="center"/>
          </w:tcPr>
          <w:p>
            <w:pPr>
              <w:autoSpaceDE w:val="0"/>
              <w:autoSpaceDN w:val="0"/>
              <w:adjustRightInd w:val="0"/>
              <w:snapToGrid w:val="0"/>
              <w:ind w:firstLine="210" w:firstLineChars="10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（一）在中标公告发布之日起5日内，中标人应将中标标包的电子投标文件分册按招标文件第六章投标文件格式的要求组卷为</w:t>
            </w:r>
            <w:r>
              <w:rPr>
                <w:rFonts w:hint="eastAsia" w:ascii="宋体" w:hAnsi="宋体" w:eastAsia="宋体" w:cs="宋体"/>
                <w:b/>
                <w:bCs/>
                <w:color w:val="auto"/>
                <w:sz w:val="21"/>
                <w:szCs w:val="21"/>
                <w:highlight w:val="none"/>
                <w:lang w:eastAsia="zh-CN"/>
              </w:rPr>
              <w:t>开标文件、报价文件、商务文件、技术文件</w:t>
            </w:r>
            <w:r>
              <w:rPr>
                <w:rFonts w:hint="eastAsia" w:ascii="宋体" w:hAnsi="宋体" w:eastAsia="宋体" w:cs="宋体"/>
                <w:color w:val="auto"/>
                <w:sz w:val="21"/>
                <w:szCs w:val="21"/>
                <w:highlight w:val="none"/>
                <w:lang w:eastAsia="zh-CN"/>
              </w:rPr>
              <w:t>，打印、盖章，并寄至招标代理机构。</w:t>
            </w:r>
          </w:p>
          <w:p>
            <w:pPr>
              <w:numPr>
                <w:ilvl w:val="0"/>
                <w:numId w:val="0"/>
              </w:numPr>
              <w:autoSpaceDE/>
              <w:autoSpaceDN/>
              <w:adjustRightInd w:val="0"/>
              <w:snapToGrid w:val="0"/>
              <w:ind w:firstLine="210" w:firstLineChars="10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投标人应保证中标后邮寄的纸质投标文件（含投标保证金银行保函）与投标截止时间前提交或递交的电子投标文件保持完全一致，若出现不一致，视同虚假投标，按《</w:t>
            </w:r>
            <w:r>
              <w:rPr>
                <w:rFonts w:hint="eastAsia" w:ascii="宋体" w:hAnsi="宋体" w:eastAsia="宋体" w:cs="宋体"/>
                <w:color w:val="auto"/>
                <w:sz w:val="21"/>
                <w:szCs w:val="21"/>
                <w:highlight w:val="none"/>
              </w:rPr>
              <w:t>国家电网有限公司供应商关系管理办法</w:t>
            </w:r>
            <w:r>
              <w:rPr>
                <w:rFonts w:hint="eastAsia" w:ascii="宋体" w:hAnsi="宋体" w:eastAsia="宋体" w:cs="宋体"/>
                <w:color w:val="auto"/>
                <w:sz w:val="21"/>
                <w:szCs w:val="21"/>
                <w:highlight w:val="none"/>
                <w:lang w:eastAsia="zh-CN"/>
              </w:rPr>
              <w:t>》中的虚假投标相关规定处理。</w:t>
            </w:r>
          </w:p>
          <w:p>
            <w:pPr>
              <w:numPr>
                <w:ilvl w:val="0"/>
                <w:numId w:val="0"/>
              </w:numPr>
              <w:autoSpaceDE/>
              <w:autoSpaceDN/>
              <w:adjustRightInd w:val="0"/>
              <w:snapToGrid w:val="0"/>
              <w:ind w:firstLine="210" w:firstLineChars="10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中标人的投标文件提交</w:t>
            </w:r>
            <w:r>
              <w:rPr>
                <w:rFonts w:hint="eastAsia" w:ascii="宋体" w:hAnsi="宋体" w:eastAsia="宋体" w:cs="宋体"/>
                <w:color w:val="auto"/>
                <w:sz w:val="21"/>
                <w:szCs w:val="21"/>
                <w:highlight w:val="none"/>
                <w:lang w:val="en-US" w:eastAsia="zh-CN"/>
              </w:rPr>
              <w:t>内容</w:t>
            </w:r>
            <w:r>
              <w:rPr>
                <w:rFonts w:hint="eastAsia" w:ascii="宋体" w:hAnsi="宋体" w:eastAsia="宋体" w:cs="宋体"/>
                <w:color w:val="auto"/>
                <w:sz w:val="21"/>
                <w:szCs w:val="21"/>
                <w:highlight w:val="none"/>
                <w:lang w:eastAsia="zh-CN"/>
              </w:rPr>
              <w:t>：</w:t>
            </w:r>
          </w:p>
          <w:p>
            <w:pPr>
              <w:numPr>
                <w:ilvl w:val="0"/>
                <w:numId w:val="3"/>
              </w:numPr>
              <w:autoSpaceDE/>
              <w:autoSpaceDN/>
              <w:adjustRightInd w:val="0"/>
              <w:snapToGrid w:val="0"/>
              <w:ind w:firstLine="420" w:firstLineChars="20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正本：1份。正本的封面右上角上应清楚地标记“正本”字样。</w:t>
            </w:r>
          </w:p>
          <w:p>
            <w:pPr>
              <w:numPr>
                <w:ilvl w:val="0"/>
                <w:numId w:val="3"/>
              </w:numPr>
              <w:autoSpaceDE/>
              <w:autoSpaceDN/>
              <w:adjustRightInd w:val="0"/>
              <w:snapToGrid w:val="0"/>
              <w:ind w:firstLine="420" w:firstLineChars="20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复印件：如中标人</w:t>
            </w:r>
            <w:r>
              <w:rPr>
                <w:rFonts w:hint="eastAsia" w:ascii="宋体" w:hAnsi="宋体" w:eastAsia="宋体" w:cs="宋体"/>
                <w:b/>
                <w:bCs/>
                <w:color w:val="auto"/>
                <w:sz w:val="21"/>
                <w:szCs w:val="21"/>
                <w:highlight w:val="none"/>
                <w:lang w:eastAsia="zh-CN"/>
              </w:rPr>
              <w:t>同一分标</w:t>
            </w:r>
            <w:r>
              <w:rPr>
                <w:rFonts w:hint="eastAsia" w:ascii="宋体" w:hAnsi="宋体" w:eastAsia="宋体" w:cs="宋体"/>
                <w:color w:val="auto"/>
                <w:sz w:val="21"/>
                <w:szCs w:val="21"/>
                <w:highlight w:val="none"/>
                <w:lang w:eastAsia="zh-CN"/>
              </w:rPr>
              <w:t>中标N个标包，请提供N-1份</w:t>
            </w:r>
            <w:r>
              <w:rPr>
                <w:rFonts w:hint="eastAsia" w:ascii="宋体" w:hAnsi="宋体" w:eastAsia="宋体" w:cs="宋体"/>
                <w:b/>
                <w:bCs/>
                <w:color w:val="auto"/>
                <w:sz w:val="21"/>
                <w:szCs w:val="21"/>
                <w:highlight w:val="none"/>
                <w:lang w:eastAsia="zh-CN"/>
              </w:rPr>
              <w:t>商务文件</w:t>
            </w:r>
            <w:r>
              <w:rPr>
                <w:rFonts w:hint="eastAsia" w:ascii="宋体" w:hAnsi="宋体" w:eastAsia="宋体" w:cs="宋体"/>
                <w:color w:val="auto"/>
                <w:sz w:val="21"/>
                <w:szCs w:val="21"/>
                <w:highlight w:val="none"/>
                <w:lang w:eastAsia="zh-CN"/>
              </w:rPr>
              <w:t>正本的复印件。</w:t>
            </w:r>
          </w:p>
          <w:p>
            <w:pPr>
              <w:numPr>
                <w:ilvl w:val="0"/>
                <w:numId w:val="3"/>
              </w:numPr>
              <w:tabs>
                <w:tab w:val="clear" w:pos="312"/>
              </w:tabs>
              <w:autoSpaceDE/>
              <w:autoSpaceDN/>
              <w:adjustRightInd w:val="0"/>
              <w:snapToGrid w:val="0"/>
              <w:ind w:firstLine="422" w:firstLineChars="200"/>
              <w:jc w:val="left"/>
              <w:rPr>
                <w:rFonts w:hint="eastAsia" w:ascii="宋体" w:hAnsi="宋体" w:eastAsia="宋体" w:cs="宋体"/>
                <w:b w:val="0"/>
                <w:bCs w:val="0"/>
                <w:color w:val="auto"/>
                <w:sz w:val="21"/>
                <w:szCs w:val="21"/>
                <w:highlight w:val="none"/>
                <w:lang w:eastAsia="zh-CN"/>
              </w:rPr>
            </w:pPr>
            <w:r>
              <w:rPr>
                <w:rFonts w:hint="eastAsia" w:ascii="宋体" w:hAnsi="宋体" w:eastAsia="宋体" w:cs="宋体"/>
                <w:b/>
                <w:bCs/>
                <w:color w:val="auto"/>
                <w:sz w:val="21"/>
                <w:szCs w:val="21"/>
                <w:highlight w:val="none"/>
                <w:lang w:val="en-US" w:eastAsia="zh-CN"/>
              </w:rPr>
              <w:t>邮寄清单1份。格式详见投标文件格式。</w:t>
            </w:r>
          </w:p>
          <w:p>
            <w:pPr>
              <w:numPr>
                <w:ilvl w:val="0"/>
                <w:numId w:val="3"/>
              </w:numPr>
              <w:autoSpaceDE/>
              <w:autoSpaceDN/>
              <w:adjustRightInd w:val="0"/>
              <w:snapToGrid w:val="0"/>
              <w:ind w:firstLine="422" w:firstLineChars="200"/>
              <w:jc w:val="left"/>
              <w:rPr>
                <w:rFonts w:hint="eastAsia" w:ascii="宋体" w:hAnsi="宋体" w:eastAsia="宋体" w:cs="宋体"/>
                <w:b w:val="0"/>
                <w:bCs w:val="0"/>
                <w:color w:val="auto"/>
                <w:sz w:val="21"/>
                <w:szCs w:val="21"/>
                <w:highlight w:val="none"/>
                <w:lang w:eastAsia="zh-CN"/>
              </w:rPr>
            </w:pPr>
            <w:r>
              <w:rPr>
                <w:rFonts w:hint="eastAsia" w:ascii="宋体" w:hAnsi="宋体" w:eastAsia="宋体" w:cs="宋体"/>
                <w:b/>
                <w:bCs/>
                <w:color w:val="auto"/>
                <w:sz w:val="21"/>
                <w:szCs w:val="21"/>
                <w:highlight w:val="none"/>
                <w:lang w:val="en-US" w:eastAsia="zh-CN"/>
              </w:rPr>
              <w:t>电子版</w:t>
            </w:r>
            <w:r>
              <w:rPr>
                <w:rFonts w:hint="eastAsia" w:ascii="宋体" w:hAnsi="宋体" w:eastAsia="宋体" w:cs="宋体"/>
                <w:b/>
                <w:bCs/>
                <w:color w:val="auto"/>
                <w:sz w:val="21"/>
                <w:szCs w:val="21"/>
                <w:highlight w:val="none"/>
                <w:lang w:eastAsia="zh-CN"/>
              </w:rPr>
              <w:t>：中标人还应提供</w:t>
            </w:r>
            <w:r>
              <w:rPr>
                <w:rFonts w:hint="eastAsia" w:ascii="宋体" w:hAnsi="宋体" w:eastAsia="宋体" w:cs="宋体"/>
                <w:b/>
                <w:bCs/>
                <w:color w:val="auto"/>
                <w:sz w:val="21"/>
                <w:szCs w:val="21"/>
                <w:highlight w:val="none"/>
                <w:lang w:val="en-US" w:eastAsia="zh-CN"/>
              </w:rPr>
              <w:t>U</w:t>
            </w:r>
            <w:r>
              <w:rPr>
                <w:rFonts w:hint="eastAsia" w:ascii="宋体" w:hAnsi="宋体" w:eastAsia="宋体" w:cs="宋体"/>
                <w:b/>
                <w:bCs/>
                <w:color w:val="auto"/>
                <w:sz w:val="21"/>
                <w:szCs w:val="21"/>
                <w:highlight w:val="none"/>
                <w:lang w:eastAsia="zh-CN"/>
              </w:rPr>
              <w:t>盘一</w:t>
            </w:r>
            <w:r>
              <w:rPr>
                <w:rFonts w:hint="eastAsia" w:ascii="宋体" w:hAnsi="宋体" w:eastAsia="宋体" w:cs="宋体"/>
                <w:b/>
                <w:bCs/>
                <w:color w:val="auto"/>
                <w:sz w:val="21"/>
                <w:szCs w:val="21"/>
                <w:highlight w:val="none"/>
                <w:lang w:val="en-US" w:eastAsia="zh-CN"/>
              </w:rPr>
              <w:t>份，包括</w:t>
            </w:r>
            <w:r>
              <w:rPr>
                <w:rFonts w:hint="eastAsia" w:ascii="宋体" w:hAnsi="宋体" w:eastAsia="宋体" w:cs="宋体"/>
                <w:b/>
                <w:bCs/>
                <w:color w:val="auto"/>
                <w:sz w:val="21"/>
                <w:szCs w:val="21"/>
                <w:highlight w:val="none"/>
              </w:rPr>
              <w:t>开标文件、报价文件、商务文件、技术文件</w:t>
            </w:r>
            <w:r>
              <w:rPr>
                <w:rFonts w:hint="eastAsia" w:ascii="宋体" w:hAnsi="宋体" w:eastAsia="宋体" w:cs="宋体"/>
                <w:b/>
                <w:bCs/>
                <w:color w:val="auto"/>
                <w:sz w:val="21"/>
                <w:szCs w:val="21"/>
                <w:highlight w:val="none"/>
                <w:lang w:eastAsia="zh-CN"/>
              </w:rPr>
              <w:t>投标文件</w:t>
            </w:r>
            <w:r>
              <w:rPr>
                <w:rFonts w:hint="eastAsia" w:ascii="宋体" w:hAnsi="宋体" w:eastAsia="宋体" w:cs="宋体"/>
                <w:b/>
                <w:bCs/>
                <w:color w:val="auto"/>
                <w:sz w:val="21"/>
                <w:szCs w:val="21"/>
                <w:highlight w:val="none"/>
                <w:lang w:val="en-US" w:eastAsia="zh-CN"/>
              </w:rPr>
              <w:t>的PDF扫描件及邮寄清单</w:t>
            </w:r>
            <w:r>
              <w:rPr>
                <w:rFonts w:hint="eastAsia" w:ascii="宋体" w:hAnsi="宋体" w:eastAsia="宋体" w:cs="宋体"/>
                <w:b/>
                <w:bCs/>
                <w:color w:val="auto"/>
                <w:sz w:val="21"/>
                <w:szCs w:val="21"/>
                <w:highlight w:val="none"/>
                <w:lang w:eastAsia="zh-CN"/>
              </w:rPr>
              <w:t>的</w:t>
            </w:r>
            <w:r>
              <w:rPr>
                <w:rFonts w:hint="eastAsia" w:ascii="宋体" w:hAnsi="宋体" w:eastAsia="宋体" w:cs="宋体"/>
                <w:b/>
                <w:bCs/>
                <w:color w:val="auto"/>
                <w:sz w:val="21"/>
                <w:szCs w:val="21"/>
                <w:highlight w:val="none"/>
                <w:lang w:val="en-US" w:eastAsia="zh-CN"/>
              </w:rPr>
              <w:t>可编辑</w:t>
            </w:r>
            <w:r>
              <w:rPr>
                <w:rFonts w:hint="eastAsia" w:ascii="宋体" w:hAnsi="宋体" w:eastAsia="宋体" w:cs="宋体"/>
                <w:b/>
                <w:bCs/>
                <w:color w:val="auto"/>
                <w:sz w:val="21"/>
                <w:szCs w:val="21"/>
                <w:highlight w:val="none"/>
                <w:lang w:eastAsia="zh-CN"/>
              </w:rPr>
              <w:t>电子</w:t>
            </w:r>
            <w:r>
              <w:rPr>
                <w:rFonts w:hint="eastAsia" w:ascii="宋体" w:hAnsi="宋体" w:eastAsia="宋体" w:cs="宋体"/>
                <w:b/>
                <w:bCs/>
                <w:color w:val="auto"/>
                <w:sz w:val="21"/>
                <w:szCs w:val="21"/>
                <w:highlight w:val="none"/>
                <w:lang w:val="en-US" w:eastAsia="zh-CN"/>
              </w:rPr>
              <w:t>版</w:t>
            </w:r>
            <w:r>
              <w:rPr>
                <w:rFonts w:hint="eastAsia" w:ascii="宋体" w:hAnsi="宋体" w:eastAsia="宋体" w:cs="宋体"/>
                <w:b/>
                <w:bCs/>
                <w:color w:val="auto"/>
                <w:sz w:val="21"/>
                <w:szCs w:val="21"/>
                <w:highlight w:val="none"/>
                <w:lang w:eastAsia="zh-CN"/>
              </w:rPr>
              <w:t>。</w:t>
            </w:r>
          </w:p>
          <w:p>
            <w:pPr>
              <w:rPr>
                <w:rFonts w:hint="eastAsia" w:ascii="宋体" w:hAnsi="宋体" w:eastAsia="宋体" w:cs="宋体"/>
                <w:color w:val="auto"/>
                <w:sz w:val="21"/>
                <w:szCs w:val="21"/>
                <w:highlight w:val="none"/>
              </w:rPr>
            </w:pPr>
          </w:p>
          <w:p>
            <w:pPr>
              <w:numPr>
                <w:ilvl w:val="0"/>
                <w:numId w:val="0"/>
              </w:numPr>
              <w:autoSpaceDE/>
              <w:autoSpaceDN/>
              <w:adjustRightInd w:val="0"/>
              <w:snapToGrid w:val="0"/>
              <w:jc w:val="left"/>
              <w:rPr>
                <w:rFonts w:hint="eastAsia" w:ascii="宋体" w:hAnsi="宋体" w:eastAsia="宋体" w:cs="宋体"/>
                <w:color w:val="auto"/>
                <w:sz w:val="21"/>
                <w:szCs w:val="21"/>
                <w:highlight w:val="none"/>
                <w:lang w:eastAsia="zh-CN"/>
              </w:rPr>
            </w:pPr>
          </w:p>
          <w:p>
            <w:pPr>
              <w:widowControl/>
              <w:autoSpaceDE/>
              <w:autoSpaceDN/>
              <w:ind w:firstLine="211" w:firstLineChars="100"/>
              <w:jc w:val="left"/>
              <w:rPr>
                <w:rFonts w:hint="eastAsia" w:ascii="宋体" w:hAnsi="宋体" w:eastAsia="宋体" w:cs="宋体"/>
                <w:b/>
                <w:color w:val="auto"/>
                <w:kern w:val="0"/>
                <w:sz w:val="21"/>
                <w:szCs w:val="21"/>
                <w:highlight w:val="none"/>
                <w:lang w:eastAsia="zh-CN"/>
              </w:rPr>
            </w:pPr>
            <w:r>
              <w:rPr>
                <w:rFonts w:hint="eastAsia" w:ascii="宋体" w:hAnsi="宋体" w:eastAsia="宋体" w:cs="宋体"/>
                <w:b/>
                <w:color w:val="auto"/>
                <w:kern w:val="0"/>
                <w:sz w:val="21"/>
                <w:szCs w:val="21"/>
                <w:highlight w:val="none"/>
                <w:lang w:eastAsia="zh-CN"/>
              </w:rPr>
              <w:t>（二）纸质正本投标文件应满足如下要求：</w:t>
            </w:r>
          </w:p>
          <w:p>
            <w:pPr>
              <w:widowControl/>
              <w:autoSpaceDE/>
              <w:autoSpaceDN/>
              <w:ind w:left="0" w:leftChars="0" w:firstLine="422" w:firstLineChars="200"/>
              <w:jc w:val="left"/>
              <w:rPr>
                <w:rFonts w:hint="eastAsia" w:ascii="宋体" w:hAnsi="宋体" w:eastAsia="宋体" w:cs="宋体"/>
                <w:b/>
                <w:color w:val="auto"/>
                <w:kern w:val="0"/>
                <w:sz w:val="21"/>
                <w:szCs w:val="21"/>
                <w:highlight w:val="none"/>
                <w:lang w:eastAsia="zh-CN"/>
              </w:rPr>
            </w:pPr>
            <w:r>
              <w:rPr>
                <w:rFonts w:hint="eastAsia" w:ascii="宋体" w:hAnsi="宋体" w:eastAsia="宋体" w:cs="宋体"/>
                <w:b/>
                <w:color w:val="auto"/>
                <w:kern w:val="0"/>
                <w:sz w:val="21"/>
                <w:szCs w:val="21"/>
                <w:highlight w:val="none"/>
                <w:lang w:eastAsia="zh-CN"/>
              </w:rPr>
              <w:t>以下文件按包制作：</w:t>
            </w:r>
          </w:p>
          <w:p>
            <w:pPr>
              <w:widowControl/>
              <w:autoSpaceDE/>
              <w:autoSpaceDN/>
              <w:ind w:left="420" w:leftChars="200" w:firstLine="0" w:firstLineChars="0"/>
              <w:jc w:val="left"/>
              <w:rPr>
                <w:rFonts w:hint="eastAsia" w:ascii="宋体" w:hAnsi="宋体" w:eastAsia="宋体" w:cs="宋体"/>
                <w:color w:val="auto"/>
                <w:kern w:val="0"/>
                <w:sz w:val="21"/>
                <w:szCs w:val="21"/>
                <w:highlight w:val="none"/>
                <w:lang w:eastAsia="zh-CN"/>
              </w:rPr>
            </w:pPr>
            <w:r>
              <w:rPr>
                <w:rFonts w:hint="eastAsia" w:ascii="宋体" w:hAnsi="宋体" w:eastAsia="宋体" w:cs="宋体"/>
                <w:color w:val="auto"/>
                <w:kern w:val="0"/>
                <w:sz w:val="21"/>
                <w:szCs w:val="21"/>
                <w:highlight w:val="none"/>
                <w:lang w:eastAsia="zh-CN"/>
              </w:rPr>
              <w:t>1.技术文件</w:t>
            </w:r>
            <w:r>
              <w:rPr>
                <w:rFonts w:hint="eastAsia" w:ascii="宋体" w:hAnsi="宋体" w:eastAsia="宋体" w:cs="宋体"/>
                <w:color w:val="auto"/>
                <w:kern w:val="0"/>
                <w:sz w:val="21"/>
                <w:szCs w:val="21"/>
                <w:highlight w:val="none"/>
                <w:lang w:eastAsia="zh-CN"/>
              </w:rPr>
              <w:br w:type="textWrapping"/>
            </w:r>
            <w:r>
              <w:rPr>
                <w:rFonts w:hint="eastAsia" w:ascii="宋体" w:hAnsi="宋体" w:eastAsia="宋体" w:cs="宋体"/>
                <w:color w:val="auto"/>
                <w:kern w:val="0"/>
                <w:sz w:val="21"/>
                <w:szCs w:val="21"/>
                <w:highlight w:val="none"/>
                <w:lang w:eastAsia="zh-CN"/>
              </w:rPr>
              <w:t>2.报价文件</w:t>
            </w:r>
          </w:p>
          <w:p>
            <w:pPr>
              <w:widowControl/>
              <w:autoSpaceDE/>
              <w:autoSpaceDN/>
              <w:ind w:firstLine="420" w:firstLineChars="200"/>
              <w:jc w:val="left"/>
              <w:rPr>
                <w:rFonts w:hint="eastAsia" w:ascii="宋体" w:hAnsi="宋体" w:eastAsia="宋体" w:cs="宋体"/>
                <w:color w:val="auto"/>
                <w:kern w:val="0"/>
                <w:sz w:val="21"/>
                <w:szCs w:val="21"/>
                <w:highlight w:val="none"/>
                <w:lang w:eastAsia="zh-CN"/>
              </w:rPr>
            </w:pPr>
            <w:r>
              <w:rPr>
                <w:rFonts w:hint="eastAsia" w:ascii="宋体" w:hAnsi="宋体" w:eastAsia="宋体" w:cs="宋体"/>
                <w:color w:val="auto"/>
                <w:kern w:val="0"/>
                <w:sz w:val="21"/>
                <w:szCs w:val="21"/>
                <w:highlight w:val="none"/>
                <w:lang w:eastAsia="zh-CN"/>
              </w:rPr>
              <w:t>3.开标文件</w:t>
            </w:r>
          </w:p>
          <w:p>
            <w:pPr>
              <w:widowControl/>
              <w:autoSpaceDE/>
              <w:autoSpaceDN/>
              <w:ind w:left="420" w:leftChars="200" w:firstLine="0" w:firstLineChars="0"/>
              <w:jc w:val="left"/>
              <w:rPr>
                <w:rFonts w:hint="eastAsia" w:ascii="宋体" w:hAnsi="宋体" w:eastAsia="宋体" w:cs="宋体"/>
                <w:color w:val="auto"/>
                <w:kern w:val="0"/>
                <w:sz w:val="21"/>
                <w:szCs w:val="21"/>
                <w:highlight w:val="none"/>
                <w:lang w:eastAsia="zh-CN"/>
              </w:rPr>
            </w:pPr>
            <w:r>
              <w:rPr>
                <w:rFonts w:hint="eastAsia" w:ascii="宋体" w:hAnsi="宋体" w:eastAsia="宋体" w:cs="宋体"/>
                <w:b/>
                <w:color w:val="auto"/>
                <w:kern w:val="0"/>
                <w:sz w:val="21"/>
                <w:szCs w:val="21"/>
                <w:highlight w:val="none"/>
                <w:lang w:eastAsia="zh-CN"/>
              </w:rPr>
              <w:t>以下文件按分标制作：</w:t>
            </w:r>
            <w:r>
              <w:rPr>
                <w:rFonts w:hint="eastAsia" w:ascii="宋体" w:hAnsi="宋体" w:eastAsia="宋体" w:cs="宋体"/>
                <w:color w:val="auto"/>
                <w:kern w:val="0"/>
                <w:sz w:val="21"/>
                <w:szCs w:val="21"/>
                <w:highlight w:val="none"/>
                <w:lang w:eastAsia="zh-CN"/>
              </w:rPr>
              <w:br w:type="textWrapping"/>
            </w:r>
            <w:r>
              <w:rPr>
                <w:rFonts w:hint="eastAsia" w:ascii="宋体" w:hAnsi="宋体" w:eastAsia="宋体" w:cs="宋体"/>
                <w:color w:val="auto"/>
                <w:kern w:val="0"/>
                <w:sz w:val="21"/>
                <w:szCs w:val="21"/>
                <w:highlight w:val="none"/>
                <w:lang w:eastAsia="zh-CN"/>
              </w:rPr>
              <w:t>1.商务文件</w:t>
            </w:r>
          </w:p>
          <w:p>
            <w:pPr>
              <w:widowControl/>
              <w:autoSpaceDE/>
              <w:autoSpaceDN/>
              <w:ind w:left="180" w:hanging="210" w:hangingChars="100"/>
              <w:jc w:val="left"/>
              <w:rPr>
                <w:rFonts w:hint="eastAsia" w:ascii="宋体" w:hAnsi="宋体" w:eastAsia="宋体" w:cs="宋体"/>
                <w:b/>
                <w:bCs/>
                <w:color w:val="auto"/>
                <w:kern w:val="0"/>
                <w:sz w:val="21"/>
                <w:szCs w:val="21"/>
                <w:highlight w:val="none"/>
                <w:lang w:eastAsia="zh-CN"/>
              </w:rPr>
            </w:pPr>
            <w:r>
              <w:rPr>
                <w:rFonts w:hint="eastAsia" w:ascii="宋体" w:hAnsi="宋体" w:eastAsia="宋体" w:cs="宋体"/>
                <w:color w:val="auto"/>
                <w:kern w:val="0"/>
                <w:sz w:val="21"/>
                <w:szCs w:val="21"/>
                <w:highlight w:val="none"/>
                <w:lang w:eastAsia="zh-CN"/>
              </w:rPr>
              <w:br w:type="textWrapping"/>
            </w:r>
            <w:r>
              <w:rPr>
                <w:rFonts w:hint="eastAsia" w:ascii="宋体" w:hAnsi="宋体" w:eastAsia="宋体" w:cs="宋体"/>
                <w:b/>
                <w:bCs/>
                <w:color w:val="auto"/>
                <w:kern w:val="0"/>
                <w:sz w:val="21"/>
                <w:szCs w:val="21"/>
                <w:highlight w:val="none"/>
                <w:lang w:eastAsia="zh-CN"/>
              </w:rPr>
              <w:t>具体要求：</w:t>
            </w:r>
          </w:p>
          <w:p>
            <w:pPr>
              <w:widowControl/>
              <w:autoSpaceDE/>
              <w:autoSpaceDN/>
              <w:ind w:firstLine="211" w:firstLineChars="100"/>
              <w:jc w:val="left"/>
              <w:rPr>
                <w:rFonts w:hint="eastAsia" w:ascii="宋体" w:hAnsi="宋体" w:eastAsia="宋体" w:cs="宋体"/>
                <w:b/>
                <w:bCs/>
                <w:color w:val="auto"/>
                <w:kern w:val="0"/>
                <w:sz w:val="21"/>
                <w:szCs w:val="21"/>
                <w:highlight w:val="none"/>
                <w:lang w:eastAsia="zh-CN"/>
              </w:rPr>
            </w:pPr>
            <w:r>
              <w:rPr>
                <w:rFonts w:hint="eastAsia" w:ascii="宋体" w:hAnsi="宋体" w:eastAsia="宋体" w:cs="宋体"/>
                <w:b/>
                <w:bCs/>
                <w:color w:val="auto"/>
                <w:kern w:val="0"/>
                <w:sz w:val="21"/>
                <w:szCs w:val="21"/>
                <w:highlight w:val="none"/>
                <w:lang w:eastAsia="zh-CN"/>
              </w:rPr>
              <w:t>1.纸质投标文件应装订成册，并编制目录，投标文件（包括符合规定的书面修改通知）用A4幅面纸出版（含每册封皮），竖向左侧装订，且各册禁止活页和塑料皮装订。</w:t>
            </w:r>
            <w:r>
              <w:rPr>
                <w:rFonts w:hint="eastAsia" w:ascii="宋体" w:hAnsi="宋体" w:eastAsia="宋体" w:cs="宋体"/>
                <w:color w:val="auto"/>
                <w:kern w:val="0"/>
                <w:sz w:val="21"/>
                <w:szCs w:val="21"/>
                <w:highlight w:val="none"/>
                <w:lang w:eastAsia="zh-CN"/>
              </w:rPr>
              <w:br w:type="textWrapping"/>
            </w:r>
            <w:r>
              <w:rPr>
                <w:rFonts w:hint="eastAsia" w:ascii="宋体" w:hAnsi="宋体" w:eastAsia="宋体" w:cs="宋体"/>
                <w:color w:val="auto"/>
                <w:kern w:val="0"/>
                <w:sz w:val="21"/>
                <w:szCs w:val="21"/>
                <w:highlight w:val="none"/>
                <w:lang w:eastAsia="zh-CN"/>
              </w:rPr>
              <w:t xml:space="preserve">  </w:t>
            </w:r>
            <w:r>
              <w:rPr>
                <w:rFonts w:hint="eastAsia" w:ascii="宋体" w:hAnsi="宋体" w:eastAsia="宋体" w:cs="宋体"/>
                <w:b/>
                <w:bCs/>
                <w:color w:val="auto"/>
                <w:kern w:val="0"/>
                <w:sz w:val="21"/>
                <w:szCs w:val="21"/>
                <w:highlight w:val="none"/>
                <w:lang w:eastAsia="zh-CN"/>
              </w:rPr>
              <w:t>2.根据档案管理的要求，编页要求如下：</w:t>
            </w:r>
          </w:p>
          <w:p>
            <w:pPr>
              <w:autoSpaceDE/>
              <w:autoSpaceDN/>
              <w:adjustRightInd w:val="0"/>
              <w:snapToGrid w:val="0"/>
              <w:ind w:firstLine="211" w:firstLineChars="100"/>
              <w:jc w:val="left"/>
              <w:rPr>
                <w:rFonts w:hint="eastAsia" w:ascii="宋体" w:hAnsi="宋体" w:eastAsia="宋体" w:cs="宋体"/>
                <w:b/>
                <w:bCs/>
                <w:color w:val="auto"/>
                <w:kern w:val="0"/>
                <w:sz w:val="21"/>
                <w:szCs w:val="21"/>
                <w:highlight w:val="none"/>
                <w:lang w:eastAsia="zh-CN"/>
              </w:rPr>
            </w:pPr>
            <w:r>
              <w:rPr>
                <w:rFonts w:hint="eastAsia" w:ascii="宋体" w:hAnsi="宋体" w:eastAsia="宋体" w:cs="宋体"/>
                <w:b/>
                <w:bCs/>
                <w:color w:val="auto"/>
                <w:kern w:val="0"/>
                <w:sz w:val="21"/>
                <w:szCs w:val="21"/>
                <w:highlight w:val="none"/>
                <w:lang w:eastAsia="zh-CN"/>
              </w:rPr>
              <w:t>（1）从封面为第1页开始连续编页码，且以自然数逐页按顺序编写，页码不得中断或重新编页，有文字的页面均需编页，只要包括封面、封底、目录、夹装在其中的各种证书影印件、图纸等都必须整体连续编页，不得中断。（如：投标文件共100页，必须从1至100连续编页）。空白页（无任何文字及符号的）不需要编页码。</w:t>
            </w:r>
          </w:p>
          <w:p>
            <w:pPr>
              <w:autoSpaceDE/>
              <w:autoSpaceDN/>
              <w:adjustRightInd w:val="0"/>
              <w:snapToGrid w:val="0"/>
              <w:ind w:firstLine="211" w:firstLineChars="100"/>
              <w:jc w:val="left"/>
              <w:rPr>
                <w:rFonts w:hint="eastAsia" w:ascii="宋体" w:hAnsi="宋体" w:eastAsia="宋体" w:cs="宋体"/>
                <w:b/>
                <w:bCs/>
                <w:color w:val="auto"/>
                <w:kern w:val="0"/>
                <w:sz w:val="21"/>
                <w:szCs w:val="21"/>
                <w:highlight w:val="none"/>
                <w:lang w:eastAsia="zh-CN"/>
              </w:rPr>
            </w:pPr>
            <w:r>
              <w:rPr>
                <w:rFonts w:hint="eastAsia" w:ascii="宋体" w:hAnsi="宋体" w:eastAsia="宋体" w:cs="宋体"/>
                <w:b/>
                <w:bCs/>
                <w:color w:val="auto"/>
                <w:kern w:val="0"/>
                <w:sz w:val="21"/>
                <w:szCs w:val="21"/>
                <w:highlight w:val="none"/>
                <w:lang w:eastAsia="zh-CN"/>
              </w:rPr>
              <w:t>（2）按照独立成册的原则进行编码。如开标文件、报价文件、商务文件、技术文件应分别编页；上下册等各分册之间不连续编页。</w:t>
            </w:r>
          </w:p>
          <w:p>
            <w:pPr>
              <w:widowControl/>
              <w:autoSpaceDE/>
              <w:autoSpaceDN/>
              <w:ind w:firstLine="211" w:firstLineChars="100"/>
              <w:jc w:val="left"/>
              <w:rPr>
                <w:rFonts w:hint="eastAsia" w:ascii="宋体" w:hAnsi="宋体" w:eastAsia="宋体" w:cs="宋体"/>
                <w:b/>
                <w:bCs/>
                <w:color w:val="auto"/>
                <w:kern w:val="0"/>
                <w:sz w:val="21"/>
                <w:szCs w:val="21"/>
                <w:highlight w:val="none"/>
                <w:lang w:eastAsia="zh-CN"/>
              </w:rPr>
            </w:pPr>
            <w:r>
              <w:rPr>
                <w:rFonts w:hint="eastAsia" w:ascii="宋体" w:hAnsi="宋体" w:eastAsia="宋体" w:cs="宋体"/>
                <w:b/>
                <w:bCs/>
                <w:color w:val="auto"/>
                <w:kern w:val="0"/>
                <w:sz w:val="21"/>
                <w:szCs w:val="21"/>
                <w:highlight w:val="none"/>
                <w:lang w:eastAsia="zh-CN"/>
              </w:rPr>
              <w:t>（3）编页时，单面文件在右下角进行编页；双面文件在正面的右下角编页，背面在左下角编页。</w:t>
            </w:r>
          </w:p>
          <w:p>
            <w:pPr>
              <w:widowControl/>
              <w:autoSpaceDE/>
              <w:autoSpaceDN/>
              <w:ind w:firstLine="211" w:firstLineChars="100"/>
              <w:jc w:val="left"/>
              <w:rPr>
                <w:rFonts w:hint="eastAsia" w:ascii="宋体" w:hAnsi="宋体" w:eastAsia="宋体" w:cs="宋体"/>
                <w:b/>
                <w:color w:val="auto"/>
                <w:kern w:val="0"/>
                <w:sz w:val="21"/>
                <w:szCs w:val="21"/>
                <w:highlight w:val="none"/>
                <w:lang w:eastAsia="zh-CN"/>
              </w:rPr>
            </w:pPr>
            <w:r>
              <w:rPr>
                <w:rFonts w:hint="eastAsia" w:ascii="宋体" w:hAnsi="宋体" w:eastAsia="宋体" w:cs="宋体"/>
                <w:b/>
                <w:color w:val="auto"/>
                <w:kern w:val="0"/>
                <w:sz w:val="21"/>
                <w:szCs w:val="21"/>
                <w:highlight w:val="none"/>
                <w:lang w:eastAsia="zh-CN"/>
              </w:rPr>
              <w:t>3 .纸质投标文件封面应盖单位章，每分册可加盖骑缝章；封面日期应明确年月日，与电子文件提交日期保持一致，应不早于卷内文件日期，并不得晚于开标日期。</w:t>
            </w:r>
          </w:p>
          <w:p>
            <w:pPr>
              <w:keepNext w:val="0"/>
              <w:keepLines w:val="0"/>
              <w:pageBreakBefore w:val="0"/>
              <w:widowControl/>
              <w:numPr>
                <w:ilvl w:val="-1"/>
                <w:numId w:val="0"/>
              </w:numPr>
              <w:kinsoku/>
              <w:wordWrap/>
              <w:overflowPunct/>
              <w:topLinePunct w:val="0"/>
              <w:autoSpaceDE/>
              <w:autoSpaceDN/>
              <w:bidi w:val="0"/>
              <w:adjustRightInd/>
              <w:snapToGrid/>
              <w:ind w:left="0" w:firstLine="211" w:firstLineChars="100"/>
              <w:jc w:val="left"/>
              <w:textAlignment w:val="auto"/>
              <w:rPr>
                <w:rFonts w:hint="eastAsia" w:ascii="宋体" w:hAnsi="宋体" w:eastAsia="宋体" w:cs="宋体"/>
                <w:b/>
                <w:color w:val="auto"/>
                <w:kern w:val="0"/>
                <w:sz w:val="21"/>
                <w:szCs w:val="21"/>
                <w:highlight w:val="none"/>
                <w:lang w:eastAsia="zh-CN"/>
              </w:rPr>
            </w:pPr>
            <w:r>
              <w:rPr>
                <w:rFonts w:hint="eastAsia" w:ascii="宋体" w:hAnsi="宋体" w:cs="宋体"/>
                <w:b/>
                <w:color w:val="auto"/>
                <w:kern w:val="0"/>
                <w:sz w:val="21"/>
                <w:szCs w:val="21"/>
                <w:highlight w:val="none"/>
                <w:lang w:val="en-US" w:eastAsia="zh-CN"/>
              </w:rPr>
              <w:t>4.</w:t>
            </w:r>
            <w:r>
              <w:rPr>
                <w:rFonts w:hint="eastAsia" w:ascii="宋体" w:hAnsi="宋体" w:eastAsia="宋体" w:cs="宋体"/>
                <w:b/>
                <w:color w:val="auto"/>
                <w:kern w:val="0"/>
                <w:sz w:val="21"/>
                <w:szCs w:val="21"/>
                <w:highlight w:val="none"/>
                <w:lang w:eastAsia="zh-CN"/>
              </w:rPr>
              <w:t>单本纸质投标文件的厚度不应超过50mm，如超过50mm，应分册装订。</w:t>
            </w:r>
          </w:p>
          <w:p>
            <w:pPr>
              <w:widowControl/>
              <w:numPr>
                <w:ilvl w:val="0"/>
                <w:numId w:val="0"/>
              </w:numPr>
              <w:autoSpaceDE/>
              <w:autoSpaceDN/>
              <w:jc w:val="left"/>
              <w:rPr>
                <w:rFonts w:hint="eastAsia" w:ascii="宋体" w:hAnsi="宋体" w:eastAsia="宋体" w:cs="宋体"/>
                <w:b/>
                <w:color w:val="auto"/>
                <w:kern w:val="0"/>
                <w:sz w:val="21"/>
                <w:szCs w:val="21"/>
                <w:highlight w:val="none"/>
                <w:lang w:eastAsia="zh-CN"/>
              </w:rPr>
            </w:pPr>
          </w:p>
          <w:p>
            <w:pPr>
              <w:widowControl/>
              <w:autoSpaceDE/>
              <w:autoSpaceDN/>
              <w:jc w:val="left"/>
              <w:rPr>
                <w:rFonts w:hint="eastAsia" w:ascii="宋体" w:hAnsi="宋体" w:eastAsia="宋体" w:cs="宋体"/>
                <w:b/>
                <w:color w:val="auto"/>
                <w:kern w:val="0"/>
                <w:sz w:val="21"/>
                <w:szCs w:val="21"/>
                <w:highlight w:val="none"/>
                <w:lang w:eastAsia="zh-CN"/>
              </w:rPr>
            </w:pPr>
            <w:r>
              <w:rPr>
                <w:rFonts w:hint="eastAsia" w:ascii="宋体" w:hAnsi="宋体" w:eastAsia="宋体" w:cs="宋体"/>
                <w:b/>
                <w:color w:val="auto"/>
                <w:kern w:val="0"/>
                <w:sz w:val="21"/>
                <w:szCs w:val="21"/>
                <w:highlight w:val="none"/>
                <w:lang w:eastAsia="zh-CN"/>
              </w:rPr>
              <w:t>（三）正本投标文件扫描件应满足如下要求：</w:t>
            </w:r>
          </w:p>
          <w:p>
            <w:pPr>
              <w:widowControl/>
              <w:autoSpaceDE/>
              <w:autoSpaceDN/>
              <w:ind w:firstLine="210" w:firstLineChars="100"/>
              <w:jc w:val="left"/>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rPr>
              <w:t>中标人应同时提供一套纸质正本投标文件的电子</w:t>
            </w:r>
            <w:r>
              <w:rPr>
                <w:rFonts w:hint="eastAsia" w:ascii="宋体" w:hAnsi="宋体" w:eastAsia="宋体" w:cs="宋体"/>
                <w:color w:val="auto"/>
                <w:sz w:val="21"/>
                <w:szCs w:val="21"/>
                <w:highlight w:val="none"/>
                <w:lang w:val="en-US" w:eastAsia="zh-CN"/>
              </w:rPr>
              <w:t>版U</w:t>
            </w:r>
            <w:r>
              <w:rPr>
                <w:rFonts w:hint="eastAsia" w:ascii="宋体" w:hAnsi="宋体" w:eastAsia="宋体" w:cs="宋体"/>
                <w:color w:val="auto"/>
                <w:sz w:val="21"/>
                <w:szCs w:val="21"/>
                <w:highlight w:val="none"/>
              </w:rPr>
              <w:t>盘</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U盘上标记中标人名称或简称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。每一册分别扫描成为PDF文件。</w:t>
            </w:r>
            <w:r>
              <w:rPr>
                <w:rFonts w:hint="eastAsia" w:ascii="宋体" w:hAnsi="宋体" w:eastAsia="宋体" w:cs="宋体"/>
                <w:color w:val="auto"/>
                <w:sz w:val="21"/>
                <w:szCs w:val="21"/>
                <w:highlight w:val="none"/>
                <w:lang w:val="en-US" w:eastAsia="zh-CN"/>
              </w:rPr>
              <w:t>U</w:t>
            </w:r>
            <w:r>
              <w:rPr>
                <w:rFonts w:hint="eastAsia" w:ascii="宋体" w:hAnsi="宋体" w:eastAsia="宋体" w:cs="宋体"/>
                <w:color w:val="auto"/>
                <w:sz w:val="21"/>
                <w:szCs w:val="21"/>
                <w:highlight w:val="none"/>
              </w:rPr>
              <w:t>盘中目录</w:t>
            </w:r>
            <w:r>
              <w:rPr>
                <w:rFonts w:hint="eastAsia" w:ascii="宋体" w:hAnsi="宋体" w:eastAsia="宋体" w:cs="宋体"/>
                <w:color w:val="auto"/>
                <w:sz w:val="21"/>
                <w:szCs w:val="21"/>
                <w:highlight w:val="none"/>
                <w:lang w:val="en-US" w:eastAsia="zh-CN"/>
              </w:rPr>
              <w:t>见压缩包</w:t>
            </w:r>
            <w:r>
              <w:rPr>
                <w:rFonts w:hint="eastAsia" w:ascii="宋体" w:hAnsi="宋体" w:eastAsia="宋体" w:cs="宋体"/>
                <w:color w:val="auto"/>
                <w:sz w:val="21"/>
                <w:szCs w:val="21"/>
                <w:highlight w:val="none"/>
                <w:lang w:eastAsia="en-US"/>
              </w:rPr>
              <w:t>：</w:t>
            </w:r>
          </w:p>
          <w:p>
            <w:pPr>
              <w:widowControl/>
              <w:autoSpaceDE/>
              <w:autoSpaceDN/>
              <w:ind w:firstLine="210" w:firstLineChars="10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object>
                <v:shape id="_x0000_i1025" o:spt="75" type="#_x0000_t75" style="height:66pt;width:72.75pt;" o:ole="t" filled="f" o:preferrelative="t" stroked="f" coordsize="21600,21600">
                  <v:path/>
                  <v:fill on="f" focussize="0,0"/>
                  <v:stroke on="f"/>
                  <v:imagedata r:id="rId17" o:title=""/>
                  <o:lock v:ext="edit" aspectratio="t"/>
                  <w10:wrap type="none"/>
                  <w10:anchorlock/>
                </v:shape>
                <o:OLEObject Type="Embed" ProgID="Package" ShapeID="_x0000_i1025" DrawAspect="Icon" ObjectID="_1468075725" r:id="rId16">
                  <o:LockedField>false</o:LockedField>
                </o:OLEObject>
              </w:object>
            </w:r>
          </w:p>
          <w:p>
            <w:pPr>
              <w:widowControl/>
              <w:autoSpaceDE/>
              <w:autoSpaceDN/>
              <w:ind w:firstLine="210" w:firstLineChars="100"/>
              <w:jc w:val="left"/>
              <w:rPr>
                <w:rFonts w:hint="eastAsia" w:ascii="宋体" w:hAnsi="宋体" w:eastAsia="宋体" w:cs="宋体"/>
                <w:color w:val="auto"/>
                <w:sz w:val="21"/>
                <w:szCs w:val="21"/>
                <w:highlight w:val="none"/>
                <w:lang w:eastAsia="zh-CN"/>
              </w:rPr>
            </w:pPr>
          </w:p>
          <w:p>
            <w:pPr>
              <w:pStyle w:val="5"/>
              <w:autoSpaceDE/>
              <w:autoSpaceDN/>
              <w:ind w:firstLine="0"/>
              <w:jc w:val="left"/>
              <w:rPr>
                <w:rFonts w:hint="eastAsia" w:ascii="宋体" w:hAnsi="宋体" w:eastAsia="宋体" w:cs="宋体"/>
                <w:color w:val="auto"/>
                <w:sz w:val="21"/>
                <w:szCs w:val="21"/>
                <w:highlight w:val="none"/>
                <w:lang w:eastAsia="zh-CN"/>
              </w:rPr>
            </w:pPr>
            <w:r>
              <w:rPr>
                <w:rFonts w:hint="eastAsia" w:ascii="宋体" w:hAnsi="宋体" w:eastAsia="宋体" w:cs="宋体"/>
                <w:b/>
                <w:color w:val="auto"/>
                <w:kern w:val="0"/>
                <w:sz w:val="21"/>
                <w:szCs w:val="21"/>
                <w:highlight w:val="none"/>
                <w:lang w:eastAsia="zh-CN"/>
              </w:rPr>
              <w:t>（四）封装及邮寄应满足如下要求：</w:t>
            </w:r>
          </w:p>
          <w:p>
            <w:pPr>
              <w:widowControl/>
              <w:autoSpaceDE/>
              <w:autoSpaceDN/>
              <w:ind w:firstLine="210" w:firstLineChars="100"/>
              <w:jc w:val="left"/>
              <w:rPr>
                <w:rFonts w:hint="eastAsia" w:ascii="宋体" w:hAnsi="宋体" w:eastAsia="宋体" w:cs="宋体"/>
                <w:b/>
                <w:color w:val="auto"/>
                <w:kern w:val="0"/>
                <w:sz w:val="21"/>
                <w:szCs w:val="21"/>
                <w:highlight w:val="none"/>
                <w:lang w:eastAsia="zh-CN"/>
              </w:rPr>
            </w:pPr>
            <w:r>
              <w:rPr>
                <w:rFonts w:hint="eastAsia" w:ascii="宋体" w:hAnsi="宋体" w:eastAsia="宋体" w:cs="宋体"/>
                <w:color w:val="auto"/>
                <w:sz w:val="21"/>
                <w:szCs w:val="21"/>
                <w:highlight w:val="none"/>
                <w:lang w:eastAsia="zh-CN"/>
              </w:rPr>
              <w:t>纸质投标文件与电子扫描件</w:t>
            </w:r>
            <w:r>
              <w:rPr>
                <w:rFonts w:hint="eastAsia" w:ascii="宋体" w:hAnsi="宋体" w:eastAsia="宋体" w:cs="宋体"/>
                <w:color w:val="auto"/>
                <w:sz w:val="21"/>
                <w:szCs w:val="21"/>
                <w:highlight w:val="none"/>
                <w:lang w:val="en-US" w:eastAsia="zh-CN"/>
              </w:rPr>
              <w:t>U</w:t>
            </w:r>
            <w:r>
              <w:rPr>
                <w:rFonts w:hint="eastAsia" w:ascii="宋体" w:hAnsi="宋体" w:eastAsia="宋体" w:cs="宋体"/>
                <w:color w:val="auto"/>
                <w:sz w:val="21"/>
                <w:szCs w:val="21"/>
                <w:highlight w:val="none"/>
                <w:lang w:eastAsia="zh-CN"/>
              </w:rPr>
              <w:t>盘可一起封装邮寄，包装封套上应清楚地标注项目名称、招标编号、投标文件字样，并由法定代表人或其委托代理人在密封处加盖公章，同时写明投标人名称、地址、联系人及联系方式。可根据投标文件的数量拆分为几个包装，并在封套上标明共几个包装。</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
              <w:gridCol w:w="1013"/>
              <w:gridCol w:w="4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28" w:type="dxa"/>
                  <w:gridSpan w:val="3"/>
                  <w:noWrap w:val="0"/>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中标投标文件邮寄信息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noWrap w:val="0"/>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W w:w="1013"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邮寄地址</w:t>
                  </w:r>
                </w:p>
              </w:tc>
              <w:tc>
                <w:tcPr>
                  <w:tcW w:w="4390"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北京市西城区六铺炕街5号国网物资有限公司</w:t>
                  </w:r>
                  <w:r>
                    <w:rPr>
                      <w:rFonts w:hint="eastAsia" w:ascii="宋体" w:hAnsi="宋体" w:cs="宋体"/>
                      <w:b/>
                      <w:bCs/>
                      <w:color w:val="auto"/>
                      <w:sz w:val="21"/>
                      <w:szCs w:val="21"/>
                      <w:highlight w:val="none"/>
                      <w:lang w:val="en-US" w:eastAsia="zh-CN"/>
                    </w:rPr>
                    <w:t>+</w:t>
                  </w:r>
                  <w:r>
                    <w:rPr>
                      <w:rFonts w:hint="eastAsia" w:ascii="宋体" w:hAnsi="宋体" w:cs="宋体"/>
                      <w:b w:val="0"/>
                      <w:bCs w:val="0"/>
                      <w:color w:val="auto"/>
                      <w:sz w:val="21"/>
                      <w:szCs w:val="21"/>
                      <w:highlight w:val="none"/>
                      <w:lang w:val="en-US" w:eastAsia="zh-CN"/>
                    </w:rPr>
                    <w:t>本批</w:t>
                  </w:r>
                  <w:r>
                    <w:rPr>
                      <w:rFonts w:hint="eastAsia" w:ascii="宋体" w:hAnsi="宋体" w:eastAsia="宋体" w:cs="宋体"/>
                      <w:b w:val="0"/>
                      <w:bCs w:val="0"/>
                      <w:color w:val="auto"/>
                      <w:sz w:val="21"/>
                      <w:szCs w:val="21"/>
                      <w:highlight w:val="none"/>
                    </w:rPr>
                    <w:t>招</w:t>
                  </w:r>
                  <w:r>
                    <w:rPr>
                      <w:rFonts w:hint="eastAsia" w:ascii="宋体" w:hAnsi="宋体" w:eastAsia="宋体" w:cs="宋体"/>
                      <w:color w:val="auto"/>
                      <w:sz w:val="21"/>
                      <w:szCs w:val="21"/>
                      <w:highlight w:val="none"/>
                    </w:rPr>
                    <w:t>标编号</w:t>
                  </w:r>
                  <w:r>
                    <w:rPr>
                      <w:rFonts w:hint="eastAsia" w:ascii="宋体" w:hAnsi="宋体" w:cs="宋体"/>
                      <w:color w:val="auto"/>
                      <w:sz w:val="21"/>
                      <w:szCs w:val="21"/>
                      <w:highlight w:val="none"/>
                      <w:lang w:eastAsia="zh-CN"/>
                    </w:rPr>
                    <w:t>（</w:t>
                  </w:r>
                  <w:r>
                    <w:rPr>
                      <w:rFonts w:hint="eastAsia" w:ascii="宋体" w:hAnsi="宋体" w:eastAsia="宋体" w:cs="宋体"/>
                      <w:color w:val="auto"/>
                      <w:sz w:val="21"/>
                      <w:szCs w:val="21"/>
                      <w:highlight w:val="none"/>
                    </w:rPr>
                    <w:t>例：北京市西城区六铺炕街5号国网物资有限公司</w:t>
                  </w:r>
                  <w:r>
                    <w:rPr>
                      <w:rFonts w:hint="eastAsia" w:ascii="宋体" w:hAnsi="宋体" w:eastAsia="宋体" w:cs="宋体"/>
                      <w:color w:val="auto"/>
                      <w:sz w:val="21"/>
                      <w:szCs w:val="21"/>
                      <w:highlight w:val="none"/>
                      <w:lang w:val="en-US" w:eastAsia="zh-CN"/>
                    </w:rPr>
                    <w:t>+</w:t>
                  </w:r>
                  <w:r>
                    <w:rPr>
                      <w:rFonts w:hint="eastAsia" w:ascii="宋体" w:hAnsi="宋体" w:cs="宋体"/>
                      <w:color w:val="auto"/>
                      <w:szCs w:val="21"/>
                      <w:highlight w:val="none"/>
                    </w:rPr>
                    <w:t>0711-26OTL11013056</w:t>
                  </w:r>
                  <w:r>
                    <w:rPr>
                      <w:rFonts w:hint="eastAsia" w:ascii="宋体" w:hAnsi="宋体" w:cs="宋体"/>
                      <w:color w:val="auto"/>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noWrap w:val="0"/>
                  <w:vAlign w:val="center"/>
                </w:tcPr>
                <w:p>
                  <w:pPr>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p>
              </w:tc>
              <w:tc>
                <w:tcPr>
                  <w:tcW w:w="1013"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邮寄编码</w:t>
                  </w:r>
                </w:p>
              </w:tc>
              <w:tc>
                <w:tcPr>
                  <w:tcW w:w="4390"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noWrap w:val="0"/>
                  <w:vAlign w:val="center"/>
                </w:tcPr>
                <w:p>
                  <w:pPr>
                    <w:keepNext/>
                    <w:keepLines/>
                    <w:adjustRightInd w:val="0"/>
                    <w:snapToGrid w:val="0"/>
                    <w:spacing w:line="48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w:t>
                  </w:r>
                </w:p>
              </w:tc>
              <w:tc>
                <w:tcPr>
                  <w:tcW w:w="1013"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邮寄电话</w:t>
                  </w:r>
                </w:p>
              </w:tc>
              <w:tc>
                <w:tcPr>
                  <w:tcW w:w="4390"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010-60348075</w:t>
                  </w:r>
                </w:p>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（该电话仅用于中标文件邮寄接收。）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jc w:val="center"/>
              </w:trPr>
              <w:tc>
                <w:tcPr>
                  <w:tcW w:w="425" w:type="dxa"/>
                  <w:noWrap w:val="0"/>
                  <w:vAlign w:val="center"/>
                </w:tcPr>
                <w:p>
                  <w:pPr>
                    <w:keepNext/>
                    <w:keepLines/>
                    <w:adjustRightInd w:val="0"/>
                    <w:snapToGrid w:val="0"/>
                    <w:spacing w:line="48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w:t>
                  </w:r>
                </w:p>
              </w:tc>
              <w:tc>
                <w:tcPr>
                  <w:tcW w:w="1013"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收件人</w:t>
                  </w:r>
                </w:p>
              </w:tc>
              <w:tc>
                <w:tcPr>
                  <w:tcW w:w="4390" w:type="dxa"/>
                  <w:noWrap w:val="0"/>
                  <w:vAlign w:val="center"/>
                </w:tcPr>
                <w:p>
                  <w:pPr>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投标人简称（例：天津院）</w:t>
                  </w:r>
                </w:p>
              </w:tc>
            </w:tr>
          </w:tbl>
          <w:p>
            <w:pPr>
              <w:pStyle w:val="27"/>
              <w:keepNext/>
              <w:keepLines/>
              <w:pageBreakBefore w:val="0"/>
              <w:widowControl w:val="0"/>
              <w:tabs>
                <w:tab w:val="left" w:pos="1401"/>
                <w:tab w:val="left" w:pos="2171"/>
                <w:tab w:val="left" w:pos="2945"/>
              </w:tabs>
              <w:kinsoku/>
              <w:wordWrap/>
              <w:overflowPunct/>
              <w:topLinePunct w:val="0"/>
              <w:autoSpaceDE w:val="0"/>
              <w:autoSpaceDN w:val="0"/>
              <w:bidi w:val="0"/>
              <w:spacing w:beforeLines="50" w:afterLines="50"/>
              <w:textAlignment w:val="auto"/>
              <w:rPr>
                <w:rFonts w:hint="eastAsia" w:ascii="宋体" w:hAnsi="宋体" w:eastAsia="宋体" w:cs="宋体"/>
                <w:color w:val="auto"/>
                <w:kern w:val="0"/>
                <w:sz w:val="21"/>
                <w:szCs w:val="21"/>
                <w:highlight w:val="none"/>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7.6</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技术成果经济补偿</w:t>
            </w:r>
          </w:p>
        </w:tc>
        <w:tc>
          <w:tcPr>
            <w:tcW w:w="6193" w:type="dxa"/>
            <w:vAlign w:val="center"/>
          </w:tcPr>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有，招标人对符合招标文件规定的未中标人的技术成果进行补偿的，招标人将按投标人须知前附表规定的标准给予经济补偿，未中标人在投标文件中声明放弃技术成果经济补偿费的除外。招标人将于中标通知书发出后30日内向未中标人支付技术成果经济补偿费。</w:t>
            </w:r>
          </w:p>
          <w:p>
            <w:pPr>
              <w:pStyle w:val="17"/>
              <w:spacing w:before="120" w:beforeLines="50" w:afterLines="50"/>
              <w:ind w:left="0" w:firstLine="0"/>
              <w:rPr>
                <w:rFonts w:hint="eastAsia" w:ascii="宋体" w:hAnsi="宋体" w:eastAsia="宋体" w:cs="宋体"/>
                <w:color w:val="auto"/>
                <w:sz w:val="21"/>
                <w:szCs w:val="21"/>
                <w:highlight w:val="none"/>
              </w:rPr>
            </w:pPr>
            <w:r>
              <w:rPr>
                <w:rFonts w:hint="eastAsia" w:ascii="宋体" w:hAnsi="宋体" w:cs="宋体"/>
                <w:color w:val="auto"/>
                <w:sz w:val="21"/>
                <w:szCs w:val="21"/>
                <w:highlight w:val="none"/>
                <w:lang w:eastAsia="zh-CN"/>
              </w:rPr>
              <w:t>☑</w:t>
            </w:r>
            <w:r>
              <w:rPr>
                <w:rFonts w:hint="eastAsia" w:ascii="宋体" w:hAnsi="宋体" w:eastAsia="宋体" w:cs="宋体"/>
                <w:color w:val="auto"/>
                <w:sz w:val="21"/>
                <w:szCs w:val="21"/>
                <w:highlight w:val="none"/>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7.6.1</w:t>
            </w:r>
          </w:p>
        </w:tc>
        <w:tc>
          <w:tcPr>
            <w:tcW w:w="1171"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0"/>
                <w:sz w:val="21"/>
                <w:szCs w:val="21"/>
                <w:highlight w:val="none"/>
                <w:lang w:val="en-US" w:eastAsia="en-US" w:bidi="ar-SA"/>
              </w:rPr>
            </w:pPr>
            <w:r>
              <w:rPr>
                <w:rFonts w:hint="eastAsia" w:ascii="宋体" w:hAnsi="宋体" w:eastAsia="宋体" w:cs="宋体"/>
                <w:color w:val="auto"/>
                <w:kern w:val="0"/>
                <w:sz w:val="21"/>
                <w:szCs w:val="21"/>
                <w:highlight w:val="none"/>
                <w:lang w:eastAsia="en-US"/>
              </w:rPr>
              <w:t>履约保证金</w:t>
            </w:r>
          </w:p>
        </w:tc>
        <w:tc>
          <w:tcPr>
            <w:tcW w:w="6193"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见第四章合同条款及格式规定。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7.7</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签订合同</w:t>
            </w:r>
          </w:p>
        </w:tc>
        <w:tc>
          <w:tcPr>
            <w:tcW w:w="6193" w:type="dxa"/>
            <w:vAlign w:val="center"/>
          </w:tcPr>
          <w:p>
            <w:pPr>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补充：</w:t>
            </w:r>
          </w:p>
          <w:p>
            <w:pPr>
              <w:pStyle w:val="28"/>
              <w:adjustRightInd w:val="0"/>
              <w:snapToGrid w:val="0"/>
              <w:spacing w:before="120" w:beforeLines="50" w:after="120" w:afterLines="50"/>
              <w:ind w:firstLine="0" w:firstLineChars="0"/>
              <w:rPr>
                <w:rFonts w:hint="eastAsia" w:ascii="宋体" w:hAnsi="宋体" w:eastAsia="宋体" w:cs="宋体"/>
                <w:color w:val="auto"/>
                <w:szCs w:val="21"/>
                <w:highlight w:val="none"/>
              </w:rPr>
            </w:pPr>
            <w:r>
              <w:rPr>
                <w:rFonts w:hint="eastAsia" w:ascii="宋体" w:hAnsi="宋体" w:eastAsia="宋体" w:cs="宋体"/>
                <w:color w:val="auto"/>
                <w:szCs w:val="21"/>
                <w:highlight w:val="none"/>
              </w:rPr>
              <w:t>1.签订合同的主体为项目单位和中标人</w:t>
            </w:r>
          </w:p>
          <w:p>
            <w:pPr>
              <w:pStyle w:val="28"/>
              <w:adjustRightInd w:val="0"/>
              <w:snapToGrid w:val="0"/>
              <w:spacing w:before="120" w:beforeLines="50" w:after="120" w:afterLines="50"/>
              <w:ind w:firstLine="0" w:firstLineChars="0"/>
              <w:rPr>
                <w:rFonts w:hint="eastAsia" w:ascii="宋体" w:hAnsi="宋体" w:eastAsia="宋体" w:cs="宋体"/>
                <w:color w:val="auto"/>
                <w:szCs w:val="21"/>
                <w:highlight w:val="none"/>
              </w:rPr>
            </w:pPr>
            <w:r>
              <w:rPr>
                <w:rFonts w:hint="eastAsia" w:ascii="宋体" w:hAnsi="宋体" w:eastAsia="宋体" w:cs="宋体"/>
                <w:color w:val="auto"/>
                <w:szCs w:val="21"/>
                <w:highlight w:val="none"/>
              </w:rPr>
              <w:t>2.如中标人无正当理由拒签合同，或未按照招标文件要求提交履约担保的，招标人将取消该中标人的中标资格，并不予退还投标保证金，在此情况下，招标人可以按照招标文件相关规定确定其他中标候选人为中标人，或重新招标。招标人有权按照《国家电网有限公司供应商关系管理办法》对该中标人做出处理。</w:t>
            </w:r>
          </w:p>
          <w:p>
            <w:pPr>
              <w:pStyle w:val="28"/>
              <w:adjustRightInd w:val="0"/>
              <w:snapToGrid w:val="0"/>
              <w:spacing w:before="120" w:beforeLines="50" w:after="120" w:afterLines="50"/>
              <w:ind w:firstLine="0" w:firstLineChars="0"/>
              <w:rPr>
                <w:rFonts w:hint="eastAsia" w:ascii="宋体" w:hAnsi="宋体" w:eastAsia="宋体" w:cs="宋体"/>
                <w:color w:val="auto"/>
                <w:szCs w:val="21"/>
                <w:highlight w:val="none"/>
              </w:rPr>
            </w:pPr>
            <w:r>
              <w:rPr>
                <w:rFonts w:hint="eastAsia" w:ascii="宋体" w:hAnsi="宋体" w:eastAsia="宋体" w:cs="宋体"/>
                <w:color w:val="auto"/>
                <w:szCs w:val="21"/>
                <w:highlight w:val="none"/>
              </w:rPr>
              <w:t>3.如同一包内包含两个或两个以上项目单位，中标人应分别与各项目单位签订合同。</w:t>
            </w:r>
          </w:p>
          <w:p>
            <w:pPr>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4.</w:t>
            </w:r>
            <w:r>
              <w:rPr>
                <w:rFonts w:hint="eastAsia" w:ascii="宋体" w:hAnsi="宋体" w:eastAsia="宋体" w:cs="宋体"/>
                <w:color w:val="auto"/>
                <w:szCs w:val="21"/>
                <w:highlight w:val="none"/>
              </w:rPr>
              <w:t>当投标人出现下列情形时，取消投标人与招标人签订合同的资格，并且招标人保留追究投标人责任的权利。同时，招标人将对投标人的不诚信行为按照《国家电网有限公司供应商关系管理办法》做出处理。</w:t>
            </w:r>
          </w:p>
          <w:p>
            <w:pPr>
              <w:rPr>
                <w:rFonts w:hint="eastAsia" w:ascii="宋体" w:hAnsi="宋体" w:eastAsia="宋体" w:cs="宋体"/>
                <w:color w:val="auto"/>
                <w:szCs w:val="21"/>
                <w:highlight w:val="none"/>
              </w:rPr>
            </w:pP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lang w:eastAsia="zh-CN"/>
              </w:rPr>
              <w:t>）</w:t>
            </w:r>
            <w:r>
              <w:rPr>
                <w:rFonts w:hint="eastAsia" w:ascii="宋体" w:hAnsi="宋体" w:eastAsia="宋体" w:cs="宋体"/>
                <w:color w:val="auto"/>
                <w:szCs w:val="21"/>
                <w:highlight w:val="none"/>
              </w:rPr>
              <w:t>投标人在投标有效期内撤销投标文件。</w:t>
            </w:r>
          </w:p>
          <w:p>
            <w:pP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（2）</w:t>
            </w:r>
            <w:r>
              <w:rPr>
                <w:rFonts w:hint="eastAsia" w:ascii="宋体" w:hAnsi="宋体" w:eastAsia="宋体" w:cs="宋体"/>
                <w:color w:val="auto"/>
                <w:szCs w:val="21"/>
                <w:highlight w:val="none"/>
                <w:lang w:val="en-US" w:eastAsia="zh-CN"/>
              </w:rPr>
              <w:t>中标人在收到中标通知书后，无正当理由不与招标人订立合同，在签订合同时向招标人提出附加条件，或者不按照招标文件要求提交履约保证金</w:t>
            </w:r>
          </w:p>
          <w:p>
            <w:pPr>
              <w:rPr>
                <w:rFonts w:hint="eastAsia" w:ascii="宋体" w:hAnsi="宋体" w:eastAsia="宋体" w:cs="宋体"/>
                <w:color w:val="auto"/>
                <w:szCs w:val="21"/>
                <w:highlight w:val="none"/>
              </w:rPr>
            </w:pP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lang w:eastAsia="zh-CN"/>
              </w:rPr>
              <w:t>）</w:t>
            </w:r>
            <w:r>
              <w:rPr>
                <w:rFonts w:hint="eastAsia" w:ascii="宋体" w:hAnsi="宋体" w:eastAsia="宋体" w:cs="宋体"/>
                <w:color w:val="auto"/>
                <w:szCs w:val="21"/>
                <w:highlight w:val="none"/>
              </w:rPr>
              <w:t>在提交投标文件截止时间后主动对投标文件提出实质性修改的。</w:t>
            </w:r>
          </w:p>
          <w:p>
            <w:pPr>
              <w:rPr>
                <w:rFonts w:hint="eastAsia" w:ascii="宋体" w:hAnsi="宋体" w:eastAsia="宋体" w:cs="宋体"/>
                <w:color w:val="auto"/>
                <w:szCs w:val="21"/>
                <w:highlight w:val="none"/>
              </w:rPr>
            </w:pP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4</w:t>
            </w:r>
            <w:r>
              <w:rPr>
                <w:rFonts w:hint="eastAsia" w:ascii="宋体" w:hAnsi="宋体" w:cs="宋体"/>
                <w:color w:val="auto"/>
                <w:szCs w:val="21"/>
                <w:highlight w:val="none"/>
                <w:lang w:eastAsia="zh-CN"/>
              </w:rPr>
              <w:t>）</w:t>
            </w:r>
            <w:r>
              <w:rPr>
                <w:rFonts w:hint="eastAsia" w:ascii="宋体" w:hAnsi="宋体" w:eastAsia="宋体" w:cs="宋体"/>
                <w:color w:val="auto"/>
                <w:szCs w:val="21"/>
                <w:highlight w:val="none"/>
              </w:rPr>
              <w:t>投标人串通投标或有其他违法行为的。</w:t>
            </w:r>
          </w:p>
          <w:p>
            <w:pPr>
              <w:pStyle w:val="28"/>
              <w:adjustRightInd w:val="0"/>
              <w:snapToGrid w:val="0"/>
              <w:spacing w:before="120" w:beforeLines="50" w:after="120" w:afterLines="50"/>
              <w:ind w:firstLine="0" w:firstLineChars="0"/>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lang w:eastAsia="zh-CN"/>
              </w:rPr>
              <w:t>）</w:t>
            </w:r>
            <w:r>
              <w:rPr>
                <w:rFonts w:hint="eastAsia" w:ascii="宋体" w:hAnsi="宋体" w:eastAsia="宋体" w:cs="宋体"/>
                <w:color w:val="auto"/>
                <w:szCs w:val="21"/>
                <w:highlight w:val="none"/>
              </w:rPr>
              <w:t>国家法律法规及招标文件规定的其他情形。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keepNext/>
              <w:keepLines/>
              <w:pageBreakBefore w:val="0"/>
              <w:widowControl w:val="0"/>
              <w:kinsoku/>
              <w:wordWrap/>
              <w:overflowPunct/>
              <w:topLinePunct w:val="0"/>
              <w:autoSpaceDE w:val="0"/>
              <w:autoSpaceDN w:val="0"/>
              <w:bidi w:val="0"/>
              <w:spacing w:beforeLines="50" w:afterLines="5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7.8</w:t>
            </w:r>
          </w:p>
          <w:p>
            <w:pPr>
              <w:pStyle w:val="27"/>
              <w:keepNext/>
              <w:keepLines/>
              <w:pageBreakBefore w:val="0"/>
              <w:widowControl w:val="0"/>
              <w:kinsoku/>
              <w:wordWrap/>
              <w:overflowPunct/>
              <w:topLinePunct w:val="0"/>
              <w:autoSpaceDE w:val="0"/>
              <w:autoSpaceDN w:val="0"/>
              <w:bidi w:val="0"/>
              <w:spacing w:beforeLines="50" w:afterLines="50"/>
              <w:jc w:val="center"/>
              <w:textAlignment w:val="auto"/>
              <w:rPr>
                <w:rFonts w:hint="eastAsia" w:ascii="宋体" w:hAnsi="宋体" w:eastAsia="宋体" w:cs="宋体"/>
                <w:color w:val="auto"/>
                <w:kern w:val="0"/>
                <w:sz w:val="21"/>
                <w:szCs w:val="21"/>
                <w:highlight w:val="none"/>
                <w:lang w:val="zh-CN" w:eastAsia="en-US" w:bidi="ar-SA"/>
              </w:rPr>
            </w:pPr>
            <w:r>
              <w:rPr>
                <w:rFonts w:hint="eastAsia" w:ascii="宋体" w:hAnsi="宋体" w:eastAsia="宋体" w:cs="宋体"/>
                <w:color w:val="auto"/>
                <w:sz w:val="21"/>
                <w:szCs w:val="21"/>
                <w:highlight w:val="none"/>
              </w:rPr>
              <w:t>新增</w:t>
            </w:r>
          </w:p>
        </w:tc>
        <w:tc>
          <w:tcPr>
            <w:tcW w:w="1171"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0"/>
                <w:sz w:val="21"/>
                <w:szCs w:val="21"/>
                <w:highlight w:val="none"/>
                <w:lang w:val="en-US" w:eastAsia="zh-CN" w:bidi="ar-SA"/>
              </w:rPr>
            </w:pPr>
            <w:r>
              <w:rPr>
                <w:rFonts w:hint="eastAsia" w:ascii="宋体" w:hAnsi="宋体" w:eastAsia="宋体" w:cs="宋体"/>
                <w:color w:val="auto"/>
                <w:sz w:val="21"/>
                <w:szCs w:val="21"/>
                <w:highlight w:val="none"/>
              </w:rPr>
              <w:t>取消中标候选人资格，或认定中标无效</w:t>
            </w:r>
          </w:p>
        </w:tc>
        <w:tc>
          <w:tcPr>
            <w:tcW w:w="6193" w:type="dxa"/>
            <w:vAlign w:val="center"/>
          </w:tcPr>
          <w:p>
            <w:pPr>
              <w:keepNext/>
              <w:keepLines/>
              <w:pageBreakBefore w:val="0"/>
              <w:widowControl w:val="0"/>
              <w:kinsoku/>
              <w:wordWrap/>
              <w:overflowPunct/>
              <w:topLinePunct w:val="0"/>
              <w:autoSpaceDE w:val="0"/>
              <w:autoSpaceDN w:val="0"/>
              <w:bidi w:val="0"/>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1.</w:t>
            </w:r>
            <w:r>
              <w:rPr>
                <w:rFonts w:hint="eastAsia" w:ascii="宋体" w:hAnsi="宋体" w:eastAsia="宋体" w:cs="宋体"/>
                <w:b w:val="0"/>
                <w:bCs w:val="0"/>
                <w:color w:val="auto"/>
                <w:sz w:val="21"/>
                <w:szCs w:val="21"/>
                <w:highlight w:val="none"/>
                <w:lang w:eastAsia="zh-CN"/>
              </w:rPr>
              <w:t>签订书面合同前，如果中标人发生安全生产事故（四级及以上人身、电网、设备事件），事故原因查明前，招标人有权取消该中标人的中标资格。</w:t>
            </w:r>
          </w:p>
          <w:p>
            <w:pPr>
              <w:pStyle w:val="28"/>
              <w:keepNext/>
              <w:keepLines/>
              <w:pageBreakBefore w:val="0"/>
              <w:widowControl w:val="0"/>
              <w:kinsoku/>
              <w:wordWrap/>
              <w:overflowPunct/>
              <w:topLinePunct w:val="0"/>
              <w:autoSpaceDE w:val="0"/>
              <w:autoSpaceDN w:val="0"/>
              <w:bidi w:val="0"/>
              <w:adjustRightInd w:val="0"/>
              <w:snapToGrid w:val="0"/>
              <w:spacing w:beforeLines="50" w:afterLines="50"/>
              <w:ind w:firstLine="0" w:firstLineChars="0"/>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招标人有权对投标人进行资质能力核查，如经核查其不具有承担投标项目的资质能力，或因其自身原因造成核查工作无法进行的，将视其不具备承担投标项目所需的资质能力，取消其中标候选人资格或不予签订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pStyle w:val="27"/>
              <w:spacing w:before="120" w:beforeLines="50" w:after="120" w:afterLines="5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en-US"/>
              </w:rPr>
              <w:t>8.2</w:t>
            </w:r>
          </w:p>
        </w:tc>
        <w:tc>
          <w:tcPr>
            <w:tcW w:w="1171" w:type="dxa"/>
            <w:vAlign w:val="center"/>
          </w:tcPr>
          <w:p>
            <w:pPr>
              <w:pStyle w:val="27"/>
              <w:spacing w:before="120" w:beforeLines="50" w:after="120" w:afterLines="50"/>
              <w:jc w:val="center"/>
              <w:rPr>
                <w:rFonts w:hint="eastAsia" w:ascii="宋体" w:hAnsi="宋体" w:eastAsia="宋体" w:cs="宋体"/>
                <w:color w:val="auto"/>
                <w:sz w:val="21"/>
                <w:szCs w:val="21"/>
                <w:highlight w:val="none"/>
                <w:lang w:eastAsia="en-US"/>
              </w:rPr>
            </w:pPr>
            <w:r>
              <w:rPr>
                <w:rFonts w:hint="eastAsia" w:ascii="宋体" w:hAnsi="宋体" w:eastAsia="宋体" w:cs="宋体"/>
                <w:color w:val="auto"/>
                <w:sz w:val="21"/>
                <w:szCs w:val="21"/>
                <w:highlight w:val="none"/>
                <w:lang w:eastAsia="en-US"/>
              </w:rPr>
              <w:t>对投标人的纪律要求</w:t>
            </w:r>
          </w:p>
        </w:tc>
        <w:tc>
          <w:tcPr>
            <w:tcW w:w="6193" w:type="dxa"/>
            <w:vAlign w:val="center"/>
          </w:tcPr>
          <w:p>
            <w:pPr>
              <w:pStyle w:val="27"/>
              <w:tabs>
                <w:tab w:val="left" w:pos="1401"/>
                <w:tab w:val="left" w:pos="2171"/>
                <w:tab w:val="left" w:pos="2945"/>
              </w:tabs>
              <w:spacing w:before="120" w:beforeLines="50" w:after="120" w:afterLines="5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补充：</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如果中标人有商业贿赂或欺诈行为，其中标资格将被取消。如果投标人在任何时候，被认定为有商业贿赂或欺诈行为，将被宣布在一个不定期的时间内被取消其中标资格或拒绝其投标。商业贿赂指在招标、评标和合同执行等过程中，投标人为影响招标人、招标代理机构、评标委员会成员的行为而提供、给予任何有价物或好处的行为或招标人、招标代理机构、评标委员会成员为谋取不正当利益向投标人索取或接受投标人任何有价物或好处的行为。欺诈行为指为了影响招标、评标和合同执行等过程而隐瞒或虚构事实、虚假投标，从而给招标人造成损害的行为，其中包括投标人之间的串通行为，旨在使投标价格成为人为的、无竞争性的价格，并使招标人无法从自由公开的竞争中受益。</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在招标采购过程中，投标人或投标文件存在下列情形之一的，视为投标人相互串通投标：</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lang w:val="en-US"/>
              </w:rPr>
              <w:t>1）不同投标人的投标文件由同一单位或者个人编制，不同投标人的电子投标文件通过同一台电脑制作、上传。同一标包中，不同投标人编制电子投标文件（包括价格、技术、商务和资质业绩文件中任一类别）时使用的计算机硬件网卡MAC 地址（如有）、CPU 序列号和硬盘序列号均相同。</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lang w:val="en-US"/>
              </w:rPr>
              <w:t>2）不同投标人委托同一单位或者个人办理投标事宜（如电子化投标过程中在获取招标文件、递交投标文件、提出澄清、提出异议、澄清回复、踏勘现场等阶段的联系信息一致，如联系人姓名、电话、邮箱、地址一致）。</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lang w:val="en-US"/>
              </w:rPr>
              <w:t>3）不同投标人的投标文件载明的项目管理成员为同一人，除非投标人能够证明其不存在串通投标行为。</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lang w:val="en-US"/>
              </w:rPr>
              <w:t>4）不同投标人的投标保证金或投标保证保险的保费从同一单位或者个人账户转出。</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lang w:val="en-US"/>
              </w:rPr>
              <w:t>5）不同投标人的投标文件异常一致（如投标文件错误表述、错误计算或者笔误雷同，投标文件整段内容一致（引用除外），投标文件排版格式一致等）</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lang w:val="en-US"/>
              </w:rPr>
              <w:t>6）不同投标人的投标文件上所加盖公司印章、签字相同。</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lang w:val="en-US"/>
              </w:rPr>
              <w:t>7）不同投标人的投标文件相互混装。</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lang w:val="en-US"/>
              </w:rPr>
              <w:t>8）不同投标人的投标报价呈规律性差异（如同一标包中不同投标人的投标报价呈等差数列或有规律性的百分比等）。</w:t>
            </w:r>
          </w:p>
          <w:p>
            <w:pPr>
              <w:pStyle w:val="27"/>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auto"/>
                <w:kern w:val="2"/>
                <w:sz w:val="21"/>
                <w:szCs w:val="21"/>
                <w:highlight w:val="none"/>
                <w:lang w:val="en-US" w:eastAsia="zh-CN"/>
              </w:rPr>
            </w:pPr>
            <w:r>
              <w:rPr>
                <w:rFonts w:hint="eastAsia" w:ascii="宋体" w:hAnsi="宋体" w:eastAsia="宋体" w:cs="宋体"/>
                <w:color w:val="auto"/>
                <w:kern w:val="2"/>
                <w:sz w:val="21"/>
                <w:szCs w:val="21"/>
                <w:highlight w:val="none"/>
                <w:lang w:val="en-US"/>
              </w:rPr>
              <w:t>投标人存在串通投标或视为串通投标行为的，该投标人参与本次招标活动的所有标包将被否决，同时招标人将依据《国家电网有限公司供应商关系管理办法》规定进行后续处理</w:t>
            </w:r>
            <w:r>
              <w:rPr>
                <w:rFonts w:hint="eastAsia" w:ascii="宋体" w:hAnsi="宋体" w:eastAsia="宋体" w:cs="宋体"/>
                <w:color w:val="auto"/>
                <w:kern w:val="2"/>
                <w:sz w:val="21"/>
                <w:szCs w:val="21"/>
                <w:highlight w:val="none"/>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utoSpaceDE w:val="0"/>
              <w:autoSpaceDN w:val="0"/>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kern w:val="0"/>
                <w:szCs w:val="21"/>
                <w:highlight w:val="none"/>
                <w:lang w:eastAsia="en-US"/>
              </w:rPr>
              <w:t>8.3</w:t>
            </w:r>
          </w:p>
        </w:tc>
        <w:tc>
          <w:tcPr>
            <w:tcW w:w="1171" w:type="dxa"/>
            <w:vAlign w:val="center"/>
          </w:tcPr>
          <w:p>
            <w:pPr>
              <w:autoSpaceDE w:val="0"/>
              <w:autoSpaceDN w:val="0"/>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对评标委员会成员的纪律要求</w:t>
            </w:r>
          </w:p>
        </w:tc>
        <w:tc>
          <w:tcPr>
            <w:tcW w:w="6193" w:type="dxa"/>
            <w:vAlign w:val="center"/>
          </w:tcPr>
          <w:p>
            <w:pPr>
              <w:autoSpaceDE w:val="0"/>
              <w:autoSpaceDN w:val="0"/>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补充：</w:t>
            </w:r>
          </w:p>
          <w:p>
            <w:pPr>
              <w:autoSpaceDE w:val="0"/>
              <w:autoSpaceDN w:val="0"/>
              <w:adjustRightInd w:val="0"/>
              <w:snapToGrid w:val="0"/>
              <w:spacing w:before="120" w:beforeLines="50" w:after="120" w:afterLines="50"/>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不得向招标人征询其确定中标人的意向，不得接受任何单位或者个人明示或者暗示提出的倾向或者排斥特定投标人的要求</w:t>
            </w:r>
            <w:r>
              <w:rPr>
                <w:rFonts w:hint="eastAsia" w:ascii="宋体" w:hAnsi="宋体" w:eastAsia="宋体" w:cs="宋体"/>
                <w:color w:val="auto"/>
                <w:szCs w:val="21"/>
                <w:highlight w:val="none"/>
              </w:rPr>
              <w:t>，不得私下接触投标人，不得接受投标人的馈赠或其他好处</w:t>
            </w:r>
            <w:r>
              <w:rPr>
                <w:rFonts w:hint="eastAsia" w:ascii="宋体" w:hAnsi="宋体" w:eastAsia="宋体" w:cs="宋体"/>
                <w:color w:val="auto"/>
                <w:kern w:val="0"/>
                <w:szCs w:val="21"/>
                <w:highlight w:val="none"/>
              </w:rPr>
              <w:t>，不得有其他不客观、不公正履行职务的行为。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9</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是否采用电子招标投标</w:t>
            </w:r>
          </w:p>
        </w:tc>
        <w:tc>
          <w:tcPr>
            <w:tcW w:w="6193" w:type="dxa"/>
            <w:vAlign w:val="center"/>
          </w:tcPr>
          <w:p>
            <w:pPr>
              <w:pStyle w:val="28"/>
              <w:adjustRightInd w:val="0"/>
              <w:snapToGrid w:val="0"/>
              <w:spacing w:before="120" w:beforeLines="50" w:after="120" w:afterLines="5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kern w:val="0"/>
                <w:szCs w:val="21"/>
                <w:highlight w:val="none"/>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10</w:t>
            </w:r>
          </w:p>
        </w:tc>
        <w:tc>
          <w:tcPr>
            <w:tcW w:w="1171" w:type="dxa"/>
            <w:vAlign w:val="center"/>
          </w:tcPr>
          <w:p>
            <w:pPr>
              <w:adjustRightInd w:val="0"/>
              <w:snapToGrid w:val="0"/>
              <w:spacing w:before="120" w:beforeLines="50" w:after="120" w:afterLines="50"/>
              <w:jc w:val="center"/>
              <w:rPr>
                <w:rFonts w:hint="eastAsia" w:ascii="宋体" w:hAnsi="宋体" w:eastAsia="宋体" w:cs="宋体"/>
                <w:color w:val="auto"/>
                <w:kern w:val="0"/>
                <w:szCs w:val="21"/>
                <w:highlight w:val="none"/>
                <w:lang w:eastAsia="en-US"/>
              </w:rPr>
            </w:pPr>
            <w:r>
              <w:rPr>
                <w:rFonts w:hint="eastAsia" w:ascii="宋体" w:hAnsi="宋体" w:eastAsia="宋体" w:cs="宋体"/>
                <w:color w:val="auto"/>
                <w:kern w:val="0"/>
                <w:szCs w:val="21"/>
                <w:highlight w:val="none"/>
                <w:lang w:eastAsia="en-US"/>
              </w:rPr>
              <w:t>需要补充的其他内容</w:t>
            </w:r>
          </w:p>
        </w:tc>
        <w:tc>
          <w:tcPr>
            <w:tcW w:w="6193" w:type="dxa"/>
            <w:vAlign w:val="center"/>
          </w:tcPr>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1.重新招标</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有下列情形之一的，招标人在分析招标失败的原因并采取相应措施后，将重新招标：</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（1）投标截止时间止，提交价格投标文件的投标人少于3个的。</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（2）经评标委员会评审否决所有投标的，或者评标委员会否决一部分投标后其他有效投标不足3个使得投标明显缺乏竞争,决定否决全部投标的。</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2.不再招标</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重新招标后投标人仍少于3个或者所有投标被否决的，</w:t>
            </w:r>
            <w:r>
              <w:rPr>
                <w:rFonts w:hint="eastAsia" w:ascii="宋体" w:hAnsi="宋体" w:eastAsia="宋体" w:cs="宋体"/>
                <w:color w:val="auto"/>
                <w:sz w:val="21"/>
                <w:szCs w:val="21"/>
                <w:highlight w:val="none"/>
                <w:lang w:val="en-US"/>
              </w:rPr>
              <w:t>可以不再进行招标；（此为通常情况）</w:t>
            </w:r>
            <w:r>
              <w:rPr>
                <w:rFonts w:hint="eastAsia" w:ascii="宋体" w:hAnsi="宋体" w:eastAsia="宋体" w:cs="宋体"/>
                <w:color w:val="auto"/>
                <w:kern w:val="2"/>
                <w:sz w:val="21"/>
                <w:szCs w:val="21"/>
                <w:highlight w:val="none"/>
                <w:lang w:val="en-US"/>
              </w:rPr>
              <w:t>按国家有关规定需要履行审批、核准手续的依法必须进行招标的项目，报项目审批、核准部门审批、核准后可以不再进行招标。</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3.增值税税率</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bidi="zh-CN"/>
              </w:rPr>
              <w:t>投标人应按照国家规定税率填报增值税税率或征收率，投标人中标后，在合同履行期间应提供增值税专用发票原件，并按此进行合同结算，否则由此给项目单位造成的损失应由中标人承担。</w:t>
            </w:r>
            <w:r>
              <w:rPr>
                <w:rFonts w:hint="eastAsia" w:ascii="宋体" w:hAnsi="宋体" w:eastAsia="宋体" w:cs="宋体"/>
                <w:color w:val="auto"/>
                <w:kern w:val="2"/>
                <w:sz w:val="21"/>
                <w:szCs w:val="21"/>
                <w:highlight w:val="none"/>
                <w:lang w:val="en-US"/>
              </w:rPr>
              <w:t>若国家出台新的税收政策，则按新政策执行。小规模纳税人在投标文件中须提供为小规模纳税人的佐证材料。</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4.企业名称变更</w:t>
            </w:r>
          </w:p>
          <w:p>
            <w:pPr>
              <w:pStyle w:val="17"/>
              <w:spacing w:before="120" w:beforeLines="50" w:afterLines="50"/>
              <w:ind w:left="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凡资格业绩等证明文件中的公司名称与投标人名称不一致的，应提供投标人自述的企业名称变更原因说明、市场监督管理部门出具的‘名称变更证明’相关证明材料。</w:t>
            </w:r>
          </w:p>
          <w:p>
            <w:pPr>
              <w:pStyle w:val="17"/>
              <w:spacing w:before="120" w:beforeLines="50" w:afterLines="50"/>
              <w:ind w:left="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5.若本项目涉及农民工工资支付事宜，应严格执行《保障农民工工资支付条例》（国务院724号令）等国家有关法规，及时足额支付农民工工资。</w:t>
            </w:r>
          </w:p>
          <w:p>
            <w:pPr>
              <w:pStyle w:val="27"/>
              <w:spacing w:before="120" w:beforeLines="50" w:after="120" w:afterLines="50"/>
              <w:rPr>
                <w:rFonts w:hint="eastAsia" w:ascii="宋体" w:hAnsi="宋体" w:eastAsia="宋体" w:cs="宋体"/>
                <w:color w:val="auto"/>
                <w:kern w:val="2"/>
                <w:sz w:val="21"/>
                <w:szCs w:val="21"/>
                <w:highlight w:val="none"/>
                <w:lang w:val="en-US"/>
              </w:rPr>
            </w:pPr>
            <w:r>
              <w:rPr>
                <w:rFonts w:hint="eastAsia" w:ascii="宋体" w:hAnsi="宋体" w:eastAsia="宋体" w:cs="宋体"/>
                <w:color w:val="auto"/>
                <w:kern w:val="2"/>
                <w:sz w:val="21"/>
                <w:szCs w:val="21"/>
                <w:highlight w:val="none"/>
                <w:lang w:val="en-US"/>
              </w:rPr>
              <w:t>6.招标代理服务费</w:t>
            </w:r>
          </w:p>
          <w:p>
            <w:pPr>
              <w:autoSpaceDE w:val="0"/>
              <w:autoSpaceDN w:val="0"/>
              <w:spacing w:before="120" w:beforeLines="50" w:after="120" w:afterLine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（1）投标报价应包含招标代理服务费。</w:t>
            </w:r>
          </w:p>
          <w:p>
            <w:pPr>
              <w:keepNext/>
              <w:keepLines/>
              <w:pageBreakBefore w:val="0"/>
              <w:widowControl w:val="0"/>
              <w:kinsoku/>
              <w:wordWrap/>
              <w:overflowPunct/>
              <w:topLinePunct w:val="0"/>
              <w:autoSpaceDE w:val="0"/>
              <w:autoSpaceDN w:val="0"/>
              <w:bidi w:val="0"/>
              <w:spacing w:beforeLines="50" w:afterLines="5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（2）中标人应在《中标通知书》发出后5日内，一次性向招标代理机构</w:t>
            </w:r>
            <w:r>
              <w:rPr>
                <w:rFonts w:hint="eastAsia" w:ascii="宋体" w:hAnsi="宋体" w:eastAsia="宋体" w:cs="宋体"/>
                <w:strike w:val="0"/>
                <w:dstrike w:val="0"/>
                <w:color w:val="auto"/>
                <w:sz w:val="21"/>
                <w:szCs w:val="21"/>
                <w:highlight w:val="none"/>
                <w:lang w:val="en-US" w:eastAsia="zh-CN"/>
              </w:rPr>
              <w:t>交</w:t>
            </w:r>
            <w:r>
              <w:rPr>
                <w:rFonts w:hint="eastAsia" w:ascii="宋体" w:hAnsi="宋体" w:eastAsia="宋体" w:cs="宋体"/>
                <w:color w:val="auto"/>
                <w:sz w:val="21"/>
                <w:szCs w:val="21"/>
                <w:highlight w:val="none"/>
              </w:rPr>
              <w:t>纳招标代理服务费。招标代理服务费以包为单位收取，按差额定率累进法计算，收费标准见下表。</w:t>
            </w:r>
            <w:r>
              <w:rPr>
                <w:rFonts w:hint="eastAsia" w:ascii="宋体" w:hAnsi="宋体" w:eastAsia="宋体" w:cs="宋体"/>
                <w:color w:val="auto"/>
                <w:sz w:val="21"/>
                <w:szCs w:val="21"/>
                <w:highlight w:val="none"/>
                <w:lang w:val="en-US" w:eastAsia="zh-CN"/>
              </w:rPr>
              <w:t>投标人可登录BOSP系统自行下载招标代理服务费交费通知。</w:t>
            </w:r>
            <w:r>
              <w:rPr>
                <w:rFonts w:hint="eastAsia" w:ascii="宋体" w:hAnsi="宋体" w:eastAsia="宋体" w:cs="宋体"/>
                <w:b/>
                <w:bCs/>
                <w:color w:val="auto"/>
                <w:sz w:val="21"/>
                <w:szCs w:val="21"/>
                <w:highlight w:val="none"/>
                <w:lang w:val="en-US" w:eastAsia="zh-CN"/>
              </w:rPr>
              <w:t>通过电汇形式支付招标代理服务费。</w:t>
            </w:r>
            <w:r>
              <w:rPr>
                <w:rFonts w:hint="eastAsia" w:ascii="宋体" w:hAnsi="宋体" w:eastAsia="宋体" w:cs="宋体"/>
                <w:color w:val="auto"/>
                <w:sz w:val="21"/>
                <w:szCs w:val="21"/>
                <w:highlight w:val="none"/>
              </w:rPr>
              <w:t>如果中标人不按照招标文件规定</w:t>
            </w:r>
            <w:r>
              <w:rPr>
                <w:rFonts w:hint="eastAsia" w:ascii="宋体" w:hAnsi="宋体" w:eastAsia="宋体" w:cs="宋体"/>
                <w:strike w:val="0"/>
                <w:dstrike w:val="0"/>
                <w:color w:val="auto"/>
                <w:sz w:val="21"/>
                <w:szCs w:val="21"/>
                <w:highlight w:val="none"/>
                <w:lang w:val="en-US" w:eastAsia="zh-CN"/>
              </w:rPr>
              <w:t>交</w:t>
            </w:r>
            <w:r>
              <w:rPr>
                <w:rFonts w:hint="eastAsia" w:ascii="宋体" w:hAnsi="宋体" w:eastAsia="宋体" w:cs="宋体"/>
                <w:color w:val="auto"/>
                <w:sz w:val="21"/>
                <w:szCs w:val="21"/>
                <w:highlight w:val="none"/>
              </w:rPr>
              <w:t>纳招标代理服务费，投标人将承担由此导致的不利信用评价风险。</w:t>
            </w:r>
          </w:p>
          <w:p>
            <w:pPr>
              <w:widowControl/>
              <w:adjustRightInd w:val="0"/>
              <w:snapToGrid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招标代理服务收费标准（费率）</w:t>
            </w:r>
          </w:p>
          <w:tbl>
            <w:tblPr>
              <w:tblStyle w:val="19"/>
              <w:tblW w:w="6119" w:type="dxa"/>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39"/>
              <w:gridCol w:w="3480"/>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639" w:type="dxa"/>
                  <w:noWrap w:val="0"/>
                  <w:vAlign w:val="center"/>
                </w:tcPr>
                <w:p>
                  <w:pPr>
                    <w:keepNext w:val="0"/>
                    <w:keepLines w:val="0"/>
                    <w:suppressLineNumbers w:val="0"/>
                    <w:topLinePunct w:val="0"/>
                    <w:spacing w:before="0" w:beforeAutospacing="0" w:after="0" w:afterAutospacing="0"/>
                    <w:ind w:left="0" w:right="0"/>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中标金额（万元）</w:t>
                  </w:r>
                </w:p>
              </w:tc>
              <w:tc>
                <w:tcPr>
                  <w:tcW w:w="3480" w:type="dxa"/>
                  <w:noWrap w:val="0"/>
                  <w:vAlign w:val="center"/>
                </w:tcPr>
                <w:p>
                  <w:pPr>
                    <w:keepNext w:val="0"/>
                    <w:keepLines w:val="0"/>
                    <w:suppressLineNumbers w:val="0"/>
                    <w:topLinePunct w:val="0"/>
                    <w:spacing w:before="0" w:beforeAutospacing="0" w:after="0" w:afterAutospacing="0"/>
                    <w:ind w:left="0" w:right="0"/>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费率</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2639" w:type="dxa"/>
                  <w:tcBorders>
                    <w:top w:val="single" w:color="auto" w:sz="4" w:space="0"/>
                    <w:bottom w:val="single" w:color="auto" w:sz="4" w:space="0"/>
                    <w:right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 以下</w:t>
                  </w:r>
                </w:p>
              </w:tc>
              <w:tc>
                <w:tcPr>
                  <w:tcW w:w="3480" w:type="dxa"/>
                  <w:tcBorders>
                    <w:top w:val="single" w:color="auto" w:sz="4" w:space="0"/>
                    <w:left w:val="single" w:color="auto" w:sz="4" w:space="0"/>
                    <w:bottom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1.4400%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2639" w:type="dxa"/>
                  <w:tcBorders>
                    <w:top w:val="single" w:color="auto" w:sz="4" w:space="0"/>
                    <w:bottom w:val="single" w:color="auto" w:sz="4" w:space="0"/>
                    <w:right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100-500</w:t>
                  </w:r>
                </w:p>
              </w:tc>
              <w:tc>
                <w:tcPr>
                  <w:tcW w:w="3480" w:type="dxa"/>
                  <w:tcBorders>
                    <w:top w:val="single" w:color="auto" w:sz="4" w:space="0"/>
                    <w:left w:val="single" w:color="auto" w:sz="4" w:space="0"/>
                    <w:bottom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0.7680%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2639" w:type="dxa"/>
                  <w:tcBorders>
                    <w:top w:val="single" w:color="auto" w:sz="4" w:space="0"/>
                    <w:bottom w:val="single" w:color="auto" w:sz="4" w:space="0"/>
                    <w:right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500-1000</w:t>
                  </w:r>
                </w:p>
              </w:tc>
              <w:tc>
                <w:tcPr>
                  <w:tcW w:w="3480" w:type="dxa"/>
                  <w:tcBorders>
                    <w:top w:val="single" w:color="auto" w:sz="4" w:space="0"/>
                    <w:left w:val="single" w:color="auto" w:sz="4" w:space="0"/>
                    <w:bottom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0.4320%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2639" w:type="dxa"/>
                  <w:tcBorders>
                    <w:top w:val="single" w:color="auto" w:sz="4" w:space="0"/>
                    <w:bottom w:val="single" w:color="auto" w:sz="4" w:space="0"/>
                    <w:right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1000-5000</w:t>
                  </w:r>
                </w:p>
              </w:tc>
              <w:tc>
                <w:tcPr>
                  <w:tcW w:w="3480" w:type="dxa"/>
                  <w:tcBorders>
                    <w:top w:val="single" w:color="auto" w:sz="4" w:space="0"/>
                    <w:left w:val="single" w:color="auto" w:sz="4" w:space="0"/>
                    <w:bottom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0.2400%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17" w:hRule="atLeast"/>
                <w:jc w:val="center"/>
              </w:trPr>
              <w:tc>
                <w:tcPr>
                  <w:tcW w:w="2639" w:type="dxa"/>
                  <w:tcBorders>
                    <w:top w:val="single" w:color="auto" w:sz="4" w:space="0"/>
                    <w:bottom w:val="single" w:color="auto" w:sz="4" w:space="0"/>
                    <w:right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5000-10000</w:t>
                  </w:r>
                </w:p>
              </w:tc>
              <w:tc>
                <w:tcPr>
                  <w:tcW w:w="3480" w:type="dxa"/>
                  <w:tcBorders>
                    <w:top w:val="single" w:color="auto" w:sz="4" w:space="0"/>
                    <w:left w:val="single" w:color="auto" w:sz="4" w:space="0"/>
                    <w:bottom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0.0960%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2639" w:type="dxa"/>
                  <w:tcBorders>
                    <w:top w:val="single" w:color="auto" w:sz="4" w:space="0"/>
                    <w:bottom w:val="single" w:color="auto" w:sz="4" w:space="0"/>
                    <w:right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10000-100000</w:t>
                  </w:r>
                </w:p>
              </w:tc>
              <w:tc>
                <w:tcPr>
                  <w:tcW w:w="3480" w:type="dxa"/>
                  <w:tcBorders>
                    <w:top w:val="single" w:color="auto" w:sz="4" w:space="0"/>
                    <w:left w:val="single" w:color="auto" w:sz="4" w:space="0"/>
                    <w:bottom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0.0480%</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2639" w:type="dxa"/>
                  <w:tcBorders>
                    <w:top w:val="single" w:color="auto" w:sz="4" w:space="0"/>
                    <w:bottom w:val="double" w:color="auto" w:sz="4" w:space="0"/>
                    <w:right w:val="sing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100000 以上</w:t>
                  </w:r>
                </w:p>
              </w:tc>
              <w:tc>
                <w:tcPr>
                  <w:tcW w:w="3480" w:type="dxa"/>
                  <w:tcBorders>
                    <w:top w:val="single" w:color="auto" w:sz="4" w:space="0"/>
                    <w:left w:val="single" w:color="auto" w:sz="4" w:space="0"/>
                    <w:bottom w:val="double" w:color="auto" w:sz="4" w:space="0"/>
                  </w:tcBorders>
                  <w:noWrap w:val="0"/>
                  <w:vAlign w:val="center"/>
                </w:tcPr>
                <w:p>
                  <w:pPr>
                    <w:keepNext w:val="0"/>
                    <w:keepLines w:val="0"/>
                    <w:suppressLineNumbers w:val="0"/>
                    <w:topLinePunct w:val="0"/>
                    <w:spacing w:before="0" w:beforeAutospacing="0" w:after="0" w:afterAutospacing="0"/>
                    <w:ind w:left="0" w:right="0"/>
                    <w:jc w:val="righ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0.0096%</w:t>
                  </w:r>
                </w:p>
              </w:tc>
            </w:tr>
          </w:tbl>
          <w:p>
            <w:pPr>
              <w:pStyle w:val="17"/>
              <w:rPr>
                <w:rFonts w:hint="eastAsia"/>
                <w:color w:val="auto"/>
                <w:highlight w:val="none"/>
              </w:rPr>
            </w:pPr>
          </w:p>
          <w:p>
            <w:pPr>
              <w:pStyle w:val="17"/>
              <w:ind w:left="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（3）根据中标金额一次性向招标代理机构</w:t>
            </w:r>
            <w:r>
              <w:rPr>
                <w:rFonts w:hint="eastAsia" w:ascii="宋体" w:hAnsi="宋体" w:eastAsia="宋体" w:cs="宋体"/>
                <w:strike w:val="0"/>
                <w:dstrike w:val="0"/>
                <w:color w:val="auto"/>
                <w:sz w:val="21"/>
                <w:szCs w:val="21"/>
                <w:highlight w:val="none"/>
                <w:lang w:val="en-US" w:eastAsia="zh-CN"/>
              </w:rPr>
              <w:t>交</w:t>
            </w:r>
            <w:r>
              <w:rPr>
                <w:rFonts w:hint="eastAsia" w:ascii="宋体" w:hAnsi="宋体" w:eastAsia="宋体" w:cs="宋体"/>
                <w:color w:val="auto"/>
                <w:sz w:val="21"/>
                <w:szCs w:val="21"/>
                <w:highlight w:val="none"/>
              </w:rPr>
              <w:t>纳招标代理服务费，合同执行金额大于或小于中标金额，招标代理服务费均不做调整。</w:t>
            </w:r>
          </w:p>
          <w:p>
            <w:pPr>
              <w:pStyle w:val="18"/>
              <w:ind w:left="420" w:leftChars="0" w:hanging="420" w:hangingChars="200"/>
              <w:jc w:val="both"/>
              <w:rPr>
                <w:rFonts w:hint="eastAsia" w:ascii="宋体" w:hAnsi="宋体" w:eastAsia="宋体" w:cs="宋体"/>
                <w:b/>
                <w:bCs/>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w:t>
            </w:r>
            <w:r>
              <w:rPr>
                <w:rFonts w:hint="eastAsia" w:ascii="宋体" w:hAnsi="宋体" w:cs="宋体"/>
                <w:color w:val="auto"/>
                <w:kern w:val="2"/>
                <w:sz w:val="21"/>
                <w:szCs w:val="21"/>
                <w:highlight w:val="none"/>
                <w:lang w:val="en-US" w:eastAsia="zh-CN" w:bidi="ar-SA"/>
              </w:rPr>
              <w:t>4</w:t>
            </w:r>
            <w:r>
              <w:rPr>
                <w:rFonts w:hint="eastAsia" w:ascii="宋体" w:hAnsi="宋体" w:eastAsia="宋体" w:cs="宋体"/>
                <w:color w:val="auto"/>
                <w:kern w:val="2"/>
                <w:sz w:val="21"/>
                <w:szCs w:val="21"/>
                <w:highlight w:val="none"/>
                <w:lang w:val="en-US" w:eastAsia="zh-CN" w:bidi="ar-SA"/>
              </w:rPr>
              <w:t>）招标代理机构银行账户信息：</w:t>
            </w:r>
            <w:r>
              <w:rPr>
                <w:rFonts w:hint="eastAsia" w:ascii="宋体" w:hAnsi="宋体" w:eastAsia="宋体" w:cs="宋体"/>
                <w:color w:val="auto"/>
                <w:kern w:val="2"/>
                <w:sz w:val="21"/>
                <w:szCs w:val="21"/>
                <w:highlight w:val="none"/>
                <w:lang w:val="en-US" w:eastAsia="zh-CN" w:bidi="ar-SA"/>
              </w:rPr>
              <w:br w:type="textWrapping"/>
            </w:r>
            <w:r>
              <w:rPr>
                <w:rFonts w:hint="eastAsia" w:ascii="宋体" w:hAnsi="宋体" w:eastAsia="宋体" w:cs="宋体"/>
                <w:b/>
                <w:bCs/>
                <w:color w:val="auto"/>
                <w:kern w:val="2"/>
                <w:sz w:val="21"/>
                <w:szCs w:val="21"/>
                <w:highlight w:val="none"/>
                <w:lang w:val="en-US" w:eastAsia="zh-CN" w:bidi="ar-SA"/>
              </w:rPr>
              <w:t>招标代理服务费汇款账户：</w:t>
            </w:r>
          </w:p>
          <w:p>
            <w:pPr>
              <w:pStyle w:val="18"/>
              <w:ind w:left="0" w:leftChars="0" w:firstLine="422" w:firstLineChars="200"/>
              <w:jc w:val="both"/>
              <w:rPr>
                <w:rFonts w:hint="eastAsia" w:ascii="宋体" w:hAnsi="宋体" w:eastAsia="宋体" w:cs="宋体"/>
                <w:b/>
                <w:bCs/>
                <w:color w:val="auto"/>
                <w:kern w:val="2"/>
                <w:sz w:val="21"/>
                <w:szCs w:val="21"/>
                <w:highlight w:val="none"/>
                <w:lang w:val="en-US" w:eastAsia="zh-CN" w:bidi="ar-SA"/>
              </w:rPr>
            </w:pPr>
            <w:r>
              <w:rPr>
                <w:rFonts w:hint="eastAsia" w:ascii="宋体" w:hAnsi="宋体" w:eastAsia="宋体" w:cs="宋体"/>
                <w:b/>
                <w:bCs/>
                <w:color w:val="auto"/>
                <w:kern w:val="2"/>
                <w:sz w:val="21"/>
                <w:szCs w:val="21"/>
                <w:highlight w:val="none"/>
                <w:lang w:val="en-US" w:eastAsia="zh-CN" w:bidi="ar-SA"/>
              </w:rPr>
              <w:t>开户银行：中国工商银行北京中电财支行</w:t>
            </w:r>
          </w:p>
          <w:p>
            <w:pPr>
              <w:pStyle w:val="18"/>
              <w:ind w:left="0" w:leftChars="0" w:firstLine="422" w:firstLineChars="200"/>
              <w:jc w:val="both"/>
              <w:rPr>
                <w:rFonts w:hint="eastAsia" w:ascii="宋体" w:hAnsi="宋体" w:eastAsia="宋体" w:cs="宋体"/>
                <w:b/>
                <w:bCs/>
                <w:color w:val="auto"/>
                <w:kern w:val="2"/>
                <w:sz w:val="21"/>
                <w:szCs w:val="21"/>
                <w:highlight w:val="none"/>
                <w:lang w:val="en-US" w:eastAsia="zh-CN" w:bidi="ar-SA"/>
              </w:rPr>
            </w:pPr>
            <w:r>
              <w:rPr>
                <w:rFonts w:hint="eastAsia" w:ascii="宋体" w:hAnsi="宋体" w:eastAsia="宋体" w:cs="宋体"/>
                <w:b/>
                <w:bCs/>
                <w:color w:val="auto"/>
                <w:kern w:val="2"/>
                <w:sz w:val="21"/>
                <w:szCs w:val="21"/>
                <w:highlight w:val="none"/>
                <w:lang w:val="en-US" w:eastAsia="zh-CN" w:bidi="ar-SA"/>
              </w:rPr>
              <w:t>账号：0200337419100008210</w:t>
            </w:r>
          </w:p>
          <w:p>
            <w:pPr>
              <w:pStyle w:val="18"/>
              <w:ind w:left="0" w:leftChars="0" w:firstLine="422" w:firstLineChars="200"/>
              <w:jc w:val="both"/>
              <w:rPr>
                <w:rFonts w:hint="eastAsia" w:ascii="宋体" w:hAnsi="宋体" w:eastAsia="宋体" w:cs="宋体"/>
                <w:b/>
                <w:bCs/>
                <w:color w:val="auto"/>
                <w:kern w:val="2"/>
                <w:sz w:val="21"/>
                <w:szCs w:val="21"/>
                <w:highlight w:val="none"/>
                <w:lang w:val="en-US"/>
              </w:rPr>
            </w:pPr>
            <w:r>
              <w:rPr>
                <w:rFonts w:hint="eastAsia" w:ascii="宋体" w:hAnsi="宋体" w:eastAsia="宋体" w:cs="宋体"/>
                <w:b/>
                <w:bCs/>
                <w:color w:val="auto"/>
                <w:kern w:val="2"/>
                <w:sz w:val="21"/>
                <w:szCs w:val="21"/>
                <w:highlight w:val="none"/>
                <w:lang w:val="en-US" w:eastAsia="zh-CN" w:bidi="ar-SA"/>
              </w:rPr>
              <w:t>收款人名称：国网物资有限公司</w:t>
            </w:r>
          </w:p>
          <w:p>
            <w:pPr>
              <w:pStyle w:val="17"/>
              <w:spacing w:before="120" w:beforeLines="50" w:afterLines="50"/>
              <w:ind w:left="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离线投标工具将通过技术手段自动获取投标文件编制时使用的计算机硬件信息（包括计算机网卡MAC地址、CPU序列号和硬盘序列号），并在生成的投标文件中显示。获取的计算机硬件信息将仅用于本次评审过程，投标人应知悉并允许。</w:t>
            </w:r>
          </w:p>
          <w:p>
            <w:pPr>
              <w:pStyle w:val="17"/>
              <w:spacing w:before="120" w:beforeLines="50" w:afterLines="50"/>
              <w:ind w:left="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投标人应做到，一是放开文件编制计算机的相关防护设置，以保证投标工具正常获取相关信息；二是避免将与投标无关的保密信息存放于投标用计算机中，避免相应保密信息的泄露。</w:t>
            </w:r>
          </w:p>
          <w:p>
            <w:pPr>
              <w:pStyle w:val="18"/>
              <w:numPr>
                <w:ilvl w:val="0"/>
                <w:numId w:val="4"/>
              </w:numPr>
              <w:tabs>
                <w:tab w:val="left" w:pos="0"/>
              </w:tabs>
              <w:ind w:left="0"/>
              <w:jc w:val="both"/>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中标人不得承接国家电网有限公司招标采购产品其他供应商的贴牌代工及任何分包（招标文件中允许外购外协的除外）、转包，否则将根据《国家电网有限公司供应商关系管理办法》进行相应处理</w:t>
            </w:r>
            <w:r>
              <w:rPr>
                <w:rFonts w:hint="eastAsia" w:ascii="宋体" w:hAnsi="宋体" w:eastAsia="宋体" w:cs="宋体"/>
                <w:color w:val="auto"/>
                <w:szCs w:val="21"/>
                <w:highlight w:val="none"/>
                <w:lang w:eastAsia="zh-CN"/>
              </w:rPr>
              <w:t>。</w:t>
            </w:r>
          </w:p>
          <w:p>
            <w:pPr>
              <w:tabs>
                <w:tab w:val="left" w:pos="0"/>
                <w:tab w:val="left" w:pos="312"/>
              </w:tabs>
              <w:rPr>
                <w:rFonts w:hint="eastAsia"/>
                <w:color w:val="auto"/>
                <w:highlight w:val="none"/>
                <w:lang w:eastAsia="zh-CN"/>
              </w:rPr>
            </w:pPr>
          </w:p>
          <w:p>
            <w:pPr>
              <w:numPr>
                <w:ilvl w:val="0"/>
                <w:numId w:val="4"/>
              </w:numPr>
              <w:tabs>
                <w:tab w:val="left" w:pos="0"/>
              </w:tabs>
              <w:rPr>
                <w:rFonts w:hint="eastAsia"/>
                <w:b/>
                <w:bCs/>
                <w:color w:val="auto"/>
                <w:highlight w:val="none"/>
              </w:rPr>
            </w:pPr>
            <w:r>
              <w:rPr>
                <w:rFonts w:hint="eastAsia" w:ascii="宋体" w:hAnsi="宋体" w:eastAsia="宋体" w:cs="宋体"/>
                <w:b/>
                <w:bCs/>
                <w:color w:val="auto"/>
                <w:sz w:val="21"/>
                <w:szCs w:val="21"/>
                <w:highlight w:val="none"/>
              </w:rPr>
              <w:t>投标人应如实按照第</w:t>
            </w:r>
            <w:r>
              <w:rPr>
                <w:rFonts w:hint="eastAsia" w:ascii="宋体" w:hAnsi="宋体" w:cs="宋体"/>
                <w:b/>
                <w:bCs/>
                <w:color w:val="auto"/>
                <w:sz w:val="21"/>
                <w:szCs w:val="21"/>
                <w:highlight w:val="none"/>
                <w:lang w:val="en-US" w:eastAsia="zh-CN"/>
              </w:rPr>
              <w:t>六</w:t>
            </w:r>
            <w:r>
              <w:rPr>
                <w:rFonts w:hint="eastAsia" w:ascii="宋体" w:hAnsi="宋体" w:eastAsia="宋体" w:cs="宋体"/>
                <w:b/>
                <w:bCs/>
                <w:color w:val="auto"/>
                <w:sz w:val="21"/>
                <w:szCs w:val="21"/>
                <w:highlight w:val="none"/>
              </w:rPr>
              <w:t>章投标文件格式（三）商务文件</w:t>
            </w:r>
            <w:r>
              <w:rPr>
                <w:rFonts w:hint="eastAsia" w:ascii="宋体" w:hAnsi="宋体" w:cs="宋体"/>
                <w:b/>
                <w:bCs/>
                <w:color w:val="auto"/>
                <w:sz w:val="21"/>
                <w:szCs w:val="21"/>
                <w:highlight w:val="none"/>
                <w:lang w:val="en-US" w:eastAsia="zh-CN"/>
              </w:rPr>
              <w:t>中</w:t>
            </w:r>
            <w:r>
              <w:rPr>
                <w:rFonts w:hint="eastAsia" w:ascii="宋体" w:hAnsi="宋体" w:eastAsia="宋体" w:cs="宋体"/>
                <w:b/>
                <w:bCs/>
                <w:color w:val="auto"/>
                <w:sz w:val="21"/>
                <w:szCs w:val="21"/>
                <w:highlight w:val="none"/>
              </w:rPr>
              <w:t>投标人与国家电网公司系统人员关系说明，提交其法人、出资人、高管中是否存在国家电网公司系统在职、离职、退休人员，以及上述人员亲属的情况说明。未提交说明的，将进行否决处理。</w:t>
            </w:r>
          </w:p>
          <w:p>
            <w:pPr>
              <w:adjustRightInd w:val="0"/>
              <w:snapToGrid w:val="0"/>
              <w:spacing w:before="120" w:beforeLines="50" w:after="120" w:afterLines="50"/>
              <w:rPr>
                <w:rFonts w:hint="eastAsia" w:ascii="宋体" w:hAnsi="宋体" w:eastAsia="宋体" w:cs="宋体"/>
                <w:color w:val="auto"/>
                <w:szCs w:val="21"/>
                <w:highlight w:val="none"/>
                <w:lang w:val="zh-CN" w:bidi="zh-CN"/>
              </w:rPr>
            </w:pPr>
            <w:r>
              <w:rPr>
                <w:rFonts w:hint="eastAsia" w:ascii="宋体" w:hAnsi="宋体" w:cs="宋体"/>
                <w:color w:val="auto"/>
                <w:szCs w:val="21"/>
                <w:highlight w:val="none"/>
                <w:lang w:val="en-US" w:bidi="zh-CN"/>
              </w:rPr>
              <w:t>10</w:t>
            </w:r>
            <w:r>
              <w:rPr>
                <w:rFonts w:hint="eastAsia" w:ascii="宋体" w:hAnsi="宋体" w:eastAsia="宋体" w:cs="宋体"/>
                <w:color w:val="auto"/>
                <w:szCs w:val="21"/>
                <w:highlight w:val="none"/>
                <w:lang w:bidi="zh-CN"/>
              </w:rPr>
              <w:t>.</w:t>
            </w:r>
            <w:r>
              <w:rPr>
                <w:rFonts w:hint="eastAsia" w:ascii="宋体" w:hAnsi="宋体" w:eastAsia="宋体" w:cs="宋体"/>
                <w:color w:val="auto"/>
                <w:szCs w:val="21"/>
                <w:highlight w:val="none"/>
                <w:lang w:val="zh-CN" w:bidi="zh-CN"/>
              </w:rPr>
              <w:t>为保证评标委员会推荐的中标候选人（含外购外协供应商）具有履约能力，招标人有权对推荐的中标候选人（含外购外协供应商）的投标信息真实性和是否具有投标产品的生产能力进行核实，经核实不具备生产投标产品所需的生产能力的，取消中标资格。对不配合核实工作或经核实提供虚假投标信息的，取消中标资格，并纳入供应商不良行为处理。</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shd w:val="clear" w:fill="FFFFFF" w:themeFill="background1"/>
                <w:lang w:val="en-US" w:eastAsia="zh-CN"/>
              </w:rPr>
              <w:t>1</w:t>
            </w:r>
            <w:r>
              <w:rPr>
                <w:rFonts w:hint="eastAsia" w:ascii="宋体" w:hAnsi="宋体" w:cs="宋体"/>
                <w:color w:val="auto"/>
                <w:szCs w:val="21"/>
                <w:highlight w:val="none"/>
                <w:shd w:val="clear" w:fill="FFFFFF" w:themeFill="background1"/>
                <w:lang w:val="en-US" w:eastAsia="zh-CN"/>
              </w:rPr>
              <w:t>1</w:t>
            </w:r>
            <w:r>
              <w:rPr>
                <w:rFonts w:hint="eastAsia" w:ascii="宋体" w:hAnsi="宋体" w:eastAsia="宋体" w:cs="宋体"/>
                <w:color w:val="auto"/>
                <w:szCs w:val="21"/>
                <w:highlight w:val="none"/>
                <w:shd w:val="clear" w:fill="FFFFFF" w:themeFill="background1"/>
                <w:lang w:val="en-US" w:eastAsia="zh-CN"/>
              </w:rPr>
              <w:t>.</w:t>
            </w:r>
            <w:r>
              <w:rPr>
                <w:rFonts w:hint="eastAsia" w:ascii="宋体" w:hAnsi="宋体" w:eastAsia="宋体" w:cs="宋体"/>
                <w:color w:val="auto"/>
                <w:szCs w:val="21"/>
                <w:highlight w:val="none"/>
              </w:rPr>
              <w:t>电子投标文件（上传招标人招投标交易平台信息系统）编制要求：</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（1）按招标人招投标交易平台信息系统操作要求进行上传。投标人单个标包内上传的电子投标文件容量不能超过：商务文件10M，价格文件30M，技术文件60M。</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2）需分别完成价格文件、商务文件、技术文件的电子签章，投标工具默认盖章至文件首页，其中，第六章投标文件格式中明确标明签字或盖章的文件，应打印并进行线下签字或盖章，然后以图片格式插入编制的文件中。</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文件的签署应能通过招标人招投标交易平台信息系统投标工具的校验。第六章投标文件格式中提供了格式文件的，投标人应按格式进行编制。对上述格式文件进行实质性修改或未按格式进行签署的文件，视为无效文件。</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（3）投标人可参考如下制作和压缩方式缩小投标文件容量：</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1)投标人按照第六章投标文件格式规定的目录仅提交必需的文件。</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2)无需证明材料的投标部分，尽可能使用文字编辑，避免扫描图片。</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3)优先使用黑白图片，分辨率为1024*768，更大尺寸图纸按比例适量增加。</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4)图片压缩按照分辨率为150ppi/96ppi进行普通画质压缩，辅助使用OFFICE批量压缩工具。</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5)投标人按照压缩建议生成的文件以满足屏幕清晰阅读即可，8-10张A4纸张大小图片应控制大小至1M以内。</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6)对于图片类文件，可使用压缩软件进行压缩后插入WORD中上传系统，WORD中插入页面方向应为纵向。</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7)可编辑文件应保存为docx或xlsx格式。</w:t>
            </w:r>
          </w:p>
          <w:p>
            <w:pPr>
              <w:adjustRightInd w:val="0"/>
              <w:snapToGrid w:val="0"/>
              <w:spacing w:before="120" w:beforeLines="50" w:after="120" w:afterLine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shd w:val="clear" w:fill="FFFFFF" w:themeFill="background1"/>
              </w:rPr>
              <w:t>1</w:t>
            </w:r>
            <w:r>
              <w:rPr>
                <w:rFonts w:hint="eastAsia" w:ascii="宋体" w:hAnsi="宋体" w:cs="宋体"/>
                <w:color w:val="auto"/>
                <w:szCs w:val="21"/>
                <w:highlight w:val="none"/>
                <w:shd w:val="clear" w:fill="FFFFFF" w:themeFill="background1"/>
                <w:lang w:val="en-US" w:eastAsia="zh-CN"/>
              </w:rPr>
              <w:t>2</w:t>
            </w:r>
            <w:r>
              <w:rPr>
                <w:rFonts w:hint="eastAsia" w:ascii="宋体" w:hAnsi="宋体" w:eastAsia="宋体" w:cs="宋体"/>
                <w:color w:val="auto"/>
                <w:szCs w:val="21"/>
                <w:highlight w:val="none"/>
              </w:rPr>
              <w:t>.网盘文件（如有）按以下要求上传：</w:t>
            </w:r>
          </w:p>
          <w:p>
            <w:pPr>
              <w:adjustRightInd w:val="0"/>
              <w:snapToGrid w:val="0"/>
              <w:spacing w:before="120" w:beforeLines="50" w:after="120" w:afterLine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1）技术补充文件以分包为单位，商务补充文件以分标为单位，</w:t>
            </w:r>
            <w:r>
              <w:rPr>
                <w:rFonts w:hint="eastAsia" w:ascii="宋体" w:hAnsi="宋体" w:eastAsia="宋体" w:cs="宋体"/>
                <w:b/>
                <w:bCs/>
                <w:color w:val="auto"/>
                <w:szCs w:val="21"/>
                <w:highlight w:val="none"/>
              </w:rPr>
              <w:t>分别打包</w:t>
            </w:r>
            <w:r>
              <w:rPr>
                <w:rFonts w:hint="eastAsia" w:ascii="宋体" w:hAnsi="宋体" w:eastAsia="宋体" w:cs="宋体"/>
                <w:color w:val="auto"/>
                <w:szCs w:val="21"/>
                <w:highlight w:val="none"/>
              </w:rPr>
              <w:t>成一个压缩文件（压缩包仅支持zip格式），批量勾选所投标包加密提交。压缩包内目录结构参照第六章投标文件格式目录进行编制。</w:t>
            </w:r>
          </w:p>
          <w:p>
            <w:pPr>
              <w:adjustRightInd w:val="0"/>
              <w:snapToGrid w:val="0"/>
              <w:spacing w:before="120" w:beforeLines="50" w:after="120" w:afterLines="5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2）加密后的单个文件大小须小于1G。请各投标人在保证内容清晰识别的前提下，优化压缩方式或精简文件，将大小控制在范围内。</w:t>
            </w:r>
          </w:p>
          <w:p>
            <w:pPr>
              <w:pStyle w:val="17"/>
              <w:spacing w:before="120" w:beforeLines="50" w:afterLines="50"/>
              <w:ind w:left="0" w:firstLine="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对于网盘内不可读取的文件将不作评审；对于网盘投标文件提交不完整的后果由投标人自行承担。招投标交易平台信息系统上的电子投标文件与网盘文件内容不一致时以招投标交易平台信息系统上的内容为准。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056"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11</w:t>
            </w:r>
          </w:p>
        </w:tc>
        <w:tc>
          <w:tcPr>
            <w:tcW w:w="1171" w:type="dxa"/>
            <w:vAlign w:val="center"/>
          </w:tcPr>
          <w:p>
            <w:pPr>
              <w:keepNext/>
              <w:keepLines/>
              <w:pageBreakBefore w:val="0"/>
              <w:widowControl w:val="0"/>
              <w:kinsoku/>
              <w:wordWrap/>
              <w:overflowPunct/>
              <w:topLinePunct w:val="0"/>
              <w:autoSpaceDE w:val="0"/>
              <w:autoSpaceDN w:val="0"/>
              <w:bidi w:val="0"/>
              <w:adjustRightInd w:val="0"/>
              <w:snapToGrid w:val="0"/>
              <w:spacing w:beforeLines="50" w:afterLines="50"/>
              <w:jc w:val="center"/>
              <w:textAlignment w:val="auto"/>
              <w:rPr>
                <w:rFonts w:hint="eastAsia" w:ascii="宋体" w:hAnsi="宋体" w:eastAsia="宋体" w:cs="宋体"/>
                <w:color w:val="auto"/>
                <w:kern w:val="0"/>
                <w:sz w:val="21"/>
                <w:szCs w:val="21"/>
                <w:highlight w:val="none"/>
                <w:lang w:val="en-US" w:eastAsia="en-US" w:bidi="ar-SA"/>
              </w:rPr>
            </w:pPr>
            <w:r>
              <w:rPr>
                <w:rFonts w:hint="eastAsia" w:ascii="宋体" w:hAnsi="宋体" w:eastAsia="宋体" w:cs="宋体"/>
                <w:color w:val="auto"/>
                <w:kern w:val="0"/>
                <w:sz w:val="21"/>
                <w:szCs w:val="21"/>
                <w:highlight w:val="none"/>
                <w:lang w:eastAsia="en-US"/>
              </w:rPr>
              <w:t>需要补充的其他内容</w:t>
            </w:r>
          </w:p>
        </w:tc>
        <w:tc>
          <w:tcPr>
            <w:tcW w:w="6193" w:type="dxa"/>
            <w:vAlign w:val="center"/>
          </w:tcPr>
          <w:p>
            <w:pPr>
              <w:autoSpaceDE/>
              <w:autoSpaceDN/>
              <w:adjustRightInd w:val="0"/>
              <w:snapToGrid w:val="0"/>
              <w:jc w:val="both"/>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lang w:eastAsia="zh-CN"/>
              </w:rPr>
              <w:t>.投标人失信情况以评标委员会于开标当日在“信用中国”网站（网址www.creditchina.gov.cn）查询结果为准。联合体投标的，对所有成员方进行失信记录查询。</w:t>
            </w:r>
          </w:p>
          <w:p>
            <w:pPr>
              <w:autoSpaceDE/>
              <w:autoSpaceDN/>
              <w:adjustRightInd w:val="0"/>
              <w:snapToGrid w:val="0"/>
              <w:jc w:val="both"/>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lang w:eastAsia="zh-CN"/>
              </w:rPr>
              <w:t>.</w:t>
            </w:r>
            <w:r>
              <w:rPr>
                <w:rFonts w:hint="eastAsia" w:ascii="宋体" w:hAnsi="宋体" w:cs="宋体"/>
                <w:color w:val="auto"/>
                <w:sz w:val="21"/>
                <w:szCs w:val="21"/>
                <w:highlight w:val="none"/>
                <w:lang w:val="en-US" w:eastAsia="zh-CN"/>
              </w:rPr>
              <w:t>第一章招标公告中，对项目关键人员有</w:t>
            </w:r>
            <w:r>
              <w:rPr>
                <w:rFonts w:hint="eastAsia" w:ascii="宋体" w:hAnsi="宋体" w:eastAsia="宋体" w:cs="宋体"/>
                <w:color w:val="auto"/>
                <w:sz w:val="21"/>
                <w:szCs w:val="21"/>
                <w:highlight w:val="none"/>
                <w:lang w:val="en-US" w:eastAsia="zh-CN"/>
              </w:rPr>
              <w:t>不得兼任要求的分标</w:t>
            </w:r>
            <w:r>
              <w:rPr>
                <w:rFonts w:hint="eastAsia" w:ascii="宋体" w:hAnsi="宋体" w:eastAsia="宋体" w:cs="宋体"/>
                <w:b/>
                <w:bCs/>
                <w:color w:val="auto"/>
                <w:sz w:val="21"/>
                <w:szCs w:val="21"/>
                <w:highlight w:val="none"/>
                <w:lang w:val="en-US" w:eastAsia="zh-CN"/>
              </w:rPr>
              <w:t>，</w:t>
            </w:r>
            <w:r>
              <w:rPr>
                <w:rFonts w:hint="eastAsia" w:ascii="宋体" w:hAnsi="宋体" w:eastAsia="宋体" w:cs="宋体"/>
                <w:color w:val="auto"/>
                <w:sz w:val="21"/>
                <w:szCs w:val="21"/>
                <w:highlight w:val="none"/>
                <w:lang w:eastAsia="zh-CN"/>
              </w:rPr>
              <w:t>投标人应按招标文件格式要求出具项目负责人</w:t>
            </w:r>
            <w:r>
              <w:rPr>
                <w:rFonts w:hint="eastAsia" w:ascii="宋体" w:hAnsi="宋体" w:eastAsia="宋体" w:cs="宋体"/>
                <w:b/>
                <w:bCs/>
                <w:color w:val="auto"/>
                <w:sz w:val="21"/>
                <w:szCs w:val="21"/>
                <w:highlight w:val="none"/>
                <w:lang w:eastAsia="zh-CN"/>
              </w:rPr>
              <w:t>《项目关键人员配置承诺函》并编入商务投标文件中</w:t>
            </w:r>
            <w:r>
              <w:rPr>
                <w:rFonts w:hint="eastAsia" w:ascii="宋体" w:hAnsi="宋体" w:eastAsia="宋体" w:cs="宋体"/>
                <w:color w:val="auto"/>
                <w:sz w:val="21"/>
                <w:szCs w:val="21"/>
                <w:highlight w:val="none"/>
                <w:lang w:eastAsia="zh-CN"/>
              </w:rPr>
              <w:t>（格式详见第</w:t>
            </w:r>
            <w:r>
              <w:rPr>
                <w:rFonts w:hint="eastAsia" w:ascii="宋体" w:hAnsi="宋体" w:eastAsia="宋体" w:cs="宋体"/>
                <w:color w:val="auto"/>
                <w:sz w:val="21"/>
                <w:szCs w:val="21"/>
                <w:highlight w:val="none"/>
                <w:lang w:val="en-US" w:eastAsia="zh-CN"/>
              </w:rPr>
              <w:t>六</w:t>
            </w:r>
            <w:r>
              <w:rPr>
                <w:rFonts w:hint="eastAsia" w:ascii="宋体" w:hAnsi="宋体" w:eastAsia="宋体" w:cs="宋体"/>
                <w:color w:val="auto"/>
                <w:sz w:val="21"/>
                <w:szCs w:val="21"/>
                <w:highlight w:val="none"/>
                <w:lang w:eastAsia="zh-CN"/>
              </w:rPr>
              <w:t>章投标文件格式），</w:t>
            </w:r>
            <w:r>
              <w:rPr>
                <w:rFonts w:hint="eastAsia" w:ascii="宋体" w:hAnsi="宋体" w:eastAsia="宋体" w:cs="宋体"/>
                <w:b/>
                <w:bCs/>
                <w:color w:val="auto"/>
                <w:sz w:val="21"/>
                <w:szCs w:val="21"/>
                <w:highlight w:val="none"/>
                <w:lang w:eastAsia="zh-CN"/>
              </w:rPr>
              <w:t>未出具的或未按格式出具的所投标包作否决处理</w:t>
            </w:r>
            <w:r>
              <w:rPr>
                <w:rFonts w:hint="eastAsia" w:ascii="宋体" w:hAnsi="宋体" w:eastAsia="宋体" w:cs="宋体"/>
                <w:color w:val="auto"/>
                <w:sz w:val="21"/>
                <w:szCs w:val="21"/>
                <w:highlight w:val="none"/>
                <w:lang w:eastAsia="zh-CN"/>
              </w:rPr>
              <w:t>。</w:t>
            </w:r>
          </w:p>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可研及勘察设计项目，</w:t>
            </w:r>
            <w:r>
              <w:rPr>
                <w:rFonts w:hint="eastAsia" w:ascii="宋体" w:hAnsi="宋体" w:eastAsia="宋体" w:cs="宋体"/>
                <w:color w:val="auto"/>
                <w:sz w:val="21"/>
                <w:szCs w:val="21"/>
                <w:highlight w:val="none"/>
              </w:rPr>
              <w:t>招标人或项目单位和中标人分别签订可行性研究合同与勘察设计合同。</w:t>
            </w:r>
          </w:p>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4.自</w:t>
            </w:r>
            <w:r>
              <w:rPr>
                <w:rFonts w:hint="eastAsia" w:ascii="宋体" w:hAnsi="宋体" w:eastAsia="宋体" w:cs="宋体"/>
                <w:color w:val="auto"/>
                <w:sz w:val="21"/>
                <w:szCs w:val="21"/>
                <w:highlight w:val="none"/>
              </w:rPr>
              <w:t>2023年7月1日起，招标人为国家电网有限公司的特高压招标采购项目执行投标报价异常一致情况监控预警，对同一投标人组合出现</w:t>
            </w:r>
            <w:r>
              <w:rPr>
                <w:rFonts w:hint="eastAsia" w:ascii="宋体" w:hAnsi="宋体" w:eastAsia="宋体" w:cs="宋体"/>
                <w:b/>
                <w:bCs/>
                <w:color w:val="auto"/>
                <w:sz w:val="21"/>
                <w:szCs w:val="21"/>
                <w:highlight w:val="none"/>
              </w:rPr>
              <w:t>同一标包投标总价完全一致</w:t>
            </w:r>
            <w:r>
              <w:rPr>
                <w:rFonts w:hint="eastAsia" w:ascii="宋体" w:hAnsi="宋体" w:eastAsia="宋体" w:cs="宋体"/>
                <w:color w:val="auto"/>
                <w:sz w:val="21"/>
                <w:szCs w:val="21"/>
                <w:highlight w:val="none"/>
              </w:rPr>
              <w:t>的情况进行统计并累加，当达到一定监控指标时，</w:t>
            </w:r>
            <w:r>
              <w:rPr>
                <w:rFonts w:hint="eastAsia" w:ascii="宋体" w:hAnsi="宋体" w:eastAsia="宋体" w:cs="宋体"/>
                <w:b/>
                <w:bCs/>
                <w:color w:val="auto"/>
                <w:sz w:val="21"/>
                <w:szCs w:val="21"/>
                <w:highlight w:val="none"/>
              </w:rPr>
              <w:t>对相应投标人组合进行扣减商务分</w:t>
            </w:r>
            <w:r>
              <w:rPr>
                <w:rFonts w:hint="eastAsia" w:ascii="宋体" w:hAnsi="宋体" w:eastAsia="宋体" w:cs="宋体"/>
                <w:color w:val="auto"/>
                <w:sz w:val="21"/>
                <w:szCs w:val="21"/>
                <w:highlight w:val="none"/>
              </w:rPr>
              <w:t>，具体规则如下：</w:t>
            </w:r>
          </w:p>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对于满足以下任一条件的投标人组合：①价格一致情况累计出现3包次及以上；②连续2个批次出现价格一致情况。处理方式：该投标人组合中的各方在当批该组合出现价格一致情况的分标中扣减商务分，扣减分值为每出现一包次价格一致情况扣5分（计算该组合累计包次），封顶20分。</w:t>
            </w:r>
          </w:p>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备注：</w:t>
            </w:r>
          </w:p>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①“投标人组合”：任意2家及以上投标人构成1个投标人组合；</w:t>
            </w:r>
          </w:p>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②“价格一致情况”：不同投标人针对同一标包的投标总价完全一致；</w:t>
            </w:r>
          </w:p>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③“连续X个批次”：开标日期为同一日的特高压项目视为1个批次。对于同一投标人组合，开标日期不同且中间该组合未同时投标其他特高压/数字化项目的批次视为</w:t>
            </w:r>
            <w:r>
              <w:rPr>
                <w:rFonts w:hint="eastAsia" w:ascii="宋体" w:hAnsi="宋体" w:eastAsia="宋体" w:cs="宋体"/>
                <w:b/>
                <w:bCs/>
                <w:color w:val="auto"/>
                <w:sz w:val="21"/>
                <w:szCs w:val="21"/>
                <w:highlight w:val="none"/>
              </w:rPr>
              <w:t>该组合的“连续X个批次”</w:t>
            </w:r>
            <w:r>
              <w:rPr>
                <w:rFonts w:hint="eastAsia" w:ascii="宋体" w:hAnsi="宋体" w:eastAsia="宋体" w:cs="宋体"/>
                <w:color w:val="auto"/>
                <w:sz w:val="21"/>
                <w:szCs w:val="21"/>
                <w:highlight w:val="none"/>
              </w:rPr>
              <w:t>。</w:t>
            </w:r>
          </w:p>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例：</w:t>
            </w:r>
          </w:p>
          <w:tbl>
            <w:tblPr>
              <w:tblStyle w:val="20"/>
              <w:tblW w:w="5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3"/>
              <w:gridCol w:w="709"/>
              <w:gridCol w:w="850"/>
              <w:gridCol w:w="707"/>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p>
              </w:tc>
              <w:tc>
                <w:tcPr>
                  <w:tcW w:w="709"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批次A</w:t>
                  </w:r>
                </w:p>
              </w:tc>
              <w:tc>
                <w:tcPr>
                  <w:tcW w:w="850"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批次B</w:t>
                  </w:r>
                </w:p>
              </w:tc>
              <w:tc>
                <w:tcPr>
                  <w:tcW w:w="707"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批次C</w:t>
                  </w:r>
                </w:p>
              </w:tc>
              <w:tc>
                <w:tcPr>
                  <w:tcW w:w="2060" w:type="dxa"/>
                  <w:noWrap w:val="0"/>
                  <w:vAlign w:val="center"/>
                </w:tcPr>
                <w:p>
                  <w:pPr>
                    <w:autoSpaceDE/>
                    <w:autoSpaceDN/>
                    <w:adjustRightInd w:val="0"/>
                    <w:snapToGrid w:val="0"/>
                    <w:jc w:val="both"/>
                    <w:rPr>
                      <w:rFonts w:hint="eastAsia" w:ascii="宋体" w:hAnsi="宋体" w:eastAsia="宋体" w:cs="宋体"/>
                      <w:b/>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投标人1</w:t>
                  </w:r>
                </w:p>
              </w:tc>
              <w:tc>
                <w:tcPr>
                  <w:tcW w:w="709"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w:t>
                  </w:r>
                </w:p>
              </w:tc>
              <w:tc>
                <w:tcPr>
                  <w:tcW w:w="850"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w:t>
                  </w:r>
                </w:p>
              </w:tc>
              <w:tc>
                <w:tcPr>
                  <w:tcW w:w="707"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w:t>
                  </w:r>
                </w:p>
              </w:tc>
              <w:tc>
                <w:tcPr>
                  <w:tcW w:w="2060" w:type="dxa"/>
                  <w:vMerge w:val="restart"/>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rPr>
                    <w:t>对于投标人1&amp;2，批次A、C为连续2个批次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投标人2</w:t>
                  </w:r>
                </w:p>
              </w:tc>
              <w:tc>
                <w:tcPr>
                  <w:tcW w:w="709"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w:t>
                  </w:r>
                </w:p>
              </w:tc>
              <w:tc>
                <w:tcPr>
                  <w:tcW w:w="850"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未投标</w:t>
                  </w:r>
                </w:p>
              </w:tc>
              <w:tc>
                <w:tcPr>
                  <w:tcW w:w="707" w:type="dxa"/>
                  <w:noWrap w:val="0"/>
                  <w:vAlign w:val="top"/>
                </w:tcPr>
                <w:p>
                  <w:pPr>
                    <w:autoSpaceDE/>
                    <w:autoSpaceDN/>
                    <w:adjustRightInd w:val="0"/>
                    <w:snapToGrid w:val="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w:t>
                  </w:r>
                </w:p>
              </w:tc>
              <w:tc>
                <w:tcPr>
                  <w:tcW w:w="2060" w:type="dxa"/>
                  <w:vMerge w:val="continue"/>
                  <w:noWrap w:val="0"/>
                  <w:vAlign w:val="top"/>
                </w:tcPr>
                <w:p>
                  <w:pPr>
                    <w:autoSpaceDE/>
                    <w:autoSpaceDN/>
                    <w:adjustRightInd w:val="0"/>
                    <w:snapToGrid w:val="0"/>
                    <w:jc w:val="both"/>
                    <w:rPr>
                      <w:rFonts w:hint="eastAsia" w:ascii="宋体" w:hAnsi="宋体" w:eastAsia="宋体" w:cs="宋体"/>
                      <w:color w:val="auto"/>
                      <w:sz w:val="21"/>
                      <w:szCs w:val="21"/>
                      <w:highlight w:val="none"/>
                    </w:rPr>
                  </w:pPr>
                </w:p>
              </w:tc>
            </w:tr>
          </w:tbl>
          <w:p>
            <w:pPr>
              <w:autoSpaceDE/>
              <w:autoSpaceDN/>
              <w:adjustRightInd w:val="0"/>
              <w:snapToGrid w:val="0"/>
              <w:jc w:val="both"/>
              <w:rPr>
                <w:rFonts w:hint="eastAsia" w:ascii="宋体" w:hAnsi="宋体" w:eastAsia="宋体" w:cs="宋体"/>
                <w:color w:val="auto"/>
                <w:sz w:val="21"/>
                <w:szCs w:val="21"/>
                <w:highlight w:val="none"/>
                <w:lang w:eastAsia="zh-CN"/>
              </w:rPr>
            </w:pPr>
          </w:p>
          <w:p>
            <w:pPr>
              <w:keepNext w:val="0"/>
              <w:keepLines w:val="0"/>
              <w:pageBreakBefore w:val="0"/>
              <w:widowControl w:val="0"/>
              <w:kinsoku/>
              <w:wordWrap/>
              <w:overflowPunct/>
              <w:topLinePunct w:val="0"/>
              <w:autoSpaceDE/>
              <w:autoSpaceDN/>
              <w:bidi w:val="0"/>
              <w:adjustRightInd w:val="0"/>
              <w:snapToGrid w:val="0"/>
              <w:spacing w:beforeLines="-2147483648" w:afterLines="-2147483648"/>
              <w:ind w:left="0" w:leftChars="0" w:firstLineChars="0"/>
              <w:textAlignment w:val="auto"/>
              <w:rPr>
                <w:rFonts w:hint="default" w:ascii="宋体" w:hAnsi="宋体" w:eastAsia="宋体" w:cs="宋体"/>
                <w:color w:val="auto"/>
                <w:kern w:val="2"/>
                <w:sz w:val="21"/>
                <w:szCs w:val="21"/>
                <w:highlight w:val="none"/>
                <w:lang w:val="en-US" w:eastAsia="zh-CN" w:bidi="ar-SA"/>
              </w:rPr>
            </w:pPr>
            <w:r>
              <w:rPr>
                <w:rFonts w:hint="eastAsia"/>
                <w:highlight w:val="none"/>
                <w:lang w:val="en-US" w:eastAsia="zh-CN"/>
              </w:rPr>
              <w:t>5</w:t>
            </w:r>
            <w:r>
              <w:rPr>
                <w:rFonts w:hint="eastAsia"/>
                <w:highlight w:val="none"/>
                <w:lang w:eastAsia="zh-CN"/>
              </w:rPr>
              <w:t>.投标人不得直接或通过社会关系人员以打招呼、恐吓、威逼利诱等方式围猎评标专家及招标采购相关从业人员，评委会将依据有关线索在评审中对应扣分。</w:t>
            </w:r>
          </w:p>
        </w:tc>
      </w:tr>
      <w:bookmarkEnd w:id="51"/>
      <w:bookmarkEnd w:id="52"/>
      <w:bookmarkEnd w:id="53"/>
      <w:bookmarkEnd w:id="54"/>
      <w:bookmarkEnd w:id="55"/>
    </w:tbl>
    <w:p>
      <w:pPr>
        <w:spacing w:before="0" w:beforeLines="-2147483648" w:after="0" w:afterLines="-2147483648"/>
        <w:outlineLvl w:val="9"/>
        <w:rPr>
          <w:rFonts w:hint="eastAsia" w:ascii="黑体" w:hAnsi="黑体" w:eastAsia="黑体" w:cs="黑体"/>
          <w:b/>
          <w:bCs/>
          <w:color w:val="auto"/>
          <w:sz w:val="24"/>
          <w:szCs w:val="24"/>
          <w:highlight w:val="none"/>
        </w:rPr>
      </w:pPr>
      <w:r>
        <w:rPr>
          <w:rFonts w:hint="eastAsia" w:ascii="宋体" w:hAnsi="宋体" w:eastAsia="宋体" w:cs="宋体"/>
          <w:b/>
          <w:bCs/>
          <w:color w:val="auto"/>
          <w:sz w:val="21"/>
          <w:szCs w:val="21"/>
          <w:highlight w:val="none"/>
        </w:rPr>
        <w:br w:type="page"/>
      </w:r>
    </w:p>
    <w:p>
      <w:pPr>
        <w:spacing w:before="120" w:beforeLines="50" w:after="120" w:afterLines="50"/>
        <w:outlineLvl w:val="2"/>
        <w:rPr>
          <w:rFonts w:ascii="宋体" w:hAnsi="宋体" w:cs="宋体"/>
          <w:bCs/>
          <w:color w:val="auto"/>
          <w:szCs w:val="21"/>
          <w:highlight w:val="none"/>
        </w:rPr>
      </w:pPr>
      <w:r>
        <w:rPr>
          <w:rFonts w:hint="eastAsia" w:ascii="黑体" w:hAnsi="黑体" w:eastAsia="黑体" w:cs="黑体"/>
          <w:b/>
          <w:bCs/>
          <w:color w:val="auto"/>
          <w:sz w:val="24"/>
          <w:szCs w:val="24"/>
          <w:highlight w:val="none"/>
        </w:rPr>
        <w:t>投标人须知前附表之附表一</w:t>
      </w:r>
    </w:p>
    <w:p>
      <w:pPr>
        <w:pStyle w:val="5"/>
        <w:ind w:firstLine="0"/>
        <w:rPr>
          <w:rFonts w:ascii="宋体" w:hAnsi="宋体" w:cs="宋体"/>
          <w:b/>
          <w:bCs/>
          <w:strike/>
          <w:dstrike w:val="0"/>
          <w:color w:val="auto"/>
          <w:sz w:val="24"/>
          <w:szCs w:val="24"/>
          <w:highlight w:val="none"/>
        </w:rPr>
      </w:pPr>
      <w:r>
        <w:rPr>
          <w:rFonts w:hint="eastAsia" w:ascii="宋体" w:hAnsi="宋体" w:cs="宋体"/>
          <w:b/>
          <w:bCs/>
          <w:color w:val="auto"/>
          <w:sz w:val="24"/>
          <w:szCs w:val="24"/>
          <w:highlight w:val="none"/>
        </w:rPr>
        <w:t>一、</w:t>
      </w:r>
      <w:r>
        <w:rPr>
          <w:rFonts w:hint="eastAsia" w:ascii="宋体" w:hAnsi="宋体" w:cs="宋体"/>
          <w:b/>
          <w:bCs/>
          <w:color w:val="auto"/>
          <w:sz w:val="24"/>
          <w:szCs w:val="24"/>
          <w:highlight w:val="none"/>
          <w:lang w:eastAsia="zh-CN"/>
        </w:rPr>
        <w:t>最高限价</w:t>
      </w:r>
      <w:r>
        <w:rPr>
          <w:rFonts w:hint="eastAsia" w:ascii="宋体" w:hAnsi="宋体" w:cs="宋体"/>
          <w:b/>
          <w:bCs/>
          <w:color w:val="auto"/>
          <w:sz w:val="24"/>
          <w:szCs w:val="24"/>
          <w:highlight w:val="none"/>
          <w:lang w:val="en-US" w:eastAsia="zh-CN"/>
        </w:rPr>
        <w:t>详见招标公告</w:t>
      </w:r>
    </w:p>
    <w:p>
      <w:pPr>
        <w:pStyle w:val="5"/>
        <w:numPr>
          <w:ilvl w:val="255"/>
          <w:numId w:val="0"/>
        </w:numPr>
        <w:rPr>
          <w:rFonts w:ascii="宋体" w:hAnsi="宋体" w:cs="宋体"/>
          <w:b/>
          <w:bCs/>
          <w:strike/>
          <w:dstrike w:val="0"/>
          <w:color w:val="auto"/>
          <w:sz w:val="24"/>
          <w:szCs w:val="24"/>
          <w:highlight w:val="none"/>
        </w:rPr>
      </w:pPr>
      <w:r>
        <w:rPr>
          <w:rFonts w:hint="eastAsia" w:ascii="宋体" w:hAnsi="宋体" w:cs="宋体"/>
          <w:b/>
          <w:bCs/>
          <w:color w:val="auto"/>
          <w:sz w:val="24"/>
          <w:szCs w:val="24"/>
          <w:highlight w:val="none"/>
        </w:rPr>
        <w:t>二、投标保证金</w:t>
      </w:r>
      <w:r>
        <w:rPr>
          <w:rFonts w:hint="eastAsia" w:ascii="宋体" w:hAnsi="宋体" w:cs="宋体"/>
          <w:b/>
          <w:bCs/>
          <w:color w:val="auto"/>
          <w:sz w:val="24"/>
          <w:szCs w:val="24"/>
          <w:highlight w:val="none"/>
          <w:lang w:val="en-US" w:eastAsia="zh-CN"/>
        </w:rPr>
        <w:t>详见应提交保证金一览表</w:t>
      </w:r>
    </w:p>
    <w:p>
      <w:pPr>
        <w:pStyle w:val="5"/>
        <w:ind w:firstLine="0"/>
        <w:rPr>
          <w:rFonts w:hint="eastAsia" w:ascii="宋体" w:hAnsi="宋体" w:eastAsia="宋体" w:cs="宋体"/>
          <w:b/>
          <w:bCs/>
          <w:color w:val="auto"/>
          <w:sz w:val="24"/>
          <w:szCs w:val="24"/>
          <w:highlight w:val="none"/>
          <w:lang w:val="en-US" w:eastAsia="zh-CN"/>
        </w:rPr>
      </w:pPr>
      <w:r>
        <w:rPr>
          <w:rFonts w:hint="eastAsia" w:ascii="宋体" w:hAnsi="宋体" w:cs="宋体"/>
          <w:b/>
          <w:bCs/>
          <w:color w:val="auto"/>
          <w:sz w:val="24"/>
          <w:szCs w:val="24"/>
          <w:highlight w:val="none"/>
          <w:lang w:val="en-US" w:eastAsia="zh-CN"/>
        </w:rPr>
        <w:t>三</w:t>
      </w:r>
      <w:r>
        <w:rPr>
          <w:rFonts w:hint="eastAsia" w:ascii="宋体" w:hAnsi="宋体" w:cs="宋体"/>
          <w:b/>
          <w:bCs/>
          <w:color w:val="auto"/>
          <w:sz w:val="24"/>
          <w:szCs w:val="24"/>
          <w:highlight w:val="none"/>
        </w:rPr>
        <w:t>、</w:t>
      </w:r>
      <w:r>
        <w:rPr>
          <w:rFonts w:hint="eastAsia" w:ascii="宋体" w:hAnsi="宋体" w:eastAsia="宋体" w:cs="宋体"/>
          <w:b/>
          <w:bCs/>
          <w:color w:val="auto"/>
          <w:sz w:val="24"/>
          <w:szCs w:val="24"/>
          <w:highlight w:val="none"/>
          <w:lang w:val="en-US" w:eastAsia="zh-CN"/>
        </w:rPr>
        <w:t>投标报价说明</w:t>
      </w:r>
    </w:p>
    <w:p>
      <w:pPr>
        <w:rPr>
          <w:rFonts w:hint="eastAsia"/>
          <w:color w:val="auto"/>
          <w:highlight w:val="none"/>
          <w:lang w:val="en-US" w:eastAsia="zh-CN"/>
        </w:rPr>
      </w:pPr>
    </w:p>
    <w:p>
      <w:pPr>
        <w:pStyle w:val="17"/>
        <w:numPr>
          <w:ilvl w:val="0"/>
          <w:numId w:val="0"/>
        </w:numPr>
        <w:rPr>
          <w:rFonts w:hint="eastAsia" w:eastAsia="宋体" w:cs="Times New Roman"/>
          <w:b/>
          <w:bCs/>
          <w:color w:val="auto"/>
          <w:highlight w:val="none"/>
          <w:lang w:val="en-US" w:eastAsia="zh-CN"/>
        </w:rPr>
      </w:pPr>
      <w:r>
        <w:rPr>
          <w:rFonts w:hint="eastAsia"/>
          <w:b/>
          <w:bCs/>
          <w:color w:val="auto"/>
          <w:highlight w:val="none"/>
          <w:lang w:val="en-US" w:eastAsia="zh-CN"/>
        </w:rPr>
        <w:t>（一）设计项目报价说明</w:t>
      </w:r>
      <w:r>
        <w:rPr>
          <w:rFonts w:hint="eastAsia" w:cs="Times New Roman"/>
          <w:b/>
          <w:bCs/>
          <w:color w:val="auto"/>
          <w:highlight w:val="none"/>
          <w:lang w:val="en-US" w:eastAsia="zh-CN"/>
        </w:rPr>
        <w:t>（不适用）</w:t>
      </w:r>
    </w:p>
    <w:p>
      <w:pPr>
        <w:pStyle w:val="17"/>
        <w:numPr>
          <w:ilvl w:val="0"/>
          <w:numId w:val="0"/>
        </w:numPr>
        <w:rPr>
          <w:rFonts w:hint="default" w:eastAsia="宋体"/>
          <w:b/>
          <w:bCs/>
          <w:color w:val="auto"/>
          <w:highlight w:val="none"/>
          <w:lang w:val="en-US" w:eastAsia="zh-CN"/>
        </w:rPr>
      </w:pP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default" w:ascii="Times New Roman" w:hAnsi="Times New Roman" w:eastAsia="宋体" w:cs="Times New Roman"/>
          <w:color w:val="auto"/>
          <w:kern w:val="2"/>
          <w:sz w:val="21"/>
          <w:szCs w:val="20"/>
          <w:highlight w:val="none"/>
          <w:lang w:val="en-US" w:eastAsia="zh-CN" w:bidi="ar"/>
        </w:rPr>
        <w:t>1</w:t>
      </w:r>
      <w:r>
        <w:rPr>
          <w:rFonts w:hint="eastAsia" w:ascii="Times New Roman" w:hAnsi="Times New Roman" w:eastAsia="宋体" w:cs="宋体"/>
          <w:color w:val="auto"/>
          <w:kern w:val="2"/>
          <w:sz w:val="21"/>
          <w:szCs w:val="20"/>
          <w:highlight w:val="none"/>
          <w:lang w:val="en-US" w:eastAsia="zh-CN" w:bidi="ar"/>
        </w:rPr>
        <w:t>．报价范围：</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投标人的工程勘察设计费报价为在工程项目建设期（工程前期、施工期、竣工投产移交期）、保修期、工程达标评优以及工程后评价中，按照本招标文件的有关要求，包括合同条款要求、各种规程规范和标准要求、建设管理制度文件要求等完成招标文件所要求的全部勘察设计工程量和设计服务。包括但不限于：完成勘察设计及设计服务所需的所有人力、物力、财力投入的费用；参加为完成本工程建设任务而进行或开展的相关工程协调、检查、验收、审查、会议、达标和创优等所需发生的费用；所需缴纳的有关国家及地方税费以及合同包含的风险、责任等费用；为完成本次工程投标所需计列的成本费用以及拟定中标所需缴纳的招标代理服务费等费用。具体报价范围要求：</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设计费报价中，除应包括本招标文件合同条款和国家的取费标准中规定的全部工作范围外，报价书中还应包括本招标文件要求的其他服务范围的报价（包括但不限于）：</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1</w:t>
      </w:r>
      <w:r>
        <w:rPr>
          <w:rFonts w:hint="eastAsia" w:ascii="Times New Roman" w:hAnsi="Times New Roman" w:eastAsia="宋体" w:cs="宋体"/>
          <w:color w:val="auto"/>
          <w:kern w:val="2"/>
          <w:sz w:val="21"/>
          <w:szCs w:val="20"/>
          <w:highlight w:val="none"/>
          <w:lang w:val="en-US" w:eastAsia="zh-CN" w:bidi="ar"/>
        </w:rPr>
        <w:t>）其他功能设计项目（</w:t>
      </w:r>
      <w:r>
        <w:rPr>
          <w:rFonts w:hint="eastAsia" w:ascii="Times New Roman" w:hAnsi="Times New Roman" w:eastAsia="宋体" w:cs="宋体"/>
          <w:color w:val="auto"/>
          <w:kern w:val="2"/>
          <w:sz w:val="21"/>
          <w:szCs w:val="20"/>
          <w:highlight w:val="none"/>
          <w:u w:val="wave"/>
          <w:lang w:val="en-US" w:eastAsia="zh-CN" w:bidi="ar"/>
        </w:rPr>
        <w:t>如需，见合同条款</w:t>
      </w:r>
      <w:r>
        <w:rPr>
          <w:rFonts w:hint="eastAsia" w:ascii="Times New Roman" w:hAnsi="Times New Roman" w:eastAsia="宋体" w:cs="宋体"/>
          <w:color w:val="auto"/>
          <w:kern w:val="2"/>
          <w:sz w:val="21"/>
          <w:szCs w:val="20"/>
          <w:highlight w:val="none"/>
          <w:lang w:val="en-US" w:eastAsia="zh-CN" w:bidi="ar"/>
        </w:rPr>
        <w:t>）；</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2</w:t>
      </w:r>
      <w:r>
        <w:rPr>
          <w:rFonts w:hint="eastAsia" w:ascii="Times New Roman" w:hAnsi="Times New Roman" w:eastAsia="宋体" w:cs="宋体"/>
          <w:color w:val="auto"/>
          <w:kern w:val="2"/>
          <w:sz w:val="21"/>
          <w:szCs w:val="20"/>
          <w:highlight w:val="none"/>
          <w:lang w:val="en-US" w:eastAsia="zh-CN" w:bidi="ar"/>
        </w:rPr>
        <w:t>）编制设备及主要材料技术规范书；负责向国家电网有限公司新一代电子商务平台（</w:t>
      </w:r>
      <w:r>
        <w:rPr>
          <w:rFonts w:hint="default" w:ascii="Times New Roman" w:hAnsi="Times New Roman" w:eastAsia="宋体" w:cs="Times New Roman"/>
          <w:color w:val="auto"/>
          <w:kern w:val="2"/>
          <w:sz w:val="21"/>
          <w:szCs w:val="20"/>
          <w:highlight w:val="none"/>
          <w:lang w:val="en-US" w:eastAsia="zh-CN" w:bidi="ar"/>
        </w:rPr>
        <w:t>ECP</w:t>
      </w:r>
      <w:r>
        <w:rPr>
          <w:rFonts w:hint="eastAsia" w:ascii="Times New Roman" w:hAnsi="Times New Roman" w:eastAsia="宋体" w:cs="宋体"/>
          <w:color w:val="auto"/>
          <w:kern w:val="2"/>
          <w:sz w:val="21"/>
          <w:szCs w:val="20"/>
          <w:highlight w:val="none"/>
          <w:lang w:val="en-US" w:eastAsia="zh-CN" w:bidi="ar"/>
        </w:rPr>
        <w:t>）数据相关内容填报上传，配合建设管理单位企业资源管理系统（</w:t>
      </w:r>
      <w:r>
        <w:rPr>
          <w:rFonts w:hint="default" w:ascii="Times New Roman" w:hAnsi="Times New Roman" w:eastAsia="宋体" w:cs="Times New Roman"/>
          <w:color w:val="auto"/>
          <w:kern w:val="2"/>
          <w:sz w:val="21"/>
          <w:szCs w:val="20"/>
          <w:highlight w:val="none"/>
          <w:lang w:val="en-US" w:eastAsia="zh-CN" w:bidi="ar"/>
        </w:rPr>
        <w:t>ERP</w:t>
      </w:r>
      <w:r>
        <w:rPr>
          <w:rFonts w:hint="eastAsia" w:ascii="Times New Roman" w:hAnsi="Times New Roman" w:eastAsia="宋体" w:cs="宋体"/>
          <w:color w:val="auto"/>
          <w:kern w:val="2"/>
          <w:sz w:val="21"/>
          <w:szCs w:val="20"/>
          <w:highlight w:val="none"/>
          <w:lang w:val="en-US" w:eastAsia="zh-CN" w:bidi="ar"/>
        </w:rPr>
        <w:t>）相关数据内容填报以及参加签订设备材料采购技术协议签订等工作（</w:t>
      </w:r>
      <w:r>
        <w:rPr>
          <w:rFonts w:hint="eastAsia" w:ascii="Times New Roman" w:hAnsi="Times New Roman" w:eastAsia="宋体" w:cs="宋体"/>
          <w:color w:val="auto"/>
          <w:kern w:val="2"/>
          <w:sz w:val="21"/>
          <w:szCs w:val="20"/>
          <w:highlight w:val="none"/>
          <w:u w:val="wave"/>
          <w:lang w:val="en-US" w:eastAsia="zh-CN" w:bidi="ar"/>
        </w:rPr>
        <w:t>如需，见合同条款</w:t>
      </w:r>
      <w:r>
        <w:rPr>
          <w:rFonts w:hint="eastAsia" w:ascii="Times New Roman" w:hAnsi="Times New Roman" w:eastAsia="宋体" w:cs="宋体"/>
          <w:color w:val="auto"/>
          <w:kern w:val="2"/>
          <w:sz w:val="21"/>
          <w:szCs w:val="20"/>
          <w:highlight w:val="none"/>
          <w:lang w:val="en-US" w:eastAsia="zh-CN" w:bidi="ar"/>
        </w:rPr>
        <w:t>）；</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3</w:t>
      </w:r>
      <w:r>
        <w:rPr>
          <w:rFonts w:hint="eastAsia" w:ascii="Times New Roman" w:hAnsi="Times New Roman" w:eastAsia="宋体" w:cs="宋体"/>
          <w:color w:val="auto"/>
          <w:kern w:val="2"/>
          <w:sz w:val="21"/>
          <w:szCs w:val="20"/>
          <w:highlight w:val="none"/>
          <w:lang w:val="en-US" w:eastAsia="zh-CN" w:bidi="ar"/>
        </w:rPr>
        <w:t>）编制施工招标工程量和施工、监理最高投标限价等（</w:t>
      </w:r>
      <w:r>
        <w:rPr>
          <w:rFonts w:hint="eastAsia" w:ascii="Times New Roman" w:hAnsi="Times New Roman" w:eastAsia="宋体" w:cs="宋体"/>
          <w:color w:val="auto"/>
          <w:kern w:val="2"/>
          <w:sz w:val="21"/>
          <w:szCs w:val="20"/>
          <w:highlight w:val="none"/>
          <w:u w:val="wave"/>
          <w:lang w:val="en-US" w:eastAsia="zh-CN" w:bidi="ar"/>
        </w:rPr>
        <w:t>如需，见合同条款</w:t>
      </w:r>
      <w:r>
        <w:rPr>
          <w:rFonts w:hint="eastAsia" w:ascii="Times New Roman" w:hAnsi="Times New Roman" w:eastAsia="宋体" w:cs="宋体"/>
          <w:color w:val="auto"/>
          <w:kern w:val="2"/>
          <w:sz w:val="21"/>
          <w:szCs w:val="20"/>
          <w:highlight w:val="none"/>
          <w:lang w:val="en-US" w:eastAsia="zh-CN" w:bidi="ar"/>
        </w:rPr>
        <w:t>）；</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4</w:t>
      </w:r>
      <w:r>
        <w:rPr>
          <w:rFonts w:hint="eastAsia" w:ascii="Times New Roman" w:hAnsi="Times New Roman" w:eastAsia="宋体" w:cs="宋体"/>
          <w:color w:val="auto"/>
          <w:kern w:val="2"/>
          <w:sz w:val="21"/>
          <w:szCs w:val="20"/>
          <w:highlight w:val="none"/>
          <w:lang w:val="en-US" w:eastAsia="zh-CN" w:bidi="ar"/>
        </w:rPr>
        <w:t>）编制标准工艺策划方案，完成标准工艺设计；</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5</w:t>
      </w:r>
      <w:r>
        <w:rPr>
          <w:rFonts w:hint="eastAsia" w:ascii="Times New Roman" w:hAnsi="Times New Roman" w:eastAsia="宋体" w:cs="宋体"/>
          <w:color w:val="auto"/>
          <w:kern w:val="2"/>
          <w:sz w:val="21"/>
          <w:szCs w:val="20"/>
          <w:highlight w:val="none"/>
          <w:lang w:val="en-US" w:eastAsia="zh-CN" w:bidi="ar"/>
        </w:rPr>
        <w:t>）编制工程设计相关的计算机动画或影像资料（</w:t>
      </w:r>
      <w:r>
        <w:rPr>
          <w:rFonts w:hint="eastAsia" w:ascii="Times New Roman" w:hAnsi="Times New Roman" w:eastAsia="宋体" w:cs="宋体"/>
          <w:color w:val="auto"/>
          <w:kern w:val="2"/>
          <w:sz w:val="21"/>
          <w:szCs w:val="20"/>
          <w:highlight w:val="none"/>
          <w:u w:val="wave"/>
          <w:lang w:val="en-US" w:eastAsia="zh-CN" w:bidi="ar"/>
        </w:rPr>
        <w:t>如需，见合同条款）</w:t>
      </w:r>
      <w:r>
        <w:rPr>
          <w:rFonts w:hint="eastAsia" w:ascii="Times New Roman" w:hAnsi="Times New Roman" w:eastAsia="宋体" w:cs="宋体"/>
          <w:color w:val="auto"/>
          <w:kern w:val="2"/>
          <w:sz w:val="21"/>
          <w:szCs w:val="20"/>
          <w:highlight w:val="none"/>
          <w:lang w:val="en-US" w:eastAsia="zh-CN" w:bidi="ar"/>
        </w:rPr>
        <w:t>；</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6</w:t>
      </w:r>
      <w:r>
        <w:rPr>
          <w:rFonts w:hint="eastAsia" w:ascii="Times New Roman" w:hAnsi="Times New Roman" w:eastAsia="宋体" w:cs="宋体"/>
          <w:color w:val="auto"/>
          <w:kern w:val="2"/>
          <w:sz w:val="21"/>
          <w:szCs w:val="20"/>
          <w:highlight w:val="none"/>
          <w:lang w:val="en-US" w:eastAsia="zh-CN" w:bidi="ar"/>
        </w:rPr>
        <w:t>）编制工程执行概算、工程预算书、投资结算（</w:t>
      </w:r>
      <w:r>
        <w:rPr>
          <w:rFonts w:hint="eastAsia" w:ascii="Times New Roman" w:hAnsi="Times New Roman" w:eastAsia="宋体" w:cs="宋体"/>
          <w:color w:val="auto"/>
          <w:kern w:val="2"/>
          <w:sz w:val="21"/>
          <w:szCs w:val="20"/>
          <w:highlight w:val="none"/>
          <w:u w:val="wave"/>
          <w:lang w:val="en-US" w:eastAsia="zh-CN" w:bidi="ar"/>
        </w:rPr>
        <w:t>如需，见合同条款</w:t>
      </w:r>
      <w:r>
        <w:rPr>
          <w:rFonts w:hint="eastAsia" w:ascii="Times New Roman" w:hAnsi="Times New Roman" w:eastAsia="宋体" w:cs="宋体"/>
          <w:color w:val="auto"/>
          <w:kern w:val="2"/>
          <w:sz w:val="21"/>
          <w:szCs w:val="20"/>
          <w:highlight w:val="none"/>
          <w:lang w:val="en-US" w:eastAsia="zh-CN" w:bidi="ar"/>
        </w:rPr>
        <w:t>）；</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7</w:t>
      </w:r>
      <w:r>
        <w:rPr>
          <w:rFonts w:hint="eastAsia" w:ascii="Times New Roman" w:hAnsi="Times New Roman" w:eastAsia="宋体" w:cs="宋体"/>
          <w:color w:val="auto"/>
          <w:kern w:val="2"/>
          <w:sz w:val="21"/>
          <w:szCs w:val="20"/>
          <w:highlight w:val="none"/>
          <w:lang w:val="en-US" w:eastAsia="zh-CN" w:bidi="ar"/>
        </w:rPr>
        <w:t>）承办初步设计、初步设计收口等评审会议和设计协调会议（</w:t>
      </w:r>
      <w:r>
        <w:rPr>
          <w:rFonts w:hint="eastAsia" w:ascii="Times New Roman" w:hAnsi="Times New Roman" w:eastAsia="宋体" w:cs="宋体"/>
          <w:color w:val="auto"/>
          <w:kern w:val="2"/>
          <w:sz w:val="21"/>
          <w:szCs w:val="20"/>
          <w:highlight w:val="none"/>
          <w:u w:val="wave"/>
          <w:lang w:val="en-US" w:eastAsia="zh-CN" w:bidi="ar"/>
        </w:rPr>
        <w:t>如需，见合同条款</w:t>
      </w:r>
      <w:r>
        <w:rPr>
          <w:rFonts w:hint="eastAsia" w:ascii="Times New Roman" w:hAnsi="Times New Roman" w:eastAsia="宋体" w:cs="宋体"/>
          <w:color w:val="auto"/>
          <w:kern w:val="2"/>
          <w:sz w:val="21"/>
          <w:szCs w:val="20"/>
          <w:highlight w:val="none"/>
          <w:lang w:val="en-US" w:eastAsia="zh-CN" w:bidi="ar"/>
        </w:rPr>
        <w:t>）；</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8</w:t>
      </w:r>
      <w:r>
        <w:rPr>
          <w:rFonts w:hint="eastAsia" w:ascii="Times New Roman" w:hAnsi="Times New Roman" w:eastAsia="宋体" w:cs="宋体"/>
          <w:color w:val="auto"/>
          <w:kern w:val="2"/>
          <w:sz w:val="21"/>
          <w:szCs w:val="20"/>
          <w:highlight w:val="none"/>
          <w:lang w:val="en-US" w:eastAsia="zh-CN" w:bidi="ar"/>
        </w:rPr>
        <w:t>）编写设计总结（含造价分析与总结部分）以及量差分析计算书（施工图工程量与施工招标工程量的对比表）；</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9</w:t>
      </w:r>
      <w:r>
        <w:rPr>
          <w:rFonts w:hint="eastAsia" w:ascii="Times New Roman" w:hAnsi="Times New Roman" w:eastAsia="宋体" w:cs="宋体"/>
          <w:color w:val="auto"/>
          <w:kern w:val="2"/>
          <w:sz w:val="21"/>
          <w:szCs w:val="20"/>
          <w:highlight w:val="none"/>
          <w:lang w:val="en-US" w:eastAsia="zh-CN" w:bidi="ar"/>
        </w:rPr>
        <w:t>）配合工程结算；</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10</w:t>
      </w:r>
      <w:r>
        <w:rPr>
          <w:rFonts w:hint="eastAsia" w:ascii="Times New Roman" w:hAnsi="Times New Roman" w:eastAsia="宋体" w:cs="宋体"/>
          <w:color w:val="auto"/>
          <w:kern w:val="2"/>
          <w:sz w:val="21"/>
          <w:szCs w:val="20"/>
          <w:highlight w:val="none"/>
          <w:lang w:val="en-US" w:eastAsia="zh-CN" w:bidi="ar"/>
        </w:rPr>
        <w:t>）配合招标方（业主、建设管理单位）开展设计质量评价以及工程全过程创优（</w:t>
      </w:r>
      <w:r>
        <w:rPr>
          <w:rFonts w:hint="eastAsia" w:ascii="Times New Roman" w:hAnsi="Times New Roman" w:eastAsia="宋体" w:cs="宋体"/>
          <w:color w:val="auto"/>
          <w:kern w:val="2"/>
          <w:sz w:val="21"/>
          <w:szCs w:val="20"/>
          <w:highlight w:val="none"/>
          <w:u w:val="wave"/>
          <w:lang w:val="en-US" w:eastAsia="zh-CN" w:bidi="ar"/>
        </w:rPr>
        <w:t>如需，见合同条款</w:t>
      </w:r>
      <w:r>
        <w:rPr>
          <w:rFonts w:hint="eastAsia" w:ascii="Times New Roman" w:hAnsi="Times New Roman" w:eastAsia="宋体" w:cs="宋体"/>
          <w:color w:val="auto"/>
          <w:kern w:val="2"/>
          <w:sz w:val="21"/>
          <w:szCs w:val="20"/>
          <w:highlight w:val="none"/>
          <w:lang w:val="en-US" w:eastAsia="zh-CN" w:bidi="ar"/>
        </w:rPr>
        <w:t>）；</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11</w:t>
      </w:r>
      <w:r>
        <w:rPr>
          <w:rFonts w:hint="eastAsia" w:ascii="Times New Roman" w:hAnsi="Times New Roman" w:eastAsia="宋体" w:cs="宋体"/>
          <w:color w:val="auto"/>
          <w:kern w:val="2"/>
          <w:sz w:val="21"/>
          <w:szCs w:val="20"/>
          <w:highlight w:val="none"/>
          <w:lang w:val="en-US" w:eastAsia="zh-CN" w:bidi="ar"/>
        </w:rPr>
        <w:t>）招标代理服务费；</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12</w:t>
      </w:r>
      <w:r>
        <w:rPr>
          <w:rFonts w:hint="eastAsia" w:ascii="Times New Roman" w:hAnsi="Times New Roman" w:eastAsia="宋体" w:cs="宋体"/>
          <w:color w:val="auto"/>
          <w:kern w:val="2"/>
          <w:sz w:val="21"/>
          <w:szCs w:val="20"/>
          <w:highlight w:val="none"/>
          <w:lang w:val="en-US" w:eastAsia="zh-CN" w:bidi="ar"/>
        </w:rPr>
        <w:t>）其他说明：如果投标函中承诺的报价不包括招标文件规定的某项服务范围（即漏项），则视为这类服务项目的报价分摊在其他项目的报价中，中标后不再增加漏报费用。</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default" w:ascii="Times New Roman" w:hAnsi="Times New Roman" w:eastAsia="宋体" w:cs="Times New Roman"/>
          <w:color w:val="auto"/>
          <w:kern w:val="2"/>
          <w:sz w:val="21"/>
          <w:szCs w:val="20"/>
          <w:highlight w:val="none"/>
          <w:lang w:val="en-US" w:eastAsia="zh-CN" w:bidi="ar"/>
        </w:rPr>
        <w:t>2</w:t>
      </w:r>
      <w:r>
        <w:rPr>
          <w:rFonts w:hint="eastAsia" w:ascii="Times New Roman" w:hAnsi="Times New Roman" w:eastAsia="宋体" w:cs="宋体"/>
          <w:color w:val="auto"/>
          <w:kern w:val="2"/>
          <w:sz w:val="21"/>
          <w:szCs w:val="20"/>
          <w:highlight w:val="none"/>
          <w:lang w:val="en-US" w:eastAsia="zh-CN" w:bidi="ar"/>
        </w:rPr>
        <w:t>．具体报价方式要求：</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1</w:t>
      </w:r>
      <w:r>
        <w:rPr>
          <w:rFonts w:hint="eastAsia" w:ascii="Times New Roman" w:hAnsi="Times New Roman" w:eastAsia="宋体" w:cs="宋体"/>
          <w:color w:val="auto"/>
          <w:kern w:val="2"/>
          <w:sz w:val="21"/>
          <w:szCs w:val="20"/>
          <w:highlight w:val="none"/>
          <w:lang w:val="en-US" w:eastAsia="zh-CN" w:bidi="ar"/>
        </w:rPr>
        <w:t>）本次招标采用的勘察费取费依据文件为：《工程勘察设计收费管理规定》（计价格［</w:t>
      </w:r>
      <w:r>
        <w:rPr>
          <w:rFonts w:hint="default" w:ascii="Times New Roman" w:hAnsi="Times New Roman" w:eastAsia="宋体" w:cs="Times New Roman"/>
          <w:color w:val="auto"/>
          <w:kern w:val="2"/>
          <w:sz w:val="21"/>
          <w:szCs w:val="20"/>
          <w:highlight w:val="none"/>
          <w:lang w:val="en-US" w:eastAsia="zh-CN" w:bidi="ar"/>
        </w:rPr>
        <w:t>2002</w:t>
      </w: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10</w:t>
      </w:r>
      <w:r>
        <w:rPr>
          <w:rFonts w:hint="eastAsia" w:ascii="Times New Roman" w:hAnsi="Times New Roman" w:eastAsia="宋体" w:cs="宋体"/>
          <w:color w:val="auto"/>
          <w:kern w:val="2"/>
          <w:sz w:val="21"/>
          <w:szCs w:val="20"/>
          <w:highlight w:val="none"/>
          <w:lang w:val="en-US" w:eastAsia="zh-CN" w:bidi="ar"/>
        </w:rPr>
        <w:t>号文）；</w:t>
      </w:r>
    </w:p>
    <w:p>
      <w:pPr>
        <w:keepNext w:val="0"/>
        <w:keepLines w:val="0"/>
        <w:widowControl w:val="0"/>
        <w:suppressLineNumbers w:val="0"/>
        <w:topLinePunct/>
        <w:spacing w:before="0" w:beforeAutospacing="0" w:after="0" w:afterAutospacing="0" w:line="360" w:lineRule="exact"/>
        <w:ind w:left="0" w:right="0" w:firstLine="420"/>
        <w:jc w:val="both"/>
        <w:rPr>
          <w:color w:val="auto"/>
          <w:highlight w:val="none"/>
          <w:lang w:val="en-US"/>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2</w:t>
      </w:r>
      <w:r>
        <w:rPr>
          <w:rFonts w:hint="eastAsia" w:ascii="Times New Roman" w:hAnsi="Times New Roman" w:eastAsia="宋体" w:cs="宋体"/>
          <w:color w:val="auto"/>
          <w:kern w:val="2"/>
          <w:sz w:val="21"/>
          <w:szCs w:val="20"/>
          <w:highlight w:val="none"/>
          <w:lang w:val="en-US" w:eastAsia="zh-CN" w:bidi="ar"/>
        </w:rPr>
        <w:t>）本次招标采用的设计费取费依据文件为：《关于印发国家电网有限公司输变电工程勘察设计费概算计列标准（</w:t>
      </w:r>
      <w:r>
        <w:rPr>
          <w:rFonts w:hint="default" w:ascii="Times New Roman" w:hAnsi="Times New Roman" w:eastAsia="宋体" w:cs="Times New Roman"/>
          <w:color w:val="auto"/>
          <w:kern w:val="2"/>
          <w:sz w:val="21"/>
          <w:szCs w:val="20"/>
          <w:highlight w:val="none"/>
          <w:lang w:val="en-US" w:eastAsia="zh-CN" w:bidi="ar"/>
        </w:rPr>
        <w:t>2014</w:t>
      </w:r>
      <w:r>
        <w:rPr>
          <w:rFonts w:hint="eastAsia" w:ascii="Times New Roman" w:hAnsi="Times New Roman" w:eastAsia="宋体" w:cs="宋体"/>
          <w:color w:val="auto"/>
          <w:kern w:val="2"/>
          <w:sz w:val="21"/>
          <w:szCs w:val="20"/>
          <w:highlight w:val="none"/>
          <w:lang w:val="en-US" w:eastAsia="zh-CN" w:bidi="ar"/>
        </w:rPr>
        <w:t>版）的通知》（国家电网电定〔</w:t>
      </w:r>
      <w:r>
        <w:rPr>
          <w:rFonts w:hint="default" w:ascii="Times New Roman" w:hAnsi="Times New Roman" w:eastAsia="宋体" w:cs="Times New Roman"/>
          <w:color w:val="auto"/>
          <w:kern w:val="2"/>
          <w:sz w:val="21"/>
          <w:szCs w:val="20"/>
          <w:highlight w:val="none"/>
          <w:lang w:val="en-US" w:eastAsia="zh-CN" w:bidi="ar"/>
        </w:rPr>
        <w:t>2014</w:t>
      </w: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19</w:t>
      </w:r>
      <w:r>
        <w:rPr>
          <w:rFonts w:hint="eastAsia" w:ascii="Times New Roman" w:hAnsi="Times New Roman" w:eastAsia="宋体" w:cs="宋体"/>
          <w:color w:val="auto"/>
          <w:kern w:val="2"/>
          <w:sz w:val="21"/>
          <w:szCs w:val="20"/>
          <w:highlight w:val="none"/>
          <w:lang w:val="en-US" w:eastAsia="zh-CN" w:bidi="ar"/>
        </w:rPr>
        <w:t>号文）。</w:t>
      </w:r>
    </w:p>
    <w:p>
      <w:pPr>
        <w:rPr>
          <w:rFonts w:hint="eastAsia" w:ascii="Times New Roman" w:hAnsi="Times New Roman" w:eastAsia="宋体" w:cs="宋体"/>
          <w:color w:val="auto"/>
          <w:kern w:val="2"/>
          <w:sz w:val="21"/>
          <w:szCs w:val="20"/>
          <w:highlight w:val="none"/>
          <w:lang w:val="en-US" w:eastAsia="zh-CN" w:bidi="ar"/>
        </w:rPr>
      </w:pPr>
      <w:r>
        <w:rPr>
          <w:rFonts w:hint="eastAsia" w:ascii="Times New Roman" w:hAnsi="Times New Roman" w:eastAsia="宋体" w:cs="宋体"/>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val="en-US" w:eastAsia="zh-CN" w:bidi="ar"/>
        </w:rPr>
        <w:t>3</w:t>
      </w:r>
      <w:r>
        <w:rPr>
          <w:rFonts w:hint="eastAsia" w:ascii="Times New Roman" w:hAnsi="Times New Roman" w:eastAsia="宋体" w:cs="宋体"/>
          <w:color w:val="auto"/>
          <w:kern w:val="2"/>
          <w:sz w:val="21"/>
          <w:szCs w:val="20"/>
          <w:highlight w:val="none"/>
          <w:lang w:val="en-US" w:eastAsia="zh-CN" w:bidi="ar"/>
        </w:rPr>
        <w:t>）勘察设计费报价文件的报价如有折扣，应明确各项费用的折扣比例，折扣后的报价应与投标函附表中的报价一致，否则视为无效报价。</w:t>
      </w:r>
    </w:p>
    <w:p>
      <w:pPr>
        <w:pStyle w:val="17"/>
        <w:rPr>
          <w:rFonts w:hint="eastAsia"/>
          <w:color w:val="auto"/>
          <w:highlight w:val="none"/>
          <w:lang w:val="en-US" w:eastAsia="zh-CN"/>
        </w:rPr>
      </w:pPr>
    </w:p>
    <w:p>
      <w:pPr>
        <w:pStyle w:val="17"/>
        <w:numPr>
          <w:ilvl w:val="0"/>
          <w:numId w:val="0"/>
        </w:numPr>
        <w:rPr>
          <w:rFonts w:hint="eastAsia" w:eastAsia="宋体" w:cs="Times New Roman"/>
          <w:b/>
          <w:bCs/>
          <w:color w:val="auto"/>
          <w:highlight w:val="none"/>
          <w:lang w:val="en-US" w:eastAsia="zh-CN"/>
        </w:rPr>
      </w:pPr>
      <w:r>
        <w:rPr>
          <w:rFonts w:hint="eastAsia" w:eastAsia="宋体" w:cs="Times New Roman"/>
          <w:b/>
          <w:bCs/>
          <w:color w:val="auto"/>
          <w:highlight w:val="none"/>
          <w:lang w:val="en-US" w:eastAsia="zh-CN"/>
        </w:rPr>
        <w:t>（二）监理项目报价说明</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1.报价依据：投标人的投标报价应以现行电力行业取费标准，（即</w:t>
      </w:r>
      <w:r>
        <w:rPr>
          <w:rFonts w:hint="eastAsia" w:ascii="Times New Roman" w:hAnsi="Times New Roman"/>
          <w:color w:val="auto"/>
          <w:szCs w:val="20"/>
          <w:highlight w:val="none"/>
          <w:lang w:bidi="ar"/>
        </w:rPr>
        <w:t>《电网工程建设预算编制与计算标准》（2025版）或《西藏地区电网工程建设预算编制与计算规定》（2023年版））</w:t>
      </w:r>
      <w:r>
        <w:rPr>
          <w:rFonts w:hint="eastAsia" w:ascii="Times New Roman" w:hAnsi="Times New Roman" w:eastAsia="宋体" w:cs="Times New Roman"/>
          <w:color w:val="auto"/>
          <w:kern w:val="2"/>
          <w:sz w:val="21"/>
          <w:szCs w:val="20"/>
          <w:highlight w:val="none"/>
          <w:lang w:val="en-US" w:eastAsia="zh-CN" w:bidi="ar"/>
        </w:rPr>
        <w:t>）为主要指导性依据、基于投标人须知及前附表3.2项对报价涵盖内容的定义、工程工期及现场调查情况并充分认识到工程监理工作内容及要求，结合自身经验，自行测算报价。</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2.报价范围：投标人的工程建设监理费报价为在工程项目建设期（工程前期、施工期、竣工投产移交期）、保修期、</w:t>
      </w:r>
      <w:r>
        <w:rPr>
          <w:rFonts w:hint="eastAsia" w:ascii="Times New Roman" w:hAnsi="Times New Roman"/>
          <w:color w:val="auto"/>
          <w:szCs w:val="20"/>
          <w:highlight w:val="none"/>
          <w:lang w:bidi="ar"/>
        </w:rPr>
        <w:t>工程达标评优阶段</w:t>
      </w:r>
      <w:r>
        <w:rPr>
          <w:rFonts w:hint="eastAsia" w:ascii="Times New Roman" w:hAnsi="Times New Roman" w:eastAsia="宋体" w:cs="Times New Roman"/>
          <w:color w:val="auto"/>
          <w:kern w:val="2"/>
          <w:sz w:val="21"/>
          <w:szCs w:val="20"/>
          <w:highlight w:val="none"/>
          <w:lang w:val="en-US" w:eastAsia="zh-CN" w:bidi="ar"/>
        </w:rPr>
        <w:t>，按照本招标文件的有关要求，包括合同条款要求、各种规程规范和标准要求、建设管理制度文件要求等完成招标文件所规定的监理工程师工作内容所需的所有费用。包括但不限于：为完成“三控制、两管理、一协调”工作以及履行建设工程安全生产管理法定职责的服务所需的所有人力、物力、财力投入的费用；为完成本工程建设任务而进行或开展的相关工程协调、检查、验收、审查、会议、达标和创优等所需发生的费用；所需缴纳的有关国家及地方税费以及合同包含的风险、责任等费用；为完成本次工程投标所需计列的成本费用以及拟定中标所需缴纳的招标代理服务费等费用。</w:t>
      </w:r>
    </w:p>
    <w:p>
      <w:pPr>
        <w:pStyle w:val="17"/>
        <w:jc w:val="center"/>
        <w:rPr>
          <w:rFonts w:hint="eastAsia" w:cs="Times New Roman"/>
          <w:b/>
          <w:bCs/>
          <w:color w:val="auto"/>
          <w:highlight w:val="none"/>
          <w:lang w:val="en-US" w:eastAsia="zh-CN"/>
        </w:rPr>
      </w:pPr>
    </w:p>
    <w:p>
      <w:pPr>
        <w:topLinePunct/>
        <w:spacing w:line="360" w:lineRule="exact"/>
        <w:ind w:firstLine="420" w:firstLineChars="200"/>
        <w:rPr>
          <w:color w:val="auto"/>
          <w:highlight w:val="none"/>
        </w:rPr>
      </w:pPr>
    </w:p>
    <w:p>
      <w:pPr>
        <w:rPr>
          <w:color w:val="auto"/>
          <w:highlight w:val="none"/>
        </w:rPr>
      </w:pPr>
    </w:p>
    <w:p>
      <w:pPr>
        <w:keepNext w:val="0"/>
        <w:keepLines w:val="0"/>
        <w:widowControl w:val="0"/>
        <w:suppressLineNumbers w:val="0"/>
        <w:topLinePunct/>
        <w:spacing w:before="0" w:beforeAutospacing="0" w:after="0" w:afterAutospacing="0" w:line="360" w:lineRule="exact"/>
        <w:ind w:right="0"/>
        <w:jc w:val="both"/>
        <w:rPr>
          <w:rFonts w:hint="default" w:ascii="Times New Roman" w:hAnsi="Times New Roman" w:eastAsia="宋体" w:cs="Times New Roman"/>
          <w:b/>
          <w:bCs/>
          <w:color w:val="auto"/>
          <w:kern w:val="2"/>
          <w:sz w:val="21"/>
          <w:szCs w:val="20"/>
          <w:highlight w:val="none"/>
          <w:lang w:val="en-US" w:eastAsia="zh-CN" w:bidi="ar"/>
        </w:rPr>
      </w:pPr>
      <w:r>
        <w:rPr>
          <w:rFonts w:hint="eastAsia" w:ascii="Times New Roman" w:hAnsi="Times New Roman" w:eastAsia="宋体" w:cs="Times New Roman"/>
          <w:b/>
          <w:bCs/>
          <w:color w:val="auto"/>
          <w:kern w:val="2"/>
          <w:sz w:val="21"/>
          <w:szCs w:val="20"/>
          <w:highlight w:val="none"/>
          <w:lang w:val="en-US" w:eastAsia="zh-CN" w:bidi="ar"/>
        </w:rPr>
        <w:t>（三）其他服务项目报价说明</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1. 报价范围</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投标人应按照本招标文件的有关要求（包括但不限于：合同条款要求、各种规程规范和标准要求、建设管理制度文件要求等）完成招标文件所规定的服务工作内容所需的所有费用，包括但不限于：为完成所有服务工作所需的所有人力、物力、财力投入的费用、为完成本项目而进行或开展的各种相关的协调、检查、验收、审查、会议、达标和创优等所需发生的各种费用、所需缴纳的有关国家及地方税费以及合同包含的所有风险、责任等各项费用。</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投标人应按本招标文件技术规范的规定，用图纸、清单和文字来界定供货和服务的范围和界限。</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2. 报价方式</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（1）投标人应基于上述报价涵盖内容，结合自身经验，自行测算报价。投标人应在充分阅读和理解招标文件的内容基础上认真测算报价，以满足工程实施的需要。</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（2）投标人所报服务费用应包括人员基本工资、加班费、各种津贴和补助。</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（3）报价表中每个细目，其数量由投标人根据合同要求和自身计划安排填写，并都须填入单价或总价。</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（4）符合合同条款规定的全部费用已被计入有标价的报价表细目中，未列细目的工作不予单独报价，其费用应视为已分摊在本合同的有关细目的单价或总价之中，招标人不另行支付。</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（5）报价表中标明的暂列金额，除合同另有规定外，须报经招标人批准后指令全部或部分地使用，或者根本不予动用。</w:t>
      </w:r>
    </w:p>
    <w:p>
      <w:pPr>
        <w:keepNext w:val="0"/>
        <w:keepLines w:val="0"/>
        <w:widowControl w:val="0"/>
        <w:suppressLineNumbers w:val="0"/>
        <w:topLinePunct/>
        <w:spacing w:before="0" w:beforeAutospacing="0" w:after="0" w:afterAutospacing="0" w:line="360" w:lineRule="exact"/>
        <w:ind w:left="0" w:right="0" w:firstLine="420"/>
        <w:jc w:val="both"/>
        <w:rPr>
          <w:rFonts w:hint="eastAsia" w:ascii="Times New Roman" w:hAnsi="Times New Roman" w:eastAsia="宋体" w:cs="Times New Roman"/>
          <w:color w:val="auto"/>
          <w:kern w:val="2"/>
          <w:sz w:val="21"/>
          <w:szCs w:val="20"/>
          <w:highlight w:val="none"/>
          <w:lang w:val="en-US" w:eastAsia="zh-CN" w:bidi="ar"/>
        </w:rPr>
      </w:pPr>
      <w:r>
        <w:rPr>
          <w:rFonts w:hint="eastAsia" w:ascii="Times New Roman" w:hAnsi="Times New Roman" w:eastAsia="宋体" w:cs="Times New Roman"/>
          <w:color w:val="auto"/>
          <w:kern w:val="2"/>
          <w:sz w:val="21"/>
          <w:szCs w:val="20"/>
          <w:highlight w:val="none"/>
          <w:lang w:val="en-US" w:eastAsia="zh-CN" w:bidi="ar"/>
        </w:rPr>
        <w:t>（6）若投标人中标，其投标价格即为招标人与投标人签订合同时的合同总价。合同签署后，合同总价是完成合同所规定的所有服务的全部报酬，任何一方不得以任何理由要求对合同总价作任何调整（合同另有规定除外）。</w:t>
      </w:r>
    </w:p>
    <w:p>
      <w:pPr>
        <w:pStyle w:val="17"/>
        <w:rPr>
          <w:color w:val="auto"/>
          <w:highlight w:val="none"/>
        </w:rPr>
        <w:sectPr>
          <w:headerReference r:id="rId7" w:type="default"/>
          <w:footerReference r:id="rId8" w:type="default"/>
          <w:pgSz w:w="11906" w:h="16838"/>
          <w:pgMar w:top="1134" w:right="1803" w:bottom="1134" w:left="1803" w:header="850" w:footer="992" w:gutter="0"/>
          <w:pgBorders>
            <w:top w:val="none" w:sz="0" w:space="0"/>
            <w:left w:val="none" w:sz="0" w:space="0"/>
            <w:bottom w:val="none" w:sz="0" w:space="0"/>
            <w:right w:val="none" w:sz="0" w:space="0"/>
          </w:pgBorders>
          <w:pgNumType w:fmt="decimal"/>
          <w:cols w:space="720" w:num="1"/>
          <w:docGrid w:linePitch="319" w:charSpace="0"/>
        </w:sectPr>
      </w:pP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59" w:name="_Toc62551542"/>
      <w:bookmarkStart w:id="60" w:name="_Toc62551543"/>
      <w:bookmarkStart w:id="61" w:name="_Toc29114"/>
      <w:bookmarkStart w:id="62" w:name="_Toc496718831"/>
      <w:r>
        <w:rPr>
          <w:rFonts w:hint="eastAsia" w:ascii="黑体" w:hAnsi="宋体" w:eastAsia="黑体"/>
          <w:color w:val="auto"/>
          <w:kern w:val="2"/>
          <w:sz w:val="24"/>
          <w:szCs w:val="24"/>
          <w:highlight w:val="none"/>
        </w:rPr>
        <w:t>总则</w:t>
      </w:r>
      <w:bookmarkEnd w:id="59"/>
      <w:bookmarkEnd w:id="60"/>
      <w:bookmarkEnd w:id="61"/>
      <w:bookmarkEnd w:id="62"/>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63" w:name="_bookmark21"/>
      <w:bookmarkEnd w:id="63"/>
      <w:bookmarkStart w:id="64" w:name="_Toc10280"/>
      <w:bookmarkStart w:id="65" w:name="_Toc23748"/>
      <w:bookmarkStart w:id="66" w:name="_Toc30064"/>
      <w:r>
        <w:rPr>
          <w:rFonts w:hint="eastAsia" w:ascii="黑体" w:eastAsia="黑体"/>
          <w:b/>
          <w:color w:val="auto"/>
          <w:kern w:val="2"/>
          <w:sz w:val="21"/>
          <w:szCs w:val="21"/>
          <w:highlight w:val="none"/>
        </w:rPr>
        <w:t>招标项目概况</w:t>
      </w:r>
      <w:bookmarkEnd w:id="64"/>
      <w:bookmarkEnd w:id="65"/>
      <w:bookmarkEnd w:id="66"/>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rFonts w:hint="eastAsia"/>
          <w:color w:val="auto"/>
          <w:kern w:val="2"/>
          <w:sz w:val="21"/>
          <w:szCs w:val="21"/>
          <w:highlight w:val="none"/>
        </w:rPr>
        <w:t>根据《中华人民共和国招标投标法》、《中华人民共和国招标投标法实施条例》等有关法律、法规和规章的规定，本招标项目已具备招标条件，现对项目进行招标。</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招标人：见投标人须知前附表。</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招标代理机构：见投标人须知前附表。</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招标项目名称：见投标人须知前附表。</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项目建设地点：见投标人须知前附表。</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项目建设规模：见投标人须知前附表。</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工程项目施工预计开工日期和建设周期：见投标人须知前附表。</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67" w:name="_bookmark22"/>
      <w:bookmarkEnd w:id="67"/>
      <w:bookmarkStart w:id="68" w:name="_Toc11413"/>
      <w:bookmarkStart w:id="69" w:name="_Toc28356"/>
      <w:bookmarkStart w:id="70" w:name="_Toc16743"/>
      <w:r>
        <w:rPr>
          <w:rFonts w:ascii="黑体" w:eastAsia="黑体"/>
          <w:b/>
          <w:color w:val="auto"/>
          <w:kern w:val="2"/>
          <w:sz w:val="21"/>
          <w:szCs w:val="21"/>
          <w:highlight w:val="none"/>
        </w:rPr>
        <w:t>招标项目的资金来源和落实情况</w:t>
      </w:r>
      <w:bookmarkEnd w:id="68"/>
      <w:bookmarkEnd w:id="69"/>
      <w:bookmarkEnd w:id="70"/>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bookmarkStart w:id="71" w:name="_Toc14873"/>
      <w:r>
        <w:rPr>
          <w:color w:val="auto"/>
          <w:kern w:val="2"/>
          <w:sz w:val="21"/>
          <w:szCs w:val="21"/>
          <w:highlight w:val="none"/>
        </w:rPr>
        <w:t>资金来源及比例：见投标人须知前附表。</w:t>
      </w:r>
      <w:bookmarkEnd w:id="71"/>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bookmarkStart w:id="72" w:name="_Toc9232"/>
      <w:r>
        <w:rPr>
          <w:color w:val="auto"/>
          <w:kern w:val="2"/>
          <w:sz w:val="21"/>
          <w:szCs w:val="21"/>
          <w:highlight w:val="none"/>
        </w:rPr>
        <w:t>资金落实情况：见投标人须知前附表。</w:t>
      </w:r>
      <w:bookmarkEnd w:id="72"/>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73" w:name="_bookmark23"/>
      <w:bookmarkEnd w:id="73"/>
      <w:bookmarkStart w:id="74" w:name="_Toc25821"/>
      <w:bookmarkStart w:id="75" w:name="_Toc21112"/>
      <w:bookmarkStart w:id="76" w:name="_Toc14963"/>
      <w:r>
        <w:rPr>
          <w:rFonts w:ascii="黑体" w:eastAsia="黑体"/>
          <w:b/>
          <w:color w:val="auto"/>
          <w:kern w:val="2"/>
          <w:sz w:val="21"/>
          <w:szCs w:val="21"/>
          <w:highlight w:val="none"/>
        </w:rPr>
        <w:t>招标范围、服务期限和质量标准</w:t>
      </w:r>
      <w:bookmarkEnd w:id="74"/>
      <w:bookmarkEnd w:id="75"/>
      <w:bookmarkEnd w:id="76"/>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bookmarkStart w:id="77" w:name="_Toc20937"/>
      <w:r>
        <w:rPr>
          <w:color w:val="auto"/>
          <w:kern w:val="2"/>
          <w:sz w:val="21"/>
          <w:szCs w:val="21"/>
          <w:highlight w:val="none"/>
        </w:rPr>
        <w:t>招标范围：见投标人须知前附表。</w:t>
      </w:r>
      <w:bookmarkEnd w:id="77"/>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bookmarkStart w:id="78" w:name="_Toc1515"/>
      <w:r>
        <w:rPr>
          <w:color w:val="auto"/>
          <w:kern w:val="2"/>
          <w:sz w:val="21"/>
          <w:szCs w:val="21"/>
          <w:highlight w:val="none"/>
        </w:rPr>
        <w:t>服务期限：见投标人须知前附表。</w:t>
      </w:r>
      <w:bookmarkEnd w:id="78"/>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bookmarkStart w:id="79" w:name="_Toc7730"/>
      <w:r>
        <w:rPr>
          <w:color w:val="auto"/>
          <w:kern w:val="2"/>
          <w:sz w:val="21"/>
          <w:szCs w:val="21"/>
          <w:highlight w:val="none"/>
        </w:rPr>
        <w:t>质量标准：见投标人须知前附表。</w:t>
      </w:r>
      <w:bookmarkEnd w:id="79"/>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80" w:name="_bookmark24"/>
      <w:bookmarkEnd w:id="80"/>
      <w:bookmarkStart w:id="81" w:name="_Toc10329"/>
      <w:bookmarkStart w:id="82" w:name="_Toc5763"/>
      <w:bookmarkStart w:id="83" w:name="_Toc20950"/>
      <w:r>
        <w:rPr>
          <w:rFonts w:ascii="黑体" w:eastAsia="黑体"/>
          <w:b/>
          <w:color w:val="auto"/>
          <w:kern w:val="2"/>
          <w:sz w:val="21"/>
          <w:szCs w:val="21"/>
          <w:highlight w:val="none"/>
        </w:rPr>
        <w:t>投标人资格要求</w:t>
      </w:r>
      <w:bookmarkEnd w:id="81"/>
      <w:bookmarkEnd w:id="82"/>
      <w:bookmarkEnd w:id="83"/>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投标人应具备承担本招标项目资质条件、能力和信誉：</w:t>
      </w:r>
    </w:p>
    <w:p>
      <w:pPr>
        <w:pStyle w:val="23"/>
        <w:tabs>
          <w:tab w:val="left" w:pos="0"/>
        </w:tabs>
        <w:spacing w:line="400" w:lineRule="exact"/>
        <w:ind w:firstLine="420" w:firstLineChars="200"/>
        <w:jc w:val="both"/>
        <w:rPr>
          <w:color w:val="auto"/>
          <w:kern w:val="2"/>
          <w:sz w:val="21"/>
          <w:highlight w:val="none"/>
        </w:rPr>
      </w:pPr>
      <w:bookmarkStart w:id="84" w:name="_Toc3215"/>
      <w:r>
        <w:rPr>
          <w:color w:val="auto"/>
          <w:kern w:val="2"/>
          <w:sz w:val="21"/>
          <w:highlight w:val="none"/>
        </w:rPr>
        <w:t>（1）资质要求：见投标人须知前附表；</w:t>
      </w:r>
      <w:bookmarkEnd w:id="84"/>
    </w:p>
    <w:p>
      <w:pPr>
        <w:pStyle w:val="23"/>
        <w:tabs>
          <w:tab w:val="left" w:pos="0"/>
        </w:tabs>
        <w:spacing w:line="400" w:lineRule="exact"/>
        <w:ind w:firstLine="420" w:firstLineChars="200"/>
        <w:jc w:val="both"/>
        <w:rPr>
          <w:color w:val="auto"/>
          <w:kern w:val="2"/>
          <w:sz w:val="21"/>
          <w:highlight w:val="none"/>
        </w:rPr>
      </w:pPr>
      <w:bookmarkStart w:id="85" w:name="_Toc26145"/>
      <w:r>
        <w:rPr>
          <w:color w:val="auto"/>
          <w:kern w:val="2"/>
          <w:sz w:val="21"/>
          <w:highlight w:val="none"/>
        </w:rPr>
        <w:t>（2）财务要求：见投标人须知前附表；</w:t>
      </w:r>
      <w:bookmarkEnd w:id="85"/>
    </w:p>
    <w:p>
      <w:pPr>
        <w:pStyle w:val="23"/>
        <w:tabs>
          <w:tab w:val="left" w:pos="0"/>
        </w:tabs>
        <w:spacing w:line="400" w:lineRule="exact"/>
        <w:ind w:firstLine="420" w:firstLineChars="200"/>
        <w:jc w:val="both"/>
        <w:rPr>
          <w:color w:val="auto"/>
          <w:kern w:val="2"/>
          <w:sz w:val="21"/>
          <w:highlight w:val="none"/>
        </w:rPr>
      </w:pPr>
      <w:bookmarkStart w:id="86" w:name="_Toc23612"/>
      <w:r>
        <w:rPr>
          <w:color w:val="auto"/>
          <w:kern w:val="2"/>
          <w:sz w:val="21"/>
          <w:highlight w:val="none"/>
        </w:rPr>
        <w:t>（3）业绩要求：见投标人须知前附表；</w:t>
      </w:r>
      <w:bookmarkEnd w:id="86"/>
    </w:p>
    <w:p>
      <w:pPr>
        <w:pStyle w:val="23"/>
        <w:tabs>
          <w:tab w:val="left" w:pos="0"/>
        </w:tabs>
        <w:spacing w:line="400" w:lineRule="exact"/>
        <w:ind w:firstLine="420" w:firstLineChars="200"/>
        <w:jc w:val="both"/>
        <w:rPr>
          <w:color w:val="auto"/>
          <w:kern w:val="2"/>
          <w:sz w:val="21"/>
          <w:highlight w:val="none"/>
        </w:rPr>
      </w:pPr>
      <w:bookmarkStart w:id="87" w:name="_Toc4004"/>
      <w:r>
        <w:rPr>
          <w:color w:val="auto"/>
          <w:kern w:val="2"/>
          <w:sz w:val="21"/>
          <w:highlight w:val="none"/>
        </w:rPr>
        <w:t>（4）信誉要求：见投标人须知前附表；</w:t>
      </w:r>
      <w:bookmarkEnd w:id="87"/>
    </w:p>
    <w:p>
      <w:pPr>
        <w:pStyle w:val="23"/>
        <w:tabs>
          <w:tab w:val="left" w:pos="0"/>
        </w:tabs>
        <w:spacing w:line="400" w:lineRule="exact"/>
        <w:ind w:firstLine="420" w:firstLineChars="200"/>
        <w:jc w:val="both"/>
        <w:rPr>
          <w:color w:val="auto"/>
          <w:kern w:val="2"/>
          <w:sz w:val="21"/>
          <w:highlight w:val="none"/>
        </w:rPr>
      </w:pPr>
      <w:bookmarkStart w:id="88" w:name="_Toc6573"/>
      <w:r>
        <w:rPr>
          <w:color w:val="auto"/>
          <w:kern w:val="2"/>
          <w:sz w:val="21"/>
          <w:highlight w:val="none"/>
        </w:rPr>
        <w:t>（5）技术负责人的资格要求：见投标人须知前附表；</w:t>
      </w:r>
      <w:bookmarkEnd w:id="88"/>
    </w:p>
    <w:p>
      <w:pPr>
        <w:pStyle w:val="23"/>
        <w:tabs>
          <w:tab w:val="left" w:pos="0"/>
        </w:tabs>
        <w:spacing w:line="400" w:lineRule="exact"/>
        <w:ind w:firstLine="420" w:firstLineChars="200"/>
        <w:jc w:val="both"/>
        <w:rPr>
          <w:color w:val="auto"/>
          <w:kern w:val="2"/>
          <w:sz w:val="21"/>
          <w:highlight w:val="none"/>
        </w:rPr>
      </w:pPr>
      <w:bookmarkStart w:id="89" w:name="_Toc7811"/>
      <w:r>
        <w:rPr>
          <w:color w:val="auto"/>
          <w:kern w:val="2"/>
          <w:sz w:val="21"/>
          <w:highlight w:val="none"/>
        </w:rPr>
        <w:t>（6）其他主要人员要求：见投标人须知前附表。</w:t>
      </w:r>
      <w:bookmarkEnd w:id="89"/>
    </w:p>
    <w:p>
      <w:pPr>
        <w:pStyle w:val="23"/>
        <w:tabs>
          <w:tab w:val="left" w:pos="0"/>
        </w:tabs>
        <w:spacing w:line="400" w:lineRule="exact"/>
        <w:ind w:firstLine="420" w:firstLineChars="200"/>
        <w:jc w:val="both"/>
        <w:rPr>
          <w:color w:val="auto"/>
          <w:kern w:val="2"/>
          <w:sz w:val="21"/>
          <w:highlight w:val="none"/>
        </w:rPr>
      </w:pPr>
      <w:bookmarkStart w:id="90" w:name="_Toc14371"/>
      <w:r>
        <w:rPr>
          <w:color w:val="auto"/>
          <w:kern w:val="2"/>
          <w:sz w:val="21"/>
          <w:highlight w:val="none"/>
        </w:rPr>
        <w:t>（7）试验检测仪器设备要求：见投标人须知前附表。</w:t>
      </w:r>
      <w:bookmarkEnd w:id="90"/>
    </w:p>
    <w:p>
      <w:pPr>
        <w:pStyle w:val="23"/>
        <w:tabs>
          <w:tab w:val="left" w:pos="0"/>
        </w:tabs>
        <w:spacing w:line="400" w:lineRule="exact"/>
        <w:ind w:firstLine="420" w:firstLineChars="200"/>
        <w:jc w:val="both"/>
        <w:rPr>
          <w:color w:val="auto"/>
          <w:kern w:val="2"/>
          <w:sz w:val="21"/>
          <w:highlight w:val="none"/>
        </w:rPr>
      </w:pPr>
      <w:bookmarkStart w:id="91" w:name="_Toc13"/>
      <w:r>
        <w:rPr>
          <w:color w:val="auto"/>
          <w:kern w:val="2"/>
          <w:sz w:val="21"/>
          <w:highlight w:val="none"/>
        </w:rPr>
        <w:t>（8）其他要求：见投标人须知前附表。</w:t>
      </w:r>
      <w:bookmarkEnd w:id="91"/>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需要提交的相关证明材料见本章第 3.5 款的规定。</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投标人须知前附表规定接受联合体投标的，联合体除应符合本章第 1.4.1项和投标人须知前附表的要求外，还应遵守以下规定：</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（1）联合体各方应按招标文件提供的格式签订联合体协议书，明确联合体牵头人和各方权利义务，并承诺就中标项目向招标人承担连带责任；</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（2）由同一专业的单位组成的联合体，按照资质等级较低的单位确定资质等级；</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（3）联合体各方不得再以自己名义单独或参加其他联合体在本招标项目中投标，否则各相关投标均无效。</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投标人不得存在下列情形之一：</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（1）为招标人不具有独立法人资格的附属机构（单位）；</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（2）与招标人存在利害关系且可能影响招标公正性；</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（3）与本招标项目的其他投标人为同一个单位负责人；</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（4）与本招标项目的其他投标人存在控股、管理关系；</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（5）为本招标项目的代建人；</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（6）为本招标项目的招标代理机构；</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（7）与本招标项目的代建人或招标代理机构同为一个</w:t>
      </w:r>
      <w:r>
        <w:rPr>
          <w:rFonts w:hint="eastAsia"/>
          <w:color w:val="auto"/>
          <w:kern w:val="2"/>
          <w:sz w:val="21"/>
          <w:highlight w:val="none"/>
        </w:rPr>
        <w:t>法定代表人（单位负责人）</w:t>
      </w:r>
      <w:r>
        <w:rPr>
          <w:color w:val="auto"/>
          <w:kern w:val="2"/>
          <w:sz w:val="21"/>
          <w:highlight w:val="none"/>
        </w:rPr>
        <w:t>；</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（8）</w:t>
      </w:r>
      <w:r>
        <w:rPr>
          <w:rFonts w:hint="eastAsia" w:cs="宋体"/>
          <w:color w:val="auto"/>
          <w:highlight w:val="none"/>
        </w:rPr>
        <w:t>与本招标项目的代建人或招标代理机构存在控股或参股关系</w:t>
      </w:r>
      <w:r>
        <w:rPr>
          <w:color w:val="auto"/>
          <w:kern w:val="2"/>
          <w:sz w:val="21"/>
          <w:highlight w:val="none"/>
        </w:rPr>
        <w:t>；</w:t>
      </w:r>
    </w:p>
    <w:p>
      <w:pPr>
        <w:pStyle w:val="23"/>
        <w:tabs>
          <w:tab w:val="left" w:pos="0"/>
        </w:tabs>
        <w:spacing w:line="400" w:lineRule="exact"/>
        <w:ind w:firstLine="420" w:firstLineChars="200"/>
        <w:jc w:val="both"/>
        <w:rPr>
          <w:color w:val="auto"/>
          <w:kern w:val="2"/>
          <w:sz w:val="21"/>
          <w:highlight w:val="none"/>
        </w:rPr>
      </w:pPr>
      <w:r>
        <w:rPr>
          <w:rFonts w:hint="eastAsia"/>
          <w:color w:val="auto"/>
          <w:kern w:val="2"/>
          <w:sz w:val="21"/>
          <w:highlight w:val="none"/>
        </w:rPr>
        <w:t>（9）与本招标项目的施工承包人以及建筑材料、建筑构配件和设备供应商有隶属关系或者其他利害关系（仅适用于监理项目）；</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（10）被依法暂停或者取消投标资格；</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（11）被责令停产停业、暂扣或者吊销许可证、暂扣或者吊销执照；</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（12）进入清算程序，或被宣告破产，或其他丧失履约能力的情形；</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（13）在最近三年内发生重大质量问题（以相关行业主管部门的行政处罚决定或司法机关出具的有关法律文书为准）；</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（14）被市场监督管理机关在</w:t>
      </w:r>
      <w:r>
        <w:rPr>
          <w:rFonts w:hint="eastAsia"/>
          <w:color w:val="auto"/>
          <w:kern w:val="2"/>
          <w:sz w:val="21"/>
          <w:highlight w:val="none"/>
        </w:rPr>
        <w:t>国家企业</w:t>
      </w:r>
      <w:r>
        <w:rPr>
          <w:color w:val="auto"/>
          <w:kern w:val="2"/>
          <w:sz w:val="21"/>
          <w:highlight w:val="none"/>
        </w:rPr>
        <w:t>信用信息公示系统中列入严重违法失信企业名单；</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（15）被最高人民法院在“信用中国”网站（</w:t>
      </w:r>
      <w:r>
        <w:rPr>
          <w:color w:val="auto"/>
          <w:highlight w:val="none"/>
        </w:rPr>
        <w:fldChar w:fldCharType="begin"/>
      </w:r>
      <w:r>
        <w:rPr>
          <w:color w:val="auto"/>
          <w:highlight w:val="none"/>
        </w:rPr>
        <w:instrText xml:space="preserve"> HYPERLINK "http://www.creditchina.gov.cn/" </w:instrText>
      </w:r>
      <w:r>
        <w:rPr>
          <w:color w:val="auto"/>
          <w:highlight w:val="none"/>
        </w:rPr>
        <w:fldChar w:fldCharType="separate"/>
      </w:r>
      <w:r>
        <w:rPr>
          <w:color w:val="auto"/>
          <w:kern w:val="2"/>
          <w:sz w:val="21"/>
          <w:highlight w:val="none"/>
        </w:rPr>
        <w:t>www.creditchina.gov.cn</w:t>
      </w:r>
      <w:r>
        <w:rPr>
          <w:color w:val="auto"/>
          <w:kern w:val="2"/>
          <w:sz w:val="21"/>
          <w:highlight w:val="none"/>
        </w:rPr>
        <w:fldChar w:fldCharType="end"/>
      </w:r>
      <w:r>
        <w:rPr>
          <w:color w:val="auto"/>
          <w:kern w:val="2"/>
          <w:sz w:val="21"/>
          <w:highlight w:val="none"/>
        </w:rPr>
        <w:t>）或各级信用信息共享平台中列入失信被执行人名单；</w:t>
      </w:r>
    </w:p>
    <w:p>
      <w:pPr>
        <w:pStyle w:val="23"/>
        <w:tabs>
          <w:tab w:val="left" w:pos="0"/>
        </w:tabs>
        <w:spacing w:line="400" w:lineRule="exact"/>
        <w:ind w:firstLine="420" w:firstLineChars="200"/>
        <w:jc w:val="both"/>
        <w:rPr>
          <w:color w:val="auto"/>
          <w:kern w:val="2"/>
          <w:sz w:val="21"/>
          <w:highlight w:val="none"/>
        </w:rPr>
      </w:pPr>
      <w:r>
        <w:rPr>
          <w:rFonts w:hint="eastAsia"/>
          <w:color w:val="auto"/>
          <w:kern w:val="2"/>
          <w:sz w:val="21"/>
          <w:highlight w:val="none"/>
        </w:rPr>
        <w:t>（16）在近三年内投标人或其法定代表人（单位负责人）、拟委任的项目负责人有</w:t>
      </w:r>
      <w:r>
        <w:rPr>
          <w:rFonts w:hint="eastAsia"/>
          <w:color w:val="auto"/>
          <w:kern w:val="2"/>
          <w:sz w:val="21"/>
          <w:highlight w:val="none"/>
          <w:lang w:eastAsia="zh-CN"/>
        </w:rPr>
        <w:t>行贿犯罪记录</w:t>
      </w:r>
      <w:r>
        <w:rPr>
          <w:rFonts w:hint="eastAsia"/>
          <w:color w:val="auto"/>
          <w:kern w:val="2"/>
          <w:sz w:val="21"/>
          <w:highlight w:val="none"/>
        </w:rPr>
        <w:t>的（要求投标人自行在中国裁判文书网查询确认，并作出承诺。）；</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（17）法律法规或投标人须知前附表规定的其他情形。</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92" w:name="_bookmark25"/>
      <w:bookmarkEnd w:id="92"/>
      <w:bookmarkStart w:id="93" w:name="_Toc31885"/>
      <w:bookmarkStart w:id="94" w:name="_Toc7512"/>
      <w:bookmarkStart w:id="95" w:name="_Toc606"/>
      <w:r>
        <w:rPr>
          <w:rFonts w:ascii="黑体" w:eastAsia="黑体"/>
          <w:b/>
          <w:color w:val="auto"/>
          <w:kern w:val="2"/>
          <w:sz w:val="21"/>
          <w:szCs w:val="21"/>
          <w:highlight w:val="none"/>
        </w:rPr>
        <w:t>费用承担</w:t>
      </w:r>
      <w:bookmarkEnd w:id="93"/>
      <w:bookmarkEnd w:id="94"/>
      <w:bookmarkEnd w:id="95"/>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投标人准备和参加投标活动发生的费用自理。</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96" w:name="_bookmark26"/>
      <w:bookmarkEnd w:id="96"/>
      <w:bookmarkStart w:id="97" w:name="_Toc12981"/>
      <w:bookmarkStart w:id="98" w:name="_Toc25584"/>
      <w:bookmarkStart w:id="99" w:name="_Toc114"/>
      <w:r>
        <w:rPr>
          <w:rFonts w:ascii="黑体" w:eastAsia="黑体"/>
          <w:b/>
          <w:color w:val="auto"/>
          <w:kern w:val="2"/>
          <w:sz w:val="21"/>
          <w:szCs w:val="21"/>
          <w:highlight w:val="none"/>
        </w:rPr>
        <w:t>保密</w:t>
      </w:r>
      <w:bookmarkEnd w:id="97"/>
      <w:bookmarkEnd w:id="98"/>
      <w:bookmarkEnd w:id="99"/>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参与招标投标活动的各方应对招标文件和投标文件中的商业和技术等秘密保密，否则应承担相应的法律责任。</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00" w:name="_bookmark27"/>
      <w:bookmarkEnd w:id="100"/>
      <w:bookmarkStart w:id="101" w:name="_Toc7633"/>
      <w:bookmarkStart w:id="102" w:name="_Toc17467"/>
      <w:bookmarkStart w:id="103" w:name="_Toc24985"/>
      <w:r>
        <w:rPr>
          <w:rFonts w:ascii="黑体" w:eastAsia="黑体"/>
          <w:b/>
          <w:color w:val="auto"/>
          <w:kern w:val="2"/>
          <w:sz w:val="21"/>
          <w:szCs w:val="21"/>
          <w:highlight w:val="none"/>
        </w:rPr>
        <w:t>语言文字</w:t>
      </w:r>
      <w:bookmarkEnd w:id="101"/>
      <w:bookmarkEnd w:id="102"/>
      <w:bookmarkEnd w:id="103"/>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招标投标文件使用的语言文字为中文。专用术语使用外文的，应附有中文注释。</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04" w:name="_bookmark28"/>
      <w:bookmarkEnd w:id="104"/>
      <w:bookmarkStart w:id="105" w:name="_Toc11702"/>
      <w:bookmarkStart w:id="106" w:name="_Toc27388"/>
      <w:bookmarkStart w:id="107" w:name="_Toc20165"/>
      <w:r>
        <w:rPr>
          <w:rFonts w:ascii="黑体" w:eastAsia="黑体"/>
          <w:b/>
          <w:color w:val="auto"/>
          <w:kern w:val="2"/>
          <w:sz w:val="21"/>
          <w:szCs w:val="21"/>
          <w:highlight w:val="none"/>
        </w:rPr>
        <w:t>计量单位</w:t>
      </w:r>
      <w:bookmarkEnd w:id="105"/>
      <w:bookmarkEnd w:id="106"/>
      <w:bookmarkEnd w:id="107"/>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所有计量均采用中华人民共和国法定计量单位。</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08" w:name="_bookmark29"/>
      <w:bookmarkEnd w:id="108"/>
      <w:bookmarkStart w:id="109" w:name="_Toc13701"/>
      <w:bookmarkStart w:id="110" w:name="_Toc29267"/>
      <w:bookmarkStart w:id="111" w:name="_Toc5636"/>
      <w:r>
        <w:rPr>
          <w:rFonts w:ascii="黑体" w:eastAsia="黑体"/>
          <w:b/>
          <w:color w:val="auto"/>
          <w:kern w:val="2"/>
          <w:sz w:val="21"/>
          <w:szCs w:val="21"/>
          <w:highlight w:val="none"/>
        </w:rPr>
        <w:t>踏勘现场</w:t>
      </w:r>
      <w:bookmarkEnd w:id="109"/>
      <w:bookmarkEnd w:id="110"/>
      <w:bookmarkEnd w:id="111"/>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投标人须知前附表规定组织踏勘现场的，招标人按投标人须知前附表规定的时间、地点组织投标人踏勘项目现场。部分投标人未按时参加踏勘现场的，不影响踏勘现场的正常进行。</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投标人踏勘现场发生的费用自理。</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除招标人的原因外，投标人自行负责在踏勘现场中所发生的人员伤亡和财产损失。</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招标人在踏勘现场中介绍的工程场地和相关的周边环境情况，供投标人在编制投标文件时参考，招标人不对投标人据此作出的判断和决策负责。</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12" w:name="_bookmark30"/>
      <w:bookmarkEnd w:id="112"/>
      <w:bookmarkStart w:id="113" w:name="_Toc26450"/>
      <w:bookmarkStart w:id="114" w:name="_Toc13237"/>
      <w:bookmarkStart w:id="115" w:name="_Toc24350"/>
      <w:r>
        <w:rPr>
          <w:rFonts w:ascii="黑体" w:eastAsia="黑体"/>
          <w:b/>
          <w:color w:val="auto"/>
          <w:kern w:val="2"/>
          <w:sz w:val="21"/>
          <w:szCs w:val="21"/>
          <w:highlight w:val="none"/>
        </w:rPr>
        <w:t>投标预备会</w:t>
      </w:r>
      <w:bookmarkEnd w:id="113"/>
      <w:bookmarkEnd w:id="114"/>
      <w:bookmarkEnd w:id="115"/>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投标人须知前附表规定召开投标预备会的，招标人按投标人须知前附表规定的时间和地点召开投标预备会，澄清投标人提出的问题。</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投标人应按投标人须知前附表规定的时间和形式将提出的问题送达招标人，以便招标人在会议期间澄清</w:t>
      </w:r>
      <w:r>
        <w:rPr>
          <w:rFonts w:hint="eastAsia"/>
          <w:color w:val="auto"/>
          <w:kern w:val="2"/>
          <w:sz w:val="21"/>
          <w:szCs w:val="21"/>
          <w:highlight w:val="none"/>
        </w:rPr>
        <w:t>。</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投标预备会后，招标人将对投标人所提问题的澄清，以投标人须知前附表规定的形式通知所有</w:t>
      </w:r>
      <w:r>
        <w:rPr>
          <w:rFonts w:hint="eastAsia"/>
          <w:color w:val="auto"/>
          <w:kern w:val="2"/>
          <w:sz w:val="21"/>
          <w:szCs w:val="21"/>
          <w:highlight w:val="none"/>
        </w:rPr>
        <w:t>获取</w:t>
      </w:r>
      <w:r>
        <w:rPr>
          <w:color w:val="auto"/>
          <w:kern w:val="2"/>
          <w:sz w:val="21"/>
          <w:szCs w:val="21"/>
          <w:highlight w:val="none"/>
        </w:rPr>
        <w:t>招标文件的投标人。该澄清内容为招标文件的组成部分</w:t>
      </w:r>
      <w:r>
        <w:rPr>
          <w:rFonts w:hint="eastAsia"/>
          <w:color w:val="auto"/>
          <w:kern w:val="2"/>
          <w:sz w:val="21"/>
          <w:szCs w:val="21"/>
          <w:highlight w:val="none"/>
        </w:rPr>
        <w:t>。</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16" w:name="_bookmark31"/>
      <w:bookmarkEnd w:id="116"/>
      <w:bookmarkStart w:id="117" w:name="_Toc3376"/>
      <w:bookmarkStart w:id="118" w:name="_Toc15754"/>
      <w:bookmarkStart w:id="119" w:name="_Toc27903"/>
      <w:r>
        <w:rPr>
          <w:rFonts w:ascii="黑体" w:eastAsia="黑体"/>
          <w:b/>
          <w:color w:val="auto"/>
          <w:kern w:val="2"/>
          <w:sz w:val="21"/>
          <w:szCs w:val="21"/>
          <w:highlight w:val="none"/>
        </w:rPr>
        <w:t>分包</w:t>
      </w:r>
      <w:bookmarkEnd w:id="117"/>
      <w:bookmarkEnd w:id="118"/>
      <w:bookmarkEnd w:id="119"/>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rFonts w:hint="eastAsia"/>
          <w:color w:val="auto"/>
          <w:kern w:val="2"/>
          <w:sz w:val="21"/>
          <w:szCs w:val="21"/>
          <w:highlight w:val="none"/>
        </w:rPr>
        <w:t>投标人拟在</w:t>
      </w:r>
      <w:r>
        <w:rPr>
          <w:color w:val="auto"/>
          <w:kern w:val="2"/>
          <w:sz w:val="21"/>
          <w:szCs w:val="21"/>
          <w:highlight w:val="none"/>
        </w:rPr>
        <w:t>中标后将中标项目的部分非主体</w:t>
      </w:r>
      <w:r>
        <w:rPr>
          <w:rFonts w:hint="eastAsia"/>
          <w:color w:val="auto"/>
          <w:kern w:val="2"/>
          <w:sz w:val="21"/>
          <w:szCs w:val="21"/>
          <w:highlight w:val="none"/>
        </w:rPr>
        <w:t>、非</w:t>
      </w:r>
      <w:r>
        <w:rPr>
          <w:color w:val="auto"/>
          <w:kern w:val="2"/>
          <w:sz w:val="21"/>
          <w:szCs w:val="21"/>
          <w:highlight w:val="none"/>
        </w:rPr>
        <w:t>关键性工作进行分包的，</w:t>
      </w:r>
      <w:r>
        <w:rPr>
          <w:rFonts w:hint="eastAsia"/>
          <w:color w:val="auto"/>
          <w:kern w:val="2"/>
          <w:sz w:val="21"/>
          <w:szCs w:val="21"/>
          <w:highlight w:val="none"/>
        </w:rPr>
        <w:t>应</w:t>
      </w:r>
      <w:r>
        <w:rPr>
          <w:color w:val="auto"/>
          <w:kern w:val="2"/>
          <w:sz w:val="21"/>
          <w:szCs w:val="21"/>
          <w:highlight w:val="none"/>
        </w:rPr>
        <w:t>符合投标人需知前附表规定的分包内容，分包金额和接受分包的第三人资质要求等限制性条件。</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20" w:name="_bookmark32"/>
      <w:bookmarkEnd w:id="120"/>
      <w:bookmarkStart w:id="121" w:name="_Toc30400"/>
      <w:bookmarkStart w:id="122" w:name="_Toc31116"/>
      <w:bookmarkStart w:id="123" w:name="_Toc25847"/>
      <w:r>
        <w:rPr>
          <w:rFonts w:ascii="黑体" w:eastAsia="黑体"/>
          <w:b/>
          <w:color w:val="auto"/>
          <w:kern w:val="2"/>
          <w:sz w:val="21"/>
          <w:szCs w:val="21"/>
          <w:highlight w:val="none"/>
        </w:rPr>
        <w:t>响应和偏差</w:t>
      </w:r>
      <w:bookmarkEnd w:id="121"/>
      <w:bookmarkEnd w:id="122"/>
      <w:bookmarkEnd w:id="123"/>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投标文件应当对招标文件的实质性要求和条件作出满足性或更有利于招标人的响应，否则，投标人的投标将被否决。实质性要求和条件见投标人须知前附表。</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投标人应根据招标文件的要求提供投标</w:t>
      </w:r>
      <w:r>
        <w:rPr>
          <w:rFonts w:hint="eastAsia"/>
          <w:color w:val="auto"/>
          <w:kern w:val="2"/>
          <w:sz w:val="21"/>
          <w:szCs w:val="21"/>
          <w:highlight w:val="none"/>
        </w:rPr>
        <w:t>技术方案</w:t>
      </w:r>
      <w:r>
        <w:rPr>
          <w:color w:val="auto"/>
          <w:kern w:val="2"/>
          <w:sz w:val="21"/>
          <w:szCs w:val="21"/>
          <w:highlight w:val="none"/>
        </w:rPr>
        <w:t>等内容以对招标文件作出响应。</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投标人须知前附表允许投标文件偏离招标文件某些要求的，偏差应当符合招标文件规定的偏差范围和幅度。</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24" w:name="_bookmark33"/>
      <w:bookmarkEnd w:id="124"/>
      <w:bookmarkStart w:id="125" w:name="_Toc20462"/>
      <w:bookmarkStart w:id="126" w:name="_Toc62551544"/>
      <w:bookmarkStart w:id="127" w:name="_Toc496718832"/>
      <w:r>
        <w:rPr>
          <w:rFonts w:ascii="黑体" w:hAnsi="宋体" w:eastAsia="黑体"/>
          <w:color w:val="auto"/>
          <w:kern w:val="2"/>
          <w:sz w:val="24"/>
          <w:szCs w:val="24"/>
          <w:highlight w:val="none"/>
        </w:rPr>
        <w:t>招标文件</w:t>
      </w:r>
      <w:bookmarkEnd w:id="125"/>
      <w:bookmarkEnd w:id="126"/>
      <w:bookmarkEnd w:id="127"/>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28" w:name="_bookmark34"/>
      <w:bookmarkEnd w:id="128"/>
      <w:r>
        <w:rPr>
          <w:rFonts w:ascii="黑体" w:eastAsia="黑体"/>
          <w:b/>
          <w:color w:val="auto"/>
          <w:kern w:val="2"/>
          <w:sz w:val="21"/>
          <w:szCs w:val="21"/>
          <w:highlight w:val="none"/>
        </w:rPr>
        <w:t>招标文件的组成</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本招标文件包括：</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w:t>
      </w:r>
      <w:r>
        <w:rPr>
          <w:rFonts w:hint="eastAsia"/>
          <w:color w:val="auto"/>
          <w:kern w:val="2"/>
          <w:sz w:val="21"/>
          <w:highlight w:val="none"/>
        </w:rPr>
        <w:t>1</w:t>
      </w:r>
      <w:r>
        <w:rPr>
          <w:color w:val="auto"/>
          <w:kern w:val="2"/>
          <w:sz w:val="21"/>
          <w:highlight w:val="none"/>
        </w:rPr>
        <w:t>）招标公告（或投标邀请书</w:t>
      </w:r>
      <w:r>
        <w:rPr>
          <w:rFonts w:hint="eastAsia"/>
          <w:color w:val="auto"/>
          <w:kern w:val="2"/>
          <w:sz w:val="21"/>
          <w:highlight w:val="none"/>
        </w:rPr>
        <w:t>）</w:t>
      </w:r>
      <w:r>
        <w:rPr>
          <w:color w:val="auto"/>
          <w:kern w:val="2"/>
          <w:sz w:val="21"/>
          <w:highlight w:val="none"/>
        </w:rPr>
        <w:t>；</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（2）投标人须知；</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（3）评标办法；</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（4）合同条款及格式；</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（5）委托人要求；</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（6）投标文件格式；</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（7）投标人须知前附表规定的其他资料。</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根据本章第1.10款、第2.2款和第2.3款对招标文件所作的澄清、修改，构成招标文件的组成部分。</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29" w:name="_bookmark35"/>
      <w:bookmarkEnd w:id="129"/>
      <w:r>
        <w:rPr>
          <w:rFonts w:ascii="黑体" w:eastAsia="黑体"/>
          <w:b/>
          <w:color w:val="auto"/>
          <w:kern w:val="2"/>
          <w:sz w:val="21"/>
          <w:szCs w:val="21"/>
          <w:highlight w:val="none"/>
        </w:rPr>
        <w:t>招标文件的澄清</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招标文件的澄清以投标人须知前附表规定的形式发给所有</w:t>
      </w:r>
      <w:r>
        <w:rPr>
          <w:rFonts w:hint="eastAsia"/>
          <w:color w:val="auto"/>
          <w:kern w:val="2"/>
          <w:sz w:val="21"/>
          <w:szCs w:val="21"/>
          <w:highlight w:val="none"/>
        </w:rPr>
        <w:t>获取</w:t>
      </w:r>
      <w:r>
        <w:rPr>
          <w:color w:val="auto"/>
          <w:kern w:val="2"/>
          <w:sz w:val="21"/>
          <w:szCs w:val="21"/>
          <w:highlight w:val="none"/>
        </w:rPr>
        <w:t>招标文件的投标人，但不指明澄清问题的来源。澄清发出的时间距本章第4.2.1项规定的投标截止时间不足15日的，并且澄清内容可能影响投标文件编制的，将相应延长投标截止时间。</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投标人在收到澄清后，应按投标人须知前附表规定的时间和形式通知招标人，确认已收到该澄清。</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除非招标人认为确有必要答复，否则，招标人有权拒绝回复投标人在本章第2.2.1项规定的时间后的任何澄清要求。</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30" w:name="_bookmark36"/>
      <w:bookmarkEnd w:id="130"/>
      <w:r>
        <w:rPr>
          <w:rFonts w:ascii="黑体" w:eastAsia="黑体"/>
          <w:b/>
          <w:color w:val="auto"/>
          <w:kern w:val="2"/>
          <w:sz w:val="21"/>
          <w:szCs w:val="21"/>
          <w:highlight w:val="none"/>
        </w:rPr>
        <w:t>招标文件的修改</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招标人以投标人须知前附表规定的形式修改招标文件，并通知所有已</w:t>
      </w:r>
      <w:r>
        <w:rPr>
          <w:rFonts w:hint="eastAsia"/>
          <w:color w:val="auto"/>
          <w:kern w:val="2"/>
          <w:sz w:val="21"/>
          <w:szCs w:val="21"/>
          <w:highlight w:val="none"/>
        </w:rPr>
        <w:t>获取</w:t>
      </w:r>
      <w:r>
        <w:rPr>
          <w:color w:val="auto"/>
          <w:kern w:val="2"/>
          <w:sz w:val="21"/>
          <w:szCs w:val="21"/>
          <w:highlight w:val="none"/>
        </w:rPr>
        <w:t>招标文件的投标人。修改招标文件的时间距本章第4.2.1项规定的投标截止时间不足15日的，并且修改内容可能影响投标文件编制的，将相应延长投标截止时间。</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投标人收到修改内容后，应按投标人须知前附表规定的时间和形式通知招标人，确认已收到该修改。</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31" w:name="_bookmark37"/>
      <w:bookmarkEnd w:id="131"/>
      <w:r>
        <w:rPr>
          <w:rFonts w:ascii="黑体" w:eastAsia="黑体"/>
          <w:b/>
          <w:color w:val="auto"/>
          <w:kern w:val="2"/>
          <w:sz w:val="21"/>
          <w:szCs w:val="21"/>
          <w:highlight w:val="none"/>
        </w:rPr>
        <w:t>招标文件的异议</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投标人或者其他利害关系人对招标文件有异议的，应当在投标截止时间10日前以书面形式提出。招标人将在收到异议之日起3日内作出答复；作出答复前，将暂停招标投标活动。</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32" w:name="_bookmark38"/>
      <w:bookmarkEnd w:id="132"/>
      <w:bookmarkStart w:id="133" w:name="_Toc496718833"/>
      <w:bookmarkStart w:id="134" w:name="_Toc3281"/>
      <w:bookmarkStart w:id="135" w:name="_Toc62551545"/>
      <w:r>
        <w:rPr>
          <w:rFonts w:ascii="黑体" w:hAnsi="宋体" w:eastAsia="黑体"/>
          <w:color w:val="auto"/>
          <w:kern w:val="2"/>
          <w:sz w:val="24"/>
          <w:szCs w:val="24"/>
          <w:highlight w:val="none"/>
        </w:rPr>
        <w:t>投标文件</w:t>
      </w:r>
      <w:bookmarkEnd w:id="133"/>
      <w:bookmarkEnd w:id="134"/>
      <w:bookmarkEnd w:id="135"/>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36" w:name="_bookmark40"/>
      <w:bookmarkEnd w:id="136"/>
      <w:bookmarkStart w:id="137" w:name="_bookmark39"/>
      <w:bookmarkEnd w:id="137"/>
      <w:r>
        <w:rPr>
          <w:rFonts w:ascii="黑体" w:eastAsia="黑体"/>
          <w:b/>
          <w:color w:val="auto"/>
          <w:kern w:val="2"/>
          <w:sz w:val="21"/>
          <w:szCs w:val="21"/>
          <w:highlight w:val="none"/>
        </w:rPr>
        <w:t>投标文件的组成</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投标文件应包括下列内容：</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（1）投标函及投标函附录；</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（2）</w:t>
      </w:r>
      <w:r>
        <w:rPr>
          <w:rFonts w:hint="eastAsia"/>
          <w:color w:val="auto"/>
          <w:kern w:val="2"/>
          <w:sz w:val="21"/>
          <w:highlight w:val="none"/>
        </w:rPr>
        <w:t>法定代表人（单位负责人）</w:t>
      </w:r>
      <w:r>
        <w:rPr>
          <w:color w:val="auto"/>
          <w:kern w:val="2"/>
          <w:sz w:val="21"/>
          <w:highlight w:val="none"/>
        </w:rPr>
        <w:t>身份证明或授权委托书；</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（3）联合体协议书；</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（4）投标保证金；</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（5）</w:t>
      </w:r>
      <w:r>
        <w:rPr>
          <w:rFonts w:hint="eastAsia"/>
          <w:color w:val="auto"/>
          <w:kern w:val="2"/>
          <w:sz w:val="21"/>
          <w:highlight w:val="none"/>
        </w:rPr>
        <w:t>报价文件</w:t>
      </w:r>
      <w:r>
        <w:rPr>
          <w:color w:val="auto"/>
          <w:kern w:val="2"/>
          <w:sz w:val="21"/>
          <w:highlight w:val="none"/>
        </w:rPr>
        <w:t>；</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（6）资格审查资料；</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（7）</w:t>
      </w:r>
      <w:r>
        <w:rPr>
          <w:rFonts w:hint="eastAsia"/>
          <w:color w:val="auto"/>
          <w:kern w:val="2"/>
          <w:sz w:val="21"/>
          <w:highlight w:val="none"/>
        </w:rPr>
        <w:t>技术方案</w:t>
      </w:r>
      <w:r>
        <w:rPr>
          <w:color w:val="auto"/>
          <w:kern w:val="2"/>
          <w:sz w:val="21"/>
          <w:highlight w:val="none"/>
        </w:rPr>
        <w:t>；</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（8）投标人须知前附表规定的其他资料。</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投标人在评标过程中作出的符合法律法规和招标文件规定的澄清确认，构成投标文件的组成部分。</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投标人须知前附表规定不接受联合体投标的，或投标人没有组成联合体的，投标文件不包括本章第3.1.1（3）目所指的联合体协议书。</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投标人须知前附表未要求提交投标保证金的，投标文件不包括本章第3.1.1（4）目所指的投标保证金。</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r>
        <w:rPr>
          <w:rFonts w:ascii="黑体" w:eastAsia="黑体"/>
          <w:b/>
          <w:color w:val="auto"/>
          <w:kern w:val="2"/>
          <w:sz w:val="21"/>
          <w:szCs w:val="21"/>
          <w:highlight w:val="none"/>
        </w:rPr>
        <w:t>投标报价</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投标报价应包括国家规定的增值税税金，除投标人须知前附表另有规定外，</w:t>
      </w:r>
      <w:r>
        <w:rPr>
          <w:color w:val="auto"/>
          <w:highlight w:val="none"/>
        </w:rPr>
        <w:t>增值税税金按一般计税方法计算。</w:t>
      </w:r>
      <w:r>
        <w:rPr>
          <w:color w:val="auto"/>
          <w:kern w:val="2"/>
          <w:sz w:val="21"/>
          <w:szCs w:val="21"/>
          <w:highlight w:val="none"/>
        </w:rPr>
        <w:t>投标人应按第</w:t>
      </w:r>
      <w:r>
        <w:rPr>
          <w:rFonts w:hint="eastAsia"/>
          <w:color w:val="auto"/>
          <w:kern w:val="2"/>
          <w:sz w:val="21"/>
          <w:szCs w:val="21"/>
          <w:highlight w:val="none"/>
        </w:rPr>
        <w:t>六</w:t>
      </w:r>
      <w:r>
        <w:rPr>
          <w:color w:val="auto"/>
          <w:kern w:val="2"/>
          <w:sz w:val="21"/>
          <w:szCs w:val="21"/>
          <w:highlight w:val="none"/>
        </w:rPr>
        <w:t>章“投标文件格式”的要求在投标函中进行报价并填写</w:t>
      </w:r>
      <w:r>
        <w:rPr>
          <w:rFonts w:hint="eastAsia"/>
          <w:color w:val="auto"/>
          <w:kern w:val="2"/>
          <w:sz w:val="21"/>
          <w:szCs w:val="21"/>
          <w:highlight w:val="none"/>
        </w:rPr>
        <w:t>报价文件</w:t>
      </w:r>
      <w:r>
        <w:rPr>
          <w:color w:val="auto"/>
          <w:kern w:val="2"/>
          <w:sz w:val="21"/>
          <w:szCs w:val="21"/>
          <w:highlight w:val="none"/>
        </w:rPr>
        <w:t>。</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投标人应充分了解该项目的总体情况以及影响投标报价的其他要素。</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本项目的报价方式见投标人须知前附表。投标人在投标截止时间前修改投标函中的投标报价总额，应同时修改投标文件</w:t>
      </w:r>
      <w:r>
        <w:rPr>
          <w:rFonts w:hint="eastAsia"/>
          <w:color w:val="auto"/>
          <w:kern w:val="2"/>
          <w:sz w:val="21"/>
          <w:szCs w:val="21"/>
          <w:highlight w:val="none"/>
        </w:rPr>
        <w:t>报价文件</w:t>
      </w:r>
      <w:r>
        <w:rPr>
          <w:color w:val="auto"/>
          <w:kern w:val="2"/>
          <w:sz w:val="21"/>
          <w:szCs w:val="21"/>
          <w:highlight w:val="none"/>
        </w:rPr>
        <w:t>中的相应报价。此修改须符合本章第 4.3款的有关要求。</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招标人设有</w:t>
      </w:r>
      <w:r>
        <w:rPr>
          <w:rFonts w:hint="eastAsia"/>
          <w:color w:val="auto"/>
          <w:kern w:val="2"/>
          <w:sz w:val="21"/>
          <w:szCs w:val="21"/>
          <w:highlight w:val="none"/>
          <w:lang w:eastAsia="zh-CN"/>
        </w:rPr>
        <w:t>最高限价</w:t>
      </w:r>
      <w:r>
        <w:rPr>
          <w:color w:val="auto"/>
          <w:kern w:val="2"/>
          <w:sz w:val="21"/>
          <w:szCs w:val="21"/>
          <w:highlight w:val="none"/>
        </w:rPr>
        <w:t>的，投标人的投标报价不得超过</w:t>
      </w:r>
      <w:r>
        <w:rPr>
          <w:rFonts w:hint="eastAsia"/>
          <w:color w:val="auto"/>
          <w:kern w:val="2"/>
          <w:sz w:val="21"/>
          <w:szCs w:val="21"/>
          <w:highlight w:val="none"/>
          <w:lang w:eastAsia="zh-CN"/>
        </w:rPr>
        <w:t>最高限价</w:t>
      </w:r>
      <w:r>
        <w:rPr>
          <w:color w:val="auto"/>
          <w:kern w:val="2"/>
          <w:sz w:val="21"/>
          <w:szCs w:val="21"/>
          <w:highlight w:val="none"/>
        </w:rPr>
        <w:t>，</w:t>
      </w:r>
      <w:r>
        <w:rPr>
          <w:rFonts w:hint="eastAsia"/>
          <w:color w:val="auto"/>
          <w:kern w:val="2"/>
          <w:sz w:val="21"/>
          <w:szCs w:val="21"/>
          <w:highlight w:val="none"/>
          <w:lang w:eastAsia="zh-CN"/>
        </w:rPr>
        <w:t>最高限价</w:t>
      </w:r>
      <w:r>
        <w:rPr>
          <w:color w:val="auto"/>
          <w:kern w:val="2"/>
          <w:sz w:val="21"/>
          <w:szCs w:val="21"/>
          <w:highlight w:val="none"/>
        </w:rPr>
        <w:t>在投标人须知前附表中载明。</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投标报价的其他要求见投标人须知前附表。</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38" w:name="_bookmark41"/>
      <w:bookmarkEnd w:id="138"/>
      <w:r>
        <w:rPr>
          <w:rFonts w:ascii="黑体" w:eastAsia="黑体"/>
          <w:b/>
          <w:color w:val="auto"/>
          <w:kern w:val="2"/>
          <w:sz w:val="21"/>
          <w:szCs w:val="21"/>
          <w:highlight w:val="none"/>
        </w:rPr>
        <w:t>投标有效期</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除投标人须知前附表另有规定外，投标有效期为 90</w:t>
      </w:r>
      <w:r>
        <w:rPr>
          <w:rFonts w:hint="eastAsia"/>
          <w:color w:val="auto"/>
          <w:kern w:val="2"/>
          <w:sz w:val="21"/>
          <w:szCs w:val="21"/>
          <w:highlight w:val="none"/>
        </w:rPr>
        <w:t>日</w:t>
      </w:r>
      <w:r>
        <w:rPr>
          <w:color w:val="auto"/>
          <w:kern w:val="2"/>
          <w:sz w:val="21"/>
          <w:szCs w:val="21"/>
          <w:highlight w:val="none"/>
        </w:rPr>
        <w:t>。</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在投标有效期内，投标人撤销投标文件的，应承担招标文件和法律规定的责任。</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及以现金或者支票形式递交的投标保证金的银行同期存款利息。</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39" w:name="_bookmark42"/>
      <w:bookmarkEnd w:id="139"/>
      <w:r>
        <w:rPr>
          <w:rFonts w:ascii="黑体" w:eastAsia="黑体"/>
          <w:b/>
          <w:color w:val="auto"/>
          <w:kern w:val="2"/>
          <w:sz w:val="21"/>
          <w:szCs w:val="21"/>
          <w:highlight w:val="none"/>
        </w:rPr>
        <w:t>投标保证金</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投标人在递交投标文件的同时，应按投标人须知前附表规定的金额、形式和第</w:t>
      </w:r>
      <w:r>
        <w:rPr>
          <w:rFonts w:hint="eastAsia"/>
          <w:color w:val="auto"/>
          <w:kern w:val="2"/>
          <w:sz w:val="21"/>
          <w:szCs w:val="21"/>
          <w:highlight w:val="none"/>
        </w:rPr>
        <w:t>六</w:t>
      </w:r>
      <w:r>
        <w:rPr>
          <w:color w:val="auto"/>
          <w:kern w:val="2"/>
          <w:sz w:val="21"/>
          <w:szCs w:val="21"/>
          <w:highlight w:val="none"/>
        </w:rPr>
        <w:t>章“投标文件格式”规定的投标保证金格式递交投标保证金，并作为其投标文件的组成部分。境内投标人以现金或者支票形式提交的投标保证金，应当从其基本账户转出并在投标文件中附上基本账户开户证明。联合体投标的，其投标保证金可以由牵头人递交，并应符合投标人须知前附表的规定。</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投标人不按本章第 3.4.1 项要求提交投标保证金的，评标委员会将否决其投标。</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招标人最迟将在与中标人签订合同后 5日内，向未中标的投标人和中标人退还投标保证金。投标保证金以现金或者支票形式递交的，还应退还银行同期存款利息。</w:t>
      </w:r>
      <w:r>
        <w:rPr>
          <w:rFonts w:hint="eastAsia"/>
          <w:color w:val="auto"/>
          <w:kern w:val="2"/>
          <w:sz w:val="21"/>
          <w:szCs w:val="21"/>
          <w:highlight w:val="none"/>
          <w:lang w:val="en-US"/>
        </w:rPr>
        <w:t>以投标保证保险形式提交的投标保证金，投标保证保险保单载明的保险期间届满后自动失效，不另行退还。</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有下列情形之一的，投标保证金将不予退还：</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（1）投标人在投标有效期内撤销投标文件；</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（2）中标人在收到中标通知书后，无正当理由不与招标人订立合同，在签订合同时向招标人提出附加条件，或者不按照招标文件要求提交履约保证金；</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（3）发生投标人须知前附表规定的其他可以不予退还投标保证金的情形。</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40" w:name="_bookmark43"/>
      <w:bookmarkEnd w:id="140"/>
      <w:bookmarkStart w:id="141" w:name="_bookmark44"/>
      <w:bookmarkEnd w:id="141"/>
      <w:r>
        <w:rPr>
          <w:rFonts w:ascii="黑体" w:eastAsia="黑体"/>
          <w:b/>
          <w:color w:val="auto"/>
          <w:kern w:val="2"/>
          <w:sz w:val="21"/>
          <w:szCs w:val="21"/>
          <w:highlight w:val="none"/>
        </w:rPr>
        <w:t>资格审查资料</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除投标人须知前附表另有规定外，投标人应按下列规定提供资格审查资料，以证明其满足本章第 1.4 款规定的资质、财务、业绩、信誉等要求。</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“投标人基本情况表”应附投标人营业执照和组织机构代码证的复印件（按照“三证合一” 或“五证合一”登记制度进行登记的，可仅提供营业执照复印件）、投标人资质证书副本等材料的复印件。</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“近年财务状况表”应附经会计师事务所或审计机构审计的财务会计报表，包括资产负债表、现金流量表、利润表和</w:t>
      </w:r>
      <w:r>
        <w:rPr>
          <w:rFonts w:hint="eastAsia"/>
          <w:color w:val="auto"/>
          <w:kern w:val="2"/>
          <w:sz w:val="21"/>
          <w:szCs w:val="21"/>
          <w:highlight w:val="none"/>
        </w:rPr>
        <w:t>财务报表附注</w:t>
      </w:r>
      <w:r>
        <w:rPr>
          <w:color w:val="auto"/>
          <w:kern w:val="2"/>
          <w:sz w:val="21"/>
          <w:szCs w:val="21"/>
          <w:highlight w:val="none"/>
        </w:rPr>
        <w:t>复印件，具体年份要求见投标人须知前附表。投标人的成立时间少于投标人须知前附表规定年份的，应提供成立以来的财务状况表。</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“近年完成的类似项目情况表”应附中标通知书和（或）合同协议书、委托人出具的证明文件；具体时间要求见投标人须知前附表，每张表格只填写一个项目，并标明序号。</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“正在</w:t>
      </w:r>
      <w:r>
        <w:rPr>
          <w:rFonts w:hint="eastAsia"/>
          <w:color w:val="auto"/>
          <w:kern w:val="2"/>
          <w:sz w:val="21"/>
          <w:szCs w:val="21"/>
          <w:highlight w:val="none"/>
        </w:rPr>
        <w:t>进行</w:t>
      </w:r>
      <w:r>
        <w:rPr>
          <w:color w:val="auto"/>
          <w:kern w:val="2"/>
          <w:sz w:val="21"/>
          <w:szCs w:val="21"/>
          <w:highlight w:val="none"/>
        </w:rPr>
        <w:t>和新承接的项目情况表”应附中标通知书和（或）合同协议书复印件。每张表格只填写一个项目，并标明序号。</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“近年发生的诉讼及仲裁情况”应说明投标人败诉的</w:t>
      </w:r>
      <w:r>
        <w:rPr>
          <w:rFonts w:hint="eastAsia"/>
          <w:color w:val="auto"/>
          <w:kern w:val="2"/>
          <w:sz w:val="21"/>
          <w:szCs w:val="21"/>
          <w:highlight w:val="none"/>
        </w:rPr>
        <w:t>服务</w:t>
      </w:r>
      <w:r>
        <w:rPr>
          <w:color w:val="auto"/>
          <w:kern w:val="2"/>
          <w:sz w:val="21"/>
          <w:szCs w:val="21"/>
          <w:highlight w:val="none"/>
        </w:rPr>
        <w:t>合同的相关情况，并附法院或仲裁机构作出的判决、裁决等有关法律文书复印件，具体时间要求见投标人须知前附表。</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“拟委任的主要人员汇总表”应填报满足本章第 1.4.1项规定的</w:t>
      </w:r>
      <w:r>
        <w:rPr>
          <w:rFonts w:hint="eastAsia"/>
          <w:color w:val="auto"/>
          <w:kern w:val="2"/>
          <w:sz w:val="21"/>
          <w:szCs w:val="21"/>
          <w:highlight w:val="none"/>
        </w:rPr>
        <w:t>项目负责人</w:t>
      </w:r>
      <w:r>
        <w:rPr>
          <w:color w:val="auto"/>
          <w:kern w:val="2"/>
          <w:sz w:val="21"/>
          <w:szCs w:val="21"/>
          <w:highlight w:val="none"/>
        </w:rPr>
        <w:t>和其他主要人员的相关信息。“主要人员简历表”中</w:t>
      </w:r>
      <w:r>
        <w:rPr>
          <w:rFonts w:hint="eastAsia"/>
          <w:color w:val="auto"/>
          <w:kern w:val="2"/>
          <w:sz w:val="21"/>
          <w:szCs w:val="21"/>
          <w:highlight w:val="none"/>
        </w:rPr>
        <w:t>项目负责人</w:t>
      </w:r>
      <w:r>
        <w:rPr>
          <w:color w:val="auto"/>
          <w:kern w:val="2"/>
          <w:sz w:val="21"/>
          <w:szCs w:val="21"/>
          <w:highlight w:val="none"/>
        </w:rPr>
        <w:t>应附身份证、学历证、职称证、和社保缴费证明复印件，管理过的项目业绩须附合同协议书复印件；其他主要人员应附身份证、学历证、职称证、有关证书和社保缴费证明复印件。</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“拟投入本项目的主要试验检测仪器设备表”应填报满足本章第 1.4.1项规定的试验检测仪器设备。</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投标人须知前附表规定接受联合体投标的，本章第 3.5.1项至第 3.5.7项规定的表格和资料应包括联合体各方相关情况。</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42" w:name="_bookmark45"/>
      <w:bookmarkEnd w:id="142"/>
      <w:r>
        <w:rPr>
          <w:rFonts w:ascii="黑体" w:eastAsia="黑体"/>
          <w:b/>
          <w:color w:val="auto"/>
          <w:kern w:val="2"/>
          <w:sz w:val="21"/>
          <w:szCs w:val="21"/>
          <w:highlight w:val="none"/>
        </w:rPr>
        <w:t>备选投标方案</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除投标人须知前附表规定允许外，投标人不得递交备选投标方案，否则其投标将被否决。</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允许投标人递交备选投标方案的，只有中标人所递交的备选投标方案方可予以考虑。评标委员会认为中标人的备选投标方案优于其按照招标文件要求编制的投标方案的，招标人可以接受该备选投标方案。</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投标人提供两个或两个以上投标报价，或者在投标文件中提供一个报价，但同时提供两个或两个以上</w:t>
      </w:r>
      <w:r>
        <w:rPr>
          <w:rFonts w:hint="eastAsia"/>
          <w:color w:val="auto"/>
          <w:kern w:val="2"/>
          <w:sz w:val="21"/>
          <w:szCs w:val="21"/>
          <w:highlight w:val="none"/>
        </w:rPr>
        <w:t>技术</w:t>
      </w:r>
      <w:r>
        <w:rPr>
          <w:color w:val="auto"/>
          <w:kern w:val="2"/>
          <w:sz w:val="21"/>
          <w:szCs w:val="21"/>
          <w:highlight w:val="none"/>
        </w:rPr>
        <w:t>方案的，视为提供备选方案。</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43" w:name="_bookmark46"/>
      <w:bookmarkEnd w:id="143"/>
      <w:r>
        <w:rPr>
          <w:rFonts w:ascii="黑体" w:eastAsia="黑体"/>
          <w:b/>
          <w:color w:val="auto"/>
          <w:kern w:val="2"/>
          <w:sz w:val="21"/>
          <w:szCs w:val="21"/>
          <w:highlight w:val="none"/>
        </w:rPr>
        <w:t>投标文件的编制</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投标文件应按第</w:t>
      </w:r>
      <w:r>
        <w:rPr>
          <w:rFonts w:hint="eastAsia"/>
          <w:color w:val="auto"/>
          <w:kern w:val="2"/>
          <w:sz w:val="21"/>
          <w:szCs w:val="21"/>
          <w:highlight w:val="none"/>
        </w:rPr>
        <w:t>六</w:t>
      </w:r>
      <w:r>
        <w:rPr>
          <w:color w:val="auto"/>
          <w:kern w:val="2"/>
          <w:sz w:val="21"/>
          <w:szCs w:val="21"/>
          <w:highlight w:val="none"/>
        </w:rPr>
        <w:t>章“投标文件格式”进行编写，如有必要，可以增加附页，作为投标文件的组成部分。其中，投标函附录在满足招标文件实质性要求的基础上，可以提出比招标文件要求更有利于招标人的承诺。</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投标文件应当对招标文件有关服务期限、投标有效期、委托人要求、招标范围等实质性内容作出响应。</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（A）</w:t>
      </w:r>
      <w:r>
        <w:rPr>
          <w:rFonts w:hint="eastAsia"/>
          <w:color w:val="auto"/>
          <w:kern w:val="2"/>
          <w:sz w:val="21"/>
          <w:szCs w:val="21"/>
          <w:highlight w:val="none"/>
        </w:rPr>
        <w:t>（</w:t>
      </w:r>
      <w:r>
        <w:rPr>
          <w:color w:val="auto"/>
          <w:kern w:val="2"/>
          <w:sz w:val="21"/>
          <w:szCs w:val="21"/>
          <w:highlight w:val="none"/>
        </w:rPr>
        <w:t>1）</w:t>
      </w:r>
      <w:r>
        <w:rPr>
          <w:rFonts w:hint="eastAsia"/>
          <w:color w:val="auto"/>
          <w:kern w:val="2"/>
          <w:sz w:val="21"/>
          <w:szCs w:val="21"/>
          <w:highlight w:val="none"/>
        </w:rPr>
        <w:t>纸质</w:t>
      </w:r>
      <w:r>
        <w:rPr>
          <w:color w:val="auto"/>
          <w:kern w:val="2"/>
          <w:sz w:val="21"/>
          <w:szCs w:val="21"/>
          <w:highlight w:val="none"/>
        </w:rPr>
        <w:t>投标文件应用不褪色的材料书写或打印，投标函、投标函附录及对投标文件的澄清、说明和补正应由投标人的</w:t>
      </w:r>
      <w:r>
        <w:rPr>
          <w:rFonts w:hint="eastAsia"/>
          <w:color w:val="auto"/>
          <w:kern w:val="2"/>
          <w:sz w:val="21"/>
          <w:szCs w:val="21"/>
          <w:highlight w:val="none"/>
        </w:rPr>
        <w:t>法定代表人（单位负责人）</w:t>
      </w:r>
      <w:r>
        <w:rPr>
          <w:color w:val="auto"/>
          <w:kern w:val="2"/>
          <w:sz w:val="21"/>
          <w:szCs w:val="21"/>
          <w:highlight w:val="none"/>
        </w:rPr>
        <w:t>或其授权的代理人签字或盖单位章。由投标人的</w:t>
      </w:r>
      <w:r>
        <w:rPr>
          <w:rFonts w:hint="eastAsia"/>
          <w:color w:val="auto"/>
          <w:kern w:val="2"/>
          <w:sz w:val="21"/>
          <w:szCs w:val="21"/>
          <w:highlight w:val="none"/>
        </w:rPr>
        <w:t>法定代表人（单位负责人）</w:t>
      </w:r>
      <w:r>
        <w:rPr>
          <w:color w:val="auto"/>
          <w:kern w:val="2"/>
          <w:sz w:val="21"/>
          <w:szCs w:val="21"/>
          <w:highlight w:val="none"/>
        </w:rPr>
        <w:t>签字的，应附</w:t>
      </w:r>
      <w:r>
        <w:rPr>
          <w:rFonts w:hint="eastAsia"/>
          <w:color w:val="auto"/>
          <w:kern w:val="2"/>
          <w:sz w:val="21"/>
          <w:szCs w:val="21"/>
          <w:highlight w:val="none"/>
        </w:rPr>
        <w:t>法定代表人（单位负责人）</w:t>
      </w:r>
      <w:r>
        <w:rPr>
          <w:color w:val="auto"/>
          <w:kern w:val="2"/>
          <w:sz w:val="21"/>
          <w:szCs w:val="21"/>
          <w:highlight w:val="none"/>
        </w:rPr>
        <w:t>身份证明，由代理人签字的，应附授权委托书，身份证明或授权委托书应符合第</w:t>
      </w:r>
      <w:r>
        <w:rPr>
          <w:rFonts w:hint="eastAsia"/>
          <w:color w:val="auto"/>
          <w:kern w:val="2"/>
          <w:sz w:val="21"/>
          <w:szCs w:val="21"/>
          <w:highlight w:val="none"/>
        </w:rPr>
        <w:t>六</w:t>
      </w:r>
      <w:r>
        <w:rPr>
          <w:color w:val="auto"/>
          <w:kern w:val="2"/>
          <w:sz w:val="21"/>
          <w:szCs w:val="21"/>
          <w:highlight w:val="none"/>
        </w:rPr>
        <w:t>章“投标文件格式”的要求。投标文件应尽量避免涂改、行间插字或删除。如果出现上述情况，改动之处应由投标人的</w:t>
      </w:r>
      <w:r>
        <w:rPr>
          <w:rFonts w:hint="eastAsia"/>
          <w:color w:val="auto"/>
          <w:kern w:val="2"/>
          <w:sz w:val="21"/>
          <w:szCs w:val="21"/>
          <w:highlight w:val="none"/>
        </w:rPr>
        <w:t>法定代表人（单位负责人）</w:t>
      </w:r>
      <w:r>
        <w:rPr>
          <w:color w:val="auto"/>
          <w:kern w:val="2"/>
          <w:sz w:val="21"/>
          <w:szCs w:val="21"/>
          <w:highlight w:val="none"/>
        </w:rPr>
        <w:t>或其授权的代理人签字或盖单位章。</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（2）</w:t>
      </w:r>
      <w:r>
        <w:rPr>
          <w:rFonts w:hint="eastAsia"/>
          <w:color w:val="auto"/>
          <w:kern w:val="2"/>
          <w:sz w:val="21"/>
          <w:highlight w:val="none"/>
        </w:rPr>
        <w:t>纸质</w:t>
      </w:r>
      <w:r>
        <w:rPr>
          <w:color w:val="auto"/>
          <w:kern w:val="2"/>
          <w:sz w:val="21"/>
          <w:highlight w:val="none"/>
        </w:rPr>
        <w:t>投标文件正本一份，副本份数见投标人须知前附表。正本和副本的封面右上角上应清楚地标记“正本”或“副本”的字样。投标人应根据投标人须知前附表要求提供</w:t>
      </w:r>
      <w:r>
        <w:rPr>
          <w:rFonts w:hint="eastAsia"/>
          <w:color w:val="auto"/>
          <w:kern w:val="2"/>
          <w:sz w:val="21"/>
          <w:highlight w:val="none"/>
        </w:rPr>
        <w:t>纸质投标文件</w:t>
      </w:r>
      <w:r>
        <w:rPr>
          <w:color w:val="auto"/>
          <w:kern w:val="2"/>
          <w:sz w:val="21"/>
          <w:highlight w:val="none"/>
        </w:rPr>
        <w:t>电子版</w:t>
      </w:r>
      <w:r>
        <w:rPr>
          <w:rFonts w:hint="eastAsia"/>
          <w:color w:val="auto"/>
          <w:kern w:val="2"/>
          <w:sz w:val="21"/>
          <w:highlight w:val="none"/>
        </w:rPr>
        <w:t>（</w:t>
      </w:r>
      <w:r>
        <w:rPr>
          <w:color w:val="auto"/>
          <w:kern w:val="2"/>
          <w:sz w:val="21"/>
          <w:highlight w:val="none"/>
          <w:lang w:val="en-US"/>
        </w:rPr>
        <w:t>U</w:t>
      </w:r>
      <w:r>
        <w:rPr>
          <w:rFonts w:hint="eastAsia"/>
          <w:color w:val="auto"/>
          <w:kern w:val="2"/>
          <w:sz w:val="21"/>
          <w:highlight w:val="none"/>
          <w:lang w:val="en-US"/>
        </w:rPr>
        <w:t>盘或光盘）</w:t>
      </w:r>
      <w:r>
        <w:rPr>
          <w:color w:val="auto"/>
          <w:kern w:val="2"/>
          <w:sz w:val="21"/>
          <w:highlight w:val="none"/>
        </w:rPr>
        <w:t>。当副本和正本不一致或电子版文件和纸质正本文件不一致时，以纸质正本文件为准。</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（3）</w:t>
      </w:r>
      <w:r>
        <w:rPr>
          <w:rFonts w:hint="eastAsia"/>
          <w:color w:val="auto"/>
          <w:kern w:val="2"/>
          <w:sz w:val="21"/>
          <w:highlight w:val="none"/>
        </w:rPr>
        <w:t>纸质</w:t>
      </w:r>
      <w:r>
        <w:rPr>
          <w:color w:val="auto"/>
          <w:kern w:val="2"/>
          <w:sz w:val="21"/>
          <w:highlight w:val="none"/>
        </w:rPr>
        <w:t>投标文件的正本与副本应分别装订，并编制目录，投标文件需分册装订的，具体分册装订要求见投标人须知前附表规定。</w:t>
      </w:r>
    </w:p>
    <w:p>
      <w:pPr>
        <w:pStyle w:val="23"/>
        <w:tabs>
          <w:tab w:val="left" w:pos="0"/>
        </w:tabs>
        <w:spacing w:line="400" w:lineRule="exact"/>
        <w:ind w:firstLine="420" w:firstLineChars="200"/>
        <w:jc w:val="both"/>
        <w:rPr>
          <w:rFonts w:ascii="Calibri" w:hAnsi="Calibri"/>
          <w:color w:val="auto"/>
          <w:kern w:val="2"/>
          <w:sz w:val="21"/>
          <w:highlight w:val="none"/>
        </w:rPr>
      </w:pPr>
      <w:r>
        <w:rPr>
          <w:color w:val="auto"/>
          <w:kern w:val="2"/>
          <w:sz w:val="21"/>
          <w:highlight w:val="none"/>
        </w:rPr>
        <w:t>3.7.3（</w:t>
      </w:r>
      <w:r>
        <w:rPr>
          <w:rFonts w:hint="eastAsia"/>
          <w:color w:val="auto"/>
          <w:kern w:val="2"/>
          <w:sz w:val="21"/>
          <w:highlight w:val="none"/>
        </w:rPr>
        <w:t>B</w:t>
      </w:r>
      <w:r>
        <w:rPr>
          <w:color w:val="auto"/>
          <w:kern w:val="2"/>
          <w:sz w:val="21"/>
          <w:highlight w:val="none"/>
        </w:rPr>
        <w:t>）</w:t>
      </w:r>
      <w:r>
        <w:rPr>
          <w:rFonts w:hint="eastAsia"/>
          <w:color w:val="auto"/>
          <w:kern w:val="2"/>
          <w:sz w:val="21"/>
          <w:highlight w:val="none"/>
        </w:rPr>
        <w:t>电子</w:t>
      </w:r>
      <w:r>
        <w:rPr>
          <w:color w:val="auto"/>
          <w:kern w:val="2"/>
          <w:sz w:val="21"/>
          <w:highlight w:val="none"/>
        </w:rPr>
        <w:t>投标文件全部采用电子文档，除投标人须知前附表另有规定外，投标文件所附</w:t>
      </w:r>
      <w:r>
        <w:rPr>
          <w:rFonts w:ascii="Calibri" w:hAnsi="Calibri"/>
          <w:color w:val="auto"/>
          <w:kern w:val="2"/>
          <w:sz w:val="21"/>
          <w:highlight w:val="none"/>
        </w:rPr>
        <w:t>证书证件均为原件扫描件，并采用单位和个人数字证书，按招标文件要求在相应位置加盖电子印章。由投标人的</w:t>
      </w:r>
      <w:r>
        <w:rPr>
          <w:rFonts w:hint="eastAsia" w:ascii="Calibri" w:hAnsi="Calibri"/>
          <w:color w:val="auto"/>
          <w:kern w:val="2"/>
          <w:sz w:val="21"/>
          <w:highlight w:val="none"/>
        </w:rPr>
        <w:t>法定代表人（单位负责人）</w:t>
      </w:r>
      <w:r>
        <w:rPr>
          <w:rFonts w:ascii="Calibri" w:hAnsi="Calibri"/>
          <w:color w:val="auto"/>
          <w:kern w:val="2"/>
          <w:sz w:val="21"/>
          <w:highlight w:val="none"/>
        </w:rPr>
        <w:t>签字或加盖电子印章的，应附</w:t>
      </w:r>
      <w:r>
        <w:rPr>
          <w:rFonts w:hint="eastAsia" w:ascii="Calibri" w:hAnsi="Calibri"/>
          <w:color w:val="auto"/>
          <w:kern w:val="2"/>
          <w:sz w:val="21"/>
          <w:highlight w:val="none"/>
        </w:rPr>
        <w:t>法定代表人（单位负责人）</w:t>
      </w:r>
      <w:r>
        <w:rPr>
          <w:rFonts w:ascii="Calibri" w:hAnsi="Calibri"/>
          <w:color w:val="auto"/>
          <w:kern w:val="2"/>
          <w:sz w:val="21"/>
          <w:highlight w:val="none"/>
        </w:rPr>
        <w:t>身份证明，由代理人签字或加盖电子印章的，应附由</w:t>
      </w:r>
      <w:r>
        <w:rPr>
          <w:rFonts w:hint="eastAsia" w:ascii="Calibri" w:hAnsi="Calibri"/>
          <w:color w:val="auto"/>
          <w:kern w:val="2"/>
          <w:sz w:val="21"/>
          <w:highlight w:val="none"/>
        </w:rPr>
        <w:t>法定代表人（单位负责人）</w:t>
      </w:r>
      <w:r>
        <w:rPr>
          <w:rFonts w:ascii="Calibri" w:hAnsi="Calibri"/>
          <w:color w:val="auto"/>
          <w:kern w:val="2"/>
          <w:sz w:val="21"/>
          <w:highlight w:val="none"/>
        </w:rPr>
        <w:t>签署的授权委托书。签字或盖章的具体要求见投标人须知前附表。</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44" w:name="_bookmark47"/>
      <w:bookmarkEnd w:id="144"/>
      <w:bookmarkStart w:id="145" w:name="_Toc7873"/>
      <w:bookmarkStart w:id="146" w:name="_Toc62551546"/>
      <w:bookmarkStart w:id="147" w:name="_Toc496718834"/>
      <w:r>
        <w:rPr>
          <w:rFonts w:ascii="黑体" w:hAnsi="宋体" w:eastAsia="黑体"/>
          <w:color w:val="auto"/>
          <w:kern w:val="2"/>
          <w:sz w:val="24"/>
          <w:szCs w:val="24"/>
          <w:highlight w:val="none"/>
        </w:rPr>
        <w:t>投标</w:t>
      </w:r>
      <w:bookmarkEnd w:id="145"/>
      <w:bookmarkEnd w:id="146"/>
      <w:bookmarkEnd w:id="147"/>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48" w:name="_bookmark48"/>
      <w:bookmarkEnd w:id="148"/>
      <w:r>
        <w:rPr>
          <w:rFonts w:ascii="黑体" w:eastAsia="黑体"/>
          <w:b/>
          <w:color w:val="auto"/>
          <w:kern w:val="2"/>
          <w:sz w:val="21"/>
          <w:szCs w:val="21"/>
          <w:highlight w:val="none"/>
        </w:rPr>
        <w:t>投标文件的密封和标记</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（A）</w:t>
      </w:r>
      <w:r>
        <w:rPr>
          <w:rFonts w:hint="eastAsia"/>
          <w:color w:val="auto"/>
          <w:kern w:val="2"/>
          <w:sz w:val="21"/>
          <w:szCs w:val="21"/>
          <w:highlight w:val="none"/>
        </w:rPr>
        <w:t>纸质</w:t>
      </w:r>
      <w:r>
        <w:rPr>
          <w:color w:val="auto"/>
          <w:kern w:val="2"/>
          <w:sz w:val="21"/>
          <w:szCs w:val="21"/>
          <w:highlight w:val="none"/>
        </w:rPr>
        <w:t>投标文件应密封包装，并在封套的封口处加盖投标人单位章或由投标人的</w:t>
      </w:r>
      <w:r>
        <w:rPr>
          <w:rFonts w:hint="eastAsia"/>
          <w:color w:val="auto"/>
          <w:kern w:val="2"/>
          <w:sz w:val="21"/>
          <w:szCs w:val="21"/>
          <w:highlight w:val="none"/>
        </w:rPr>
        <w:t>法定代表人（单位负责人）</w:t>
      </w:r>
      <w:r>
        <w:rPr>
          <w:color w:val="auto"/>
          <w:kern w:val="2"/>
          <w:sz w:val="21"/>
          <w:szCs w:val="21"/>
          <w:highlight w:val="none"/>
        </w:rPr>
        <w:t>或其授权的代理人签字。</w:t>
      </w:r>
    </w:p>
    <w:p>
      <w:pPr>
        <w:pStyle w:val="23"/>
        <w:tabs>
          <w:tab w:val="left" w:pos="0"/>
        </w:tabs>
        <w:spacing w:line="400" w:lineRule="exact"/>
        <w:ind w:firstLine="420" w:firstLineChars="200"/>
        <w:jc w:val="both"/>
        <w:rPr>
          <w:rFonts w:ascii="Calibri" w:hAnsi="Calibri"/>
          <w:color w:val="auto"/>
          <w:kern w:val="2"/>
          <w:sz w:val="21"/>
          <w:highlight w:val="none"/>
        </w:rPr>
      </w:pPr>
      <w:r>
        <w:rPr>
          <w:rFonts w:hint="eastAsia"/>
          <w:color w:val="auto"/>
          <w:kern w:val="2"/>
          <w:sz w:val="21"/>
          <w:highlight w:val="none"/>
        </w:rPr>
        <w:t>4</w:t>
      </w:r>
      <w:r>
        <w:rPr>
          <w:color w:val="auto"/>
          <w:kern w:val="2"/>
          <w:sz w:val="21"/>
          <w:highlight w:val="none"/>
        </w:rPr>
        <w:t>.</w:t>
      </w:r>
      <w:r>
        <w:rPr>
          <w:rFonts w:hint="eastAsia"/>
          <w:color w:val="auto"/>
          <w:kern w:val="2"/>
          <w:sz w:val="21"/>
          <w:highlight w:val="none"/>
        </w:rPr>
        <w:t>1</w:t>
      </w:r>
      <w:r>
        <w:rPr>
          <w:color w:val="auto"/>
          <w:kern w:val="2"/>
          <w:sz w:val="21"/>
          <w:highlight w:val="none"/>
        </w:rPr>
        <w:t>.</w:t>
      </w:r>
      <w:r>
        <w:rPr>
          <w:rFonts w:hint="eastAsia"/>
          <w:color w:val="auto"/>
          <w:kern w:val="2"/>
          <w:sz w:val="21"/>
          <w:highlight w:val="none"/>
        </w:rPr>
        <w:t xml:space="preserve">1 </w:t>
      </w:r>
      <w:r>
        <w:rPr>
          <w:color w:val="auto"/>
          <w:kern w:val="2"/>
          <w:sz w:val="21"/>
          <w:highlight w:val="none"/>
        </w:rPr>
        <w:t>（B）投标人应当按照招标文件和电子招标投标交易平台的要求加密投标文件，具体</w:t>
      </w:r>
      <w:r>
        <w:rPr>
          <w:rFonts w:ascii="Calibri" w:hAnsi="Calibri"/>
          <w:color w:val="auto"/>
          <w:kern w:val="2"/>
          <w:sz w:val="21"/>
          <w:highlight w:val="none"/>
        </w:rPr>
        <w:t>要求见投标人须知前附表。</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投标文件封套上应写明的内容见投标人须知前附表。</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未按本章第 4.1.1 项要求密封的投标文件，招标人将予以拒收。</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49" w:name="_bookmark49"/>
      <w:bookmarkEnd w:id="149"/>
      <w:r>
        <w:rPr>
          <w:rFonts w:ascii="黑体" w:eastAsia="黑体"/>
          <w:b/>
          <w:color w:val="auto"/>
          <w:kern w:val="2"/>
          <w:sz w:val="21"/>
          <w:szCs w:val="21"/>
          <w:highlight w:val="none"/>
        </w:rPr>
        <w:t>投标文件的递交</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投标人应在投标人须知前附表规定的投标截止时间前递交投标文件。</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（A）投标人递交</w:t>
      </w:r>
      <w:r>
        <w:rPr>
          <w:rFonts w:hint="eastAsia"/>
          <w:color w:val="auto"/>
          <w:kern w:val="2"/>
          <w:sz w:val="21"/>
          <w:szCs w:val="21"/>
          <w:highlight w:val="none"/>
        </w:rPr>
        <w:t>纸质</w:t>
      </w:r>
      <w:r>
        <w:rPr>
          <w:color w:val="auto"/>
          <w:kern w:val="2"/>
          <w:sz w:val="21"/>
          <w:szCs w:val="21"/>
          <w:highlight w:val="none"/>
        </w:rPr>
        <w:t>投标文件的地点：见投标人须知前附表。</w:t>
      </w:r>
    </w:p>
    <w:p>
      <w:pPr>
        <w:pStyle w:val="23"/>
        <w:tabs>
          <w:tab w:val="left" w:pos="0"/>
        </w:tabs>
        <w:spacing w:line="400" w:lineRule="exact"/>
        <w:ind w:firstLine="420" w:firstLineChars="200"/>
        <w:jc w:val="both"/>
        <w:rPr>
          <w:color w:val="auto"/>
          <w:kern w:val="2"/>
          <w:sz w:val="21"/>
          <w:highlight w:val="none"/>
        </w:rPr>
      </w:pPr>
      <w:r>
        <w:rPr>
          <w:rFonts w:hint="eastAsia"/>
          <w:color w:val="auto"/>
          <w:kern w:val="2"/>
          <w:sz w:val="21"/>
          <w:highlight w:val="none"/>
        </w:rPr>
        <w:t xml:space="preserve">4.2.2 </w:t>
      </w:r>
      <w:r>
        <w:rPr>
          <w:color w:val="auto"/>
          <w:kern w:val="2"/>
          <w:sz w:val="21"/>
          <w:highlight w:val="none"/>
        </w:rPr>
        <w:t>（B）投标人通过下载招标文件的电子招标投标交易平台递交电子投标文件。</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除投标人须知前附表另有规定外，投标人所递交的投标文件不予退还。</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（A）招标人收到</w:t>
      </w:r>
      <w:r>
        <w:rPr>
          <w:rFonts w:hint="eastAsia"/>
          <w:color w:val="auto"/>
          <w:kern w:val="2"/>
          <w:sz w:val="21"/>
          <w:szCs w:val="21"/>
          <w:highlight w:val="none"/>
        </w:rPr>
        <w:t>纸质</w:t>
      </w:r>
      <w:r>
        <w:rPr>
          <w:color w:val="auto"/>
          <w:kern w:val="2"/>
          <w:sz w:val="21"/>
          <w:szCs w:val="21"/>
          <w:highlight w:val="none"/>
        </w:rPr>
        <w:t>投标文件后，向投标人出具签收凭证。</w:t>
      </w:r>
    </w:p>
    <w:p>
      <w:pPr>
        <w:pStyle w:val="23"/>
        <w:tabs>
          <w:tab w:val="left" w:pos="0"/>
        </w:tabs>
        <w:spacing w:line="400" w:lineRule="exact"/>
        <w:ind w:firstLine="420" w:firstLineChars="200"/>
        <w:jc w:val="both"/>
        <w:rPr>
          <w:rFonts w:ascii="Calibri" w:hAnsi="Calibri"/>
          <w:color w:val="auto"/>
          <w:kern w:val="2"/>
          <w:sz w:val="21"/>
          <w:highlight w:val="none"/>
        </w:rPr>
      </w:pPr>
      <w:r>
        <w:rPr>
          <w:rFonts w:hint="eastAsia"/>
          <w:color w:val="auto"/>
          <w:kern w:val="2"/>
          <w:sz w:val="21"/>
          <w:highlight w:val="none"/>
        </w:rPr>
        <w:t xml:space="preserve">4.2.4 </w:t>
      </w:r>
      <w:r>
        <w:rPr>
          <w:color w:val="auto"/>
          <w:kern w:val="2"/>
          <w:sz w:val="21"/>
          <w:highlight w:val="none"/>
        </w:rPr>
        <w:t>（B）投标人完成电子投标文件上传后，电子招标投标交易平台即时向投标人发出递</w:t>
      </w:r>
      <w:r>
        <w:rPr>
          <w:rFonts w:ascii="Calibri" w:hAnsi="Calibri"/>
          <w:color w:val="auto"/>
          <w:kern w:val="2"/>
          <w:sz w:val="21"/>
          <w:highlight w:val="none"/>
        </w:rPr>
        <w:t>交回执通知。递交时间以递交回执通知载明的传输完成时间为准。</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（A）逾期送达的</w:t>
      </w:r>
      <w:r>
        <w:rPr>
          <w:rFonts w:hint="eastAsia"/>
          <w:color w:val="auto"/>
          <w:kern w:val="2"/>
          <w:sz w:val="21"/>
          <w:szCs w:val="21"/>
          <w:highlight w:val="none"/>
        </w:rPr>
        <w:t>纸质</w:t>
      </w:r>
      <w:r>
        <w:rPr>
          <w:color w:val="auto"/>
          <w:kern w:val="2"/>
          <w:sz w:val="21"/>
          <w:szCs w:val="21"/>
          <w:highlight w:val="none"/>
        </w:rPr>
        <w:t>投标文件，招标人将予以拒收。</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4.2</w:t>
      </w:r>
      <w:r>
        <w:rPr>
          <w:rFonts w:hint="eastAsia"/>
          <w:color w:val="auto"/>
          <w:kern w:val="2"/>
          <w:sz w:val="21"/>
          <w:highlight w:val="none"/>
        </w:rPr>
        <w:t xml:space="preserve">.5 </w:t>
      </w:r>
      <w:r>
        <w:rPr>
          <w:color w:val="auto"/>
          <w:kern w:val="2"/>
          <w:sz w:val="21"/>
          <w:highlight w:val="none"/>
        </w:rPr>
        <w:t>（B）逾期送达的</w:t>
      </w:r>
      <w:r>
        <w:rPr>
          <w:rFonts w:hint="eastAsia"/>
          <w:color w:val="auto"/>
          <w:kern w:val="2"/>
          <w:sz w:val="21"/>
          <w:highlight w:val="none"/>
        </w:rPr>
        <w:t>电子</w:t>
      </w:r>
      <w:r>
        <w:rPr>
          <w:color w:val="auto"/>
          <w:kern w:val="2"/>
          <w:sz w:val="21"/>
          <w:highlight w:val="none"/>
        </w:rPr>
        <w:t>投标文件，电子招标投标交易平台将予以拒收。</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50" w:name="_bookmark50"/>
      <w:bookmarkEnd w:id="150"/>
      <w:r>
        <w:rPr>
          <w:rFonts w:ascii="黑体" w:eastAsia="黑体"/>
          <w:b/>
          <w:color w:val="auto"/>
          <w:kern w:val="2"/>
          <w:sz w:val="21"/>
          <w:szCs w:val="21"/>
          <w:highlight w:val="none"/>
        </w:rPr>
        <w:t>投标文件的修改与撤回</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在本章第 4.2.1项规定的投标截止时间前，投标人可以修改或撤回已递交的投标文件， 但应以书面形式通知招标人。</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（A）投标人修改或撤回已递交</w:t>
      </w:r>
      <w:r>
        <w:rPr>
          <w:rFonts w:hint="eastAsia"/>
          <w:color w:val="auto"/>
          <w:kern w:val="2"/>
          <w:sz w:val="21"/>
          <w:szCs w:val="21"/>
          <w:highlight w:val="none"/>
        </w:rPr>
        <w:t>纸质</w:t>
      </w:r>
      <w:r>
        <w:rPr>
          <w:color w:val="auto"/>
          <w:kern w:val="2"/>
          <w:sz w:val="21"/>
          <w:szCs w:val="21"/>
          <w:highlight w:val="none"/>
        </w:rPr>
        <w:t>投标文件的书面通知应按照本章第 3.7.3（A）项的要求签字或盖章。招标人收到书面通知后，向投标人出具签收凭证。</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4.3.2（B）投标人修改或撤回已递交</w:t>
      </w:r>
      <w:r>
        <w:rPr>
          <w:rFonts w:hint="eastAsia"/>
          <w:color w:val="auto"/>
          <w:kern w:val="2"/>
          <w:sz w:val="21"/>
          <w:highlight w:val="none"/>
        </w:rPr>
        <w:t>电子</w:t>
      </w:r>
      <w:r>
        <w:rPr>
          <w:color w:val="auto"/>
          <w:kern w:val="2"/>
          <w:sz w:val="21"/>
          <w:highlight w:val="none"/>
        </w:rPr>
        <w:t>投标文件的通知，应按照本章第 3.7.3（B）项的要求加盖电子印章。电子招标投标交易平台收到通知后，即时向投标人发出确认回执通知。</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投标人撤回投标文件的，招标人自收到投标人书面撤回通知之日起 5日内退还已收取的投标保证金。</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修改的内容为投标文件的组成部分。修改的投标文件应按照本章第 3条、第 4条的规定进行编制、密封、标记和递交，并标明“修改”字样。</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51" w:name="_bookmark51"/>
      <w:bookmarkEnd w:id="151"/>
      <w:bookmarkStart w:id="152" w:name="_Toc62551547"/>
      <w:bookmarkStart w:id="153" w:name="_Toc496718835"/>
      <w:bookmarkStart w:id="154" w:name="_Toc2390"/>
      <w:r>
        <w:rPr>
          <w:rFonts w:ascii="黑体" w:hAnsi="宋体" w:eastAsia="黑体"/>
          <w:color w:val="auto"/>
          <w:kern w:val="2"/>
          <w:sz w:val="24"/>
          <w:szCs w:val="24"/>
          <w:highlight w:val="none"/>
        </w:rPr>
        <w:t>开标</w:t>
      </w:r>
      <w:bookmarkEnd w:id="152"/>
      <w:bookmarkEnd w:id="153"/>
      <w:bookmarkEnd w:id="154"/>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55" w:name="_bookmark52"/>
      <w:bookmarkEnd w:id="155"/>
      <w:r>
        <w:rPr>
          <w:rFonts w:ascii="黑体" w:eastAsia="黑体"/>
          <w:b/>
          <w:color w:val="auto"/>
          <w:kern w:val="2"/>
          <w:sz w:val="21"/>
          <w:szCs w:val="21"/>
          <w:highlight w:val="none"/>
        </w:rPr>
        <w:t>开标时间和地点（A）</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招标人在本章第 4.2.1 项规定的投标截止时间（开标时间）和投标人须知前附表规定的地点公开开标，并邀请所有投标人的</w:t>
      </w:r>
      <w:r>
        <w:rPr>
          <w:rFonts w:hint="eastAsia"/>
          <w:color w:val="auto"/>
          <w:kern w:val="2"/>
          <w:sz w:val="21"/>
          <w:highlight w:val="none"/>
        </w:rPr>
        <w:t>法定代表人（单位负责人）</w:t>
      </w:r>
      <w:r>
        <w:rPr>
          <w:color w:val="auto"/>
          <w:kern w:val="2"/>
          <w:sz w:val="21"/>
          <w:highlight w:val="none"/>
        </w:rPr>
        <w:t>或其委托代理人准时参加。</w:t>
      </w:r>
    </w:p>
    <w:p>
      <w:pPr>
        <w:pStyle w:val="4"/>
        <w:tabs>
          <w:tab w:val="left" w:pos="567"/>
        </w:tabs>
        <w:spacing w:before="156" w:beforeLines="50" w:after="156" w:afterLines="50" w:line="400" w:lineRule="exact"/>
        <w:ind w:left="0" w:firstLine="0"/>
        <w:jc w:val="both"/>
        <w:rPr>
          <w:rFonts w:ascii="黑体" w:hAnsi="Calibri" w:eastAsia="黑体"/>
          <w:b/>
          <w:color w:val="auto"/>
          <w:kern w:val="2"/>
          <w:sz w:val="21"/>
          <w:szCs w:val="21"/>
          <w:highlight w:val="none"/>
        </w:rPr>
      </w:pPr>
      <w:bookmarkStart w:id="156" w:name="_bookmark53"/>
      <w:bookmarkEnd w:id="156"/>
      <w:r>
        <w:rPr>
          <w:rFonts w:hint="eastAsia" w:ascii="黑体" w:hAnsi="Calibri" w:eastAsia="黑体"/>
          <w:b/>
          <w:color w:val="auto"/>
          <w:kern w:val="2"/>
          <w:sz w:val="21"/>
          <w:szCs w:val="21"/>
          <w:highlight w:val="none"/>
        </w:rPr>
        <w:t>5.1开标时间和地点（B）</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招标人在本章第 4.2.1 项规定的投标截止时间（开标时间）,通过电子招标投标交易平台公开开标，所有投标人的</w:t>
      </w:r>
      <w:r>
        <w:rPr>
          <w:rFonts w:hint="eastAsia"/>
          <w:color w:val="auto"/>
          <w:kern w:val="2"/>
          <w:sz w:val="21"/>
          <w:highlight w:val="none"/>
        </w:rPr>
        <w:t>法定代表人（单位负责人）</w:t>
      </w:r>
      <w:r>
        <w:rPr>
          <w:color w:val="auto"/>
          <w:kern w:val="2"/>
          <w:sz w:val="21"/>
          <w:highlight w:val="none"/>
        </w:rPr>
        <w:t>或其委托代理人应当准时参加。</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57" w:name="_bookmark54"/>
      <w:bookmarkEnd w:id="157"/>
      <w:r>
        <w:rPr>
          <w:rFonts w:ascii="黑体" w:eastAsia="黑体"/>
          <w:b/>
          <w:color w:val="auto"/>
          <w:kern w:val="2"/>
          <w:sz w:val="21"/>
          <w:szCs w:val="21"/>
          <w:highlight w:val="none"/>
        </w:rPr>
        <w:t>开标程序</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主持人按下列程序进行开标：</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（1）宣布开标纪律；</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（2）公布在投标截止时间前递交投标文件的投标人名称；</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（3）宣布开标人、唱标人、记录人、监标人等有关人员姓名；</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（4）（A）检查投标文件的密封情况，按照投标人须知前附表规定的开标顺序当众开标，公布招标项目名称、投标人名称、投标保证金的递交情况、投标报价、服务期限及其他内容，并记录在案；</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（4）（B）</w:t>
      </w:r>
      <w:r>
        <w:rPr>
          <w:rFonts w:hint="eastAsia"/>
          <w:color w:val="auto"/>
          <w:kern w:val="2"/>
          <w:sz w:val="21"/>
          <w:highlight w:val="none"/>
          <w:lang w:val="en-US" w:eastAsia="zh-CN"/>
        </w:rPr>
        <w:t>招标人</w:t>
      </w:r>
      <w:r>
        <w:rPr>
          <w:color w:val="auto"/>
          <w:kern w:val="2"/>
          <w:sz w:val="21"/>
          <w:highlight w:val="none"/>
        </w:rPr>
        <w:t>通过电子招标投标交易平台对已递交的电子投标文件进行解密，公布招标项目名称、投标人名称、投标保证金的递交情况、投标报价、服务期限及其他内容，并记录在案；</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（5）（A）投标人代表、招标人代表、监标人、记录人等有关人员在开标记录上签字确认；</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（5）（B）投标人代表、招标人代表、监标人、记录人等有关人员使用本人的电子印章在开标记录上签字确认；</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（6）开标结束。</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58" w:name="_bookmark55"/>
      <w:bookmarkEnd w:id="158"/>
      <w:r>
        <w:rPr>
          <w:rFonts w:ascii="黑体" w:eastAsia="黑体"/>
          <w:b/>
          <w:color w:val="auto"/>
          <w:kern w:val="2"/>
          <w:sz w:val="21"/>
          <w:szCs w:val="21"/>
          <w:highlight w:val="none"/>
        </w:rPr>
        <w:t>开标异议</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投标人对开标有异议的，应当在开标现场提出，招标人当场作出答复，并制作记录。</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59" w:name="_bookmark56"/>
      <w:bookmarkEnd w:id="159"/>
      <w:bookmarkStart w:id="160" w:name="_Toc62551548"/>
      <w:bookmarkStart w:id="161" w:name="_Toc496718836"/>
      <w:bookmarkStart w:id="162" w:name="_Toc14807"/>
      <w:r>
        <w:rPr>
          <w:rFonts w:ascii="黑体" w:hAnsi="宋体" w:eastAsia="黑体"/>
          <w:color w:val="auto"/>
          <w:kern w:val="2"/>
          <w:sz w:val="24"/>
          <w:szCs w:val="24"/>
          <w:highlight w:val="none"/>
        </w:rPr>
        <w:t>评标</w:t>
      </w:r>
      <w:bookmarkEnd w:id="160"/>
      <w:bookmarkEnd w:id="161"/>
      <w:bookmarkEnd w:id="162"/>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63" w:name="_bookmark57"/>
      <w:bookmarkEnd w:id="163"/>
      <w:r>
        <w:rPr>
          <w:rFonts w:ascii="黑体" w:eastAsia="黑体"/>
          <w:b/>
          <w:color w:val="auto"/>
          <w:kern w:val="2"/>
          <w:sz w:val="21"/>
          <w:szCs w:val="21"/>
          <w:highlight w:val="none"/>
        </w:rPr>
        <w:t>评标委员会</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评标委员会成员有下列情形之一的，应当回避：</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（1）投标人或投标人主要负责人的近亲属；</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（2）项目主管部门或者行政监督部门的人员；</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（3）与投标人有经济利益关系，可能影响对投标公正评审的；</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（4）曾因在招标、评标以及其他与招标投标有关活动中从事违法行为而受过行政处罚或刑事处罚的；</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（5）与投标人有其他利害关系。</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评标过程中，评标委员会成员有回避事由、擅离职守或者因健康等原因不能继续评标的，招标人有权更换。被更换的评标委员会成员作出的评审结论无效，由更换后的评标委员会成员重新进行评审。</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64" w:name="_bookmark58"/>
      <w:bookmarkEnd w:id="164"/>
      <w:r>
        <w:rPr>
          <w:rFonts w:ascii="黑体" w:eastAsia="黑体"/>
          <w:b/>
          <w:color w:val="auto"/>
          <w:kern w:val="2"/>
          <w:sz w:val="21"/>
          <w:szCs w:val="21"/>
          <w:highlight w:val="none"/>
        </w:rPr>
        <w:t>评标原则</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评标活动遵循公平、公正、科学和择优的原则。</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65" w:name="_bookmark59"/>
      <w:bookmarkEnd w:id="165"/>
      <w:r>
        <w:rPr>
          <w:rFonts w:ascii="黑体" w:eastAsia="黑体"/>
          <w:b/>
          <w:color w:val="auto"/>
          <w:kern w:val="2"/>
          <w:sz w:val="21"/>
          <w:szCs w:val="21"/>
          <w:highlight w:val="none"/>
        </w:rPr>
        <w:t>评标</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评标委员会按照第三章“评标办法”规定的方法、评审因素、标准和程序对投标文件进行评审。第三章“评标办法”没有规定的方法、评审因素和标准，不作为评标依据。</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评标完成后，评标委员会应当向招标人提交书面评标报告和中标候选人名单。评标委员会推荐中标候选人的人数见投标人须知前附表。</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66" w:name="_bookmark60"/>
      <w:bookmarkEnd w:id="166"/>
      <w:bookmarkStart w:id="167" w:name="_Toc496718837"/>
      <w:bookmarkStart w:id="168" w:name="_Toc62551549"/>
      <w:bookmarkStart w:id="169" w:name="_Toc9031"/>
      <w:r>
        <w:rPr>
          <w:rFonts w:ascii="黑体" w:hAnsi="宋体" w:eastAsia="黑体"/>
          <w:color w:val="auto"/>
          <w:kern w:val="2"/>
          <w:sz w:val="24"/>
          <w:szCs w:val="24"/>
          <w:highlight w:val="none"/>
        </w:rPr>
        <w:t>合同授予</w:t>
      </w:r>
      <w:bookmarkEnd w:id="167"/>
      <w:bookmarkEnd w:id="168"/>
      <w:bookmarkEnd w:id="169"/>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70" w:name="_bookmark61"/>
      <w:bookmarkEnd w:id="170"/>
      <w:r>
        <w:rPr>
          <w:rFonts w:ascii="黑体" w:eastAsia="黑体"/>
          <w:b/>
          <w:color w:val="auto"/>
          <w:kern w:val="2"/>
          <w:sz w:val="21"/>
          <w:szCs w:val="21"/>
          <w:highlight w:val="none"/>
        </w:rPr>
        <w:t>中标候选人公示</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 xml:space="preserve">招标人在收到评标报告之日起 3 日内，按照投标人须知前附表规定的公示媒介和期限公示中标候选人，公示期不得少于 3 </w:t>
      </w:r>
      <w:r>
        <w:rPr>
          <w:rFonts w:hint="eastAsia"/>
          <w:color w:val="auto"/>
          <w:kern w:val="2"/>
          <w:sz w:val="21"/>
          <w:highlight w:val="none"/>
        </w:rPr>
        <w:t>日</w:t>
      </w:r>
      <w:r>
        <w:rPr>
          <w:color w:val="auto"/>
          <w:kern w:val="2"/>
          <w:sz w:val="21"/>
          <w:highlight w:val="none"/>
        </w:rPr>
        <w:t>。</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71" w:name="_bookmark62"/>
      <w:bookmarkEnd w:id="171"/>
      <w:r>
        <w:rPr>
          <w:rFonts w:ascii="黑体" w:eastAsia="黑体"/>
          <w:b/>
          <w:color w:val="auto"/>
          <w:kern w:val="2"/>
          <w:sz w:val="21"/>
          <w:szCs w:val="21"/>
          <w:highlight w:val="none"/>
        </w:rPr>
        <w:t>评标结果异议</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投标人或者其他利害关系人对评标结果有异议的，应当在中标候选人公示期间提出。招标人将在收到异议之日起 3 日内作出答复；作出答复前，将暂停招标投标活动。</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72" w:name="_bookmark63"/>
      <w:bookmarkEnd w:id="172"/>
      <w:r>
        <w:rPr>
          <w:rFonts w:ascii="黑体" w:eastAsia="黑体"/>
          <w:b/>
          <w:color w:val="auto"/>
          <w:kern w:val="2"/>
          <w:sz w:val="21"/>
          <w:szCs w:val="21"/>
          <w:highlight w:val="none"/>
        </w:rPr>
        <w:t>中标候选人履约能力审查</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中标候选人的经营、财务状况发生较大变化或存在违法行为，招标人认为可能影响其履约能力的，将在发出中标通知书前提请原评标委员会按照招标文件规定的标准和方法进行审查确认。</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73" w:name="_bookmark64"/>
      <w:bookmarkEnd w:id="173"/>
      <w:r>
        <w:rPr>
          <w:rFonts w:ascii="黑体" w:eastAsia="黑体"/>
          <w:b/>
          <w:color w:val="auto"/>
          <w:kern w:val="2"/>
          <w:sz w:val="21"/>
          <w:szCs w:val="21"/>
          <w:highlight w:val="none"/>
        </w:rPr>
        <w:t>定标</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按照投标人须知前附表的规定，招标人或招标人授权的评标委员会依法确定中标人。</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74" w:name="_bookmark65"/>
      <w:bookmarkEnd w:id="174"/>
      <w:r>
        <w:rPr>
          <w:rFonts w:ascii="黑体" w:eastAsia="黑体"/>
          <w:b/>
          <w:color w:val="auto"/>
          <w:kern w:val="2"/>
          <w:sz w:val="21"/>
          <w:szCs w:val="21"/>
          <w:highlight w:val="none"/>
        </w:rPr>
        <w:t>中标通知</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在本章第 3.3 款规定的投标有效期内，招标人以书面形式向中标人发出中标通知书，同时将中标结果通知未中标的投标人。</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75" w:name="_bookmark66"/>
      <w:bookmarkEnd w:id="175"/>
      <w:r>
        <w:rPr>
          <w:rFonts w:ascii="黑体" w:eastAsia="黑体"/>
          <w:b/>
          <w:color w:val="auto"/>
          <w:kern w:val="2"/>
          <w:sz w:val="21"/>
          <w:szCs w:val="21"/>
          <w:highlight w:val="none"/>
        </w:rPr>
        <w:t>履约保证金</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rFonts w:hint="eastAsia"/>
          <w:color w:val="auto"/>
          <w:kern w:val="2"/>
          <w:sz w:val="21"/>
          <w:szCs w:val="21"/>
          <w:highlight w:val="none"/>
        </w:rPr>
        <w:t>在签订合同前，中标人应按投标人须知前附表规定的形式、金额和文件第四章“合同</w:t>
      </w:r>
      <w:r>
        <w:rPr>
          <w:color w:val="auto"/>
          <w:kern w:val="2"/>
          <w:sz w:val="21"/>
          <w:szCs w:val="21"/>
          <w:highlight w:val="none"/>
        </w:rPr>
        <w:t>条款及格式”规定的或者事先经过招标人书面认可的履约保证金格式向招标人提交履约保证金。除投标人须知前附表另有规定外，履约保证金为中标合同金额的 10%。联合体中标的，其履约保证金以联合体各方或者联合体中牵头人的名义提交。</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中标人不能按本章第 7.6.1项要求提交履约保证金的，视为放弃中标，其投标保证金不予退还，给招标人造成的损失超过投标保证金数额的，中标人还应当对超过部分予以赔偿。</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76" w:name="_bookmark67"/>
      <w:bookmarkEnd w:id="176"/>
      <w:r>
        <w:rPr>
          <w:rFonts w:ascii="黑体" w:eastAsia="黑体"/>
          <w:b/>
          <w:color w:val="auto"/>
          <w:kern w:val="2"/>
          <w:sz w:val="21"/>
          <w:szCs w:val="21"/>
          <w:highlight w:val="none"/>
        </w:rPr>
        <w:t>签订合同</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招标人和中标人应当在中标通知书发出之日起 30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发出中标通知书后，招标人无正当理由拒签合同，或者在签订合同时向中标人提出附加条件的，招标人向中标人退还投标保证金；给中标人造成损失的，还应当赔偿损失。</w:t>
      </w:r>
    </w:p>
    <w:p>
      <w:pPr>
        <w:pStyle w:val="29"/>
        <w:numPr>
          <w:ilvl w:val="2"/>
          <w:numId w:val="5"/>
        </w:numPr>
        <w:tabs>
          <w:tab w:val="left" w:pos="993"/>
        </w:tabs>
        <w:spacing w:line="400" w:lineRule="exact"/>
        <w:ind w:left="0" w:right="-1" w:firstLine="420" w:firstLineChars="200"/>
        <w:jc w:val="both"/>
        <w:rPr>
          <w:color w:val="auto"/>
          <w:kern w:val="2"/>
          <w:sz w:val="21"/>
          <w:szCs w:val="21"/>
          <w:highlight w:val="none"/>
        </w:rPr>
      </w:pPr>
      <w:r>
        <w:rPr>
          <w:color w:val="auto"/>
          <w:kern w:val="2"/>
          <w:sz w:val="21"/>
          <w:szCs w:val="21"/>
          <w:highlight w:val="none"/>
        </w:rPr>
        <w:t>联合体中标的，联合体各方应当共同与招标人签订合同，就中标项目向招标人承担连带责任。</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77" w:name="_bookmark68"/>
      <w:bookmarkEnd w:id="177"/>
      <w:bookmarkStart w:id="178" w:name="_Toc496718838"/>
      <w:bookmarkStart w:id="179" w:name="_Toc21263"/>
      <w:bookmarkStart w:id="180" w:name="_Toc62551550"/>
      <w:r>
        <w:rPr>
          <w:rFonts w:ascii="黑体" w:hAnsi="宋体" w:eastAsia="黑体"/>
          <w:color w:val="auto"/>
          <w:kern w:val="2"/>
          <w:sz w:val="24"/>
          <w:szCs w:val="24"/>
          <w:highlight w:val="none"/>
        </w:rPr>
        <w:t>纪律和监督</w:t>
      </w:r>
      <w:bookmarkEnd w:id="178"/>
      <w:bookmarkEnd w:id="179"/>
      <w:bookmarkEnd w:id="180"/>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81" w:name="_bookmark69"/>
      <w:bookmarkEnd w:id="181"/>
      <w:r>
        <w:rPr>
          <w:rFonts w:ascii="黑体" w:eastAsia="黑体"/>
          <w:b/>
          <w:color w:val="auto"/>
          <w:kern w:val="2"/>
          <w:sz w:val="21"/>
          <w:szCs w:val="21"/>
          <w:highlight w:val="none"/>
        </w:rPr>
        <w:t>对招标人的纪律要求</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招标人不得泄露招标投标活动中应当保密的情况和资料，不得与投标人串通损害国家利益、社会公共利益或者他人合法权益。</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82" w:name="_bookmark70"/>
      <w:bookmarkEnd w:id="182"/>
      <w:r>
        <w:rPr>
          <w:rFonts w:ascii="黑体" w:eastAsia="黑体"/>
          <w:b/>
          <w:color w:val="auto"/>
          <w:kern w:val="2"/>
          <w:sz w:val="21"/>
          <w:szCs w:val="21"/>
          <w:highlight w:val="none"/>
        </w:rPr>
        <w:t>对投标人的纪律要求</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投标人不得相互串通投标或者与招标人串通投标，不得向招标人或者评标委员会成员行贿谋取中标，不得以他人名义投标或者以其他方式弄虚作假骗取中标；投标人不得以任何方式干扰、影响评标工作。</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83" w:name="_bookmark71"/>
      <w:bookmarkEnd w:id="183"/>
      <w:r>
        <w:rPr>
          <w:rFonts w:ascii="黑体" w:eastAsia="黑体"/>
          <w:b/>
          <w:color w:val="auto"/>
          <w:kern w:val="2"/>
          <w:sz w:val="21"/>
          <w:szCs w:val="21"/>
          <w:highlight w:val="none"/>
        </w:rPr>
        <w:t>对评标委员会成员的纪律要求</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84" w:name="_bookmark72"/>
      <w:bookmarkEnd w:id="184"/>
      <w:r>
        <w:rPr>
          <w:rFonts w:ascii="黑体" w:eastAsia="黑体"/>
          <w:b/>
          <w:color w:val="auto"/>
          <w:kern w:val="2"/>
          <w:sz w:val="21"/>
          <w:szCs w:val="21"/>
          <w:highlight w:val="none"/>
        </w:rPr>
        <w:t>对与评标活动有关的工作人员的纪律要求</w:t>
      </w:r>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auto"/>
          <w:kern w:val="2"/>
          <w:sz w:val="21"/>
          <w:szCs w:val="21"/>
          <w:highlight w:val="none"/>
        </w:rPr>
      </w:pPr>
      <w:bookmarkStart w:id="185" w:name="_bookmark73"/>
      <w:bookmarkEnd w:id="185"/>
      <w:r>
        <w:rPr>
          <w:rFonts w:ascii="黑体" w:eastAsia="黑体"/>
          <w:b/>
          <w:color w:val="auto"/>
          <w:kern w:val="2"/>
          <w:sz w:val="21"/>
          <w:szCs w:val="21"/>
          <w:highlight w:val="none"/>
        </w:rPr>
        <w:t>投诉</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投标人或者其他利害关系人认为招标投标活动不符合法律、行政法规规定的，可以自知道或者应当知道之日起 10日内向有关行政监督部门投诉。投诉应当有明确的请求和必要的证明材料。</w:t>
      </w:r>
    </w:p>
    <w:p>
      <w:pPr>
        <w:pStyle w:val="29"/>
        <w:numPr>
          <w:ilvl w:val="2"/>
          <w:numId w:val="5"/>
        </w:numPr>
        <w:tabs>
          <w:tab w:val="left" w:pos="993"/>
        </w:tabs>
        <w:spacing w:line="400" w:lineRule="exact"/>
        <w:ind w:left="0" w:firstLine="420" w:firstLineChars="200"/>
        <w:jc w:val="both"/>
        <w:rPr>
          <w:color w:val="auto"/>
          <w:kern w:val="2"/>
          <w:sz w:val="21"/>
          <w:szCs w:val="21"/>
          <w:highlight w:val="none"/>
        </w:rPr>
      </w:pPr>
      <w:r>
        <w:rPr>
          <w:color w:val="auto"/>
          <w:kern w:val="2"/>
          <w:sz w:val="21"/>
          <w:szCs w:val="21"/>
          <w:highlight w:val="none"/>
        </w:rPr>
        <w:t>投标人或者其他利害关系人对招标文件、开标和评标结果提出投诉的，应当按照投标人须知第 2.4款、第 5.3款和第 7.2款的规定先向招标人提出异议。异议答复期间不计算在第 8.5.1 项规定的期限内。</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86" w:name="_bookmark74"/>
      <w:bookmarkEnd w:id="186"/>
      <w:bookmarkStart w:id="187" w:name="_Toc62551551"/>
      <w:bookmarkStart w:id="188" w:name="_Toc496718839"/>
      <w:bookmarkStart w:id="189" w:name="_Toc10398"/>
      <w:r>
        <w:rPr>
          <w:rFonts w:ascii="黑体" w:hAnsi="宋体" w:eastAsia="黑体"/>
          <w:color w:val="auto"/>
          <w:kern w:val="2"/>
          <w:sz w:val="24"/>
          <w:szCs w:val="24"/>
          <w:highlight w:val="none"/>
        </w:rPr>
        <w:t>是否采用电子招标投标</w:t>
      </w:r>
      <w:bookmarkEnd w:id="187"/>
      <w:bookmarkEnd w:id="188"/>
      <w:bookmarkEnd w:id="189"/>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本招标项目是否采用电子招标投标方式，见投标人须知前附表。</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auto"/>
          <w:kern w:val="2"/>
          <w:sz w:val="24"/>
          <w:szCs w:val="24"/>
          <w:highlight w:val="none"/>
        </w:rPr>
      </w:pPr>
      <w:bookmarkStart w:id="190" w:name="_bookmark75"/>
      <w:bookmarkEnd w:id="190"/>
      <w:bookmarkStart w:id="191" w:name="_Toc496718840"/>
      <w:bookmarkStart w:id="192" w:name="_Toc15791"/>
      <w:bookmarkStart w:id="193" w:name="_Toc62551552"/>
      <w:r>
        <w:rPr>
          <w:rFonts w:ascii="黑体" w:hAnsi="宋体" w:eastAsia="黑体"/>
          <w:color w:val="auto"/>
          <w:kern w:val="2"/>
          <w:sz w:val="24"/>
          <w:szCs w:val="24"/>
          <w:highlight w:val="none"/>
        </w:rPr>
        <w:t>需要补充的其他内容</w:t>
      </w:r>
      <w:bookmarkEnd w:id="191"/>
      <w:bookmarkEnd w:id="192"/>
      <w:bookmarkEnd w:id="193"/>
    </w:p>
    <w:p>
      <w:pPr>
        <w:pStyle w:val="23"/>
        <w:tabs>
          <w:tab w:val="left" w:pos="0"/>
        </w:tabs>
        <w:spacing w:line="400" w:lineRule="exact"/>
        <w:ind w:firstLine="420" w:firstLineChars="200"/>
        <w:jc w:val="both"/>
        <w:rPr>
          <w:color w:val="auto"/>
          <w:kern w:val="2"/>
          <w:sz w:val="21"/>
          <w:highlight w:val="none"/>
        </w:rPr>
      </w:pPr>
      <w:r>
        <w:rPr>
          <w:color w:val="auto"/>
          <w:kern w:val="2"/>
          <w:sz w:val="21"/>
          <w:highlight w:val="none"/>
        </w:rPr>
        <w:t>需要补充的其他内容：见投标人须知前附表。</w:t>
      </w:r>
    </w:p>
    <w:p>
      <w:pPr>
        <w:pStyle w:val="30"/>
        <w:spacing w:line="400" w:lineRule="exact"/>
        <w:ind w:left="0" w:firstLine="0"/>
        <w:jc w:val="left"/>
        <w:outlineLvl w:val="9"/>
        <w:rPr>
          <w:rFonts w:ascii="黑体" w:eastAsia="黑体"/>
          <w:b w:val="0"/>
          <w:color w:val="auto"/>
          <w:kern w:val="2"/>
          <w:szCs w:val="24"/>
          <w:highlight w:val="none"/>
          <w:lang w:val="en-US"/>
        </w:rPr>
      </w:pPr>
      <w:r>
        <w:rPr>
          <w:color w:val="auto"/>
          <w:highlight w:val="none"/>
        </w:rPr>
        <w:br w:type="page"/>
      </w:r>
      <w:bookmarkStart w:id="194" w:name="_Toc11953"/>
      <w:bookmarkStart w:id="195" w:name="_Toc12276"/>
      <w:bookmarkStart w:id="196" w:name="_Toc12931"/>
      <w:bookmarkStart w:id="197" w:name="_Toc496719538"/>
      <w:bookmarkStart w:id="198" w:name="_Toc464719625"/>
      <w:bookmarkStart w:id="199" w:name="_Toc496706248"/>
      <w:r>
        <w:rPr>
          <w:rFonts w:hint="eastAsia" w:ascii="黑体" w:eastAsia="黑体"/>
          <w:bCs/>
          <w:color w:val="auto"/>
          <w:kern w:val="2"/>
          <w:szCs w:val="24"/>
          <w:highlight w:val="none"/>
          <w:lang w:val="en-US"/>
        </w:rPr>
        <w:t>附件一：问题澄清通知</w:t>
      </w:r>
    </w:p>
    <w:p>
      <w:pPr>
        <w:snapToGrid w:val="0"/>
        <w:rPr>
          <w:rFonts w:eastAsia="Times New Roman"/>
          <w:color w:val="auto"/>
          <w:highlight w:val="none"/>
        </w:rPr>
      </w:pPr>
    </w:p>
    <w:p>
      <w:pPr>
        <w:snapToGrid w:val="0"/>
        <w:spacing w:line="400" w:lineRule="exact"/>
        <w:rPr>
          <w:rFonts w:ascii="宋体" w:hAnsi="宋体" w:cs="宋体"/>
          <w:color w:val="auto"/>
          <w:highlight w:val="none"/>
        </w:rPr>
      </w:pPr>
      <w:r>
        <w:rPr>
          <w:rFonts w:hint="eastAsia" w:ascii="宋体" w:hAnsi="宋体" w:cs="宋体"/>
          <w:color w:val="auto"/>
          <w:highlight w:val="none"/>
        </w:rPr>
        <w:t>致：（投标人名称）</w:t>
      </w:r>
    </w:p>
    <w:p>
      <w:pPr>
        <w:snapToGrid w:val="0"/>
        <w:spacing w:line="400" w:lineRule="exact"/>
        <w:rPr>
          <w:rFonts w:ascii="宋体" w:hAnsi="宋体" w:cs="宋体"/>
          <w:color w:val="auto"/>
          <w:highlight w:val="none"/>
        </w:rPr>
      </w:pPr>
    </w:p>
    <w:p>
      <w:pPr>
        <w:adjustRightInd w:val="0"/>
        <w:snapToGrid w:val="0"/>
        <w:jc w:val="center"/>
        <w:rPr>
          <w:rFonts w:ascii="黑体" w:eastAsia="黑体"/>
          <w:b/>
          <w:color w:val="auto"/>
          <w:sz w:val="28"/>
          <w:szCs w:val="28"/>
          <w:highlight w:val="none"/>
        </w:rPr>
      </w:pPr>
      <w:r>
        <w:rPr>
          <w:rFonts w:hint="eastAsia" w:ascii="黑体" w:eastAsia="黑体"/>
          <w:b/>
          <w:color w:val="auto"/>
          <w:sz w:val="28"/>
          <w:szCs w:val="28"/>
          <w:highlight w:val="none"/>
        </w:rPr>
        <w:t>XX项目招标采购</w:t>
      </w:r>
    </w:p>
    <w:p>
      <w:pPr>
        <w:adjustRightInd w:val="0"/>
        <w:snapToGrid w:val="0"/>
        <w:jc w:val="center"/>
        <w:rPr>
          <w:rFonts w:ascii="黑体" w:eastAsia="黑体"/>
          <w:b/>
          <w:color w:val="auto"/>
          <w:sz w:val="28"/>
          <w:szCs w:val="28"/>
          <w:highlight w:val="none"/>
        </w:rPr>
      </w:pPr>
      <w:r>
        <w:rPr>
          <w:rFonts w:hint="eastAsia" w:ascii="黑体" w:eastAsia="黑体"/>
          <w:b/>
          <w:color w:val="auto"/>
          <w:sz w:val="28"/>
          <w:szCs w:val="28"/>
          <w:highlight w:val="none"/>
        </w:rPr>
        <w:t>（招标编号：XX）</w:t>
      </w:r>
    </w:p>
    <w:p>
      <w:pPr>
        <w:snapToGrid w:val="0"/>
        <w:spacing w:line="400" w:lineRule="exact"/>
        <w:rPr>
          <w:rFonts w:ascii="宋体" w:hAnsi="宋体" w:cs="宋体"/>
          <w:color w:val="auto"/>
          <w:highlight w:val="none"/>
        </w:rPr>
      </w:pP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（项目名称）评标委员会，对你方的投标文件进行了仔细的审查，现需你方对下列问题予以澄清。请各投标人在收到此澄清单后，线下编辑澄清回复内容后，通过</w:t>
      </w:r>
      <w:r>
        <w:rPr>
          <w:rFonts w:hint="eastAsia" w:ascii="宋体" w:hAnsi="宋体" w:cs="宋体"/>
          <w:color w:val="auto"/>
          <w:highlight w:val="none"/>
          <w:lang w:eastAsia="zh-CN"/>
        </w:rPr>
        <w:t>招标人招投标交易平台信息系统</w:t>
      </w:r>
      <w:r>
        <w:rPr>
          <w:rFonts w:hint="eastAsia" w:ascii="宋体" w:hAnsi="宋体" w:cs="宋体"/>
          <w:color w:val="auto"/>
          <w:highlight w:val="none"/>
        </w:rPr>
        <w:t xml:space="preserve">对该澄清单进行回复。 </w:t>
      </w:r>
    </w:p>
    <w:p>
      <w:pPr>
        <w:snapToGrid w:val="0"/>
        <w:spacing w:line="400" w:lineRule="exact"/>
        <w:ind w:firstLine="420"/>
        <w:rPr>
          <w:rFonts w:ascii="宋体" w:hAnsi="宋体" w:cs="宋体"/>
          <w:color w:val="auto"/>
          <w:highlight w:val="none"/>
        </w:rPr>
      </w:pPr>
      <w:r>
        <w:rPr>
          <w:rFonts w:ascii="宋体" w:hAnsi="宋体" w:cs="宋体"/>
          <w:color w:val="auto"/>
          <w:highlight w:val="none"/>
        </w:rPr>
        <w:t>1．</w:t>
      </w:r>
    </w:p>
    <w:p>
      <w:pPr>
        <w:snapToGrid w:val="0"/>
        <w:spacing w:line="400" w:lineRule="exact"/>
        <w:ind w:firstLine="420"/>
        <w:rPr>
          <w:rFonts w:ascii="宋体" w:hAnsi="宋体" w:cs="宋体"/>
          <w:color w:val="auto"/>
          <w:highlight w:val="none"/>
        </w:rPr>
      </w:pPr>
      <w:r>
        <w:rPr>
          <w:rFonts w:ascii="宋体" w:hAnsi="宋体" w:cs="宋体"/>
          <w:color w:val="auto"/>
          <w:highlight w:val="none"/>
        </w:rPr>
        <w:t>2．</w:t>
      </w: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w:t>
      </w:r>
    </w:p>
    <w:p>
      <w:pPr>
        <w:snapToGrid w:val="0"/>
        <w:spacing w:line="400" w:lineRule="exact"/>
        <w:ind w:firstLine="420"/>
        <w:rPr>
          <w:rFonts w:ascii="宋体" w:hAnsi="宋体" w:cs="宋体"/>
          <w:color w:val="auto"/>
          <w:highlight w:val="none"/>
        </w:rPr>
      </w:pP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请将上述问题的澄清、说明或补正于年月日时前通过招标人招投标交易平台信息系统上传，任何迟到的回复将被视为无效。</w:t>
      </w:r>
    </w:p>
    <w:p>
      <w:pPr>
        <w:snapToGrid w:val="0"/>
        <w:spacing w:line="400" w:lineRule="exact"/>
        <w:ind w:firstLine="420"/>
        <w:rPr>
          <w:rFonts w:ascii="宋体" w:hAnsi="宋体" w:cs="宋体"/>
          <w:color w:val="auto"/>
          <w:highlight w:val="none"/>
        </w:rPr>
      </w:pPr>
    </w:p>
    <w:p>
      <w:pPr>
        <w:snapToGrid w:val="0"/>
        <w:ind w:firstLine="420"/>
        <w:jc w:val="right"/>
        <w:rPr>
          <w:rFonts w:ascii="宋体" w:hAnsi="宋体" w:cs="宋体"/>
          <w:color w:val="auto"/>
          <w:highlight w:val="none"/>
        </w:rPr>
      </w:pPr>
    </w:p>
    <w:p>
      <w:pPr>
        <w:snapToGrid w:val="0"/>
        <w:ind w:firstLine="420"/>
        <w:jc w:val="right"/>
        <w:rPr>
          <w:rFonts w:ascii="宋体" w:hAnsi="宋体" w:cs="宋体"/>
          <w:color w:val="auto"/>
          <w:highlight w:val="none"/>
        </w:rPr>
      </w:pPr>
    </w:p>
    <w:p>
      <w:pPr>
        <w:snapToGrid w:val="0"/>
        <w:ind w:firstLine="420"/>
        <w:jc w:val="right"/>
        <w:rPr>
          <w:rFonts w:ascii="宋体" w:hAnsi="宋体" w:cs="宋体"/>
          <w:color w:val="auto"/>
          <w:highlight w:val="none"/>
        </w:rPr>
      </w:pPr>
      <w:r>
        <w:rPr>
          <w:rFonts w:hint="eastAsia" w:ascii="宋体" w:hAnsi="宋体" w:cs="宋体"/>
          <w:color w:val="auto"/>
          <w:highlight w:val="none"/>
        </w:rPr>
        <w:t>（项目名称）评标委员会</w:t>
      </w:r>
    </w:p>
    <w:p>
      <w:pPr>
        <w:wordWrap w:val="0"/>
        <w:snapToGrid w:val="0"/>
        <w:ind w:firstLine="6615" w:firstLineChars="3150"/>
        <w:jc w:val="right"/>
        <w:rPr>
          <w:rFonts w:ascii="宋体" w:hAnsi="宋体" w:cs="宋体"/>
          <w:color w:val="auto"/>
          <w:highlight w:val="none"/>
        </w:rPr>
        <w:sectPr>
          <w:headerReference r:id="rId9" w:type="default"/>
          <w:footerReference r:id="rId10" w:type="default"/>
          <w:pgSz w:w="11906" w:h="16838"/>
          <w:pgMar w:top="1440" w:right="1800" w:bottom="1440" w:left="1800" w:header="0" w:footer="841" w:gutter="0"/>
          <w:pgBorders>
            <w:top w:val="none" w:sz="0" w:space="0"/>
            <w:left w:val="none" w:sz="0" w:space="0"/>
            <w:bottom w:val="none" w:sz="0" w:space="0"/>
            <w:right w:val="none" w:sz="0" w:space="0"/>
          </w:pgBorders>
          <w:cols w:space="720" w:num="1"/>
          <w:docGrid w:type="lines" w:linePitch="312" w:charSpace="0"/>
        </w:sectPr>
      </w:pPr>
      <w:r>
        <w:rPr>
          <w:rFonts w:hint="eastAsia" w:ascii="宋体" w:hAnsi="宋体" w:cs="宋体"/>
          <w:color w:val="auto"/>
          <w:highlight w:val="none"/>
        </w:rPr>
        <w:t>日期：年月日</w:t>
      </w:r>
    </w:p>
    <w:p>
      <w:pPr>
        <w:pStyle w:val="30"/>
        <w:spacing w:line="400" w:lineRule="exact"/>
        <w:ind w:left="0" w:firstLine="0"/>
        <w:outlineLvl w:val="9"/>
        <w:rPr>
          <w:rFonts w:ascii="黑体" w:eastAsia="黑体"/>
          <w:b w:val="0"/>
          <w:color w:val="auto"/>
          <w:kern w:val="2"/>
          <w:szCs w:val="24"/>
          <w:highlight w:val="none"/>
          <w:lang w:val="en-US"/>
        </w:rPr>
      </w:pPr>
      <w:bookmarkStart w:id="200" w:name="_bookmark77"/>
      <w:bookmarkEnd w:id="200"/>
      <w:r>
        <w:rPr>
          <w:rFonts w:hint="eastAsia" w:ascii="黑体" w:eastAsia="黑体"/>
          <w:b w:val="0"/>
          <w:color w:val="auto"/>
          <w:kern w:val="2"/>
          <w:szCs w:val="24"/>
          <w:highlight w:val="none"/>
          <w:lang w:val="en-US"/>
        </w:rPr>
        <w:t>附件二：问题的澄清</w:t>
      </w:r>
    </w:p>
    <w:p>
      <w:pPr>
        <w:snapToGrid w:val="0"/>
        <w:spacing w:line="400" w:lineRule="exact"/>
        <w:jc w:val="center"/>
        <w:rPr>
          <w:rFonts w:eastAsia="黑体"/>
          <w:b/>
          <w:color w:val="auto"/>
          <w:sz w:val="28"/>
          <w:highlight w:val="none"/>
        </w:rPr>
      </w:pPr>
      <w:r>
        <w:rPr>
          <w:rFonts w:hint="eastAsia" w:eastAsia="黑体"/>
          <w:b/>
          <w:color w:val="auto"/>
          <w:sz w:val="28"/>
          <w:highlight w:val="none"/>
        </w:rPr>
        <w:t>问题的澄清</w:t>
      </w:r>
    </w:p>
    <w:p>
      <w:pPr>
        <w:snapToGrid w:val="0"/>
        <w:jc w:val="center"/>
        <w:rPr>
          <w:rFonts w:ascii="黑体" w:eastAsia="黑体"/>
          <w:color w:val="auto"/>
          <w:sz w:val="24"/>
          <w:szCs w:val="24"/>
          <w:highlight w:val="none"/>
        </w:rPr>
      </w:pPr>
    </w:p>
    <w:p>
      <w:pPr>
        <w:snapToGrid w:val="0"/>
        <w:spacing w:line="400" w:lineRule="exact"/>
        <w:rPr>
          <w:rFonts w:ascii="宋体" w:hAnsi="宋体" w:cs="宋体"/>
          <w:color w:val="auto"/>
          <w:highlight w:val="none"/>
        </w:rPr>
      </w:pPr>
      <w:r>
        <w:rPr>
          <w:rFonts w:hint="eastAsia" w:ascii="宋体" w:hAnsi="宋体" w:cs="宋体"/>
          <w:color w:val="auto"/>
          <w:highlight w:val="none"/>
        </w:rPr>
        <w:t>（项目名称）评标委员会：</w:t>
      </w:r>
    </w:p>
    <w:p>
      <w:pPr>
        <w:snapToGrid w:val="0"/>
        <w:spacing w:line="400" w:lineRule="exact"/>
        <w:rPr>
          <w:rFonts w:ascii="宋体" w:hAnsi="宋体" w:cs="宋体"/>
          <w:color w:val="auto"/>
          <w:highlight w:val="none"/>
        </w:rPr>
      </w:pP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第XX号 XX澄清已收悉，现澄清、说明或补正如下：</w:t>
      </w:r>
    </w:p>
    <w:p>
      <w:pPr>
        <w:snapToGrid w:val="0"/>
        <w:spacing w:line="400" w:lineRule="exact"/>
        <w:ind w:firstLine="420"/>
        <w:rPr>
          <w:rFonts w:ascii="宋体" w:hAnsi="宋体" w:cs="宋体"/>
          <w:color w:val="auto"/>
          <w:highlight w:val="none"/>
        </w:rPr>
      </w:pPr>
      <w:r>
        <w:rPr>
          <w:rFonts w:ascii="宋体" w:hAnsi="宋体" w:cs="宋体"/>
          <w:color w:val="auto"/>
          <w:highlight w:val="none"/>
        </w:rPr>
        <w:t>1．</w:t>
      </w:r>
    </w:p>
    <w:p>
      <w:pPr>
        <w:snapToGrid w:val="0"/>
        <w:spacing w:line="400" w:lineRule="exact"/>
        <w:ind w:firstLine="420"/>
        <w:rPr>
          <w:rFonts w:ascii="宋体" w:hAnsi="宋体" w:cs="宋体"/>
          <w:color w:val="auto"/>
          <w:highlight w:val="none"/>
        </w:rPr>
      </w:pPr>
      <w:r>
        <w:rPr>
          <w:rFonts w:ascii="宋体" w:hAnsi="宋体" w:cs="宋体"/>
          <w:color w:val="auto"/>
          <w:highlight w:val="none"/>
        </w:rPr>
        <w:t>2．</w:t>
      </w: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w:t>
      </w:r>
    </w:p>
    <w:p>
      <w:pPr>
        <w:snapToGrid w:val="0"/>
        <w:spacing w:line="400" w:lineRule="exact"/>
        <w:ind w:firstLine="420"/>
        <w:rPr>
          <w:rFonts w:ascii="宋体" w:hAnsi="宋体" w:cs="宋体"/>
          <w:color w:val="auto"/>
          <w:highlight w:val="none"/>
        </w:rPr>
      </w:pPr>
    </w:p>
    <w:p>
      <w:pPr>
        <w:snapToGrid w:val="0"/>
        <w:spacing w:line="400" w:lineRule="exact"/>
        <w:ind w:firstLine="420"/>
        <w:rPr>
          <w:rFonts w:ascii="宋体" w:hAnsi="宋体" w:cs="宋体"/>
          <w:color w:val="auto"/>
          <w:highlight w:val="none"/>
        </w:rPr>
      </w:pPr>
      <w:r>
        <w:rPr>
          <w:rFonts w:hint="eastAsia" w:ascii="宋体" w:hAnsi="宋体" w:cs="宋体"/>
          <w:color w:val="auto"/>
          <w:highlight w:val="none"/>
        </w:rPr>
        <w:t>上述问题澄清、说明或补正，不改变我方投标文件的实质性内容，构成我方投标文件的组成部分。</w:t>
      </w:r>
    </w:p>
    <w:p>
      <w:pPr>
        <w:snapToGrid w:val="0"/>
        <w:spacing w:line="400" w:lineRule="exact"/>
        <w:ind w:firstLine="420"/>
        <w:rPr>
          <w:rFonts w:ascii="宋体" w:hAnsi="宋体" w:cs="宋体"/>
          <w:color w:val="auto"/>
          <w:highlight w:val="none"/>
        </w:rPr>
      </w:pPr>
    </w:p>
    <w:p>
      <w:pPr>
        <w:wordWrap w:val="0"/>
        <w:snapToGrid w:val="0"/>
        <w:ind w:firstLine="420"/>
        <w:jc w:val="right"/>
        <w:rPr>
          <w:rFonts w:ascii="宋体" w:hAnsi="宋体" w:cs="宋体"/>
          <w:color w:val="auto"/>
          <w:highlight w:val="none"/>
        </w:rPr>
      </w:pPr>
      <w:r>
        <w:rPr>
          <w:rFonts w:hint="eastAsia" w:ascii="宋体" w:hAnsi="宋体" w:cs="宋体"/>
          <w:color w:val="auto"/>
          <w:highlight w:val="none"/>
        </w:rPr>
        <w:t>投标人：</w:t>
      </w:r>
    </w:p>
    <w:p>
      <w:pPr>
        <w:snapToGrid w:val="0"/>
        <w:ind w:firstLine="420"/>
        <w:jc w:val="right"/>
        <w:rPr>
          <w:rFonts w:ascii="宋体" w:hAnsi="宋体" w:cs="宋体"/>
          <w:color w:val="auto"/>
          <w:highlight w:val="none"/>
        </w:rPr>
      </w:pPr>
    </w:p>
    <w:p>
      <w:pPr>
        <w:snapToGrid w:val="0"/>
        <w:ind w:firstLine="420"/>
        <w:jc w:val="right"/>
        <w:rPr>
          <w:rFonts w:ascii="宋体" w:hAnsi="宋体" w:cs="宋体"/>
          <w:color w:val="auto"/>
          <w:highlight w:val="none"/>
        </w:rPr>
      </w:pPr>
    </w:p>
    <w:p>
      <w:pPr>
        <w:snapToGrid w:val="0"/>
        <w:ind w:firstLine="4200" w:firstLineChars="2000"/>
        <w:rPr>
          <w:rFonts w:ascii="宋体" w:hAnsi="宋体" w:cs="宋体"/>
          <w:color w:val="auto"/>
          <w:highlight w:val="none"/>
        </w:rPr>
      </w:pPr>
      <w:r>
        <w:rPr>
          <w:rFonts w:ascii="宋体" w:hAnsi="宋体" w:cs="宋体"/>
          <w:color w:val="auto"/>
          <w:highlight w:val="none"/>
        </w:rPr>
        <w:t xml:space="preserve">                           日期：</w:t>
      </w:r>
      <w:r>
        <w:rPr>
          <w:rFonts w:hint="eastAsia" w:ascii="宋体" w:hAnsi="宋体" w:cs="宋体"/>
          <w:color w:val="auto"/>
          <w:highlight w:val="none"/>
        </w:rPr>
        <w:t>年月日</w:t>
      </w:r>
    </w:p>
    <w:p>
      <w:pPr>
        <w:pStyle w:val="6"/>
        <w:tabs>
          <w:tab w:val="left" w:pos="6734"/>
          <w:tab w:val="left" w:pos="7783"/>
          <w:tab w:val="left" w:pos="8833"/>
        </w:tabs>
        <w:spacing w:before="72"/>
        <w:rPr>
          <w:color w:val="auto"/>
          <w:highlight w:val="none"/>
        </w:rPr>
      </w:pPr>
    </w:p>
    <w:p>
      <w:pPr>
        <w:widowControl/>
        <w:jc w:val="left"/>
        <w:rPr>
          <w:rFonts w:ascii="黑体"/>
          <w:color w:val="auto"/>
          <w:szCs w:val="24"/>
          <w:highlight w:val="none"/>
        </w:rPr>
      </w:pPr>
      <w:r>
        <w:rPr>
          <w:rFonts w:ascii="黑体" w:eastAsia="黑体"/>
          <w:color w:val="auto"/>
          <w:sz w:val="24"/>
          <w:szCs w:val="24"/>
          <w:highlight w:val="none"/>
        </w:rPr>
        <w:br w:type="page"/>
      </w:r>
      <w:r>
        <w:rPr>
          <w:rFonts w:hint="eastAsia" w:ascii="黑体" w:eastAsia="黑体"/>
          <w:color w:val="auto"/>
          <w:sz w:val="24"/>
          <w:szCs w:val="24"/>
          <w:highlight w:val="none"/>
        </w:rPr>
        <w:t>附件三：</w:t>
      </w:r>
      <w:bookmarkEnd w:id="194"/>
      <w:bookmarkEnd w:id="195"/>
      <w:bookmarkEnd w:id="196"/>
      <w:r>
        <w:rPr>
          <w:rFonts w:hint="eastAsia" w:ascii="黑体" w:eastAsia="黑体"/>
          <w:color w:val="auto"/>
          <w:sz w:val="24"/>
          <w:szCs w:val="24"/>
          <w:highlight w:val="none"/>
        </w:rPr>
        <w:t>招标文件异议单</w:t>
      </w:r>
    </w:p>
    <w:p>
      <w:pPr>
        <w:spacing w:line="400" w:lineRule="exact"/>
        <w:rPr>
          <w:color w:val="auto"/>
          <w:highlight w:val="none"/>
        </w:rPr>
      </w:pPr>
    </w:p>
    <w:p>
      <w:pPr>
        <w:adjustRightInd w:val="0"/>
        <w:snapToGrid w:val="0"/>
        <w:spacing w:line="400" w:lineRule="exact"/>
        <w:jc w:val="center"/>
        <w:rPr>
          <w:rFonts w:ascii="黑体" w:eastAsia="黑体"/>
          <w:b/>
          <w:color w:val="auto"/>
          <w:sz w:val="28"/>
          <w:szCs w:val="28"/>
          <w:highlight w:val="none"/>
        </w:rPr>
      </w:pPr>
      <w:bookmarkStart w:id="201" w:name="_Toc11432"/>
      <w:r>
        <w:rPr>
          <w:rFonts w:hint="eastAsia" w:ascii="黑体" w:eastAsia="黑体"/>
          <w:b/>
          <w:color w:val="auto"/>
          <w:sz w:val="28"/>
          <w:szCs w:val="28"/>
          <w:highlight w:val="none"/>
        </w:rPr>
        <w:t>招标文件异议单</w:t>
      </w:r>
      <w:bookmarkEnd w:id="201"/>
    </w:p>
    <w:p>
      <w:pPr>
        <w:adjustRightInd w:val="0"/>
        <w:snapToGrid w:val="0"/>
        <w:jc w:val="center"/>
        <w:rPr>
          <w:rFonts w:eastAsia="黑体"/>
          <w:b/>
          <w:color w:val="auto"/>
          <w:sz w:val="30"/>
          <w:szCs w:val="30"/>
          <w:highlight w:val="none"/>
        </w:rPr>
      </w:pPr>
    </w:p>
    <w:tbl>
      <w:tblPr>
        <w:tblStyle w:val="19"/>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24"/>
        <w:gridCol w:w="48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4224" w:type="dxa"/>
            <w:vAlign w:val="center"/>
          </w:tcPr>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项目名称：</w:t>
            </w:r>
          </w:p>
        </w:tc>
        <w:tc>
          <w:tcPr>
            <w:tcW w:w="4895" w:type="dxa"/>
            <w:vAlign w:val="center"/>
          </w:tcPr>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4224" w:type="dxa"/>
            <w:vAlign w:val="center"/>
          </w:tcPr>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异议人名称：</w:t>
            </w:r>
          </w:p>
          <w:p>
            <w:pPr>
              <w:spacing w:line="360" w:lineRule="auto"/>
              <w:jc w:val="left"/>
              <w:rPr>
                <w:rFonts w:ascii="宋体" w:hAnsi="宋体" w:cs="宋体"/>
                <w:b/>
                <w:color w:val="auto"/>
                <w:szCs w:val="21"/>
                <w:highlight w:val="none"/>
              </w:rPr>
            </w:pPr>
          </w:p>
        </w:tc>
        <w:tc>
          <w:tcPr>
            <w:tcW w:w="4895" w:type="dxa"/>
            <w:vAlign w:val="center"/>
          </w:tcPr>
          <w:p>
            <w:pPr>
              <w:spacing w:line="360" w:lineRule="auto"/>
              <w:ind w:left="1265" w:hanging="1265" w:hangingChars="600"/>
              <w:jc w:val="left"/>
              <w:rPr>
                <w:rFonts w:ascii="宋体" w:hAnsi="宋体" w:cs="宋体"/>
                <w:b/>
                <w:color w:val="auto"/>
                <w:szCs w:val="21"/>
                <w:highlight w:val="none"/>
              </w:rPr>
            </w:pPr>
            <w:r>
              <w:rPr>
                <w:rFonts w:hint="eastAsia" w:ascii="宋体" w:hAnsi="宋体" w:cs="宋体"/>
                <w:b/>
                <w:color w:val="auto"/>
                <w:szCs w:val="21"/>
                <w:highlight w:val="none"/>
              </w:rPr>
              <w:t>异议人类型：</w:t>
            </w:r>
          </w:p>
          <w:p>
            <w:pPr>
              <w:spacing w:line="360" w:lineRule="auto"/>
              <w:ind w:left="1260" w:hanging="1260" w:hangingChars="600"/>
              <w:jc w:val="left"/>
              <w:rPr>
                <w:rFonts w:ascii="宋体" w:hAnsi="宋体" w:cs="宋体"/>
                <w:color w:val="auto"/>
                <w:szCs w:val="21"/>
                <w:highlight w:val="none"/>
              </w:rPr>
            </w:pPr>
            <w:r>
              <w:rPr>
                <w:rFonts w:hint="eastAsia" w:ascii="宋体" w:hAnsi="宋体" w:cs="宋体"/>
                <w:color w:val="auto"/>
                <w:szCs w:val="21"/>
                <w:highlight w:val="none"/>
              </w:rPr>
              <w:t>□潜在投标人</w:t>
            </w:r>
            <w:r>
              <w:rPr>
                <w:rFonts w:hint="eastAsia" w:ascii="宋体" w:hAnsi="宋体" w:cs="宋体"/>
                <w:color w:val="auto"/>
                <w:szCs w:val="21"/>
                <w:highlight w:val="none"/>
                <w:lang w:val="en-US" w:eastAsia="zh-CN"/>
              </w:rPr>
              <w:t xml:space="preserve">             </w:t>
            </w:r>
            <w:r>
              <w:rPr>
                <w:rFonts w:hint="eastAsia" w:ascii="宋体" w:hAnsi="宋体" w:cs="宋体"/>
                <w:color w:val="auto"/>
                <w:szCs w:val="21"/>
                <w:highlight w:val="none"/>
              </w:rPr>
              <w:t>□其他利害关系人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9119" w:type="dxa"/>
            <w:gridSpan w:val="2"/>
            <w:vAlign w:val="center"/>
          </w:tcPr>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联系人：</w:t>
            </w:r>
            <w:r>
              <w:rPr>
                <w:rFonts w:hint="eastAsia" w:ascii="宋体" w:hAnsi="宋体" w:cs="宋体"/>
                <w:b/>
                <w:color w:val="auto"/>
                <w:szCs w:val="21"/>
                <w:highlight w:val="none"/>
                <w:lang w:val="en-US" w:eastAsia="zh-CN"/>
              </w:rPr>
              <w:t xml:space="preserve">                               </w:t>
            </w:r>
            <w:r>
              <w:rPr>
                <w:rFonts w:hint="eastAsia" w:ascii="宋体" w:hAnsi="宋体" w:cs="宋体"/>
                <w:b/>
                <w:color w:val="auto"/>
                <w:szCs w:val="21"/>
                <w:highlight w:val="none"/>
              </w:rPr>
              <w:t>电话：</w:t>
            </w:r>
          </w:p>
          <w:p>
            <w:pPr>
              <w:spacing w:line="360" w:lineRule="auto"/>
              <w:jc w:val="left"/>
              <w:rPr>
                <w:rFonts w:ascii="宋体" w:hAnsi="宋体" w:cs="宋体"/>
                <w:b/>
                <w:color w:val="auto"/>
                <w:szCs w:val="21"/>
                <w:highlight w:val="none"/>
              </w:rPr>
            </w:pPr>
            <w:r>
              <w:rPr>
                <w:rFonts w:hint="eastAsia" w:ascii="宋体" w:hAnsi="宋体" w:cs="宋体"/>
                <w:b/>
                <w:color w:val="auto"/>
                <w:szCs w:val="21"/>
                <w:highlight w:val="none"/>
              </w:rPr>
              <w:t>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6" w:hRule="atLeast"/>
          <w:jc w:val="center"/>
        </w:trPr>
        <w:tc>
          <w:tcPr>
            <w:tcW w:w="9119" w:type="dxa"/>
            <w:gridSpan w:val="2"/>
          </w:tcPr>
          <w:p>
            <w:pPr>
              <w:rPr>
                <w:rFonts w:ascii="宋体" w:hAnsi="宋体" w:cs="宋体"/>
                <w:b/>
                <w:color w:val="auto"/>
                <w:szCs w:val="21"/>
                <w:highlight w:val="none"/>
              </w:rPr>
            </w:pPr>
            <w:r>
              <w:rPr>
                <w:rFonts w:hint="eastAsia" w:ascii="宋体" w:hAnsi="宋体" w:cs="宋体"/>
                <w:b/>
                <w:color w:val="auto"/>
                <w:szCs w:val="21"/>
                <w:highlight w:val="none"/>
              </w:rPr>
              <w:t>异议内容：</w:t>
            </w:r>
          </w:p>
          <w:p>
            <w:pPr>
              <w:keepNext/>
              <w:keepLines/>
              <w:spacing w:before="260" w:after="260" w:line="413" w:lineRule="auto"/>
              <w:rPr>
                <w:rFonts w:ascii="宋体" w:hAnsi="宋体" w:cs="宋体"/>
                <w:b/>
                <w:color w:val="auto"/>
                <w:szCs w:val="21"/>
                <w:highlight w:val="none"/>
              </w:rPr>
            </w:pPr>
          </w:p>
          <w:p>
            <w:pPr>
              <w:keepNext/>
              <w:keepLines/>
              <w:spacing w:before="260" w:after="260" w:line="413" w:lineRule="auto"/>
              <w:rPr>
                <w:rFonts w:ascii="宋体" w:hAnsi="宋体" w:cs="宋体"/>
                <w:b/>
                <w:color w:val="auto"/>
                <w:szCs w:val="21"/>
                <w:highlight w:val="none"/>
              </w:rPr>
            </w:pPr>
          </w:p>
          <w:p>
            <w:pPr>
              <w:keepNext/>
              <w:keepLines/>
              <w:spacing w:before="260" w:after="260" w:line="413" w:lineRule="auto"/>
              <w:rPr>
                <w:rFonts w:ascii="宋体" w:hAnsi="宋体" w:cs="宋体"/>
                <w:b/>
                <w:color w:val="auto"/>
                <w:szCs w:val="21"/>
                <w:highlight w:val="none"/>
              </w:rPr>
            </w:pPr>
          </w:p>
          <w:p>
            <w:pPr>
              <w:keepNext/>
              <w:keepLines/>
              <w:spacing w:before="260" w:after="260" w:line="413" w:lineRule="auto"/>
              <w:rPr>
                <w:rFonts w:ascii="宋体" w:hAnsi="宋体" w:cs="宋体"/>
                <w:b/>
                <w:bCs/>
                <w:color w:val="auto"/>
                <w:szCs w:val="21"/>
                <w:highlight w:val="none"/>
              </w:rPr>
            </w:pPr>
          </w:p>
          <w:p>
            <w:pPr>
              <w:keepNext/>
              <w:keepLines/>
              <w:spacing w:before="260" w:after="260" w:line="413" w:lineRule="auto"/>
              <w:rPr>
                <w:rFonts w:ascii="宋体" w:hAnsi="宋体" w:cs="宋体"/>
                <w:b/>
                <w:bCs/>
                <w:color w:val="auto"/>
                <w:szCs w:val="21"/>
                <w:highlight w:val="none"/>
              </w:rPr>
            </w:pPr>
          </w:p>
          <w:p>
            <w:pPr>
              <w:keepNext/>
              <w:keepLines/>
              <w:spacing w:before="260" w:after="260" w:line="413" w:lineRule="auto"/>
              <w:rPr>
                <w:rFonts w:ascii="宋体" w:hAnsi="宋体" w:cs="宋体"/>
                <w:b/>
                <w:bCs/>
                <w:color w:val="auto"/>
                <w:szCs w:val="21"/>
                <w:highlight w:val="none"/>
              </w:rPr>
            </w:pPr>
          </w:p>
          <w:p>
            <w:pPr>
              <w:keepNext/>
              <w:keepLines/>
              <w:spacing w:before="260" w:after="260" w:line="413" w:lineRule="auto"/>
              <w:rPr>
                <w:rFonts w:ascii="宋体" w:hAnsi="宋体" w:cs="宋体"/>
                <w:b/>
                <w:bCs/>
                <w:color w:val="auto"/>
                <w:szCs w:val="21"/>
                <w:highlight w:val="none"/>
              </w:rPr>
            </w:pPr>
          </w:p>
          <w:p>
            <w:pPr>
              <w:keepNext/>
              <w:keepLines/>
              <w:spacing w:before="260" w:after="260" w:line="413" w:lineRule="auto"/>
              <w:rPr>
                <w:rFonts w:ascii="宋体" w:hAnsi="宋体" w:cs="宋体"/>
                <w:bCs/>
                <w:color w:val="auto"/>
                <w:szCs w:val="21"/>
                <w:highlight w:val="none"/>
              </w:rPr>
            </w:pPr>
          </w:p>
          <w:p>
            <w:pPr>
              <w:wordWrap w:val="0"/>
              <w:spacing w:line="360" w:lineRule="auto"/>
              <w:ind w:right="1080" w:firstLine="2520" w:firstLineChars="1200"/>
              <w:rPr>
                <w:rFonts w:ascii="宋体" w:hAnsi="宋体" w:cs="宋体"/>
                <w:bCs/>
                <w:color w:val="auto"/>
                <w:szCs w:val="21"/>
                <w:highlight w:val="none"/>
              </w:rPr>
            </w:pPr>
            <w:r>
              <w:rPr>
                <w:rFonts w:hint="eastAsia" w:ascii="宋体" w:hAnsi="宋体" w:cs="宋体"/>
                <w:bCs/>
                <w:color w:val="auto"/>
                <w:szCs w:val="21"/>
                <w:highlight w:val="none"/>
              </w:rPr>
              <w:t>异议人</w:t>
            </w:r>
            <w:r>
              <w:rPr>
                <w:rFonts w:hint="eastAsia" w:ascii="宋体" w:hAnsi="宋体" w:cs="宋体"/>
                <w:color w:val="auto"/>
                <w:kern w:val="0"/>
                <w:szCs w:val="21"/>
                <w:highlight w:val="none"/>
              </w:rPr>
              <w:t>法定代表人（单位负责人）或授权代表</w:t>
            </w:r>
            <w:r>
              <w:rPr>
                <w:rFonts w:hint="eastAsia" w:ascii="宋体" w:hAnsi="宋体" w:cs="宋体"/>
                <w:bCs/>
                <w:color w:val="auto"/>
                <w:szCs w:val="21"/>
                <w:highlight w:val="none"/>
              </w:rPr>
              <w:t>签字：</w:t>
            </w:r>
          </w:p>
          <w:p>
            <w:pPr>
              <w:wordWrap w:val="0"/>
              <w:spacing w:line="360" w:lineRule="auto"/>
              <w:ind w:right="1080" w:firstLine="6090" w:firstLineChars="2900"/>
              <w:rPr>
                <w:rFonts w:ascii="宋体" w:hAnsi="宋体" w:cs="宋体"/>
                <w:bCs/>
                <w:color w:val="auto"/>
                <w:szCs w:val="21"/>
                <w:highlight w:val="none"/>
              </w:rPr>
            </w:pPr>
            <w:r>
              <w:rPr>
                <w:rFonts w:hint="eastAsia" w:ascii="宋体" w:hAnsi="宋体" w:cs="宋体"/>
                <w:bCs/>
                <w:color w:val="auto"/>
                <w:szCs w:val="21"/>
                <w:highlight w:val="none"/>
              </w:rPr>
              <w:t>异议人盖章：</w:t>
            </w:r>
          </w:p>
          <w:p>
            <w:pPr>
              <w:wordWrap w:val="0"/>
              <w:spacing w:line="360" w:lineRule="auto"/>
              <w:ind w:right="1080"/>
              <w:rPr>
                <w:rFonts w:ascii="宋体" w:hAnsi="宋体" w:cs="宋体"/>
                <w:b/>
                <w:bCs/>
                <w:color w:val="auto"/>
                <w:szCs w:val="21"/>
                <w:highlight w:val="none"/>
              </w:rPr>
            </w:pPr>
            <w:r>
              <w:rPr>
                <w:rFonts w:hint="eastAsia" w:ascii="宋体" w:hAnsi="宋体" w:cs="宋体"/>
                <w:bCs/>
                <w:color w:val="auto"/>
                <w:szCs w:val="21"/>
                <w:highlight w:val="none"/>
              </w:rPr>
              <w:t xml:space="preserve">                                                                日期：</w:t>
            </w:r>
          </w:p>
        </w:tc>
      </w:tr>
    </w:tbl>
    <w:p>
      <w:pPr>
        <w:widowControl/>
        <w:jc w:val="center"/>
        <w:rPr>
          <w:rFonts w:ascii="黑体" w:eastAsia="黑体"/>
          <w:b/>
          <w:color w:val="auto"/>
          <w:sz w:val="28"/>
          <w:szCs w:val="28"/>
          <w:highlight w:val="none"/>
        </w:rPr>
      </w:pPr>
      <w:r>
        <w:rPr>
          <w:color w:val="auto"/>
          <w:highlight w:val="none"/>
        </w:rPr>
        <w:br w:type="page"/>
      </w:r>
      <w:bookmarkStart w:id="202" w:name="_Toc17457"/>
      <w:r>
        <w:rPr>
          <w:rFonts w:hint="eastAsia" w:ascii="黑体" w:eastAsia="黑体"/>
          <w:b/>
          <w:color w:val="auto"/>
          <w:sz w:val="28"/>
          <w:szCs w:val="28"/>
          <w:highlight w:val="none"/>
        </w:rPr>
        <w:t>开标异议单</w:t>
      </w:r>
      <w:bookmarkEnd w:id="202"/>
    </w:p>
    <w:p>
      <w:pPr>
        <w:keepNext w:val="0"/>
        <w:keepLines w:val="0"/>
        <w:pageBreakBefore w:val="0"/>
        <w:widowControl/>
        <w:kinsoku/>
        <w:wordWrap/>
        <w:overflowPunct/>
        <w:topLinePunct w:val="0"/>
        <w:autoSpaceDE/>
        <w:autoSpaceDN/>
        <w:bidi w:val="0"/>
        <w:adjustRightInd w:val="0"/>
        <w:snapToGrid w:val="0"/>
        <w:ind w:firstLine="0"/>
        <w:jc w:val="center"/>
        <w:textAlignment w:val="auto"/>
        <w:rPr>
          <w:rFonts w:ascii="黑体" w:hAnsi="宋体" w:eastAsia="黑体"/>
          <w:color w:val="auto"/>
          <w:highlight w:val="none"/>
        </w:rPr>
      </w:pPr>
    </w:p>
    <w:tbl>
      <w:tblPr>
        <w:tblStyle w:val="19"/>
        <w:tblW w:w="92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9"/>
        <w:gridCol w:w="4002"/>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4621"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r>
              <w:rPr>
                <w:rFonts w:hint="eastAsia" w:ascii="方正仿宋_GBK" w:hAnsi="方正仿宋_GBK" w:eastAsia="方正仿宋_GBK"/>
                <w:b/>
                <w:color w:val="auto"/>
                <w:sz w:val="24"/>
                <w:szCs w:val="24"/>
                <w:highlight w:val="none"/>
              </w:rPr>
              <w:t>项目名称：</w:t>
            </w:r>
          </w:p>
        </w:tc>
        <w:tc>
          <w:tcPr>
            <w:tcW w:w="462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b/>
                <w:color w:val="auto"/>
                <w:sz w:val="24"/>
                <w:szCs w:val="24"/>
                <w:highlight w:val="none"/>
              </w:rPr>
            </w:pPr>
            <w:r>
              <w:rPr>
                <w:rFonts w:hint="eastAsia" w:ascii="方正仿宋_GBK" w:hAnsi="方正仿宋_GBK" w:eastAsia="方正仿宋_GBK"/>
                <w:b/>
                <w:color w:val="auto"/>
                <w:sz w:val="24"/>
                <w:szCs w:val="24"/>
                <w:highlight w:val="none"/>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b/>
                <w:color w:val="auto"/>
                <w:sz w:val="24"/>
                <w:szCs w:val="24"/>
                <w:highlight w:val="none"/>
              </w:rPr>
            </w:pPr>
            <w:r>
              <w:rPr>
                <w:rFonts w:hint="eastAsia" w:ascii="方正仿宋_GBK" w:hAnsi="方正仿宋_GBK" w:eastAsia="方正仿宋_GBK"/>
                <w:b/>
                <w:color w:val="auto"/>
                <w:sz w:val="24"/>
                <w:szCs w:val="24"/>
                <w:highlight w:val="none"/>
              </w:rPr>
              <w:t>投标人名称：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jc w:val="left"/>
              <w:textAlignment w:val="auto"/>
              <w:rPr>
                <w:rFonts w:ascii="方正仿宋_GBK" w:hAnsi="方正仿宋_GBK" w:eastAsia="方正仿宋_GBK"/>
                <w:b/>
                <w:color w:val="auto"/>
                <w:sz w:val="24"/>
                <w:szCs w:val="24"/>
                <w:highlight w:val="none"/>
              </w:rPr>
            </w:pPr>
            <w:r>
              <w:rPr>
                <w:rFonts w:hint="eastAsia" w:ascii="方正仿宋_GBK" w:hAnsi="方正仿宋_GBK" w:eastAsia="方正仿宋_GBK"/>
                <w:b/>
                <w:color w:val="auto"/>
                <w:sz w:val="24"/>
                <w:szCs w:val="24"/>
                <w:highlight w:val="none"/>
              </w:rPr>
              <w:t>联系人：                            电话：</w:t>
            </w:r>
          </w:p>
          <w:p>
            <w:pPr>
              <w:keepNext w:val="0"/>
              <w:keepLines w:val="0"/>
              <w:pageBreakBefore w:val="0"/>
              <w:kinsoku/>
              <w:wordWrap/>
              <w:overflowPunct/>
              <w:topLinePunct w:val="0"/>
              <w:autoSpaceDE/>
              <w:autoSpaceDN/>
              <w:bidi w:val="0"/>
              <w:ind w:firstLine="0"/>
              <w:jc w:val="left"/>
              <w:textAlignment w:val="auto"/>
              <w:rPr>
                <w:rFonts w:ascii="方正仿宋_GBK" w:hAnsi="方正仿宋_GBK" w:eastAsia="方正仿宋_GBK"/>
                <w:b/>
                <w:color w:val="auto"/>
                <w:sz w:val="24"/>
                <w:szCs w:val="24"/>
                <w:highlight w:val="none"/>
              </w:rPr>
            </w:pPr>
            <w:r>
              <w:rPr>
                <w:rFonts w:hint="eastAsia" w:ascii="方正仿宋_GBK" w:hAnsi="方正仿宋_GBK" w:eastAsia="方正仿宋_GBK"/>
                <w:b/>
                <w:color w:val="auto"/>
                <w:sz w:val="24"/>
                <w:szCs w:val="24"/>
                <w:highlight w:val="none"/>
              </w:rPr>
              <w:t>电子邮箱：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r>
              <w:rPr>
                <w:rFonts w:hint="eastAsia" w:ascii="方正仿宋_GBK" w:hAnsi="方正仿宋_GBK" w:eastAsia="方正仿宋_GBK" w:cs="方正仿宋_GBK"/>
                <w:b/>
                <w:color w:val="auto"/>
                <w:sz w:val="24"/>
                <w:szCs w:val="24"/>
                <w:highlight w:val="none"/>
              </w:rPr>
              <w:t>异议受理场所：</w:t>
            </w:r>
            <w:r>
              <w:rPr>
                <w:rFonts w:hint="eastAsia" w:ascii="方正仿宋_GBK" w:hAnsi="方正仿宋_GBK" w:eastAsia="方正仿宋_GBK"/>
                <w:color w:val="auto"/>
                <w:sz w:val="24"/>
                <w:szCs w:val="24"/>
                <w:highlight w:val="none"/>
              </w:rPr>
              <w:t>□开标现场               □非开标现场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7"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r>
              <w:rPr>
                <w:rFonts w:hint="eastAsia" w:ascii="方正仿宋_GBK" w:hAnsi="方正仿宋_GBK" w:eastAsia="方正仿宋_GBK" w:cs="方正仿宋_GBK"/>
                <w:b/>
                <w:color w:val="auto"/>
                <w:sz w:val="24"/>
                <w:szCs w:val="24"/>
                <w:highlight w:val="none"/>
              </w:rPr>
              <w:t>异议内容：</w:t>
            </w:r>
          </w:p>
          <w:p>
            <w:pPr>
              <w:pStyle w:val="17"/>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highlight w:val="none"/>
              </w:rPr>
            </w:pPr>
          </w:p>
          <w:p>
            <w:pPr>
              <w:pStyle w:val="17"/>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highlight w:val="none"/>
              </w:rPr>
            </w:pPr>
          </w:p>
          <w:p>
            <w:pPr>
              <w:pStyle w:val="17"/>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highlight w:val="none"/>
              </w:rPr>
            </w:pPr>
          </w:p>
          <w:p>
            <w:pPr>
              <w:pStyle w:val="17"/>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highlight w:val="none"/>
              </w:rPr>
            </w:pP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bCs/>
                <w:color w:val="auto"/>
                <w:sz w:val="24"/>
                <w:szCs w:val="24"/>
                <w:highlight w:val="none"/>
              </w:rPr>
            </w:pPr>
            <w:r>
              <w:rPr>
                <w:rFonts w:hint="eastAsia" w:ascii="方正仿宋_GBK" w:hAnsi="方正仿宋_GBK" w:eastAsia="方正仿宋_GBK" w:cs="方正仿宋_GBK"/>
                <w:color w:val="auto"/>
                <w:sz w:val="24"/>
                <w:szCs w:val="24"/>
                <w:highlight w:val="none"/>
              </w:rPr>
              <w:t xml:space="preserve">                          投标人法定代表人（单位负责人）或授权代表签字：</w:t>
            </w:r>
          </w:p>
          <w:p>
            <w:pPr>
              <w:keepNext w:val="0"/>
              <w:keepLines w:val="0"/>
              <w:pageBreakBefore w:val="0"/>
              <w:kinsoku/>
              <w:wordWrap/>
              <w:overflowPunct/>
              <w:topLinePunct w:val="0"/>
              <w:autoSpaceDE/>
              <w:autoSpaceDN/>
              <w:bidi w:val="0"/>
              <w:ind w:firstLine="0"/>
              <w:jc w:val="center"/>
              <w:textAlignment w:val="auto"/>
              <w:rPr>
                <w:rFonts w:ascii="方正仿宋_GBK" w:hAnsi="方正仿宋_GBK" w:eastAsia="方正仿宋_GBK"/>
                <w:bCs/>
                <w:color w:val="auto"/>
                <w:sz w:val="24"/>
                <w:szCs w:val="24"/>
                <w:highlight w:val="none"/>
              </w:rPr>
            </w:pPr>
            <w:r>
              <w:rPr>
                <w:rFonts w:hint="eastAsia" w:ascii="方正仿宋_GBK" w:hAnsi="方正仿宋_GBK" w:eastAsia="方正仿宋_GBK"/>
                <w:bCs/>
                <w:color w:val="auto"/>
                <w:sz w:val="24"/>
                <w:szCs w:val="24"/>
                <w:highlight w:val="none"/>
              </w:rPr>
              <w:t xml:space="preserve">                                 投标人盖章：</w:t>
            </w:r>
          </w:p>
          <w:p>
            <w:pPr>
              <w:keepNext w:val="0"/>
              <w:keepLines w:val="0"/>
              <w:pageBreakBefore w:val="0"/>
              <w:kinsoku/>
              <w:wordWrap/>
              <w:overflowPunct/>
              <w:topLinePunct w:val="0"/>
              <w:autoSpaceDE/>
              <w:autoSpaceDN/>
              <w:bidi w:val="0"/>
              <w:ind w:firstLine="0"/>
              <w:jc w:val="center"/>
              <w:textAlignment w:val="auto"/>
              <w:rPr>
                <w:rFonts w:ascii="方正仿宋_GBK" w:hAnsi="方正仿宋_GBK" w:eastAsia="方正仿宋_GBK" w:cs="方正仿宋_GBK"/>
                <w:b/>
                <w:color w:val="auto"/>
                <w:sz w:val="24"/>
                <w:szCs w:val="24"/>
                <w:highlight w:val="none"/>
              </w:rPr>
            </w:pPr>
            <w:r>
              <w:rPr>
                <w:rFonts w:hint="eastAsia" w:ascii="方正仿宋_GBK" w:hAnsi="方正仿宋_GBK" w:eastAsia="方正仿宋_GBK"/>
                <w:bCs/>
                <w:color w:val="auto"/>
                <w:sz w:val="24"/>
                <w:szCs w:val="24"/>
                <w:highlight w:val="none"/>
              </w:rPr>
              <w:t xml:space="preserve">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242" w:type="dxa"/>
            <w:gridSpan w:val="3"/>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r>
              <w:rPr>
                <w:rFonts w:hint="eastAsia" w:ascii="方正仿宋_GBK" w:hAnsi="方正仿宋_GBK" w:eastAsia="方正仿宋_GBK" w:cs="方正仿宋_GBK"/>
                <w:b/>
                <w:color w:val="auto"/>
                <w:sz w:val="24"/>
                <w:szCs w:val="24"/>
                <w:highlight w:val="none"/>
              </w:rPr>
              <w:t>答复：</w:t>
            </w: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Cs/>
                <w:color w:val="auto"/>
                <w:sz w:val="24"/>
                <w:szCs w:val="24"/>
                <w:highlight w:val="none"/>
              </w:rPr>
            </w:pPr>
            <w:r>
              <w:rPr>
                <w:rFonts w:hint="eastAsia" w:ascii="方正仿宋_GBK" w:hAnsi="方正仿宋_GBK" w:eastAsia="方正仿宋_GBK" w:cs="方正仿宋_GBK"/>
                <w:bCs/>
                <w:color w:val="auto"/>
                <w:sz w:val="24"/>
                <w:szCs w:val="24"/>
                <w:highlight w:val="none"/>
              </w:rPr>
              <w:t xml:space="preserve">异议受理工作人员签字：                开标现场监察人员签字：            </w:t>
            </w: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auto"/>
                <w:sz w:val="24"/>
                <w:szCs w:val="24"/>
                <w:highlight w:val="none"/>
              </w:rPr>
            </w:pPr>
            <w:r>
              <w:rPr>
                <w:rFonts w:hint="eastAsia" w:ascii="方正仿宋_GBK" w:hAnsi="方正仿宋_GBK" w:eastAsia="方正仿宋_GBK"/>
                <w:bCs/>
                <w:color w:val="auto"/>
                <w:sz w:val="24"/>
                <w:szCs w:val="24"/>
                <w:highlight w:val="none"/>
              </w:rPr>
              <w:t>招标人代表签字或盖章：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snapToGrid w:val="0"/>
              <w:ind w:firstLine="0"/>
              <w:textAlignment w:val="auto"/>
              <w:rPr>
                <w:rFonts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受理说明</w:t>
            </w:r>
          </w:p>
        </w:tc>
        <w:tc>
          <w:tcPr>
            <w:tcW w:w="862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snapToGrid w:val="0"/>
              <w:ind w:firstLine="0"/>
              <w:textAlignment w:val="auto"/>
              <w:rPr>
                <w:rFonts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参加现场开标的，投标人如有异议，应当场提出并按本表格式填写。</w:t>
            </w:r>
          </w:p>
          <w:p>
            <w:pPr>
              <w:keepNext w:val="0"/>
              <w:keepLines w:val="0"/>
              <w:pageBreakBefore w:val="0"/>
              <w:widowControl/>
              <w:kinsoku/>
              <w:wordWrap/>
              <w:overflowPunct/>
              <w:topLinePunct w:val="0"/>
              <w:autoSpaceDE/>
              <w:autoSpaceDN/>
              <w:bidi w:val="0"/>
              <w:snapToGrid w:val="0"/>
              <w:ind w:firstLine="0"/>
              <w:textAlignment w:val="auto"/>
              <w:rPr>
                <w:rFonts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未参加现场开标的，投标人如有异议，应按本表格式填写，并在开标结束时间后一个小时内发送至指定电子邮箱，电子邮箱见招标公告。</w:t>
            </w:r>
          </w:p>
        </w:tc>
      </w:tr>
    </w:tbl>
    <w:p>
      <w:pPr>
        <w:adjustRightInd w:val="0"/>
        <w:snapToGrid w:val="0"/>
        <w:spacing w:line="400" w:lineRule="exact"/>
        <w:jc w:val="center"/>
        <w:rPr>
          <w:rFonts w:ascii="黑体" w:eastAsia="黑体"/>
          <w:b/>
          <w:color w:val="auto"/>
          <w:sz w:val="28"/>
          <w:szCs w:val="28"/>
          <w:highlight w:val="none"/>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linePitch="312" w:charSpace="0"/>
        </w:sectPr>
      </w:pPr>
    </w:p>
    <w:p>
      <w:pPr>
        <w:adjustRightInd w:val="0"/>
        <w:snapToGrid w:val="0"/>
        <w:spacing w:line="400" w:lineRule="exact"/>
        <w:jc w:val="center"/>
        <w:rPr>
          <w:rFonts w:ascii="黑体" w:eastAsia="黑体"/>
          <w:b/>
          <w:color w:val="auto"/>
          <w:sz w:val="28"/>
          <w:szCs w:val="28"/>
          <w:highlight w:val="none"/>
        </w:rPr>
      </w:pPr>
      <w:bookmarkStart w:id="203" w:name="_Toc31773"/>
      <w:r>
        <w:rPr>
          <w:rFonts w:hint="eastAsia" w:ascii="黑体" w:eastAsia="黑体"/>
          <w:b/>
          <w:color w:val="auto"/>
          <w:sz w:val="28"/>
          <w:szCs w:val="28"/>
          <w:highlight w:val="none"/>
        </w:rPr>
        <w:t>评标结果异议单</w:t>
      </w:r>
      <w:bookmarkEnd w:id="203"/>
    </w:p>
    <w:p>
      <w:pPr>
        <w:adjustRightInd w:val="0"/>
        <w:snapToGrid w:val="0"/>
        <w:spacing w:line="400" w:lineRule="exact"/>
        <w:jc w:val="center"/>
        <w:rPr>
          <w:rFonts w:ascii="黑体" w:eastAsia="黑体"/>
          <w:b/>
          <w:color w:val="auto"/>
          <w:sz w:val="28"/>
          <w:szCs w:val="28"/>
          <w:highlight w:val="none"/>
        </w:rPr>
      </w:pPr>
    </w:p>
    <w:tbl>
      <w:tblPr>
        <w:tblStyle w:val="19"/>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7"/>
        <w:gridCol w:w="4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4627" w:type="dxa"/>
            <w:vAlign w:val="center"/>
          </w:tcPr>
          <w:p>
            <w:pPr>
              <w:spacing w:line="360" w:lineRule="auto"/>
              <w:jc w:val="left"/>
              <w:rPr>
                <w:rFonts w:ascii="宋体" w:hAnsi="宋体"/>
                <w:b/>
                <w:color w:val="auto"/>
                <w:szCs w:val="21"/>
                <w:highlight w:val="none"/>
              </w:rPr>
            </w:pPr>
            <w:r>
              <w:rPr>
                <w:rFonts w:hint="eastAsia" w:ascii="宋体" w:hAnsi="宋体"/>
                <w:b/>
                <w:color w:val="auto"/>
                <w:szCs w:val="21"/>
                <w:highlight w:val="none"/>
              </w:rPr>
              <w:t>项目名称：</w:t>
            </w:r>
          </w:p>
        </w:tc>
        <w:tc>
          <w:tcPr>
            <w:tcW w:w="4673" w:type="dxa"/>
            <w:vAlign w:val="center"/>
          </w:tcPr>
          <w:p>
            <w:pPr>
              <w:spacing w:line="360" w:lineRule="auto"/>
              <w:jc w:val="left"/>
              <w:rPr>
                <w:rFonts w:ascii="宋体" w:hAnsi="宋体"/>
                <w:b/>
                <w:color w:val="auto"/>
                <w:szCs w:val="21"/>
                <w:highlight w:val="none"/>
              </w:rPr>
            </w:pPr>
            <w:r>
              <w:rPr>
                <w:rFonts w:hint="eastAsia" w:ascii="宋体" w:hAnsi="宋体"/>
                <w:b/>
                <w:color w:val="auto"/>
                <w:szCs w:val="21"/>
                <w:highlight w:val="none"/>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4627" w:type="dxa"/>
          </w:tcPr>
          <w:p>
            <w:pPr>
              <w:spacing w:line="360" w:lineRule="auto"/>
              <w:jc w:val="left"/>
              <w:rPr>
                <w:rFonts w:ascii="宋体" w:hAnsi="宋体"/>
                <w:b/>
                <w:color w:val="auto"/>
                <w:szCs w:val="21"/>
                <w:highlight w:val="none"/>
              </w:rPr>
            </w:pPr>
            <w:r>
              <w:rPr>
                <w:rFonts w:hint="eastAsia" w:ascii="宋体" w:hAnsi="宋体"/>
                <w:b/>
                <w:color w:val="auto"/>
                <w:szCs w:val="21"/>
                <w:highlight w:val="none"/>
              </w:rPr>
              <w:t>异议人名称：</w:t>
            </w:r>
          </w:p>
        </w:tc>
        <w:tc>
          <w:tcPr>
            <w:tcW w:w="4673" w:type="dxa"/>
            <w:vAlign w:val="center"/>
          </w:tcPr>
          <w:p>
            <w:pPr>
              <w:spacing w:line="360" w:lineRule="auto"/>
              <w:jc w:val="left"/>
              <w:rPr>
                <w:rFonts w:ascii="宋体" w:hAnsi="宋体"/>
                <w:b/>
                <w:color w:val="auto"/>
                <w:szCs w:val="21"/>
                <w:highlight w:val="none"/>
              </w:rPr>
            </w:pPr>
            <w:r>
              <w:rPr>
                <w:rFonts w:hint="eastAsia" w:ascii="宋体" w:hAnsi="宋体"/>
                <w:b/>
                <w:color w:val="auto"/>
                <w:szCs w:val="21"/>
                <w:highlight w:val="none"/>
              </w:rPr>
              <w:t>异议人类型：</w:t>
            </w:r>
          </w:p>
          <w:p>
            <w:pPr>
              <w:spacing w:line="360" w:lineRule="auto"/>
              <w:jc w:val="left"/>
              <w:rPr>
                <w:rFonts w:ascii="宋体" w:hAnsi="宋体"/>
                <w:color w:val="auto"/>
                <w:szCs w:val="21"/>
                <w:highlight w:val="none"/>
              </w:rPr>
            </w:pPr>
            <w:r>
              <w:rPr>
                <w:rFonts w:hint="eastAsia" w:ascii="宋体" w:hAnsi="宋体"/>
                <w:color w:val="auto"/>
                <w:szCs w:val="21"/>
                <w:highlight w:val="none"/>
              </w:rPr>
              <w:t>□投标人</w:t>
            </w:r>
            <w:r>
              <w:rPr>
                <w:rFonts w:hint="eastAsia" w:ascii="宋体" w:hAnsi="宋体"/>
                <w:color w:val="auto"/>
                <w:szCs w:val="21"/>
                <w:highlight w:val="none"/>
                <w:lang w:val="en-US" w:eastAsia="zh-CN"/>
              </w:rPr>
              <w:t xml:space="preserve">            </w:t>
            </w:r>
            <w:r>
              <w:rPr>
                <w:rFonts w:hint="eastAsia" w:ascii="宋体" w:hAnsi="宋体"/>
                <w:color w:val="auto"/>
                <w:szCs w:val="21"/>
                <w:highlight w:val="none"/>
              </w:rPr>
              <w:t>□其他利害关系人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9300" w:type="dxa"/>
            <w:gridSpan w:val="2"/>
            <w:vAlign w:val="center"/>
          </w:tcPr>
          <w:p>
            <w:pPr>
              <w:spacing w:line="360" w:lineRule="auto"/>
              <w:jc w:val="left"/>
              <w:rPr>
                <w:rFonts w:ascii="宋体" w:hAnsi="宋体"/>
                <w:b/>
                <w:color w:val="auto"/>
                <w:szCs w:val="21"/>
                <w:highlight w:val="none"/>
              </w:rPr>
            </w:pPr>
            <w:r>
              <w:rPr>
                <w:rFonts w:hint="eastAsia" w:ascii="宋体" w:hAnsi="宋体"/>
                <w:b/>
                <w:color w:val="auto"/>
                <w:szCs w:val="21"/>
                <w:highlight w:val="none"/>
              </w:rPr>
              <w:t>联系人：电话：</w:t>
            </w:r>
          </w:p>
          <w:p>
            <w:pPr>
              <w:spacing w:line="360" w:lineRule="auto"/>
              <w:jc w:val="left"/>
              <w:rPr>
                <w:rFonts w:ascii="宋体" w:hAnsi="宋体"/>
                <w:b/>
                <w:color w:val="auto"/>
                <w:szCs w:val="21"/>
                <w:highlight w:val="none"/>
              </w:rPr>
            </w:pPr>
            <w:r>
              <w:rPr>
                <w:rFonts w:hint="eastAsia" w:ascii="宋体" w:hAnsi="宋体"/>
                <w:b/>
                <w:color w:val="auto"/>
                <w:szCs w:val="21"/>
                <w:highlight w:val="none"/>
              </w:rPr>
              <w:t>传真：电子邮件：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6" w:hRule="atLeast"/>
          <w:jc w:val="center"/>
        </w:trPr>
        <w:tc>
          <w:tcPr>
            <w:tcW w:w="9300" w:type="dxa"/>
            <w:gridSpan w:val="2"/>
          </w:tcPr>
          <w:p>
            <w:pPr>
              <w:widowControl/>
              <w:spacing w:line="400" w:lineRule="exact"/>
              <w:rPr>
                <w:rFonts w:hint="eastAsia" w:ascii="宋体" w:hAnsi="宋体"/>
                <w:b/>
                <w:color w:val="auto"/>
                <w:szCs w:val="21"/>
                <w:highlight w:val="none"/>
              </w:rPr>
            </w:pPr>
            <w:r>
              <w:rPr>
                <w:rFonts w:hint="eastAsia" w:ascii="宋体" w:hAnsi="宋体"/>
                <w:b/>
                <w:color w:val="auto"/>
                <w:szCs w:val="21"/>
                <w:highlight w:val="none"/>
              </w:rPr>
              <w:t>异议内容：</w:t>
            </w:r>
          </w:p>
          <w:p>
            <w:pPr>
              <w:widowControl/>
              <w:spacing w:line="400" w:lineRule="exact"/>
              <w:rPr>
                <w:rFonts w:hint="eastAsia" w:ascii="宋体" w:hAnsi="宋体"/>
                <w:b/>
                <w:color w:val="auto"/>
                <w:szCs w:val="21"/>
                <w:highlight w:val="none"/>
              </w:rPr>
            </w:pPr>
            <w:r>
              <w:rPr>
                <w:rFonts w:hint="eastAsia" w:ascii="宋体" w:hAnsi="宋体"/>
                <w:b/>
                <w:color w:val="auto"/>
                <w:szCs w:val="21"/>
                <w:highlight w:val="none"/>
              </w:rPr>
              <w:t>具体明确的</w:t>
            </w:r>
            <w:r>
              <w:rPr>
                <w:rFonts w:hint="eastAsia" w:ascii="宋体" w:hAnsi="宋体"/>
                <w:b/>
                <w:color w:val="auto"/>
                <w:szCs w:val="21"/>
                <w:highlight w:val="none"/>
                <w:lang w:val="en-US" w:eastAsia="zh-CN"/>
              </w:rPr>
              <w:t>异议</w:t>
            </w:r>
            <w:r>
              <w:rPr>
                <w:rFonts w:hint="eastAsia" w:ascii="宋体" w:hAnsi="宋体"/>
                <w:b/>
                <w:color w:val="auto"/>
                <w:szCs w:val="21"/>
                <w:highlight w:val="none"/>
              </w:rPr>
              <w:t>事项与</w:t>
            </w:r>
            <w:r>
              <w:rPr>
                <w:rFonts w:hint="eastAsia" w:ascii="宋体" w:hAnsi="宋体"/>
                <w:b/>
                <w:color w:val="auto"/>
                <w:szCs w:val="21"/>
                <w:highlight w:val="none"/>
                <w:lang w:val="en-US" w:eastAsia="zh-CN"/>
              </w:rPr>
              <w:t>异议</w:t>
            </w:r>
            <w:r>
              <w:rPr>
                <w:rFonts w:hint="eastAsia" w:ascii="宋体" w:hAnsi="宋体"/>
                <w:b/>
                <w:color w:val="auto"/>
                <w:szCs w:val="21"/>
                <w:highlight w:val="none"/>
              </w:rPr>
              <w:t>事项相关的请求：</w:t>
            </w:r>
          </w:p>
          <w:p>
            <w:pPr>
              <w:widowControl/>
              <w:spacing w:line="400" w:lineRule="exact"/>
              <w:rPr>
                <w:rFonts w:hint="eastAsia" w:ascii="宋体" w:hAnsi="宋体"/>
                <w:b/>
                <w:color w:val="auto"/>
                <w:szCs w:val="21"/>
                <w:highlight w:val="none"/>
              </w:rPr>
            </w:pPr>
          </w:p>
          <w:p>
            <w:pPr>
              <w:widowControl/>
              <w:spacing w:line="400" w:lineRule="exact"/>
              <w:rPr>
                <w:rFonts w:hint="eastAsia" w:ascii="宋体" w:hAnsi="宋体"/>
                <w:b/>
                <w:color w:val="auto"/>
                <w:szCs w:val="21"/>
                <w:highlight w:val="none"/>
              </w:rPr>
            </w:pPr>
          </w:p>
          <w:p>
            <w:pPr>
              <w:widowControl/>
              <w:spacing w:line="400" w:lineRule="exact"/>
              <w:rPr>
                <w:rFonts w:hint="eastAsia" w:ascii="宋体" w:hAnsi="宋体"/>
                <w:b/>
                <w:color w:val="auto"/>
                <w:szCs w:val="21"/>
                <w:highlight w:val="none"/>
              </w:rPr>
            </w:pPr>
            <w:r>
              <w:rPr>
                <w:rFonts w:hint="eastAsia" w:ascii="宋体" w:hAnsi="宋体"/>
                <w:b/>
                <w:color w:val="auto"/>
                <w:szCs w:val="21"/>
                <w:highlight w:val="none"/>
              </w:rPr>
              <w:t>事实依据：</w:t>
            </w:r>
          </w:p>
          <w:p>
            <w:pPr>
              <w:pStyle w:val="17"/>
              <w:ind w:left="0" w:firstLine="0"/>
              <w:rPr>
                <w:rFonts w:hint="eastAsia" w:ascii="宋体" w:hAnsi="宋体"/>
                <w:b/>
                <w:color w:val="auto"/>
                <w:szCs w:val="21"/>
                <w:highlight w:val="none"/>
              </w:rPr>
            </w:pPr>
          </w:p>
          <w:p>
            <w:pPr>
              <w:widowControl/>
              <w:spacing w:line="400" w:lineRule="exact"/>
              <w:rPr>
                <w:rFonts w:hint="eastAsia" w:ascii="宋体" w:hAnsi="宋体"/>
                <w:b/>
                <w:color w:val="auto"/>
                <w:szCs w:val="21"/>
                <w:highlight w:val="none"/>
              </w:rPr>
            </w:pPr>
          </w:p>
          <w:p>
            <w:pPr>
              <w:widowControl/>
              <w:spacing w:line="400" w:lineRule="exact"/>
              <w:rPr>
                <w:rFonts w:ascii="宋体" w:hAnsi="宋体"/>
                <w:b/>
                <w:color w:val="auto"/>
                <w:szCs w:val="21"/>
                <w:highlight w:val="none"/>
              </w:rPr>
            </w:pPr>
            <w:r>
              <w:rPr>
                <w:rFonts w:hint="eastAsia" w:ascii="宋体" w:hAnsi="宋体"/>
                <w:b/>
                <w:color w:val="auto"/>
                <w:szCs w:val="21"/>
                <w:highlight w:val="none"/>
              </w:rPr>
              <w:t>必要的法律依据：</w:t>
            </w: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keepNext/>
              <w:keepLines/>
              <w:widowControl/>
              <w:wordWrap w:val="0"/>
              <w:spacing w:before="260" w:after="260" w:line="400" w:lineRule="exact"/>
              <w:ind w:right="600"/>
              <w:jc w:val="right"/>
              <w:rPr>
                <w:rFonts w:ascii="宋体" w:hAnsi="宋体"/>
                <w:bCs/>
                <w:color w:val="auto"/>
                <w:szCs w:val="21"/>
                <w:highlight w:val="none"/>
              </w:rPr>
            </w:pPr>
          </w:p>
          <w:p>
            <w:pPr>
              <w:wordWrap w:val="0"/>
              <w:spacing w:line="360" w:lineRule="auto"/>
              <w:ind w:right="1080" w:firstLine="4200" w:firstLineChars="2000"/>
              <w:rPr>
                <w:rFonts w:ascii="宋体" w:hAnsi="宋体"/>
                <w:bCs/>
                <w:color w:val="auto"/>
                <w:szCs w:val="21"/>
                <w:highlight w:val="none"/>
              </w:rPr>
            </w:pPr>
            <w:r>
              <w:rPr>
                <w:rFonts w:hint="eastAsia" w:ascii="宋体" w:hAnsi="宋体"/>
                <w:bCs/>
                <w:color w:val="auto"/>
                <w:szCs w:val="21"/>
                <w:highlight w:val="none"/>
              </w:rPr>
              <w:t>异议人</w:t>
            </w:r>
            <w:r>
              <w:rPr>
                <w:rFonts w:hint="eastAsia" w:ascii="宋体" w:hAnsi="宋体" w:cs="方正仿宋_GBK"/>
                <w:color w:val="auto"/>
                <w:kern w:val="0"/>
                <w:szCs w:val="21"/>
                <w:highlight w:val="none"/>
              </w:rPr>
              <w:t>法定代表人（单位负责人）或授权代表</w:t>
            </w:r>
            <w:r>
              <w:rPr>
                <w:rFonts w:hint="eastAsia" w:ascii="宋体" w:hAnsi="宋体"/>
                <w:bCs/>
                <w:color w:val="auto"/>
                <w:szCs w:val="21"/>
                <w:highlight w:val="none"/>
              </w:rPr>
              <w:t>签字：</w:t>
            </w:r>
          </w:p>
          <w:p>
            <w:pPr>
              <w:wordWrap w:val="0"/>
              <w:spacing w:line="360" w:lineRule="auto"/>
              <w:ind w:right="1080" w:firstLine="6300" w:firstLineChars="3000"/>
              <w:rPr>
                <w:rFonts w:ascii="宋体" w:hAnsi="宋体"/>
                <w:bCs/>
                <w:color w:val="auto"/>
                <w:szCs w:val="21"/>
                <w:highlight w:val="none"/>
              </w:rPr>
            </w:pPr>
            <w:r>
              <w:rPr>
                <w:rFonts w:hint="eastAsia" w:ascii="宋体" w:hAnsi="宋体"/>
                <w:bCs/>
                <w:color w:val="auto"/>
                <w:szCs w:val="21"/>
                <w:highlight w:val="none"/>
              </w:rPr>
              <w:t>异议人盖章：</w:t>
            </w:r>
          </w:p>
          <w:p>
            <w:pPr>
              <w:widowControl/>
              <w:spacing w:line="400" w:lineRule="exact"/>
              <w:ind w:left="98" w:firstLine="420" w:firstLineChars="200"/>
              <w:rPr>
                <w:rFonts w:ascii="宋体" w:hAnsi="宋体"/>
                <w:b/>
                <w:color w:val="auto"/>
                <w:szCs w:val="21"/>
                <w:highlight w:val="none"/>
              </w:rPr>
            </w:pPr>
            <w:r>
              <w:rPr>
                <w:rFonts w:ascii="宋体" w:hAnsi="宋体"/>
                <w:bCs/>
                <w:color w:val="auto"/>
                <w:szCs w:val="21"/>
                <w:highlight w:val="none"/>
              </w:rPr>
              <w:t xml:space="preserve">                                                             日期：</w:t>
            </w:r>
          </w:p>
        </w:tc>
      </w:tr>
    </w:tbl>
    <w:p>
      <w:pPr>
        <w:rPr>
          <w:rFonts w:ascii="黑体" w:eastAsia="黑体"/>
          <w:color w:val="auto"/>
          <w:sz w:val="24"/>
          <w:szCs w:val="24"/>
          <w:highlight w:val="none"/>
        </w:rPr>
      </w:pPr>
    </w:p>
    <w:p>
      <w:pPr>
        <w:adjustRightInd w:val="0"/>
        <w:snapToGrid w:val="0"/>
        <w:spacing w:beforeLines="0" w:afterLines="0" w:line="400" w:lineRule="exact"/>
        <w:jc w:val="left"/>
        <w:rPr>
          <w:color w:val="auto"/>
          <w:highlight w:val="none"/>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linePitch="312" w:charSpace="0"/>
        </w:sectPr>
      </w:pPr>
      <w:bookmarkStart w:id="204" w:name="_bookmark80"/>
      <w:bookmarkEnd w:id="204"/>
      <w:bookmarkStart w:id="205" w:name="_bookmark79"/>
      <w:bookmarkEnd w:id="205"/>
      <w:r>
        <w:rPr>
          <w:color w:val="auto"/>
          <w:highlight w:val="none"/>
        </w:rPr>
        <w:br w:type="page"/>
      </w:r>
    </w:p>
    <w:bookmarkEnd w:id="197"/>
    <w:bookmarkEnd w:id="198"/>
    <w:bookmarkEnd w:id="199"/>
    <w:p>
      <w:pPr>
        <w:adjustRightInd w:val="0"/>
        <w:snapToGrid w:val="0"/>
        <w:jc w:val="center"/>
        <w:outlineLvl w:val="0"/>
        <w:rPr>
          <w:rFonts w:ascii="黑体" w:eastAsia="黑体"/>
          <w:b/>
          <w:color w:val="auto"/>
          <w:sz w:val="28"/>
          <w:szCs w:val="28"/>
          <w:highlight w:val="none"/>
        </w:rPr>
      </w:pPr>
      <w:bookmarkStart w:id="206" w:name="_Toc24469"/>
      <w:bookmarkStart w:id="207" w:name="_Toc496718841"/>
      <w:bookmarkStart w:id="208" w:name="_Toc500521531"/>
      <w:bookmarkStart w:id="209" w:name="_Toc23800"/>
      <w:bookmarkStart w:id="210" w:name="_Toc62551553"/>
      <w:bookmarkStart w:id="211" w:name="_Toc17566"/>
      <w:r>
        <w:rPr>
          <w:rFonts w:hint="eastAsia" w:ascii="黑体" w:eastAsia="黑体"/>
          <w:b/>
          <w:color w:val="auto"/>
          <w:sz w:val="28"/>
          <w:szCs w:val="28"/>
          <w:highlight w:val="none"/>
        </w:rPr>
        <w:t>第三章  评标办法（综合评估法）</w:t>
      </w:r>
      <w:bookmarkEnd w:id="206"/>
      <w:bookmarkEnd w:id="207"/>
      <w:bookmarkEnd w:id="208"/>
      <w:bookmarkEnd w:id="209"/>
      <w:bookmarkEnd w:id="210"/>
      <w:bookmarkEnd w:id="211"/>
    </w:p>
    <w:p>
      <w:pPr>
        <w:pStyle w:val="3"/>
        <w:keepNext/>
        <w:keepLines/>
        <w:autoSpaceDE/>
        <w:autoSpaceDN/>
        <w:spacing w:line="400" w:lineRule="exact"/>
        <w:ind w:left="0" w:firstLine="0"/>
        <w:jc w:val="both"/>
        <w:rPr>
          <w:rFonts w:ascii="黑体" w:hAnsi="黑体" w:eastAsia="黑体"/>
          <w:b w:val="0"/>
          <w:color w:val="auto"/>
          <w:sz w:val="24"/>
          <w:szCs w:val="24"/>
          <w:highlight w:val="none"/>
        </w:rPr>
      </w:pPr>
      <w:bookmarkStart w:id="212" w:name="_Toc500521532"/>
      <w:bookmarkStart w:id="213" w:name="_Toc62551554"/>
      <w:bookmarkStart w:id="214" w:name="_Toc1201"/>
      <w:bookmarkStart w:id="215" w:name="_Toc32747"/>
      <w:bookmarkStart w:id="216" w:name="_Toc24900"/>
      <w:r>
        <w:rPr>
          <w:rFonts w:hint="eastAsia" w:ascii="黑体" w:hAnsi="黑体" w:eastAsia="黑体"/>
          <w:b w:val="0"/>
          <w:color w:val="auto"/>
          <w:sz w:val="24"/>
          <w:szCs w:val="24"/>
          <w:highlight w:val="none"/>
        </w:rPr>
        <w:t>评标办法前附表</w:t>
      </w:r>
      <w:bookmarkEnd w:id="212"/>
      <w:r>
        <w:rPr>
          <w:rFonts w:hint="eastAsia" w:ascii="黑体" w:hAnsi="黑体" w:eastAsia="黑体"/>
          <w:b w:val="0"/>
          <w:color w:val="auto"/>
          <w:sz w:val="24"/>
          <w:szCs w:val="24"/>
          <w:highlight w:val="none"/>
        </w:rPr>
        <w:t>之一</w:t>
      </w:r>
      <w:bookmarkEnd w:id="213"/>
      <w:bookmarkEnd w:id="214"/>
      <w:bookmarkEnd w:id="215"/>
      <w:bookmarkEnd w:id="216"/>
      <w:r>
        <w:rPr>
          <w:rFonts w:hint="eastAsia" w:ascii="黑体" w:hAnsi="黑体" w:eastAsia="黑体"/>
          <w:b w:val="0"/>
          <w:color w:val="auto"/>
          <w:sz w:val="24"/>
          <w:szCs w:val="24"/>
          <w:highlight w:val="none"/>
          <w:lang w:eastAsia="zh-CN"/>
        </w:rPr>
        <w:t>：</w:t>
      </w:r>
      <w:r>
        <w:rPr>
          <w:rFonts w:hint="eastAsia" w:ascii="黑体" w:hAnsi="黑体" w:eastAsia="黑体"/>
          <w:b w:val="0"/>
          <w:color w:val="auto"/>
          <w:sz w:val="24"/>
          <w:szCs w:val="24"/>
          <w:highlight w:val="none"/>
        </w:rPr>
        <w:t>评标方法与分值构成</w:t>
      </w:r>
    </w:p>
    <w:tbl>
      <w:tblPr>
        <w:tblStyle w:val="19"/>
        <w:tblW w:w="84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
      <w:tblGrid>
        <w:gridCol w:w="1617"/>
        <w:gridCol w:w="1984"/>
        <w:gridCol w:w="48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blHeader/>
        </w:trPr>
        <w:tc>
          <w:tcPr>
            <w:tcW w:w="1617" w:type="dxa"/>
            <w:vAlign w:val="center"/>
          </w:tcPr>
          <w:p>
            <w:pPr>
              <w:pStyle w:val="27"/>
              <w:jc w:val="center"/>
              <w:rPr>
                <w:b/>
                <w:color w:val="auto"/>
                <w:sz w:val="21"/>
                <w:szCs w:val="21"/>
                <w:highlight w:val="none"/>
              </w:rPr>
            </w:pPr>
            <w:bookmarkStart w:id="217" w:name="_Toc179632618"/>
            <w:bookmarkStart w:id="218" w:name="_Toc152042377"/>
            <w:bookmarkStart w:id="219" w:name="_Toc247085758"/>
            <w:bookmarkStart w:id="220" w:name="_Toc144974567"/>
            <w:bookmarkStart w:id="221" w:name="_Toc246996243"/>
            <w:bookmarkStart w:id="222" w:name="_Toc296602488"/>
            <w:bookmarkStart w:id="223" w:name="_Toc152045600"/>
            <w:bookmarkStart w:id="224" w:name="_Toc246996986"/>
            <w:r>
              <w:rPr>
                <w:rFonts w:hint="eastAsia"/>
                <w:b/>
                <w:color w:val="auto"/>
                <w:sz w:val="21"/>
                <w:szCs w:val="21"/>
                <w:highlight w:val="none"/>
                <w:lang w:eastAsia="en-US"/>
              </w:rPr>
              <w:t>条款号</w:t>
            </w:r>
          </w:p>
        </w:tc>
        <w:tc>
          <w:tcPr>
            <w:tcW w:w="1984" w:type="dxa"/>
            <w:vAlign w:val="center"/>
          </w:tcPr>
          <w:p>
            <w:pPr>
              <w:pStyle w:val="27"/>
              <w:jc w:val="center"/>
              <w:rPr>
                <w:b/>
                <w:color w:val="auto"/>
                <w:sz w:val="21"/>
                <w:szCs w:val="21"/>
                <w:highlight w:val="none"/>
              </w:rPr>
            </w:pPr>
            <w:r>
              <w:rPr>
                <w:rFonts w:hint="eastAsia"/>
                <w:b/>
                <w:color w:val="auto"/>
                <w:sz w:val="21"/>
                <w:szCs w:val="21"/>
                <w:highlight w:val="none"/>
                <w:lang w:eastAsia="en-US"/>
              </w:rPr>
              <w:t>评审因素</w:t>
            </w:r>
          </w:p>
        </w:tc>
        <w:tc>
          <w:tcPr>
            <w:tcW w:w="4825" w:type="dxa"/>
            <w:vAlign w:val="center"/>
          </w:tcPr>
          <w:p>
            <w:pPr>
              <w:pStyle w:val="27"/>
              <w:jc w:val="center"/>
              <w:rPr>
                <w:b/>
                <w:color w:val="auto"/>
                <w:sz w:val="21"/>
                <w:szCs w:val="21"/>
                <w:highlight w:val="none"/>
              </w:rPr>
            </w:pPr>
            <w:r>
              <w:rPr>
                <w:rFonts w:hint="eastAsia"/>
                <w:b/>
                <w:color w:val="auto"/>
                <w:sz w:val="21"/>
                <w:szCs w:val="21"/>
                <w:highlight w:val="none"/>
                <w:lang w:eastAsia="en-US"/>
              </w:rPr>
              <w:t>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pStyle w:val="27"/>
              <w:jc w:val="center"/>
              <w:rPr>
                <w:color w:val="auto"/>
                <w:sz w:val="21"/>
                <w:szCs w:val="21"/>
                <w:highlight w:val="none"/>
              </w:rPr>
            </w:pPr>
            <w:r>
              <w:rPr>
                <w:rFonts w:hint="default"/>
                <w:color w:val="auto"/>
                <w:sz w:val="21"/>
                <w:szCs w:val="21"/>
                <w:highlight w:val="none"/>
                <w:lang w:val="en-US"/>
              </w:rPr>
              <w:t>2</w:t>
            </w:r>
            <w:r>
              <w:rPr>
                <w:rFonts w:hint="eastAsia"/>
                <w:color w:val="auto"/>
                <w:sz w:val="21"/>
                <w:szCs w:val="21"/>
                <w:highlight w:val="none"/>
                <w:lang w:val="en-US"/>
              </w:rPr>
              <w:t>.1</w:t>
            </w:r>
          </w:p>
        </w:tc>
        <w:tc>
          <w:tcPr>
            <w:tcW w:w="1984" w:type="dxa"/>
            <w:vAlign w:val="center"/>
          </w:tcPr>
          <w:p>
            <w:pPr>
              <w:pStyle w:val="27"/>
              <w:spacing w:before="120" w:beforeLines="50" w:after="120" w:afterLines="50"/>
              <w:jc w:val="center"/>
              <w:rPr>
                <w:color w:val="auto"/>
                <w:sz w:val="21"/>
                <w:szCs w:val="21"/>
                <w:highlight w:val="none"/>
                <w:lang w:eastAsia="en-US"/>
              </w:rPr>
            </w:pPr>
            <w:r>
              <w:rPr>
                <w:rFonts w:hint="eastAsia"/>
                <w:color w:val="auto"/>
                <w:sz w:val="21"/>
                <w:szCs w:val="21"/>
                <w:highlight w:val="none"/>
              </w:rPr>
              <w:t>初步评审标准</w:t>
            </w:r>
          </w:p>
        </w:tc>
        <w:tc>
          <w:tcPr>
            <w:tcW w:w="4825" w:type="dxa"/>
            <w:vAlign w:val="center"/>
          </w:tcPr>
          <w:p>
            <w:pPr>
              <w:keepNext/>
              <w:keepLines/>
              <w:topLinePunct/>
              <w:autoSpaceDE w:val="0"/>
              <w:autoSpaceDN w:val="0"/>
              <w:snapToGrid w:val="0"/>
              <w:spacing w:before="120" w:beforeLines="50" w:after="120" w:afterLines="50"/>
              <w:outlineLvl w:val="1"/>
              <w:rPr>
                <w:rFonts w:ascii="宋体" w:hAnsi="宋体"/>
                <w:color w:val="auto"/>
                <w:szCs w:val="21"/>
                <w:highlight w:val="none"/>
              </w:rPr>
            </w:pPr>
            <w:bookmarkStart w:id="225" w:name="_Toc62551556"/>
            <w:r>
              <w:rPr>
                <w:rFonts w:hint="eastAsia" w:ascii="宋体" w:hAnsi="宋体" w:cs="宋体"/>
                <w:color w:val="auto"/>
                <w:kern w:val="0"/>
                <w:szCs w:val="21"/>
                <w:highlight w:val="none"/>
                <w:lang w:val="zh-CN"/>
              </w:rPr>
              <w:t>见评标办法前附表之二：初步评审标准</w:t>
            </w:r>
            <w:bookmarkEnd w:id="225"/>
            <w:r>
              <w:rPr>
                <w:rFonts w:hint="eastAsia" w:ascii="宋体" w:hAnsi="宋体" w:cs="宋体"/>
                <w:color w:val="auto"/>
                <w:kern w:val="0"/>
                <w:szCs w:val="21"/>
                <w:highlight w:val="none"/>
                <w:lang w:val="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590" w:hRule="atLeast"/>
        </w:trPr>
        <w:tc>
          <w:tcPr>
            <w:tcW w:w="1617" w:type="dxa"/>
            <w:vAlign w:val="center"/>
          </w:tcPr>
          <w:p>
            <w:pPr>
              <w:adjustRightInd w:val="0"/>
              <w:snapToGrid w:val="0"/>
              <w:jc w:val="center"/>
              <w:rPr>
                <w:rFonts w:ascii="宋体" w:hAnsi="宋体"/>
                <w:color w:val="auto"/>
                <w:szCs w:val="21"/>
                <w:highlight w:val="none"/>
              </w:rPr>
            </w:pPr>
            <w:r>
              <w:rPr>
                <w:rFonts w:hint="default" w:ascii="宋体" w:hAnsi="宋体"/>
                <w:color w:val="auto"/>
                <w:szCs w:val="21"/>
                <w:highlight w:val="none"/>
                <w:lang w:val="en-US"/>
              </w:rPr>
              <w:t>2</w:t>
            </w:r>
            <w:r>
              <w:rPr>
                <w:rFonts w:ascii="宋体" w:hAnsi="宋体"/>
                <w:color w:val="auto"/>
                <w:szCs w:val="21"/>
                <w:highlight w:val="none"/>
              </w:rPr>
              <w:t>.2.1</w:t>
            </w:r>
          </w:p>
        </w:tc>
        <w:tc>
          <w:tcPr>
            <w:tcW w:w="1984" w:type="dxa"/>
            <w:tcBorders>
              <w:right w:val="single" w:color="auto" w:sz="4" w:space="0"/>
            </w:tcBorders>
            <w:vAlign w:val="center"/>
          </w:tcPr>
          <w:p>
            <w:pPr>
              <w:pStyle w:val="27"/>
              <w:spacing w:before="120" w:beforeLines="50" w:after="120" w:afterLines="50"/>
              <w:jc w:val="center"/>
              <w:rPr>
                <w:color w:val="auto"/>
                <w:sz w:val="21"/>
                <w:szCs w:val="21"/>
                <w:highlight w:val="none"/>
                <w:lang w:eastAsia="en-US"/>
              </w:rPr>
            </w:pPr>
            <w:r>
              <w:rPr>
                <w:color w:val="auto"/>
                <w:sz w:val="21"/>
                <w:szCs w:val="21"/>
                <w:highlight w:val="none"/>
                <w:lang w:eastAsia="en-US"/>
              </w:rPr>
              <w:t>分值构成</w:t>
            </w:r>
          </w:p>
          <w:p>
            <w:pPr>
              <w:pStyle w:val="27"/>
              <w:spacing w:before="120" w:beforeLines="50" w:after="120" w:afterLines="50"/>
              <w:jc w:val="center"/>
              <w:rPr>
                <w:color w:val="auto"/>
                <w:sz w:val="21"/>
                <w:szCs w:val="21"/>
                <w:highlight w:val="none"/>
                <w:lang w:eastAsia="en-US"/>
              </w:rPr>
            </w:pPr>
            <w:r>
              <w:rPr>
                <w:color w:val="auto"/>
                <w:sz w:val="21"/>
                <w:szCs w:val="21"/>
                <w:highlight w:val="none"/>
                <w:lang w:eastAsia="en-US"/>
              </w:rPr>
              <w:t>(总分100分)</w:t>
            </w:r>
          </w:p>
        </w:tc>
        <w:tc>
          <w:tcPr>
            <w:tcW w:w="4825" w:type="dxa"/>
            <w:tcBorders>
              <w:left w:val="single" w:color="auto" w:sz="4" w:space="0"/>
            </w:tcBorders>
            <w:vAlign w:val="center"/>
          </w:tcPr>
          <w:p>
            <w:pPr>
              <w:pStyle w:val="17"/>
              <w:snapToGrid w:val="0"/>
              <w:spacing w:before="120" w:beforeLines="50" w:afterLines="50"/>
              <w:ind w:left="0" w:firstLine="0"/>
              <w:rPr>
                <w:rFonts w:ascii="宋体" w:hAnsi="宋体"/>
                <w:color w:val="auto"/>
                <w:sz w:val="21"/>
                <w:szCs w:val="21"/>
                <w:highlight w:val="none"/>
              </w:rPr>
            </w:pPr>
            <w:r>
              <w:rPr>
                <w:rFonts w:hint="eastAsia" w:ascii="宋体" w:hAnsi="宋体" w:cs="宋体"/>
                <w:color w:val="auto"/>
                <w:kern w:val="0"/>
                <w:sz w:val="21"/>
                <w:szCs w:val="21"/>
                <w:highlight w:val="none"/>
                <w:lang w:val="zh-CN"/>
              </w:rPr>
              <w:t>分值构成详见评标办法前附表之</w:t>
            </w:r>
            <w:r>
              <w:rPr>
                <w:rFonts w:hint="eastAsia"/>
                <w:color w:val="auto"/>
                <w:sz w:val="21"/>
                <w:szCs w:val="21"/>
                <w:highlight w:val="none"/>
              </w:rPr>
              <w:t>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auto"/>
                <w:szCs w:val="21"/>
                <w:highlight w:val="none"/>
              </w:rPr>
            </w:pPr>
            <w:r>
              <w:rPr>
                <w:rFonts w:hint="default" w:ascii="宋体" w:hAnsi="宋体"/>
                <w:color w:val="auto"/>
                <w:szCs w:val="21"/>
                <w:highlight w:val="none"/>
                <w:lang w:val="en-US"/>
              </w:rPr>
              <w:t>2</w:t>
            </w:r>
            <w:r>
              <w:rPr>
                <w:rFonts w:ascii="宋体" w:hAnsi="宋体"/>
                <w:color w:val="auto"/>
                <w:szCs w:val="21"/>
                <w:highlight w:val="none"/>
              </w:rPr>
              <w:t>.2.2</w:t>
            </w:r>
          </w:p>
        </w:tc>
        <w:tc>
          <w:tcPr>
            <w:tcW w:w="1984" w:type="dxa"/>
            <w:tcBorders>
              <w:right w:val="single" w:color="auto" w:sz="4" w:space="0"/>
            </w:tcBorders>
            <w:vAlign w:val="center"/>
          </w:tcPr>
          <w:p>
            <w:pPr>
              <w:pStyle w:val="27"/>
              <w:spacing w:before="120" w:beforeLines="50" w:after="120" w:afterLines="50"/>
              <w:jc w:val="center"/>
              <w:rPr>
                <w:color w:val="auto"/>
                <w:sz w:val="21"/>
                <w:szCs w:val="21"/>
                <w:highlight w:val="none"/>
                <w:lang w:eastAsia="en-US"/>
              </w:rPr>
            </w:pPr>
            <w:r>
              <w:rPr>
                <w:color w:val="auto"/>
                <w:sz w:val="21"/>
                <w:szCs w:val="21"/>
                <w:highlight w:val="none"/>
                <w:lang w:eastAsia="en-US"/>
              </w:rPr>
              <w:t>评标基准价计算方法</w:t>
            </w:r>
          </w:p>
        </w:tc>
        <w:tc>
          <w:tcPr>
            <w:tcW w:w="4825" w:type="dxa"/>
            <w:tcBorders>
              <w:left w:val="single" w:color="auto" w:sz="4" w:space="0"/>
            </w:tcBorders>
            <w:vAlign w:val="center"/>
          </w:tcPr>
          <w:p>
            <w:pPr>
              <w:pStyle w:val="27"/>
              <w:spacing w:before="120" w:beforeLines="50" w:after="120" w:afterLines="50"/>
              <w:rPr>
                <w:color w:val="auto"/>
                <w:sz w:val="21"/>
                <w:szCs w:val="21"/>
                <w:highlight w:val="none"/>
              </w:rPr>
            </w:pPr>
            <w:r>
              <w:rPr>
                <w:rFonts w:hint="eastAsia"/>
                <w:color w:val="auto"/>
                <w:sz w:val="21"/>
                <w:szCs w:val="21"/>
                <w:highlight w:val="none"/>
                <w:lang w:eastAsia="en-US"/>
              </w:rPr>
              <w:t>见本章2.2.4（3）</w:t>
            </w:r>
            <w:r>
              <w:rPr>
                <w:rFonts w:hint="eastAsia"/>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auto"/>
                <w:szCs w:val="21"/>
                <w:highlight w:val="none"/>
              </w:rPr>
            </w:pPr>
            <w:r>
              <w:rPr>
                <w:rFonts w:hint="default" w:ascii="宋体" w:hAnsi="宋体"/>
                <w:color w:val="auto"/>
                <w:szCs w:val="21"/>
                <w:highlight w:val="none"/>
                <w:lang w:val="en-US"/>
              </w:rPr>
              <w:t>2</w:t>
            </w:r>
            <w:r>
              <w:rPr>
                <w:rFonts w:ascii="宋体" w:hAnsi="宋体"/>
                <w:color w:val="auto"/>
                <w:szCs w:val="21"/>
                <w:highlight w:val="none"/>
              </w:rPr>
              <w:t>.2.3</w:t>
            </w:r>
          </w:p>
        </w:tc>
        <w:tc>
          <w:tcPr>
            <w:tcW w:w="1984" w:type="dxa"/>
            <w:tcBorders>
              <w:right w:val="single" w:color="auto" w:sz="4" w:space="0"/>
            </w:tcBorders>
            <w:vAlign w:val="center"/>
          </w:tcPr>
          <w:p>
            <w:pPr>
              <w:pStyle w:val="27"/>
              <w:spacing w:before="120" w:beforeLines="50" w:after="120" w:afterLines="50"/>
              <w:jc w:val="center"/>
              <w:rPr>
                <w:color w:val="auto"/>
                <w:sz w:val="21"/>
                <w:szCs w:val="21"/>
                <w:highlight w:val="none"/>
              </w:rPr>
            </w:pPr>
            <w:r>
              <w:rPr>
                <w:rFonts w:hint="eastAsia"/>
                <w:color w:val="auto"/>
                <w:sz w:val="21"/>
                <w:szCs w:val="21"/>
                <w:highlight w:val="none"/>
              </w:rPr>
              <w:t>投标</w:t>
            </w:r>
            <w:r>
              <w:rPr>
                <w:color w:val="auto"/>
                <w:sz w:val="21"/>
                <w:szCs w:val="21"/>
                <w:highlight w:val="none"/>
              </w:rPr>
              <w:t>报价的偏差率计算公式</w:t>
            </w:r>
          </w:p>
        </w:tc>
        <w:tc>
          <w:tcPr>
            <w:tcW w:w="4825" w:type="dxa"/>
            <w:tcBorders>
              <w:left w:val="single" w:color="auto" w:sz="4" w:space="0"/>
            </w:tcBorders>
            <w:vAlign w:val="center"/>
          </w:tcPr>
          <w:p>
            <w:pPr>
              <w:pStyle w:val="27"/>
              <w:spacing w:before="120" w:beforeLines="50" w:after="120" w:afterLines="50"/>
              <w:rPr>
                <w:color w:val="auto"/>
                <w:sz w:val="21"/>
                <w:szCs w:val="21"/>
                <w:highlight w:val="none"/>
              </w:rPr>
            </w:pPr>
            <w:r>
              <w:rPr>
                <w:rFonts w:hint="eastAsia"/>
                <w:color w:val="auto"/>
                <w:sz w:val="21"/>
                <w:szCs w:val="21"/>
                <w:highlight w:val="none"/>
                <w:lang w:eastAsia="en-US"/>
              </w:rPr>
              <w:t>见本章2.2.4（3）</w:t>
            </w:r>
            <w:r>
              <w:rPr>
                <w:rFonts w:hint="eastAsia"/>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auto"/>
                <w:szCs w:val="21"/>
                <w:highlight w:val="none"/>
              </w:rPr>
            </w:pPr>
            <w:r>
              <w:rPr>
                <w:rFonts w:hint="default" w:ascii="宋体" w:hAnsi="宋体"/>
                <w:color w:val="auto"/>
                <w:szCs w:val="21"/>
                <w:highlight w:val="none"/>
                <w:lang w:val="en-US"/>
              </w:rPr>
              <w:t>2</w:t>
            </w:r>
            <w:r>
              <w:rPr>
                <w:rFonts w:hint="eastAsia" w:ascii="宋体" w:hAnsi="宋体"/>
                <w:color w:val="auto"/>
                <w:szCs w:val="21"/>
                <w:highlight w:val="none"/>
              </w:rPr>
              <w:t>.2.4（1）</w:t>
            </w:r>
          </w:p>
        </w:tc>
        <w:tc>
          <w:tcPr>
            <w:tcW w:w="1984" w:type="dxa"/>
            <w:tcBorders>
              <w:right w:val="single" w:color="auto" w:sz="4" w:space="0"/>
            </w:tcBorders>
            <w:vAlign w:val="center"/>
          </w:tcPr>
          <w:p>
            <w:pPr>
              <w:pStyle w:val="27"/>
              <w:spacing w:before="120" w:beforeLines="50" w:after="120" w:afterLines="50"/>
              <w:jc w:val="center"/>
              <w:rPr>
                <w:color w:val="auto"/>
                <w:sz w:val="21"/>
                <w:szCs w:val="21"/>
                <w:highlight w:val="none"/>
                <w:lang w:eastAsia="en-US"/>
              </w:rPr>
            </w:pPr>
            <w:r>
              <w:rPr>
                <w:rFonts w:hint="eastAsia"/>
                <w:color w:val="auto"/>
                <w:sz w:val="21"/>
                <w:szCs w:val="21"/>
                <w:highlight w:val="none"/>
                <w:lang w:eastAsia="en-US"/>
              </w:rPr>
              <w:t>商务评分标准</w:t>
            </w:r>
          </w:p>
        </w:tc>
        <w:tc>
          <w:tcPr>
            <w:tcW w:w="4825" w:type="dxa"/>
            <w:tcBorders>
              <w:left w:val="single" w:color="auto" w:sz="4" w:space="0"/>
            </w:tcBorders>
            <w:vAlign w:val="center"/>
          </w:tcPr>
          <w:p>
            <w:pPr>
              <w:pStyle w:val="27"/>
              <w:spacing w:before="120" w:beforeLines="50" w:after="120" w:afterLines="50"/>
              <w:jc w:val="both"/>
              <w:rPr>
                <w:b/>
                <w:color w:val="auto"/>
                <w:sz w:val="21"/>
                <w:szCs w:val="21"/>
                <w:highlight w:val="none"/>
              </w:rPr>
            </w:pPr>
            <w:r>
              <w:rPr>
                <w:rFonts w:hint="eastAsia"/>
                <w:color w:val="auto"/>
                <w:sz w:val="21"/>
                <w:szCs w:val="21"/>
                <w:highlight w:val="none"/>
                <w:lang w:val="en-US"/>
              </w:rPr>
              <w:t>详见评标办法前附表之三。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auto"/>
                <w:szCs w:val="21"/>
                <w:highlight w:val="none"/>
              </w:rPr>
            </w:pPr>
            <w:r>
              <w:rPr>
                <w:rFonts w:hint="default" w:ascii="宋体" w:hAnsi="宋体"/>
                <w:color w:val="auto"/>
                <w:szCs w:val="21"/>
                <w:highlight w:val="none"/>
                <w:lang w:val="en-US"/>
              </w:rPr>
              <w:t>2</w:t>
            </w:r>
            <w:r>
              <w:rPr>
                <w:rFonts w:hint="eastAsia" w:ascii="宋体" w:hAnsi="宋体"/>
                <w:color w:val="auto"/>
                <w:szCs w:val="21"/>
                <w:highlight w:val="none"/>
              </w:rPr>
              <w:t>.2.4（2）</w:t>
            </w:r>
          </w:p>
        </w:tc>
        <w:tc>
          <w:tcPr>
            <w:tcW w:w="1984" w:type="dxa"/>
            <w:tcBorders>
              <w:right w:val="single" w:color="auto" w:sz="4" w:space="0"/>
            </w:tcBorders>
            <w:vAlign w:val="center"/>
          </w:tcPr>
          <w:p>
            <w:pPr>
              <w:pStyle w:val="27"/>
              <w:spacing w:before="120" w:beforeLines="50" w:after="120" w:afterLines="50"/>
              <w:jc w:val="center"/>
              <w:rPr>
                <w:color w:val="auto"/>
                <w:sz w:val="21"/>
                <w:szCs w:val="21"/>
                <w:highlight w:val="none"/>
                <w:lang w:eastAsia="en-US"/>
              </w:rPr>
            </w:pPr>
            <w:r>
              <w:rPr>
                <w:rFonts w:hint="eastAsia"/>
                <w:color w:val="auto"/>
                <w:sz w:val="21"/>
                <w:szCs w:val="21"/>
                <w:highlight w:val="none"/>
                <w:lang w:eastAsia="en-US"/>
              </w:rPr>
              <w:t>技术评分标准</w:t>
            </w:r>
          </w:p>
        </w:tc>
        <w:tc>
          <w:tcPr>
            <w:tcW w:w="4825" w:type="dxa"/>
            <w:tcBorders>
              <w:left w:val="single" w:color="auto" w:sz="4" w:space="0"/>
            </w:tcBorders>
            <w:vAlign w:val="center"/>
          </w:tcPr>
          <w:p>
            <w:pPr>
              <w:pStyle w:val="27"/>
              <w:spacing w:before="120" w:beforeLines="50" w:after="120" w:afterLines="50"/>
              <w:jc w:val="both"/>
              <w:rPr>
                <w:b/>
                <w:color w:val="auto"/>
                <w:sz w:val="21"/>
                <w:szCs w:val="21"/>
                <w:highlight w:val="none"/>
              </w:rPr>
            </w:pPr>
            <w:r>
              <w:rPr>
                <w:rFonts w:hint="eastAsia"/>
                <w:color w:val="auto"/>
                <w:sz w:val="21"/>
                <w:szCs w:val="21"/>
                <w:highlight w:val="none"/>
                <w:lang w:val="en-US"/>
              </w:rPr>
              <w:t>详见评标办法前附表之四。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auto"/>
                <w:szCs w:val="21"/>
                <w:highlight w:val="none"/>
              </w:rPr>
            </w:pPr>
            <w:r>
              <w:rPr>
                <w:rFonts w:hint="default" w:ascii="宋体" w:hAnsi="宋体"/>
                <w:color w:val="auto"/>
                <w:szCs w:val="21"/>
                <w:highlight w:val="none"/>
                <w:lang w:val="en-US"/>
              </w:rPr>
              <w:t>2</w:t>
            </w:r>
            <w:r>
              <w:rPr>
                <w:rFonts w:hint="eastAsia" w:ascii="宋体" w:hAnsi="宋体"/>
                <w:color w:val="auto"/>
                <w:szCs w:val="21"/>
                <w:highlight w:val="none"/>
              </w:rPr>
              <w:t>.2.4（3）</w:t>
            </w:r>
          </w:p>
        </w:tc>
        <w:tc>
          <w:tcPr>
            <w:tcW w:w="1984" w:type="dxa"/>
            <w:tcBorders>
              <w:right w:val="single" w:color="auto" w:sz="4" w:space="0"/>
            </w:tcBorders>
            <w:vAlign w:val="center"/>
          </w:tcPr>
          <w:p>
            <w:pPr>
              <w:pStyle w:val="27"/>
              <w:spacing w:before="120" w:beforeLines="50" w:after="120" w:afterLines="50"/>
              <w:jc w:val="center"/>
              <w:rPr>
                <w:color w:val="auto"/>
                <w:sz w:val="21"/>
                <w:szCs w:val="21"/>
                <w:highlight w:val="none"/>
                <w:lang w:eastAsia="en-US"/>
              </w:rPr>
            </w:pPr>
            <w:r>
              <w:rPr>
                <w:rFonts w:hint="eastAsia"/>
                <w:color w:val="auto"/>
                <w:sz w:val="21"/>
                <w:szCs w:val="21"/>
                <w:highlight w:val="none"/>
                <w:lang w:eastAsia="en-US"/>
              </w:rPr>
              <w:t>投标报价评分标准</w:t>
            </w:r>
          </w:p>
        </w:tc>
        <w:tc>
          <w:tcPr>
            <w:tcW w:w="4825" w:type="dxa"/>
            <w:tcBorders>
              <w:left w:val="single" w:color="auto" w:sz="4" w:space="0"/>
            </w:tcBorders>
            <w:vAlign w:val="center"/>
          </w:tcPr>
          <w:p>
            <w:pPr>
              <w:pStyle w:val="27"/>
              <w:spacing w:before="120" w:beforeLines="50" w:after="120" w:afterLines="50"/>
              <w:jc w:val="both"/>
              <w:rPr>
                <w:color w:val="auto"/>
                <w:sz w:val="21"/>
                <w:szCs w:val="21"/>
                <w:highlight w:val="none"/>
                <w:lang w:val="en-US"/>
              </w:rPr>
            </w:pPr>
            <w:r>
              <w:rPr>
                <w:rFonts w:hint="eastAsia"/>
                <w:color w:val="auto"/>
                <w:sz w:val="21"/>
                <w:szCs w:val="21"/>
                <w:highlight w:val="none"/>
                <w:lang w:val="en-US"/>
              </w:rPr>
              <w:t>详见评标办法前附表之五。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shd w:val="clear" w:color="auto" w:fill="auto"/>
            <w:vAlign w:val="center"/>
          </w:tcPr>
          <w:p>
            <w:pPr>
              <w:pStyle w:val="27"/>
              <w:spacing w:before="120" w:beforeLines="50" w:after="120" w:afterLines="50"/>
              <w:jc w:val="center"/>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rPr>
              <w:t>2.2.4（4）</w:t>
            </w:r>
          </w:p>
        </w:tc>
        <w:tc>
          <w:tcPr>
            <w:tcW w:w="1984" w:type="dxa"/>
            <w:tcBorders>
              <w:right w:val="single" w:color="auto" w:sz="4" w:space="0"/>
            </w:tcBorders>
            <w:shd w:val="clear" w:color="auto" w:fill="auto"/>
            <w:vAlign w:val="center"/>
          </w:tcPr>
          <w:p>
            <w:pPr>
              <w:pStyle w:val="27"/>
              <w:spacing w:before="120" w:beforeLines="50" w:after="120" w:afterLines="50"/>
              <w:jc w:val="center"/>
              <w:rPr>
                <w:rFonts w:hint="eastAsia" w:ascii="宋体" w:hAnsi="宋体" w:eastAsia="宋体" w:cs="宋体"/>
                <w:color w:val="auto"/>
                <w:kern w:val="2"/>
                <w:sz w:val="21"/>
                <w:szCs w:val="21"/>
                <w:highlight w:val="none"/>
                <w:lang w:val="zh-CN" w:eastAsia="en-US" w:bidi="ar-SA"/>
              </w:rPr>
            </w:pPr>
            <w:r>
              <w:rPr>
                <w:rFonts w:hint="eastAsia" w:ascii="宋体" w:hAnsi="宋体" w:eastAsia="宋体" w:cs="宋体"/>
                <w:color w:val="auto"/>
                <w:kern w:val="2"/>
                <w:sz w:val="21"/>
                <w:szCs w:val="21"/>
                <w:highlight w:val="none"/>
              </w:rPr>
              <w:t>其他因素评分标准</w:t>
            </w:r>
          </w:p>
        </w:tc>
        <w:tc>
          <w:tcPr>
            <w:tcW w:w="4825" w:type="dxa"/>
            <w:tcBorders>
              <w:left w:val="single" w:color="auto" w:sz="4" w:space="0"/>
            </w:tcBorders>
            <w:shd w:val="clear" w:color="auto" w:fill="auto"/>
            <w:vAlign w:val="center"/>
          </w:tcPr>
          <w:p>
            <w:pPr>
              <w:spacing w:before="120" w:beforeLines="50" w:after="120" w:afterLines="50"/>
              <w:jc w:val="left"/>
              <w:rPr>
                <w:rFonts w:hint="eastAsia" w:ascii="宋体" w:hAnsi="宋体" w:eastAsia="宋体" w:cs="宋体"/>
                <w:color w:val="auto"/>
                <w:kern w:val="2"/>
                <w:sz w:val="21"/>
                <w:szCs w:val="22"/>
                <w:highlight w:val="none"/>
                <w:lang w:val="en-US" w:eastAsia="zh-CN" w:bidi="ar-SA"/>
              </w:rPr>
            </w:pPr>
            <w:r>
              <w:rPr>
                <w:rFonts w:hint="eastAsia" w:ascii="宋体" w:hAnsi="宋体" w:eastAsia="宋体" w:cs="宋体"/>
                <w:color w:val="auto"/>
                <w:sz w:val="21"/>
                <w:szCs w:val="22"/>
                <w:highlight w:val="none"/>
              </w:rPr>
              <w:t>无</w:t>
            </w:r>
            <w:r>
              <w:rPr>
                <w:rFonts w:hint="eastAsia" w:ascii="宋体" w:hAnsi="宋体" w:eastAsia="宋体" w:cs="宋体"/>
                <w:color w:val="auto"/>
                <w:sz w:val="21"/>
                <w:szCs w:val="22"/>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pStyle w:val="27"/>
              <w:jc w:val="center"/>
              <w:rPr>
                <w:color w:val="auto"/>
                <w:sz w:val="21"/>
                <w:szCs w:val="21"/>
                <w:highlight w:val="none"/>
                <w:lang w:eastAsia="en-US"/>
              </w:rPr>
            </w:pPr>
            <w:r>
              <w:rPr>
                <w:rFonts w:hint="default"/>
                <w:color w:val="auto"/>
                <w:sz w:val="21"/>
                <w:szCs w:val="21"/>
                <w:highlight w:val="none"/>
                <w:lang w:val="en-US" w:eastAsia="en-US"/>
              </w:rPr>
              <w:t>3</w:t>
            </w:r>
            <w:r>
              <w:rPr>
                <w:rFonts w:hint="eastAsia"/>
                <w:color w:val="auto"/>
                <w:sz w:val="21"/>
                <w:szCs w:val="21"/>
                <w:highlight w:val="none"/>
                <w:lang w:eastAsia="en-US"/>
              </w:rPr>
              <w:t>.3.4</w:t>
            </w:r>
          </w:p>
          <w:p>
            <w:pPr>
              <w:adjustRightInd w:val="0"/>
              <w:snapToGrid w:val="0"/>
              <w:jc w:val="center"/>
              <w:rPr>
                <w:rFonts w:ascii="宋体" w:hAnsi="宋体"/>
                <w:color w:val="auto"/>
                <w:szCs w:val="21"/>
                <w:highlight w:val="none"/>
              </w:rPr>
            </w:pPr>
            <w:r>
              <w:rPr>
                <w:rFonts w:hint="eastAsia" w:ascii="宋体" w:hAnsi="宋体"/>
                <w:color w:val="auto"/>
                <w:szCs w:val="21"/>
                <w:highlight w:val="none"/>
                <w:lang w:eastAsia="en-US"/>
              </w:rPr>
              <w:t>（新增）</w:t>
            </w:r>
          </w:p>
        </w:tc>
        <w:tc>
          <w:tcPr>
            <w:tcW w:w="1984" w:type="dxa"/>
            <w:tcBorders>
              <w:right w:val="single" w:color="auto" w:sz="4" w:space="0"/>
            </w:tcBorders>
            <w:vAlign w:val="center"/>
          </w:tcPr>
          <w:p>
            <w:pPr>
              <w:pStyle w:val="27"/>
              <w:spacing w:before="120" w:beforeLines="50" w:after="120" w:afterLines="50"/>
              <w:jc w:val="center"/>
              <w:rPr>
                <w:color w:val="auto"/>
                <w:sz w:val="21"/>
                <w:szCs w:val="21"/>
                <w:highlight w:val="none"/>
              </w:rPr>
            </w:pPr>
            <w:r>
              <w:rPr>
                <w:color w:val="auto"/>
                <w:sz w:val="21"/>
                <w:szCs w:val="21"/>
                <w:highlight w:val="none"/>
              </w:rPr>
              <w:t>投标文件的澄清</w:t>
            </w:r>
            <w:r>
              <w:rPr>
                <w:rFonts w:hint="eastAsia"/>
                <w:color w:val="auto"/>
                <w:sz w:val="21"/>
                <w:szCs w:val="21"/>
                <w:highlight w:val="none"/>
              </w:rPr>
              <w:t>和补正</w:t>
            </w:r>
          </w:p>
        </w:tc>
        <w:tc>
          <w:tcPr>
            <w:tcW w:w="4825" w:type="dxa"/>
            <w:tcBorders>
              <w:left w:val="single" w:color="auto" w:sz="4" w:space="0"/>
            </w:tcBorders>
            <w:vAlign w:val="center"/>
          </w:tcPr>
          <w:p>
            <w:pPr>
              <w:pStyle w:val="5"/>
              <w:keepNext w:val="0"/>
              <w:keepLines w:val="0"/>
              <w:pageBreakBefore w:val="0"/>
              <w:widowControl w:val="0"/>
              <w:kinsoku/>
              <w:wordWrap/>
              <w:overflowPunct/>
              <w:topLinePunct w:val="0"/>
              <w:autoSpaceDE/>
              <w:autoSpaceDN/>
              <w:bidi w:val="0"/>
              <w:adjustRightInd/>
              <w:snapToGrid w:val="0"/>
              <w:spacing w:before="0" w:beforeLines="0" w:after="0" w:afterLines="0"/>
              <w:ind w:firstLineChars="200"/>
              <w:textAlignment w:val="auto"/>
              <w:rPr>
                <w:rFonts w:hint="eastAsia" w:ascii="宋体" w:hAnsi="宋体" w:eastAsia="宋体" w:cs="宋体"/>
                <w:color w:val="auto"/>
                <w:sz w:val="21"/>
                <w:szCs w:val="21"/>
                <w:highlight w:val="none"/>
                <w:lang w:val="en-US" w:eastAsia="zh-CN"/>
              </w:rPr>
            </w:pPr>
            <w:r>
              <w:rPr>
                <w:rFonts w:hint="eastAsia" w:ascii="宋体" w:hAnsi="宋体" w:cs="宋体"/>
                <w:color w:val="auto"/>
                <w:szCs w:val="21"/>
                <w:highlight w:val="none"/>
              </w:rPr>
              <w:t>在评标过程中，评标委员会应当通过书面形式要求投标人对可能低于成本或者影响履约的异常低价投标、投标活动异常关联的情形，作出必要的澄清、说明或补正。评标委员会可以通过书面形式要求投标人对投标文件异常一致的情形，作出必要的解释说明。对于评标委员会要求投标人对可能低于成本或者影响履约的异常低价投标作出必要的澄清、说明或补正的，投标人应提供项目具体成本测算与报价合理性相关的书面说明及必要证明材料，明确是否影响后续履约</w:t>
            </w:r>
            <w:r>
              <w:rPr>
                <w:rFonts w:hint="eastAsia" w:ascii="宋体" w:hAnsi="宋体" w:cs="宋体"/>
                <w:color w:val="auto"/>
                <w:szCs w:val="21"/>
                <w:highlight w:val="none"/>
                <w:lang w:eastAsia="zh-CN"/>
              </w:rPr>
              <w:t>。</w:t>
            </w:r>
          </w:p>
          <w:p>
            <w:pPr>
              <w:pStyle w:val="5"/>
              <w:keepNext w:val="0"/>
              <w:keepLines w:val="0"/>
              <w:pageBreakBefore w:val="0"/>
              <w:widowControl w:val="0"/>
              <w:kinsoku/>
              <w:wordWrap/>
              <w:overflowPunct/>
              <w:topLinePunct w:val="0"/>
              <w:autoSpaceDE/>
              <w:autoSpaceDN/>
              <w:bidi w:val="0"/>
              <w:adjustRightInd/>
              <w:snapToGrid w:val="0"/>
              <w:spacing w:before="0" w:beforeLines="0" w:after="0" w:afterLines="0"/>
              <w:ind w:firstLineChars="20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启动异常低价审查程序的</w:t>
            </w:r>
            <w:r>
              <w:rPr>
                <w:rFonts w:hint="eastAsia" w:ascii="宋体" w:hAnsi="宋体" w:cs="宋体"/>
                <w:color w:val="auto"/>
                <w:sz w:val="21"/>
                <w:szCs w:val="21"/>
                <w:highlight w:val="none"/>
                <w:lang w:val="en-US" w:eastAsia="zh-CN"/>
              </w:rPr>
              <w:t>任一</w:t>
            </w:r>
            <w:r>
              <w:rPr>
                <w:rFonts w:hint="eastAsia" w:ascii="宋体" w:hAnsi="宋体" w:eastAsia="宋体" w:cs="宋体"/>
                <w:color w:val="auto"/>
                <w:sz w:val="21"/>
                <w:szCs w:val="21"/>
                <w:highlight w:val="none"/>
                <w:lang w:val="en-US" w:eastAsia="zh-CN"/>
              </w:rPr>
              <w:t>情形规定如下：（1）投标报价低于剔除“报价超限、报价为零、多个报价、货币单位、违反税法”否决后的包投标报价平均值的50%；（2）评</w:t>
            </w:r>
            <w:r>
              <w:rPr>
                <w:rFonts w:hint="eastAsia" w:ascii="宋体" w:hAnsi="宋体" w:cs="宋体"/>
                <w:color w:val="auto"/>
                <w:sz w:val="21"/>
                <w:szCs w:val="21"/>
                <w:highlight w:val="none"/>
                <w:lang w:val="en-US" w:eastAsia="zh-CN"/>
              </w:rPr>
              <w:t>标</w:t>
            </w:r>
            <w:r>
              <w:rPr>
                <w:rFonts w:hint="eastAsia" w:ascii="宋体" w:hAnsi="宋体" w:eastAsia="宋体" w:cs="宋体"/>
                <w:color w:val="auto"/>
                <w:sz w:val="21"/>
                <w:szCs w:val="21"/>
                <w:highlight w:val="none"/>
                <w:lang w:val="en-US" w:eastAsia="zh-CN"/>
              </w:rPr>
              <w:t xml:space="preserve">委员会认为供应商报价过低，有可能影响产品质量或者不能诚信履约的情形。 </w:t>
            </w:r>
          </w:p>
          <w:p>
            <w:pPr>
              <w:pStyle w:val="5"/>
              <w:keepNext w:val="0"/>
              <w:keepLines w:val="0"/>
              <w:pageBreakBefore w:val="0"/>
              <w:widowControl w:val="0"/>
              <w:kinsoku/>
              <w:wordWrap/>
              <w:overflowPunct/>
              <w:topLinePunct w:val="0"/>
              <w:autoSpaceDE/>
              <w:autoSpaceDN/>
              <w:bidi w:val="0"/>
              <w:adjustRightInd/>
              <w:snapToGrid w:val="0"/>
              <w:spacing w:before="0" w:beforeLines="0" w:after="0" w:afterLines="0"/>
              <w:ind w:firstLineChars="200"/>
              <w:textAlignment w:val="auto"/>
              <w:rPr>
                <w:rFonts w:hint="eastAsia" w:ascii="宋体" w:hAnsi="宋体" w:cs="宋体"/>
                <w:color w:val="auto"/>
                <w:szCs w:val="21"/>
                <w:highlight w:val="none"/>
              </w:rPr>
            </w:pPr>
            <w:r>
              <w:rPr>
                <w:rFonts w:hint="eastAsia" w:ascii="宋体" w:hAnsi="宋体" w:cs="宋体"/>
                <w:color w:val="auto"/>
                <w:szCs w:val="21"/>
                <w:highlight w:val="none"/>
              </w:rPr>
              <w:t>投标人未按评标委员会规定的内容或规定的时间回复澄清的，投标应予否决。</w:t>
            </w:r>
          </w:p>
          <w:p>
            <w:pPr>
              <w:pStyle w:val="5"/>
              <w:rPr>
                <w:rFonts w:ascii="宋体" w:hAnsi="宋体"/>
                <w:color w:val="auto"/>
                <w:szCs w:val="21"/>
                <w:highlight w:val="none"/>
              </w:rPr>
            </w:pPr>
            <w:r>
              <w:rPr>
                <w:rFonts w:hint="eastAsia" w:ascii="宋体" w:hAnsi="宋体" w:cs="宋体"/>
                <w:color w:val="auto"/>
                <w:szCs w:val="21"/>
                <w:highlight w:val="none"/>
              </w:rPr>
              <w:t>评标阶段的澄清，从发出到回复全程通过招投标交易平台信息系统完成。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pStyle w:val="27"/>
              <w:jc w:val="center"/>
              <w:rPr>
                <w:color w:val="auto"/>
                <w:sz w:val="21"/>
                <w:szCs w:val="21"/>
                <w:highlight w:val="none"/>
                <w:lang w:eastAsia="en-US"/>
              </w:rPr>
            </w:pPr>
            <w:r>
              <w:rPr>
                <w:rFonts w:hint="default"/>
                <w:color w:val="auto"/>
                <w:sz w:val="21"/>
                <w:szCs w:val="21"/>
                <w:highlight w:val="none"/>
                <w:lang w:val="en-US" w:eastAsia="en-US"/>
              </w:rPr>
              <w:t>3</w:t>
            </w:r>
            <w:r>
              <w:rPr>
                <w:rFonts w:hint="eastAsia"/>
                <w:color w:val="auto"/>
                <w:sz w:val="21"/>
                <w:szCs w:val="21"/>
                <w:highlight w:val="none"/>
                <w:lang w:eastAsia="en-US"/>
              </w:rPr>
              <w:t>.4.3</w:t>
            </w:r>
          </w:p>
          <w:p>
            <w:pPr>
              <w:pStyle w:val="27"/>
              <w:jc w:val="center"/>
              <w:rPr>
                <w:color w:val="auto"/>
                <w:sz w:val="21"/>
                <w:szCs w:val="21"/>
                <w:highlight w:val="none"/>
                <w:lang w:eastAsia="en-US"/>
              </w:rPr>
            </w:pPr>
            <w:r>
              <w:rPr>
                <w:rFonts w:hint="eastAsia"/>
                <w:color w:val="auto"/>
                <w:sz w:val="21"/>
                <w:szCs w:val="21"/>
                <w:highlight w:val="none"/>
                <w:lang w:eastAsia="en-US"/>
              </w:rPr>
              <w:t>（新增）</w:t>
            </w:r>
          </w:p>
        </w:tc>
        <w:tc>
          <w:tcPr>
            <w:tcW w:w="1984" w:type="dxa"/>
            <w:tcBorders>
              <w:right w:val="single" w:color="auto" w:sz="4" w:space="0"/>
            </w:tcBorders>
            <w:vAlign w:val="center"/>
          </w:tcPr>
          <w:p>
            <w:pPr>
              <w:pStyle w:val="27"/>
              <w:spacing w:beforeLines="50" w:afterLines="50"/>
              <w:jc w:val="center"/>
              <w:rPr>
                <w:rFonts w:hint="eastAsia" w:ascii="宋体" w:hAnsi="宋体" w:eastAsia="宋体" w:cs="宋体"/>
                <w:color w:val="auto"/>
                <w:kern w:val="0"/>
                <w:sz w:val="21"/>
                <w:szCs w:val="21"/>
                <w:highlight w:val="none"/>
                <w:lang w:val="zh-CN" w:eastAsia="en-US" w:bidi="ar-SA"/>
              </w:rPr>
            </w:pPr>
            <w:r>
              <w:rPr>
                <w:rFonts w:hint="eastAsia" w:ascii="宋体" w:hAnsi="宋体" w:eastAsia="宋体" w:cs="宋体"/>
                <w:color w:val="auto"/>
                <w:sz w:val="21"/>
                <w:szCs w:val="21"/>
                <w:highlight w:val="none"/>
                <w:lang w:eastAsia="en-US"/>
              </w:rPr>
              <w:t>评标结果</w:t>
            </w:r>
          </w:p>
        </w:tc>
        <w:tc>
          <w:tcPr>
            <w:tcW w:w="4825" w:type="dxa"/>
            <w:tcBorders>
              <w:left w:val="single" w:color="auto" w:sz="4" w:space="0"/>
            </w:tcBorders>
            <w:vAlign w:val="top"/>
          </w:tcPr>
          <w:p>
            <w:pPr>
              <w:autoSpaceDE w:val="0"/>
              <w:autoSpaceDN w:val="0"/>
              <w:snapToGrid w:val="0"/>
              <w:ind w:firstLine="105" w:firstLineChars="50"/>
              <w:jc w:val="left"/>
              <w:rPr>
                <w:rFonts w:ascii="Times New Roman" w:hAnsi="Times New Roman"/>
                <w:color w:val="auto"/>
                <w:sz w:val="21"/>
                <w:szCs w:val="21"/>
                <w:highlight w:val="none"/>
              </w:rPr>
            </w:pPr>
            <w:r>
              <w:rPr>
                <w:rFonts w:ascii="Times New Roman" w:hAnsi="Times New Roman"/>
                <w:color w:val="auto"/>
                <w:sz w:val="21"/>
                <w:szCs w:val="21"/>
                <w:highlight w:val="none"/>
              </w:rPr>
              <w:t>1.招标人将根据投标人须知列出的标准确定中标候选人是否有能力合格地履行合同义务。授标将考虑投标人的财务状况和履约能力等方面，其基础是对投标人按照投标人须知规定提交的资格证明文件和其他招标人认为必要的、合适的资料进行综合评价，根据评标结果确定最终中标人，并履行合同。</w:t>
            </w:r>
          </w:p>
          <w:p>
            <w:pPr>
              <w:autoSpaceDE w:val="0"/>
              <w:autoSpaceDN w:val="0"/>
              <w:snapToGrid w:val="0"/>
              <w:ind w:firstLine="105" w:firstLineChars="50"/>
              <w:jc w:val="left"/>
              <w:rPr>
                <w:rFonts w:hint="eastAsia" w:ascii="宋体" w:hAnsi="宋体" w:eastAsia="宋体" w:cs="宋体"/>
                <w:color w:val="auto"/>
                <w:sz w:val="21"/>
                <w:szCs w:val="21"/>
                <w:highlight w:val="none"/>
              </w:rPr>
            </w:pPr>
            <w:r>
              <w:rPr>
                <w:rFonts w:ascii="Times New Roman" w:hAnsi="Times New Roman"/>
                <w:color w:val="auto"/>
                <w:kern w:val="0"/>
                <w:sz w:val="21"/>
                <w:szCs w:val="21"/>
                <w:highlight w:val="none"/>
              </w:rPr>
              <w:t>2.</w:t>
            </w:r>
            <w:r>
              <w:rPr>
                <w:rFonts w:hint="eastAsia" w:ascii="宋体" w:hAnsi="宋体" w:eastAsia="宋体" w:cs="宋体"/>
                <w:color w:val="auto"/>
                <w:sz w:val="21"/>
                <w:szCs w:val="21"/>
                <w:highlight w:val="none"/>
              </w:rPr>
              <w:t>招标人根据包划分、潜在投标人数量及其资格能力和生产要素配置，在保证充分竞争的前提下，就同一投标人同时中标最多数量作出规定。</w:t>
            </w:r>
          </w:p>
          <w:p>
            <w:pPr>
              <w:snapToGrid w:val="0"/>
              <w:jc w:val="left"/>
              <w:rPr>
                <w:rFonts w:ascii="Times New Roman" w:hAnsi="Times New Roman"/>
                <w:color w:val="auto"/>
                <w:sz w:val="21"/>
                <w:szCs w:val="21"/>
                <w:highlight w:val="none"/>
              </w:rPr>
            </w:pPr>
            <w:r>
              <w:rPr>
                <w:rFonts w:hint="eastAsia" w:ascii="Times New Roman" w:hAnsi="Times New Roman"/>
                <w:color w:val="auto"/>
                <w:sz w:val="21"/>
                <w:szCs w:val="21"/>
                <w:highlight w:val="none"/>
              </w:rPr>
              <w:t>限制中标：详见评标办法前附表之六</w:t>
            </w:r>
          </w:p>
          <w:p>
            <w:pPr>
              <w:snapToGrid w:val="0"/>
              <w:jc w:val="left"/>
              <w:rPr>
                <w:rFonts w:ascii="Times New Roman" w:hAnsi="Times New Roman"/>
                <w:b/>
                <w:color w:val="auto"/>
                <w:sz w:val="21"/>
                <w:szCs w:val="21"/>
                <w:highlight w:val="none"/>
              </w:rPr>
            </w:pPr>
          </w:p>
          <w:p>
            <w:pPr>
              <w:snapToGrid w:val="0"/>
              <w:jc w:val="left"/>
              <w:rPr>
                <w:rFonts w:ascii="Times New Roman" w:hAnsi="Times New Roman"/>
                <w:color w:val="auto"/>
                <w:sz w:val="21"/>
                <w:szCs w:val="21"/>
                <w:highlight w:val="none"/>
              </w:rPr>
            </w:pPr>
            <w:r>
              <w:rPr>
                <w:rFonts w:ascii="Times New Roman" w:hAnsi="Times New Roman"/>
                <w:b/>
                <w:color w:val="auto"/>
                <w:sz w:val="21"/>
                <w:szCs w:val="21"/>
                <w:highlight w:val="none"/>
              </w:rPr>
              <w:t>授标以分标为单位进行，招标人按轮次同时对同一分标内各包推荐中标。步骤如下：</w:t>
            </w:r>
          </w:p>
          <w:p>
            <w:pPr>
              <w:pStyle w:val="37"/>
              <w:autoSpaceDE w:val="0"/>
              <w:autoSpaceDN w:val="0"/>
              <w:snapToGrid w:val="0"/>
              <w:jc w:val="left"/>
              <w:rPr>
                <w:rFonts w:ascii="Times New Roman" w:hAnsi="Times New Roman"/>
                <w:color w:val="auto"/>
                <w:sz w:val="21"/>
                <w:szCs w:val="21"/>
                <w:highlight w:val="none"/>
              </w:rPr>
            </w:pPr>
            <w:r>
              <w:rPr>
                <w:rFonts w:ascii="Times New Roman" w:hAnsi="Times New Roman"/>
                <w:color w:val="auto"/>
                <w:sz w:val="21"/>
                <w:szCs w:val="21"/>
                <w:highlight w:val="none"/>
              </w:rPr>
              <w:t>（1）针对每包综合排序第一的投标人进行授标（包内综合评审得分位于最后两名的投标人（所有初步评审合格投标人不足三家，但评标委员会认为具有竞争性的除外），在该包不参与推荐中标）。</w:t>
            </w:r>
          </w:p>
          <w:p>
            <w:pPr>
              <w:pStyle w:val="37"/>
              <w:autoSpaceDE w:val="0"/>
              <w:autoSpaceDN w:val="0"/>
              <w:snapToGrid w:val="0"/>
              <w:jc w:val="left"/>
              <w:rPr>
                <w:rFonts w:ascii="Times New Roman" w:hAnsi="Times New Roman"/>
                <w:color w:val="auto"/>
                <w:sz w:val="21"/>
                <w:szCs w:val="21"/>
                <w:highlight w:val="none"/>
              </w:rPr>
            </w:pPr>
            <w:r>
              <w:rPr>
                <w:rFonts w:ascii="Times New Roman" w:hAnsi="Times New Roman"/>
                <w:color w:val="auto"/>
                <w:sz w:val="21"/>
                <w:szCs w:val="21"/>
                <w:highlight w:val="none"/>
              </w:rPr>
              <w:t>（2）若同一投标人所投的多个包同时综合排序第一，根据投标金额由大到小依次排序。若出现多个包投标金额相同，则按照技术评审得分较高为优先。按投标金额由大到小依次预授该投标人标包，直至达到规定限制中标的包数。</w:t>
            </w:r>
          </w:p>
          <w:p>
            <w:pPr>
              <w:pStyle w:val="37"/>
              <w:autoSpaceDE w:val="0"/>
              <w:autoSpaceDN w:val="0"/>
              <w:snapToGrid w:val="0"/>
              <w:jc w:val="left"/>
              <w:rPr>
                <w:rFonts w:ascii="Times New Roman" w:hAnsi="Times New Roman"/>
                <w:color w:val="auto"/>
                <w:sz w:val="21"/>
                <w:szCs w:val="21"/>
                <w:highlight w:val="none"/>
              </w:rPr>
            </w:pPr>
            <w:r>
              <w:rPr>
                <w:rFonts w:ascii="Times New Roman" w:hAnsi="Times New Roman"/>
                <w:color w:val="auto"/>
                <w:sz w:val="21"/>
                <w:szCs w:val="21"/>
                <w:highlight w:val="none"/>
              </w:rPr>
              <w:t>（3）达到规定限制中标的投标人，在其余包只参加评审，不参加推荐中标，排序次之的投标人递补排序。</w:t>
            </w:r>
          </w:p>
          <w:p>
            <w:pPr>
              <w:pStyle w:val="37"/>
              <w:autoSpaceDE w:val="0"/>
              <w:autoSpaceDN w:val="0"/>
              <w:snapToGrid w:val="0"/>
              <w:jc w:val="left"/>
              <w:rPr>
                <w:rFonts w:hint="eastAsia" w:ascii="宋体" w:hAnsi="宋体" w:eastAsia="宋体" w:cs="宋体"/>
                <w:color w:val="auto"/>
                <w:kern w:val="2"/>
                <w:sz w:val="21"/>
                <w:szCs w:val="21"/>
                <w:highlight w:val="none"/>
                <w:lang w:val="en-US" w:eastAsia="zh-CN" w:bidi="ar-SA"/>
              </w:rPr>
            </w:pPr>
            <w:r>
              <w:rPr>
                <w:rFonts w:hint="eastAsia"/>
                <w:color w:val="auto"/>
                <w:sz w:val="21"/>
                <w:szCs w:val="21"/>
                <w:highlight w:val="none"/>
              </w:rPr>
              <w:t>（4）如推荐的中标候选人放弃中标资格，可从该包评审总分前三名中依次重新推荐一名中标候选人，该投标人中标数量不受条款（1）、条款（2）、条款（3）限制。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auto"/>
                <w:szCs w:val="21"/>
                <w:highlight w:val="none"/>
              </w:rPr>
            </w:pPr>
            <w:r>
              <w:rPr>
                <w:rFonts w:hint="default" w:ascii="宋体" w:hAnsi="宋体"/>
                <w:color w:val="auto"/>
                <w:szCs w:val="21"/>
                <w:highlight w:val="none"/>
                <w:lang w:val="en-US"/>
              </w:rPr>
              <w:t>3</w:t>
            </w:r>
            <w:r>
              <w:rPr>
                <w:rFonts w:ascii="宋体" w:hAnsi="宋体"/>
                <w:color w:val="auto"/>
                <w:szCs w:val="21"/>
                <w:highlight w:val="none"/>
              </w:rPr>
              <w:t>.4.</w:t>
            </w:r>
            <w:r>
              <w:rPr>
                <w:rFonts w:hint="eastAsia" w:ascii="宋体" w:hAnsi="宋体"/>
                <w:color w:val="auto"/>
                <w:szCs w:val="21"/>
                <w:highlight w:val="none"/>
              </w:rPr>
              <w:t>4</w:t>
            </w:r>
          </w:p>
          <w:p>
            <w:pPr>
              <w:adjustRightInd w:val="0"/>
              <w:snapToGrid w:val="0"/>
              <w:jc w:val="center"/>
              <w:rPr>
                <w:rFonts w:ascii="宋体" w:hAnsi="宋体"/>
                <w:color w:val="auto"/>
                <w:szCs w:val="21"/>
                <w:highlight w:val="none"/>
              </w:rPr>
            </w:pPr>
            <w:r>
              <w:rPr>
                <w:rFonts w:hint="eastAsia" w:ascii="宋体" w:hAnsi="宋体"/>
                <w:color w:val="auto"/>
                <w:szCs w:val="21"/>
                <w:highlight w:val="none"/>
              </w:rPr>
              <w:t>（新增）</w:t>
            </w:r>
          </w:p>
        </w:tc>
        <w:tc>
          <w:tcPr>
            <w:tcW w:w="1984" w:type="dxa"/>
            <w:tcBorders>
              <w:right w:val="single" w:color="auto" w:sz="4" w:space="0"/>
            </w:tcBorders>
            <w:vAlign w:val="center"/>
          </w:tcPr>
          <w:p>
            <w:pPr>
              <w:pStyle w:val="27"/>
              <w:spacing w:before="120" w:beforeLines="50" w:after="120" w:afterLines="50"/>
              <w:jc w:val="center"/>
              <w:rPr>
                <w:color w:val="auto"/>
                <w:sz w:val="21"/>
                <w:szCs w:val="21"/>
                <w:highlight w:val="none"/>
                <w:lang w:eastAsia="en-US"/>
              </w:rPr>
            </w:pPr>
            <w:r>
              <w:rPr>
                <w:rFonts w:hint="eastAsia"/>
                <w:color w:val="auto"/>
                <w:sz w:val="21"/>
                <w:szCs w:val="21"/>
                <w:highlight w:val="none"/>
                <w:lang w:eastAsia="en-US"/>
              </w:rPr>
              <w:t>未中标解释</w:t>
            </w:r>
          </w:p>
        </w:tc>
        <w:tc>
          <w:tcPr>
            <w:tcW w:w="4825" w:type="dxa"/>
            <w:tcBorders>
              <w:left w:val="single" w:color="auto" w:sz="4" w:space="0"/>
            </w:tcBorders>
          </w:tcPr>
          <w:p>
            <w:pPr>
              <w:snapToGrid w:val="0"/>
              <w:spacing w:before="120" w:beforeLines="50" w:after="120" w:afterLines="50"/>
              <w:rPr>
                <w:rFonts w:ascii="宋体" w:hAnsi="宋体"/>
                <w:color w:val="auto"/>
                <w:szCs w:val="21"/>
                <w:highlight w:val="none"/>
                <w:u w:val="single"/>
              </w:rPr>
            </w:pPr>
            <w:r>
              <w:rPr>
                <w:rFonts w:hint="eastAsia" w:ascii="宋体" w:hAnsi="宋体"/>
                <w:color w:val="auto"/>
                <w:szCs w:val="21"/>
                <w:highlight w:val="none"/>
                <w:lang w:bidi="zh-CN"/>
              </w:rPr>
              <w:t>投标报价最低的投标人有不中标的可能。对未中标的原因，招标人、招标代理机构不予解释</w:t>
            </w:r>
          </w:p>
        </w:tc>
      </w:tr>
      <w:bookmarkEnd w:id="217"/>
      <w:bookmarkEnd w:id="218"/>
      <w:bookmarkEnd w:id="219"/>
      <w:bookmarkEnd w:id="220"/>
      <w:bookmarkEnd w:id="221"/>
      <w:bookmarkEnd w:id="222"/>
      <w:bookmarkEnd w:id="223"/>
      <w:bookmarkEnd w:id="224"/>
    </w:tbl>
    <w:p>
      <w:pPr>
        <w:widowControl/>
        <w:spacing w:line="400" w:lineRule="atLeast"/>
        <w:jc w:val="left"/>
        <w:outlineLvl w:val="1"/>
        <w:rPr>
          <w:rFonts w:ascii="黑体" w:hAnsi="黑体" w:eastAsia="黑体"/>
          <w:b/>
          <w:color w:val="auto"/>
          <w:sz w:val="24"/>
          <w:szCs w:val="24"/>
          <w:highlight w:val="none"/>
        </w:rPr>
      </w:pPr>
      <w:r>
        <w:rPr>
          <w:color w:val="auto"/>
          <w:highlight w:val="none"/>
        </w:rPr>
        <w:br w:type="page"/>
      </w:r>
      <w:bookmarkStart w:id="226" w:name="_Toc2813"/>
      <w:bookmarkStart w:id="227" w:name="_Toc20149"/>
      <w:bookmarkStart w:id="228" w:name="_Toc1261"/>
      <w:r>
        <w:rPr>
          <w:rFonts w:ascii="黑体" w:hAnsi="黑体" w:eastAsia="黑体"/>
          <w:color w:val="auto"/>
          <w:sz w:val="24"/>
          <w:szCs w:val="24"/>
          <w:highlight w:val="none"/>
          <w:lang w:val="zh-CN"/>
        </w:rPr>
        <w:t>评标办法前附表</w:t>
      </w:r>
      <w:r>
        <w:rPr>
          <w:rFonts w:hint="eastAsia" w:ascii="黑体" w:hAnsi="黑体" w:eastAsia="黑体"/>
          <w:color w:val="auto"/>
          <w:sz w:val="24"/>
          <w:szCs w:val="24"/>
          <w:highlight w:val="none"/>
          <w:lang w:val="zh-CN"/>
        </w:rPr>
        <w:t>之二：</w:t>
      </w:r>
      <w:r>
        <w:rPr>
          <w:rFonts w:ascii="黑体" w:hAnsi="黑体" w:eastAsia="黑体"/>
          <w:color w:val="auto"/>
          <w:sz w:val="24"/>
          <w:szCs w:val="24"/>
          <w:highlight w:val="none"/>
          <w:lang w:val="zh-CN"/>
        </w:rPr>
        <w:t>初步评审标准</w:t>
      </w:r>
      <w:bookmarkEnd w:id="226"/>
      <w:bookmarkEnd w:id="227"/>
      <w:bookmarkEnd w:id="228"/>
    </w:p>
    <w:p>
      <w:pPr>
        <w:spacing w:line="400" w:lineRule="atLeast"/>
        <w:ind w:firstLine="420" w:firstLineChars="200"/>
        <w:rPr>
          <w:rFonts w:ascii="宋体" w:hAnsi="宋体"/>
          <w:color w:val="auto"/>
          <w:szCs w:val="21"/>
          <w:highlight w:val="none"/>
          <w:lang w:val="zh-CN"/>
        </w:rPr>
      </w:pPr>
      <w:r>
        <w:rPr>
          <w:rFonts w:hint="eastAsia" w:ascii="宋体" w:hAnsi="宋体"/>
          <w:color w:val="auto"/>
          <w:szCs w:val="21"/>
          <w:highlight w:val="none"/>
          <w:lang w:val="zh-CN"/>
        </w:rPr>
        <w:t>1.本章2.1款初步评审标准见下表，包括2.1.1形式评审标准、2.1.2资格评审标准、2.1.3响应性评审标准。根据本章3.1.1、3.1.2、3.1.3款初步评审关于投标文件否决之规定，投标人或投标文件存在下表所列情形的，其投标将被否决。</w:t>
      </w:r>
    </w:p>
    <w:p>
      <w:pPr>
        <w:spacing w:line="400" w:lineRule="atLeast"/>
        <w:ind w:firstLine="420" w:firstLineChars="200"/>
        <w:rPr>
          <w:rFonts w:ascii="宋体" w:hAnsi="宋体"/>
          <w:color w:val="auto"/>
          <w:szCs w:val="21"/>
          <w:highlight w:val="none"/>
          <w:lang w:val="zh-CN"/>
        </w:rPr>
      </w:pPr>
      <w:r>
        <w:rPr>
          <w:rFonts w:hint="default" w:ascii="宋体" w:hAnsi="宋体"/>
          <w:color w:val="auto"/>
          <w:szCs w:val="21"/>
          <w:highlight w:val="none"/>
          <w:lang w:val="en-US"/>
        </w:rPr>
        <w:t>2</w:t>
      </w:r>
      <w:r>
        <w:rPr>
          <w:rFonts w:hint="eastAsia" w:ascii="宋体" w:hAnsi="宋体"/>
          <w:color w:val="auto"/>
          <w:szCs w:val="21"/>
          <w:highlight w:val="none"/>
          <w:lang w:val="zh-CN"/>
        </w:rPr>
        <w:t>.招标文件中的所有否决情形如下表所示。</w:t>
      </w:r>
    </w:p>
    <w:tbl>
      <w:tblPr>
        <w:tblStyle w:val="1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5"/>
        <w:gridCol w:w="1087"/>
        <w:gridCol w:w="6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40" w:hRule="atLeast"/>
          <w:tblHeader/>
        </w:trPr>
        <w:tc>
          <w:tcPr>
            <w:tcW w:w="584" w:type="pct"/>
            <w:shd w:val="clear" w:color="auto" w:fill="auto"/>
            <w:vAlign w:val="center"/>
          </w:tcPr>
          <w:p>
            <w:pPr>
              <w:widowControl/>
              <w:snapToGrid w:val="0"/>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序号</w:t>
            </w:r>
          </w:p>
        </w:tc>
        <w:tc>
          <w:tcPr>
            <w:tcW w:w="638" w:type="pct"/>
            <w:shd w:val="clear" w:color="auto" w:fill="auto"/>
            <w:vAlign w:val="center"/>
          </w:tcPr>
          <w:p>
            <w:pPr>
              <w:widowControl/>
              <w:snapToGrid w:val="0"/>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情形事项</w:t>
            </w:r>
          </w:p>
        </w:tc>
        <w:tc>
          <w:tcPr>
            <w:tcW w:w="3777" w:type="pct"/>
            <w:shd w:val="clear" w:color="auto" w:fill="auto"/>
            <w:vAlign w:val="center"/>
          </w:tcPr>
          <w:p>
            <w:pPr>
              <w:widowControl/>
              <w:snapToGrid w:val="0"/>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具体规定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25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主体不符</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（1）为招标人不具备独立法人资格的附属机构（单位）；</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（2）为本标段（标包）提供招标代理服务的；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（3）联合体投标未提交联合投标协议的或提交联合体协议不符合招标文件要求的；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（4）法定代表人或单位负责人为同一人或者存在控股、管理关系的不同单位，参加同一包服务投标的；或被授权人为同一人的不同单位，在同一服务招标标包中同时投标的；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5）在同一输变电工程中，施工投标人与本标段前期准备设计或咨询服务的单位（设计施工总承包的除外）为同一单位，或有隶属关系,或法定代表人或单位负责人为同一人，或存在控股、管理关系的（仅适用于施工项目）；</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（6）与本招标项目的施工承包人以及建筑材料、建筑构配件和设备供应商有隶属关系或者其他利害关系（仅适用于监理项目）。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资格不符</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不满足本次招标文件要求的投标人资格条件的。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3</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资信不良</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（1）被责令停产停业、暂扣或者吊销许可证、暂扣或者吊销执照的；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（2）被招投标活动政府行政监督部门暂停、取消投标资格的；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（3）财产被接管、冻结、破产的以及财务状况不符合招标文件要求的。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5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4</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实质不符</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（1）投标人在商务/技术偏差表中提出招标人不能接受的条件或偏差的；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（2）投标人的投标函及附表或资格证明文件未提供或实质性不符合招标文件要求的；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（3）对招标文件中的工期/服务期、安全质量保证、违约责任、争议解决、履约担保等条款，实质性不响应的。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（4）投标人未提交或未按规定格式提交《项目关键人员配置承诺函》的。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（5）不符合招标文件实质性要求的投标文件。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0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5</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投标担保</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未按招标文件要求提交投标保证金的；以银行汇款形式提供的投标保证金未提供从投标人基本账户转出有效证明的（未提供有效证明是指未提供企业银行基本账户开户许可证复印件，且未提供投标人基本账户开户行通过账户管理系统打印的《基本存款账户信息》扫描件）；以投标保证保险形式提交的投标保证金，保单保费未从投标人基本账户转出或保单未体现保费是否由投标人基本账户支付的相关信息或未提供保单查询途径或提供的查询途径招标人无法查询的；以银行保函、投标保证保险形式提交的投标保证金不满足招标文件要求的（如对上述格式文件进行实质性修改或未按格式进行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6</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格式内容</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Style w:val="44"/>
                <w:rFonts w:hint="default"/>
                <w:color w:val="auto"/>
                <w:highlight w:val="none"/>
                <w:lang w:bidi="ar"/>
              </w:rPr>
              <w:t>投标文件未按招标文件规定的格式填写，内容不全或者关键字迹模糊无法辨认的。未按招标文件要求在招标人招投标交易平台信息系统制作并上传凭证单，或因投标人删除了系统文件导致凭证单索引的核实信息无法查看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7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7</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文件签署</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对格式文件进行实质性修改或未按格式进行签署的，如由委托代理人签字的，未附有效的法定代表人（单位负责人）授权委托书的（未提交法定代表人（单位负责人）授权委托书，或法定代表人（单位负责人）授权委托书未经投标单位盖章或法定代表人（单位负责人）签字（签名章）的）；（仅联合体投标时适用）</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（2）使用投标专用章未附有效的投标专用章与公章具有同等效力说明的；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（3）上传招标人招投标交易平台信息系统的电子投标文件无电子签章，或者电子签章无效的，电子签章名称与投标人不一致的。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投标期限</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投标有效期不满足招标文件要求的。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9</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逾期交付</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投标文件所承诺的工期/服务期不满足招标文件要求的，且招标人不能接受的。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10</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交付偏差</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（1）投标文件有重大缺漏项，投标范围与招标文件要求存在严重偏差的；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（2）投标文件技术标准和要求不符合“技术标准和要求”的实质性规定的；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（3）投标报价范围超过招标文件规定的。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11</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虚假投标</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文件响应与事实不符或虚假投标的（虚假投标包括但不限于投标人在其投标文件中提供虚假的资格证明文件、业绩证明文件、奖项、项目负责人信息、验收报告、故意修改招标文件明确列明的技术要求并对其进行响应等），或通过受让、租借、挂靠资质投标，伪造、变造资质、资格证书或者其他许可证件的，该投标人参与本次投标的所有标包将均被否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12</w:t>
            </w:r>
          </w:p>
        </w:tc>
        <w:tc>
          <w:tcPr>
            <w:tcW w:w="638" w:type="pct"/>
            <w:shd w:val="clear" w:color="auto" w:fill="FFFFFF" w:themeFill="background1"/>
            <w:vAlign w:val="center"/>
          </w:tcPr>
          <w:p>
            <w:pPr>
              <w:widowControl/>
              <w:snapToGrid w:val="0"/>
              <w:jc w:val="center"/>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复制文件</w:t>
            </w:r>
          </w:p>
        </w:tc>
        <w:tc>
          <w:tcPr>
            <w:tcW w:w="3777" w:type="pct"/>
            <w:shd w:val="clear" w:color="auto" w:fill="FFFFFF" w:themeFill="background1"/>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投标人整篇或者连续多处整段复制招标文件的技术规范书作为其技术投标文件一部分的。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13</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修改文件</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投标人在规定的投标有效期内主动要求修改或撤销其投标文件的。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14</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不良履约</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人刻意隐瞒招标公告安全质量条件所涉及的安全质量事故（安全质量事件），以及被业主单位投诉存在严重不良履约行为且经查证属实的，该投标人参与本次投标的所有包将均被否决。情形特别严重的，该投标人参与本次投标的所有包将均被否决，且该投标人在今后一段时间内参与国家电网有限公司及其所属单位招标活动的投标也将被否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15</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违法投标</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串通投标或视为串通投标或根据投诉举报经核实认定为串通投标或联合围标或有其他违法行为的，该投标人参与本次招标活动的所有标包将均被否决。同时招标人将依据《国家电网有限公司供应商关系管理办法》规定进行后续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16</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拒绝澄清</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不按评标委员会要求对投标文件进行澄清、说明或补正的。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5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17</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无效报价</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Style w:val="45"/>
                <w:rFonts w:hint="default"/>
                <w:color w:val="auto"/>
                <w:highlight w:val="none"/>
                <w:lang w:bidi="ar"/>
              </w:rPr>
              <w:t>（1）投标报价构成招标文件规定为无</w:t>
            </w:r>
            <w:r>
              <w:rPr>
                <w:rStyle w:val="44"/>
                <w:rFonts w:hint="default"/>
                <w:color w:val="auto"/>
                <w:highlight w:val="none"/>
                <w:lang w:bidi="ar"/>
              </w:rPr>
              <w:t>效报价的；</w:t>
            </w:r>
            <w:r>
              <w:rPr>
                <w:rStyle w:val="44"/>
                <w:rFonts w:hint="default"/>
                <w:color w:val="auto"/>
                <w:highlight w:val="none"/>
                <w:lang w:bidi="ar"/>
              </w:rPr>
              <w:br w:type="textWrapping"/>
            </w:r>
            <w:r>
              <w:rPr>
                <w:rStyle w:val="44"/>
                <w:rFonts w:hint="default"/>
                <w:color w:val="auto"/>
                <w:highlight w:val="none"/>
                <w:lang w:bidi="ar"/>
              </w:rPr>
              <w:t>（2）招标文件中明确规定了最高限价（包括分项限价），投标人的投标价格超过最高限价（包括分项限价）的；投标报价需要算术修正的，按照单价改正合价时超限价的；当以修正算术错误后的各分组工程量清单中的合计金额为准时，合计金额超限价；</w:t>
            </w:r>
            <w:r>
              <w:rPr>
                <w:rStyle w:val="45"/>
                <w:rFonts w:hint="default"/>
                <w:color w:val="auto"/>
                <w:highlight w:val="none"/>
                <w:lang w:bidi="ar"/>
              </w:rPr>
              <w:br w:type="textWrapping"/>
            </w:r>
            <w:r>
              <w:rPr>
                <w:rStyle w:val="45"/>
                <w:rFonts w:hint="default"/>
                <w:color w:val="auto"/>
                <w:highlight w:val="none"/>
                <w:lang w:bidi="ar"/>
              </w:rPr>
              <w:t>（3）投标人递交两份或多份内容不同的投标文件，或在一份投标文件中对同一标包有两个或多个报价，按招标文件规定提交备选投标方案的除外；</w:t>
            </w:r>
            <w:r>
              <w:rPr>
                <w:rStyle w:val="45"/>
                <w:rFonts w:hint="default"/>
                <w:color w:val="auto"/>
                <w:highlight w:val="none"/>
                <w:lang w:bidi="ar"/>
              </w:rPr>
              <w:br w:type="textWrapping"/>
            </w:r>
            <w:r>
              <w:rPr>
                <w:rStyle w:val="45"/>
                <w:rFonts w:hint="default"/>
                <w:color w:val="auto"/>
                <w:highlight w:val="none"/>
                <w:lang w:bidi="ar"/>
              </w:rPr>
              <w:t>（4）投标人未能在国家电网有限公司电子商务平</w:t>
            </w:r>
            <w:r>
              <w:rPr>
                <w:rStyle w:val="44"/>
                <w:rFonts w:hint="default"/>
                <w:color w:val="auto"/>
                <w:highlight w:val="none"/>
                <w:lang w:bidi="ar"/>
              </w:rPr>
              <w:t>台上提交投标报价的，或当众公示的开标一览表中不显示、显示为空白、乱码或非报价数值的</w:t>
            </w:r>
            <w:r>
              <w:rPr>
                <w:rStyle w:val="45"/>
                <w:rFonts w:hint="default"/>
                <w:color w:val="auto"/>
                <w:highlight w:val="none"/>
                <w:lang w:bidi="ar"/>
              </w:rPr>
              <w:t>投标报价；</w:t>
            </w:r>
            <w:r>
              <w:rPr>
                <w:rStyle w:val="45"/>
                <w:rFonts w:hint="default"/>
                <w:color w:val="auto"/>
                <w:highlight w:val="none"/>
                <w:lang w:bidi="ar"/>
              </w:rPr>
              <w:br w:type="textWrapping"/>
            </w:r>
            <w:r>
              <w:rPr>
                <w:rStyle w:val="44"/>
                <w:rFonts w:hint="default"/>
                <w:color w:val="auto"/>
                <w:highlight w:val="none"/>
                <w:lang w:bidi="ar"/>
              </w:rPr>
              <w:t>（5）投标人未通过国家电网有限公司电子商务平台上传已标价工程量清单的；</w:t>
            </w:r>
            <w:r>
              <w:rPr>
                <w:rStyle w:val="45"/>
                <w:rFonts w:hint="default"/>
                <w:color w:val="auto"/>
                <w:highlight w:val="none"/>
                <w:lang w:bidi="ar"/>
              </w:rPr>
              <w:br w:type="textWrapping"/>
            </w:r>
            <w:r>
              <w:rPr>
                <w:rStyle w:val="45"/>
                <w:rFonts w:hint="default"/>
                <w:color w:val="auto"/>
                <w:highlight w:val="none"/>
                <w:lang w:bidi="ar"/>
              </w:rPr>
              <w:t>（6）投标函附表中的报价与报价文件价格不一致的；</w:t>
            </w:r>
            <w:r>
              <w:rPr>
                <w:rStyle w:val="45"/>
                <w:rFonts w:hint="default"/>
                <w:color w:val="auto"/>
                <w:highlight w:val="none"/>
                <w:lang w:bidi="ar"/>
              </w:rPr>
              <w:br w:type="textWrapping"/>
            </w:r>
            <w:r>
              <w:rPr>
                <w:rStyle w:val="44"/>
                <w:rFonts w:hint="default"/>
                <w:color w:val="auto"/>
                <w:highlight w:val="none"/>
                <w:lang w:bidi="ar"/>
              </w:rPr>
              <w:t>（7）《投标函价格表》中"含税总价"填写"零"的；</w:t>
            </w:r>
            <w:r>
              <w:rPr>
                <w:rStyle w:val="44"/>
                <w:rFonts w:hint="default"/>
                <w:color w:val="auto"/>
                <w:highlight w:val="none"/>
                <w:lang w:bidi="ar"/>
              </w:rPr>
              <w:br w:type="textWrapping"/>
            </w:r>
            <w:r>
              <w:rPr>
                <w:rStyle w:val="44"/>
                <w:rFonts w:hint="default"/>
                <w:color w:val="auto"/>
                <w:highlight w:val="none"/>
                <w:lang w:bidi="ar"/>
              </w:rPr>
              <w:t>（8）招标文件文件中明确规定了分项限价，投标人未对分项进行报价的；对于《报价明细表》的任何漏项、删改、合并，以及明细与合价、总价（《投标函价格表》对应项目服务总价）不一致情形的。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18</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低价竞标</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投标报价低于成本，且投标人不能合理说明或者提供相关证明材料，评标委员会认定该投标人以低于成本报价竞标的。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19</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法定否决</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《中华人民共和国招标投标法》、《中华人民共和国招标投标法实施条例》、《工程建设项目施工招标投标办法》和《评标委员会和评标方法暂行规定》</w:t>
            </w:r>
            <w:r>
              <w:rPr>
                <w:rFonts w:hint="eastAsia" w:ascii="宋体" w:hAnsi="宋体" w:cs="宋体"/>
                <w:color w:val="auto"/>
                <w:kern w:val="0"/>
                <w:sz w:val="18"/>
                <w:szCs w:val="18"/>
                <w:highlight w:val="none"/>
                <w:lang w:eastAsia="zh-CN" w:bidi="ar"/>
              </w:rPr>
              <w:t>、</w:t>
            </w:r>
            <w:r>
              <w:rPr>
                <w:rFonts w:hint="eastAsia" w:ascii="宋体" w:hAnsi="宋体" w:cs="宋体"/>
                <w:color w:val="auto"/>
                <w:kern w:val="0"/>
                <w:sz w:val="18"/>
                <w:szCs w:val="18"/>
                <w:highlight w:val="none"/>
                <w:lang w:bidi="ar"/>
              </w:rPr>
              <w:t>《招标人主体责任履行指引》等法律法规规章规定的其他否决情形。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20</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货币单位</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投标价格出现数值与货币单位不对应，即出现了明显的百倍至万倍于正常水平的报价（如把“投标函价格表”中的“万元”当成“元”进行报价）。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21</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价格修正</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投标人不接受评标委员会依法所作的修正价格的。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22</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改变工程量清单</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投标人擅自更改工程量清单分部分项工程（包括工程量、暂估价、暂列金额、项目特征、计量单位）的；投标人擅自删除招标人采购材料设备表中的材料（设备）或擅自更改表中的型号规格、计量单位、单价的。（仅适用于施工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sz w:val="18"/>
                <w:szCs w:val="18"/>
                <w:highlight w:val="none"/>
              </w:rPr>
              <w:t>23</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未按国家税率税种报价</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不按国家法律法规规定填报增值税税率或征收率的。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2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24</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失信惩戒</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（1）投标人被人民法院列为失信被执行人的。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（2）投标人被政府主管部门认定存在严重违法失信行为的。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（3）投标人在国家企业信用信息公示系统中被列入“严重违法失信企业名单”，或被列入“经营异常名录信息”的；</w:t>
            </w:r>
            <w:r>
              <w:rPr>
                <w:rFonts w:hint="eastAsia" w:ascii="宋体" w:hAnsi="宋体" w:cs="宋体"/>
                <w:color w:val="auto"/>
                <w:kern w:val="0"/>
                <w:sz w:val="18"/>
                <w:szCs w:val="18"/>
                <w:highlight w:val="none"/>
                <w:lang w:bidi="ar"/>
              </w:rPr>
              <w:br w:type="textWrapping"/>
            </w:r>
            <w:r>
              <w:rPr>
                <w:rFonts w:hint="eastAsia" w:ascii="宋体" w:hAnsi="宋体" w:cs="宋体"/>
                <w:color w:val="auto"/>
                <w:kern w:val="0"/>
                <w:sz w:val="18"/>
                <w:szCs w:val="18"/>
                <w:highlight w:val="none"/>
                <w:lang w:bidi="ar"/>
              </w:rPr>
              <w:t>（4）联合体投标的，联合体中任一方符合前述条件的。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25</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不良行为</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根据《国家电网有限公司供应商关系管理办法》的规定，若投标人被纳入不良行为处理（包括暂停中标资格和列入黑名单）且在处理有效期内的，或投标人存在触发《国家电网有限公司供应商关系管理办法》第六十三条重大问题“熔断机制”情形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6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26</w:t>
            </w:r>
          </w:p>
        </w:tc>
        <w:tc>
          <w:tcPr>
            <w:tcW w:w="638" w:type="pct"/>
            <w:shd w:val="clear" w:color="auto" w:fill="auto"/>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硬件信息</w:t>
            </w:r>
          </w:p>
        </w:tc>
        <w:tc>
          <w:tcPr>
            <w:tcW w:w="3777" w:type="pct"/>
            <w:shd w:val="clear" w:color="auto" w:fill="auto"/>
            <w:vAlign w:val="center"/>
          </w:tcPr>
          <w:p>
            <w:pPr>
              <w:widowControl/>
              <w:snapToGrid w:val="0"/>
              <w:jc w:val="left"/>
              <w:textAlignment w:val="center"/>
              <w:rPr>
                <w:rFonts w:ascii="宋体" w:hAnsi="宋体" w:cs="宋体"/>
                <w:color w:val="auto"/>
                <w:sz w:val="18"/>
                <w:szCs w:val="18"/>
                <w:highlight w:val="none"/>
              </w:rPr>
            </w:pPr>
            <w:r>
              <w:rPr>
                <w:rStyle w:val="45"/>
                <w:rFonts w:hint="default"/>
                <w:color w:val="auto"/>
                <w:highlight w:val="none"/>
                <w:lang w:bidi="ar"/>
              </w:rPr>
              <w:t>不同投标人针对同一标包的电子投标文件编制时的计算机硬件信息中存在一条及以上的计算机网卡</w:t>
            </w:r>
            <w:r>
              <w:rPr>
                <w:rStyle w:val="46"/>
                <w:color w:val="auto"/>
                <w:highlight w:val="none"/>
                <w:lang w:bidi="ar"/>
              </w:rPr>
              <w:t>MAC</w:t>
            </w:r>
            <w:r>
              <w:rPr>
                <w:rStyle w:val="45"/>
                <w:rFonts w:hint="default"/>
                <w:color w:val="auto"/>
                <w:highlight w:val="none"/>
                <w:lang w:bidi="ar"/>
              </w:rPr>
              <w:t>地址（如有）、</w:t>
            </w:r>
            <w:r>
              <w:rPr>
                <w:rStyle w:val="46"/>
                <w:color w:val="auto"/>
                <w:highlight w:val="none"/>
                <w:lang w:bidi="ar"/>
              </w:rPr>
              <w:t>CPU</w:t>
            </w:r>
            <w:r>
              <w:rPr>
                <w:rStyle w:val="45"/>
                <w:rFonts w:hint="default"/>
                <w:color w:val="auto"/>
                <w:highlight w:val="none"/>
                <w:lang w:bidi="ar"/>
              </w:rPr>
              <w:t>序列号和硬盘序列号均相同的。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65"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27</w:t>
            </w:r>
          </w:p>
        </w:tc>
        <w:tc>
          <w:tcPr>
            <w:tcW w:w="638" w:type="pct"/>
            <w:shd w:val="clear" w:color="auto" w:fill="auto"/>
            <w:vAlign w:val="center"/>
          </w:tcPr>
          <w:p>
            <w:pPr>
              <w:widowControl/>
              <w:snapToGrid w:val="0"/>
              <w:jc w:val="center"/>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重大质量问题</w:t>
            </w:r>
          </w:p>
        </w:tc>
        <w:tc>
          <w:tcPr>
            <w:tcW w:w="3777" w:type="pct"/>
            <w:shd w:val="clear" w:color="auto" w:fill="auto"/>
            <w:vAlign w:val="center"/>
          </w:tcPr>
          <w:p>
            <w:pPr>
              <w:widowControl/>
              <w:snapToGrid w:val="0"/>
              <w:jc w:val="left"/>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本次投标截止日前三年内发生重大质量问题（以相关行业主管部门的行政处罚决定或司法机关出具的有关法律文书为准）。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28</w:t>
            </w:r>
          </w:p>
        </w:tc>
        <w:tc>
          <w:tcPr>
            <w:tcW w:w="638" w:type="pct"/>
            <w:shd w:val="clear" w:color="auto" w:fill="auto"/>
            <w:vAlign w:val="center"/>
          </w:tcPr>
          <w:p>
            <w:pPr>
              <w:widowControl/>
              <w:snapToGrid w:val="0"/>
              <w:jc w:val="center"/>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违规分包</w:t>
            </w:r>
          </w:p>
        </w:tc>
        <w:tc>
          <w:tcPr>
            <w:tcW w:w="3777" w:type="pct"/>
            <w:shd w:val="clear" w:color="auto" w:fill="auto"/>
            <w:vAlign w:val="center"/>
          </w:tcPr>
          <w:p>
            <w:pPr>
              <w:widowControl/>
              <w:snapToGrid w:val="0"/>
              <w:jc w:val="left"/>
              <w:textAlignment w:val="center"/>
              <w:rPr>
                <w:rFonts w:ascii="宋体" w:hAnsi="宋体" w:eastAsia="宋体" w:cs="宋体"/>
                <w:b/>
                <w:bCs/>
                <w:color w:val="auto"/>
                <w:kern w:val="2"/>
                <w:sz w:val="18"/>
                <w:szCs w:val="18"/>
                <w:highlight w:val="none"/>
                <w:lang w:val="en-US" w:eastAsia="zh-CN" w:bidi="ar-SA"/>
              </w:rPr>
            </w:pPr>
            <w:r>
              <w:rPr>
                <w:rStyle w:val="47"/>
                <w:rFonts w:hint="default"/>
                <w:color w:val="auto"/>
                <w:highlight w:val="none"/>
                <w:lang w:bidi="ar"/>
              </w:rPr>
              <w:t>仅适用于施工项目：</w:t>
            </w:r>
            <w:r>
              <w:rPr>
                <w:rStyle w:val="44"/>
                <w:rFonts w:hint="default"/>
                <w:color w:val="auto"/>
                <w:highlight w:val="none"/>
                <w:lang w:bidi="ar"/>
              </w:rPr>
              <w:br w:type="textWrapping"/>
            </w:r>
            <w:r>
              <w:rPr>
                <w:rStyle w:val="44"/>
                <w:rFonts w:hint="default"/>
                <w:color w:val="auto"/>
                <w:highlight w:val="none"/>
                <w:lang w:bidi="ar"/>
              </w:rPr>
              <w:t>1.投标人未在投标文件中对拟分包计划、方案等进行实质性响应的；</w:t>
            </w:r>
            <w:r>
              <w:rPr>
                <w:rStyle w:val="44"/>
                <w:rFonts w:hint="default"/>
                <w:color w:val="auto"/>
                <w:highlight w:val="none"/>
                <w:lang w:bidi="ar"/>
              </w:rPr>
              <w:br w:type="textWrapping"/>
            </w:r>
            <w:r>
              <w:rPr>
                <w:rStyle w:val="44"/>
                <w:rFonts w:hint="default"/>
                <w:color w:val="auto"/>
                <w:highlight w:val="none"/>
                <w:lang w:bidi="ar"/>
              </w:rPr>
              <w:t>2.投标人拟将工程主体、关键性工作进行分包的，或在投标文件中出现其他违反法律法规、国家电网有限公司相关规定进行转包、分包的情况的；</w:t>
            </w:r>
            <w:r>
              <w:rPr>
                <w:rStyle w:val="44"/>
                <w:rFonts w:hint="default"/>
                <w:color w:val="auto"/>
                <w:highlight w:val="none"/>
                <w:lang w:bidi="ar"/>
              </w:rPr>
              <w:br w:type="textWrapping"/>
            </w:r>
            <w:r>
              <w:rPr>
                <w:rStyle w:val="44"/>
                <w:rFonts w:hint="default"/>
                <w:color w:val="auto"/>
                <w:highlight w:val="none"/>
                <w:lang w:bidi="ar"/>
              </w:rPr>
              <w:t>3.中标人不得承接国家电网有限公司招标采购产品其他供应商的贴牌代工及任何分包（招标文件中允许外购外协的除外）、转包，否则将根据《国家电网有限公司供应商关系管理办法》进行相应处理。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2" w:hRule="atLeast"/>
        </w:trPr>
        <w:tc>
          <w:tcPr>
            <w:tcW w:w="584" w:type="pct"/>
            <w:shd w:val="clear" w:color="auto" w:fill="auto"/>
            <w:noWrap/>
            <w:vAlign w:val="center"/>
          </w:tcPr>
          <w:p>
            <w:pPr>
              <w:widowControl/>
              <w:snapToGrid w:val="0"/>
              <w:jc w:val="center"/>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29</w:t>
            </w:r>
          </w:p>
        </w:tc>
        <w:tc>
          <w:tcPr>
            <w:tcW w:w="638" w:type="pct"/>
            <w:shd w:val="clear" w:color="auto" w:fill="auto"/>
            <w:vAlign w:val="center"/>
          </w:tcPr>
          <w:p>
            <w:pPr>
              <w:widowControl/>
              <w:snapToGrid w:val="0"/>
              <w:jc w:val="center"/>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其他事项</w:t>
            </w:r>
          </w:p>
        </w:tc>
        <w:tc>
          <w:tcPr>
            <w:tcW w:w="3777" w:type="pct"/>
            <w:shd w:val="clear" w:color="auto" w:fill="auto"/>
            <w:vAlign w:val="center"/>
          </w:tcPr>
          <w:p>
            <w:pPr>
              <w:widowControl/>
              <w:snapToGrid w:val="0"/>
              <w:jc w:val="left"/>
              <w:textAlignment w:val="center"/>
              <w:rPr>
                <w:rFonts w:ascii="宋体" w:hAnsi="宋体" w:eastAsia="宋体" w:cs="宋体"/>
                <w:color w:val="auto"/>
                <w:kern w:val="2"/>
                <w:sz w:val="18"/>
                <w:szCs w:val="18"/>
                <w:highlight w:val="none"/>
                <w:lang w:val="en-US" w:eastAsia="zh-CN" w:bidi="ar-SA"/>
              </w:rPr>
            </w:pPr>
            <w:r>
              <w:rPr>
                <w:rFonts w:hint="eastAsia" w:ascii="宋体" w:hAnsi="宋体" w:cs="宋体"/>
                <w:color w:val="auto"/>
                <w:kern w:val="0"/>
                <w:sz w:val="18"/>
                <w:szCs w:val="18"/>
                <w:highlight w:val="none"/>
                <w:lang w:bidi="ar"/>
              </w:rPr>
              <w:t>投标人或投标文件符合招标文件中规定否决投标的其他条款的。</w:t>
            </w:r>
          </w:p>
        </w:tc>
      </w:tr>
    </w:tbl>
    <w:p>
      <w:pPr>
        <w:pStyle w:val="17"/>
        <w:rPr>
          <w:color w:val="auto"/>
          <w:highlight w:val="none"/>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linePitch="312" w:charSpace="0"/>
        </w:sectPr>
      </w:pPr>
    </w:p>
    <w:p>
      <w:pPr>
        <w:widowControl/>
        <w:spacing w:line="400" w:lineRule="exact"/>
        <w:jc w:val="left"/>
        <w:outlineLvl w:val="1"/>
        <w:rPr>
          <w:rFonts w:hint="eastAsia" w:ascii="黑体" w:hAnsi="黑体" w:eastAsia="黑体"/>
          <w:b/>
          <w:color w:val="auto"/>
          <w:kern w:val="0"/>
          <w:sz w:val="24"/>
          <w:highlight w:val="none"/>
          <w:lang w:val="zh-CN"/>
        </w:rPr>
      </w:pPr>
      <w:bookmarkStart w:id="229" w:name="_Toc62551558"/>
      <w:bookmarkStart w:id="230" w:name="_Toc20109"/>
      <w:bookmarkStart w:id="231" w:name="_Toc31505"/>
      <w:bookmarkStart w:id="232" w:name="_Toc30582"/>
      <w:r>
        <w:rPr>
          <w:rFonts w:hint="eastAsia" w:ascii="黑体" w:hAnsi="黑体" w:eastAsia="黑体"/>
          <w:b/>
          <w:color w:val="auto"/>
          <w:kern w:val="0"/>
          <w:sz w:val="24"/>
          <w:highlight w:val="none"/>
          <w:lang w:val="zh-CN"/>
        </w:rPr>
        <w:t>评标办法前附表之三：商务评分标准</w:t>
      </w:r>
    </w:p>
    <w:p>
      <w:pPr>
        <w:topLinePunct/>
        <w:adjustRightInd w:val="0"/>
        <w:spacing w:line="360" w:lineRule="exact"/>
        <w:ind w:firstLine="420"/>
        <w:rPr>
          <w:rFonts w:hint="eastAsia"/>
          <w:b w:val="0"/>
          <w:bCs w:val="0"/>
          <w:color w:val="auto"/>
          <w:szCs w:val="20"/>
          <w:highlight w:val="none"/>
        </w:rPr>
      </w:pPr>
      <w:r>
        <w:rPr>
          <w:rFonts w:hint="eastAsia"/>
          <w:b w:val="0"/>
          <w:bCs w:val="0"/>
          <w:color w:val="auto"/>
          <w:szCs w:val="20"/>
          <w:highlight w:val="none"/>
        </w:rPr>
        <w:t>评标委员会将根据以下标准对通过初评的投标人进行商务评审。偏离全部专家评分第一次平均分±8%的评分将予以剔除，剩余专家评分进行第二次平均，得出的平均分值为相应投标的商务评审得分</w:t>
      </w:r>
      <w:r>
        <w:rPr>
          <w:rFonts w:hint="eastAsia"/>
          <w:b w:val="0"/>
          <w:bCs w:val="0"/>
          <w:color w:val="auto"/>
          <w:szCs w:val="20"/>
          <w:highlight w:val="none"/>
          <w:lang w:eastAsia="zh-CN"/>
        </w:rPr>
        <w:t>。</w:t>
      </w:r>
      <w:r>
        <w:rPr>
          <w:rFonts w:hint="eastAsia"/>
          <w:b w:val="0"/>
          <w:bCs w:val="0"/>
          <w:color w:val="auto"/>
          <w:szCs w:val="20"/>
          <w:highlight w:val="none"/>
        </w:rPr>
        <w:t>评审标准包括但不限于以下内容：</w:t>
      </w:r>
    </w:p>
    <w:p>
      <w:pPr>
        <w:pStyle w:val="5"/>
        <w:ind w:firstLine="0"/>
        <w:jc w:val="center"/>
        <w:rPr>
          <w:rFonts w:hint="eastAsia" w:ascii="仿宋_GB2312" w:hAnsi="黑体" w:eastAsia="仿宋_GB2312" w:cs="Times New Roman"/>
          <w:b/>
          <w:bCs/>
          <w:color w:val="auto"/>
          <w:sz w:val="28"/>
          <w:szCs w:val="28"/>
          <w:highlight w:val="none"/>
        </w:rPr>
      </w:pPr>
      <w:r>
        <w:rPr>
          <w:rFonts w:hint="eastAsia" w:ascii="仿宋_GB2312" w:hAnsi="黑体" w:eastAsia="仿宋_GB2312" w:cs="Times New Roman"/>
          <w:b/>
          <w:bCs/>
          <w:color w:val="auto"/>
          <w:sz w:val="28"/>
          <w:szCs w:val="28"/>
          <w:highlight w:val="none"/>
        </w:rPr>
        <w:t>商务评分标准</w:t>
      </w:r>
    </w:p>
    <w:p>
      <w:pPr>
        <w:pStyle w:val="6"/>
        <w:jc w:val="center"/>
        <w:rPr>
          <w:rFonts w:hint="eastAsia" w:ascii="仿宋_GB2312" w:hAnsi="黑体" w:eastAsia="仿宋_GB2312" w:cs="Times New Roman"/>
          <w:b/>
          <w:bCs/>
          <w:color w:val="auto"/>
          <w:sz w:val="28"/>
          <w:szCs w:val="28"/>
          <w:highlight w:val="none"/>
          <w:lang w:eastAsia="zh-CN"/>
        </w:rPr>
      </w:pPr>
      <w:r>
        <w:rPr>
          <w:rFonts w:hint="eastAsia" w:ascii="仿宋_GB2312" w:hAnsi="黑体" w:eastAsia="仿宋_GB2312" w:cs="Times New Roman"/>
          <w:b/>
          <w:bCs/>
          <w:color w:val="auto"/>
          <w:sz w:val="28"/>
          <w:szCs w:val="28"/>
          <w:highlight w:val="none"/>
          <w:lang w:eastAsia="zh-CN"/>
        </w:rPr>
        <w:t>（</w:t>
      </w:r>
      <w:r>
        <w:rPr>
          <w:rFonts w:hint="eastAsia" w:ascii="仿宋_GB2312" w:hAnsi="黑体" w:eastAsia="仿宋_GB2312" w:cs="Times New Roman"/>
          <w:b/>
          <w:bCs/>
          <w:color w:val="auto"/>
          <w:sz w:val="28"/>
          <w:szCs w:val="28"/>
          <w:highlight w:val="none"/>
          <w:lang w:val="en-US" w:eastAsia="zh-CN"/>
        </w:rPr>
        <w:t>适用于监理类分标</w:t>
      </w:r>
      <w:r>
        <w:rPr>
          <w:rFonts w:hint="eastAsia" w:ascii="仿宋_GB2312" w:hAnsi="黑体" w:eastAsia="仿宋_GB2312" w:cs="Times New Roman"/>
          <w:b/>
          <w:bCs/>
          <w:color w:val="auto"/>
          <w:sz w:val="28"/>
          <w:szCs w:val="28"/>
          <w:highlight w:val="none"/>
          <w:lang w:eastAsia="zh-CN"/>
        </w:rPr>
        <w:t>）</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871"/>
        <w:gridCol w:w="1266"/>
        <w:gridCol w:w="5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blHeader/>
          <w:jc w:val="center"/>
        </w:trPr>
        <w:tc>
          <w:tcPr>
            <w:tcW w:w="676"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序号</w:t>
            </w:r>
          </w:p>
        </w:tc>
        <w:tc>
          <w:tcPr>
            <w:tcW w:w="1440"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项目</w:t>
            </w:r>
          </w:p>
        </w:tc>
        <w:tc>
          <w:tcPr>
            <w:tcW w:w="2182"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评审内容及分值</w:t>
            </w:r>
          </w:p>
        </w:tc>
        <w:tc>
          <w:tcPr>
            <w:tcW w:w="10523"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项目内容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Merge w:val="restart"/>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color w:val="auto"/>
                <w:kern w:val="0"/>
                <w:sz w:val="21"/>
                <w:szCs w:val="21"/>
                <w:highlight w:val="none"/>
                <w:lang w:bidi="ar"/>
              </w:rPr>
              <w:t>1</w:t>
            </w:r>
          </w:p>
        </w:tc>
        <w:tc>
          <w:tcPr>
            <w:tcW w:w="1440" w:type="dxa"/>
            <w:vMerge w:val="restart"/>
            <w:vAlign w:val="center"/>
          </w:tcPr>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企业实力</w:t>
            </w:r>
          </w:p>
          <w:p>
            <w:pPr>
              <w:rPr>
                <w:rFonts w:hint="eastAsia" w:ascii="宋体" w:hAnsi="宋体" w:eastAsia="宋体" w:cs="宋体"/>
                <w:color w:val="auto"/>
                <w:sz w:val="21"/>
                <w:szCs w:val="21"/>
                <w:highlight w:val="none"/>
              </w:rPr>
            </w:pPr>
            <w:r>
              <w:rPr>
                <w:rFonts w:hint="eastAsia" w:ascii="宋体" w:hAnsi="宋体" w:eastAsia="宋体" w:cs="宋体"/>
                <w:b/>
                <w:bCs/>
                <w:color w:val="auto"/>
                <w:kern w:val="0"/>
                <w:sz w:val="21"/>
                <w:szCs w:val="21"/>
                <w:highlight w:val="none"/>
              </w:rPr>
              <w:t>（35分）</w:t>
            </w:r>
          </w:p>
          <w:p>
            <w:pPr>
              <w:widowControl/>
              <w:jc w:val="center"/>
              <w:textAlignment w:val="center"/>
              <w:rPr>
                <w:rFonts w:hint="eastAsia" w:ascii="宋体" w:hAnsi="宋体" w:eastAsia="宋体" w:cs="宋体"/>
                <w:b/>
                <w:bCs/>
                <w:color w:val="auto"/>
                <w:sz w:val="21"/>
                <w:szCs w:val="21"/>
                <w:highlight w:val="none"/>
              </w:rPr>
            </w:pPr>
          </w:p>
        </w:tc>
        <w:tc>
          <w:tcPr>
            <w:tcW w:w="218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信誉评价（20分）</w:t>
            </w:r>
          </w:p>
        </w:tc>
        <w:tc>
          <w:tcPr>
            <w:tcW w:w="10523" w:type="dxa"/>
            <w:vAlign w:val="center"/>
          </w:tcPr>
          <w:p>
            <w:pPr>
              <w:widowControl/>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企业信誉及业主单位评价优秀。（20分）</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企业信誉及业主单位评价良好。（18分）</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企业信誉及业主单位评价一般。（16分）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sz w:val="21"/>
                <w:szCs w:val="21"/>
                <w:highlight w:val="none"/>
              </w:rPr>
            </w:pPr>
          </w:p>
        </w:tc>
        <w:tc>
          <w:tcPr>
            <w:tcW w:w="2182" w:type="dxa"/>
            <w:vAlign w:val="center"/>
          </w:tcPr>
          <w:p>
            <w:pPr>
              <w:adjustRightInd w:val="0"/>
              <w:snapToGrid w:val="0"/>
              <w:spacing w:before="66" w:after="66"/>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获奖（10分）</w:t>
            </w:r>
          </w:p>
        </w:tc>
        <w:tc>
          <w:tcPr>
            <w:tcW w:w="10523"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获奖情况：</w:t>
            </w:r>
            <w:r>
              <w:rPr>
                <w:rFonts w:hint="eastAsia" w:ascii="宋体" w:hAnsi="宋体" w:eastAsia="宋体" w:cs="宋体"/>
                <w:color w:val="auto"/>
                <w:sz w:val="21"/>
                <w:szCs w:val="21"/>
                <w:highlight w:val="none"/>
                <w:lang w:bidi="ar"/>
              </w:rPr>
              <w:t>500kV及以上，或±400kV及以上</w:t>
            </w:r>
            <w:r>
              <w:rPr>
                <w:rFonts w:hint="eastAsia" w:ascii="宋体" w:hAnsi="宋体" w:eastAsia="宋体" w:cs="宋体"/>
                <w:color w:val="auto"/>
                <w:kern w:val="0"/>
                <w:sz w:val="21"/>
                <w:szCs w:val="21"/>
                <w:highlight w:val="none"/>
                <w:lang w:bidi="ar"/>
              </w:rPr>
              <w:t>同类工程在开标截止日前三年内每获国家级奖5分；每获省部级（行业级）奖2分。同一工程只计一次获奖，得满为止。（10分）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企业创新获奖（5分）</w:t>
            </w:r>
          </w:p>
        </w:tc>
        <w:tc>
          <w:tcPr>
            <w:tcW w:w="1052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投标截止日近3年企业取得过国家级科技创新成果的，得5分；</w:t>
            </w:r>
          </w:p>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投标截止日近3年企业取得过省级科技创新成果的，得3分；</w:t>
            </w:r>
          </w:p>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投标截止日近3年企业取得过其他级别创新成果的，得1分；</w:t>
            </w:r>
          </w:p>
          <w:p>
            <w:pP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投标截止日近3年企业未取得任何级别创新成果的，得0分。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Align w:val="center"/>
          </w:tcPr>
          <w:p>
            <w:pPr>
              <w:widowControl/>
              <w:jc w:val="center"/>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2</w:t>
            </w:r>
          </w:p>
        </w:tc>
        <w:tc>
          <w:tcPr>
            <w:tcW w:w="1440" w:type="dxa"/>
            <w:vAlign w:val="center"/>
          </w:tcPr>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报价评价</w:t>
            </w:r>
          </w:p>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（40分）</w:t>
            </w:r>
          </w:p>
        </w:tc>
        <w:tc>
          <w:tcPr>
            <w:tcW w:w="2182" w:type="dxa"/>
            <w:vAlign w:val="center"/>
          </w:tcPr>
          <w:p>
            <w:pPr>
              <w:widowControl/>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报价质量评价（40分）</w:t>
            </w:r>
          </w:p>
        </w:tc>
        <w:tc>
          <w:tcPr>
            <w:tcW w:w="10523" w:type="dxa"/>
            <w:vAlign w:val="center"/>
          </w:tcPr>
          <w:p>
            <w:pPr>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符合国家现行有关规定和招标文件规定，报价清晰、数据完整。（39-40分）</w:t>
            </w:r>
          </w:p>
          <w:p>
            <w:pPr>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符合国家现行有关规定和招标文件规定，报价较清晰、数据较完整。（37-38分）</w:t>
            </w:r>
          </w:p>
          <w:p>
            <w:pPr>
              <w:widowControl/>
              <w:jc w:val="left"/>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符合国家现行有关规定和招标文件规定，提供</w:t>
            </w:r>
            <w:r>
              <w:rPr>
                <w:rFonts w:hint="eastAsia" w:ascii="宋体" w:hAnsi="宋体" w:eastAsia="宋体" w:cs="宋体"/>
                <w:color w:val="auto"/>
                <w:sz w:val="21"/>
                <w:szCs w:val="21"/>
                <w:highlight w:val="none"/>
                <w:lang w:bidi="ar"/>
              </w:rPr>
              <w:t>报价及数据</w:t>
            </w:r>
            <w:r>
              <w:rPr>
                <w:rFonts w:hint="eastAsia" w:ascii="宋体" w:hAnsi="宋体" w:eastAsia="宋体" w:cs="宋体"/>
                <w:color w:val="auto"/>
                <w:sz w:val="21"/>
                <w:szCs w:val="21"/>
                <w:highlight w:val="none"/>
              </w:rPr>
              <w:t>。（36分）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676" w:type="dxa"/>
            <w:vMerge w:val="restart"/>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w:t>
            </w:r>
          </w:p>
        </w:tc>
        <w:tc>
          <w:tcPr>
            <w:tcW w:w="1440" w:type="dxa"/>
            <w:vMerge w:val="restart"/>
            <w:vAlign w:val="center"/>
          </w:tcPr>
          <w:p>
            <w:pPr>
              <w:widowControl/>
              <w:jc w:val="center"/>
              <w:textAlignment w:val="center"/>
              <w:rPr>
                <w:rFonts w:hint="eastAsia" w:ascii="宋体" w:hAnsi="宋体" w:eastAsia="宋体" w:cs="宋体"/>
                <w:b/>
                <w:bCs/>
                <w:color w:val="auto"/>
                <w:kern w:val="0"/>
                <w:sz w:val="21"/>
                <w:szCs w:val="21"/>
                <w:highlight w:val="none"/>
                <w:lang w:bidi="ar"/>
              </w:rPr>
            </w:pPr>
            <w:r>
              <w:rPr>
                <w:rFonts w:hint="eastAsia" w:ascii="宋体" w:hAnsi="宋体" w:eastAsia="宋体" w:cs="宋体"/>
                <w:b/>
                <w:bCs/>
                <w:color w:val="auto"/>
                <w:kern w:val="0"/>
                <w:sz w:val="21"/>
                <w:szCs w:val="21"/>
                <w:highlight w:val="none"/>
                <w:lang w:bidi="ar"/>
              </w:rPr>
              <w:t>综合评价</w:t>
            </w:r>
          </w:p>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（25分）</w:t>
            </w:r>
          </w:p>
        </w:tc>
        <w:tc>
          <w:tcPr>
            <w:tcW w:w="218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对招标文件的响应程度（22分）</w:t>
            </w:r>
          </w:p>
        </w:tc>
        <w:tc>
          <w:tcPr>
            <w:tcW w:w="10523" w:type="dxa"/>
            <w:vAlign w:val="center"/>
          </w:tcPr>
          <w:p>
            <w:pPr>
              <w:widowControl/>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完全响应：提交了完整的商务投标文件且整体情况优秀。（22分）</w:t>
            </w:r>
            <w:r>
              <w:rPr>
                <w:rFonts w:hint="eastAsia" w:ascii="宋体" w:hAnsi="宋体" w:eastAsia="宋体" w:cs="宋体"/>
                <w:color w:val="auto"/>
                <w:sz w:val="21"/>
                <w:szCs w:val="21"/>
                <w:highlight w:val="none"/>
              </w:rPr>
              <w:br w:type="textWrapping"/>
            </w:r>
            <w:r>
              <w:rPr>
                <w:rFonts w:hint="eastAsia" w:ascii="宋体" w:hAnsi="宋体" w:eastAsia="宋体" w:cs="宋体"/>
                <w:color w:val="auto"/>
                <w:sz w:val="21"/>
                <w:szCs w:val="21"/>
                <w:highlight w:val="none"/>
              </w:rPr>
              <w:t>基本响应：提交了基本完整的商务投标文件且整体情况较好。（20分）</w:t>
            </w:r>
            <w:r>
              <w:rPr>
                <w:rFonts w:hint="eastAsia" w:ascii="宋体" w:hAnsi="宋体" w:eastAsia="宋体" w:cs="宋体"/>
                <w:color w:val="auto"/>
                <w:sz w:val="21"/>
                <w:szCs w:val="21"/>
                <w:highlight w:val="none"/>
              </w:rPr>
              <w:br w:type="textWrapping"/>
            </w:r>
            <w:r>
              <w:rPr>
                <w:rFonts w:hint="eastAsia" w:ascii="宋体" w:hAnsi="宋体" w:eastAsia="宋体" w:cs="宋体"/>
                <w:color w:val="auto"/>
                <w:sz w:val="21"/>
                <w:szCs w:val="21"/>
                <w:highlight w:val="none"/>
              </w:rPr>
              <w:t>部分响应：提交的商务投标文件且整体情况一般。（18分）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textAlignment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bidi="ar"/>
              </w:rPr>
              <w:t>绿电绿证</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（3分）</w:t>
            </w:r>
          </w:p>
        </w:tc>
        <w:tc>
          <w:tcPr>
            <w:tcW w:w="10523" w:type="dxa"/>
            <w:vAlign w:val="center"/>
          </w:tcPr>
          <w:p>
            <w:pPr>
              <w:widowControl/>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对投标人取得绿色电力证书情况进行评价，取得证书或凭证的得【3分】；未取得的得【0分】。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restart"/>
            <w:noWrap/>
            <w:vAlign w:val="center"/>
          </w:tcPr>
          <w:p>
            <w:pPr>
              <w:widowControl/>
              <w:jc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4</w:t>
            </w:r>
          </w:p>
        </w:tc>
        <w:tc>
          <w:tcPr>
            <w:tcW w:w="1440" w:type="dxa"/>
            <w:vMerge w:val="restart"/>
            <w:vAlign w:val="center"/>
          </w:tcPr>
          <w:p>
            <w:pPr>
              <w:widowControl/>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bidi="ar"/>
              </w:rPr>
              <w:t>诚信评价</w:t>
            </w:r>
          </w:p>
        </w:tc>
        <w:tc>
          <w:tcPr>
            <w:tcW w:w="218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投标报价一致性（-20-0分）</w:t>
            </w:r>
          </w:p>
        </w:tc>
        <w:tc>
          <w:tcPr>
            <w:tcW w:w="10523"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bidi="ar"/>
              </w:rPr>
              <w:t>对于满足以下任一条件的投标人组合：①本项目下累计出现3包次及以上投标总价完全一致；②连续2个及以上批次出现投标总价价格完全一致。处理方式：该投标人组合中的各方在当批该组合出现价格一致情况的分标中扣减商务分，扣减分值为每出现一包次价格一致情况扣5分（计算该组合累计包次），封顶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rPr>
                <w:rFonts w:hint="eastAsia" w:ascii="宋体" w:hAnsi="宋体" w:eastAsia="宋体" w:cs="宋体"/>
                <w:color w:val="auto"/>
                <w:kern w:val="0"/>
                <w:sz w:val="21"/>
                <w:szCs w:val="21"/>
                <w:highlight w:val="none"/>
              </w:rPr>
            </w:pPr>
          </w:p>
        </w:tc>
        <w:tc>
          <w:tcPr>
            <w:tcW w:w="1440" w:type="dxa"/>
            <w:vMerge w:val="continue"/>
            <w:vAlign w:val="center"/>
          </w:tcPr>
          <w:p>
            <w:pPr>
              <w:widowControl/>
              <w:jc w:val="center"/>
              <w:rPr>
                <w:rFonts w:hint="eastAsia" w:ascii="宋体" w:hAnsi="宋体" w:eastAsia="宋体" w:cs="宋体"/>
                <w:b/>
                <w:bCs/>
                <w:color w:val="auto"/>
                <w:sz w:val="21"/>
                <w:szCs w:val="21"/>
                <w:highlight w:val="none"/>
                <w:lang w:bidi="ar"/>
              </w:rPr>
            </w:pPr>
          </w:p>
        </w:tc>
        <w:tc>
          <w:tcPr>
            <w:tcW w:w="2182" w:type="dxa"/>
            <w:vMerge w:val="restart"/>
            <w:vAlign w:val="center"/>
          </w:tcPr>
          <w:p>
            <w:pPr>
              <w:widowControl/>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质量管理与保证（-30分）</w:t>
            </w:r>
          </w:p>
          <w:p>
            <w:pPr>
              <w:widowControl/>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（仅适用施工、监理分标）</w:t>
            </w:r>
          </w:p>
        </w:tc>
        <w:tc>
          <w:tcPr>
            <w:tcW w:w="1052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安全事故指标考核（15分）。一年内发生一般人身、设备及电网事故（四级人身、设备、电网安全事件），每次扣5分；二年内发生较大人身、设备及电网事故（三级人身、设备、电网安全事件），每次扣10分，</w:t>
            </w:r>
            <w:r>
              <w:rPr>
                <w:rFonts w:hint="eastAsia" w:ascii="宋体" w:hAnsi="宋体" w:eastAsia="宋体" w:cs="宋体"/>
                <w:color w:val="auto"/>
                <w:kern w:val="0"/>
                <w:sz w:val="21"/>
                <w:szCs w:val="21"/>
                <w:highlight w:val="none"/>
                <w:lang w:bidi="ar"/>
              </w:rPr>
              <w:t>封顶15分</w:t>
            </w:r>
            <w:r>
              <w:rPr>
                <w:rFonts w:hint="eastAsia" w:ascii="宋体" w:hAnsi="宋体" w:eastAsia="宋体" w:cs="宋体"/>
                <w:color w:val="auto"/>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rPr>
                <w:rFonts w:hint="eastAsia" w:ascii="宋体" w:hAnsi="宋体" w:eastAsia="宋体" w:cs="宋体"/>
                <w:color w:val="auto"/>
                <w:kern w:val="0"/>
                <w:sz w:val="21"/>
                <w:szCs w:val="21"/>
                <w:highlight w:val="none"/>
              </w:rPr>
            </w:pPr>
          </w:p>
        </w:tc>
        <w:tc>
          <w:tcPr>
            <w:tcW w:w="1440" w:type="dxa"/>
            <w:vMerge w:val="continue"/>
            <w:vAlign w:val="center"/>
          </w:tcPr>
          <w:p>
            <w:pPr>
              <w:widowControl/>
              <w:jc w:val="center"/>
              <w:rPr>
                <w:rFonts w:hint="eastAsia" w:ascii="宋体" w:hAnsi="宋体" w:eastAsia="宋体" w:cs="宋体"/>
                <w:b/>
                <w:bCs/>
                <w:color w:val="auto"/>
                <w:sz w:val="21"/>
                <w:szCs w:val="21"/>
                <w:highlight w:val="none"/>
                <w:lang w:bidi="ar"/>
              </w:rPr>
            </w:pPr>
          </w:p>
        </w:tc>
        <w:tc>
          <w:tcPr>
            <w:tcW w:w="2182"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052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质量事件指标考核（15分）。一年内发生一般质量事故（四级质量事件），每次扣5分；二年内发生较大质量事故（三级质量事件），扣10分，</w:t>
            </w:r>
            <w:r>
              <w:rPr>
                <w:rFonts w:hint="eastAsia" w:ascii="宋体" w:hAnsi="宋体" w:eastAsia="宋体" w:cs="宋体"/>
                <w:color w:val="auto"/>
                <w:kern w:val="0"/>
                <w:sz w:val="21"/>
                <w:szCs w:val="21"/>
                <w:highlight w:val="none"/>
                <w:lang w:bidi="ar"/>
              </w:rPr>
              <w:t>封顶15分</w:t>
            </w:r>
            <w:r>
              <w:rPr>
                <w:rFonts w:hint="eastAsia" w:ascii="宋体" w:hAnsi="宋体" w:eastAsia="宋体" w:cs="宋体"/>
                <w:color w:val="auto"/>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2"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不良行为（-30-0）</w:t>
            </w:r>
          </w:p>
        </w:tc>
        <w:tc>
          <w:tcPr>
            <w:tcW w:w="10523" w:type="dxa"/>
            <w:vAlign w:val="center"/>
          </w:tcPr>
          <w:p>
            <w:pPr>
              <w:spacing w:after="0" w:line="32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不存在《国家电网有限公司供应商关系管理办法》中规定的不良行为；或存在《国家电网有限公司供应商关系管理办法》中规定的不良行为，但最近一次受到供应商不良行为处理解除之日，距离投标截止日超过1年，不扣分；</w:t>
            </w:r>
          </w:p>
          <w:p>
            <w:pPr>
              <w:jc w:val="left"/>
              <w:rPr>
                <w:rFonts w:hint="eastAsia" w:ascii="宋体" w:hAnsi="宋体" w:eastAsia="宋体" w:cs="宋体"/>
                <w:color w:val="auto"/>
                <w:sz w:val="21"/>
                <w:szCs w:val="21"/>
                <w:highlight w:val="none"/>
                <w:lang w:bidi="ar"/>
              </w:rPr>
            </w:pPr>
            <w:r>
              <w:rPr>
                <w:rFonts w:hint="eastAsia" w:ascii="宋体" w:hAnsi="宋体" w:eastAsia="宋体" w:cs="宋体"/>
                <w:color w:val="auto"/>
                <w:szCs w:val="21"/>
                <w:highlight w:val="none"/>
              </w:rPr>
              <w:t>至本项目投标截止日，存在《国家电网有限公司供应商关系管理办法》中规定的不良行为，且最近一次受到供应商不良行为处理解除之日，距离投标截止日1年以内（含），扣减15分；其中，存在行贿行为的，扣减30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失信行为（-10-0）</w:t>
            </w:r>
          </w:p>
        </w:tc>
        <w:tc>
          <w:tcPr>
            <w:tcW w:w="10523" w:type="dxa"/>
            <w:vAlign w:val="center"/>
          </w:tcPr>
          <w:p>
            <w:pPr>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不存在失信行为相关行政处罚的【不扣分】；</w:t>
            </w:r>
          </w:p>
          <w:p>
            <w:pPr>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存在属质量、诚信问题以外的行政处罚，例如环境行政处罚，扣5分；</w:t>
            </w:r>
          </w:p>
          <w:p>
            <w:pPr>
              <w:widowControl/>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存在属质量、诚信问题的行政处罚，且未纳入失信黑名单；扣10分。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违规行为（-20-0）</w:t>
            </w:r>
          </w:p>
        </w:tc>
        <w:tc>
          <w:tcPr>
            <w:tcW w:w="10523" w:type="dxa"/>
            <w:vAlign w:val="center"/>
          </w:tcPr>
          <w:p>
            <w:pPr>
              <w:widowControl/>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投标截止日近一年内，经招标人查证核实，投标人存在可能影响招投标工作公正性行为的，扣20分；无上述行为的，不扣分。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负面事件影响评价（-50-0）</w:t>
            </w:r>
          </w:p>
        </w:tc>
        <w:tc>
          <w:tcPr>
            <w:tcW w:w="10523" w:type="dxa"/>
            <w:vAlign w:val="center"/>
          </w:tcPr>
          <w:p>
            <w:pPr>
              <w:widowControl/>
              <w:jc w:val="left"/>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投标人发生重大负面事件或其他情形造成不良社会影响；以及不当行为可能带来破坏市场公平竞争秩序风险，根据严重程度扣10-50分；</w:t>
            </w:r>
          </w:p>
          <w:p>
            <w:pPr>
              <w:widowControl/>
              <w:jc w:val="left"/>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无上述情形的，不扣分。</w:t>
            </w:r>
          </w:p>
        </w:tc>
      </w:tr>
    </w:tbl>
    <w:p>
      <w:pPr>
        <w:pStyle w:val="6"/>
        <w:jc w:val="center"/>
        <w:rPr>
          <w:rFonts w:hint="eastAsia" w:ascii="仿宋_GB2312" w:hAnsi="黑体" w:eastAsia="仿宋_GB2312" w:cs="Times New Roman"/>
          <w:b/>
          <w:bCs/>
          <w:color w:val="auto"/>
          <w:sz w:val="28"/>
          <w:szCs w:val="28"/>
          <w:highlight w:val="none"/>
          <w:lang w:eastAsia="zh-CN"/>
        </w:rPr>
      </w:pPr>
    </w:p>
    <w:p>
      <w:pPr>
        <w:pStyle w:val="5"/>
        <w:ind w:firstLine="0"/>
        <w:jc w:val="center"/>
        <w:rPr>
          <w:rFonts w:hint="eastAsia" w:ascii="仿宋_GB2312" w:hAnsi="黑体" w:eastAsia="仿宋_GB2312" w:cs="Times New Roman"/>
          <w:b/>
          <w:bCs/>
          <w:color w:val="auto"/>
          <w:sz w:val="28"/>
          <w:szCs w:val="28"/>
          <w:highlight w:val="none"/>
        </w:rPr>
      </w:pPr>
      <w:r>
        <w:rPr>
          <w:rFonts w:hint="eastAsia" w:ascii="仿宋_GB2312" w:hAnsi="黑体" w:eastAsia="仿宋_GB2312" w:cs="Times New Roman"/>
          <w:b/>
          <w:bCs/>
          <w:color w:val="auto"/>
          <w:sz w:val="28"/>
          <w:szCs w:val="28"/>
          <w:highlight w:val="none"/>
        </w:rPr>
        <w:t>商务评分标准</w:t>
      </w:r>
    </w:p>
    <w:p>
      <w:pPr>
        <w:pStyle w:val="5"/>
        <w:ind w:firstLine="0"/>
        <w:jc w:val="center"/>
        <w:rPr>
          <w:rFonts w:hint="eastAsia" w:ascii="仿宋_GB2312" w:hAnsi="黑体" w:eastAsia="仿宋_GB2312" w:cs="Times New Roman"/>
          <w:b/>
          <w:bCs/>
          <w:color w:val="auto"/>
          <w:sz w:val="28"/>
          <w:szCs w:val="28"/>
          <w:highlight w:val="none"/>
          <w:lang w:val="en-US" w:eastAsia="zh-CN"/>
        </w:rPr>
      </w:pPr>
      <w:r>
        <w:rPr>
          <w:rFonts w:hint="eastAsia" w:ascii="仿宋_GB2312" w:hAnsi="黑体" w:eastAsia="仿宋_GB2312" w:cs="Times New Roman"/>
          <w:b/>
          <w:bCs/>
          <w:color w:val="auto"/>
          <w:sz w:val="28"/>
          <w:szCs w:val="28"/>
          <w:highlight w:val="none"/>
          <w:lang w:eastAsia="zh-CN"/>
        </w:rPr>
        <w:t>（</w:t>
      </w:r>
      <w:r>
        <w:rPr>
          <w:rFonts w:hint="eastAsia" w:ascii="仿宋_GB2312" w:hAnsi="黑体" w:eastAsia="仿宋_GB2312" w:cs="Times New Roman"/>
          <w:b/>
          <w:bCs/>
          <w:color w:val="auto"/>
          <w:sz w:val="28"/>
          <w:szCs w:val="28"/>
          <w:highlight w:val="none"/>
          <w:lang w:val="en-US" w:eastAsia="zh-CN"/>
        </w:rPr>
        <w:t>适用于所有其他服务类分标</w:t>
      </w:r>
      <w:r>
        <w:rPr>
          <w:rFonts w:hint="eastAsia" w:ascii="仿宋_GB2312" w:hAnsi="黑体" w:eastAsia="仿宋_GB2312" w:cs="Times New Roman"/>
          <w:b/>
          <w:bCs/>
          <w:color w:val="auto"/>
          <w:sz w:val="28"/>
          <w:szCs w:val="28"/>
          <w:highlight w:val="none"/>
          <w:lang w:eastAsia="zh-CN"/>
        </w:rPr>
        <w:t>）</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871"/>
        <w:gridCol w:w="1266"/>
        <w:gridCol w:w="5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blHeader/>
          <w:jc w:val="center"/>
        </w:trPr>
        <w:tc>
          <w:tcPr>
            <w:tcW w:w="676"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序号</w:t>
            </w:r>
          </w:p>
        </w:tc>
        <w:tc>
          <w:tcPr>
            <w:tcW w:w="1440"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项目</w:t>
            </w:r>
          </w:p>
        </w:tc>
        <w:tc>
          <w:tcPr>
            <w:tcW w:w="2182"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评审内容及分值</w:t>
            </w:r>
          </w:p>
        </w:tc>
        <w:tc>
          <w:tcPr>
            <w:tcW w:w="10523" w:type="dxa"/>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项目内容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Merge w:val="restart"/>
            <w:vAlign w:val="center"/>
          </w:tcPr>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color w:val="auto"/>
                <w:kern w:val="0"/>
                <w:sz w:val="21"/>
                <w:szCs w:val="21"/>
                <w:highlight w:val="none"/>
                <w:lang w:bidi="ar"/>
              </w:rPr>
              <w:t>1</w:t>
            </w:r>
          </w:p>
        </w:tc>
        <w:tc>
          <w:tcPr>
            <w:tcW w:w="1440" w:type="dxa"/>
            <w:vMerge w:val="restart"/>
            <w:vAlign w:val="center"/>
          </w:tcPr>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企业实力</w:t>
            </w:r>
          </w:p>
          <w:p>
            <w:pPr>
              <w:rPr>
                <w:rFonts w:hint="eastAsia" w:ascii="宋体" w:hAnsi="宋体" w:eastAsia="宋体" w:cs="宋体"/>
                <w:color w:val="auto"/>
                <w:sz w:val="21"/>
                <w:szCs w:val="21"/>
                <w:highlight w:val="none"/>
              </w:rPr>
            </w:pPr>
            <w:r>
              <w:rPr>
                <w:rFonts w:hint="eastAsia" w:ascii="宋体" w:hAnsi="宋体" w:eastAsia="宋体" w:cs="宋体"/>
                <w:b/>
                <w:bCs/>
                <w:color w:val="auto"/>
                <w:kern w:val="0"/>
                <w:sz w:val="21"/>
                <w:szCs w:val="21"/>
                <w:highlight w:val="none"/>
              </w:rPr>
              <w:t>（35分）</w:t>
            </w:r>
          </w:p>
          <w:p>
            <w:pPr>
              <w:widowControl/>
              <w:jc w:val="center"/>
              <w:textAlignment w:val="center"/>
              <w:rPr>
                <w:rFonts w:hint="eastAsia" w:ascii="宋体" w:hAnsi="宋体" w:eastAsia="宋体" w:cs="宋体"/>
                <w:b/>
                <w:bCs/>
                <w:color w:val="auto"/>
                <w:sz w:val="21"/>
                <w:szCs w:val="21"/>
                <w:highlight w:val="none"/>
              </w:rPr>
            </w:pPr>
          </w:p>
        </w:tc>
        <w:tc>
          <w:tcPr>
            <w:tcW w:w="218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信誉评价（20分）</w:t>
            </w:r>
          </w:p>
        </w:tc>
        <w:tc>
          <w:tcPr>
            <w:tcW w:w="10523" w:type="dxa"/>
            <w:vAlign w:val="center"/>
          </w:tcPr>
          <w:p>
            <w:pPr>
              <w:widowControl/>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企业信誉及业主单位评价优秀。（20分）</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企业信誉及业主单位评价良好。（18分）</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企业信誉及业主单位评价一般。（16分）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sz w:val="21"/>
                <w:szCs w:val="21"/>
                <w:highlight w:val="none"/>
              </w:rPr>
            </w:pPr>
          </w:p>
        </w:tc>
        <w:tc>
          <w:tcPr>
            <w:tcW w:w="2182" w:type="dxa"/>
            <w:vAlign w:val="center"/>
          </w:tcPr>
          <w:p>
            <w:pPr>
              <w:adjustRightInd w:val="0"/>
              <w:snapToGrid w:val="0"/>
              <w:spacing w:before="66" w:after="66"/>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获奖（10分）</w:t>
            </w:r>
          </w:p>
        </w:tc>
        <w:tc>
          <w:tcPr>
            <w:tcW w:w="10523"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获奖情况：</w:t>
            </w:r>
            <w:r>
              <w:rPr>
                <w:rFonts w:hint="eastAsia" w:ascii="宋体" w:hAnsi="宋体" w:eastAsia="宋体" w:cs="宋体"/>
                <w:color w:val="auto"/>
                <w:sz w:val="21"/>
                <w:szCs w:val="21"/>
                <w:highlight w:val="none"/>
                <w:lang w:bidi="ar"/>
              </w:rPr>
              <w:t>500kV及以上，或±400kV及以上</w:t>
            </w:r>
            <w:r>
              <w:rPr>
                <w:rFonts w:hint="eastAsia" w:ascii="宋体" w:hAnsi="宋体" w:eastAsia="宋体" w:cs="宋体"/>
                <w:color w:val="auto"/>
                <w:kern w:val="0"/>
                <w:sz w:val="21"/>
                <w:szCs w:val="21"/>
                <w:highlight w:val="none"/>
                <w:lang w:bidi="ar"/>
              </w:rPr>
              <w:t>同类工程在开标截止日前三年内每获国家级奖5分；每获省部级（行业级）奖2分。同一工程只计一次获奖，得满为止。（10分）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企业创新获奖（5分）</w:t>
            </w:r>
          </w:p>
        </w:tc>
        <w:tc>
          <w:tcPr>
            <w:tcW w:w="1052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投标截止日近3年企业取得过国家级科技创新成果的，得5分；</w:t>
            </w:r>
          </w:p>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投标截止日近3年企业取得过省级科技创新成果的，得3分；</w:t>
            </w:r>
          </w:p>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投标截止日近3年企业取得过其他级别创新成果的，得1分；</w:t>
            </w:r>
          </w:p>
          <w:p>
            <w:pP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投标截止日近3年企业未取得任何级别创新成果的，得0分。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Align w:val="center"/>
          </w:tcPr>
          <w:p>
            <w:pPr>
              <w:widowControl/>
              <w:jc w:val="center"/>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2</w:t>
            </w:r>
          </w:p>
        </w:tc>
        <w:tc>
          <w:tcPr>
            <w:tcW w:w="1440" w:type="dxa"/>
            <w:vAlign w:val="center"/>
          </w:tcPr>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报价评价</w:t>
            </w:r>
          </w:p>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（40分）</w:t>
            </w:r>
          </w:p>
        </w:tc>
        <w:tc>
          <w:tcPr>
            <w:tcW w:w="2182" w:type="dxa"/>
            <w:vAlign w:val="center"/>
          </w:tcPr>
          <w:p>
            <w:pPr>
              <w:widowControl/>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报价质量评价（40分）</w:t>
            </w:r>
          </w:p>
        </w:tc>
        <w:tc>
          <w:tcPr>
            <w:tcW w:w="10523" w:type="dxa"/>
            <w:vAlign w:val="center"/>
          </w:tcPr>
          <w:p>
            <w:pPr>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符合国家现行有关规定和招标文件规定，报价清晰、数据完整。（39-40分）</w:t>
            </w:r>
          </w:p>
          <w:p>
            <w:pPr>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符合国家现行有关规定和招标文件规定，报价较清晰、数据较完整。（37-38分）</w:t>
            </w:r>
          </w:p>
          <w:p>
            <w:pPr>
              <w:widowControl/>
              <w:jc w:val="left"/>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符合国家现行有关规定和招标文件规定，提供</w:t>
            </w:r>
            <w:r>
              <w:rPr>
                <w:rFonts w:hint="eastAsia" w:ascii="宋体" w:hAnsi="宋体" w:eastAsia="宋体" w:cs="宋体"/>
                <w:color w:val="auto"/>
                <w:sz w:val="21"/>
                <w:szCs w:val="21"/>
                <w:highlight w:val="none"/>
                <w:lang w:bidi="ar"/>
              </w:rPr>
              <w:t>报价及数据</w:t>
            </w:r>
            <w:r>
              <w:rPr>
                <w:rFonts w:hint="eastAsia" w:ascii="宋体" w:hAnsi="宋体" w:eastAsia="宋体" w:cs="宋体"/>
                <w:color w:val="auto"/>
                <w:sz w:val="21"/>
                <w:szCs w:val="21"/>
                <w:highlight w:val="none"/>
              </w:rPr>
              <w:t>。（36分）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Merge w:val="restart"/>
            <w:vAlign w:val="center"/>
          </w:tcPr>
          <w:p>
            <w:pPr>
              <w:widowControl/>
              <w:jc w:val="center"/>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2</w:t>
            </w:r>
          </w:p>
        </w:tc>
        <w:tc>
          <w:tcPr>
            <w:tcW w:w="1440" w:type="dxa"/>
            <w:vMerge w:val="restart"/>
            <w:vAlign w:val="center"/>
          </w:tcPr>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报价评价</w:t>
            </w:r>
          </w:p>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（40分）</w:t>
            </w:r>
          </w:p>
          <w:p>
            <w:pPr>
              <w:widowControl/>
              <w:jc w:val="center"/>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仅适用结算审核分标</w:t>
            </w:r>
          </w:p>
        </w:tc>
        <w:tc>
          <w:tcPr>
            <w:tcW w:w="2182" w:type="dxa"/>
            <w:vAlign w:val="center"/>
          </w:tcPr>
          <w:p>
            <w:pPr>
              <w:widowControl/>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报价质量评价（30分）</w:t>
            </w:r>
          </w:p>
        </w:tc>
        <w:tc>
          <w:tcPr>
            <w:tcW w:w="10523" w:type="dxa"/>
            <w:vAlign w:val="center"/>
          </w:tcPr>
          <w:p>
            <w:pPr>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符合国家现行有关规定和招标文件规定，报价清晰、数据完整。（28-30分）</w:t>
            </w:r>
          </w:p>
          <w:p>
            <w:pPr>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符合国家现行有关规定和招标文件规定，报价较清晰、数据较完整。（25-27分）</w:t>
            </w:r>
          </w:p>
          <w:p>
            <w:pPr>
              <w:widowControl/>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符合国家现行有关规定和招标文件规定，提供</w:t>
            </w:r>
            <w:r>
              <w:rPr>
                <w:rFonts w:hint="eastAsia" w:ascii="宋体" w:hAnsi="宋体" w:eastAsia="宋体" w:cs="宋体"/>
                <w:color w:val="auto"/>
                <w:sz w:val="21"/>
                <w:szCs w:val="21"/>
                <w:highlight w:val="none"/>
                <w:lang w:bidi="ar"/>
              </w:rPr>
              <w:t>报价及数据</w:t>
            </w:r>
            <w:r>
              <w:rPr>
                <w:rFonts w:hint="eastAsia" w:ascii="宋体" w:hAnsi="宋体" w:eastAsia="宋体" w:cs="宋体"/>
                <w:color w:val="auto"/>
                <w:sz w:val="21"/>
                <w:szCs w:val="21"/>
                <w:highlight w:val="none"/>
              </w:rPr>
              <w:t>。（24分）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rPr>
                <w:rFonts w:hint="eastAsia" w:ascii="宋体" w:hAnsi="宋体" w:eastAsia="宋体" w:cs="宋体"/>
                <w:b/>
                <w:bCs/>
                <w:color w:val="auto"/>
                <w:kern w:val="0"/>
                <w:sz w:val="21"/>
                <w:szCs w:val="21"/>
                <w:highlight w:val="none"/>
              </w:rPr>
            </w:pPr>
          </w:p>
        </w:tc>
        <w:tc>
          <w:tcPr>
            <w:tcW w:w="2182" w:type="dxa"/>
            <w:vAlign w:val="center"/>
          </w:tcPr>
          <w:p>
            <w:pPr>
              <w:widowControl/>
              <w:jc w:val="center"/>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效益收费费率情况</w:t>
            </w:r>
          </w:p>
          <w:p>
            <w:pPr>
              <w:widowControl/>
              <w:jc w:val="center"/>
              <w:textAlignment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bidi="ar"/>
              </w:rPr>
              <w:t>（10分）</w:t>
            </w:r>
          </w:p>
        </w:tc>
        <w:tc>
          <w:tcPr>
            <w:tcW w:w="10523" w:type="dxa"/>
            <w:vAlign w:val="center"/>
          </w:tcPr>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 xml:space="preserve">投标人效益收费费率得分按算术平均值下浮法计算（百分制），再乘以“效益收费费率情况”打分项占商务评分的权重: </w:t>
            </w:r>
          </w:p>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效益收费费率得分=100-100×n×（|投标人的效益收费费率-基准费率|/基准费率），四舍五入取小数点后两位。</w:t>
            </w:r>
          </w:p>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当投标人的效益收费费率≤基准费率时，n=1；</w:t>
            </w:r>
          </w:p>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当投标人的效益收费费率＞基准费率时，n=2。</w:t>
            </w:r>
          </w:p>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备注：</w:t>
            </w:r>
          </w:p>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基准费率为所有通过技术、商务评审的合格投标人的效益收费费率去掉部分高值和部分低值后（但不影响其参与费率得分计算）的算术平均值×（1-下浮系数），下浮系数与价格计分算法中的下浮系数一致。</w:t>
            </w:r>
          </w:p>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其中计算基准费率时，需要去除的投标效益收费费率情况如下：</w:t>
            </w:r>
          </w:p>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合格投标数量≤5时，直接计算；</w:t>
            </w:r>
          </w:p>
          <w:p>
            <w:pPr>
              <w:widowControl/>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合格投标数量=6时，去掉一个最高价；</w:t>
            </w:r>
          </w:p>
          <w:p>
            <w:pPr>
              <w:widowControl/>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合格投标数量≥7时，去掉一个最高价、一个最低价。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676" w:type="dxa"/>
            <w:vMerge w:val="restart"/>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w:t>
            </w:r>
          </w:p>
        </w:tc>
        <w:tc>
          <w:tcPr>
            <w:tcW w:w="1440" w:type="dxa"/>
            <w:vMerge w:val="restart"/>
            <w:vAlign w:val="center"/>
          </w:tcPr>
          <w:p>
            <w:pPr>
              <w:widowControl/>
              <w:jc w:val="center"/>
              <w:textAlignment w:val="center"/>
              <w:rPr>
                <w:rFonts w:hint="eastAsia" w:ascii="宋体" w:hAnsi="宋体" w:eastAsia="宋体" w:cs="宋体"/>
                <w:b/>
                <w:bCs/>
                <w:color w:val="auto"/>
                <w:kern w:val="0"/>
                <w:sz w:val="21"/>
                <w:szCs w:val="21"/>
                <w:highlight w:val="none"/>
                <w:lang w:bidi="ar"/>
              </w:rPr>
            </w:pPr>
            <w:r>
              <w:rPr>
                <w:rFonts w:hint="eastAsia" w:ascii="宋体" w:hAnsi="宋体" w:eastAsia="宋体" w:cs="宋体"/>
                <w:b/>
                <w:bCs/>
                <w:color w:val="auto"/>
                <w:kern w:val="0"/>
                <w:sz w:val="21"/>
                <w:szCs w:val="21"/>
                <w:highlight w:val="none"/>
                <w:lang w:bidi="ar"/>
              </w:rPr>
              <w:t>综合评价</w:t>
            </w:r>
          </w:p>
          <w:p>
            <w:pPr>
              <w:widowControl/>
              <w:jc w:val="center"/>
              <w:textAlignment w:val="center"/>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（25分）</w:t>
            </w:r>
          </w:p>
        </w:tc>
        <w:tc>
          <w:tcPr>
            <w:tcW w:w="218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对招标文件的响应程度（22分）</w:t>
            </w:r>
          </w:p>
        </w:tc>
        <w:tc>
          <w:tcPr>
            <w:tcW w:w="10523" w:type="dxa"/>
            <w:vAlign w:val="center"/>
          </w:tcPr>
          <w:p>
            <w:pPr>
              <w:widowControl/>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完全响应：提交了完整的商务投标文件且整体情况优秀。（22分）</w:t>
            </w:r>
            <w:r>
              <w:rPr>
                <w:rFonts w:hint="eastAsia" w:ascii="宋体" w:hAnsi="宋体" w:eastAsia="宋体" w:cs="宋体"/>
                <w:color w:val="auto"/>
                <w:sz w:val="21"/>
                <w:szCs w:val="21"/>
                <w:highlight w:val="none"/>
              </w:rPr>
              <w:br w:type="textWrapping"/>
            </w:r>
            <w:r>
              <w:rPr>
                <w:rFonts w:hint="eastAsia" w:ascii="宋体" w:hAnsi="宋体" w:eastAsia="宋体" w:cs="宋体"/>
                <w:color w:val="auto"/>
                <w:sz w:val="21"/>
                <w:szCs w:val="21"/>
                <w:highlight w:val="none"/>
              </w:rPr>
              <w:t>基本响应：提交了基本完整的商务投标文件且整体情况较好。（20分）</w:t>
            </w:r>
            <w:r>
              <w:rPr>
                <w:rFonts w:hint="eastAsia" w:ascii="宋体" w:hAnsi="宋体" w:eastAsia="宋体" w:cs="宋体"/>
                <w:color w:val="auto"/>
                <w:sz w:val="21"/>
                <w:szCs w:val="21"/>
                <w:highlight w:val="none"/>
              </w:rPr>
              <w:br w:type="textWrapping"/>
            </w:r>
            <w:r>
              <w:rPr>
                <w:rFonts w:hint="eastAsia" w:ascii="宋体" w:hAnsi="宋体" w:eastAsia="宋体" w:cs="宋体"/>
                <w:color w:val="auto"/>
                <w:sz w:val="21"/>
                <w:szCs w:val="21"/>
                <w:highlight w:val="none"/>
              </w:rPr>
              <w:t>部分响应：提交的商务投标文件且整体情况一般。（18分）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676"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textAlignment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lang w:bidi="ar"/>
              </w:rPr>
              <w:t>绿电绿证</w:t>
            </w:r>
            <w:r>
              <w:rPr>
                <w:rFonts w:hint="eastAsia" w:ascii="宋体" w:hAnsi="宋体" w:eastAsia="宋体" w:cs="宋体"/>
                <w:color w:val="auto"/>
                <w:kern w:val="0"/>
                <w:sz w:val="21"/>
                <w:szCs w:val="21"/>
                <w:highlight w:val="none"/>
                <w:lang w:bidi="ar"/>
              </w:rPr>
              <w:br w:type="textWrapping"/>
            </w:r>
            <w:r>
              <w:rPr>
                <w:rFonts w:hint="eastAsia" w:ascii="宋体" w:hAnsi="宋体" w:eastAsia="宋体" w:cs="宋体"/>
                <w:color w:val="auto"/>
                <w:kern w:val="0"/>
                <w:sz w:val="21"/>
                <w:szCs w:val="21"/>
                <w:highlight w:val="none"/>
                <w:lang w:bidi="ar"/>
              </w:rPr>
              <w:t>（3分）</w:t>
            </w:r>
          </w:p>
        </w:tc>
        <w:tc>
          <w:tcPr>
            <w:tcW w:w="10523" w:type="dxa"/>
            <w:vAlign w:val="center"/>
          </w:tcPr>
          <w:p>
            <w:pPr>
              <w:widowControl/>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对投标人取得绿色电力证书情况进行评价，取得证书或凭证的得【3分】；未取得的得【0分】。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restart"/>
            <w:noWrap/>
            <w:vAlign w:val="center"/>
          </w:tcPr>
          <w:p>
            <w:pPr>
              <w:widowControl/>
              <w:jc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4</w:t>
            </w:r>
          </w:p>
        </w:tc>
        <w:tc>
          <w:tcPr>
            <w:tcW w:w="1440" w:type="dxa"/>
            <w:vMerge w:val="restart"/>
            <w:vAlign w:val="center"/>
          </w:tcPr>
          <w:p>
            <w:pPr>
              <w:widowControl/>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bidi="ar"/>
              </w:rPr>
              <w:t>诚信评价</w:t>
            </w:r>
          </w:p>
        </w:tc>
        <w:tc>
          <w:tcPr>
            <w:tcW w:w="2182" w:type="dxa"/>
            <w:vAlign w:val="center"/>
          </w:tcPr>
          <w:p>
            <w:pPr>
              <w:widowControl/>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投标报价一致性（-20-0分）</w:t>
            </w:r>
          </w:p>
        </w:tc>
        <w:tc>
          <w:tcPr>
            <w:tcW w:w="10523" w:type="dxa"/>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bidi="ar"/>
              </w:rPr>
              <w:t>对于满足以下任一条件的投标人组合：①本项目下累计出现3包次及以上投标总价完全一致；②连续2个及以上批次出现投标总价价格完全一致。处理方式：该投标人组合中的各方在当批该组合出现价格一致情况的分标中扣减商务分，扣减分值为每出现一包次价格一致情况扣5分（计算该组合累计包次），封顶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rPr>
                <w:rFonts w:hint="eastAsia" w:ascii="宋体" w:hAnsi="宋体" w:eastAsia="宋体" w:cs="宋体"/>
                <w:color w:val="auto"/>
                <w:kern w:val="0"/>
                <w:sz w:val="21"/>
                <w:szCs w:val="21"/>
                <w:highlight w:val="none"/>
              </w:rPr>
            </w:pPr>
          </w:p>
        </w:tc>
        <w:tc>
          <w:tcPr>
            <w:tcW w:w="1440" w:type="dxa"/>
            <w:vMerge w:val="continue"/>
            <w:vAlign w:val="center"/>
          </w:tcPr>
          <w:p>
            <w:pPr>
              <w:widowControl/>
              <w:jc w:val="center"/>
              <w:rPr>
                <w:rFonts w:hint="eastAsia" w:ascii="宋体" w:hAnsi="宋体" w:eastAsia="宋体" w:cs="宋体"/>
                <w:b/>
                <w:bCs/>
                <w:color w:val="auto"/>
                <w:sz w:val="21"/>
                <w:szCs w:val="21"/>
                <w:highlight w:val="none"/>
                <w:lang w:bidi="ar"/>
              </w:rPr>
            </w:pPr>
          </w:p>
        </w:tc>
        <w:tc>
          <w:tcPr>
            <w:tcW w:w="2182" w:type="dxa"/>
            <w:vMerge w:val="restart"/>
            <w:vAlign w:val="center"/>
          </w:tcPr>
          <w:p>
            <w:pPr>
              <w:widowControl/>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质量管理与保证（-30分）</w:t>
            </w:r>
          </w:p>
          <w:p>
            <w:pPr>
              <w:widowControl/>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（仅适用施工、监理分标）</w:t>
            </w:r>
          </w:p>
        </w:tc>
        <w:tc>
          <w:tcPr>
            <w:tcW w:w="1052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安全事故指标考核（15分）。一年内发生一般人身、设备及电网事故（四级人身、设备、电网安全事件），每次扣5分；二年内发生较大人身、设备及电网事故（三级人身、设备、电网安全事件），每次扣10分，</w:t>
            </w:r>
            <w:r>
              <w:rPr>
                <w:rFonts w:hint="eastAsia" w:ascii="宋体" w:hAnsi="宋体" w:eastAsia="宋体" w:cs="宋体"/>
                <w:color w:val="auto"/>
                <w:kern w:val="0"/>
                <w:sz w:val="21"/>
                <w:szCs w:val="21"/>
                <w:highlight w:val="none"/>
                <w:lang w:bidi="ar"/>
              </w:rPr>
              <w:t>封顶15分</w:t>
            </w:r>
            <w:r>
              <w:rPr>
                <w:rFonts w:hint="eastAsia" w:ascii="宋体" w:hAnsi="宋体" w:eastAsia="宋体" w:cs="宋体"/>
                <w:color w:val="auto"/>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rPr>
                <w:rFonts w:hint="eastAsia" w:ascii="宋体" w:hAnsi="宋体" w:eastAsia="宋体" w:cs="宋体"/>
                <w:color w:val="auto"/>
                <w:kern w:val="0"/>
                <w:sz w:val="21"/>
                <w:szCs w:val="21"/>
                <w:highlight w:val="none"/>
              </w:rPr>
            </w:pPr>
          </w:p>
        </w:tc>
        <w:tc>
          <w:tcPr>
            <w:tcW w:w="1440" w:type="dxa"/>
            <w:vMerge w:val="continue"/>
            <w:vAlign w:val="center"/>
          </w:tcPr>
          <w:p>
            <w:pPr>
              <w:widowControl/>
              <w:jc w:val="center"/>
              <w:rPr>
                <w:rFonts w:hint="eastAsia" w:ascii="宋体" w:hAnsi="宋体" w:eastAsia="宋体" w:cs="宋体"/>
                <w:b/>
                <w:bCs/>
                <w:color w:val="auto"/>
                <w:sz w:val="21"/>
                <w:szCs w:val="21"/>
                <w:highlight w:val="none"/>
                <w:lang w:bidi="ar"/>
              </w:rPr>
            </w:pPr>
          </w:p>
        </w:tc>
        <w:tc>
          <w:tcPr>
            <w:tcW w:w="2182" w:type="dxa"/>
            <w:vMerge w:val="continue"/>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0523" w:type="dxa"/>
            <w:vAlign w:val="center"/>
          </w:tcPr>
          <w:p>
            <w:pPr>
              <w:widowControl/>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质量事件指标考核（15分）。一年内发生一般质量事故（四级质量事件），每次扣5分；二年内发生较大质量事故（三级质量事件），扣10分，</w:t>
            </w:r>
            <w:r>
              <w:rPr>
                <w:rFonts w:hint="eastAsia" w:ascii="宋体" w:hAnsi="宋体" w:eastAsia="宋体" w:cs="宋体"/>
                <w:color w:val="auto"/>
                <w:kern w:val="0"/>
                <w:sz w:val="21"/>
                <w:szCs w:val="21"/>
                <w:highlight w:val="none"/>
                <w:lang w:bidi="ar"/>
              </w:rPr>
              <w:t>封顶15分</w:t>
            </w:r>
            <w:r>
              <w:rPr>
                <w:rFonts w:hint="eastAsia" w:ascii="宋体" w:hAnsi="宋体" w:eastAsia="宋体" w:cs="宋体"/>
                <w:color w:val="auto"/>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lang w:bidi="ar"/>
              </w:rPr>
              <w:t>不良行为（-30-0）</w:t>
            </w:r>
          </w:p>
        </w:tc>
        <w:tc>
          <w:tcPr>
            <w:tcW w:w="10523" w:type="dxa"/>
            <w:vAlign w:val="center"/>
          </w:tcPr>
          <w:p>
            <w:pPr>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不存在《国家电网有限公司供应商关系管理办法》中规定的不良行为；或存在《国家电网有限公司供应商关系管理办法》中规定的不良行为，但最近一次受到供应商不良行为处理解除之日，距离投标截止日超过1年，不扣分；</w:t>
            </w:r>
          </w:p>
          <w:p>
            <w:pPr>
              <w:jc w:val="left"/>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至本项目投标截止日，存在《国家电网有限公司供应商关系管理办法》中规定的不良行为，且最近一次受到供应商不良行为处理解除之日，距离投标截止日1年以内（含），扣减15分；其中，存在行贿行为的，扣减30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失信行为（-10-0）</w:t>
            </w:r>
          </w:p>
        </w:tc>
        <w:tc>
          <w:tcPr>
            <w:tcW w:w="10523" w:type="dxa"/>
            <w:vAlign w:val="center"/>
          </w:tcPr>
          <w:p>
            <w:pPr>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不存在失信行为相关行政处罚的【不扣分】；</w:t>
            </w:r>
          </w:p>
          <w:p>
            <w:pPr>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存在属质量、诚信问题以外的行政处罚，例如环境行政处罚，扣5分；</w:t>
            </w:r>
          </w:p>
          <w:p>
            <w:pPr>
              <w:widowControl/>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存在属质量、诚信问题的行政处罚，且未纳入失信黑名单；扣10分。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违规行为（-20-0）</w:t>
            </w:r>
          </w:p>
        </w:tc>
        <w:tc>
          <w:tcPr>
            <w:tcW w:w="10523" w:type="dxa"/>
            <w:vAlign w:val="center"/>
          </w:tcPr>
          <w:p>
            <w:pPr>
              <w:widowControl/>
              <w:adjustRightInd w:val="0"/>
              <w:snapToGrid w:val="0"/>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投标截止日近一年内，经招标人查证核实，投标人存在可能影响招投标工作公正性行为的，扣20分；无上述行为的，不扣分。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76" w:type="dxa"/>
            <w:vMerge w:val="continue"/>
            <w:noWrap/>
            <w:vAlign w:val="center"/>
          </w:tcPr>
          <w:p>
            <w:pPr>
              <w:widowControl/>
              <w:jc w:val="center"/>
              <w:textAlignment w:val="center"/>
              <w:rPr>
                <w:rFonts w:hint="eastAsia" w:ascii="宋体" w:hAnsi="宋体" w:eastAsia="宋体" w:cs="宋体"/>
                <w:color w:val="auto"/>
                <w:kern w:val="0"/>
                <w:sz w:val="21"/>
                <w:szCs w:val="21"/>
                <w:highlight w:val="none"/>
                <w:lang w:bidi="ar"/>
              </w:rPr>
            </w:pPr>
          </w:p>
        </w:tc>
        <w:tc>
          <w:tcPr>
            <w:tcW w:w="1440" w:type="dxa"/>
            <w:vMerge w:val="continue"/>
            <w:vAlign w:val="center"/>
          </w:tcPr>
          <w:p>
            <w:pPr>
              <w:widowControl/>
              <w:jc w:val="center"/>
              <w:textAlignment w:val="center"/>
              <w:rPr>
                <w:rFonts w:hint="eastAsia" w:ascii="宋体" w:hAnsi="宋体" w:eastAsia="宋体" w:cs="宋体"/>
                <w:b/>
                <w:bCs/>
                <w:color w:val="auto"/>
                <w:kern w:val="0"/>
                <w:sz w:val="21"/>
                <w:szCs w:val="21"/>
                <w:highlight w:val="none"/>
                <w:lang w:bidi="ar"/>
              </w:rPr>
            </w:pPr>
          </w:p>
        </w:tc>
        <w:tc>
          <w:tcPr>
            <w:tcW w:w="2182" w:type="dxa"/>
            <w:vAlign w:val="center"/>
          </w:tcPr>
          <w:p>
            <w:pPr>
              <w:widowControl/>
              <w:jc w:val="center"/>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负面事件影响评价（-50-0）</w:t>
            </w:r>
          </w:p>
        </w:tc>
        <w:tc>
          <w:tcPr>
            <w:tcW w:w="10523" w:type="dxa"/>
            <w:vAlign w:val="center"/>
          </w:tcPr>
          <w:p>
            <w:pPr>
              <w:widowControl/>
              <w:jc w:val="left"/>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投标人发生重大负面事件或其他情形造成不良社会影响；以及不当行为可能带来破坏市场公平竞争秩序风险，根据严重程度扣10-50分；</w:t>
            </w:r>
          </w:p>
          <w:p>
            <w:pPr>
              <w:widowControl/>
              <w:jc w:val="left"/>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无上述情形的，不扣分。</w:t>
            </w:r>
          </w:p>
        </w:tc>
      </w:tr>
    </w:tbl>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注：</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1. 同一工程获奖只计最高奖。</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2. 获奖时间以获奖证书颁发日期为准。</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3. 对于联合体投标，评分以牵头方为依据。</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4.</w:t>
      </w:r>
      <w:r>
        <w:rPr>
          <w:rFonts w:hint="eastAsia" w:ascii="宋体" w:hAnsi="宋体" w:eastAsia="宋体" w:cs="Times New Roman"/>
          <w:color w:val="auto"/>
          <w:szCs w:val="21"/>
          <w:highlight w:val="none"/>
        </w:rPr>
        <w:t>评分标准中“</w:t>
      </w:r>
      <w:r>
        <w:rPr>
          <w:rFonts w:hint="eastAsia" w:ascii="宋体" w:hAnsi="宋体" w:eastAsia="宋体" w:cs="宋体"/>
          <w:color w:val="auto"/>
          <w:sz w:val="21"/>
          <w:szCs w:val="21"/>
          <w:highlight w:val="none"/>
          <w:lang w:bidi="ar"/>
        </w:rPr>
        <w:t>投标截止日</w:t>
      </w:r>
      <w:r>
        <w:rPr>
          <w:rFonts w:hint="eastAsia" w:ascii="宋体" w:hAnsi="宋体" w:eastAsia="宋体" w:cs="Times New Roman"/>
          <w:color w:val="auto"/>
          <w:szCs w:val="21"/>
          <w:highlight w:val="none"/>
        </w:rPr>
        <w:t>近3年”是指“开标日（即投标截止时间当日）前3个自然年”。</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5.同类工程是指符合本次招标业绩要求范围的项目。新建变电工程业绩含：新建变电站（开关站）、新建换流站（柔直换流站）；新建线路工程业绩含：新建线路工程；扩建变电工程业绩仅含：扩建、更换变压器工程；改建线路工程业绩仅含：完整线路工程。</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 xml:space="preserve">6. </w:t>
      </w:r>
      <w:r>
        <w:rPr>
          <w:rFonts w:hint="eastAsia" w:ascii="宋体" w:hAnsi="宋体" w:eastAsia="宋体" w:cs="宋体"/>
          <w:color w:val="auto"/>
          <w:szCs w:val="21"/>
          <w:highlight w:val="none"/>
          <w:lang w:bidi="ar"/>
        </w:rPr>
        <w:t>获奖情况说明</w:t>
      </w:r>
      <w:r>
        <w:rPr>
          <w:rFonts w:hint="eastAsia" w:ascii="宋体" w:hAnsi="宋体" w:eastAsia="宋体"/>
          <w:color w:val="auto"/>
          <w:szCs w:val="21"/>
          <w:highlight w:val="none"/>
        </w:rPr>
        <w:t>：工程获奖奖项若未体现投标人单位，请提供参与此工程项目的证明材料，包括但不限于合同关键页（包括封面、合同协议书、签署页（含签署日期）等）。</w:t>
      </w:r>
      <w:r>
        <w:rPr>
          <w:rFonts w:hint="eastAsia" w:ascii="宋体" w:hAnsi="宋体" w:eastAsia="宋体" w:cs="宋体"/>
          <w:color w:val="auto"/>
          <w:szCs w:val="21"/>
          <w:highlight w:val="none"/>
          <w:lang w:bidi="ar"/>
        </w:rPr>
        <w:t>（</w:t>
      </w:r>
      <w:r>
        <w:rPr>
          <w:rFonts w:hint="eastAsia" w:ascii="宋体" w:hAnsi="宋体" w:eastAsia="宋体"/>
          <w:color w:val="auto"/>
          <w:szCs w:val="21"/>
          <w:highlight w:val="none"/>
        </w:rPr>
        <w:t>仅适用于水土保持监理服务、环境监理服务、环评水保分标</w:t>
      </w:r>
      <w:r>
        <w:rPr>
          <w:rFonts w:hint="eastAsia" w:ascii="宋体" w:hAnsi="宋体" w:eastAsia="宋体" w:cs="宋体"/>
          <w:color w:val="auto"/>
          <w:szCs w:val="21"/>
          <w:highlight w:val="none"/>
          <w:lang w:bidi="ar"/>
        </w:rPr>
        <w:t>）</w:t>
      </w:r>
    </w:p>
    <w:p>
      <w:pPr>
        <w:adjustRightInd w:val="0"/>
        <w:snapToGrid w:val="0"/>
        <w:spacing w:line="300" w:lineRule="auto"/>
        <w:rPr>
          <w:rFonts w:ascii="宋体" w:hAnsi="宋体" w:eastAsia="宋体"/>
          <w:color w:val="auto"/>
          <w:szCs w:val="21"/>
          <w:highlight w:val="none"/>
        </w:rPr>
      </w:pPr>
      <w:r>
        <w:rPr>
          <w:rFonts w:hint="eastAsia" w:ascii="宋体" w:hAnsi="宋体" w:eastAsia="宋体"/>
          <w:color w:val="auto"/>
          <w:szCs w:val="21"/>
          <w:highlight w:val="none"/>
        </w:rPr>
        <w:t>7.有效奖项及级别见下表：</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2219"/>
        <w:gridCol w:w="999"/>
        <w:gridCol w:w="4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18" w:type="dxa"/>
            <w:vAlign w:val="center"/>
          </w:tcPr>
          <w:p>
            <w:pPr>
              <w:widowControl/>
              <w:jc w:val="center"/>
              <w:rPr>
                <w:rFonts w:ascii="Times New Roman" w:hAnsi="Times New Roman" w:eastAsia="宋体" w:cs="宋体"/>
                <w:b/>
                <w:bCs/>
                <w:color w:val="auto"/>
                <w:kern w:val="0"/>
                <w:szCs w:val="21"/>
                <w:highlight w:val="none"/>
              </w:rPr>
            </w:pPr>
            <w:r>
              <w:rPr>
                <w:rFonts w:hint="eastAsia" w:ascii="Times New Roman" w:hAnsi="Times New Roman" w:eastAsia="宋体" w:cs="宋体"/>
                <w:b/>
                <w:bCs/>
                <w:color w:val="auto"/>
                <w:kern w:val="0"/>
                <w:szCs w:val="21"/>
                <w:highlight w:val="none"/>
              </w:rPr>
              <w:t>序号</w:t>
            </w:r>
          </w:p>
        </w:tc>
        <w:tc>
          <w:tcPr>
            <w:tcW w:w="3708" w:type="dxa"/>
            <w:vAlign w:val="center"/>
          </w:tcPr>
          <w:p>
            <w:pPr>
              <w:widowControl/>
              <w:jc w:val="center"/>
              <w:rPr>
                <w:rFonts w:ascii="Times New Roman" w:hAnsi="Times New Roman" w:eastAsia="宋体" w:cs="宋体"/>
                <w:b/>
                <w:bCs/>
                <w:color w:val="auto"/>
                <w:kern w:val="0"/>
                <w:szCs w:val="21"/>
                <w:highlight w:val="none"/>
              </w:rPr>
            </w:pPr>
            <w:r>
              <w:rPr>
                <w:rFonts w:hint="eastAsia" w:ascii="Times New Roman" w:hAnsi="Times New Roman" w:eastAsia="宋体" w:cs="宋体"/>
                <w:b/>
                <w:bCs/>
                <w:color w:val="auto"/>
                <w:kern w:val="0"/>
                <w:szCs w:val="21"/>
                <w:highlight w:val="none"/>
              </w:rPr>
              <w:t>奖项</w:t>
            </w:r>
          </w:p>
        </w:tc>
        <w:tc>
          <w:tcPr>
            <w:tcW w:w="1578" w:type="dxa"/>
            <w:vAlign w:val="center"/>
          </w:tcPr>
          <w:p>
            <w:pPr>
              <w:widowControl/>
              <w:jc w:val="center"/>
              <w:rPr>
                <w:rFonts w:ascii="Times New Roman" w:hAnsi="Times New Roman" w:eastAsia="宋体" w:cs="宋体"/>
                <w:b/>
                <w:bCs/>
                <w:color w:val="auto"/>
                <w:kern w:val="0"/>
                <w:szCs w:val="21"/>
                <w:highlight w:val="none"/>
              </w:rPr>
            </w:pPr>
            <w:r>
              <w:rPr>
                <w:rFonts w:hint="eastAsia" w:ascii="Times New Roman" w:hAnsi="Times New Roman" w:eastAsia="宋体" w:cs="宋体"/>
                <w:b/>
                <w:bCs/>
                <w:color w:val="auto"/>
                <w:kern w:val="0"/>
                <w:szCs w:val="21"/>
                <w:highlight w:val="none"/>
              </w:rPr>
              <w:t>级别</w:t>
            </w:r>
          </w:p>
        </w:tc>
        <w:tc>
          <w:tcPr>
            <w:tcW w:w="7913" w:type="dxa"/>
            <w:vAlign w:val="center"/>
          </w:tcPr>
          <w:p>
            <w:pPr>
              <w:widowControl/>
              <w:jc w:val="center"/>
              <w:rPr>
                <w:rFonts w:ascii="Times New Roman" w:hAnsi="Times New Roman" w:eastAsia="宋体" w:cs="宋体"/>
                <w:b/>
                <w:bCs/>
                <w:color w:val="auto"/>
                <w:kern w:val="0"/>
                <w:szCs w:val="21"/>
                <w:highlight w:val="none"/>
              </w:rPr>
            </w:pPr>
            <w:r>
              <w:rPr>
                <w:rFonts w:hint="eastAsia" w:ascii="Times New Roman" w:hAnsi="Times New Roman" w:eastAsia="宋体" w:cs="宋体"/>
                <w:b/>
                <w:bCs/>
                <w:color w:val="auto"/>
                <w:kern w:val="0"/>
                <w:szCs w:val="21"/>
                <w:highlight w:val="none"/>
              </w:rPr>
              <w:t>审核单位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1</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国家优质工程奖</w:t>
            </w:r>
          </w:p>
        </w:tc>
        <w:tc>
          <w:tcPr>
            <w:tcW w:w="1578" w:type="dxa"/>
            <w:vMerge w:val="restart"/>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国家级</w:t>
            </w: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中国施工企业管理协会</w:t>
            </w:r>
            <w:r>
              <w:rPr>
                <w:rFonts w:ascii="Times New Roman" w:hAnsi="Times New Roman" w:eastAsia="宋体" w:cs="Arial"/>
                <w:color w:val="auto"/>
                <w:kern w:val="0"/>
                <w:szCs w:val="21"/>
                <w:highlight w:val="none"/>
              </w:rPr>
              <w:t>/</w:t>
            </w:r>
            <w:r>
              <w:rPr>
                <w:rFonts w:hint="eastAsia" w:ascii="Times New Roman" w:hAnsi="Times New Roman" w:eastAsia="宋体" w:cs="宋体"/>
                <w:color w:val="auto"/>
                <w:kern w:val="0"/>
                <w:szCs w:val="21"/>
                <w:highlight w:val="none"/>
              </w:rPr>
              <w:t>国家工程建设质量奖审定委员会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2</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国家科学技术进步奖</w:t>
            </w:r>
          </w:p>
        </w:tc>
        <w:tc>
          <w:tcPr>
            <w:tcW w:w="1578" w:type="dxa"/>
            <w:vMerge w:val="continue"/>
            <w:vAlign w:val="center"/>
          </w:tcPr>
          <w:p>
            <w:pPr>
              <w:widowControl/>
              <w:jc w:val="left"/>
              <w:rPr>
                <w:rFonts w:ascii="Times New Roman" w:hAnsi="Times New Roman" w:eastAsia="宋体" w:cs="宋体"/>
                <w:color w:val="auto"/>
                <w:kern w:val="0"/>
                <w:szCs w:val="21"/>
                <w:highlight w:val="none"/>
              </w:rPr>
            </w:pP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中华人民共和国国务院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3</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中国建设工程鲁班奖</w:t>
            </w:r>
          </w:p>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（国家优质工程）</w:t>
            </w:r>
          </w:p>
        </w:tc>
        <w:tc>
          <w:tcPr>
            <w:tcW w:w="1578" w:type="dxa"/>
            <w:vMerge w:val="continue"/>
            <w:vAlign w:val="center"/>
          </w:tcPr>
          <w:p>
            <w:pPr>
              <w:widowControl/>
              <w:jc w:val="left"/>
              <w:rPr>
                <w:rFonts w:ascii="Times New Roman" w:hAnsi="Times New Roman" w:eastAsia="宋体" w:cs="宋体"/>
                <w:color w:val="auto"/>
                <w:kern w:val="0"/>
                <w:szCs w:val="21"/>
                <w:highlight w:val="none"/>
              </w:rPr>
            </w:pP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中华人民共和国住房和城乡建设部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4</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b/>
                <w:bCs/>
                <w:color w:val="auto"/>
                <w:kern w:val="0"/>
                <w:szCs w:val="21"/>
                <w:highlight w:val="none"/>
              </w:rPr>
              <w:t>国家水土保持示范工程</w:t>
            </w:r>
          </w:p>
        </w:tc>
        <w:tc>
          <w:tcPr>
            <w:tcW w:w="1578" w:type="dxa"/>
            <w:vMerge w:val="continue"/>
            <w:vAlign w:val="center"/>
          </w:tcPr>
          <w:p>
            <w:pPr>
              <w:widowControl/>
              <w:jc w:val="left"/>
              <w:rPr>
                <w:rFonts w:ascii="Times New Roman" w:hAnsi="Times New Roman" w:eastAsia="宋体" w:cs="宋体"/>
                <w:color w:val="auto"/>
                <w:kern w:val="0"/>
                <w:szCs w:val="21"/>
                <w:highlight w:val="none"/>
              </w:rPr>
            </w:pP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b/>
                <w:bCs/>
                <w:color w:val="auto"/>
                <w:kern w:val="0"/>
                <w:szCs w:val="21"/>
                <w:highlight w:val="none"/>
              </w:rPr>
              <w:t>中华人民共和国水利部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018" w:type="dxa"/>
            <w:vAlign w:val="center"/>
          </w:tcPr>
          <w:p>
            <w:pPr>
              <w:widowControl/>
              <w:jc w:val="center"/>
              <w:rPr>
                <w:rFonts w:ascii="Times New Roman" w:hAnsi="Times New Roman" w:eastAsia="宋体" w:cs="宋体"/>
                <w:color w:val="auto"/>
                <w:kern w:val="0"/>
                <w:sz w:val="18"/>
                <w:szCs w:val="18"/>
                <w:highlight w:val="none"/>
              </w:rPr>
            </w:pPr>
            <w:r>
              <w:rPr>
                <w:rFonts w:hint="eastAsia" w:ascii="Times New Roman" w:hAnsi="Times New Roman" w:eastAsia="宋体" w:cs="宋体"/>
                <w:color w:val="auto"/>
                <w:kern w:val="0"/>
                <w:sz w:val="18"/>
                <w:szCs w:val="18"/>
                <w:highlight w:val="none"/>
              </w:rPr>
              <w:t>5</w:t>
            </w:r>
          </w:p>
        </w:tc>
        <w:tc>
          <w:tcPr>
            <w:tcW w:w="370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w:t>
            </w:r>
          </w:p>
        </w:tc>
        <w:tc>
          <w:tcPr>
            <w:tcW w:w="1578" w:type="dxa"/>
            <w:vAlign w:val="center"/>
          </w:tcPr>
          <w:p>
            <w:pPr>
              <w:widowControl/>
              <w:jc w:val="center"/>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省级</w:t>
            </w:r>
          </w:p>
        </w:tc>
        <w:tc>
          <w:tcPr>
            <w:tcW w:w="7913" w:type="dxa"/>
            <w:vAlign w:val="center"/>
          </w:tcPr>
          <w:p>
            <w:pPr>
              <w:widowControl/>
              <w:jc w:val="left"/>
              <w:rPr>
                <w:rFonts w:ascii="Times New Roman" w:hAnsi="Times New Roman" w:eastAsia="宋体" w:cs="宋体"/>
                <w:color w:val="auto"/>
                <w:kern w:val="0"/>
                <w:szCs w:val="21"/>
                <w:highlight w:val="none"/>
              </w:rPr>
            </w:pPr>
            <w:r>
              <w:rPr>
                <w:rFonts w:hint="eastAsia" w:ascii="Times New Roman" w:hAnsi="Times New Roman" w:eastAsia="宋体" w:cs="宋体"/>
                <w:color w:val="auto"/>
                <w:kern w:val="0"/>
                <w:szCs w:val="21"/>
                <w:highlight w:val="none"/>
              </w:rPr>
              <w:t>省级住房和城乡建设建设部门等</w:t>
            </w:r>
          </w:p>
        </w:tc>
      </w:tr>
    </w:tbl>
    <w:p>
      <w:pPr>
        <w:pStyle w:val="3"/>
        <w:keepNext/>
        <w:keepLines/>
        <w:spacing w:beforeLines="100" w:afterLines="50" w:line="400" w:lineRule="exact"/>
        <w:ind w:left="0" w:firstLine="0"/>
        <w:jc w:val="both"/>
        <w:rPr>
          <w:rFonts w:ascii="黑体" w:hAnsi="黑体" w:eastAsia="黑体" w:cs="黑体"/>
          <w:color w:val="auto"/>
          <w:sz w:val="24"/>
          <w:szCs w:val="24"/>
          <w:highlight w:val="none"/>
        </w:rPr>
      </w:pPr>
    </w:p>
    <w:p>
      <w:pPr>
        <w:keepNext/>
        <w:keepLines/>
        <w:spacing w:beforeLines="100" w:afterLines="50" w:line="400" w:lineRule="exact"/>
        <w:ind w:left="0"/>
        <w:jc w:val="both"/>
        <w:rPr>
          <w:rFonts w:ascii="黑体" w:hAnsi="黑体" w:eastAsia="黑体" w:cs="黑体"/>
          <w:color w:val="auto"/>
          <w:sz w:val="24"/>
          <w:szCs w:val="24"/>
          <w:highlight w:val="none"/>
        </w:rPr>
      </w:pPr>
      <w:r>
        <w:rPr>
          <w:rFonts w:ascii="黑体" w:hAnsi="黑体" w:eastAsia="黑体" w:cs="黑体"/>
          <w:color w:val="auto"/>
          <w:sz w:val="24"/>
          <w:szCs w:val="24"/>
          <w:highlight w:val="none"/>
        </w:rPr>
        <w:br w:type="page"/>
      </w:r>
    </w:p>
    <w:p>
      <w:pPr>
        <w:widowControl/>
        <w:spacing w:line="400" w:lineRule="exact"/>
        <w:jc w:val="left"/>
        <w:outlineLvl w:val="1"/>
        <w:rPr>
          <w:rFonts w:hint="eastAsia" w:ascii="黑体" w:hAnsi="黑体" w:eastAsia="黑体"/>
          <w:b/>
          <w:color w:val="auto"/>
          <w:kern w:val="0"/>
          <w:sz w:val="24"/>
          <w:highlight w:val="none"/>
          <w:lang w:val="zh-CN"/>
        </w:rPr>
      </w:pPr>
      <w:bookmarkStart w:id="233" w:name="_Toc500842893"/>
      <w:bookmarkStart w:id="234" w:name="_Toc129618902"/>
      <w:r>
        <w:rPr>
          <w:rFonts w:hint="eastAsia" w:ascii="黑体" w:hAnsi="黑体" w:eastAsia="黑体"/>
          <w:b/>
          <w:color w:val="auto"/>
          <w:kern w:val="0"/>
          <w:sz w:val="24"/>
          <w:highlight w:val="none"/>
          <w:lang w:val="zh-CN"/>
        </w:rPr>
        <w:t>评标办法前附表之</w:t>
      </w:r>
      <w:bookmarkEnd w:id="233"/>
      <w:r>
        <w:rPr>
          <w:rFonts w:hint="eastAsia" w:ascii="黑体" w:hAnsi="黑体" w:eastAsia="黑体"/>
          <w:b/>
          <w:color w:val="auto"/>
          <w:kern w:val="0"/>
          <w:sz w:val="24"/>
          <w:highlight w:val="none"/>
        </w:rPr>
        <w:t>四</w:t>
      </w:r>
      <w:r>
        <w:rPr>
          <w:rFonts w:hint="eastAsia" w:ascii="黑体" w:hAnsi="黑体" w:eastAsia="黑体"/>
          <w:b/>
          <w:color w:val="auto"/>
          <w:kern w:val="0"/>
          <w:sz w:val="24"/>
          <w:highlight w:val="none"/>
          <w:lang w:val="zh-CN"/>
        </w:rPr>
        <w:t>：</w:t>
      </w:r>
      <w:r>
        <w:rPr>
          <w:rFonts w:ascii="黑体" w:hAnsi="黑体" w:eastAsia="黑体"/>
          <w:b/>
          <w:color w:val="auto"/>
          <w:kern w:val="0"/>
          <w:sz w:val="24"/>
          <w:highlight w:val="none"/>
          <w:lang w:val="zh-CN"/>
        </w:rPr>
        <w:t>技术</w:t>
      </w:r>
      <w:r>
        <w:rPr>
          <w:rFonts w:hint="eastAsia" w:ascii="黑体" w:hAnsi="黑体" w:eastAsia="黑体"/>
          <w:b/>
          <w:color w:val="auto"/>
          <w:kern w:val="0"/>
          <w:sz w:val="24"/>
          <w:highlight w:val="none"/>
          <w:lang w:val="zh-CN"/>
        </w:rPr>
        <w:t>评分标准</w:t>
      </w:r>
      <w:bookmarkEnd w:id="234"/>
    </w:p>
    <w:p>
      <w:pPr>
        <w:topLinePunct/>
        <w:adjustRightInd w:val="0"/>
        <w:spacing w:line="360" w:lineRule="exact"/>
        <w:ind w:firstLine="420"/>
        <w:rPr>
          <w:b w:val="0"/>
          <w:bCs w:val="0"/>
          <w:color w:val="auto"/>
          <w:szCs w:val="20"/>
          <w:highlight w:val="none"/>
        </w:rPr>
      </w:pPr>
      <w:r>
        <w:rPr>
          <w:b w:val="0"/>
          <w:bCs w:val="0"/>
          <w:color w:val="auto"/>
          <w:szCs w:val="20"/>
          <w:highlight w:val="none"/>
        </w:rPr>
        <w:t>评标委员会将根据以下标准对通过初评的投标人进行</w:t>
      </w:r>
      <w:r>
        <w:rPr>
          <w:rFonts w:hint="eastAsia"/>
          <w:b w:val="0"/>
          <w:bCs w:val="0"/>
          <w:color w:val="auto"/>
          <w:szCs w:val="20"/>
          <w:highlight w:val="none"/>
          <w:lang w:eastAsia="zh-CN"/>
        </w:rPr>
        <w:t>技术</w:t>
      </w:r>
      <w:r>
        <w:rPr>
          <w:b w:val="0"/>
          <w:bCs w:val="0"/>
          <w:color w:val="auto"/>
          <w:szCs w:val="20"/>
          <w:highlight w:val="none"/>
        </w:rPr>
        <w:t>评审。</w:t>
      </w:r>
      <w:r>
        <w:rPr>
          <w:rFonts w:hint="eastAsia"/>
          <w:b w:val="0"/>
          <w:bCs w:val="0"/>
          <w:color w:val="auto"/>
          <w:szCs w:val="20"/>
          <w:highlight w:val="none"/>
        </w:rPr>
        <w:t>偏离全部专家评分第一次平均分±8%的评分将予以剔除，剩余专家评分进行第二次平均，得出的平均分值为相应投标的</w:t>
      </w:r>
      <w:r>
        <w:rPr>
          <w:rFonts w:hint="eastAsia"/>
          <w:b w:val="0"/>
          <w:bCs w:val="0"/>
          <w:color w:val="auto"/>
          <w:szCs w:val="20"/>
          <w:highlight w:val="none"/>
          <w:lang w:eastAsia="zh-CN"/>
        </w:rPr>
        <w:t>技术</w:t>
      </w:r>
      <w:r>
        <w:rPr>
          <w:rFonts w:hint="eastAsia"/>
          <w:b w:val="0"/>
          <w:bCs w:val="0"/>
          <w:color w:val="auto"/>
          <w:szCs w:val="20"/>
          <w:highlight w:val="none"/>
        </w:rPr>
        <w:t>评审得分</w:t>
      </w:r>
      <w:r>
        <w:rPr>
          <w:rFonts w:hint="eastAsia"/>
          <w:b w:val="0"/>
          <w:bCs w:val="0"/>
          <w:color w:val="auto"/>
          <w:szCs w:val="20"/>
          <w:highlight w:val="none"/>
          <w:lang w:eastAsia="zh-CN"/>
        </w:rPr>
        <w:t>。</w:t>
      </w:r>
      <w:r>
        <w:rPr>
          <w:b w:val="0"/>
          <w:bCs w:val="0"/>
          <w:color w:val="auto"/>
          <w:szCs w:val="20"/>
          <w:highlight w:val="none"/>
        </w:rPr>
        <w:t>评审标准包括但不限于以下内容：</w:t>
      </w:r>
    </w:p>
    <w:p>
      <w:pPr>
        <w:pStyle w:val="17"/>
        <w:snapToGrid w:val="0"/>
        <w:spacing w:after="0" w:line="560" w:lineRule="exact"/>
        <w:ind w:firstLine="640" w:firstLineChars="200"/>
        <w:jc w:val="left"/>
        <w:rPr>
          <w:rFonts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变电站监理</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303"/>
        <w:gridCol w:w="701"/>
        <w:gridCol w:w="1192"/>
        <w:gridCol w:w="61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blHeader/>
          <w:jc w:val="center"/>
        </w:trPr>
        <w:tc>
          <w:tcPr>
            <w:tcW w:w="0" w:type="auto"/>
            <w:tcBorders>
              <w:tl2br w:val="nil"/>
              <w:tr2bl w:val="nil"/>
            </w:tcBorders>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序号</w:t>
            </w:r>
          </w:p>
        </w:tc>
        <w:tc>
          <w:tcPr>
            <w:tcW w:w="0" w:type="auto"/>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项目</w:t>
            </w:r>
          </w:p>
        </w:tc>
        <w:tc>
          <w:tcPr>
            <w:tcW w:w="0" w:type="auto"/>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评审内容及分值</w:t>
            </w:r>
          </w:p>
        </w:tc>
        <w:tc>
          <w:tcPr>
            <w:tcW w:w="0" w:type="auto"/>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项目内容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080" w:hRule="atLeast"/>
          <w:jc w:val="center"/>
        </w:trPr>
        <w:tc>
          <w:tcPr>
            <w:tcW w:w="0" w:type="auto"/>
            <w:vMerge w:val="restart"/>
            <w:tcBorders>
              <w:tl2br w:val="nil"/>
              <w:tr2bl w:val="nil"/>
            </w:tcBorders>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1</w:t>
            </w:r>
          </w:p>
        </w:tc>
        <w:tc>
          <w:tcPr>
            <w:tcW w:w="0" w:type="auto"/>
            <w:vMerge w:val="restart"/>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技术水平</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（20分）</w:t>
            </w:r>
          </w:p>
        </w:tc>
        <w:tc>
          <w:tcPr>
            <w:tcW w:w="0" w:type="auto"/>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技术业绩</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（15分）</w:t>
            </w:r>
          </w:p>
        </w:tc>
        <w:tc>
          <w:tcPr>
            <w:tcW w:w="0" w:type="auto"/>
            <w:tcBorders>
              <w:tl2br w:val="nil"/>
              <w:tr2bl w:val="nil"/>
            </w:tcBorders>
            <w:vAlign w:val="center"/>
          </w:tcPr>
          <w:p>
            <w:pPr>
              <w:widowControl/>
              <w:snapToGrid w:val="0"/>
              <w:jc w:val="left"/>
              <w:textAlignment w:val="center"/>
              <w:rPr>
                <w:rStyle w:val="47"/>
                <w:rFonts w:hint="default"/>
                <w:color w:val="auto"/>
                <w:sz w:val="21"/>
                <w:szCs w:val="21"/>
                <w:highlight w:val="none"/>
              </w:rPr>
            </w:pPr>
            <w:r>
              <w:rPr>
                <w:rStyle w:val="47"/>
                <w:rFonts w:hint="default"/>
                <w:color w:val="auto"/>
                <w:sz w:val="21"/>
                <w:szCs w:val="21"/>
                <w:highlight w:val="none"/>
              </w:rPr>
              <w:t>开标前5年内：</w:t>
            </w:r>
            <w:r>
              <w:rPr>
                <w:rStyle w:val="47"/>
                <w:rFonts w:hint="default"/>
                <w:color w:val="auto"/>
                <w:sz w:val="21"/>
                <w:szCs w:val="21"/>
                <w:highlight w:val="none"/>
              </w:rPr>
              <w:br w:type="textWrapping"/>
            </w:r>
            <w:r>
              <w:rPr>
                <w:rStyle w:val="47"/>
                <w:rFonts w:hint="default"/>
                <w:color w:val="auto"/>
                <w:sz w:val="21"/>
                <w:szCs w:val="21"/>
                <w:highlight w:val="none"/>
              </w:rPr>
              <w:t>1.企业具有1000kV变电站工程监理业绩的，得3分；如无得0分。</w:t>
            </w:r>
          </w:p>
          <w:p>
            <w:pPr>
              <w:widowControl/>
              <w:snapToGrid w:val="0"/>
              <w:jc w:val="left"/>
              <w:textAlignment w:val="center"/>
              <w:rPr>
                <w:rStyle w:val="47"/>
                <w:rFonts w:hint="default"/>
                <w:color w:val="auto"/>
                <w:sz w:val="21"/>
                <w:szCs w:val="21"/>
                <w:highlight w:val="none"/>
              </w:rPr>
            </w:pPr>
            <w:r>
              <w:rPr>
                <w:rStyle w:val="47"/>
                <w:rFonts w:hint="default"/>
                <w:color w:val="auto"/>
                <w:sz w:val="21"/>
                <w:szCs w:val="21"/>
                <w:highlight w:val="none"/>
              </w:rPr>
              <w:t>2.（a）企业具有±800kV及以上换流站或1000kV变电站工程监理业绩的，每项业绩得2分；</w:t>
            </w:r>
            <w:r>
              <w:rPr>
                <w:rStyle w:val="47"/>
                <w:rFonts w:hint="default"/>
                <w:color w:val="auto"/>
                <w:sz w:val="21"/>
                <w:szCs w:val="21"/>
                <w:highlight w:val="none"/>
              </w:rPr>
              <w:br w:type="textWrapping"/>
            </w:r>
            <w:r>
              <w:rPr>
                <w:rStyle w:val="47"/>
                <w:rFonts w:hint="default"/>
                <w:color w:val="auto"/>
                <w:sz w:val="21"/>
                <w:szCs w:val="21"/>
                <w:highlight w:val="none"/>
              </w:rPr>
              <w:t>（b）企业具有±400kV及以上、±800kV以下换流站或500kV及以上、1000kV以下变电站工程监理业绩的，每项业绩得1.5分；</w:t>
            </w:r>
          </w:p>
          <w:p>
            <w:pPr>
              <w:pStyle w:val="13"/>
              <w:rPr>
                <w:rFonts w:ascii="宋体" w:hAnsi="宋体" w:eastAsia="宋体" w:cs="宋体"/>
                <w:color w:val="auto"/>
                <w:sz w:val="21"/>
                <w:szCs w:val="21"/>
                <w:highlight w:val="none"/>
              </w:rPr>
            </w:pPr>
            <w:r>
              <w:rPr>
                <w:rStyle w:val="47"/>
                <w:rFonts w:hint="default"/>
                <w:color w:val="auto"/>
                <w:sz w:val="21"/>
                <w:szCs w:val="21"/>
                <w:highlight w:val="none"/>
              </w:rPr>
              <w:t>备注：条件a和b总得分不得超过12分。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080" w:hRule="atLeast"/>
          <w:jc w:val="center"/>
        </w:trPr>
        <w:tc>
          <w:tcPr>
            <w:tcW w:w="0" w:type="auto"/>
            <w:vMerge w:val="continue"/>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p>
        </w:tc>
        <w:tc>
          <w:tcPr>
            <w:tcW w:w="0" w:type="auto"/>
            <w:vMerge w:val="restart"/>
            <w:tcBorders>
              <w:tl2br w:val="nil"/>
              <w:tr2bl w:val="nil"/>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工程实施条件分析</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（5分）</w:t>
            </w: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实施条件调查及分析（3分）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1.工程实施情况全面准确、详实，1分；每一项论述不充分，扣0.5分；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2.自然环境分析及现场调查情况说明详实，1分；论述不充分，扣0.5分；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3.工程项目社会环境调查详实，1分；论述不充分，扣0.5分。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25" w:hRule="atLeast"/>
          <w:jc w:val="center"/>
        </w:trPr>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对工程特点、难点的理解与把握（2分）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1.工程项目特点描述正确，难点理解分析准确，2分；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2.每一项论述不充分，扣1分。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810" w:hRule="atLeast"/>
          <w:jc w:val="center"/>
        </w:trPr>
        <w:tc>
          <w:tcPr>
            <w:tcW w:w="0" w:type="auto"/>
            <w:vMerge w:val="restart"/>
            <w:tcBorders>
              <w:tl2br w:val="nil"/>
              <w:tr2bl w:val="nil"/>
            </w:tcBorders>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2</w:t>
            </w:r>
          </w:p>
        </w:tc>
        <w:tc>
          <w:tcPr>
            <w:tcW w:w="0" w:type="auto"/>
            <w:vMerge w:val="restart"/>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团队配置</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（25分）</w:t>
            </w:r>
          </w:p>
        </w:tc>
        <w:tc>
          <w:tcPr>
            <w:tcW w:w="0" w:type="auto"/>
            <w:vMerge w:val="restart"/>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项目监理总体策划</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（25分）</w:t>
            </w: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监理工作范围、工程建设目标、项目管理体系（3分）。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1.范围无遗漏，目标明确，体系完善，3分；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2.每一项论述不充分，扣1分。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810" w:hRule="atLeast"/>
          <w:jc w:val="center"/>
        </w:trPr>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项目团队履责能力（8分）。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1.机构职责齐全、专业人员配置齐全，8分；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2.机构职责齐全、专业人员配置较齐全，5分；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96" w:hRule="atLeast"/>
          <w:jc w:val="center"/>
        </w:trPr>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0" w:type="auto"/>
            <w:tcBorders>
              <w:tl2br w:val="nil"/>
              <w:tr2bl w:val="nil"/>
            </w:tcBorders>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监理资源投入（10分）。</w:t>
            </w:r>
          </w:p>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开标前3年内：</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1.项目总监和安全总监，全部具有</w:t>
            </w:r>
            <w:r>
              <w:rPr>
                <w:rStyle w:val="47"/>
                <w:rFonts w:hint="default"/>
                <w:color w:val="auto"/>
                <w:sz w:val="21"/>
                <w:szCs w:val="21"/>
                <w:highlight w:val="none"/>
              </w:rPr>
              <w:t>±</w:t>
            </w:r>
            <w:r>
              <w:rPr>
                <w:rFonts w:hint="eastAsia" w:ascii="宋体" w:hAnsi="宋体" w:eastAsia="宋体" w:cs="宋体"/>
                <w:color w:val="auto"/>
                <w:kern w:val="0"/>
                <w:szCs w:val="21"/>
                <w:highlight w:val="none"/>
              </w:rPr>
              <w:t>800kV及以上换流站或1000kV变电站工程相关经验的（10分）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2.项目总监和安全总监，部分具有</w:t>
            </w:r>
            <w:r>
              <w:rPr>
                <w:rStyle w:val="47"/>
                <w:rFonts w:hint="default"/>
                <w:color w:val="auto"/>
                <w:sz w:val="21"/>
                <w:szCs w:val="21"/>
                <w:highlight w:val="none"/>
              </w:rPr>
              <w:t>±</w:t>
            </w:r>
            <w:r>
              <w:rPr>
                <w:rFonts w:hint="eastAsia" w:ascii="宋体" w:hAnsi="宋体" w:eastAsia="宋体" w:cs="宋体"/>
                <w:color w:val="auto"/>
                <w:kern w:val="0"/>
                <w:szCs w:val="21"/>
                <w:highlight w:val="none"/>
              </w:rPr>
              <w:t>800kV及以上换流站或1000kV变电站工程相关经验的（7分）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3.项目总监和安全总监，仅具有±400kV及以上换流站工程或500kV及以上、1000kV以下新建变电站工程相关经验的（5分）。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63" w:hRule="atLeast"/>
          <w:jc w:val="center"/>
        </w:trPr>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color w:val="auto"/>
                <w:szCs w:val="21"/>
                <w:highlight w:val="none"/>
              </w:rPr>
            </w:pP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项目总监陈述（4分）。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（措施具体，针对性强，4分；措施一般，针对性不强，2分）。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080" w:hRule="atLeast"/>
          <w:jc w:val="center"/>
        </w:trPr>
        <w:tc>
          <w:tcPr>
            <w:tcW w:w="0" w:type="auto"/>
            <w:vMerge w:val="restart"/>
            <w:tcBorders>
              <w:tl2br w:val="nil"/>
              <w:tr2bl w:val="nil"/>
            </w:tcBorders>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3</w:t>
            </w:r>
          </w:p>
        </w:tc>
        <w:tc>
          <w:tcPr>
            <w:tcW w:w="0" w:type="auto"/>
            <w:vMerge w:val="restart"/>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安全质量控制</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（24分）</w:t>
            </w:r>
          </w:p>
        </w:tc>
        <w:tc>
          <w:tcPr>
            <w:tcW w:w="0" w:type="auto"/>
            <w:tcBorders>
              <w:tl2br w:val="nil"/>
              <w:tr2bl w:val="nil"/>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安全控制措施</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（10分）</w:t>
            </w: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安全及文明施工（10分）。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1.相关控制措施合理有效，有针对性，10分；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2.相关控制措施合理较有效，针对性不强8分；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3.相关控制措施不合理，扣5分。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0" w:hRule="atLeast"/>
          <w:jc w:val="center"/>
        </w:trPr>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tcBorders>
              <w:tl2br w:val="nil"/>
              <w:tr2bl w:val="nil"/>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质量控制措施</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（10分）</w:t>
            </w: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工程质量与档案（10分）。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1.相关控制措施合理有效，有针对性，验收程序完备10分；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2.相关控制措施合理较有效，针对性不强， 验收程序较完备，8分；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3.相关控制措施不合理， 验收程序不完备，扣5分。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402" w:hRule="atLeast"/>
          <w:jc w:val="center"/>
        </w:trPr>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vMerge w:val="continue"/>
            <w:tcBorders>
              <w:tl2br w:val="nil"/>
              <w:tr2bl w:val="nil"/>
            </w:tcBorders>
            <w:vAlign w:val="center"/>
          </w:tcPr>
          <w:p>
            <w:pPr>
              <w:snapToGrid w:val="0"/>
              <w:jc w:val="center"/>
              <w:rPr>
                <w:rFonts w:ascii="宋体" w:hAnsi="宋体" w:eastAsia="宋体" w:cs="宋体"/>
                <w:b/>
                <w:bCs/>
                <w:color w:val="auto"/>
                <w:szCs w:val="21"/>
                <w:highlight w:val="none"/>
              </w:rPr>
            </w:pPr>
          </w:p>
        </w:tc>
        <w:tc>
          <w:tcPr>
            <w:tcW w:w="0" w:type="auto"/>
            <w:tcBorders>
              <w:tl2br w:val="nil"/>
              <w:tr2bl w:val="nil"/>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环水保控制措施</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（4分）</w:t>
            </w: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环保水保（2分）、进度、信息、合同、投资等（2分），合计4分。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1.相关控制措施制度合理有效，有针对性，4分；</w:t>
            </w:r>
            <w:r>
              <w:rPr>
                <w:rFonts w:hint="eastAsia" w:ascii="宋体" w:hAnsi="宋体" w:eastAsia="宋体" w:cs="宋体"/>
                <w:color w:val="auto"/>
                <w:kern w:val="0"/>
                <w:szCs w:val="21"/>
                <w:highlight w:val="none"/>
              </w:rPr>
              <w:br w:type="textWrapping"/>
            </w:r>
            <w:r>
              <w:rPr>
                <w:rFonts w:hint="eastAsia" w:ascii="宋体" w:hAnsi="宋体" w:eastAsia="宋体" w:cs="宋体"/>
                <w:color w:val="auto"/>
                <w:kern w:val="0"/>
                <w:szCs w:val="21"/>
                <w:highlight w:val="none"/>
              </w:rPr>
              <w:t>2.相关控制措施制度不合理，每项扣1分，累计最多扣2分。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96" w:hRule="atLeast"/>
          <w:jc w:val="center"/>
        </w:trPr>
        <w:tc>
          <w:tcPr>
            <w:tcW w:w="0" w:type="auto"/>
            <w:tcBorders>
              <w:tl2br w:val="nil"/>
              <w:tr2bl w:val="nil"/>
            </w:tcBorders>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4</w:t>
            </w:r>
          </w:p>
        </w:tc>
        <w:tc>
          <w:tcPr>
            <w:tcW w:w="0" w:type="auto"/>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综合评价</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（6分）</w:t>
            </w:r>
          </w:p>
        </w:tc>
        <w:tc>
          <w:tcPr>
            <w:tcW w:w="0" w:type="auto"/>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整体评价</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（6分）</w:t>
            </w:r>
          </w:p>
        </w:tc>
        <w:tc>
          <w:tcPr>
            <w:tcW w:w="0" w:type="auto"/>
            <w:tcBorders>
              <w:tl2br w:val="nil"/>
              <w:tr2bl w:val="nil"/>
            </w:tcBorders>
            <w:vAlign w:val="center"/>
          </w:tcPr>
          <w:p>
            <w:pPr>
              <w:rPr>
                <w:highlight w:val="none"/>
              </w:rPr>
            </w:pPr>
          </w:p>
          <w:p>
            <w:pPr>
              <w:widowControl/>
              <w:snapToGrid w:val="0"/>
              <w:jc w:val="left"/>
              <w:textAlignment w:val="center"/>
              <w:rPr>
                <w:rFonts w:ascii="宋体" w:hAnsi="宋体" w:eastAsia="宋体" w:cs="宋体"/>
                <w:color w:val="auto"/>
                <w:kern w:val="0"/>
                <w:szCs w:val="21"/>
                <w:highlight w:val="none"/>
              </w:rPr>
            </w:pPr>
            <w:r>
              <w:rPr>
                <w:rStyle w:val="49"/>
                <w:rFonts w:hint="default"/>
                <w:color w:val="auto"/>
                <w:sz w:val="21"/>
                <w:szCs w:val="21"/>
                <w:highlight w:val="none"/>
              </w:rPr>
              <w:t>类似工程经验（</w:t>
            </w:r>
            <w:r>
              <w:rPr>
                <w:rStyle w:val="49"/>
                <w:rFonts w:hint="eastAsia" w:eastAsia="宋体"/>
                <w:color w:val="auto"/>
                <w:sz w:val="21"/>
                <w:szCs w:val="21"/>
                <w:highlight w:val="none"/>
                <w:lang w:val="en-US" w:eastAsia="zh-CN"/>
              </w:rPr>
              <w:t>6</w:t>
            </w:r>
            <w:r>
              <w:rPr>
                <w:rStyle w:val="49"/>
                <w:rFonts w:hint="default"/>
                <w:color w:val="auto"/>
                <w:sz w:val="21"/>
                <w:szCs w:val="21"/>
                <w:highlight w:val="none"/>
              </w:rPr>
              <w:t>分）</w:t>
            </w:r>
            <w:r>
              <w:rPr>
                <w:rStyle w:val="50"/>
                <w:rFonts w:hint="default"/>
                <w:color w:val="auto"/>
                <w:sz w:val="21"/>
                <w:szCs w:val="21"/>
                <w:highlight w:val="none"/>
              </w:rPr>
              <w:t>（提供建设环境、系统条件与所招标工程相同或接近的工程的中标通知书、合同签署页及封面、业主评价书面意见）经验丰富的得</w:t>
            </w:r>
            <w:r>
              <w:rPr>
                <w:rStyle w:val="50"/>
                <w:rFonts w:hint="default" w:asciiTheme="minorEastAsia" w:hAnsiTheme="minorEastAsia" w:eastAsiaTheme="minorEastAsia" w:cstheme="minorEastAsia"/>
                <w:color w:val="auto"/>
                <w:sz w:val="21"/>
                <w:szCs w:val="21"/>
                <w:highlight w:val="none"/>
              </w:rPr>
              <w:t>6-5分，经验一般的得4-3分；经验较少的得2-1分</w:t>
            </w:r>
            <w:r>
              <w:rPr>
                <w:rStyle w:val="50"/>
                <w:rFonts w:hint="eastAsia" w:asciiTheme="minorEastAsia" w:hAnsiTheme="minorEastAsia" w:eastAsiaTheme="minorEastAsia" w:cstheme="minorEastAsia"/>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684" w:hRule="atLeast"/>
          <w:jc w:val="center"/>
        </w:trPr>
        <w:tc>
          <w:tcPr>
            <w:tcW w:w="0" w:type="auto"/>
            <w:tcBorders>
              <w:tl2br w:val="nil"/>
              <w:tr2bl w:val="nil"/>
            </w:tcBorders>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5</w:t>
            </w:r>
          </w:p>
        </w:tc>
        <w:tc>
          <w:tcPr>
            <w:tcW w:w="0" w:type="auto"/>
            <w:tcBorders>
              <w:tl2br w:val="nil"/>
              <w:tr2bl w:val="nil"/>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绩效评价</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（25分）</w:t>
            </w:r>
          </w:p>
        </w:tc>
        <w:tc>
          <w:tcPr>
            <w:tcW w:w="0" w:type="auto"/>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绩效评价</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（25分）</w:t>
            </w:r>
          </w:p>
        </w:tc>
        <w:tc>
          <w:tcPr>
            <w:tcW w:w="0" w:type="auto"/>
            <w:tcBorders>
              <w:tl2br w:val="nil"/>
              <w:tr2bl w:val="nil"/>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按绩效评价得分*0.25计算，对于无绩效评价的投标人，根据投标文件中资源实力等相关信息进行综合评价打分。（得分按四舍五入保留两位小数）。未开展绩效评价阶段，绩效评价得分按100分计列。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684" w:hRule="atLeast"/>
          <w:jc w:val="center"/>
        </w:trPr>
        <w:tc>
          <w:tcPr>
            <w:tcW w:w="0" w:type="auto"/>
            <w:tcBorders>
              <w:tl2br w:val="nil"/>
              <w:tr2bl w:val="nil"/>
            </w:tcBorders>
            <w:vAlign w:val="center"/>
          </w:tcPr>
          <w:p>
            <w:pPr>
              <w:widowControl/>
              <w:snapToGrid w:val="0"/>
              <w:jc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6</w:t>
            </w:r>
          </w:p>
        </w:tc>
        <w:tc>
          <w:tcPr>
            <w:tcW w:w="0" w:type="auto"/>
            <w:tcBorders>
              <w:tl2br w:val="nil"/>
              <w:tr2bl w:val="nil"/>
            </w:tcBorders>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风险评价</w:t>
            </w:r>
          </w:p>
        </w:tc>
        <w:tc>
          <w:tcPr>
            <w:tcW w:w="0" w:type="auto"/>
            <w:tcBorders>
              <w:tl2br w:val="nil"/>
              <w:tr2bl w:val="nil"/>
            </w:tcBorders>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（-20-0）</w:t>
            </w:r>
          </w:p>
        </w:tc>
        <w:tc>
          <w:tcPr>
            <w:tcW w:w="0" w:type="auto"/>
            <w:tcBorders>
              <w:tl2br w:val="nil"/>
              <w:tr2bl w:val="nil"/>
            </w:tcBorders>
            <w:vAlign w:val="center"/>
          </w:tcPr>
          <w:p>
            <w:pPr>
              <w:widowControl/>
              <w:snapToGrid w:val="0"/>
              <w:rPr>
                <w:rFonts w:ascii="宋体" w:hAnsi="宋体" w:eastAsia="宋体" w:cs="宋体"/>
                <w:color w:val="auto"/>
                <w:szCs w:val="21"/>
                <w:highlight w:val="none"/>
              </w:rPr>
            </w:pPr>
            <w:r>
              <w:rPr>
                <w:rFonts w:hint="eastAsia" w:ascii="宋体" w:hAnsi="宋体" w:eastAsia="宋体" w:cs="宋体"/>
                <w:color w:val="auto"/>
                <w:kern w:val="0"/>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无上述情形的，不扣分。</w:t>
            </w:r>
          </w:p>
        </w:tc>
      </w:tr>
    </w:tbl>
    <w:p>
      <w:pPr>
        <w:pStyle w:val="17"/>
        <w:snapToGrid w:val="0"/>
        <w:spacing w:after="0" w:line="560" w:lineRule="exact"/>
        <w:ind w:firstLine="640" w:firstLineChars="200"/>
        <w:jc w:val="left"/>
        <w:rPr>
          <w:color w:val="auto"/>
          <w:highlight w:val="none"/>
        </w:rPr>
      </w:pPr>
      <w:r>
        <w:rPr>
          <w:rFonts w:hint="eastAsia" w:ascii="方正仿宋_GBK" w:hAnsi="方正仿宋_GBK" w:eastAsia="方正仿宋_GBK" w:cs="方正仿宋_GBK"/>
          <w:color w:val="auto"/>
          <w:sz w:val="32"/>
          <w:szCs w:val="32"/>
          <w:highlight w:val="none"/>
        </w:rPr>
        <w:t>通信监理</w:t>
      </w:r>
    </w:p>
    <w:tbl>
      <w:tblPr>
        <w:tblStyle w:val="19"/>
        <w:tblW w:w="4998" w:type="pct"/>
        <w:jc w:val="center"/>
        <w:tblLayout w:type="autofit"/>
        <w:tblCellMar>
          <w:top w:w="0" w:type="dxa"/>
          <w:left w:w="108" w:type="dxa"/>
          <w:bottom w:w="0" w:type="dxa"/>
          <w:right w:w="108" w:type="dxa"/>
        </w:tblCellMar>
      </w:tblPr>
      <w:tblGrid>
        <w:gridCol w:w="638"/>
        <w:gridCol w:w="639"/>
        <w:gridCol w:w="1161"/>
        <w:gridCol w:w="6081"/>
      </w:tblGrid>
      <w:tr>
        <w:tblPrEx>
          <w:tblCellMar>
            <w:top w:w="0" w:type="dxa"/>
            <w:left w:w="108" w:type="dxa"/>
            <w:bottom w:w="0" w:type="dxa"/>
            <w:right w:w="108" w:type="dxa"/>
          </w:tblCellMar>
        </w:tblPrEx>
        <w:trPr>
          <w:trHeight w:val="280" w:hRule="atLeast"/>
          <w:tblHeader/>
          <w:jc w:val="center"/>
        </w:trPr>
        <w:tc>
          <w:tcPr>
            <w:tcW w:w="298" w:type="pct"/>
            <w:tcBorders>
              <w:top w:val="single" w:color="000000" w:sz="4" w:space="0"/>
              <w:left w:val="single" w:color="000000" w:sz="4" w:space="0"/>
              <w:bottom w:val="single" w:color="000000" w:sz="4" w:space="0"/>
              <w:right w:val="single" w:color="000000" w:sz="4" w:space="0"/>
            </w:tcBorders>
            <w:noWrap/>
            <w:vAlign w:val="center"/>
          </w:tcPr>
          <w:p>
            <w:pPr>
              <w:snapToGrid w:val="0"/>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序号</w:t>
            </w:r>
          </w:p>
        </w:tc>
        <w:tc>
          <w:tcPr>
            <w:tcW w:w="391"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项目</w:t>
            </w:r>
          </w:p>
        </w:tc>
        <w:tc>
          <w:tcPr>
            <w:tcW w:w="53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评审内容及分值</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项目内容</w:t>
            </w:r>
          </w:p>
        </w:tc>
      </w:tr>
      <w:tr>
        <w:tblPrEx>
          <w:tblCellMar>
            <w:top w:w="0" w:type="dxa"/>
            <w:left w:w="108" w:type="dxa"/>
            <w:bottom w:w="0" w:type="dxa"/>
            <w:right w:w="108" w:type="dxa"/>
          </w:tblCellMar>
        </w:tblPrEx>
        <w:trPr>
          <w:trHeight w:val="1200" w:hRule="atLeast"/>
          <w:jc w:val="center"/>
        </w:trPr>
        <w:tc>
          <w:tcPr>
            <w:tcW w:w="298"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1</w:t>
            </w:r>
          </w:p>
        </w:tc>
        <w:tc>
          <w:tcPr>
            <w:tcW w:w="391"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技术水平（19分）</w:t>
            </w:r>
          </w:p>
        </w:tc>
        <w:tc>
          <w:tcPr>
            <w:tcW w:w="539"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工程实施条件分析（5分）</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实施条件调查及分析（3分）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（工程概况全面准确、详实，1分；论述不充分，0分。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自然环境分析及现场调查情况说明详实，1分；论述不充分，0分。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工程项目社会环境调查详实，1分；论述不充分，0分。）</w:t>
            </w:r>
          </w:p>
        </w:tc>
      </w:tr>
      <w:tr>
        <w:tblPrEx>
          <w:tblCellMar>
            <w:top w:w="0" w:type="dxa"/>
            <w:left w:w="108" w:type="dxa"/>
            <w:bottom w:w="0" w:type="dxa"/>
            <w:right w:w="108" w:type="dxa"/>
          </w:tblCellMar>
        </w:tblPrEx>
        <w:trPr>
          <w:trHeight w:val="72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对工程特点、难点的理解与把握（2分）。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（工程项目特点描述正确，难点理解分析准确，2分；每一项论述不充分，扣1分。）</w:t>
            </w:r>
          </w:p>
        </w:tc>
      </w:tr>
      <w:tr>
        <w:tblPrEx>
          <w:tblCellMar>
            <w:top w:w="0" w:type="dxa"/>
            <w:left w:w="108" w:type="dxa"/>
            <w:bottom w:w="0" w:type="dxa"/>
            <w:right w:w="108" w:type="dxa"/>
          </w:tblCellMar>
        </w:tblPrEx>
        <w:trPr>
          <w:trHeight w:val="192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技术业绩（12分）</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开标日前5年内，投标人</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1.每有1000kV或±800kV或±1100kV输变电工程电力通信工程监理业绩。每项业绩得4分，最高12分；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2.每具有一个±400kV及以上、±800kV以下换流站或500kV及以上、1000kV以下输变电工程电力通信工程监理业绩，每项业绩得2分，最高8分；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3. 每具有1个基建配套通信监理业绩且监理工作内容至少涵盖传送网、基础设施、云、核心网、数据网之一的，积1分，最高4分。</w:t>
            </w:r>
          </w:p>
        </w:tc>
      </w:tr>
      <w:tr>
        <w:tblPrEx>
          <w:tblCellMar>
            <w:top w:w="0" w:type="dxa"/>
            <w:left w:w="108" w:type="dxa"/>
            <w:bottom w:w="0" w:type="dxa"/>
            <w:right w:w="108" w:type="dxa"/>
          </w:tblCellMar>
        </w:tblPrEx>
        <w:trPr>
          <w:trHeight w:val="48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管理创新与建议（2分）</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建议（1分）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 xml:space="preserve"> (建议合理、有针对性，1分；建议不合理，0分。）</w:t>
            </w:r>
          </w:p>
        </w:tc>
      </w:tr>
      <w:tr>
        <w:tblPrEx>
          <w:tblCellMar>
            <w:top w:w="0" w:type="dxa"/>
            <w:left w:w="108" w:type="dxa"/>
            <w:bottom w:w="0" w:type="dxa"/>
            <w:right w:w="108" w:type="dxa"/>
          </w:tblCellMar>
        </w:tblPrEx>
        <w:trPr>
          <w:trHeight w:val="48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监理管理工作创新思路（1分）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(思路清晰、合理，1分；思路不合理，0分。）</w:t>
            </w:r>
          </w:p>
        </w:tc>
      </w:tr>
      <w:tr>
        <w:tblPrEx>
          <w:tblCellMar>
            <w:top w:w="0" w:type="dxa"/>
            <w:left w:w="108" w:type="dxa"/>
            <w:bottom w:w="0" w:type="dxa"/>
            <w:right w:w="108" w:type="dxa"/>
          </w:tblCellMar>
        </w:tblPrEx>
        <w:trPr>
          <w:trHeight w:val="720" w:hRule="atLeast"/>
          <w:jc w:val="center"/>
        </w:trPr>
        <w:tc>
          <w:tcPr>
            <w:tcW w:w="298"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2</w:t>
            </w:r>
          </w:p>
        </w:tc>
        <w:tc>
          <w:tcPr>
            <w:tcW w:w="391"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团队配置（36分）</w:t>
            </w:r>
          </w:p>
        </w:tc>
        <w:tc>
          <w:tcPr>
            <w:tcW w:w="539"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项目监理总体策划（36分）</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监理工作范围、工程建设目标、项目管理体系（3分）。（范围无遗漏，目标明确，体系完善，3分；范围有遗漏，无明确目标及管理体系，每项扣1分，扣完为止。）</w:t>
            </w:r>
          </w:p>
        </w:tc>
      </w:tr>
      <w:tr>
        <w:tblPrEx>
          <w:tblCellMar>
            <w:top w:w="0" w:type="dxa"/>
            <w:left w:w="108" w:type="dxa"/>
            <w:bottom w:w="0" w:type="dxa"/>
            <w:right w:w="108" w:type="dxa"/>
          </w:tblCellMar>
        </w:tblPrEx>
        <w:trPr>
          <w:trHeight w:val="96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项目团队履责能力（12分）。（监理项目部组织机构及职责设置合理，且配备符合电力通信工程要求的人员，12分；总监理工程师代表遗漏，扣3分；各相关专业监理工程师遗漏，扣2分；安全监理工程师遗漏，扣2分；信息资料员不齐全，扣1分。）</w:t>
            </w:r>
          </w:p>
        </w:tc>
      </w:tr>
      <w:tr>
        <w:tblPrEx>
          <w:tblCellMar>
            <w:top w:w="0" w:type="dxa"/>
            <w:left w:w="108" w:type="dxa"/>
            <w:bottom w:w="0" w:type="dxa"/>
            <w:right w:w="108" w:type="dxa"/>
          </w:tblCellMar>
        </w:tblPrEx>
        <w:trPr>
          <w:trHeight w:val="168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总监的资格业绩（10分）。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1.每具有1个800kV及以上通信工程，或1个通信中心站监理经验，积5分；最高10分。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2.每具有1个常规电力通信站工程监理经验，积2分；每具有1个基建配套通信监理业绩且监理工作内容至少涵盖传送网、基础设施、云、核心网、数据网之一的，积1分；最高6分。</w:t>
            </w:r>
          </w:p>
        </w:tc>
      </w:tr>
      <w:tr>
        <w:tblPrEx>
          <w:tblCellMar>
            <w:top w:w="0" w:type="dxa"/>
            <w:left w:w="108" w:type="dxa"/>
            <w:bottom w:w="0" w:type="dxa"/>
            <w:right w:w="108" w:type="dxa"/>
          </w:tblCellMar>
        </w:tblPrEx>
        <w:trPr>
          <w:trHeight w:val="72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总监力量投入（2分）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同一时间负责一个项目，得2分；兼任两个项目，得1分；兼任三个项目，0分。）</w:t>
            </w:r>
          </w:p>
        </w:tc>
      </w:tr>
      <w:tr>
        <w:tblPrEx>
          <w:tblCellMar>
            <w:top w:w="0" w:type="dxa"/>
            <w:left w:w="108" w:type="dxa"/>
            <w:bottom w:w="0" w:type="dxa"/>
            <w:right w:w="108" w:type="dxa"/>
          </w:tblCellMar>
        </w:tblPrEx>
        <w:trPr>
          <w:trHeight w:val="71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现场监理力量组织（6分）</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具备5个及以上通信专业现场监理工程师，6分，每少一个，扣1分。（现场监理工程师，提供身份信息、资格证书及雇佣关系证明）</w:t>
            </w:r>
          </w:p>
        </w:tc>
      </w:tr>
      <w:tr>
        <w:tblPrEx>
          <w:tblCellMar>
            <w:top w:w="0" w:type="dxa"/>
            <w:left w:w="108" w:type="dxa"/>
            <w:bottom w:w="0" w:type="dxa"/>
            <w:right w:w="108" w:type="dxa"/>
          </w:tblCellMar>
        </w:tblPrEx>
        <w:trPr>
          <w:trHeight w:val="72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监理部的办公、交通、技术标准和检测设备配备（3分）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（监理项目部配备办公、安全防护用品、交通、检测设备,扣1分；无属地协调能力，扣2分。）</w:t>
            </w:r>
          </w:p>
        </w:tc>
      </w:tr>
      <w:tr>
        <w:tblPrEx>
          <w:tblCellMar>
            <w:top w:w="0" w:type="dxa"/>
            <w:left w:w="108" w:type="dxa"/>
            <w:bottom w:w="0" w:type="dxa"/>
            <w:right w:w="108" w:type="dxa"/>
          </w:tblCellMar>
        </w:tblPrEx>
        <w:trPr>
          <w:trHeight w:val="720" w:hRule="atLeast"/>
          <w:jc w:val="center"/>
        </w:trPr>
        <w:tc>
          <w:tcPr>
            <w:tcW w:w="298"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3</w:t>
            </w:r>
          </w:p>
        </w:tc>
        <w:tc>
          <w:tcPr>
            <w:tcW w:w="391"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质量控制（23分）</w:t>
            </w:r>
          </w:p>
        </w:tc>
        <w:tc>
          <w:tcPr>
            <w:tcW w:w="539" w:type="pct"/>
            <w:vMerge w:val="restar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监理控制措施</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（22分）</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安全及文明施工（8分）。（相关控制措施合理有效，有针对性，8分；相关控制措施合理较有效，针对性不强5～7分；相关控制措施论述较充分，针对性较差1～4分。）</w:t>
            </w:r>
          </w:p>
        </w:tc>
      </w:tr>
      <w:tr>
        <w:tblPrEx>
          <w:tblCellMar>
            <w:top w:w="0" w:type="dxa"/>
            <w:left w:w="108" w:type="dxa"/>
            <w:bottom w:w="0" w:type="dxa"/>
            <w:right w:w="108" w:type="dxa"/>
          </w:tblCellMar>
        </w:tblPrEx>
        <w:trPr>
          <w:trHeight w:val="72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工程质量与档案（8分）。（相关控制措施合理有效，有针对性，验收程序合规完备，档案收集管理措施合理有效，8分；相关控制措施合理较有效，针对性不强， 验收程序合规，档案收集管理措施论述充分，4～7分；相关控制措施论述较充分，验收程序合规，档案收集管理措施论述较充分1～3分。）</w:t>
            </w:r>
          </w:p>
        </w:tc>
      </w:tr>
      <w:tr>
        <w:tblPrEx>
          <w:tblCellMar>
            <w:top w:w="0" w:type="dxa"/>
            <w:left w:w="108" w:type="dxa"/>
            <w:bottom w:w="0" w:type="dxa"/>
            <w:right w:w="108" w:type="dxa"/>
          </w:tblCellMar>
        </w:tblPrEx>
        <w:trPr>
          <w:trHeight w:val="72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color w:val="auto"/>
                <w:szCs w:val="21"/>
                <w:highlight w:val="none"/>
              </w:rPr>
            </w:pP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进度、信息及合同、投资制度（6分）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（相关控制措施制度合理有效，有针对性，6分；相关控制措施制度合理较有效，针对性不强3～5分；相关控制措施制度论述较充分，针对性不强，1～2分。）</w:t>
            </w:r>
          </w:p>
        </w:tc>
      </w:tr>
      <w:tr>
        <w:tblPrEx>
          <w:tblCellMar>
            <w:top w:w="0" w:type="dxa"/>
            <w:left w:w="108" w:type="dxa"/>
            <w:bottom w:w="0" w:type="dxa"/>
            <w:right w:w="108" w:type="dxa"/>
          </w:tblCellMar>
        </w:tblPrEx>
        <w:trPr>
          <w:trHeight w:val="480" w:hRule="atLeast"/>
          <w:jc w:val="center"/>
        </w:trPr>
        <w:tc>
          <w:tcPr>
            <w:tcW w:w="298"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391" w:type="pct"/>
            <w:vMerge w:val="continue"/>
            <w:tcBorders>
              <w:top w:val="single" w:color="000000" w:sz="4" w:space="0"/>
              <w:left w:val="single" w:color="000000" w:sz="4" w:space="0"/>
              <w:bottom w:val="single" w:color="000000" w:sz="4" w:space="0"/>
              <w:right w:val="single" w:color="000000" w:sz="4" w:space="0"/>
            </w:tcBorders>
            <w:vAlign w:val="center"/>
          </w:tcPr>
          <w:p>
            <w:pPr>
              <w:snapToGrid w:val="0"/>
              <w:jc w:val="center"/>
              <w:rPr>
                <w:rFonts w:ascii="宋体" w:hAnsi="宋体" w:eastAsia="宋体" w:cs="宋体"/>
                <w:b/>
                <w:bCs/>
                <w:color w:val="auto"/>
                <w:szCs w:val="21"/>
                <w:highlight w:val="none"/>
              </w:rPr>
            </w:pPr>
          </w:p>
        </w:tc>
        <w:tc>
          <w:tcPr>
            <w:tcW w:w="53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监理管控（1分）</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工程监理过程应用可视化手段，对施工现场进行全方位智能管控。应用了得1分，未应用不得分。</w:t>
            </w:r>
          </w:p>
        </w:tc>
      </w:tr>
      <w:tr>
        <w:tblPrEx>
          <w:tblCellMar>
            <w:top w:w="0" w:type="dxa"/>
            <w:left w:w="108" w:type="dxa"/>
            <w:bottom w:w="0" w:type="dxa"/>
            <w:right w:w="108" w:type="dxa"/>
          </w:tblCellMar>
        </w:tblPrEx>
        <w:trPr>
          <w:trHeight w:val="720" w:hRule="atLeast"/>
          <w:jc w:val="center"/>
        </w:trPr>
        <w:tc>
          <w:tcPr>
            <w:tcW w:w="298"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4</w:t>
            </w:r>
          </w:p>
        </w:tc>
        <w:tc>
          <w:tcPr>
            <w:tcW w:w="391"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lang w:bidi="ar"/>
              </w:rPr>
              <w:t>综合评价（2分）</w:t>
            </w:r>
          </w:p>
        </w:tc>
        <w:tc>
          <w:tcPr>
            <w:tcW w:w="53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left"/>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整体评价（2分）</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标书编制质量、针对性和全面响应招标要求情况（2分）。（投标重要信息简表真实准确，全面响应无漏项，2分；重要信息错误扣1分，漏项扣1分，扣完为止。）</w:t>
            </w:r>
          </w:p>
        </w:tc>
      </w:tr>
      <w:tr>
        <w:tblPrEx>
          <w:tblCellMar>
            <w:top w:w="0" w:type="dxa"/>
            <w:left w:w="108" w:type="dxa"/>
            <w:bottom w:w="0" w:type="dxa"/>
            <w:right w:w="108" w:type="dxa"/>
          </w:tblCellMar>
        </w:tblPrEx>
        <w:trPr>
          <w:trHeight w:val="720" w:hRule="atLeast"/>
          <w:jc w:val="center"/>
        </w:trPr>
        <w:tc>
          <w:tcPr>
            <w:tcW w:w="29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rFonts w:ascii="宋体" w:hAnsi="宋体" w:eastAsia="宋体" w:cs="宋体"/>
                <w:b/>
                <w:bCs/>
                <w:color w:val="auto"/>
                <w:kern w:val="0"/>
                <w:szCs w:val="21"/>
                <w:highlight w:val="none"/>
                <w:lang w:bidi="ar"/>
              </w:rPr>
            </w:pPr>
            <w:r>
              <w:rPr>
                <w:rFonts w:hint="eastAsia" w:ascii="宋体" w:hAnsi="宋体" w:eastAsia="宋体" w:cs="宋体"/>
                <w:b/>
                <w:color w:val="auto"/>
                <w:szCs w:val="21"/>
                <w:highlight w:val="none"/>
              </w:rPr>
              <w:t>5</w:t>
            </w:r>
          </w:p>
        </w:tc>
        <w:tc>
          <w:tcPr>
            <w:tcW w:w="391" w:type="pct"/>
            <w:tcBorders>
              <w:top w:val="single" w:color="000000" w:sz="4" w:space="0"/>
              <w:left w:val="single" w:color="000000" w:sz="4" w:space="0"/>
              <w:bottom w:val="single" w:color="000000" w:sz="4" w:space="0"/>
              <w:right w:val="single" w:color="000000" w:sz="4" w:space="0"/>
            </w:tcBorders>
            <w:vAlign w:val="center"/>
          </w:tcPr>
          <w:p>
            <w:pPr>
              <w:tabs>
                <w:tab w:val="left" w:pos="246"/>
              </w:tabs>
              <w:adjustRightInd w:val="0"/>
              <w:snapToGrid w:val="0"/>
              <w:jc w:val="center"/>
              <w:rPr>
                <w:rFonts w:ascii="宋体" w:hAnsi="宋体" w:eastAsia="宋体" w:cs="宋体"/>
                <w:b/>
                <w:color w:val="auto"/>
                <w:kern w:val="0"/>
                <w:szCs w:val="21"/>
                <w:highlight w:val="none"/>
                <w:lang w:bidi="ar"/>
              </w:rPr>
            </w:pPr>
            <w:r>
              <w:rPr>
                <w:rFonts w:hint="eastAsia" w:ascii="宋体" w:hAnsi="宋体" w:eastAsia="宋体" w:cs="宋体"/>
                <w:b/>
                <w:color w:val="auto"/>
                <w:kern w:val="0"/>
                <w:szCs w:val="21"/>
                <w:highlight w:val="none"/>
                <w:lang w:bidi="ar"/>
              </w:rPr>
              <w:t>绩效评价</w:t>
            </w:r>
          </w:p>
          <w:p>
            <w:pPr>
              <w:adjustRightInd w:val="0"/>
              <w:snapToGrid w:val="0"/>
              <w:jc w:val="center"/>
              <w:rPr>
                <w:rFonts w:ascii="宋体" w:hAnsi="宋体" w:eastAsia="宋体" w:cs="宋体"/>
                <w:b/>
                <w:bCs/>
                <w:color w:val="auto"/>
                <w:kern w:val="0"/>
                <w:szCs w:val="21"/>
                <w:highlight w:val="none"/>
                <w:lang w:bidi="ar"/>
              </w:rPr>
            </w:pPr>
            <w:r>
              <w:rPr>
                <w:rFonts w:hint="eastAsia" w:ascii="宋体" w:hAnsi="宋体" w:eastAsia="宋体" w:cs="宋体"/>
                <w:b/>
                <w:color w:val="auto"/>
                <w:kern w:val="0"/>
                <w:szCs w:val="21"/>
                <w:highlight w:val="none"/>
                <w:lang w:bidi="ar"/>
              </w:rPr>
              <w:t>（20分）</w:t>
            </w:r>
          </w:p>
        </w:tc>
        <w:tc>
          <w:tcPr>
            <w:tcW w:w="53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rPr>
                <w:rFonts w:ascii="宋体" w:hAnsi="宋体" w:eastAsia="宋体" w:cs="宋体"/>
                <w:color w:val="auto"/>
                <w:szCs w:val="21"/>
                <w:highlight w:val="none"/>
              </w:rPr>
            </w:pPr>
            <w:r>
              <w:rPr>
                <w:rFonts w:hint="eastAsia" w:ascii="宋体" w:hAnsi="宋体" w:eastAsia="宋体" w:cs="宋体"/>
                <w:color w:val="auto"/>
                <w:szCs w:val="21"/>
                <w:highlight w:val="none"/>
              </w:rPr>
              <w:t>绩效评价</w:t>
            </w:r>
          </w:p>
          <w:p>
            <w:pPr>
              <w:widowControl/>
              <w:snapToGrid w:val="0"/>
              <w:jc w:val="center"/>
              <w:rPr>
                <w:rFonts w:ascii="宋体" w:hAnsi="宋体" w:eastAsia="宋体" w:cs="宋体"/>
                <w:color w:val="auto"/>
                <w:kern w:val="0"/>
                <w:szCs w:val="21"/>
                <w:highlight w:val="none"/>
                <w:lang w:bidi="ar"/>
              </w:rPr>
            </w:pPr>
            <w:r>
              <w:rPr>
                <w:rFonts w:hint="eastAsia" w:ascii="宋体" w:hAnsi="宋体" w:eastAsia="宋体" w:cs="宋体"/>
                <w:color w:val="auto"/>
                <w:szCs w:val="21"/>
                <w:highlight w:val="none"/>
              </w:rPr>
              <w:t>（20分）</w:t>
            </w:r>
          </w:p>
        </w:tc>
        <w:tc>
          <w:tcPr>
            <w:tcW w:w="3769" w:type="pct"/>
            <w:tcBorders>
              <w:top w:val="single" w:color="000000" w:sz="4" w:space="0"/>
              <w:left w:val="single" w:color="000000" w:sz="4" w:space="0"/>
              <w:bottom w:val="single" w:color="000000" w:sz="4" w:space="0"/>
              <w:right w:val="single" w:color="000000" w:sz="4" w:space="0"/>
            </w:tcBorders>
            <w:vAlign w:val="center"/>
          </w:tcPr>
          <w:p>
            <w:pPr>
              <w:pStyle w:val="5"/>
              <w:snapToGrid w:val="0"/>
              <w:ind w:firstLine="0"/>
              <w:rPr>
                <w:rFonts w:hint="default" w:ascii="宋体" w:hAnsi="宋体" w:cs="宋体"/>
                <w:color w:val="auto"/>
                <w:kern w:val="0"/>
                <w:szCs w:val="21"/>
                <w:highlight w:val="none"/>
                <w:lang w:bidi="ar"/>
              </w:rPr>
            </w:pPr>
            <w:r>
              <w:rPr>
                <w:rFonts w:ascii="宋体" w:hAnsi="宋体" w:cs="宋体"/>
                <w:color w:val="auto"/>
                <w:szCs w:val="21"/>
                <w:highlight w:val="none"/>
              </w:rPr>
              <w:t>按绩效评价得分*0.2计算，对于无绩效评价的投标人，根据投标文件中资源实力等相关信息进行综合评价打分。（得分按四舍五入保留</w:t>
            </w:r>
            <w:r>
              <w:rPr>
                <w:rFonts w:ascii="宋体" w:hAnsi="宋体" w:cs="宋体"/>
                <w:color w:val="auto"/>
                <w:kern w:val="0"/>
                <w:szCs w:val="21"/>
                <w:highlight w:val="none"/>
              </w:rPr>
              <w:t>两位小数</w:t>
            </w:r>
            <w:r>
              <w:rPr>
                <w:rFonts w:ascii="宋体" w:hAnsi="宋体" w:cs="宋体"/>
                <w:color w:val="auto"/>
                <w:szCs w:val="21"/>
                <w:highlight w:val="none"/>
              </w:rPr>
              <w:t>）未开展绩效评价阶段，绩效评价得分按100分计列。</w:t>
            </w:r>
          </w:p>
        </w:tc>
      </w:tr>
      <w:tr>
        <w:tblPrEx>
          <w:tblCellMar>
            <w:top w:w="0" w:type="dxa"/>
            <w:left w:w="108" w:type="dxa"/>
            <w:bottom w:w="0" w:type="dxa"/>
            <w:right w:w="108" w:type="dxa"/>
          </w:tblCellMar>
        </w:tblPrEx>
        <w:trPr>
          <w:trHeight w:val="720" w:hRule="atLeast"/>
          <w:jc w:val="center"/>
        </w:trPr>
        <w:tc>
          <w:tcPr>
            <w:tcW w:w="298"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rPr>
                <w:rFonts w:ascii="宋体" w:hAnsi="宋体" w:eastAsia="宋体" w:cs="宋体"/>
                <w:b/>
                <w:color w:val="auto"/>
                <w:szCs w:val="21"/>
                <w:highlight w:val="none"/>
              </w:rPr>
            </w:pPr>
            <w:r>
              <w:rPr>
                <w:rFonts w:hint="eastAsia" w:ascii="宋体" w:hAnsi="宋体" w:eastAsia="宋体" w:cs="宋体"/>
                <w:b/>
                <w:bCs/>
                <w:color w:val="auto"/>
                <w:kern w:val="0"/>
                <w:szCs w:val="21"/>
                <w:highlight w:val="none"/>
              </w:rPr>
              <w:t>6</w:t>
            </w:r>
          </w:p>
        </w:tc>
        <w:tc>
          <w:tcPr>
            <w:tcW w:w="391"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b/>
                <w:color w:val="auto"/>
                <w:kern w:val="0"/>
                <w:szCs w:val="21"/>
                <w:highlight w:val="none"/>
                <w:lang w:bidi="ar"/>
              </w:rPr>
            </w:pPr>
            <w:r>
              <w:rPr>
                <w:rFonts w:hint="eastAsia" w:ascii="宋体" w:hAnsi="宋体" w:eastAsia="宋体" w:cs="宋体"/>
                <w:b/>
                <w:bCs/>
                <w:color w:val="auto"/>
                <w:kern w:val="0"/>
                <w:szCs w:val="21"/>
                <w:highlight w:val="none"/>
              </w:rPr>
              <w:t>风险评价</w:t>
            </w:r>
          </w:p>
        </w:tc>
        <w:tc>
          <w:tcPr>
            <w:tcW w:w="539" w:type="pct"/>
            <w:tcBorders>
              <w:top w:val="single" w:color="000000" w:sz="4" w:space="0"/>
              <w:left w:val="single" w:color="000000" w:sz="4" w:space="0"/>
              <w:bottom w:val="single" w:color="000000" w:sz="4" w:space="0"/>
              <w:right w:val="single" w:color="000000" w:sz="4" w:space="0"/>
            </w:tcBorders>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（-20-0）</w:t>
            </w:r>
          </w:p>
        </w:tc>
        <w:tc>
          <w:tcPr>
            <w:tcW w:w="3769" w:type="pct"/>
            <w:tcBorders>
              <w:top w:val="single" w:color="000000" w:sz="4" w:space="0"/>
              <w:left w:val="single" w:color="000000" w:sz="4" w:space="0"/>
              <w:bottom w:val="single" w:color="000000" w:sz="4" w:space="0"/>
              <w:right w:val="single" w:color="000000" w:sz="4" w:space="0"/>
            </w:tcBorders>
            <w:vAlign w:val="center"/>
          </w:tcPr>
          <w:p>
            <w:pPr>
              <w:widowControl/>
              <w:snapToGrid w:val="0"/>
              <w:rPr>
                <w:rFonts w:ascii="宋体" w:hAnsi="宋体" w:eastAsia="宋体" w:cs="宋体"/>
                <w:color w:val="auto"/>
                <w:szCs w:val="21"/>
                <w:highlight w:val="none"/>
              </w:rPr>
            </w:pPr>
            <w:r>
              <w:rPr>
                <w:rFonts w:hint="eastAsia" w:ascii="宋体" w:hAnsi="宋体" w:eastAsia="宋体" w:cs="宋体"/>
                <w:color w:val="auto"/>
                <w:kern w:val="0"/>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cs="宋体"/>
                <w:color w:val="auto"/>
                <w:szCs w:val="21"/>
                <w:highlight w:val="none"/>
              </w:rPr>
            </w:pPr>
            <w:r>
              <w:rPr>
                <w:rFonts w:hint="eastAsia" w:ascii="宋体" w:hAnsi="宋体" w:eastAsia="宋体" w:cs="宋体"/>
                <w:color w:val="auto"/>
                <w:kern w:val="0"/>
                <w:szCs w:val="21"/>
                <w:highlight w:val="none"/>
              </w:rPr>
              <w:t>无上述情形的，不扣分。</w:t>
            </w:r>
          </w:p>
        </w:tc>
      </w:tr>
      <w:bookmarkEnd w:id="229"/>
      <w:bookmarkEnd w:id="230"/>
      <w:bookmarkEnd w:id="231"/>
      <w:bookmarkEnd w:id="232"/>
    </w:tbl>
    <w:p>
      <w:pPr>
        <w:rPr>
          <w:rFonts w:ascii="宋体" w:hAnsi="宋体" w:eastAsia="宋体" w:cs="宋体"/>
          <w:color w:val="auto"/>
          <w:szCs w:val="21"/>
          <w:highlight w:val="none"/>
        </w:rPr>
      </w:pPr>
    </w:p>
    <w:p>
      <w:pPr>
        <w:spacing w:line="560" w:lineRule="exact"/>
        <w:ind w:firstLine="640"/>
        <w:rPr>
          <w:rFonts w:hint="eastAsia" w:ascii="方正仿宋_GBK" w:hAnsi="方正仿宋_GBK" w:eastAsia="方正仿宋_GBK" w:cs="方正仿宋_GBK"/>
          <w:bCs/>
          <w:color w:val="auto"/>
          <w:sz w:val="32"/>
          <w:szCs w:val="32"/>
          <w:highlight w:val="none"/>
        </w:rPr>
      </w:pPr>
    </w:p>
    <w:p>
      <w:pPr>
        <w:spacing w:line="560" w:lineRule="exact"/>
        <w:ind w:firstLine="640"/>
        <w:rPr>
          <w:rFonts w:ascii="方正仿宋_GBK" w:hAnsi="方正仿宋_GBK" w:eastAsia="方正仿宋_GBK" w:cs="方正仿宋_GBK"/>
          <w:bCs/>
          <w:color w:val="auto"/>
          <w:sz w:val="32"/>
          <w:szCs w:val="32"/>
          <w:highlight w:val="none"/>
        </w:rPr>
      </w:pPr>
      <w:r>
        <w:rPr>
          <w:rFonts w:hint="eastAsia" w:ascii="方正仿宋_GBK" w:hAnsi="方正仿宋_GBK" w:eastAsia="方正仿宋_GBK" w:cs="方正仿宋_GBK"/>
          <w:bCs/>
          <w:color w:val="auto"/>
          <w:sz w:val="32"/>
          <w:szCs w:val="32"/>
          <w:highlight w:val="none"/>
        </w:rPr>
        <w:t>结算审核</w:t>
      </w:r>
    </w:p>
    <w:p>
      <w:pPr>
        <w:jc w:val="center"/>
        <w:rPr>
          <w:rFonts w:ascii="方正楷体_GBK" w:hAnsi="方正楷体_GBK" w:eastAsia="方正楷体_GBK" w:cs="方正楷体_GBK"/>
          <w:b/>
          <w:bCs/>
          <w:color w:val="auto"/>
          <w:sz w:val="32"/>
          <w:szCs w:val="32"/>
          <w:highlight w:val="none"/>
        </w:rPr>
      </w:pPr>
      <w:r>
        <w:rPr>
          <w:rFonts w:hint="eastAsia" w:ascii="方正楷体_GBK" w:hAnsi="方正楷体_GBK" w:eastAsia="方正楷体_GBK" w:cs="方正楷体_GBK"/>
          <w:b/>
          <w:bCs/>
          <w:color w:val="auto"/>
          <w:sz w:val="32"/>
          <w:szCs w:val="32"/>
          <w:highlight w:val="none"/>
          <w:lang w:val="en-US" w:eastAsia="zh-CN"/>
        </w:rPr>
        <w:t>包1-11</w:t>
      </w:r>
      <w:r>
        <w:rPr>
          <w:rFonts w:hint="eastAsia" w:ascii="方正楷体_GBK" w:hAnsi="方正楷体_GBK" w:eastAsia="方正楷体_GBK" w:cs="方正楷体_GBK"/>
          <w:b/>
          <w:bCs/>
          <w:color w:val="auto"/>
          <w:sz w:val="32"/>
          <w:szCs w:val="32"/>
          <w:highlight w:val="none"/>
        </w:rPr>
        <w:t>（适用于线路、GIL管廊土建部分工程结算审核包）</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7"/>
        <w:gridCol w:w="691"/>
        <w:gridCol w:w="1265"/>
        <w:gridCol w:w="5318"/>
        <w:gridCol w:w="5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jc w:val="center"/>
        </w:trPr>
        <w:tc>
          <w:tcPr>
            <w:tcW w:w="0" w:type="auto"/>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adjustRightInd w:val="0"/>
              <w:snapToGrid w:val="0"/>
              <w:jc w:val="center"/>
              <w:rPr>
                <w:rFonts w:ascii="宋体" w:hAnsi="宋体" w:eastAsia="宋体" w:cs="宋体"/>
                <w:b/>
                <w:color w:val="auto"/>
                <w:szCs w:val="21"/>
                <w:highlight w:val="none"/>
              </w:rPr>
            </w:pPr>
            <w:r>
              <w:rPr>
                <w:rFonts w:hint="eastAsia" w:ascii="宋体" w:hAnsi="宋体" w:eastAsia="宋体" w:cs="宋体"/>
                <w:b/>
                <w:color w:val="auto"/>
                <w:szCs w:val="21"/>
                <w:highlight w:val="none"/>
              </w:rPr>
              <w:t>序号</w:t>
            </w:r>
          </w:p>
        </w:tc>
        <w:tc>
          <w:tcPr>
            <w:tcW w:w="0" w:type="auto"/>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adjustRightInd w:val="0"/>
              <w:snapToGrid w:val="0"/>
              <w:jc w:val="center"/>
              <w:rPr>
                <w:rFonts w:ascii="宋体" w:hAnsi="宋体" w:eastAsia="宋体" w:cs="宋体"/>
                <w:b/>
                <w:color w:val="auto"/>
                <w:szCs w:val="21"/>
                <w:highlight w:val="none"/>
              </w:rPr>
            </w:pPr>
            <w:r>
              <w:rPr>
                <w:rFonts w:hint="eastAsia" w:ascii="宋体" w:hAnsi="宋体" w:eastAsia="宋体" w:cs="宋体"/>
                <w:b/>
                <w:color w:val="auto"/>
                <w:szCs w:val="21"/>
                <w:highlight w:val="none"/>
              </w:rPr>
              <w:t>项目</w:t>
            </w:r>
          </w:p>
        </w:tc>
        <w:tc>
          <w:tcPr>
            <w:tcW w:w="0" w:type="auto"/>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adjustRightInd w:val="0"/>
              <w:snapToGrid w:val="0"/>
              <w:jc w:val="center"/>
              <w:rPr>
                <w:rFonts w:ascii="宋体" w:hAnsi="宋体" w:eastAsia="宋体" w:cs="宋体"/>
                <w:b/>
                <w:color w:val="auto"/>
                <w:szCs w:val="21"/>
                <w:highlight w:val="none"/>
              </w:rPr>
            </w:pPr>
            <w:r>
              <w:rPr>
                <w:rFonts w:hint="eastAsia" w:ascii="宋体" w:hAnsi="宋体" w:eastAsia="宋体" w:cs="宋体"/>
                <w:b/>
                <w:color w:val="auto"/>
                <w:szCs w:val="21"/>
                <w:highlight w:val="none"/>
              </w:rPr>
              <w:t>评审内容及分值</w:t>
            </w:r>
          </w:p>
        </w:tc>
        <w:tc>
          <w:tcPr>
            <w:tcW w:w="0" w:type="auto"/>
            <w:gridSpan w:val="2"/>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adjustRightInd w:val="0"/>
              <w:snapToGrid w:val="0"/>
              <w:jc w:val="center"/>
              <w:rPr>
                <w:rFonts w:ascii="宋体" w:hAnsi="宋体" w:eastAsia="宋体" w:cs="宋体"/>
                <w:b/>
                <w:color w:val="auto"/>
                <w:szCs w:val="21"/>
                <w:highlight w:val="none"/>
              </w:rPr>
            </w:pPr>
            <w:r>
              <w:rPr>
                <w:rFonts w:hint="eastAsia" w:ascii="宋体" w:hAnsi="宋体" w:eastAsia="宋体" w:cs="宋体"/>
                <w:b/>
                <w:color w:val="auto"/>
                <w:szCs w:val="21"/>
                <w:highlight w:val="none"/>
              </w:rPr>
              <w:t>项目内容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restart"/>
            <w:tcBorders>
              <w:top w:val="nil"/>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1</w:t>
            </w:r>
          </w:p>
        </w:tc>
        <w:tc>
          <w:tcPr>
            <w:tcW w:w="0" w:type="auto"/>
            <w:vMerge w:val="restart"/>
            <w:tcBorders>
              <w:top w:val="nil"/>
              <w:left w:val="nil"/>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技术水平</w:t>
            </w:r>
          </w:p>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（35分）</w:t>
            </w:r>
          </w:p>
        </w:tc>
        <w:tc>
          <w:tcPr>
            <w:tcW w:w="0" w:type="auto"/>
            <w:vMerge w:val="restart"/>
            <w:tcBorders>
              <w:top w:val="nil"/>
              <w:left w:val="nil"/>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相似工程业绩（30分）</w:t>
            </w:r>
          </w:p>
        </w:tc>
        <w:tc>
          <w:tcPr>
            <w:tcW w:w="0" w:type="auto"/>
            <w:gridSpan w:val="2"/>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b/>
                <w:bCs/>
                <w:color w:val="auto"/>
                <w:szCs w:val="21"/>
                <w:highlight w:val="none"/>
              </w:rPr>
              <w:t>开标日前5年内全口径竣工结算审核（本项最多得30分）</w:t>
            </w:r>
            <w:r>
              <w:rPr>
                <w:rFonts w:hint="eastAsia" w:ascii="宋体" w:hAnsi="宋体" w:eastAsia="宋体" w:cs="宋体"/>
                <w:color w:val="auto"/>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continue"/>
            <w:tcBorders>
              <w:left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tcBorders>
              <w:left w:val="nil"/>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Merge w:val="continue"/>
            <w:tcBorders>
              <w:left w:val="nil"/>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tcBorders>
              <w:top w:val="single" w:color="000000" w:sz="4" w:space="0"/>
              <w:left w:val="nil"/>
              <w:bottom w:val="single" w:color="000000" w:sz="4" w:space="0"/>
              <w:right w:val="single" w:color="auto"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800kV及以上，GIL新建工程土建施工或大跨越工程或新建长度50公里（折单）及以上</w:t>
            </w:r>
            <w:r>
              <w:rPr>
                <w:rFonts w:hint="eastAsia" w:ascii="宋体" w:hAnsi="宋体" w:eastAsia="宋体" w:cs="宋体"/>
                <w:b/>
                <w:bCs/>
                <w:color w:val="auto"/>
                <w:szCs w:val="21"/>
                <w:highlight w:val="none"/>
              </w:rPr>
              <w:t>线路工程</w:t>
            </w:r>
            <w:r>
              <w:rPr>
                <w:rFonts w:hint="eastAsia" w:ascii="宋体" w:hAnsi="宋体" w:eastAsia="宋体" w:cs="宋体"/>
                <w:color w:val="auto"/>
                <w:szCs w:val="21"/>
                <w:highlight w:val="none"/>
              </w:rPr>
              <w:t>竣工结算审核业务。</w:t>
            </w:r>
          </w:p>
        </w:tc>
        <w:tc>
          <w:tcPr>
            <w:tcW w:w="0" w:type="auto"/>
            <w:tcBorders>
              <w:top w:val="single" w:color="000000" w:sz="4" w:space="0"/>
              <w:left w:val="single" w:color="auto" w:sz="4" w:space="0"/>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每项得4分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continue"/>
            <w:tcBorders>
              <w:left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tcBorders>
              <w:left w:val="nil"/>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Merge w:val="continue"/>
            <w:tcBorders>
              <w:left w:val="nil"/>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tcBorders>
              <w:top w:val="single" w:color="000000" w:sz="4" w:space="0"/>
              <w:left w:val="nil"/>
              <w:bottom w:val="single" w:color="000000" w:sz="4" w:space="0"/>
              <w:right w:val="single" w:color="auto"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500kV~750kV，GIL新建工程土建施工或大跨越工程或新建长度40公里（折单）及以上</w:t>
            </w:r>
            <w:r>
              <w:rPr>
                <w:rFonts w:hint="eastAsia" w:ascii="宋体" w:hAnsi="宋体" w:eastAsia="宋体" w:cs="宋体"/>
                <w:b/>
                <w:bCs/>
                <w:color w:val="auto"/>
                <w:szCs w:val="21"/>
                <w:highlight w:val="none"/>
              </w:rPr>
              <w:t>线路工程</w:t>
            </w:r>
            <w:r>
              <w:rPr>
                <w:rFonts w:hint="eastAsia" w:ascii="宋体" w:hAnsi="宋体" w:eastAsia="宋体" w:cs="宋体"/>
                <w:color w:val="auto"/>
                <w:szCs w:val="21"/>
                <w:highlight w:val="none"/>
              </w:rPr>
              <w:t>竣工结算审核审核业务。</w:t>
            </w:r>
          </w:p>
        </w:tc>
        <w:tc>
          <w:tcPr>
            <w:tcW w:w="0" w:type="auto"/>
            <w:tcBorders>
              <w:top w:val="single" w:color="000000" w:sz="4" w:space="0"/>
              <w:left w:val="single" w:color="auto" w:sz="4" w:space="0"/>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每项得2分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continue"/>
            <w:tcBorders>
              <w:left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tcBorders>
              <w:left w:val="nil"/>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Merge w:val="continue"/>
            <w:tcBorders>
              <w:left w:val="nil"/>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tcBorders>
              <w:top w:val="single" w:color="000000" w:sz="4" w:space="0"/>
              <w:left w:val="nil"/>
              <w:bottom w:val="single" w:color="000000" w:sz="4" w:space="0"/>
              <w:right w:val="single" w:color="auto"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220kV~330kV，大跨越工程或新建长度25公里（折单）及以上</w:t>
            </w:r>
            <w:r>
              <w:rPr>
                <w:rFonts w:hint="eastAsia" w:ascii="宋体" w:hAnsi="宋体" w:eastAsia="宋体" w:cs="宋体"/>
                <w:b/>
                <w:bCs/>
                <w:color w:val="auto"/>
                <w:szCs w:val="21"/>
                <w:highlight w:val="none"/>
              </w:rPr>
              <w:t>线路工程</w:t>
            </w:r>
            <w:r>
              <w:rPr>
                <w:rFonts w:hint="eastAsia" w:ascii="宋体" w:hAnsi="宋体" w:eastAsia="宋体" w:cs="宋体"/>
                <w:color w:val="auto"/>
                <w:szCs w:val="21"/>
                <w:highlight w:val="none"/>
              </w:rPr>
              <w:t>竣工结算审核业务。</w:t>
            </w:r>
          </w:p>
        </w:tc>
        <w:tc>
          <w:tcPr>
            <w:tcW w:w="0" w:type="auto"/>
            <w:tcBorders>
              <w:top w:val="single" w:color="000000" w:sz="4" w:space="0"/>
              <w:left w:val="single" w:color="auto" w:sz="4" w:space="0"/>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每项得1分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vMerge w:val="continue"/>
            <w:tcBorders>
              <w:left w:val="nil"/>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gridSpan w:val="2"/>
            <w:tcBorders>
              <w:top w:val="single" w:color="000000" w:sz="4" w:space="0"/>
              <w:left w:val="nil"/>
              <w:bottom w:val="single" w:color="auto"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b/>
                <w:bCs/>
                <w:color w:val="auto"/>
                <w:szCs w:val="21"/>
                <w:highlight w:val="none"/>
              </w:rPr>
              <w:t>开标日前5年内预结算咨询或仅施工结算审核（本项最多得20分）</w:t>
            </w:r>
            <w:r>
              <w:rPr>
                <w:rFonts w:hint="eastAsia" w:ascii="宋体" w:hAnsi="宋体" w:eastAsia="宋体" w:cs="宋体"/>
                <w:color w:val="auto"/>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vMerge w:val="continue"/>
            <w:tcBorders>
              <w:left w:val="nil"/>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tcBorders>
              <w:top w:val="single" w:color="000000" w:sz="4" w:space="0"/>
              <w:left w:val="nil"/>
              <w:bottom w:val="single" w:color="auto" w:sz="4" w:space="0"/>
              <w:right w:val="single" w:color="auto"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800kV及以上，GIL新建工程土建施工或大跨越工程或新建长度50公里（折单）及以上</w:t>
            </w:r>
            <w:r>
              <w:rPr>
                <w:rFonts w:hint="eastAsia" w:ascii="宋体" w:hAnsi="宋体" w:eastAsia="宋体" w:cs="宋体"/>
                <w:b/>
                <w:bCs/>
                <w:color w:val="auto"/>
                <w:szCs w:val="21"/>
                <w:highlight w:val="none"/>
              </w:rPr>
              <w:t>线路工程</w:t>
            </w:r>
            <w:r>
              <w:rPr>
                <w:rFonts w:hint="eastAsia" w:ascii="宋体" w:hAnsi="宋体" w:eastAsia="宋体" w:cs="宋体"/>
                <w:color w:val="auto"/>
                <w:szCs w:val="21"/>
                <w:highlight w:val="none"/>
              </w:rPr>
              <w:t>预结算咨询或仅施工结算审核业务。</w:t>
            </w:r>
          </w:p>
        </w:tc>
        <w:tc>
          <w:tcPr>
            <w:tcW w:w="0" w:type="auto"/>
            <w:tcBorders>
              <w:top w:val="single" w:color="000000" w:sz="4" w:space="0"/>
              <w:left w:val="single" w:color="auto" w:sz="4" w:space="0"/>
              <w:bottom w:val="single" w:color="auto"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每项得2分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vMerge w:val="continue"/>
            <w:tcBorders>
              <w:left w:val="nil"/>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tcBorders>
              <w:top w:val="single" w:color="auto" w:sz="4" w:space="0"/>
              <w:left w:val="nil"/>
              <w:bottom w:val="single" w:color="000000" w:sz="4" w:space="0"/>
              <w:right w:val="single" w:color="auto"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500kV~750kV，GIL新建工程土建施工或大跨越工程或新建长度40公里（折单）及以上</w:t>
            </w:r>
            <w:r>
              <w:rPr>
                <w:rFonts w:hint="eastAsia" w:ascii="宋体" w:hAnsi="宋体" w:eastAsia="宋体" w:cs="宋体"/>
                <w:b/>
                <w:bCs/>
                <w:color w:val="auto"/>
                <w:szCs w:val="21"/>
                <w:highlight w:val="none"/>
              </w:rPr>
              <w:t>线路工程</w:t>
            </w:r>
            <w:r>
              <w:rPr>
                <w:rFonts w:hint="eastAsia" w:ascii="宋体" w:hAnsi="宋体" w:eastAsia="宋体" w:cs="宋体"/>
                <w:color w:val="auto"/>
                <w:szCs w:val="21"/>
                <w:highlight w:val="none"/>
              </w:rPr>
              <w:t>预结算咨询或仅施工结算审核业务。</w:t>
            </w:r>
          </w:p>
        </w:tc>
        <w:tc>
          <w:tcPr>
            <w:tcW w:w="0" w:type="auto"/>
            <w:tcBorders>
              <w:top w:val="single" w:color="auto" w:sz="4" w:space="0"/>
              <w:left w:val="single" w:color="auto" w:sz="4" w:space="0"/>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每项得1分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vMerge w:val="continue"/>
            <w:tcBorders>
              <w:left w:val="nil"/>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gridSpan w:val="2"/>
            <w:tcBorders>
              <w:top w:val="single" w:color="auto" w:sz="4" w:space="0"/>
              <w:left w:val="nil"/>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strike/>
                <w:color w:val="auto"/>
                <w:szCs w:val="21"/>
                <w:highlight w:val="none"/>
              </w:rPr>
            </w:pPr>
            <w:r>
              <w:rPr>
                <w:rFonts w:hint="eastAsia" w:ascii="宋体" w:hAnsi="宋体" w:eastAsia="宋体" w:cs="宋体"/>
                <w:b/>
                <w:bCs/>
                <w:color w:val="auto"/>
                <w:szCs w:val="21"/>
                <w:highlight w:val="none"/>
              </w:rPr>
              <w:t>开标日前5年内施工招标工程量清单编制或审查（本项最多得20分）</w:t>
            </w:r>
            <w:r>
              <w:rPr>
                <w:rFonts w:hint="eastAsia" w:ascii="宋体" w:hAnsi="宋体" w:eastAsia="宋体" w:cs="宋体"/>
                <w:color w:val="auto"/>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vMerge w:val="continue"/>
            <w:tcBorders>
              <w:left w:val="nil"/>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tcBorders>
              <w:top w:val="single" w:color="auto" w:sz="4" w:space="0"/>
              <w:left w:val="nil"/>
              <w:bottom w:val="single" w:color="000000" w:sz="4" w:space="0"/>
              <w:right w:val="single" w:color="auto"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800kV及以上，GIL新建工程土建施工或大跨越工程或新建长度50公里（折单）及以上</w:t>
            </w:r>
            <w:r>
              <w:rPr>
                <w:rFonts w:hint="eastAsia" w:ascii="宋体" w:hAnsi="宋体" w:eastAsia="宋体" w:cs="宋体"/>
                <w:b/>
                <w:bCs/>
                <w:color w:val="auto"/>
                <w:szCs w:val="21"/>
                <w:highlight w:val="none"/>
              </w:rPr>
              <w:t>线路工程</w:t>
            </w:r>
            <w:r>
              <w:rPr>
                <w:rFonts w:hint="eastAsia" w:ascii="宋体" w:hAnsi="宋体" w:eastAsia="宋体" w:cs="宋体"/>
                <w:color w:val="auto"/>
                <w:szCs w:val="21"/>
                <w:highlight w:val="none"/>
              </w:rPr>
              <w:t>施工招标工程量清单编制或审查业务。</w:t>
            </w:r>
          </w:p>
        </w:tc>
        <w:tc>
          <w:tcPr>
            <w:tcW w:w="0" w:type="auto"/>
            <w:tcBorders>
              <w:top w:val="single" w:color="auto" w:sz="4" w:space="0"/>
              <w:left w:val="single" w:color="auto" w:sz="4" w:space="0"/>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每项得2分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vMerge w:val="continue"/>
            <w:tcBorders>
              <w:left w:val="nil"/>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tcBorders>
              <w:top w:val="single" w:color="auto" w:sz="4" w:space="0"/>
              <w:left w:val="nil"/>
              <w:bottom w:val="single" w:color="000000" w:sz="4" w:space="0"/>
              <w:right w:val="single" w:color="auto"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500kV~750kV，GIL新建工程土建施工或大跨越工程或新建长度40公里（折单）及以上</w:t>
            </w:r>
            <w:r>
              <w:rPr>
                <w:rFonts w:hint="eastAsia" w:ascii="宋体" w:hAnsi="宋体" w:eastAsia="宋体" w:cs="宋体"/>
                <w:b/>
                <w:bCs/>
                <w:color w:val="auto"/>
                <w:szCs w:val="21"/>
                <w:highlight w:val="none"/>
              </w:rPr>
              <w:t>线路工程</w:t>
            </w:r>
            <w:r>
              <w:rPr>
                <w:rFonts w:hint="eastAsia" w:ascii="宋体" w:hAnsi="宋体" w:eastAsia="宋体" w:cs="宋体"/>
                <w:color w:val="auto"/>
                <w:szCs w:val="21"/>
                <w:highlight w:val="none"/>
              </w:rPr>
              <w:t>施工招标工程量清单编制或审查业务。</w:t>
            </w:r>
          </w:p>
        </w:tc>
        <w:tc>
          <w:tcPr>
            <w:tcW w:w="0" w:type="auto"/>
            <w:tcBorders>
              <w:top w:val="single" w:color="auto" w:sz="4" w:space="0"/>
              <w:left w:val="single" w:color="auto" w:sz="4" w:space="0"/>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每项得1分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vMerge w:val="continue"/>
            <w:tcBorders>
              <w:left w:val="nil"/>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gridSpan w:val="2"/>
            <w:tcBorders>
              <w:top w:val="single" w:color="auto" w:sz="4" w:space="0"/>
              <w:left w:val="nil"/>
              <w:bottom w:val="single" w:color="000000" w:sz="4" w:space="0"/>
              <w:right w:val="single" w:color="000000" w:sz="4" w:space="0"/>
            </w:tcBorders>
            <w:tcMar>
              <w:top w:w="15" w:type="dxa"/>
              <w:left w:w="15" w:type="dxa"/>
              <w:bottom w:w="15" w:type="dxa"/>
              <w:right w:w="15" w:type="dxa"/>
            </w:tcMar>
            <w:vAlign w:val="center"/>
          </w:tcPr>
          <w:p>
            <w:pPr>
              <w:numPr>
                <w:ilvl w:val="0"/>
                <w:numId w:val="6"/>
              </w:numPr>
              <w:snapToGrid w:val="0"/>
              <w:rPr>
                <w:rFonts w:ascii="宋体" w:hAnsi="宋体" w:eastAsia="宋体" w:cs="宋体"/>
                <w:b/>
                <w:bCs/>
                <w:color w:val="auto"/>
                <w:szCs w:val="21"/>
                <w:highlight w:val="none"/>
              </w:rPr>
            </w:pPr>
            <w:r>
              <w:rPr>
                <w:rFonts w:hint="eastAsia" w:ascii="宋体" w:hAnsi="宋体" w:eastAsia="宋体" w:cs="宋体"/>
                <w:b/>
                <w:bCs/>
                <w:color w:val="auto"/>
                <w:szCs w:val="21"/>
                <w:highlight w:val="none"/>
              </w:rPr>
              <w:t>相似工程业绩评分时，只接受投标人与项目法人或建设管理单位直接签订的服务合同（协议）作为证明的工程业绩，以转包或其他方式承揽的工程业绩不予认可。</w:t>
            </w:r>
          </w:p>
          <w:p>
            <w:pPr>
              <w:numPr>
                <w:ilvl w:val="0"/>
                <w:numId w:val="6"/>
              </w:numPr>
              <w:snapToGrid w:val="0"/>
              <w:rPr>
                <w:rFonts w:ascii="宋体" w:hAnsi="宋体" w:eastAsia="宋体" w:cs="宋体"/>
                <w:color w:val="auto"/>
                <w:szCs w:val="21"/>
                <w:highlight w:val="none"/>
              </w:rPr>
            </w:pPr>
            <w:r>
              <w:rPr>
                <w:rFonts w:hint="eastAsia" w:ascii="宋体" w:hAnsi="宋体" w:eastAsia="宋体" w:cs="宋体"/>
                <w:b/>
                <w:bCs/>
                <w:color w:val="auto"/>
                <w:szCs w:val="21"/>
                <w:highlight w:val="none"/>
              </w:rPr>
              <w:t>相似工程业绩仅认可已完工作，未完工作不予认可，除提供合同外，应补充提供正式签订的结算定案表或正式印发的结算批文。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工作方案（5分）</w:t>
            </w:r>
          </w:p>
        </w:tc>
        <w:tc>
          <w:tcPr>
            <w:tcW w:w="0" w:type="auto"/>
            <w:gridSpan w:val="2"/>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投标文件须对结算审核（审价）工作总体、重点、难点有深刻、全面认识，提供明确的分步结算方案和计划，提出先进、具体、有效、成熟解决措施，措施需方案完整、切实可行，表述需清晰、完整、严谨、合理。对结算审核工作认识、解决措施、措施方案、表述等方面全部充分合理的得5分，有1项不充分得4分，2项及以上不充分得0-3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2</w:t>
            </w:r>
          </w:p>
        </w:tc>
        <w:tc>
          <w:tcPr>
            <w:tcW w:w="0" w:type="auto"/>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团队配置</w:t>
            </w:r>
          </w:p>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（15分）</w:t>
            </w:r>
          </w:p>
        </w:tc>
        <w:tc>
          <w:tcPr>
            <w:tcW w:w="0" w:type="auto"/>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工作组织及人员配备（15分）</w:t>
            </w:r>
          </w:p>
        </w:tc>
        <w:tc>
          <w:tcPr>
            <w:tcW w:w="0" w:type="auto"/>
            <w:gridSpan w:val="2"/>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投标人有具体的项目管理机制，包括项目的计划管理、协调沟通、质量控制和各类会议汇报制度。投标人根据线路工程情况成立工作组，定义了较明确的项目管理机制，包括项目的计划管理、协调沟通、质量控制和各类会议汇报制度。</w:t>
            </w:r>
          </w:p>
          <w:p>
            <w:pPr>
              <w:widowControl/>
              <w:snapToGrid w:val="0"/>
              <w:textAlignment w:val="center"/>
              <w:rPr>
                <w:rFonts w:ascii="宋体" w:hAnsi="宋体" w:eastAsia="宋体" w:cs="宋体"/>
                <w:strike/>
                <w:color w:val="auto"/>
                <w:szCs w:val="21"/>
                <w:highlight w:val="none"/>
              </w:rPr>
            </w:pPr>
          </w:p>
          <w:p>
            <w:pPr>
              <w:widowControl/>
              <w:snapToGrid w:val="0"/>
              <w:textAlignment w:val="center"/>
              <w:rPr>
                <w:rFonts w:ascii="宋体" w:hAnsi="宋体" w:eastAsia="宋体" w:cs="宋体"/>
                <w:b/>
                <w:bCs/>
                <w:color w:val="auto"/>
                <w:szCs w:val="21"/>
                <w:highlight w:val="none"/>
              </w:rPr>
            </w:pPr>
            <w:r>
              <w:rPr>
                <w:rFonts w:hint="eastAsia" w:ascii="宋体" w:hAnsi="宋体" w:eastAsia="宋体" w:cs="宋体"/>
                <w:color w:val="auto"/>
                <w:szCs w:val="21"/>
                <w:highlight w:val="none"/>
              </w:rPr>
              <w:t>（1）项目管理机制详尽合理得4分，管理机制较为详尽合理得2-3分，管理机制基本详尽或不详尽的0-1分。</w:t>
            </w:r>
            <w:r>
              <w:rPr>
                <w:rFonts w:hint="eastAsia" w:ascii="宋体" w:hAnsi="宋体" w:eastAsia="宋体" w:cs="宋体"/>
                <w:b/>
                <w:bCs/>
                <w:color w:val="auto"/>
                <w:szCs w:val="21"/>
                <w:highlight w:val="none"/>
              </w:rPr>
              <w:t>本项最高得4分。</w:t>
            </w:r>
          </w:p>
          <w:p>
            <w:pPr>
              <w:widowControl/>
              <w:snapToGrid w:val="0"/>
              <w:textAlignment w:val="center"/>
              <w:rPr>
                <w:rFonts w:ascii="宋体" w:hAnsi="宋体" w:eastAsia="宋体" w:cs="宋体"/>
                <w:b/>
                <w:bCs/>
                <w:color w:val="auto"/>
                <w:szCs w:val="21"/>
                <w:highlight w:val="none"/>
              </w:rPr>
            </w:pPr>
            <w:r>
              <w:rPr>
                <w:rFonts w:hint="eastAsia" w:ascii="宋体" w:hAnsi="宋体" w:eastAsia="宋体" w:cs="宋体"/>
                <w:color w:val="auto"/>
                <w:szCs w:val="21"/>
                <w:highlight w:val="none"/>
              </w:rPr>
              <w:t>（2）项目负责人为一级注册造价工程师并负责过2个及以上投资在5亿元以上大型电网或电力工程结算审核工作，在此基础上负责过投资在5亿元以上大型电网或电力工程结算审核工作每增加1项得2分。</w:t>
            </w:r>
            <w:r>
              <w:rPr>
                <w:rFonts w:hint="eastAsia" w:ascii="宋体" w:hAnsi="宋体" w:eastAsia="宋体" w:cs="宋体"/>
                <w:b/>
                <w:bCs/>
                <w:color w:val="auto"/>
                <w:szCs w:val="21"/>
                <w:highlight w:val="none"/>
              </w:rPr>
              <w:t>本项最高得8分。</w:t>
            </w:r>
          </w:p>
          <w:p>
            <w:pPr>
              <w:widowControl/>
              <w:snapToGrid w:val="0"/>
              <w:textAlignment w:val="center"/>
              <w:rPr>
                <w:rFonts w:ascii="宋体" w:hAnsi="宋体" w:eastAsia="宋体" w:cs="宋体"/>
                <w:b/>
                <w:bCs/>
                <w:color w:val="auto"/>
                <w:szCs w:val="21"/>
                <w:highlight w:val="none"/>
              </w:rPr>
            </w:pPr>
            <w:r>
              <w:rPr>
                <w:rFonts w:hint="eastAsia" w:ascii="宋体" w:hAnsi="宋体" w:eastAsia="宋体" w:cs="宋体"/>
                <w:color w:val="auto"/>
                <w:szCs w:val="21"/>
                <w:highlight w:val="none"/>
              </w:rPr>
              <w:t>（3）工作组人数不少于5名一级注册造价工程师(或英国皇家特许测量师、美国成本工程师（AACE）），在此基础上每增加1名一级注册造价工程师得1分。</w:t>
            </w:r>
            <w:r>
              <w:rPr>
                <w:rFonts w:hint="eastAsia" w:ascii="宋体" w:hAnsi="宋体" w:eastAsia="宋体" w:cs="宋体"/>
                <w:b/>
                <w:bCs/>
                <w:color w:val="auto"/>
                <w:szCs w:val="21"/>
                <w:highlight w:val="none"/>
              </w:rPr>
              <w:t>本项最高得3分。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4）工作组人员同一人同时具有注册造价师、英国皇家特许测量师（RICS）、注册会计师、注册电气师、注册建造师、注册结构师、注册咨询师、美国成本工程师（AACE）的，每1人同时具有2项资格加1分，每1人同时具有3项及以上资格加2分。</w:t>
            </w:r>
            <w:r>
              <w:rPr>
                <w:rFonts w:hint="eastAsia" w:ascii="宋体" w:hAnsi="宋体" w:eastAsia="宋体" w:cs="宋体"/>
                <w:b/>
                <w:bCs/>
                <w:color w:val="auto"/>
                <w:szCs w:val="21"/>
                <w:highlight w:val="none"/>
              </w:rPr>
              <w:t>本项最高得3分。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restart"/>
            <w:tcBorders>
              <w:top w:val="nil"/>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3</w:t>
            </w:r>
          </w:p>
        </w:tc>
        <w:tc>
          <w:tcPr>
            <w:tcW w:w="0" w:type="auto"/>
            <w:vMerge w:val="restart"/>
            <w:tcBorders>
              <w:top w:val="nil"/>
              <w:left w:val="nil"/>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质量控制</w:t>
            </w:r>
          </w:p>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（10分）</w:t>
            </w:r>
          </w:p>
        </w:tc>
        <w:tc>
          <w:tcPr>
            <w:tcW w:w="0" w:type="auto"/>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质量控制（4分）</w:t>
            </w:r>
          </w:p>
        </w:tc>
        <w:tc>
          <w:tcPr>
            <w:tcW w:w="0" w:type="auto"/>
            <w:gridSpan w:val="2"/>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adjustRightInd w:val="0"/>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质量控制措施完善、合理、可行，4分。</w:t>
            </w:r>
          </w:p>
          <w:p>
            <w:pPr>
              <w:adjustRightInd w:val="0"/>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质量控制措施较完善、合理、可行，3分。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质量控制措施基本完善、基本合理、基本可行，0-2分。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continue"/>
            <w:tcBorders>
              <w:top w:val="nil"/>
              <w:left w:val="single" w:color="000000" w:sz="4" w:space="0"/>
              <w:bottom w:val="single" w:color="000000"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进度控制（3分）</w:t>
            </w:r>
          </w:p>
        </w:tc>
        <w:tc>
          <w:tcPr>
            <w:tcW w:w="0" w:type="auto"/>
            <w:gridSpan w:val="2"/>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工作流程完善，节点安排合理、承诺采取措施满足招标人结算审核时间要求。</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b/>
                <w:bCs/>
                <w:color w:val="auto"/>
                <w:szCs w:val="21"/>
                <w:highlight w:val="none"/>
              </w:rPr>
              <w:t>工作流程及节点安排完善、合理、可行的得3分，较完善、合理、可行的得2分，基本完善、基本合理、基本可行的得0-1分。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continue"/>
            <w:tcBorders>
              <w:top w:val="nil"/>
              <w:left w:val="single" w:color="000000" w:sz="4" w:space="0"/>
              <w:bottom w:val="single" w:color="auto" w:sz="4" w:space="0"/>
              <w:right w:val="single" w:color="000000" w:sz="4" w:space="0"/>
            </w:tcBorders>
            <w:vAlign w:val="center"/>
          </w:tcPr>
          <w:p>
            <w:pPr>
              <w:widowControl/>
              <w:snapToGrid w:val="0"/>
              <w:jc w:val="left"/>
              <w:rPr>
                <w:rFonts w:ascii="宋体" w:hAnsi="宋体" w:eastAsia="宋体" w:cs="宋体"/>
                <w:color w:val="auto"/>
                <w:szCs w:val="21"/>
                <w:highlight w:val="none"/>
              </w:rPr>
            </w:pPr>
          </w:p>
        </w:tc>
        <w:tc>
          <w:tcPr>
            <w:tcW w:w="0" w:type="auto"/>
            <w:vMerge w:val="continue"/>
            <w:tcBorders>
              <w:top w:val="nil"/>
              <w:left w:val="nil"/>
              <w:bottom w:val="single" w:color="auto" w:sz="4" w:space="0"/>
              <w:right w:val="single" w:color="000000" w:sz="4" w:space="0"/>
            </w:tcBorders>
            <w:vAlign w:val="center"/>
          </w:tcPr>
          <w:p>
            <w:pPr>
              <w:widowControl/>
              <w:snapToGrid w:val="0"/>
              <w:jc w:val="left"/>
              <w:rPr>
                <w:rFonts w:ascii="宋体" w:hAnsi="宋体" w:eastAsia="宋体" w:cs="宋体"/>
                <w:b/>
                <w:bCs/>
                <w:color w:val="auto"/>
                <w:szCs w:val="21"/>
                <w:highlight w:val="none"/>
              </w:rPr>
            </w:pPr>
          </w:p>
        </w:tc>
        <w:tc>
          <w:tcPr>
            <w:tcW w:w="0" w:type="auto"/>
            <w:tcBorders>
              <w:top w:val="single" w:color="000000" w:sz="4" w:space="0"/>
              <w:left w:val="nil"/>
              <w:bottom w:val="single" w:color="auto" w:sz="4" w:space="0"/>
              <w:right w:val="single" w:color="000000"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保密措施（3分）</w:t>
            </w:r>
          </w:p>
        </w:tc>
        <w:tc>
          <w:tcPr>
            <w:tcW w:w="0" w:type="auto"/>
            <w:gridSpan w:val="2"/>
            <w:tcBorders>
              <w:top w:val="single" w:color="000000" w:sz="4" w:space="0"/>
              <w:left w:val="nil"/>
              <w:bottom w:val="single" w:color="auto" w:sz="4" w:space="0"/>
              <w:right w:val="single" w:color="000000" w:sz="4" w:space="0"/>
            </w:tcBorders>
            <w:tcMar>
              <w:top w:w="15" w:type="dxa"/>
              <w:left w:w="15" w:type="dxa"/>
              <w:bottom w:w="15" w:type="dxa"/>
              <w:right w:w="15" w:type="dxa"/>
            </w:tcMar>
            <w:vAlign w:val="center"/>
          </w:tcPr>
          <w:p>
            <w:pPr>
              <w:widowControl/>
              <w:snapToGrid w:val="0"/>
              <w:textAlignment w:val="center"/>
              <w:rPr>
                <w:rFonts w:ascii="宋体" w:hAnsi="宋体" w:eastAsia="宋体" w:cs="宋体"/>
                <w:color w:val="auto"/>
                <w:kern w:val="0"/>
                <w:szCs w:val="21"/>
                <w:highlight w:val="none"/>
              </w:rPr>
            </w:pPr>
            <w:r>
              <w:rPr>
                <w:rFonts w:hint="eastAsia" w:ascii="宋体" w:hAnsi="宋体" w:eastAsia="宋体" w:cs="宋体"/>
                <w:color w:val="auto"/>
                <w:szCs w:val="21"/>
                <w:highlight w:val="none"/>
              </w:rPr>
              <w:t>有严格的保密规定、保密措施完善、合理、可行。</w:t>
            </w:r>
            <w:r>
              <w:rPr>
                <w:rFonts w:hint="eastAsia" w:ascii="宋体" w:hAnsi="宋体" w:eastAsia="宋体" w:cs="宋体"/>
                <w:b/>
                <w:bCs/>
                <w:color w:val="auto"/>
                <w:szCs w:val="21"/>
                <w:highlight w:val="none"/>
              </w:rPr>
              <w:t>保密措施完善、合理、可行的得3分，较完善、合理、可行的得2分，基本完善、基本合理、基本可行的得0-1分。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3" w:hRule="atLeast"/>
          <w:jc w:val="center"/>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4</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综合评价</w:t>
            </w:r>
          </w:p>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kern w:val="0"/>
                <w:szCs w:val="21"/>
                <w:highlight w:val="none"/>
              </w:rPr>
              <w:t>（10分）</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strike/>
                <w:color w:val="auto"/>
                <w:szCs w:val="21"/>
                <w:highlight w:val="none"/>
              </w:rPr>
            </w:pPr>
            <w:r>
              <w:rPr>
                <w:rFonts w:hint="eastAsia" w:ascii="宋体" w:hAnsi="宋体" w:eastAsia="宋体" w:cs="宋体"/>
                <w:color w:val="auto"/>
                <w:kern w:val="0"/>
                <w:szCs w:val="21"/>
                <w:highlight w:val="none"/>
              </w:rPr>
              <w:t>对招标文件的响应程度（10分）</w:t>
            </w:r>
          </w:p>
        </w:tc>
        <w:tc>
          <w:tcPr>
            <w:tcW w:w="0" w:type="auto"/>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textAlignment w:val="center"/>
              <w:rPr>
                <w:rFonts w:ascii="宋体" w:hAnsi="宋体" w:eastAsia="宋体" w:cs="宋体"/>
                <w:b/>
                <w:bCs/>
                <w:strike/>
                <w:color w:val="auto"/>
                <w:szCs w:val="21"/>
                <w:highlight w:val="none"/>
              </w:rPr>
            </w:pPr>
            <w:r>
              <w:rPr>
                <w:rFonts w:hint="eastAsia" w:ascii="宋体" w:hAnsi="宋体" w:eastAsia="宋体" w:cs="宋体"/>
                <w:color w:val="auto"/>
                <w:szCs w:val="21"/>
                <w:highlight w:val="none"/>
              </w:rPr>
              <w:t>根据投标人对招标文件响应程度评分，能结合工程特点和工程管理、造价管理、财务管理制度等制度编制投标方案，提供业绩、业主评价等证明支持性文件内容完整齐全，</w:t>
            </w:r>
            <w:r>
              <w:rPr>
                <w:rFonts w:hint="eastAsia" w:ascii="宋体" w:hAnsi="宋体" w:eastAsia="宋体" w:cs="宋体"/>
                <w:b/>
                <w:bCs/>
                <w:color w:val="auto"/>
                <w:szCs w:val="21"/>
                <w:highlight w:val="none"/>
              </w:rPr>
              <w:t>在工程特点、造价管理、财务管理、业绩、业主评价等方面完整齐全的得10分，有1-2项不完整得7-9分，3项及以上不完整得0-6分。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5</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绩效评价</w:t>
            </w:r>
          </w:p>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（30分）</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绩效评价（30分）</w:t>
            </w:r>
          </w:p>
        </w:tc>
        <w:tc>
          <w:tcPr>
            <w:tcW w:w="0" w:type="auto"/>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按照最新一期相应绩效评价得分*0.3计算。（得分按四舍五入保留两位小数）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ind w:firstLine="361"/>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6</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tabs>
                <w:tab w:val="left" w:pos="450"/>
              </w:tabs>
              <w:snapToGrid w:val="0"/>
              <w:ind w:firstLine="361"/>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风险评价</w:t>
            </w:r>
          </w:p>
        </w:tc>
        <w:tc>
          <w:tcPr>
            <w:tcW w:w="0" w:type="auto"/>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风险评价（-20-0）</w:t>
            </w:r>
          </w:p>
        </w:tc>
        <w:tc>
          <w:tcPr>
            <w:tcW w:w="0" w:type="auto"/>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无上述情形的，不扣分。</w:t>
            </w:r>
          </w:p>
        </w:tc>
      </w:tr>
    </w:tbl>
    <w:p>
      <w:pPr>
        <w:rPr>
          <w:rFonts w:ascii="宋体" w:hAnsi="宋体" w:eastAsia="宋体" w:cs="宋体"/>
          <w:color w:val="auto"/>
          <w:szCs w:val="21"/>
          <w:highlight w:val="none"/>
        </w:rPr>
      </w:pPr>
      <w:r>
        <w:rPr>
          <w:rFonts w:hint="eastAsia" w:ascii="宋体" w:hAnsi="宋体" w:eastAsia="宋体" w:cs="宋体"/>
          <w:color w:val="auto"/>
          <w:szCs w:val="21"/>
          <w:highlight w:val="none"/>
        </w:rPr>
        <w:t>注：相似工程业绩中的“预结算咨询”业绩，包括合同名称为“预结算咨询”、“预结算审核”、“造价咨询”、“结算审价”等，以及直接与建设管理单位（省公司及特高压公司）签订的特高压及直流工程结算审核合同。</w:t>
      </w:r>
    </w:p>
    <w:p>
      <w:pPr>
        <w:snapToGrid w:val="0"/>
        <w:spacing w:line="560" w:lineRule="exact"/>
        <w:ind w:firstLine="640" w:firstLineChars="200"/>
        <w:jc w:val="left"/>
        <w:rPr>
          <w:rFonts w:hint="eastAsia" w:ascii="方正仿宋_GBK" w:hAnsi="方正仿宋_GBK" w:eastAsia="方正仿宋_GBK" w:cs="方正仿宋_GBK"/>
          <w:bCs/>
          <w:color w:val="auto"/>
          <w:sz w:val="32"/>
          <w:szCs w:val="32"/>
          <w:highlight w:val="none"/>
          <w:lang w:val="en-US" w:eastAsia="zh-CN"/>
        </w:rPr>
      </w:pPr>
    </w:p>
    <w:p>
      <w:pPr>
        <w:snapToGrid w:val="0"/>
        <w:spacing w:line="560" w:lineRule="exact"/>
        <w:ind w:firstLine="640" w:firstLineChars="200"/>
        <w:jc w:val="left"/>
        <w:rPr>
          <w:rFonts w:hint="eastAsia" w:ascii="方正仿宋_GBK" w:hAnsi="方正仿宋_GBK" w:eastAsia="方正仿宋_GBK" w:cs="方正仿宋_GBK"/>
          <w:bCs/>
          <w:color w:val="auto"/>
          <w:sz w:val="32"/>
          <w:szCs w:val="32"/>
          <w:highlight w:val="none"/>
          <w:lang w:val="en-US" w:eastAsia="zh-CN"/>
        </w:rPr>
      </w:pPr>
    </w:p>
    <w:p>
      <w:pPr>
        <w:snapToGrid w:val="0"/>
        <w:spacing w:line="560" w:lineRule="exact"/>
        <w:ind w:firstLine="640" w:firstLineChars="200"/>
        <w:jc w:val="left"/>
        <w:rPr>
          <w:rFonts w:hint="eastAsia" w:ascii="方正仿宋_GBK" w:hAnsi="方正仿宋_GBK" w:eastAsia="方正仿宋_GBK" w:cs="方正仿宋_GBK"/>
          <w:bCs/>
          <w:color w:val="auto"/>
          <w:sz w:val="32"/>
          <w:szCs w:val="32"/>
          <w:highlight w:val="none"/>
          <w:lang w:val="en-US" w:eastAsia="zh-CN"/>
        </w:rPr>
      </w:pPr>
    </w:p>
    <w:p>
      <w:pPr>
        <w:snapToGrid w:val="0"/>
        <w:spacing w:line="560" w:lineRule="exact"/>
        <w:ind w:firstLine="640" w:firstLineChars="200"/>
        <w:jc w:val="left"/>
        <w:rPr>
          <w:rFonts w:hint="eastAsia" w:ascii="方正仿宋_GBK" w:hAnsi="方正仿宋_GBK" w:eastAsia="方正仿宋_GBK" w:cs="方正仿宋_GBK"/>
          <w:bCs/>
          <w:color w:val="auto"/>
          <w:sz w:val="32"/>
          <w:szCs w:val="32"/>
          <w:highlight w:val="none"/>
          <w:lang w:val="en-US" w:eastAsia="zh-CN"/>
        </w:rPr>
      </w:pPr>
      <w:r>
        <w:rPr>
          <w:rFonts w:hint="eastAsia" w:ascii="方正仿宋_GBK" w:hAnsi="方正仿宋_GBK" w:eastAsia="方正仿宋_GBK" w:cs="方正仿宋_GBK"/>
          <w:bCs/>
          <w:color w:val="auto"/>
          <w:sz w:val="32"/>
          <w:szCs w:val="32"/>
          <w:highlight w:val="none"/>
          <w:lang w:val="en-US" w:eastAsia="zh-CN"/>
        </w:rPr>
        <w:t>包12-15</w:t>
      </w:r>
    </w:p>
    <w:p>
      <w:pPr>
        <w:pStyle w:val="34"/>
        <w:adjustRightInd w:val="0"/>
        <w:snapToGrid w:val="0"/>
        <w:spacing w:line="580" w:lineRule="exact"/>
        <w:outlineLvl w:val="0"/>
        <w:rPr>
          <w:rFonts w:hint="eastAsia" w:eastAsia="方正仿宋_GBK"/>
          <w:b/>
          <w:highlight w:val="none"/>
          <w:lang w:eastAsia="zh-CN"/>
        </w:rPr>
      </w:pPr>
      <w:r>
        <w:rPr>
          <w:rFonts w:hint="eastAsia" w:ascii="方正楷体_GBK" w:hAnsi="方正楷体_GBK" w:eastAsia="方正楷体_GBK" w:cs="方正楷体_GBK"/>
          <w:b/>
          <w:bCs/>
          <w:color w:val="auto"/>
          <w:sz w:val="32"/>
          <w:szCs w:val="32"/>
          <w:highlight w:val="none"/>
          <w:lang w:val="en-US" w:eastAsia="zh-CN"/>
        </w:rPr>
        <w:t>结算审核包12-包15</w:t>
      </w:r>
      <w:r>
        <w:rPr>
          <w:rFonts w:hint="eastAsia" w:ascii="方正楷体_GBK" w:hAnsi="方正楷体_GBK" w:eastAsia="方正楷体_GBK" w:cs="方正楷体_GBK"/>
          <w:b/>
          <w:bCs/>
          <w:color w:val="auto"/>
          <w:sz w:val="32"/>
          <w:szCs w:val="32"/>
          <w:highlight w:val="none"/>
        </w:rPr>
        <w:t>（适用于换流站、变电站、GIL管廊安装工程结算审核包）</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3"/>
        <w:gridCol w:w="529"/>
        <w:gridCol w:w="1267"/>
        <w:gridCol w:w="60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jc w:val="center"/>
        </w:trPr>
        <w:tc>
          <w:tcPr>
            <w:tcW w:w="0" w:type="auto"/>
            <w:tcBorders>
              <w:top w:val="single" w:color="000000" w:sz="4" w:space="0"/>
              <w:left w:val="single" w:color="000000" w:sz="4" w:space="0"/>
              <w:bottom w:val="single" w:color="000000" w:sz="4" w:space="0"/>
              <w:right w:val="single" w:color="000000" w:sz="4" w:space="0"/>
            </w:tcBorders>
            <w:noWrap w:val="0"/>
            <w:tcMar>
              <w:top w:w="15" w:type="dxa"/>
              <w:left w:w="15" w:type="dxa"/>
              <w:bottom w:w="15" w:type="dxa"/>
              <w:right w:w="15" w:type="dxa"/>
            </w:tcMar>
            <w:vAlign w:val="center"/>
          </w:tcPr>
          <w:p>
            <w:pPr>
              <w:keepNext w:val="0"/>
              <w:keepLines w:val="0"/>
              <w:suppressLineNumbers w:val="0"/>
              <w:adjustRightInd w:val="0"/>
              <w:snapToGrid w:val="0"/>
              <w:spacing w:before="70" w:beforeAutospacing="0" w:after="70" w:afterAutospacing="0"/>
              <w:ind w:left="0" w:right="0"/>
              <w:jc w:val="center"/>
              <w:rPr>
                <w:rFonts w:hint="default" w:ascii="宋体" w:hAnsi="宋体" w:eastAsia="宋体" w:cs="宋体"/>
                <w:b/>
                <w:color w:val="auto"/>
                <w:szCs w:val="21"/>
                <w:highlight w:val="none"/>
              </w:rPr>
            </w:pPr>
            <w:r>
              <w:rPr>
                <w:rFonts w:hint="eastAsia" w:ascii="宋体" w:hAnsi="宋体" w:eastAsia="宋体" w:cs="宋体"/>
                <w:b/>
                <w:color w:val="auto"/>
                <w:szCs w:val="21"/>
                <w:highlight w:val="none"/>
              </w:rPr>
              <w:t>序号</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suppressLineNumbers w:val="0"/>
              <w:adjustRightInd w:val="0"/>
              <w:snapToGrid w:val="0"/>
              <w:spacing w:before="70" w:beforeAutospacing="0" w:after="70" w:afterAutospacing="0"/>
              <w:ind w:left="0" w:right="0"/>
              <w:jc w:val="center"/>
              <w:rPr>
                <w:rFonts w:hint="default" w:ascii="宋体" w:hAnsi="宋体" w:eastAsia="宋体" w:cs="宋体"/>
                <w:b/>
                <w:color w:val="auto"/>
                <w:szCs w:val="21"/>
                <w:highlight w:val="none"/>
              </w:rPr>
            </w:pPr>
            <w:r>
              <w:rPr>
                <w:rFonts w:hint="eastAsia" w:ascii="宋体" w:hAnsi="宋体" w:eastAsia="宋体" w:cs="宋体"/>
                <w:b/>
                <w:color w:val="auto"/>
                <w:szCs w:val="21"/>
                <w:highlight w:val="none"/>
              </w:rPr>
              <w:t>项目</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suppressLineNumbers w:val="0"/>
              <w:adjustRightInd w:val="0"/>
              <w:snapToGrid w:val="0"/>
              <w:spacing w:before="70" w:beforeAutospacing="0" w:after="70" w:afterAutospacing="0"/>
              <w:ind w:left="0" w:right="0"/>
              <w:jc w:val="center"/>
              <w:rPr>
                <w:rFonts w:hint="default" w:ascii="宋体" w:hAnsi="宋体" w:eastAsia="宋体" w:cs="宋体"/>
                <w:b/>
                <w:color w:val="auto"/>
                <w:szCs w:val="21"/>
                <w:highlight w:val="none"/>
              </w:rPr>
            </w:pPr>
            <w:r>
              <w:rPr>
                <w:rFonts w:hint="eastAsia" w:ascii="宋体" w:hAnsi="宋体" w:eastAsia="宋体" w:cs="宋体"/>
                <w:b/>
                <w:color w:val="auto"/>
                <w:szCs w:val="21"/>
                <w:highlight w:val="none"/>
              </w:rPr>
              <w:t>评审内容及分值</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suppressLineNumbers w:val="0"/>
              <w:adjustRightInd w:val="0"/>
              <w:snapToGrid w:val="0"/>
              <w:spacing w:before="70" w:beforeAutospacing="0" w:after="70" w:afterAutospacing="0"/>
              <w:ind w:left="0" w:right="0"/>
              <w:jc w:val="center"/>
              <w:rPr>
                <w:rFonts w:hint="default" w:ascii="宋体" w:hAnsi="宋体" w:eastAsia="宋体" w:cs="宋体"/>
                <w:b/>
                <w:color w:val="auto"/>
                <w:szCs w:val="21"/>
                <w:highlight w:val="none"/>
              </w:rPr>
            </w:pPr>
            <w:r>
              <w:rPr>
                <w:rFonts w:hint="eastAsia" w:ascii="宋体" w:hAnsi="宋体" w:eastAsia="宋体" w:cs="宋体"/>
                <w:b/>
                <w:color w:val="auto"/>
                <w:szCs w:val="21"/>
                <w:highlight w:val="none"/>
              </w:rPr>
              <w:t>项目内容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restart"/>
            <w:tcBorders>
              <w:top w:val="nil"/>
              <w:left w:val="single" w:color="000000" w:sz="4" w:space="0"/>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1</w:t>
            </w:r>
          </w:p>
        </w:tc>
        <w:tc>
          <w:tcPr>
            <w:tcW w:w="0" w:type="auto"/>
            <w:vMerge w:val="restart"/>
            <w:tcBorders>
              <w:top w:val="nil"/>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技术水平</w:t>
            </w:r>
          </w:p>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szCs w:val="21"/>
                <w:highlight w:val="none"/>
              </w:rPr>
            </w:pPr>
            <w:r>
              <w:rPr>
                <w:rFonts w:hint="eastAsia" w:ascii="宋体" w:hAnsi="宋体" w:eastAsia="宋体" w:cs="宋体"/>
                <w:b/>
                <w:bCs/>
                <w:color w:val="auto"/>
                <w:kern w:val="0"/>
                <w:szCs w:val="21"/>
                <w:highlight w:val="none"/>
              </w:rPr>
              <w:t>（30分）</w:t>
            </w:r>
          </w:p>
        </w:tc>
        <w:tc>
          <w:tcPr>
            <w:tcW w:w="0" w:type="auto"/>
            <w:tcBorders>
              <w:top w:val="nil"/>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相似工程业绩（25分）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suppressLineNumbers w:val="0"/>
              <w:snapToGrid w:val="0"/>
              <w:spacing w:before="0" w:beforeAutospacing="0" w:after="0" w:afterAutospacing="0"/>
              <w:ind w:left="0" w:right="88" w:rightChars="42"/>
              <w:rPr>
                <w:rFonts w:hint="default" w:ascii="宋体" w:hAnsi="宋体" w:eastAsia="宋体" w:cs="宋体"/>
                <w:b w:val="0"/>
                <w:bCs/>
                <w:color w:val="auto"/>
                <w:szCs w:val="21"/>
                <w:highlight w:val="none"/>
              </w:rPr>
            </w:pPr>
            <w:r>
              <w:rPr>
                <w:rFonts w:hint="eastAsia" w:ascii="宋体" w:hAnsi="宋体" w:eastAsia="宋体" w:cs="宋体"/>
                <w:b w:val="0"/>
                <w:bCs/>
                <w:color w:val="auto"/>
                <w:szCs w:val="21"/>
                <w:highlight w:val="none"/>
              </w:rPr>
              <w:t>开标日前5年内已投产工程全口径结算：每开展1个800kV及以上</w:t>
            </w:r>
            <w:r>
              <w:rPr>
                <w:rFonts w:hint="eastAsia" w:ascii="宋体" w:hAnsi="宋体" w:eastAsia="宋体" w:cs="宋体"/>
                <w:b/>
                <w:bCs w:val="0"/>
                <w:color w:val="auto"/>
                <w:szCs w:val="21"/>
                <w:highlight w:val="none"/>
              </w:rPr>
              <w:t>换流站新建主体工程</w:t>
            </w:r>
            <w:r>
              <w:rPr>
                <w:rFonts w:hint="eastAsia" w:ascii="宋体" w:hAnsi="宋体" w:eastAsia="宋体" w:cs="宋体"/>
                <w:b w:val="0"/>
                <w:bCs/>
                <w:color w:val="auto"/>
                <w:szCs w:val="21"/>
                <w:highlight w:val="none"/>
              </w:rPr>
              <w:t>竣工结算审核（审价）业务得4分，每开展1个400kV及以上换流站新建主体工程竣工结算审核（审价）业务得3分，</w:t>
            </w:r>
            <w:r>
              <w:rPr>
                <w:rFonts w:hint="eastAsia" w:ascii="宋体" w:hAnsi="宋体" w:eastAsia="宋体" w:cs="宋体"/>
                <w:b/>
                <w:bCs w:val="0"/>
                <w:color w:val="auto"/>
                <w:szCs w:val="21"/>
                <w:highlight w:val="none"/>
              </w:rPr>
              <w:t>每开展1个1000kV及以上变电站/GIL新建主体工程竣工结算审核（审价）业务得3分</w:t>
            </w:r>
            <w:r>
              <w:rPr>
                <w:rFonts w:hint="eastAsia" w:ascii="宋体" w:hAnsi="宋体" w:eastAsia="宋体" w:cs="宋体"/>
                <w:b w:val="0"/>
                <w:bCs/>
                <w:color w:val="auto"/>
                <w:szCs w:val="21"/>
                <w:highlight w:val="none"/>
              </w:rPr>
              <w:t>，每开展1个500kV及以上变电站/GIL新建主体工程竣工结算审核（审价）业务得2分，每开展1个发电工程（投资40亿元及以上）竣工结算审核（审价）业务得2分。</w:t>
            </w:r>
            <w:r>
              <w:rPr>
                <w:rFonts w:hint="eastAsia" w:ascii="宋体" w:hAnsi="宋体" w:eastAsia="宋体" w:cs="宋体"/>
                <w:b/>
                <w:bCs w:val="0"/>
                <w:color w:val="auto"/>
                <w:szCs w:val="21"/>
                <w:highlight w:val="none"/>
              </w:rPr>
              <w:t>1个220kV及以上、500kV以下得1分（本项最高得5分）。</w:t>
            </w:r>
          </w:p>
          <w:p>
            <w:pPr>
              <w:keepNext w:val="0"/>
              <w:keepLines w:val="0"/>
              <w:suppressLineNumbers w:val="0"/>
              <w:snapToGrid w:val="0"/>
              <w:spacing w:before="0" w:beforeAutospacing="0" w:after="0" w:afterAutospacing="0"/>
              <w:ind w:left="0" w:right="88" w:rightChars="42"/>
              <w:rPr>
                <w:rFonts w:hint="default" w:ascii="宋体" w:hAnsi="宋体" w:eastAsia="宋体" w:cs="宋体"/>
                <w:b w:val="0"/>
                <w:bCs/>
                <w:color w:val="auto"/>
                <w:szCs w:val="21"/>
                <w:highlight w:val="none"/>
              </w:rPr>
            </w:pPr>
            <w:r>
              <w:rPr>
                <w:rFonts w:hint="eastAsia" w:ascii="宋体" w:hAnsi="宋体" w:eastAsia="宋体" w:cs="宋体"/>
                <w:b w:val="0"/>
                <w:bCs/>
                <w:color w:val="auto"/>
                <w:szCs w:val="21"/>
                <w:highlight w:val="none"/>
              </w:rPr>
              <w:t>开标日前5年内已投产工程仅施工费结算：每开展1个400kV及以上换流站或1000kV及以上变电站新建主体工程竣工结算审核（审价）业务得2分，每开展1个500kV及以上新建变电工程竣工结算审核（审价）业务得1分，每开展1个发电工程（投资40亿元及以上）竣工结算审核（审价）业务得1分。</w:t>
            </w:r>
          </w:p>
          <w:p>
            <w:pPr>
              <w:keepNext w:val="0"/>
              <w:keepLines w:val="0"/>
              <w:suppressLineNumbers w:val="0"/>
              <w:snapToGrid w:val="0"/>
              <w:spacing w:before="0" w:beforeAutospacing="0" w:after="0" w:afterAutospacing="0"/>
              <w:ind w:left="0" w:right="88" w:rightChars="42"/>
              <w:rPr>
                <w:rFonts w:hint="default" w:ascii="宋体" w:hAnsi="宋体" w:eastAsia="宋体" w:cs="宋体"/>
                <w:color w:val="auto"/>
                <w:szCs w:val="21"/>
                <w:highlight w:val="none"/>
              </w:rPr>
            </w:pPr>
            <w:r>
              <w:rPr>
                <w:rFonts w:hint="eastAsia" w:ascii="宋体" w:hAnsi="宋体" w:eastAsia="宋体" w:cs="宋体"/>
                <w:b w:val="0"/>
                <w:bCs/>
                <w:color w:val="auto"/>
                <w:szCs w:val="21"/>
                <w:highlight w:val="none"/>
              </w:rPr>
              <w:t>以上评分时，只接受投标人与项目法人或建设管理单位直接签订的服务合同（协议）作为证明的工程业绩，以转包或其他方式承揽的工程业绩不予认可。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continue"/>
            <w:tcBorders>
              <w:top w:val="nil"/>
              <w:left w:val="single" w:color="000000" w:sz="4" w:space="0"/>
              <w:bottom w:val="single" w:color="000000" w:sz="4" w:space="0"/>
              <w:right w:val="single" w:color="000000" w:sz="4" w:space="0"/>
            </w:tcBorders>
            <w:noWrap w:val="0"/>
            <w:vAlign w:val="center"/>
          </w:tcPr>
          <w:p>
            <w:pPr>
              <w:keepNext w:val="0"/>
              <w:keepLines w:val="0"/>
              <w:widowControl/>
              <w:suppressLineNumbers w:val="0"/>
              <w:snapToGrid w:val="0"/>
              <w:spacing w:before="0" w:beforeAutospacing="0" w:after="0" w:afterAutospacing="0"/>
              <w:ind w:left="0" w:right="0"/>
              <w:jc w:val="left"/>
              <w:rPr>
                <w:rFonts w:hint="default"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noWrap w:val="0"/>
            <w:vAlign w:val="center"/>
          </w:tcPr>
          <w:p>
            <w:pPr>
              <w:keepNext w:val="0"/>
              <w:keepLines w:val="0"/>
              <w:widowControl/>
              <w:suppressLineNumbers w:val="0"/>
              <w:snapToGrid w:val="0"/>
              <w:spacing w:before="0" w:beforeAutospacing="0" w:after="0" w:afterAutospacing="0"/>
              <w:ind w:left="0" w:right="0"/>
              <w:jc w:val="left"/>
              <w:rPr>
                <w:rFonts w:hint="default" w:ascii="宋体" w:hAnsi="宋体" w:eastAsia="宋体" w:cs="宋体"/>
                <w:b/>
                <w:bCs/>
                <w:color w:val="auto"/>
                <w:szCs w:val="21"/>
                <w:highlight w:val="none"/>
              </w:rPr>
            </w:pP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工作方案（5分）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suppressLineNumbers w:val="0"/>
              <w:snapToGrid w:val="0"/>
              <w:spacing w:before="0" w:beforeAutospacing="0" w:after="0" w:afterAutospacing="0"/>
              <w:ind w:left="0" w:right="88" w:rightChars="42"/>
              <w:rPr>
                <w:rFonts w:hint="default" w:ascii="宋体" w:hAnsi="宋体" w:eastAsia="宋体" w:cs="宋体"/>
                <w:color w:val="auto"/>
                <w:szCs w:val="21"/>
                <w:highlight w:val="none"/>
              </w:rPr>
            </w:pPr>
            <w:r>
              <w:rPr>
                <w:rFonts w:hint="eastAsia" w:ascii="宋体" w:hAnsi="宋体" w:eastAsia="宋体" w:cs="宋体"/>
                <w:color w:val="auto"/>
                <w:szCs w:val="21"/>
                <w:highlight w:val="none"/>
              </w:rPr>
              <w:t>投标文件须对结算审核（审价）工作总体、重点、难点有深刻、全面认识，提供明确的分步结算方案和计划，提出先进、具体、有效、成熟解决措施，措施需方案完整、切实可行，表述需清晰、完整、严谨、合理。对结算审核工作认识、解决措施、措施方案、表述等方面全部充分合理的得5分，有1项不充分得4分，2项及以上不充分得0-3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2</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团队配置</w:t>
            </w:r>
          </w:p>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szCs w:val="21"/>
                <w:highlight w:val="none"/>
              </w:rPr>
            </w:pPr>
            <w:r>
              <w:rPr>
                <w:rFonts w:hint="eastAsia" w:ascii="宋体" w:hAnsi="宋体" w:eastAsia="宋体" w:cs="宋体"/>
                <w:b/>
                <w:bCs/>
                <w:color w:val="auto"/>
                <w:kern w:val="0"/>
                <w:szCs w:val="21"/>
                <w:highlight w:val="none"/>
              </w:rPr>
              <w:t>（20分）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工作组织及人员配备（20分）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textAlignment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投标人有具体的项目管理机制，包括项目的计划管理、协调沟通、质量控制和各类会议汇报制度。投标人根据换流站、变电站和线路等工程情况成立不同工作组，定义了较明确的项目管理机制，包括项目的计划管理、协调沟通、质量控制和各类会议汇报制度。每个工作组中的人员具备400kV及以上电压等级电网工程造价咨询服务经验，每标包工作组不少于5人且一级注册造价工程师(或英国皇家特许测量师)不少于5人。项目负责人为一级注册造价工程师(或英国皇家特许测量师)并负责过2个及以上大型电网或电力工程</w:t>
            </w:r>
            <w:r>
              <w:rPr>
                <w:rFonts w:hint="eastAsia" w:ascii="宋体" w:hAnsi="宋体" w:eastAsia="宋体" w:cs="宋体"/>
                <w:b/>
                <w:bCs/>
                <w:color w:val="auto"/>
                <w:szCs w:val="21"/>
                <w:highlight w:val="none"/>
              </w:rPr>
              <w:t>（工程投资5亿元以上）</w:t>
            </w:r>
            <w:r>
              <w:rPr>
                <w:rFonts w:hint="eastAsia" w:ascii="宋体" w:hAnsi="宋体" w:eastAsia="宋体" w:cs="宋体"/>
                <w:color w:val="auto"/>
                <w:szCs w:val="21"/>
                <w:highlight w:val="none"/>
              </w:rPr>
              <w:t>结算审核工作。</w:t>
            </w:r>
          </w:p>
          <w:p>
            <w:pPr>
              <w:keepNext w:val="0"/>
              <w:keepLines w:val="0"/>
              <w:widowControl/>
              <w:suppressLineNumbers w:val="0"/>
              <w:snapToGrid w:val="0"/>
              <w:spacing w:before="0" w:beforeAutospacing="0" w:after="0" w:afterAutospacing="0"/>
              <w:ind w:left="0" w:right="0"/>
              <w:textAlignment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1.项目管理机制详尽合理得3分，管理机制较为详尽合理得2分，管理机制基本详尽或不详尽的0-1分。本项最高得3分。</w:t>
            </w:r>
          </w:p>
          <w:p>
            <w:pPr>
              <w:keepNext w:val="0"/>
              <w:keepLines w:val="0"/>
              <w:widowControl/>
              <w:suppressLineNumbers w:val="0"/>
              <w:snapToGrid w:val="0"/>
              <w:spacing w:before="0" w:beforeAutospacing="0" w:after="0" w:afterAutospacing="0"/>
              <w:ind w:left="0" w:right="0"/>
              <w:textAlignment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2.每标包工作组人数5人（含不少于5名一级注册造价工程师(或英国皇家特许测量师、美国成本工程师（AACE））、在此基础上每增加1名一级注册造价工程师得1分，项目负责人为一级注册造价工程师并负责过2个及以上大型电网或电力工程</w:t>
            </w:r>
            <w:r>
              <w:rPr>
                <w:rFonts w:hint="eastAsia" w:ascii="宋体" w:hAnsi="宋体" w:eastAsia="宋体" w:cs="宋体"/>
                <w:b/>
                <w:bCs/>
                <w:color w:val="auto"/>
                <w:szCs w:val="21"/>
                <w:highlight w:val="none"/>
              </w:rPr>
              <w:t>（工程投资5亿元以上）</w:t>
            </w:r>
            <w:r>
              <w:rPr>
                <w:rFonts w:hint="eastAsia" w:ascii="宋体" w:hAnsi="宋体" w:eastAsia="宋体" w:cs="宋体"/>
                <w:color w:val="auto"/>
                <w:szCs w:val="21"/>
                <w:highlight w:val="none"/>
              </w:rPr>
              <w:t>结算审核工作在此基础上负责过的大型电网或电力工程</w:t>
            </w:r>
            <w:r>
              <w:rPr>
                <w:rFonts w:hint="eastAsia" w:ascii="宋体" w:hAnsi="宋体" w:eastAsia="宋体" w:cs="宋体"/>
                <w:b/>
                <w:bCs/>
                <w:color w:val="auto"/>
                <w:szCs w:val="21"/>
                <w:highlight w:val="none"/>
              </w:rPr>
              <w:t>（工程投资5亿元以上）</w:t>
            </w:r>
            <w:r>
              <w:rPr>
                <w:rFonts w:hint="eastAsia" w:ascii="宋体" w:hAnsi="宋体" w:eastAsia="宋体" w:cs="宋体"/>
                <w:color w:val="auto"/>
                <w:szCs w:val="21"/>
                <w:highlight w:val="none"/>
              </w:rPr>
              <w:t xml:space="preserve">结算审核工作每增加1项得2分。 </w:t>
            </w:r>
          </w:p>
          <w:p>
            <w:pPr>
              <w:keepNext w:val="0"/>
              <w:keepLines w:val="0"/>
              <w:widowControl/>
              <w:suppressLineNumbers w:val="0"/>
              <w:snapToGrid w:val="0"/>
              <w:spacing w:before="0" w:beforeAutospacing="0" w:after="0" w:afterAutospacing="0"/>
              <w:ind w:left="0" w:right="0"/>
              <w:textAlignment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3.工作组人员同一人同时具有注册造价师、英国皇家特许测量师（RICS）、注册会计师、注册电气师、注册建造师、注册结构师、注册咨询师、美国成本工程师（AACE）的，每1人同时具有2项资格加1分，每1人同时具有3项及以上资格加2分，最高加5分。</w:t>
            </w:r>
          </w:p>
          <w:p>
            <w:pPr>
              <w:keepNext w:val="0"/>
              <w:keepLines w:val="0"/>
              <w:widowControl/>
              <w:suppressLineNumbers w:val="0"/>
              <w:snapToGrid w:val="0"/>
              <w:spacing w:before="0" w:beforeAutospacing="0" w:after="0" w:afterAutospacing="0"/>
              <w:ind w:left="0" w:right="0"/>
              <w:textAlignment w:val="center"/>
              <w:rPr>
                <w:rFonts w:hint="default" w:ascii="宋体" w:hAnsi="宋体" w:eastAsia="宋体" w:cs="宋体"/>
                <w:color w:val="auto"/>
                <w:szCs w:val="21"/>
                <w:highlight w:val="none"/>
              </w:rPr>
            </w:pPr>
            <w:r>
              <w:rPr>
                <w:rFonts w:hint="eastAsia" w:ascii="宋体" w:hAnsi="宋体" w:eastAsia="宋体" w:cs="宋体"/>
                <w:b/>
                <w:bCs/>
                <w:color w:val="auto"/>
                <w:szCs w:val="21"/>
                <w:highlight w:val="none"/>
              </w:rPr>
              <w:t>第2、3项总计最高得17分。工程投资5亿元以上，是指工程竣工结算批复文件或建设管理单位预结算审核（造价咨询）正式上报结算文件中明确的同口径概算金额超过5亿元。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restart"/>
            <w:tcBorders>
              <w:top w:val="nil"/>
              <w:left w:val="single" w:color="000000" w:sz="4" w:space="0"/>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3</w:t>
            </w:r>
          </w:p>
        </w:tc>
        <w:tc>
          <w:tcPr>
            <w:tcW w:w="0" w:type="auto"/>
            <w:vMerge w:val="restart"/>
            <w:tcBorders>
              <w:top w:val="nil"/>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质量控制</w:t>
            </w:r>
          </w:p>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szCs w:val="21"/>
                <w:highlight w:val="none"/>
              </w:rPr>
            </w:pPr>
            <w:r>
              <w:rPr>
                <w:rFonts w:hint="eastAsia" w:ascii="宋体" w:hAnsi="宋体" w:eastAsia="宋体" w:cs="宋体"/>
                <w:b/>
                <w:bCs/>
                <w:color w:val="auto"/>
                <w:kern w:val="0"/>
                <w:szCs w:val="21"/>
                <w:highlight w:val="none"/>
              </w:rPr>
              <w:t>（10分）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质量控制（4分）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suppressLineNumbers w:val="0"/>
              <w:adjustRightInd w:val="0"/>
              <w:snapToGrid w:val="0"/>
              <w:spacing w:before="0" w:beforeAutospacing="0" w:after="0" w:afterAutospacing="0"/>
              <w:ind w:left="0" w:right="0"/>
              <w:rPr>
                <w:rFonts w:hint="default" w:ascii="宋体" w:hAnsi="宋体" w:eastAsia="宋体" w:cs="宋体"/>
                <w:color w:val="auto"/>
                <w:szCs w:val="21"/>
                <w:highlight w:val="none"/>
              </w:rPr>
            </w:pPr>
            <w:r>
              <w:rPr>
                <w:rFonts w:hint="eastAsia" w:ascii="宋体" w:hAnsi="宋体" w:eastAsia="宋体" w:cs="宋体"/>
                <w:color w:val="auto"/>
                <w:szCs w:val="21"/>
                <w:highlight w:val="none"/>
              </w:rPr>
              <w:t>质量控制措施完善、合理、可行，4分。</w:t>
            </w:r>
          </w:p>
          <w:p>
            <w:pPr>
              <w:keepNext w:val="0"/>
              <w:keepLines w:val="0"/>
              <w:suppressLineNumbers w:val="0"/>
              <w:adjustRightInd w:val="0"/>
              <w:snapToGrid w:val="0"/>
              <w:spacing w:before="0" w:beforeAutospacing="0" w:after="0" w:afterAutospacing="0"/>
              <w:ind w:left="0" w:right="0"/>
              <w:rPr>
                <w:rFonts w:hint="default" w:ascii="宋体" w:hAnsi="宋体" w:eastAsia="宋体" w:cs="宋体"/>
                <w:color w:val="auto"/>
                <w:szCs w:val="21"/>
                <w:highlight w:val="none"/>
              </w:rPr>
            </w:pPr>
            <w:r>
              <w:rPr>
                <w:rFonts w:hint="eastAsia" w:ascii="宋体" w:hAnsi="宋体" w:eastAsia="宋体" w:cs="宋体"/>
                <w:color w:val="auto"/>
                <w:szCs w:val="21"/>
                <w:highlight w:val="none"/>
              </w:rPr>
              <w:t>质量控制措施较完善、合理、可行，2-3分。</w:t>
            </w:r>
          </w:p>
          <w:p>
            <w:pPr>
              <w:keepNext w:val="0"/>
              <w:keepLines w:val="0"/>
              <w:widowControl/>
              <w:suppressLineNumbers w:val="0"/>
              <w:snapToGrid w:val="0"/>
              <w:spacing w:before="0" w:beforeAutospacing="0" w:after="0" w:afterAutospacing="0"/>
              <w:ind w:left="0" w:right="0"/>
              <w:textAlignment w:val="center"/>
              <w:rPr>
                <w:rFonts w:hint="default" w:ascii="宋体" w:hAnsi="宋体" w:eastAsia="宋体" w:cs="宋体"/>
                <w:color w:val="auto"/>
                <w:szCs w:val="21"/>
                <w:highlight w:val="none"/>
              </w:rPr>
            </w:pPr>
            <w:r>
              <w:rPr>
                <w:rFonts w:hint="eastAsia" w:ascii="宋体" w:hAnsi="宋体" w:eastAsia="宋体" w:cs="宋体"/>
                <w:color w:val="auto"/>
                <w:szCs w:val="21"/>
                <w:highlight w:val="none"/>
              </w:rPr>
              <w:t>质量控制措施基本完善、基本合理、基本可行，0-1分。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vMerge w:val="continue"/>
            <w:tcBorders>
              <w:top w:val="nil"/>
              <w:left w:val="single" w:color="000000" w:sz="4" w:space="0"/>
              <w:bottom w:val="single" w:color="000000" w:sz="4" w:space="0"/>
              <w:right w:val="single" w:color="000000" w:sz="4" w:space="0"/>
            </w:tcBorders>
            <w:noWrap w:val="0"/>
            <w:vAlign w:val="center"/>
          </w:tcPr>
          <w:p>
            <w:pPr>
              <w:keepNext w:val="0"/>
              <w:keepLines w:val="0"/>
              <w:widowControl/>
              <w:suppressLineNumbers w:val="0"/>
              <w:snapToGrid w:val="0"/>
              <w:spacing w:before="0" w:beforeAutospacing="0" w:after="0" w:afterAutospacing="0"/>
              <w:ind w:left="0" w:right="0"/>
              <w:jc w:val="left"/>
              <w:rPr>
                <w:rFonts w:hint="default"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noWrap w:val="0"/>
            <w:vAlign w:val="center"/>
          </w:tcPr>
          <w:p>
            <w:pPr>
              <w:keepNext w:val="0"/>
              <w:keepLines w:val="0"/>
              <w:widowControl/>
              <w:suppressLineNumbers w:val="0"/>
              <w:snapToGrid w:val="0"/>
              <w:spacing w:before="0" w:beforeAutospacing="0" w:after="0" w:afterAutospacing="0"/>
              <w:ind w:left="0" w:right="0"/>
              <w:jc w:val="left"/>
              <w:rPr>
                <w:rFonts w:hint="default" w:ascii="宋体" w:hAnsi="宋体" w:eastAsia="宋体" w:cs="宋体"/>
                <w:b/>
                <w:bCs/>
                <w:color w:val="auto"/>
                <w:szCs w:val="21"/>
                <w:highlight w:val="none"/>
              </w:rPr>
            </w:pP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进度控制（3分）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88" w:rightChars="42"/>
              <w:textAlignment w:val="center"/>
              <w:rPr>
                <w:rFonts w:hint="default" w:ascii="宋体" w:hAnsi="宋体" w:eastAsia="宋体" w:cs="宋体"/>
                <w:color w:val="auto"/>
                <w:szCs w:val="21"/>
                <w:highlight w:val="none"/>
              </w:rPr>
            </w:pPr>
            <w:r>
              <w:rPr>
                <w:rFonts w:hint="eastAsia" w:ascii="宋体" w:hAnsi="宋体" w:eastAsia="宋体" w:cs="宋体"/>
                <w:color w:val="auto"/>
                <w:szCs w:val="21"/>
                <w:highlight w:val="none"/>
              </w:rPr>
              <w:t>工作流程完善，节点安排合理、承诺采取措施满足招标人结算审核时间要求。</w:t>
            </w:r>
            <w:r>
              <w:rPr>
                <w:rFonts w:hint="eastAsia" w:ascii="宋体" w:hAnsi="宋体" w:eastAsia="宋体" w:cs="宋体"/>
                <w:b/>
                <w:bCs/>
                <w:color w:val="auto"/>
                <w:szCs w:val="21"/>
                <w:highlight w:val="none"/>
              </w:rPr>
              <w:t>工作流程及节点安排完善、合理、可行的得3分，较完善、合理、可行的得2分，基本完善、基本合理、基本可行的得0-1分。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5" w:hRule="atLeast"/>
          <w:jc w:val="center"/>
        </w:trPr>
        <w:tc>
          <w:tcPr>
            <w:tcW w:w="0" w:type="auto"/>
            <w:vMerge w:val="continue"/>
            <w:tcBorders>
              <w:top w:val="nil"/>
              <w:left w:val="single" w:color="000000" w:sz="4" w:space="0"/>
              <w:bottom w:val="single" w:color="000000" w:sz="4" w:space="0"/>
              <w:right w:val="single" w:color="000000" w:sz="4" w:space="0"/>
            </w:tcBorders>
            <w:noWrap w:val="0"/>
            <w:vAlign w:val="center"/>
          </w:tcPr>
          <w:p>
            <w:pPr>
              <w:keepNext w:val="0"/>
              <w:keepLines w:val="0"/>
              <w:widowControl/>
              <w:suppressLineNumbers w:val="0"/>
              <w:snapToGrid w:val="0"/>
              <w:spacing w:before="0" w:beforeAutospacing="0" w:after="0" w:afterAutospacing="0"/>
              <w:ind w:left="0" w:right="0"/>
              <w:jc w:val="left"/>
              <w:rPr>
                <w:rFonts w:hint="default" w:ascii="宋体" w:hAnsi="宋体" w:eastAsia="宋体" w:cs="宋体"/>
                <w:color w:val="auto"/>
                <w:szCs w:val="21"/>
                <w:highlight w:val="none"/>
              </w:rPr>
            </w:pPr>
          </w:p>
        </w:tc>
        <w:tc>
          <w:tcPr>
            <w:tcW w:w="0" w:type="auto"/>
            <w:vMerge w:val="continue"/>
            <w:tcBorders>
              <w:top w:val="nil"/>
              <w:left w:val="nil"/>
              <w:bottom w:val="single" w:color="000000" w:sz="4" w:space="0"/>
              <w:right w:val="single" w:color="000000" w:sz="4" w:space="0"/>
            </w:tcBorders>
            <w:noWrap w:val="0"/>
            <w:vAlign w:val="center"/>
          </w:tcPr>
          <w:p>
            <w:pPr>
              <w:keepNext w:val="0"/>
              <w:keepLines w:val="0"/>
              <w:widowControl/>
              <w:suppressLineNumbers w:val="0"/>
              <w:snapToGrid w:val="0"/>
              <w:spacing w:before="0" w:beforeAutospacing="0" w:after="0" w:afterAutospacing="0"/>
              <w:ind w:left="0" w:right="0"/>
              <w:jc w:val="left"/>
              <w:rPr>
                <w:rFonts w:hint="default" w:ascii="宋体" w:hAnsi="宋体" w:eastAsia="宋体" w:cs="宋体"/>
                <w:b/>
                <w:bCs/>
                <w:color w:val="auto"/>
                <w:szCs w:val="21"/>
                <w:highlight w:val="none"/>
              </w:rPr>
            </w:pP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kern w:val="0"/>
                <w:szCs w:val="21"/>
                <w:highlight w:val="none"/>
              </w:rPr>
            </w:pPr>
            <w:r>
              <w:rPr>
                <w:rFonts w:hint="eastAsia" w:ascii="宋体" w:hAnsi="宋体" w:eastAsia="宋体" w:cs="宋体"/>
                <w:color w:val="auto"/>
                <w:kern w:val="0"/>
                <w:szCs w:val="21"/>
                <w:highlight w:val="none"/>
              </w:rPr>
              <w:t>保密措施（3分）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88" w:rightChars="42"/>
              <w:textAlignment w:val="center"/>
              <w:rPr>
                <w:rFonts w:hint="default" w:ascii="宋体" w:hAnsi="宋体" w:eastAsia="宋体" w:cs="宋体"/>
                <w:color w:val="auto"/>
                <w:kern w:val="0"/>
                <w:szCs w:val="21"/>
                <w:highlight w:val="none"/>
              </w:rPr>
            </w:pPr>
            <w:r>
              <w:rPr>
                <w:rFonts w:hint="eastAsia" w:ascii="宋体" w:hAnsi="宋体" w:eastAsia="宋体" w:cs="宋体"/>
                <w:color w:val="auto"/>
                <w:szCs w:val="21"/>
                <w:highlight w:val="none"/>
              </w:rPr>
              <w:t>有严格的保密规定、保密措施完善、合理、可行。</w:t>
            </w:r>
            <w:r>
              <w:rPr>
                <w:rFonts w:hint="eastAsia" w:ascii="宋体" w:hAnsi="宋体" w:eastAsia="宋体" w:cs="宋体"/>
                <w:b/>
                <w:bCs/>
                <w:color w:val="auto"/>
                <w:szCs w:val="21"/>
                <w:highlight w:val="none"/>
              </w:rPr>
              <w:t>保密措施完善、合理、可行的得3分，较完善、合理、可行的得2分，基本完善、基本合理、基本可行的得0-1分。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tcBorders>
              <w:top w:val="nil"/>
              <w:left w:val="single" w:color="000000" w:sz="4" w:space="0"/>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4</w:t>
            </w:r>
          </w:p>
        </w:tc>
        <w:tc>
          <w:tcPr>
            <w:tcW w:w="0" w:type="auto"/>
            <w:tcBorders>
              <w:top w:val="nil"/>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综合评价</w:t>
            </w:r>
          </w:p>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szCs w:val="21"/>
                <w:highlight w:val="none"/>
              </w:rPr>
            </w:pPr>
            <w:r>
              <w:rPr>
                <w:rFonts w:hint="eastAsia" w:ascii="宋体" w:hAnsi="宋体" w:eastAsia="宋体" w:cs="宋体"/>
                <w:b/>
                <w:bCs/>
                <w:color w:val="auto"/>
                <w:kern w:val="0"/>
                <w:szCs w:val="21"/>
                <w:highlight w:val="none"/>
              </w:rPr>
              <w:t>（10分）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Cs w:val="21"/>
                <w:highlight w:val="none"/>
              </w:rPr>
            </w:pPr>
            <w:r>
              <w:rPr>
                <w:rFonts w:hint="eastAsia" w:ascii="宋体" w:hAnsi="宋体" w:eastAsia="宋体" w:cs="宋体"/>
                <w:color w:val="auto"/>
                <w:kern w:val="0"/>
                <w:szCs w:val="21"/>
                <w:highlight w:val="none"/>
              </w:rPr>
              <w:t>对招标文件的响应程度（10分）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88" w:rightChars="42"/>
              <w:textAlignment w:val="center"/>
              <w:rPr>
                <w:rFonts w:hint="default" w:ascii="宋体" w:hAnsi="宋体" w:eastAsia="宋体" w:cs="宋体"/>
                <w:color w:val="auto"/>
                <w:szCs w:val="21"/>
                <w:highlight w:val="none"/>
              </w:rPr>
            </w:pPr>
            <w:r>
              <w:rPr>
                <w:rFonts w:hint="eastAsia" w:ascii="宋体" w:hAnsi="宋体" w:eastAsia="宋体" w:cs="宋体"/>
                <w:color w:val="auto"/>
                <w:szCs w:val="21"/>
                <w:highlight w:val="none"/>
              </w:rPr>
              <w:t>根据投标人对招标文件响应程度评分，能结合工程特点和工程管理、造价管理、财务管理制度等制度编制投标方案，提供业绩、业主评价等证明支持性文件内容完整齐全，</w:t>
            </w:r>
            <w:r>
              <w:rPr>
                <w:rFonts w:hint="eastAsia" w:ascii="宋体" w:hAnsi="宋体" w:eastAsia="宋体" w:cs="宋体"/>
                <w:b/>
                <w:bCs/>
                <w:color w:val="auto"/>
                <w:szCs w:val="21"/>
                <w:highlight w:val="none"/>
              </w:rPr>
              <w:t>在工程特点、造价管理、财务管理、业绩、业主评价等方面完整齐全的得10分，有1-2项不完整得6-8分，3项及以上不完整得0-5分。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kern w:val="0"/>
                <w:sz w:val="20"/>
                <w:highlight w:val="none"/>
              </w:rPr>
            </w:pPr>
            <w:r>
              <w:rPr>
                <w:rFonts w:hint="eastAsia" w:ascii="宋体" w:hAnsi="宋体" w:eastAsia="宋体" w:cs="宋体"/>
                <w:color w:val="auto"/>
                <w:kern w:val="0"/>
                <w:sz w:val="20"/>
                <w:highlight w:val="none"/>
              </w:rPr>
              <w:t>5</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kern w:val="0"/>
                <w:sz w:val="20"/>
                <w:highlight w:val="none"/>
              </w:rPr>
            </w:pPr>
            <w:r>
              <w:rPr>
                <w:rFonts w:hint="eastAsia" w:ascii="宋体" w:hAnsi="宋体" w:eastAsia="宋体" w:cs="宋体"/>
                <w:b/>
                <w:bCs/>
                <w:color w:val="auto"/>
                <w:kern w:val="0"/>
                <w:sz w:val="20"/>
                <w:highlight w:val="none"/>
              </w:rPr>
              <w:t>绩效评价</w:t>
            </w:r>
          </w:p>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auto"/>
                <w:kern w:val="0"/>
                <w:sz w:val="20"/>
                <w:highlight w:val="none"/>
              </w:rPr>
            </w:pPr>
            <w:r>
              <w:rPr>
                <w:rFonts w:hint="eastAsia" w:ascii="宋体" w:hAnsi="宋体" w:eastAsia="宋体" w:cs="宋体"/>
                <w:b/>
                <w:bCs/>
                <w:color w:val="auto"/>
                <w:kern w:val="0"/>
                <w:sz w:val="20"/>
                <w:highlight w:val="none"/>
              </w:rPr>
              <w:t>（30分）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kern w:val="0"/>
                <w:sz w:val="20"/>
                <w:highlight w:val="none"/>
              </w:rPr>
            </w:pPr>
            <w:r>
              <w:rPr>
                <w:rFonts w:hint="eastAsia" w:ascii="宋体" w:hAnsi="宋体" w:eastAsia="宋体" w:cs="宋体"/>
                <w:color w:val="auto"/>
                <w:kern w:val="0"/>
                <w:sz w:val="20"/>
                <w:highlight w:val="none"/>
              </w:rPr>
              <w:t>绩效评价（30分）</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textAlignment w:val="center"/>
              <w:rPr>
                <w:rFonts w:hint="default" w:ascii="宋体" w:hAnsi="宋体" w:eastAsia="宋体" w:cs="宋体"/>
                <w:color w:val="auto"/>
                <w:sz w:val="20"/>
                <w:highlight w:val="none"/>
              </w:rPr>
            </w:pPr>
            <w:r>
              <w:rPr>
                <w:rFonts w:hint="eastAsia" w:ascii="宋体" w:hAnsi="宋体" w:eastAsia="宋体" w:cs="宋体"/>
                <w:color w:val="auto"/>
                <w:sz w:val="20"/>
                <w:highlight w:val="none"/>
              </w:rPr>
              <w:t>按照最新一期相应绩效评价得分*0.</w:t>
            </w:r>
            <w:r>
              <w:rPr>
                <w:rFonts w:hint="default" w:ascii="宋体" w:hAnsi="宋体" w:eastAsia="宋体" w:cs="宋体"/>
                <w:color w:val="auto"/>
                <w:sz w:val="20"/>
                <w:highlight w:val="none"/>
              </w:rPr>
              <w:t>3</w:t>
            </w:r>
            <w:r>
              <w:rPr>
                <w:rFonts w:hint="eastAsia" w:ascii="宋体" w:hAnsi="宋体" w:eastAsia="宋体" w:cs="宋体"/>
                <w:color w:val="auto"/>
                <w:sz w:val="20"/>
                <w:highlight w:val="none"/>
              </w:rPr>
              <w:t>计算。（得分按四舍五入保留两位小数）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firstLine="402"/>
              <w:textAlignment w:val="center"/>
              <w:rPr>
                <w:rFonts w:hint="default" w:ascii="宋体" w:hAnsi="宋体" w:eastAsia="宋体" w:cs="宋体"/>
                <w:color w:val="auto"/>
                <w:kern w:val="0"/>
                <w:sz w:val="20"/>
                <w:highlight w:val="none"/>
              </w:rPr>
            </w:pPr>
            <w:r>
              <w:rPr>
                <w:rFonts w:hint="eastAsia" w:ascii="宋体" w:hAnsi="宋体" w:eastAsia="宋体" w:cs="宋体"/>
                <w:b/>
                <w:bCs/>
                <w:color w:val="auto"/>
                <w:kern w:val="0"/>
                <w:sz w:val="20"/>
                <w:highlight w:val="none"/>
              </w:rPr>
              <w:t>6</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tabs>
                <w:tab w:val="left" w:pos="450"/>
              </w:tabs>
              <w:snapToGrid w:val="0"/>
              <w:spacing w:before="0" w:beforeAutospacing="0" w:after="0" w:afterAutospacing="0"/>
              <w:ind w:left="0" w:right="0" w:firstLine="24" w:firstLineChars="12"/>
              <w:textAlignment w:val="center"/>
              <w:rPr>
                <w:rFonts w:hint="default" w:ascii="宋体" w:hAnsi="宋体" w:eastAsia="宋体" w:cs="宋体"/>
                <w:b/>
                <w:bCs/>
                <w:color w:val="auto"/>
                <w:kern w:val="0"/>
                <w:sz w:val="20"/>
                <w:highlight w:val="none"/>
              </w:rPr>
            </w:pPr>
            <w:r>
              <w:rPr>
                <w:rFonts w:hint="eastAsia" w:ascii="宋体" w:hAnsi="宋体" w:eastAsia="宋体" w:cs="宋体"/>
                <w:b/>
                <w:bCs/>
                <w:color w:val="auto"/>
                <w:kern w:val="0"/>
                <w:sz w:val="20"/>
                <w:highlight w:val="none"/>
              </w:rPr>
              <w:t>风险评价</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auto"/>
                <w:sz w:val="20"/>
                <w:highlight w:val="none"/>
              </w:rPr>
            </w:pPr>
            <w:r>
              <w:rPr>
                <w:rFonts w:hint="eastAsia" w:ascii="宋体" w:hAnsi="宋体" w:eastAsia="宋体" w:cs="宋体"/>
                <w:color w:val="auto"/>
                <w:sz w:val="20"/>
                <w:highlight w:val="none"/>
              </w:rPr>
              <w:t>风险评价（-20-0）</w:t>
            </w:r>
          </w:p>
        </w:tc>
        <w:tc>
          <w:tcPr>
            <w:tcW w:w="0" w:type="auto"/>
            <w:tcBorders>
              <w:top w:val="single" w:color="000000" w:sz="4" w:space="0"/>
              <w:left w:val="nil"/>
              <w:bottom w:val="single" w:color="000000" w:sz="4" w:space="0"/>
              <w:right w:val="single" w:color="000000" w:sz="4" w:space="0"/>
            </w:tcBorders>
            <w:noWrap w:val="0"/>
            <w:tcMar>
              <w:top w:w="15" w:type="dxa"/>
              <w:left w:w="15" w:type="dxa"/>
              <w:bottom w:w="15" w:type="dxa"/>
              <w:right w:w="15" w:type="dxa"/>
            </w:tcMar>
            <w:vAlign w:val="center"/>
          </w:tcPr>
          <w:p>
            <w:pPr>
              <w:keepNext w:val="0"/>
              <w:keepLines w:val="0"/>
              <w:widowControl/>
              <w:suppressLineNumbers w:val="0"/>
              <w:snapToGrid w:val="0"/>
              <w:spacing w:before="0" w:beforeAutospacing="0" w:after="0" w:afterAutospacing="0"/>
              <w:ind w:left="0" w:right="0"/>
              <w:textAlignment w:val="center"/>
              <w:rPr>
                <w:rFonts w:hint="default" w:ascii="宋体" w:hAnsi="宋体" w:eastAsia="宋体" w:cs="宋体"/>
                <w:color w:val="auto"/>
                <w:sz w:val="20"/>
                <w:highlight w:val="none"/>
              </w:rPr>
            </w:pPr>
            <w:r>
              <w:rPr>
                <w:rFonts w:hint="eastAsia" w:ascii="宋体" w:hAnsi="宋体" w:eastAsia="宋体" w:cs="宋体"/>
                <w:color w:val="auto"/>
                <w:sz w:val="20"/>
                <w:highlight w:val="none"/>
              </w:rPr>
              <w:t>投标人因负面事件或其他情形，带来供应履约风险，对招标人生产经营、公司形象可能带来较大影响，根据严重程度扣10-20分；</w:t>
            </w:r>
          </w:p>
          <w:p>
            <w:pPr>
              <w:keepNext w:val="0"/>
              <w:keepLines w:val="0"/>
              <w:widowControl/>
              <w:suppressLineNumbers w:val="0"/>
              <w:snapToGrid w:val="0"/>
              <w:spacing w:before="0" w:beforeAutospacing="0" w:after="0" w:afterAutospacing="0"/>
              <w:ind w:left="0" w:right="0"/>
              <w:textAlignment w:val="center"/>
              <w:rPr>
                <w:rFonts w:hint="default" w:ascii="宋体" w:hAnsi="宋体" w:eastAsia="宋体" w:cs="宋体"/>
                <w:color w:val="auto"/>
                <w:sz w:val="20"/>
                <w:highlight w:val="none"/>
              </w:rPr>
            </w:pPr>
            <w:r>
              <w:rPr>
                <w:rFonts w:hint="eastAsia" w:ascii="宋体" w:hAnsi="宋体" w:eastAsia="宋体" w:cs="宋体"/>
                <w:color w:val="auto"/>
                <w:sz w:val="20"/>
                <w:highlight w:val="none"/>
              </w:rPr>
              <w:t>无上述情形的，不扣分。</w:t>
            </w:r>
          </w:p>
        </w:tc>
      </w:tr>
    </w:tbl>
    <w:p>
      <w:pPr>
        <w:rPr>
          <w:rFonts w:hint="eastAsia" w:ascii="宋体" w:hAnsi="宋体" w:cs="宋体"/>
          <w:szCs w:val="21"/>
          <w:highlight w:val="none"/>
        </w:rPr>
      </w:pPr>
      <w:r>
        <w:rPr>
          <w:rFonts w:hint="eastAsia" w:ascii="宋体" w:hAnsi="宋体" w:eastAsia="宋体" w:cs="宋体"/>
          <w:color w:val="auto"/>
          <w:szCs w:val="21"/>
          <w:highlight w:val="none"/>
        </w:rPr>
        <w:t>注：相似工程业绩中的“预结算咨询”业绩，包括合同名称为“预结算咨询”、“预结算审核”、“造价咨询”、“结算审价”等，以及直接与建设管理单位（省公司及特高压公司）签订的特高压及直流工程结算审核合同。</w:t>
      </w:r>
    </w:p>
    <w:p>
      <w:pPr>
        <w:snapToGrid w:val="0"/>
        <w:spacing w:line="560" w:lineRule="exact"/>
        <w:ind w:firstLine="640" w:firstLineChars="200"/>
        <w:jc w:val="left"/>
        <w:rPr>
          <w:rFonts w:ascii="方正仿宋_GBK" w:hAnsi="方正仿宋_GBK" w:eastAsia="方正仿宋_GBK" w:cs="方正仿宋_GBK"/>
          <w:bCs/>
          <w:color w:val="auto"/>
          <w:sz w:val="32"/>
          <w:szCs w:val="32"/>
          <w:highlight w:val="none"/>
        </w:rPr>
      </w:pPr>
      <w:r>
        <w:rPr>
          <w:rFonts w:hint="eastAsia" w:ascii="方正仿宋_GBK" w:hAnsi="方正仿宋_GBK" w:eastAsia="方正仿宋_GBK" w:cs="方正仿宋_GBK"/>
          <w:bCs/>
          <w:color w:val="auto"/>
          <w:sz w:val="32"/>
          <w:szCs w:val="32"/>
          <w:highlight w:val="none"/>
        </w:rPr>
        <w:t>设备监造</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887"/>
        <w:gridCol w:w="1353"/>
        <w:gridCol w:w="5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63" w:type="dxa"/>
            <w:vAlign w:val="center"/>
          </w:tcPr>
          <w:p>
            <w:pPr>
              <w:widowControl/>
              <w:snapToGrid w:val="0"/>
              <w:spacing w:before="66" w:after="66"/>
              <w:jc w:val="center"/>
              <w:rPr>
                <w:rFonts w:ascii="宋体" w:hAnsi="宋体" w:eastAsia="宋体" w:cs="宋体"/>
                <w:b/>
                <w:color w:val="auto"/>
                <w:spacing w:val="10"/>
                <w:kern w:val="0"/>
                <w:szCs w:val="21"/>
                <w:highlight w:val="none"/>
              </w:rPr>
            </w:pPr>
            <w:r>
              <w:rPr>
                <w:rFonts w:hint="eastAsia" w:ascii="宋体" w:hAnsi="宋体" w:eastAsia="宋体" w:cs="宋体"/>
                <w:b/>
                <w:color w:val="auto"/>
                <w:spacing w:val="10"/>
                <w:kern w:val="0"/>
                <w:szCs w:val="21"/>
                <w:highlight w:val="none"/>
              </w:rPr>
              <w:t>序号</w:t>
            </w:r>
          </w:p>
        </w:tc>
        <w:tc>
          <w:tcPr>
            <w:tcW w:w="1380" w:type="dxa"/>
            <w:vAlign w:val="center"/>
          </w:tcPr>
          <w:p>
            <w:pPr>
              <w:widowControl/>
              <w:snapToGrid w:val="0"/>
              <w:spacing w:before="66" w:after="66"/>
              <w:jc w:val="center"/>
              <w:rPr>
                <w:rFonts w:ascii="宋体" w:hAnsi="宋体" w:eastAsia="宋体" w:cs="宋体"/>
                <w:b/>
                <w:color w:val="auto"/>
                <w:spacing w:val="10"/>
                <w:kern w:val="0"/>
                <w:szCs w:val="21"/>
                <w:highlight w:val="none"/>
              </w:rPr>
            </w:pPr>
            <w:r>
              <w:rPr>
                <w:rFonts w:hint="eastAsia" w:ascii="宋体" w:hAnsi="宋体" w:eastAsia="宋体" w:cs="宋体"/>
                <w:b/>
                <w:color w:val="auto"/>
                <w:spacing w:val="10"/>
                <w:kern w:val="0"/>
                <w:szCs w:val="21"/>
                <w:highlight w:val="none"/>
              </w:rPr>
              <w:t>项目</w:t>
            </w:r>
          </w:p>
        </w:tc>
        <w:tc>
          <w:tcPr>
            <w:tcW w:w="2190" w:type="dxa"/>
            <w:vAlign w:val="center"/>
          </w:tcPr>
          <w:p>
            <w:pPr>
              <w:widowControl/>
              <w:snapToGrid w:val="0"/>
              <w:spacing w:before="66" w:after="66"/>
              <w:jc w:val="center"/>
              <w:rPr>
                <w:rFonts w:ascii="宋体" w:hAnsi="宋体" w:eastAsia="宋体" w:cs="宋体"/>
                <w:b/>
                <w:color w:val="auto"/>
                <w:spacing w:val="10"/>
                <w:kern w:val="0"/>
                <w:szCs w:val="21"/>
                <w:highlight w:val="none"/>
              </w:rPr>
            </w:pPr>
            <w:r>
              <w:rPr>
                <w:rFonts w:hint="eastAsia" w:ascii="宋体" w:hAnsi="宋体" w:eastAsia="宋体" w:cs="宋体"/>
                <w:b/>
                <w:color w:val="auto"/>
                <w:spacing w:val="10"/>
                <w:kern w:val="0"/>
                <w:szCs w:val="21"/>
                <w:highlight w:val="none"/>
              </w:rPr>
              <w:t>评审内容及分值</w:t>
            </w:r>
          </w:p>
        </w:tc>
        <w:tc>
          <w:tcPr>
            <w:tcW w:w="9741" w:type="dxa"/>
            <w:vAlign w:val="center"/>
          </w:tcPr>
          <w:p>
            <w:pPr>
              <w:widowControl/>
              <w:snapToGrid w:val="0"/>
              <w:spacing w:before="66" w:after="66"/>
              <w:jc w:val="center"/>
              <w:rPr>
                <w:rFonts w:ascii="宋体" w:hAnsi="宋体" w:eastAsia="宋体" w:cs="宋体"/>
                <w:b/>
                <w:color w:val="auto"/>
                <w:spacing w:val="10"/>
                <w:kern w:val="0"/>
                <w:szCs w:val="21"/>
                <w:highlight w:val="none"/>
              </w:rPr>
            </w:pPr>
            <w:r>
              <w:rPr>
                <w:rFonts w:hint="eastAsia" w:ascii="宋体" w:hAnsi="宋体" w:eastAsia="宋体" w:cs="宋体"/>
                <w:b/>
                <w:color w:val="auto"/>
                <w:spacing w:val="10"/>
                <w:kern w:val="0"/>
                <w:szCs w:val="21"/>
                <w:highlight w:val="none"/>
              </w:rPr>
              <w:t>项目内容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Merge w:val="restart"/>
            <w:vAlign w:val="center"/>
          </w:tcPr>
          <w:p>
            <w:pPr>
              <w:widowControl/>
              <w:snapToGrid w:val="0"/>
              <w:spacing w:before="66" w:after="66"/>
              <w:jc w:val="center"/>
              <w:rPr>
                <w:rFonts w:ascii="宋体" w:hAnsi="宋体" w:eastAsia="宋体" w:cs="宋体"/>
                <w:color w:val="auto"/>
                <w:spacing w:val="10"/>
                <w:kern w:val="0"/>
                <w:szCs w:val="21"/>
                <w:highlight w:val="none"/>
              </w:rPr>
            </w:pPr>
            <w:r>
              <w:rPr>
                <w:rFonts w:hint="eastAsia" w:ascii="宋体" w:hAnsi="宋体" w:eastAsia="宋体" w:cs="宋体"/>
                <w:color w:val="auto"/>
                <w:spacing w:val="10"/>
                <w:kern w:val="0"/>
                <w:szCs w:val="21"/>
                <w:highlight w:val="none"/>
              </w:rPr>
              <w:t>1</w:t>
            </w:r>
          </w:p>
        </w:tc>
        <w:tc>
          <w:tcPr>
            <w:tcW w:w="1380" w:type="dxa"/>
            <w:vMerge w:val="restart"/>
            <w:vAlign w:val="center"/>
          </w:tcPr>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技术水平</w:t>
            </w:r>
          </w:p>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（35分）</w:t>
            </w:r>
          </w:p>
        </w:tc>
        <w:tc>
          <w:tcPr>
            <w:tcW w:w="2190" w:type="dxa"/>
            <w:vAlign w:val="center"/>
          </w:tcPr>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技术业绩</w:t>
            </w:r>
          </w:p>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（15分）</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开标前5年内：</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企业具有与招标内容同类的业绩（换流站：与标包内设备相同的监造业绩；变电站：1000千伏变电站设备监造业绩），得3分；如无得0分。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1.企业具有±800kV及以上换流站或1000kV变电站工程同类服务业绩的，每项业绩得2分；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2.企业具有±400kV及以上、±800kV以下换流站或500kV及以上、1000kV以下变电站工程同类服务业绩的，每项业绩得1分。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备注：条件1和2总得分不得超过12分。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863" w:type="dxa"/>
            <w:vMerge w:val="continue"/>
            <w:vAlign w:val="center"/>
          </w:tcPr>
          <w:p>
            <w:pPr>
              <w:widowControl/>
              <w:snapToGrid w:val="0"/>
              <w:spacing w:before="66" w:after="66"/>
              <w:jc w:val="center"/>
              <w:rPr>
                <w:rFonts w:ascii="宋体" w:hAnsi="宋体" w:eastAsia="宋体" w:cs="宋体"/>
                <w:color w:val="auto"/>
                <w:spacing w:val="10"/>
                <w:kern w:val="0"/>
                <w:szCs w:val="21"/>
                <w:highlight w:val="none"/>
              </w:rPr>
            </w:pPr>
          </w:p>
        </w:tc>
        <w:tc>
          <w:tcPr>
            <w:tcW w:w="1380" w:type="dxa"/>
            <w:vMerge w:val="continue"/>
            <w:vAlign w:val="center"/>
          </w:tcPr>
          <w:p>
            <w:pPr>
              <w:widowControl/>
              <w:snapToGrid w:val="0"/>
              <w:spacing w:before="66" w:after="66"/>
              <w:jc w:val="center"/>
              <w:rPr>
                <w:rFonts w:ascii="宋体" w:hAnsi="宋体" w:eastAsia="宋体" w:cs="宋体"/>
                <w:b/>
                <w:bCs/>
                <w:color w:val="auto"/>
                <w:kern w:val="0"/>
                <w:szCs w:val="21"/>
                <w:highlight w:val="none"/>
                <w:lang w:bidi="ar"/>
              </w:rPr>
            </w:pPr>
          </w:p>
        </w:tc>
        <w:tc>
          <w:tcPr>
            <w:tcW w:w="2190" w:type="dxa"/>
            <w:vAlign w:val="center"/>
          </w:tcPr>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实施条件分析（5分）</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对设备概况、承制资源、技术现状、质量通病了解清楚，得2分，一项论述描述不清楚，扣0.5分；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对设备制造、试验的特点、难点理解把握正确，得3分，一项论述描述不清楚，扣1分。扣完为止。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Merge w:val="continue"/>
            <w:vAlign w:val="center"/>
          </w:tcPr>
          <w:p>
            <w:pPr>
              <w:widowControl/>
              <w:snapToGrid w:val="0"/>
              <w:spacing w:before="66" w:after="66"/>
              <w:jc w:val="center"/>
              <w:rPr>
                <w:rFonts w:ascii="宋体" w:hAnsi="宋体" w:eastAsia="宋体" w:cs="宋体"/>
                <w:color w:val="auto"/>
                <w:spacing w:val="10"/>
                <w:kern w:val="0"/>
                <w:szCs w:val="21"/>
                <w:highlight w:val="none"/>
              </w:rPr>
            </w:pPr>
          </w:p>
        </w:tc>
        <w:tc>
          <w:tcPr>
            <w:tcW w:w="1380" w:type="dxa"/>
            <w:vMerge w:val="continue"/>
            <w:vAlign w:val="center"/>
          </w:tcPr>
          <w:p>
            <w:pPr>
              <w:widowControl/>
              <w:snapToGrid w:val="0"/>
              <w:spacing w:before="66" w:after="66"/>
              <w:jc w:val="center"/>
              <w:rPr>
                <w:rFonts w:ascii="宋体" w:hAnsi="宋体" w:eastAsia="宋体" w:cs="宋体"/>
                <w:b/>
                <w:bCs/>
                <w:color w:val="auto"/>
                <w:kern w:val="0"/>
                <w:szCs w:val="21"/>
                <w:highlight w:val="none"/>
                <w:lang w:bidi="ar"/>
              </w:rPr>
            </w:pPr>
          </w:p>
        </w:tc>
        <w:tc>
          <w:tcPr>
            <w:tcW w:w="2190" w:type="dxa"/>
            <w:vMerge w:val="restart"/>
            <w:vAlign w:val="center"/>
          </w:tcPr>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技术管理方案（15分）</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方案编制依据充分、正确，得5分；每缺少一项，扣1分，扣完为止。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Merge w:val="continue"/>
            <w:vAlign w:val="center"/>
          </w:tcPr>
          <w:p>
            <w:pPr>
              <w:widowControl/>
              <w:snapToGrid w:val="0"/>
              <w:spacing w:before="66" w:after="66"/>
              <w:jc w:val="center"/>
              <w:rPr>
                <w:rFonts w:ascii="宋体" w:hAnsi="宋体" w:eastAsia="宋体" w:cs="宋体"/>
                <w:color w:val="auto"/>
                <w:spacing w:val="10"/>
                <w:kern w:val="0"/>
                <w:szCs w:val="21"/>
                <w:highlight w:val="none"/>
              </w:rPr>
            </w:pPr>
          </w:p>
        </w:tc>
        <w:tc>
          <w:tcPr>
            <w:tcW w:w="1380" w:type="dxa"/>
            <w:vMerge w:val="continue"/>
            <w:vAlign w:val="center"/>
          </w:tcPr>
          <w:p>
            <w:pPr>
              <w:widowControl/>
              <w:snapToGrid w:val="0"/>
              <w:spacing w:before="66" w:after="66"/>
              <w:jc w:val="center"/>
              <w:rPr>
                <w:rFonts w:ascii="宋体" w:hAnsi="宋体" w:eastAsia="宋体" w:cs="宋体"/>
                <w:b/>
                <w:bCs/>
                <w:color w:val="auto"/>
                <w:kern w:val="0"/>
                <w:szCs w:val="21"/>
                <w:highlight w:val="none"/>
                <w:lang w:bidi="ar"/>
              </w:rPr>
            </w:pPr>
          </w:p>
        </w:tc>
        <w:tc>
          <w:tcPr>
            <w:tcW w:w="2190" w:type="dxa"/>
            <w:vMerge w:val="continue"/>
            <w:vAlign w:val="center"/>
          </w:tcPr>
          <w:p>
            <w:pPr>
              <w:adjustRightInd w:val="0"/>
              <w:snapToGrid w:val="0"/>
              <w:spacing w:line="240" w:lineRule="atLeast"/>
              <w:jc w:val="center"/>
              <w:rPr>
                <w:rFonts w:ascii="宋体" w:hAnsi="宋体" w:eastAsia="宋体" w:cs="宋体"/>
                <w:color w:val="auto"/>
                <w:szCs w:val="21"/>
                <w:highlight w:val="none"/>
              </w:rPr>
            </w:pP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试验、拆卸、修复、装运等方案审查项目齐全，措施合理有效，得10分；每缺少1项，扣1分，扣完为止。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863" w:type="dxa"/>
            <w:vMerge w:val="restart"/>
            <w:vAlign w:val="center"/>
          </w:tcPr>
          <w:p>
            <w:pPr>
              <w:widowControl/>
              <w:snapToGrid w:val="0"/>
              <w:spacing w:before="66" w:after="66"/>
              <w:jc w:val="center"/>
              <w:rPr>
                <w:rFonts w:ascii="宋体" w:hAnsi="宋体" w:eastAsia="宋体" w:cs="宋体"/>
                <w:color w:val="auto"/>
                <w:spacing w:val="10"/>
                <w:kern w:val="0"/>
                <w:szCs w:val="21"/>
                <w:highlight w:val="none"/>
              </w:rPr>
            </w:pPr>
            <w:r>
              <w:rPr>
                <w:rFonts w:hint="eastAsia" w:ascii="宋体" w:hAnsi="宋体" w:eastAsia="宋体" w:cs="宋体"/>
                <w:color w:val="auto"/>
                <w:spacing w:val="10"/>
                <w:kern w:val="0"/>
                <w:szCs w:val="21"/>
                <w:highlight w:val="none"/>
              </w:rPr>
              <w:t>2</w:t>
            </w:r>
          </w:p>
        </w:tc>
        <w:tc>
          <w:tcPr>
            <w:tcW w:w="1380" w:type="dxa"/>
            <w:vMerge w:val="restart"/>
            <w:vAlign w:val="center"/>
          </w:tcPr>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团队配置</w:t>
            </w:r>
          </w:p>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（15分）</w:t>
            </w:r>
          </w:p>
        </w:tc>
        <w:tc>
          <w:tcPr>
            <w:tcW w:w="2190" w:type="dxa"/>
            <w:vAlign w:val="center"/>
          </w:tcPr>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项目管理组织结构</w:t>
            </w:r>
          </w:p>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（8分）</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项目组织机构（2分）（机构职责齐全、人员配置齐全、满足招标文件要求，2分；机构职责不齐全、人员配置不齐全，0分。）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项目团队履责能力（6分）（按照以下规则累计积分，最高6分）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1）总监具有±800kV及以上换流站或1000kV变电站总监造工程师业绩的，得6分；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2）总监具有±800kV及以上换流站或1000kV变电站总监造工程师代表业绩的，每项得2分；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3）总监具有±400kV及以上、±800kV以下换流站工程总监造工程师业绩的，每项得1.5分；</w:t>
            </w:r>
          </w:p>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4）总监具有500kV及以上、1000kV以下变电站工程总监造工程师（总监造工程师代表）业绩的，每项得1分；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863" w:type="dxa"/>
            <w:vMerge w:val="continue"/>
            <w:vAlign w:val="center"/>
          </w:tcPr>
          <w:p>
            <w:pPr>
              <w:widowControl/>
              <w:snapToGrid w:val="0"/>
              <w:spacing w:before="66" w:after="66"/>
              <w:jc w:val="center"/>
              <w:rPr>
                <w:rFonts w:ascii="宋体" w:hAnsi="宋体" w:eastAsia="宋体" w:cs="宋体"/>
                <w:color w:val="auto"/>
                <w:spacing w:val="10"/>
                <w:kern w:val="0"/>
                <w:szCs w:val="21"/>
                <w:highlight w:val="none"/>
              </w:rPr>
            </w:pPr>
          </w:p>
        </w:tc>
        <w:tc>
          <w:tcPr>
            <w:tcW w:w="1380" w:type="dxa"/>
            <w:vMerge w:val="continue"/>
            <w:vAlign w:val="center"/>
          </w:tcPr>
          <w:p>
            <w:pPr>
              <w:widowControl/>
              <w:snapToGrid w:val="0"/>
              <w:spacing w:before="66" w:after="66"/>
              <w:jc w:val="center"/>
              <w:rPr>
                <w:rFonts w:ascii="宋体" w:hAnsi="宋体" w:eastAsia="宋体" w:cs="宋体"/>
                <w:b/>
                <w:bCs/>
                <w:color w:val="auto"/>
                <w:kern w:val="0"/>
                <w:szCs w:val="21"/>
                <w:highlight w:val="none"/>
                <w:lang w:bidi="ar"/>
              </w:rPr>
            </w:pPr>
          </w:p>
        </w:tc>
        <w:tc>
          <w:tcPr>
            <w:tcW w:w="2190" w:type="dxa"/>
            <w:vAlign w:val="center"/>
          </w:tcPr>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人员配置</w:t>
            </w:r>
          </w:p>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（4分）</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项目团队成员具备正高级职称的,每人次计2分；具备副高级职称,每人次计1分。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863" w:type="dxa"/>
            <w:vMerge w:val="continue"/>
            <w:vAlign w:val="center"/>
          </w:tcPr>
          <w:p>
            <w:pPr>
              <w:widowControl/>
              <w:snapToGrid w:val="0"/>
              <w:spacing w:before="66" w:after="66"/>
              <w:jc w:val="center"/>
              <w:rPr>
                <w:rFonts w:ascii="宋体" w:hAnsi="宋体" w:eastAsia="宋体" w:cs="宋体"/>
                <w:color w:val="auto"/>
                <w:spacing w:val="10"/>
                <w:kern w:val="0"/>
                <w:szCs w:val="21"/>
                <w:highlight w:val="none"/>
              </w:rPr>
            </w:pPr>
          </w:p>
        </w:tc>
        <w:tc>
          <w:tcPr>
            <w:tcW w:w="1380" w:type="dxa"/>
            <w:vMerge w:val="continue"/>
            <w:vAlign w:val="center"/>
          </w:tcPr>
          <w:p>
            <w:pPr>
              <w:widowControl/>
              <w:snapToGrid w:val="0"/>
              <w:spacing w:before="66" w:after="66"/>
              <w:jc w:val="center"/>
              <w:rPr>
                <w:rFonts w:ascii="宋体" w:hAnsi="宋体" w:eastAsia="宋体" w:cs="宋体"/>
                <w:b/>
                <w:bCs/>
                <w:color w:val="auto"/>
                <w:kern w:val="0"/>
                <w:szCs w:val="21"/>
                <w:highlight w:val="none"/>
                <w:lang w:bidi="ar"/>
              </w:rPr>
            </w:pPr>
          </w:p>
        </w:tc>
        <w:tc>
          <w:tcPr>
            <w:tcW w:w="2190" w:type="dxa"/>
            <w:vAlign w:val="center"/>
          </w:tcPr>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执业资格证书配置</w:t>
            </w:r>
          </w:p>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（3分）</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项目团队成员具有国家注册设备监理师职业资格证书的（总监除外）,每人次计1.5分。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Merge w:val="restart"/>
            <w:vAlign w:val="center"/>
          </w:tcPr>
          <w:p>
            <w:pPr>
              <w:widowControl/>
              <w:snapToGrid w:val="0"/>
              <w:spacing w:before="66" w:after="66"/>
              <w:jc w:val="center"/>
              <w:rPr>
                <w:rFonts w:ascii="宋体" w:hAnsi="宋体" w:eastAsia="宋体" w:cs="宋体"/>
                <w:color w:val="auto"/>
                <w:spacing w:val="10"/>
                <w:kern w:val="0"/>
                <w:szCs w:val="21"/>
                <w:highlight w:val="none"/>
              </w:rPr>
            </w:pPr>
            <w:r>
              <w:rPr>
                <w:rFonts w:hint="eastAsia" w:ascii="宋体" w:hAnsi="宋体" w:eastAsia="宋体" w:cs="宋体"/>
                <w:color w:val="auto"/>
                <w:spacing w:val="10"/>
                <w:kern w:val="0"/>
                <w:szCs w:val="21"/>
                <w:highlight w:val="none"/>
              </w:rPr>
              <w:t>3</w:t>
            </w:r>
          </w:p>
        </w:tc>
        <w:tc>
          <w:tcPr>
            <w:tcW w:w="1380" w:type="dxa"/>
            <w:vMerge w:val="restart"/>
            <w:vAlign w:val="center"/>
          </w:tcPr>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质量控制</w:t>
            </w:r>
          </w:p>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（15分）</w:t>
            </w:r>
          </w:p>
        </w:tc>
        <w:tc>
          <w:tcPr>
            <w:tcW w:w="2190" w:type="dxa"/>
            <w:vMerge w:val="restart"/>
            <w:vAlign w:val="center"/>
          </w:tcPr>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s="宋体"/>
                <w:color w:val="auto"/>
                <w:szCs w:val="21"/>
                <w:highlight w:val="none"/>
              </w:rPr>
              <w:t>质量控制措施（15分）</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原材料检验项目齐全得8分，每缺少1项，扣1分，扣完为止。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863" w:type="dxa"/>
            <w:vMerge w:val="continue"/>
            <w:vAlign w:val="center"/>
          </w:tcPr>
          <w:p>
            <w:pPr>
              <w:widowControl/>
              <w:snapToGrid w:val="0"/>
              <w:spacing w:before="66" w:after="66"/>
              <w:jc w:val="center"/>
              <w:rPr>
                <w:rFonts w:ascii="宋体" w:hAnsi="宋体" w:eastAsia="宋体" w:cs="宋体"/>
                <w:color w:val="auto"/>
                <w:spacing w:val="10"/>
                <w:kern w:val="0"/>
                <w:szCs w:val="21"/>
                <w:highlight w:val="none"/>
              </w:rPr>
            </w:pPr>
          </w:p>
        </w:tc>
        <w:tc>
          <w:tcPr>
            <w:tcW w:w="1380" w:type="dxa"/>
            <w:vMerge w:val="continue"/>
            <w:vAlign w:val="center"/>
          </w:tcPr>
          <w:p>
            <w:pPr>
              <w:widowControl/>
              <w:snapToGrid w:val="0"/>
              <w:spacing w:before="66" w:after="66"/>
              <w:jc w:val="center"/>
              <w:rPr>
                <w:rFonts w:ascii="宋体" w:hAnsi="宋体" w:eastAsia="宋体" w:cs="宋体"/>
                <w:b/>
                <w:bCs/>
                <w:color w:val="auto"/>
                <w:kern w:val="0"/>
                <w:szCs w:val="21"/>
                <w:highlight w:val="none"/>
                <w:lang w:bidi="ar"/>
              </w:rPr>
            </w:pPr>
          </w:p>
        </w:tc>
        <w:tc>
          <w:tcPr>
            <w:tcW w:w="2190" w:type="dxa"/>
            <w:vMerge w:val="continue"/>
            <w:vAlign w:val="center"/>
          </w:tcPr>
          <w:p>
            <w:pPr>
              <w:adjustRightInd w:val="0"/>
              <w:snapToGrid w:val="0"/>
              <w:spacing w:line="240" w:lineRule="atLeast"/>
              <w:jc w:val="center"/>
              <w:rPr>
                <w:rFonts w:ascii="宋体" w:hAnsi="宋体" w:eastAsia="宋体" w:cs="宋体"/>
                <w:color w:val="auto"/>
                <w:szCs w:val="21"/>
                <w:highlight w:val="none"/>
              </w:rPr>
            </w:pP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过程管控点设置正确、合理得7分，每缺少或错误1处，扣0.5分，扣完为止。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Merge w:val="restart"/>
            <w:vAlign w:val="center"/>
          </w:tcPr>
          <w:p>
            <w:pPr>
              <w:widowControl/>
              <w:snapToGrid w:val="0"/>
              <w:spacing w:before="66" w:after="66"/>
              <w:jc w:val="center"/>
              <w:rPr>
                <w:rFonts w:ascii="宋体" w:hAnsi="宋体" w:eastAsia="宋体" w:cs="宋体"/>
                <w:color w:val="auto"/>
                <w:spacing w:val="10"/>
                <w:kern w:val="0"/>
                <w:szCs w:val="21"/>
                <w:highlight w:val="none"/>
              </w:rPr>
            </w:pPr>
            <w:r>
              <w:rPr>
                <w:rFonts w:hint="eastAsia" w:ascii="宋体" w:hAnsi="宋体" w:eastAsia="宋体" w:cs="宋体"/>
                <w:color w:val="auto"/>
                <w:spacing w:val="10"/>
                <w:kern w:val="0"/>
                <w:szCs w:val="21"/>
                <w:highlight w:val="none"/>
              </w:rPr>
              <w:t>4</w:t>
            </w:r>
          </w:p>
        </w:tc>
        <w:tc>
          <w:tcPr>
            <w:tcW w:w="1380" w:type="dxa"/>
            <w:vMerge w:val="restart"/>
            <w:vAlign w:val="center"/>
          </w:tcPr>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综合评价</w:t>
            </w:r>
          </w:p>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（10分）</w:t>
            </w:r>
          </w:p>
        </w:tc>
        <w:tc>
          <w:tcPr>
            <w:tcW w:w="2190" w:type="dxa"/>
            <w:vMerge w:val="restart"/>
            <w:vAlign w:val="center"/>
          </w:tcPr>
          <w:p>
            <w:pPr>
              <w:adjustRightInd w:val="0"/>
              <w:snapToGrid w:val="0"/>
              <w:spacing w:line="240" w:lineRule="atLeast"/>
              <w:jc w:val="center"/>
              <w:rPr>
                <w:rFonts w:ascii="宋体" w:hAnsi="宋体" w:eastAsia="宋体"/>
                <w:color w:val="auto"/>
                <w:szCs w:val="21"/>
                <w:highlight w:val="none"/>
              </w:rPr>
            </w:pPr>
            <w:r>
              <w:rPr>
                <w:rFonts w:hint="eastAsia" w:ascii="宋体" w:hAnsi="宋体" w:eastAsia="宋体"/>
                <w:color w:val="auto"/>
                <w:szCs w:val="21"/>
                <w:highlight w:val="none"/>
              </w:rPr>
              <w:t>综合管理</w:t>
            </w:r>
          </w:p>
          <w:p>
            <w:pPr>
              <w:adjustRightInd w:val="0"/>
              <w:snapToGrid w:val="0"/>
              <w:spacing w:line="240" w:lineRule="atLeast"/>
              <w:jc w:val="center"/>
              <w:rPr>
                <w:rFonts w:ascii="宋体" w:hAnsi="宋体" w:eastAsia="宋体" w:cs="宋体"/>
                <w:color w:val="auto"/>
                <w:szCs w:val="21"/>
                <w:highlight w:val="none"/>
              </w:rPr>
            </w:pPr>
            <w:r>
              <w:rPr>
                <w:rFonts w:hint="eastAsia" w:ascii="宋体" w:hAnsi="宋体" w:eastAsia="宋体"/>
                <w:color w:val="auto"/>
                <w:szCs w:val="21"/>
                <w:highlight w:val="none"/>
              </w:rPr>
              <w:t>（</w:t>
            </w:r>
            <w:r>
              <w:rPr>
                <w:rFonts w:hint="eastAsia" w:ascii="宋体" w:hAnsi="宋体" w:eastAsia="宋体" w:cs="宋体"/>
                <w:color w:val="auto"/>
                <w:szCs w:val="21"/>
                <w:highlight w:val="none"/>
              </w:rPr>
              <w:t>4分</w:t>
            </w:r>
            <w:r>
              <w:rPr>
                <w:rFonts w:hint="eastAsia" w:ascii="宋体" w:hAnsi="宋体" w:eastAsia="宋体"/>
                <w:color w:val="auto"/>
                <w:szCs w:val="21"/>
                <w:highlight w:val="none"/>
              </w:rPr>
              <w:t>）</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规范化开工（2分）：驻厂组人员配置齐全得1分，监造首次会计划齐全得1分。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Merge w:val="continue"/>
            <w:vAlign w:val="center"/>
          </w:tcPr>
          <w:p>
            <w:pPr>
              <w:widowControl/>
              <w:snapToGrid w:val="0"/>
              <w:spacing w:before="66" w:after="66"/>
              <w:jc w:val="center"/>
              <w:rPr>
                <w:rFonts w:ascii="宋体" w:hAnsi="宋体" w:eastAsia="宋体" w:cs="宋体"/>
                <w:color w:val="auto"/>
                <w:spacing w:val="10"/>
                <w:kern w:val="0"/>
                <w:szCs w:val="21"/>
                <w:highlight w:val="none"/>
              </w:rPr>
            </w:pPr>
          </w:p>
        </w:tc>
        <w:tc>
          <w:tcPr>
            <w:tcW w:w="1380" w:type="dxa"/>
            <w:vMerge w:val="continue"/>
            <w:vAlign w:val="center"/>
          </w:tcPr>
          <w:p>
            <w:pPr>
              <w:widowControl/>
              <w:snapToGrid w:val="0"/>
              <w:spacing w:before="66" w:after="66"/>
              <w:jc w:val="center"/>
              <w:rPr>
                <w:rFonts w:ascii="宋体" w:hAnsi="宋体" w:eastAsia="宋体" w:cs="宋体"/>
                <w:b/>
                <w:bCs/>
                <w:color w:val="auto"/>
                <w:kern w:val="0"/>
                <w:szCs w:val="21"/>
                <w:highlight w:val="none"/>
                <w:lang w:bidi="ar"/>
              </w:rPr>
            </w:pPr>
          </w:p>
        </w:tc>
        <w:tc>
          <w:tcPr>
            <w:tcW w:w="2190" w:type="dxa"/>
            <w:vMerge w:val="continue"/>
            <w:vAlign w:val="center"/>
          </w:tcPr>
          <w:p>
            <w:pPr>
              <w:adjustRightInd w:val="0"/>
              <w:snapToGrid w:val="0"/>
              <w:spacing w:line="240" w:lineRule="atLeast"/>
              <w:jc w:val="center"/>
              <w:rPr>
                <w:rFonts w:ascii="宋体" w:hAnsi="宋体" w:eastAsia="宋体" w:cs="宋体"/>
                <w:color w:val="auto"/>
                <w:szCs w:val="21"/>
                <w:highlight w:val="none"/>
              </w:rPr>
            </w:pP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档案资料管理（2分）:档案资料整理、报送具体要求描述清晰、正确，得2分，遗漏或错误1处，扣0.5分，扣完为止。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jc w:val="center"/>
        </w:trPr>
        <w:tc>
          <w:tcPr>
            <w:tcW w:w="863" w:type="dxa"/>
            <w:vMerge w:val="continue"/>
            <w:vAlign w:val="center"/>
          </w:tcPr>
          <w:p>
            <w:pPr>
              <w:widowControl/>
              <w:snapToGrid w:val="0"/>
              <w:spacing w:before="66" w:after="66"/>
              <w:jc w:val="center"/>
              <w:rPr>
                <w:rFonts w:ascii="宋体" w:hAnsi="宋体" w:eastAsia="宋体" w:cs="宋体"/>
                <w:color w:val="auto"/>
                <w:spacing w:val="10"/>
                <w:kern w:val="0"/>
                <w:szCs w:val="21"/>
                <w:highlight w:val="none"/>
              </w:rPr>
            </w:pPr>
          </w:p>
        </w:tc>
        <w:tc>
          <w:tcPr>
            <w:tcW w:w="1380" w:type="dxa"/>
            <w:vMerge w:val="continue"/>
            <w:vAlign w:val="center"/>
          </w:tcPr>
          <w:p>
            <w:pPr>
              <w:widowControl/>
              <w:snapToGrid w:val="0"/>
              <w:spacing w:before="66" w:after="66"/>
              <w:jc w:val="center"/>
              <w:rPr>
                <w:rFonts w:ascii="宋体" w:hAnsi="宋体" w:eastAsia="宋体" w:cs="宋体"/>
                <w:b/>
                <w:bCs/>
                <w:color w:val="auto"/>
                <w:kern w:val="0"/>
                <w:szCs w:val="21"/>
                <w:highlight w:val="none"/>
                <w:lang w:bidi="ar"/>
              </w:rPr>
            </w:pPr>
          </w:p>
        </w:tc>
        <w:tc>
          <w:tcPr>
            <w:tcW w:w="2190" w:type="dxa"/>
            <w:vAlign w:val="center"/>
          </w:tcPr>
          <w:p>
            <w:pPr>
              <w:adjustRightInd w:val="0"/>
              <w:snapToGrid w:val="0"/>
              <w:spacing w:line="240" w:lineRule="atLeast"/>
              <w:jc w:val="center"/>
              <w:rPr>
                <w:rFonts w:ascii="宋体" w:hAnsi="宋体" w:eastAsia="宋体"/>
                <w:color w:val="auto"/>
                <w:szCs w:val="21"/>
                <w:highlight w:val="none"/>
              </w:rPr>
            </w:pPr>
            <w:r>
              <w:rPr>
                <w:rFonts w:hint="eastAsia" w:ascii="宋体" w:hAnsi="宋体" w:eastAsia="宋体"/>
                <w:color w:val="auto"/>
                <w:szCs w:val="21"/>
                <w:highlight w:val="none"/>
              </w:rPr>
              <w:t>整体评价</w:t>
            </w:r>
          </w:p>
          <w:p>
            <w:pPr>
              <w:adjustRightInd w:val="0"/>
              <w:snapToGrid w:val="0"/>
              <w:spacing w:line="240" w:lineRule="atLeast"/>
              <w:jc w:val="center"/>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s="宋体"/>
                <w:color w:val="auto"/>
                <w:szCs w:val="21"/>
                <w:highlight w:val="none"/>
              </w:rPr>
              <w:t>6分</w:t>
            </w:r>
            <w:r>
              <w:rPr>
                <w:rFonts w:hint="eastAsia" w:ascii="宋体" w:hAnsi="宋体" w:eastAsia="宋体"/>
                <w:color w:val="auto"/>
                <w:szCs w:val="21"/>
                <w:highlight w:val="none"/>
              </w:rPr>
              <w:t>）</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类似工程经验（</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分）（提供设备类型、系统条件与所招标工程相同或接近的工程的中标通知书、合同签署页及封面、业主评价书面意见）经验丰富的，得</w:t>
            </w:r>
            <w:r>
              <w:rPr>
                <w:rStyle w:val="50"/>
                <w:rFonts w:hint="default" w:asciiTheme="minorEastAsia" w:hAnsiTheme="minorEastAsia" w:eastAsiaTheme="minorEastAsia" w:cstheme="minorEastAsia"/>
                <w:color w:val="auto"/>
                <w:sz w:val="21"/>
                <w:szCs w:val="21"/>
                <w:highlight w:val="none"/>
              </w:rPr>
              <w:t>6-5分，经验一般的得4-3分；经验较少的得2-1分</w:t>
            </w:r>
            <w:r>
              <w:rPr>
                <w:rStyle w:val="50"/>
                <w:rFonts w:hint="eastAsia" w:asciiTheme="minorEastAsia" w:hAnsiTheme="minorEastAsia" w:eastAsiaTheme="minorEastAsia" w:cstheme="minorEastAsia"/>
                <w:color w:val="auto"/>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Align w:val="center"/>
          </w:tcPr>
          <w:p>
            <w:pPr>
              <w:widowControl/>
              <w:snapToGrid w:val="0"/>
              <w:spacing w:before="66" w:after="66"/>
              <w:jc w:val="center"/>
              <w:rPr>
                <w:rFonts w:ascii="宋体" w:hAnsi="宋体" w:eastAsia="宋体" w:cs="宋体"/>
                <w:color w:val="auto"/>
                <w:spacing w:val="10"/>
                <w:kern w:val="0"/>
                <w:szCs w:val="21"/>
                <w:highlight w:val="none"/>
              </w:rPr>
            </w:pPr>
            <w:r>
              <w:rPr>
                <w:rFonts w:hint="eastAsia" w:ascii="宋体" w:hAnsi="宋体" w:eastAsia="宋体" w:cs="宋体"/>
                <w:color w:val="auto"/>
                <w:spacing w:val="10"/>
                <w:kern w:val="0"/>
                <w:szCs w:val="21"/>
                <w:highlight w:val="none"/>
              </w:rPr>
              <w:t>5</w:t>
            </w:r>
          </w:p>
        </w:tc>
        <w:tc>
          <w:tcPr>
            <w:tcW w:w="1380" w:type="dxa"/>
            <w:vAlign w:val="center"/>
          </w:tcPr>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绩效评价</w:t>
            </w:r>
          </w:p>
          <w:p>
            <w:pPr>
              <w:widowControl/>
              <w:snapToGrid w:val="0"/>
              <w:spacing w:before="66" w:after="66"/>
              <w:jc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lang w:bidi="ar"/>
              </w:rPr>
              <w:t>（25分）</w:t>
            </w:r>
          </w:p>
        </w:tc>
        <w:tc>
          <w:tcPr>
            <w:tcW w:w="2190" w:type="dxa"/>
            <w:vAlign w:val="center"/>
          </w:tcPr>
          <w:p>
            <w:pPr>
              <w:adjustRightInd w:val="0"/>
              <w:snapToGrid w:val="0"/>
              <w:spacing w:line="240" w:lineRule="atLeast"/>
              <w:jc w:val="center"/>
              <w:rPr>
                <w:rFonts w:ascii="宋体" w:hAnsi="宋体" w:eastAsia="宋体"/>
                <w:color w:val="auto"/>
                <w:szCs w:val="21"/>
                <w:highlight w:val="none"/>
              </w:rPr>
            </w:pPr>
            <w:r>
              <w:rPr>
                <w:rFonts w:hint="eastAsia" w:ascii="宋体" w:hAnsi="宋体" w:eastAsia="宋体" w:cs="宋体"/>
                <w:color w:val="auto"/>
                <w:szCs w:val="21"/>
                <w:highlight w:val="none"/>
              </w:rPr>
              <w:t>绩效评价（25分）</w:t>
            </w:r>
          </w:p>
        </w:tc>
        <w:tc>
          <w:tcPr>
            <w:tcW w:w="9741" w:type="dxa"/>
            <w:vAlign w:val="center"/>
          </w:tcPr>
          <w:p>
            <w:pPr>
              <w:widowControl/>
              <w:snapToGrid w:val="0"/>
              <w:spacing w:before="66" w:after="66"/>
              <w:jc w:val="left"/>
              <w:rPr>
                <w:rFonts w:ascii="宋体" w:hAnsi="宋体" w:eastAsia="宋体" w:cs="宋体"/>
                <w:color w:val="auto"/>
                <w:szCs w:val="21"/>
                <w:highlight w:val="none"/>
              </w:rPr>
            </w:pPr>
            <w:r>
              <w:rPr>
                <w:rFonts w:hint="eastAsia" w:ascii="宋体" w:hAnsi="宋体" w:eastAsia="宋体" w:cs="宋体"/>
                <w:color w:val="auto"/>
                <w:szCs w:val="21"/>
                <w:highlight w:val="none"/>
              </w:rPr>
              <w:t>按照最新一期相应绩效评价得分*0.25计算（得分按四舍五入保留两位小数），对于无绩效评价的投标人，根据投标文件重点考虑投标人在以往工程履约方面的表现，同时考虑投标人在履约协调、资源投入、信息报送、问题处理等方面的综合表现，根据评价结果并结合投标响应进行综合评价。未开展绩效评价阶段，绩效评价得分按100分计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63" w:type="dxa"/>
            <w:vAlign w:val="center"/>
          </w:tcPr>
          <w:p>
            <w:pPr>
              <w:widowControl/>
              <w:snapToGrid w:val="0"/>
              <w:jc w:val="center"/>
              <w:rPr>
                <w:rFonts w:ascii="宋体" w:hAnsi="宋体" w:eastAsia="宋体" w:cs="宋体"/>
                <w:color w:val="auto"/>
                <w:spacing w:val="10"/>
                <w:kern w:val="0"/>
                <w:szCs w:val="21"/>
                <w:highlight w:val="none"/>
              </w:rPr>
            </w:pPr>
            <w:r>
              <w:rPr>
                <w:rFonts w:hint="eastAsia" w:ascii="宋体" w:hAnsi="宋体" w:eastAsia="宋体" w:cs="宋体"/>
                <w:b/>
                <w:bCs/>
                <w:color w:val="auto"/>
                <w:kern w:val="0"/>
                <w:szCs w:val="21"/>
                <w:highlight w:val="none"/>
              </w:rPr>
              <w:t>6</w:t>
            </w:r>
          </w:p>
        </w:tc>
        <w:tc>
          <w:tcPr>
            <w:tcW w:w="1380" w:type="dxa"/>
            <w:vAlign w:val="center"/>
          </w:tcPr>
          <w:p>
            <w:pPr>
              <w:widowControl/>
              <w:snapToGrid w:val="0"/>
              <w:jc w:val="center"/>
              <w:textAlignment w:val="center"/>
              <w:rPr>
                <w:rFonts w:ascii="宋体" w:hAnsi="宋体" w:eastAsia="宋体" w:cs="宋体"/>
                <w:b/>
                <w:bCs/>
                <w:color w:val="auto"/>
                <w:kern w:val="0"/>
                <w:szCs w:val="21"/>
                <w:highlight w:val="none"/>
                <w:lang w:bidi="ar"/>
              </w:rPr>
            </w:pPr>
            <w:r>
              <w:rPr>
                <w:rFonts w:hint="eastAsia" w:ascii="宋体" w:hAnsi="宋体" w:eastAsia="宋体" w:cs="宋体"/>
                <w:b/>
                <w:bCs/>
                <w:color w:val="auto"/>
                <w:kern w:val="0"/>
                <w:szCs w:val="21"/>
                <w:highlight w:val="none"/>
              </w:rPr>
              <w:t>风险评价</w:t>
            </w:r>
          </w:p>
        </w:tc>
        <w:tc>
          <w:tcPr>
            <w:tcW w:w="2190" w:type="dxa"/>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（-20-0）</w:t>
            </w:r>
          </w:p>
        </w:tc>
        <w:tc>
          <w:tcPr>
            <w:tcW w:w="9741" w:type="dxa"/>
            <w:vAlign w:val="center"/>
          </w:tcPr>
          <w:p>
            <w:pPr>
              <w:widowControl/>
              <w:snapToGrid w:val="0"/>
              <w:rPr>
                <w:rFonts w:ascii="宋体" w:hAnsi="宋体" w:eastAsia="宋体" w:cs="宋体"/>
                <w:color w:val="auto"/>
                <w:szCs w:val="21"/>
                <w:highlight w:val="none"/>
              </w:rPr>
            </w:pPr>
            <w:r>
              <w:rPr>
                <w:rFonts w:hint="eastAsia" w:ascii="宋体" w:hAnsi="宋体" w:eastAsia="宋体" w:cs="宋体"/>
                <w:color w:val="auto"/>
                <w:kern w:val="0"/>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无上述情形的，不扣分。</w:t>
            </w:r>
          </w:p>
        </w:tc>
      </w:tr>
    </w:tbl>
    <w:p>
      <w:pPr>
        <w:snapToGrid w:val="0"/>
        <w:spacing w:line="560" w:lineRule="exact"/>
        <w:ind w:firstLine="640" w:firstLineChars="200"/>
        <w:jc w:val="left"/>
        <w:rPr>
          <w:rFonts w:ascii="方正仿宋_GBK" w:hAnsi="方正仿宋_GBK" w:eastAsia="方正仿宋_GBK" w:cs="方正仿宋_GBK"/>
          <w:bCs/>
          <w:color w:val="auto"/>
          <w:sz w:val="32"/>
          <w:szCs w:val="32"/>
          <w:highlight w:val="none"/>
        </w:rPr>
      </w:pPr>
    </w:p>
    <w:p>
      <w:pPr>
        <w:pStyle w:val="5"/>
        <w:rPr>
          <w:rFonts w:hint="default"/>
          <w:color w:val="auto"/>
          <w:highlight w:val="none"/>
        </w:rPr>
      </w:pPr>
    </w:p>
    <w:p>
      <w:pPr>
        <w:spacing w:line="560" w:lineRule="exact"/>
        <w:ind w:firstLine="640" w:firstLineChars="200"/>
        <w:jc w:val="left"/>
        <w:rPr>
          <w:rFonts w:ascii="方正仿宋_GBK" w:hAnsi="方正仿宋_GBK" w:eastAsia="方正仿宋_GBK" w:cs="方正仿宋_GBK"/>
          <w:bCs/>
          <w:color w:val="auto"/>
          <w:sz w:val="32"/>
          <w:szCs w:val="32"/>
          <w:highlight w:val="none"/>
        </w:rPr>
      </w:pPr>
      <w:r>
        <w:rPr>
          <w:rFonts w:hint="eastAsia" w:ascii="方正仿宋_GBK" w:hAnsi="方正仿宋_GBK" w:eastAsia="方正仿宋_GBK" w:cs="方正仿宋_GBK"/>
          <w:bCs/>
          <w:color w:val="auto"/>
          <w:sz w:val="32"/>
          <w:szCs w:val="32"/>
          <w:highlight w:val="none"/>
        </w:rPr>
        <w:t>系统调试</w:t>
      </w:r>
    </w:p>
    <w:tbl>
      <w:tblPr>
        <w:tblStyle w:val="19"/>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446"/>
        <w:gridCol w:w="829"/>
        <w:gridCol w:w="1327"/>
        <w:gridCol w:w="57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55" w:hRule="atLeast"/>
          <w:tblHeader/>
        </w:trPr>
        <w:tc>
          <w:tcPr>
            <w:tcW w:w="268" w:type="pct"/>
            <w:vAlign w:val="center"/>
          </w:tcPr>
          <w:p>
            <w:pPr>
              <w:widowControl/>
              <w:jc w:val="center"/>
              <w:textAlignment w:val="center"/>
              <w:rPr>
                <w:rFonts w:ascii="宋体" w:hAnsi="宋体" w:eastAsia="宋体" w:cs="宋体"/>
                <w:b/>
                <w:color w:val="auto"/>
                <w:kern w:val="0"/>
                <w:szCs w:val="21"/>
                <w:highlight w:val="none"/>
                <w:lang w:bidi="ar"/>
              </w:rPr>
            </w:pPr>
            <w:r>
              <w:rPr>
                <w:rFonts w:hint="eastAsia" w:ascii="宋体" w:hAnsi="宋体" w:eastAsia="宋体" w:cs="宋体"/>
                <w:b/>
                <w:color w:val="auto"/>
                <w:kern w:val="0"/>
                <w:szCs w:val="21"/>
                <w:highlight w:val="none"/>
                <w:lang w:bidi="ar"/>
              </w:rPr>
              <w:t>序号</w:t>
            </w:r>
          </w:p>
        </w:tc>
        <w:tc>
          <w:tcPr>
            <w:tcW w:w="497" w:type="pct"/>
            <w:vAlign w:val="center"/>
          </w:tcPr>
          <w:p>
            <w:pPr>
              <w:widowControl/>
              <w:jc w:val="center"/>
              <w:textAlignment w:val="center"/>
              <w:rPr>
                <w:rFonts w:ascii="宋体" w:hAnsi="宋体" w:eastAsia="宋体" w:cs="宋体"/>
                <w:b/>
                <w:color w:val="auto"/>
                <w:szCs w:val="21"/>
                <w:highlight w:val="none"/>
              </w:rPr>
            </w:pPr>
            <w:r>
              <w:rPr>
                <w:rFonts w:hint="eastAsia" w:ascii="宋体" w:hAnsi="宋体" w:eastAsia="宋体" w:cs="宋体"/>
                <w:b/>
                <w:color w:val="auto"/>
                <w:kern w:val="0"/>
                <w:szCs w:val="21"/>
                <w:highlight w:val="none"/>
                <w:lang w:bidi="ar"/>
              </w:rPr>
              <w:t>项目</w:t>
            </w:r>
          </w:p>
        </w:tc>
        <w:tc>
          <w:tcPr>
            <w:tcW w:w="796" w:type="pct"/>
            <w:vAlign w:val="center"/>
          </w:tcPr>
          <w:p>
            <w:pPr>
              <w:widowControl/>
              <w:jc w:val="center"/>
              <w:textAlignment w:val="center"/>
              <w:rPr>
                <w:rFonts w:ascii="宋体" w:hAnsi="宋体" w:eastAsia="宋体" w:cs="宋体"/>
                <w:b/>
                <w:color w:val="auto"/>
                <w:szCs w:val="21"/>
                <w:highlight w:val="none"/>
              </w:rPr>
            </w:pPr>
            <w:r>
              <w:rPr>
                <w:rFonts w:hint="eastAsia" w:ascii="宋体" w:hAnsi="宋体" w:eastAsia="宋体" w:cs="宋体"/>
                <w:b/>
                <w:color w:val="auto"/>
                <w:kern w:val="0"/>
                <w:szCs w:val="21"/>
                <w:highlight w:val="none"/>
                <w:lang w:bidi="ar"/>
              </w:rPr>
              <w:t>评审内容及分值</w:t>
            </w:r>
          </w:p>
        </w:tc>
        <w:tc>
          <w:tcPr>
            <w:tcW w:w="3438" w:type="pct"/>
            <w:vAlign w:val="center"/>
          </w:tcPr>
          <w:p>
            <w:pPr>
              <w:widowControl/>
              <w:jc w:val="center"/>
              <w:textAlignment w:val="center"/>
              <w:rPr>
                <w:rFonts w:ascii="宋体" w:hAnsi="宋体" w:eastAsia="宋体" w:cs="宋体"/>
                <w:b/>
                <w:color w:val="auto"/>
                <w:szCs w:val="21"/>
                <w:highlight w:val="none"/>
              </w:rPr>
            </w:pPr>
            <w:r>
              <w:rPr>
                <w:rFonts w:hint="eastAsia" w:ascii="宋体" w:hAnsi="宋体" w:eastAsia="宋体" w:cs="宋体"/>
                <w:b/>
                <w:color w:val="auto"/>
                <w:kern w:val="0"/>
                <w:szCs w:val="21"/>
                <w:highlight w:val="none"/>
                <w:lang w:bidi="ar"/>
              </w:rPr>
              <w:t>项目内容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786" w:hRule="atLeast"/>
        </w:trPr>
        <w:tc>
          <w:tcPr>
            <w:tcW w:w="268" w:type="pct"/>
            <w:vMerge w:val="restart"/>
            <w:vAlign w:val="center"/>
          </w:tcPr>
          <w:p>
            <w:pPr>
              <w:pStyle w:val="13"/>
              <w:jc w:val="center"/>
              <w:rPr>
                <w:rFonts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W w:w="497" w:type="pct"/>
            <w:vMerge w:val="restart"/>
            <w:vAlign w:val="center"/>
          </w:tcPr>
          <w:p>
            <w:pPr>
              <w:jc w:val="center"/>
              <w:rPr>
                <w:rFonts w:ascii="宋体" w:hAnsi="宋体" w:eastAsia="宋体" w:cs="宋体"/>
                <w:color w:val="auto"/>
                <w:szCs w:val="21"/>
                <w:highlight w:val="none"/>
              </w:rPr>
            </w:pPr>
            <w:r>
              <w:rPr>
                <w:rFonts w:hint="eastAsia" w:ascii="宋体" w:hAnsi="宋体" w:eastAsia="宋体" w:cs="宋体"/>
                <w:color w:val="auto"/>
                <w:szCs w:val="21"/>
                <w:highlight w:val="none"/>
              </w:rPr>
              <w:t>技术水平</w:t>
            </w:r>
          </w:p>
          <w:p>
            <w:pPr>
              <w:pStyle w:val="13"/>
              <w:jc w:val="center"/>
              <w:rPr>
                <w:rFonts w:ascii="宋体" w:hAnsi="宋体" w:eastAsia="宋体" w:cs="宋体"/>
                <w:color w:val="auto"/>
                <w:sz w:val="21"/>
                <w:szCs w:val="21"/>
                <w:highlight w:val="none"/>
              </w:rPr>
            </w:pPr>
            <w:r>
              <w:rPr>
                <w:rFonts w:hint="eastAsia" w:ascii="宋体" w:hAnsi="宋体" w:eastAsia="宋体" w:cs="宋体"/>
                <w:color w:val="auto"/>
                <w:sz w:val="21"/>
                <w:szCs w:val="21"/>
                <w:highlight w:val="none"/>
              </w:rPr>
              <w:t>（25分）</w:t>
            </w: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技术业绩（15分）</w:t>
            </w:r>
          </w:p>
        </w:tc>
        <w:tc>
          <w:tcPr>
            <w:tcW w:w="3438" w:type="pct"/>
            <w:vAlign w:val="center"/>
          </w:tcPr>
          <w:p>
            <w:pPr>
              <w:widowControl/>
              <w:textAlignment w:val="center"/>
              <w:rPr>
                <w:rStyle w:val="51"/>
                <w:rFonts w:hint="default"/>
                <w:color w:val="auto"/>
                <w:highlight w:val="none"/>
                <w:lang w:bidi="ar"/>
              </w:rPr>
            </w:pPr>
            <w:r>
              <w:rPr>
                <w:rStyle w:val="51"/>
                <w:rFonts w:hint="default"/>
                <w:color w:val="auto"/>
                <w:highlight w:val="none"/>
                <w:lang w:bidi="ar"/>
              </w:rPr>
              <w:t>开标前5年内：</w:t>
            </w:r>
            <w:r>
              <w:rPr>
                <w:rStyle w:val="51"/>
                <w:rFonts w:hint="default"/>
                <w:color w:val="auto"/>
                <w:highlight w:val="none"/>
                <w:lang w:bidi="ar"/>
              </w:rPr>
              <w:br w:type="textWrapping"/>
            </w:r>
            <w:r>
              <w:rPr>
                <w:rStyle w:val="47"/>
                <w:rFonts w:hint="default"/>
                <w:color w:val="auto"/>
                <w:sz w:val="21"/>
                <w:szCs w:val="21"/>
                <w:highlight w:val="none"/>
                <w:lang w:bidi="ar"/>
              </w:rPr>
              <w:t>企业具有与招标需求完全相同的系统调试业绩的，如有业绩得3分；如无得0分；</w:t>
            </w:r>
            <w:r>
              <w:rPr>
                <w:rStyle w:val="51"/>
                <w:rFonts w:hint="default"/>
                <w:color w:val="auto"/>
                <w:highlight w:val="none"/>
                <w:lang w:bidi="ar"/>
              </w:rPr>
              <w:br w:type="textWrapping"/>
            </w:r>
            <w:r>
              <w:rPr>
                <w:rStyle w:val="51"/>
                <w:rFonts w:hint="default"/>
                <w:color w:val="auto"/>
                <w:highlight w:val="none"/>
                <w:lang w:bidi="ar"/>
              </w:rPr>
              <w:t>1.企业具有±800kV及以上换流站或1000kV变电站工程系统调试的，每项业绩加2分；</w:t>
            </w:r>
            <w:r>
              <w:rPr>
                <w:rStyle w:val="51"/>
                <w:rFonts w:hint="default"/>
                <w:color w:val="auto"/>
                <w:highlight w:val="none"/>
                <w:lang w:bidi="ar"/>
              </w:rPr>
              <w:br w:type="textWrapping"/>
            </w:r>
            <w:r>
              <w:rPr>
                <w:rStyle w:val="51"/>
                <w:rFonts w:hint="default"/>
                <w:color w:val="auto"/>
                <w:highlight w:val="none"/>
                <w:lang w:bidi="ar"/>
              </w:rPr>
              <w:t>2.企业具有±400kV及以上、±800kV以下换流站或500kV及以上、1000kV以下变电站工程系统调试的，每项业绩加1分；</w:t>
            </w:r>
          </w:p>
          <w:p>
            <w:pPr>
              <w:pStyle w:val="13"/>
              <w:rPr>
                <w:rFonts w:ascii="宋体" w:hAnsi="宋体" w:eastAsia="宋体" w:cs="宋体"/>
                <w:color w:val="auto"/>
                <w:sz w:val="21"/>
                <w:szCs w:val="21"/>
                <w:highlight w:val="none"/>
              </w:rPr>
            </w:pPr>
            <w:r>
              <w:rPr>
                <w:rStyle w:val="47"/>
                <w:rFonts w:hint="default"/>
                <w:color w:val="auto"/>
                <w:sz w:val="21"/>
                <w:szCs w:val="21"/>
                <w:highlight w:val="none"/>
                <w:lang w:bidi="ar"/>
              </w:rPr>
              <w:t>备注：条件1和2总得分不得超过12分。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020" w:hRule="atLeast"/>
        </w:trPr>
        <w:tc>
          <w:tcPr>
            <w:tcW w:w="268" w:type="pct"/>
            <w:vMerge w:val="continue"/>
            <w:vAlign w:val="center"/>
          </w:tcPr>
          <w:p>
            <w:pPr>
              <w:jc w:val="center"/>
              <w:rPr>
                <w:rFonts w:ascii="宋体" w:hAnsi="宋体" w:eastAsia="宋体" w:cs="宋体"/>
                <w:color w:val="auto"/>
                <w:szCs w:val="21"/>
                <w:highlight w:val="none"/>
              </w:rPr>
            </w:pPr>
          </w:p>
        </w:tc>
        <w:tc>
          <w:tcPr>
            <w:tcW w:w="497" w:type="pct"/>
            <w:vMerge w:val="continue"/>
            <w:vAlign w:val="center"/>
          </w:tcPr>
          <w:p>
            <w:pPr>
              <w:jc w:val="center"/>
              <w:rPr>
                <w:rFonts w:ascii="宋体" w:hAnsi="宋体" w:eastAsia="宋体" w:cs="宋体"/>
                <w:color w:val="auto"/>
                <w:szCs w:val="21"/>
                <w:highlight w:val="none"/>
              </w:rPr>
            </w:pP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技术方案的编制（8分）</w:t>
            </w:r>
          </w:p>
        </w:tc>
        <w:tc>
          <w:tcPr>
            <w:tcW w:w="3438" w:type="pct"/>
            <w:vAlign w:val="center"/>
          </w:tcPr>
          <w:p>
            <w:pPr>
              <w:widowControl/>
              <w:textAlignment w:val="center"/>
              <w:rPr>
                <w:rFonts w:ascii="宋体" w:hAnsi="宋体" w:eastAsia="宋体" w:cs="宋体"/>
                <w:color w:val="auto"/>
                <w:szCs w:val="21"/>
                <w:highlight w:val="none"/>
              </w:rPr>
            </w:pPr>
            <w:r>
              <w:rPr>
                <w:rStyle w:val="51"/>
                <w:rFonts w:hint="default"/>
                <w:color w:val="auto"/>
                <w:highlight w:val="none"/>
                <w:lang w:bidi="ar"/>
              </w:rPr>
              <w:t>结合工程实际情况分析针对性强，调试力量配置、技术方案合理、可行，进度计划满足工期要求得8分；工程实际情况分析针对性不强、</w:t>
            </w:r>
            <w:r>
              <w:rPr>
                <w:rFonts w:hint="eastAsia" w:ascii="宋体" w:hAnsi="宋体" w:eastAsia="宋体" w:cs="宋体"/>
                <w:color w:val="auto"/>
                <w:kern w:val="0"/>
                <w:szCs w:val="21"/>
                <w:highlight w:val="none"/>
                <w:lang w:bidi="ar"/>
              </w:rPr>
              <w:t>技术方案不详实合理扣2分，进度计划不满足工期要求扣2分，技术方案可行性差扣2分，扣完为止。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268" w:type="pct"/>
            <w:vMerge w:val="continue"/>
            <w:vAlign w:val="center"/>
          </w:tcPr>
          <w:p>
            <w:pPr>
              <w:jc w:val="center"/>
              <w:rPr>
                <w:rFonts w:ascii="宋体" w:hAnsi="宋体" w:eastAsia="宋体" w:cs="宋体"/>
                <w:color w:val="auto"/>
                <w:szCs w:val="21"/>
                <w:highlight w:val="none"/>
              </w:rPr>
            </w:pPr>
          </w:p>
        </w:tc>
        <w:tc>
          <w:tcPr>
            <w:tcW w:w="497" w:type="pct"/>
            <w:vMerge w:val="continue"/>
            <w:vAlign w:val="center"/>
          </w:tcPr>
          <w:p>
            <w:pPr>
              <w:jc w:val="center"/>
              <w:rPr>
                <w:rFonts w:ascii="宋体" w:hAnsi="宋体" w:eastAsia="宋体" w:cs="宋体"/>
                <w:color w:val="auto"/>
                <w:szCs w:val="21"/>
                <w:highlight w:val="none"/>
              </w:rPr>
            </w:pP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仪器设备的配置（2分）</w:t>
            </w:r>
          </w:p>
        </w:tc>
        <w:tc>
          <w:tcPr>
            <w:tcW w:w="3438" w:type="pct"/>
            <w:vAlign w:val="center"/>
          </w:tcPr>
          <w:p>
            <w:pPr>
              <w:widowControl/>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 xml:space="preserve">仪器设备配置齐全、先进、型号及精度满足要求的得2分，仪器仪表配置不齐全，型号及精度不满足要求，每项扣0.5分，扣完为止。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268" w:type="pct"/>
            <w:vMerge w:val="restart"/>
            <w:vAlign w:val="center"/>
          </w:tcPr>
          <w:p>
            <w:pPr>
              <w:widowControl/>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2</w:t>
            </w:r>
          </w:p>
        </w:tc>
        <w:tc>
          <w:tcPr>
            <w:tcW w:w="497" w:type="pct"/>
            <w:vMerge w:val="restar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团队配置</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（25分）</w:t>
            </w: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项目管理总体策划（10分）</w:t>
            </w:r>
          </w:p>
        </w:tc>
        <w:tc>
          <w:tcPr>
            <w:tcW w:w="3438" w:type="pct"/>
            <w:vAlign w:val="center"/>
          </w:tcPr>
          <w:p>
            <w:pPr>
              <w:widowControl/>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机构职责齐全、人员配置齐全，10分；机构职责齐全、人员配置较齐全7分；机构职责不齐全、人员配置不齐全，0分。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765" w:hRule="atLeast"/>
        </w:trPr>
        <w:tc>
          <w:tcPr>
            <w:tcW w:w="268" w:type="pct"/>
            <w:vMerge w:val="continue"/>
            <w:vAlign w:val="center"/>
          </w:tcPr>
          <w:p>
            <w:pPr>
              <w:jc w:val="center"/>
              <w:rPr>
                <w:rFonts w:ascii="宋体" w:hAnsi="宋体" w:eastAsia="宋体" w:cs="宋体"/>
                <w:color w:val="auto"/>
                <w:szCs w:val="21"/>
                <w:highlight w:val="none"/>
              </w:rPr>
            </w:pPr>
          </w:p>
        </w:tc>
        <w:tc>
          <w:tcPr>
            <w:tcW w:w="497" w:type="pct"/>
            <w:vMerge w:val="continue"/>
            <w:vAlign w:val="center"/>
          </w:tcPr>
          <w:p>
            <w:pPr>
              <w:jc w:val="center"/>
              <w:rPr>
                <w:rFonts w:ascii="宋体" w:hAnsi="宋体" w:eastAsia="宋体" w:cs="宋体"/>
                <w:color w:val="auto"/>
                <w:szCs w:val="21"/>
                <w:highlight w:val="none"/>
              </w:rPr>
            </w:pP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项目经理的资格业绩（15分）</w:t>
            </w:r>
          </w:p>
        </w:tc>
        <w:tc>
          <w:tcPr>
            <w:tcW w:w="3438" w:type="pct"/>
            <w:vAlign w:val="center"/>
          </w:tcPr>
          <w:p>
            <w:pPr>
              <w:widowControl/>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1.项目经理具有</w:t>
            </w:r>
            <w:r>
              <w:rPr>
                <w:rStyle w:val="51"/>
                <w:rFonts w:hint="default"/>
                <w:color w:val="auto"/>
                <w:highlight w:val="none"/>
                <w:lang w:bidi="ar"/>
              </w:rPr>
              <w:t>±</w:t>
            </w:r>
            <w:r>
              <w:rPr>
                <w:rFonts w:hint="eastAsia" w:ascii="宋体" w:hAnsi="宋体" w:eastAsia="宋体" w:cs="宋体"/>
                <w:color w:val="auto"/>
                <w:kern w:val="0"/>
                <w:szCs w:val="21"/>
                <w:highlight w:val="none"/>
                <w:lang w:bidi="ar"/>
              </w:rPr>
              <w:t>800kV</w:t>
            </w:r>
            <w:r>
              <w:rPr>
                <w:rStyle w:val="51"/>
                <w:rFonts w:hint="default"/>
                <w:color w:val="auto"/>
                <w:highlight w:val="none"/>
                <w:lang w:bidi="ar"/>
              </w:rPr>
              <w:t>及以上换流站或1000kV变电站</w:t>
            </w:r>
            <w:r>
              <w:rPr>
                <w:rFonts w:hint="eastAsia" w:ascii="宋体" w:hAnsi="宋体" w:eastAsia="宋体" w:cs="宋体"/>
                <w:color w:val="auto"/>
                <w:kern w:val="0"/>
                <w:szCs w:val="21"/>
                <w:highlight w:val="none"/>
                <w:lang w:bidi="ar"/>
              </w:rPr>
              <w:t>工程系统调试经验的，15分；</w:t>
            </w:r>
          </w:p>
          <w:p>
            <w:pPr>
              <w:widowControl/>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2.具有</w:t>
            </w:r>
            <w:r>
              <w:rPr>
                <w:rStyle w:val="51"/>
                <w:rFonts w:hint="default"/>
                <w:color w:val="auto"/>
                <w:highlight w:val="none"/>
                <w:lang w:bidi="ar"/>
              </w:rPr>
              <w:t>±400kV及以上、±800kV以下换流站或500kV及以上、1000kV以下变电站工程</w:t>
            </w:r>
            <w:r>
              <w:rPr>
                <w:rFonts w:hint="eastAsia" w:ascii="宋体" w:hAnsi="宋体" w:eastAsia="宋体" w:cs="宋体"/>
                <w:color w:val="auto"/>
                <w:kern w:val="0"/>
                <w:szCs w:val="21"/>
                <w:highlight w:val="none"/>
                <w:lang w:bidi="ar"/>
              </w:rPr>
              <w:t>系统调试经验的，11分；</w:t>
            </w:r>
          </w:p>
          <w:p>
            <w:pPr>
              <w:widowControl/>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3.具有500kV以下交流工程系统调试经验的，7分；</w:t>
            </w:r>
          </w:p>
          <w:p>
            <w:pPr>
              <w:widowControl/>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4.无电网工程系统调试经验，0分。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0" w:hRule="atLeast"/>
        </w:trPr>
        <w:tc>
          <w:tcPr>
            <w:tcW w:w="268" w:type="pct"/>
            <w:vMerge w:val="restart"/>
            <w:vAlign w:val="center"/>
          </w:tcPr>
          <w:p>
            <w:pPr>
              <w:widowControl/>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lang w:bidi="ar"/>
              </w:rPr>
              <w:t>3</w:t>
            </w:r>
          </w:p>
        </w:tc>
        <w:tc>
          <w:tcPr>
            <w:tcW w:w="497" w:type="pct"/>
            <w:vMerge w:val="restar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安全质量控制</w:t>
            </w:r>
            <w:r>
              <w:rPr>
                <w:rFonts w:hint="eastAsia" w:ascii="宋体" w:hAnsi="宋体" w:eastAsia="宋体" w:cs="宋体"/>
                <w:color w:val="auto"/>
                <w:kern w:val="0"/>
                <w:szCs w:val="21"/>
                <w:highlight w:val="none"/>
                <w:lang w:bidi="ar"/>
              </w:rPr>
              <w:br w:type="textWrapping"/>
            </w:r>
            <w:r>
              <w:rPr>
                <w:rFonts w:hint="eastAsia" w:ascii="宋体" w:hAnsi="宋体" w:eastAsia="宋体" w:cs="宋体"/>
                <w:color w:val="auto"/>
                <w:kern w:val="0"/>
                <w:szCs w:val="21"/>
                <w:highlight w:val="none"/>
                <w:lang w:bidi="ar"/>
              </w:rPr>
              <w:t>（25分）</w:t>
            </w: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安全质量管理与保证（10分）</w:t>
            </w:r>
          </w:p>
        </w:tc>
        <w:tc>
          <w:tcPr>
            <w:tcW w:w="3438" w:type="pct"/>
            <w:vAlign w:val="center"/>
          </w:tcPr>
          <w:p>
            <w:pPr>
              <w:widowControl/>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安全质保措施合理、措施可行得10分，质保措施合理、措施较可行得8；质保措施较合理、措施较可行得6；质保措施不合理、措施不可行得0分。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765" w:hRule="atLeast"/>
        </w:trPr>
        <w:tc>
          <w:tcPr>
            <w:tcW w:w="268" w:type="pct"/>
            <w:vMerge w:val="continue"/>
            <w:vAlign w:val="center"/>
          </w:tcPr>
          <w:p>
            <w:pPr>
              <w:jc w:val="center"/>
              <w:rPr>
                <w:rFonts w:ascii="宋体" w:hAnsi="宋体" w:eastAsia="宋体" w:cs="宋体"/>
                <w:color w:val="auto"/>
                <w:szCs w:val="21"/>
                <w:highlight w:val="none"/>
              </w:rPr>
            </w:pPr>
          </w:p>
        </w:tc>
        <w:tc>
          <w:tcPr>
            <w:tcW w:w="497" w:type="pct"/>
            <w:vMerge w:val="continue"/>
            <w:vAlign w:val="center"/>
          </w:tcPr>
          <w:p>
            <w:pPr>
              <w:jc w:val="center"/>
              <w:rPr>
                <w:rFonts w:ascii="宋体" w:hAnsi="宋体" w:eastAsia="宋体" w:cs="宋体"/>
                <w:color w:val="auto"/>
                <w:szCs w:val="21"/>
                <w:highlight w:val="none"/>
              </w:rPr>
            </w:pP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质量目标及管理体系（6分）</w:t>
            </w:r>
          </w:p>
        </w:tc>
        <w:tc>
          <w:tcPr>
            <w:tcW w:w="3438" w:type="pct"/>
            <w:vAlign w:val="center"/>
          </w:tcPr>
          <w:p>
            <w:pPr>
              <w:widowControl/>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目标合理，机构健全，质量体系完善，6分；目标合理，机构健全，质量体系较完善，5分；目标合理，机构较健全，质量体系较完善，3分；目标不合理，机构不健全，质量体系不完善，0分。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765" w:hRule="atLeast"/>
        </w:trPr>
        <w:tc>
          <w:tcPr>
            <w:tcW w:w="268" w:type="pct"/>
            <w:vMerge w:val="continue"/>
            <w:vAlign w:val="center"/>
          </w:tcPr>
          <w:p>
            <w:pPr>
              <w:jc w:val="center"/>
              <w:rPr>
                <w:rFonts w:ascii="宋体" w:hAnsi="宋体" w:eastAsia="宋体" w:cs="宋体"/>
                <w:color w:val="auto"/>
                <w:szCs w:val="21"/>
                <w:highlight w:val="none"/>
              </w:rPr>
            </w:pPr>
          </w:p>
        </w:tc>
        <w:tc>
          <w:tcPr>
            <w:tcW w:w="497" w:type="pct"/>
            <w:vMerge w:val="continue"/>
            <w:vAlign w:val="center"/>
          </w:tcPr>
          <w:p>
            <w:pPr>
              <w:jc w:val="center"/>
              <w:rPr>
                <w:rFonts w:ascii="宋体" w:hAnsi="宋体" w:eastAsia="宋体" w:cs="宋体"/>
                <w:color w:val="auto"/>
                <w:szCs w:val="21"/>
                <w:highlight w:val="none"/>
              </w:rPr>
            </w:pP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质量进度体系（6分）</w:t>
            </w:r>
          </w:p>
        </w:tc>
        <w:tc>
          <w:tcPr>
            <w:tcW w:w="3438" w:type="pct"/>
            <w:vAlign w:val="center"/>
          </w:tcPr>
          <w:p>
            <w:pPr>
              <w:widowControl/>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进度控制体系完善、措施合理、得力得6分；进度控制体系完善、措施较为合理、得力得5分；进度控制体系较完善、措施较合理、得力得3分；进度控制体系不完善、措施不合理，得0分。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765" w:hRule="atLeast"/>
        </w:trPr>
        <w:tc>
          <w:tcPr>
            <w:tcW w:w="268" w:type="pct"/>
            <w:vMerge w:val="continue"/>
            <w:vAlign w:val="center"/>
          </w:tcPr>
          <w:p>
            <w:pPr>
              <w:jc w:val="center"/>
              <w:rPr>
                <w:rFonts w:ascii="宋体" w:hAnsi="宋体" w:eastAsia="宋体" w:cs="宋体"/>
                <w:color w:val="auto"/>
                <w:szCs w:val="21"/>
                <w:highlight w:val="none"/>
              </w:rPr>
            </w:pPr>
          </w:p>
        </w:tc>
        <w:tc>
          <w:tcPr>
            <w:tcW w:w="497" w:type="pct"/>
            <w:vMerge w:val="continue"/>
            <w:vAlign w:val="center"/>
          </w:tcPr>
          <w:p>
            <w:pPr>
              <w:jc w:val="center"/>
              <w:rPr>
                <w:rFonts w:ascii="宋体" w:hAnsi="宋体" w:eastAsia="宋体" w:cs="宋体"/>
                <w:color w:val="auto"/>
                <w:szCs w:val="21"/>
                <w:highlight w:val="none"/>
              </w:rPr>
            </w:pP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资料管理（3分）</w:t>
            </w:r>
          </w:p>
        </w:tc>
        <w:tc>
          <w:tcPr>
            <w:tcW w:w="3438" w:type="pct"/>
            <w:vAlign w:val="center"/>
          </w:tcPr>
          <w:p>
            <w:pPr>
              <w:widowControl/>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合同、档案及方案报告管理制度健全、管理规范得3分；合同、档案及方案报告管理制度较健全、管理较规范得2分；合同、档案及方案报告管理制度不健全、管理不规范得0分。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40" w:hRule="atLeast"/>
        </w:trPr>
        <w:tc>
          <w:tcPr>
            <w:tcW w:w="268" w:type="pct"/>
            <w:vAlign w:val="center"/>
          </w:tcPr>
          <w:p>
            <w:pPr>
              <w:widowControl/>
              <w:jc w:val="center"/>
              <w:textAlignment w:val="center"/>
              <w:rPr>
                <w:rFonts w:ascii="宋体" w:hAnsi="宋体" w:eastAsia="宋体" w:cs="宋体"/>
                <w:b/>
                <w:color w:val="auto"/>
                <w:kern w:val="0"/>
                <w:szCs w:val="21"/>
                <w:highlight w:val="none"/>
                <w:lang w:bidi="ar"/>
              </w:rPr>
            </w:pPr>
            <w:r>
              <w:rPr>
                <w:rFonts w:hint="eastAsia" w:ascii="宋体" w:hAnsi="宋体" w:eastAsia="宋体" w:cs="宋体"/>
                <w:b/>
                <w:color w:val="auto"/>
                <w:kern w:val="0"/>
                <w:szCs w:val="21"/>
                <w:highlight w:val="none"/>
                <w:lang w:bidi="ar"/>
              </w:rPr>
              <w:t>4</w:t>
            </w:r>
          </w:p>
        </w:tc>
        <w:tc>
          <w:tcPr>
            <w:tcW w:w="497" w:type="pct"/>
            <w:vAlign w:val="center"/>
          </w:tcPr>
          <w:p>
            <w:pPr>
              <w:widowControl/>
              <w:jc w:val="center"/>
              <w:textAlignment w:val="center"/>
              <w:rPr>
                <w:rFonts w:ascii="宋体" w:hAnsi="宋体" w:eastAsia="宋体" w:cs="宋体"/>
                <w:b/>
                <w:color w:val="auto"/>
                <w:szCs w:val="21"/>
                <w:highlight w:val="none"/>
              </w:rPr>
            </w:pPr>
            <w:r>
              <w:rPr>
                <w:rFonts w:hint="eastAsia" w:ascii="宋体" w:hAnsi="宋体" w:eastAsia="宋体" w:cs="宋体"/>
                <w:b/>
                <w:color w:val="auto"/>
                <w:kern w:val="0"/>
                <w:szCs w:val="21"/>
                <w:highlight w:val="none"/>
                <w:lang w:bidi="ar"/>
              </w:rPr>
              <w:t>绩效评价</w:t>
            </w:r>
            <w:r>
              <w:rPr>
                <w:rFonts w:hint="eastAsia" w:ascii="宋体" w:hAnsi="宋体" w:eastAsia="宋体" w:cs="宋体"/>
                <w:b/>
                <w:color w:val="auto"/>
                <w:kern w:val="0"/>
                <w:szCs w:val="21"/>
                <w:highlight w:val="none"/>
                <w:lang w:bidi="ar"/>
              </w:rPr>
              <w:br w:type="textWrapping"/>
            </w:r>
            <w:r>
              <w:rPr>
                <w:rFonts w:hint="eastAsia" w:ascii="宋体" w:hAnsi="宋体" w:eastAsia="宋体" w:cs="宋体"/>
                <w:b/>
                <w:color w:val="auto"/>
                <w:kern w:val="0"/>
                <w:szCs w:val="21"/>
                <w:highlight w:val="none"/>
                <w:lang w:bidi="ar"/>
              </w:rPr>
              <w:t>（25分）</w:t>
            </w:r>
          </w:p>
        </w:tc>
        <w:tc>
          <w:tcPr>
            <w:tcW w:w="796" w:type="pc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绩效评价（25分）</w:t>
            </w:r>
          </w:p>
        </w:tc>
        <w:tc>
          <w:tcPr>
            <w:tcW w:w="3438" w:type="pct"/>
            <w:vAlign w:val="center"/>
          </w:tcPr>
          <w:p>
            <w:pPr>
              <w:widowControl/>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按照最新一期相应绩效评价得分*0.25计算（得分按四舍五入保留两位小数），对于无绩效评价的投标人，根据投标文件重点考虑投标人在以往工程履约方面的表现，同时考虑投标人在履约协调、现场调试、资源投入等方面的综合表现，根据评价结果并结合投标响应进行综合评价。未开展绩效评价阶段，绩效评价得分按100分计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40" w:hRule="atLeast"/>
        </w:trPr>
        <w:tc>
          <w:tcPr>
            <w:tcW w:w="268" w:type="pct"/>
            <w:vAlign w:val="center"/>
          </w:tcPr>
          <w:p>
            <w:pPr>
              <w:widowControl/>
              <w:snapToGrid w:val="0"/>
              <w:jc w:val="center"/>
              <w:rPr>
                <w:rFonts w:ascii="宋体" w:hAnsi="宋体" w:eastAsia="宋体" w:cs="宋体"/>
                <w:b/>
                <w:color w:val="auto"/>
                <w:kern w:val="0"/>
                <w:szCs w:val="21"/>
                <w:highlight w:val="none"/>
                <w:lang w:bidi="ar"/>
              </w:rPr>
            </w:pPr>
            <w:r>
              <w:rPr>
                <w:rFonts w:hint="eastAsia" w:ascii="宋体" w:hAnsi="宋体" w:eastAsia="宋体" w:cs="宋体"/>
                <w:b/>
                <w:bCs/>
                <w:color w:val="auto"/>
                <w:kern w:val="0"/>
                <w:szCs w:val="21"/>
                <w:highlight w:val="none"/>
              </w:rPr>
              <w:t>5</w:t>
            </w:r>
          </w:p>
        </w:tc>
        <w:tc>
          <w:tcPr>
            <w:tcW w:w="497" w:type="pct"/>
            <w:vAlign w:val="center"/>
          </w:tcPr>
          <w:p>
            <w:pPr>
              <w:widowControl/>
              <w:snapToGrid w:val="0"/>
              <w:jc w:val="center"/>
              <w:textAlignment w:val="center"/>
              <w:rPr>
                <w:rFonts w:ascii="宋体" w:hAnsi="宋体" w:eastAsia="宋体" w:cs="宋体"/>
                <w:b/>
                <w:color w:val="auto"/>
                <w:kern w:val="0"/>
                <w:szCs w:val="21"/>
                <w:highlight w:val="none"/>
                <w:lang w:bidi="ar"/>
              </w:rPr>
            </w:pPr>
            <w:r>
              <w:rPr>
                <w:rFonts w:hint="eastAsia" w:ascii="宋体" w:hAnsi="宋体" w:eastAsia="宋体" w:cs="宋体"/>
                <w:b/>
                <w:bCs/>
                <w:color w:val="auto"/>
                <w:kern w:val="0"/>
                <w:szCs w:val="21"/>
                <w:highlight w:val="none"/>
              </w:rPr>
              <w:t>风险评价</w:t>
            </w:r>
          </w:p>
        </w:tc>
        <w:tc>
          <w:tcPr>
            <w:tcW w:w="796" w:type="pct"/>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w:t>
            </w:r>
          </w:p>
          <w:p>
            <w:pPr>
              <w:widowControl/>
              <w:snapToGrid w:val="0"/>
              <w:jc w:val="center"/>
              <w:textAlignment w:val="center"/>
              <w:rPr>
                <w:rFonts w:ascii="宋体" w:hAnsi="宋体" w:eastAsia="宋体" w:cs="宋体"/>
                <w:color w:val="auto"/>
                <w:kern w:val="0"/>
                <w:szCs w:val="21"/>
                <w:highlight w:val="none"/>
                <w:lang w:bidi="ar"/>
              </w:rPr>
            </w:pPr>
            <w:r>
              <w:rPr>
                <w:rFonts w:hint="eastAsia" w:ascii="宋体" w:hAnsi="宋体" w:eastAsia="宋体" w:cs="宋体"/>
                <w:color w:val="auto"/>
                <w:kern w:val="0"/>
                <w:szCs w:val="21"/>
                <w:highlight w:val="none"/>
              </w:rPr>
              <w:t>（-20-0）</w:t>
            </w:r>
          </w:p>
        </w:tc>
        <w:tc>
          <w:tcPr>
            <w:tcW w:w="3438" w:type="pct"/>
            <w:vAlign w:val="center"/>
          </w:tcPr>
          <w:p>
            <w:pPr>
              <w:widowControl/>
              <w:snapToGrid w:val="0"/>
              <w:rPr>
                <w:rFonts w:ascii="宋体" w:hAnsi="宋体" w:eastAsia="宋体" w:cs="宋体"/>
                <w:color w:val="auto"/>
                <w:szCs w:val="21"/>
                <w:highlight w:val="none"/>
              </w:rPr>
            </w:pPr>
            <w:r>
              <w:rPr>
                <w:rFonts w:hint="eastAsia" w:ascii="宋体" w:hAnsi="宋体" w:eastAsia="宋体" w:cs="宋体"/>
                <w:color w:val="auto"/>
                <w:kern w:val="0"/>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无上述情形的，不扣分。</w:t>
            </w:r>
          </w:p>
        </w:tc>
      </w:tr>
    </w:tbl>
    <w:p>
      <w:pPr>
        <w:ind w:firstLine="320" w:firstLineChars="100"/>
        <w:rPr>
          <w:rFonts w:ascii="方正仿宋_GBK" w:hAnsi="方正仿宋_GBK" w:eastAsia="方正仿宋_GBK" w:cs="方正仿宋_GBK"/>
          <w:bCs/>
          <w:color w:val="auto"/>
          <w:sz w:val="32"/>
          <w:szCs w:val="32"/>
          <w:highlight w:val="none"/>
        </w:rPr>
      </w:pPr>
      <w:r>
        <w:rPr>
          <w:rFonts w:hint="eastAsia" w:ascii="方正仿宋_GBK" w:hAnsi="方正仿宋_GBK" w:eastAsia="方正仿宋_GBK" w:cs="方正仿宋_GBK"/>
          <w:bCs/>
          <w:color w:val="auto"/>
          <w:sz w:val="32"/>
          <w:szCs w:val="32"/>
          <w:highlight w:val="none"/>
        </w:rPr>
        <w:t>科研</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849"/>
        <w:gridCol w:w="1630"/>
        <w:gridCol w:w="5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0" w:type="auto"/>
            <w:vAlign w:val="center"/>
          </w:tcPr>
          <w:p>
            <w:pPr>
              <w:adjustRightInd w:val="0"/>
              <w:snapToGrid w:val="0"/>
              <w:jc w:val="center"/>
              <w:rPr>
                <w:rFonts w:ascii="宋体" w:hAnsi="宋体" w:eastAsia="宋体"/>
                <w:b/>
                <w:color w:val="auto"/>
                <w:szCs w:val="21"/>
                <w:highlight w:val="none"/>
              </w:rPr>
            </w:pPr>
            <w:r>
              <w:rPr>
                <w:rFonts w:hint="eastAsia" w:ascii="宋体" w:hAnsi="宋体"/>
                <w:b/>
                <w:color w:val="auto"/>
                <w:szCs w:val="21"/>
                <w:highlight w:val="none"/>
              </w:rPr>
              <w:t>序号</w:t>
            </w:r>
          </w:p>
        </w:tc>
        <w:tc>
          <w:tcPr>
            <w:tcW w:w="0" w:type="auto"/>
            <w:vAlign w:val="center"/>
          </w:tcPr>
          <w:p>
            <w:pPr>
              <w:adjustRightInd w:val="0"/>
              <w:snapToGrid w:val="0"/>
              <w:jc w:val="center"/>
              <w:rPr>
                <w:rFonts w:ascii="宋体" w:hAnsi="宋体" w:eastAsia="宋体"/>
                <w:b/>
                <w:color w:val="auto"/>
                <w:szCs w:val="21"/>
                <w:highlight w:val="none"/>
              </w:rPr>
            </w:pPr>
            <w:r>
              <w:rPr>
                <w:rFonts w:hint="eastAsia" w:ascii="宋体" w:hAnsi="宋体" w:eastAsia="宋体"/>
                <w:b/>
                <w:color w:val="auto"/>
                <w:szCs w:val="21"/>
                <w:highlight w:val="none"/>
              </w:rPr>
              <w:t>项目</w:t>
            </w:r>
          </w:p>
        </w:tc>
        <w:tc>
          <w:tcPr>
            <w:tcW w:w="0" w:type="auto"/>
            <w:vAlign w:val="center"/>
          </w:tcPr>
          <w:p>
            <w:pPr>
              <w:adjustRightInd w:val="0"/>
              <w:snapToGrid w:val="0"/>
              <w:jc w:val="center"/>
              <w:rPr>
                <w:rFonts w:ascii="宋体" w:hAnsi="宋体" w:eastAsia="宋体"/>
                <w:b/>
                <w:color w:val="auto"/>
                <w:szCs w:val="21"/>
                <w:highlight w:val="none"/>
              </w:rPr>
            </w:pPr>
            <w:r>
              <w:rPr>
                <w:rFonts w:ascii="宋体" w:hAnsi="宋体" w:eastAsia="宋体"/>
                <w:b/>
                <w:color w:val="auto"/>
                <w:szCs w:val="21"/>
                <w:highlight w:val="none"/>
              </w:rPr>
              <w:t>评审内容及分值</w:t>
            </w:r>
          </w:p>
        </w:tc>
        <w:tc>
          <w:tcPr>
            <w:tcW w:w="0" w:type="auto"/>
            <w:vAlign w:val="center"/>
          </w:tcPr>
          <w:p>
            <w:pPr>
              <w:adjustRightInd w:val="0"/>
              <w:snapToGrid w:val="0"/>
              <w:jc w:val="center"/>
              <w:rPr>
                <w:rFonts w:ascii="宋体" w:hAnsi="宋体" w:eastAsia="宋体"/>
                <w:color w:val="auto"/>
                <w:szCs w:val="21"/>
                <w:highlight w:val="none"/>
              </w:rPr>
            </w:pPr>
            <w:r>
              <w:rPr>
                <w:rFonts w:ascii="宋体" w:hAnsi="宋体" w:eastAsia="宋体"/>
                <w:b/>
                <w:color w:val="auto"/>
                <w:szCs w:val="21"/>
                <w:highlight w:val="none"/>
              </w:rPr>
              <w:t>项目内容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widowControl/>
              <w:jc w:val="center"/>
              <w:textAlignment w:val="center"/>
              <w:rPr>
                <w:rFonts w:ascii="宋体" w:hAnsi="宋体" w:eastAsia="宋体" w:cs="宋体"/>
                <w:b/>
                <w:color w:val="auto"/>
                <w:kern w:val="0"/>
                <w:szCs w:val="21"/>
                <w:highlight w:val="none"/>
                <w:lang w:bidi="ar"/>
              </w:rPr>
            </w:pPr>
            <w:r>
              <w:rPr>
                <w:rFonts w:hint="eastAsia" w:ascii="宋体" w:hAnsi="宋体" w:eastAsia="宋体" w:cs="宋体"/>
                <w:b/>
                <w:color w:val="auto"/>
                <w:kern w:val="0"/>
                <w:szCs w:val="21"/>
                <w:highlight w:val="none"/>
                <w:lang w:bidi="ar"/>
              </w:rPr>
              <w:t>1</w:t>
            </w:r>
          </w:p>
        </w:tc>
        <w:tc>
          <w:tcPr>
            <w:tcW w:w="0" w:type="auto"/>
            <w:vMerge w:val="restart"/>
            <w:vAlign w:val="center"/>
          </w:tcPr>
          <w:p>
            <w:pPr>
              <w:snapToGrid w:val="0"/>
              <w:jc w:val="center"/>
              <w:rPr>
                <w:rFonts w:ascii="宋体" w:hAnsi="宋体" w:eastAsia="宋体" w:cs="宋体"/>
                <w:bCs/>
                <w:color w:val="auto"/>
                <w:szCs w:val="21"/>
                <w:highlight w:val="none"/>
              </w:rPr>
            </w:pPr>
            <w:r>
              <w:rPr>
                <w:rFonts w:hint="eastAsia" w:ascii="宋体" w:hAnsi="宋体" w:eastAsia="宋体" w:cs="宋体"/>
                <w:bCs/>
                <w:color w:val="auto"/>
                <w:szCs w:val="21"/>
                <w:highlight w:val="none"/>
              </w:rPr>
              <w:t>技术水平（</w:t>
            </w:r>
            <w:r>
              <w:rPr>
                <w:rFonts w:hint="eastAsia" w:ascii="宋体" w:hAnsi="宋体" w:cs="宋体"/>
                <w:bCs/>
                <w:color w:val="auto"/>
                <w:szCs w:val="21"/>
                <w:highlight w:val="none"/>
              </w:rPr>
              <w:t>25</w:t>
            </w:r>
            <w:r>
              <w:rPr>
                <w:rFonts w:hint="eastAsia" w:ascii="宋体" w:hAnsi="宋体" w:eastAsia="宋体" w:cs="宋体"/>
                <w:bCs/>
                <w:color w:val="auto"/>
                <w:szCs w:val="21"/>
                <w:highlight w:val="none"/>
              </w:rPr>
              <w:t>分）</w:t>
            </w:r>
          </w:p>
        </w:tc>
        <w:tc>
          <w:tcPr>
            <w:tcW w:w="0" w:type="auto"/>
            <w:vAlign w:val="center"/>
          </w:tcPr>
          <w:p>
            <w:pPr>
              <w:snapToGrid w:val="0"/>
              <w:jc w:val="center"/>
              <w:rPr>
                <w:rFonts w:ascii="宋体" w:hAnsi="宋体" w:eastAsia="宋体" w:cs="宋体"/>
                <w:bCs/>
                <w:color w:val="auto"/>
                <w:szCs w:val="21"/>
                <w:highlight w:val="none"/>
              </w:rPr>
            </w:pPr>
            <w:r>
              <w:rPr>
                <w:rFonts w:hint="eastAsia" w:ascii="宋体" w:hAnsi="宋体" w:eastAsia="宋体" w:cs="宋体"/>
                <w:bCs/>
                <w:color w:val="auto"/>
                <w:szCs w:val="21"/>
                <w:highlight w:val="none"/>
              </w:rPr>
              <w:t>研究技术路线的合理性和可行性（15分）</w:t>
            </w:r>
          </w:p>
        </w:tc>
        <w:tc>
          <w:tcPr>
            <w:tcW w:w="0" w:type="auto"/>
            <w:vAlign w:val="center"/>
          </w:tcPr>
          <w:p>
            <w:pPr>
              <w:adjustRightInd w:val="0"/>
              <w:snapToGrid w:val="0"/>
              <w:rPr>
                <w:color w:val="auto"/>
                <w:highlight w:val="none"/>
              </w:rPr>
            </w:pPr>
            <w:r>
              <w:rPr>
                <w:rFonts w:hint="eastAsia"/>
                <w:color w:val="auto"/>
                <w:highlight w:val="none"/>
              </w:rPr>
              <w:t>合理可行15分；相对较弱者酌情扣分，最低9分；</w:t>
            </w:r>
          </w:p>
          <w:p>
            <w:pPr>
              <w:pStyle w:val="5"/>
              <w:ind w:firstLine="0"/>
              <w:rPr>
                <w:rFonts w:hint="default" w:ascii="宋体" w:hAnsi="宋体" w:cs="宋体"/>
                <w:b/>
                <w:bCs/>
                <w:color w:val="auto"/>
                <w:highlight w:val="none"/>
              </w:rPr>
            </w:pPr>
            <w:r>
              <w:rPr>
                <w:rFonts w:ascii="宋体" w:hAnsi="宋体" w:cs="宋体"/>
                <w:b/>
                <w:bCs/>
                <w:color w:val="auto"/>
                <w:highlight w:val="none"/>
              </w:rPr>
              <w:t>内容完整、技术路线可行、合理，得15分；</w:t>
            </w:r>
          </w:p>
          <w:p>
            <w:pPr>
              <w:pStyle w:val="5"/>
              <w:ind w:firstLine="0"/>
              <w:rPr>
                <w:rFonts w:hint="default" w:ascii="宋体" w:hAnsi="宋体" w:cs="宋体"/>
                <w:b/>
                <w:bCs/>
                <w:color w:val="auto"/>
                <w:highlight w:val="none"/>
              </w:rPr>
            </w:pPr>
            <w:r>
              <w:rPr>
                <w:rFonts w:ascii="宋体" w:hAnsi="宋体" w:cs="宋体"/>
                <w:b/>
                <w:bCs/>
                <w:color w:val="auto"/>
                <w:highlight w:val="none"/>
              </w:rPr>
              <w:t>内容基本完整、技术路线较可行、合理，得12分；</w:t>
            </w:r>
          </w:p>
          <w:p>
            <w:pPr>
              <w:pStyle w:val="5"/>
              <w:ind w:firstLine="0"/>
              <w:rPr>
                <w:rFonts w:hint="default"/>
                <w:color w:val="auto"/>
                <w:highlight w:val="none"/>
              </w:rPr>
            </w:pPr>
            <w:r>
              <w:rPr>
                <w:rFonts w:ascii="宋体" w:hAnsi="宋体" w:cs="宋体"/>
                <w:b/>
                <w:bCs/>
                <w:color w:val="auto"/>
                <w:highlight w:val="none"/>
              </w:rPr>
              <w:t>内容不完整、技术路线可行、合理性一般，得9分。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jc w:val="center"/>
              <w:textAlignment w:val="center"/>
              <w:rPr>
                <w:rFonts w:ascii="宋体" w:hAnsi="宋体" w:eastAsia="宋体" w:cs="宋体"/>
                <w:b/>
                <w:color w:val="auto"/>
                <w:kern w:val="0"/>
                <w:szCs w:val="21"/>
                <w:highlight w:val="none"/>
                <w:lang w:bidi="ar"/>
              </w:rPr>
            </w:pPr>
          </w:p>
        </w:tc>
        <w:tc>
          <w:tcPr>
            <w:tcW w:w="0" w:type="auto"/>
            <w:vMerge w:val="continue"/>
            <w:vAlign w:val="center"/>
          </w:tcPr>
          <w:p>
            <w:pPr>
              <w:snapToGrid w:val="0"/>
              <w:jc w:val="center"/>
              <w:rPr>
                <w:rFonts w:ascii="宋体" w:hAnsi="宋体" w:eastAsia="宋体" w:cs="宋体"/>
                <w:bCs/>
                <w:color w:val="auto"/>
                <w:szCs w:val="21"/>
                <w:highlight w:val="none"/>
              </w:rPr>
            </w:pPr>
          </w:p>
        </w:tc>
        <w:tc>
          <w:tcPr>
            <w:tcW w:w="0" w:type="auto"/>
            <w:vAlign w:val="center"/>
          </w:tcPr>
          <w:p>
            <w:pPr>
              <w:snapToGrid w:val="0"/>
              <w:jc w:val="center"/>
              <w:rPr>
                <w:rFonts w:ascii="宋体" w:hAnsi="宋体" w:eastAsia="宋体" w:cs="宋体"/>
                <w:bCs/>
                <w:color w:val="auto"/>
                <w:szCs w:val="21"/>
                <w:highlight w:val="none"/>
              </w:rPr>
            </w:pPr>
            <w:r>
              <w:rPr>
                <w:rFonts w:hint="eastAsia" w:ascii="宋体" w:hAnsi="宋体" w:eastAsia="宋体" w:cs="宋体"/>
                <w:bCs/>
                <w:color w:val="auto"/>
                <w:szCs w:val="21"/>
                <w:highlight w:val="none"/>
              </w:rPr>
              <w:t>预期成果（</w:t>
            </w:r>
            <w:r>
              <w:rPr>
                <w:rFonts w:hint="eastAsia" w:ascii="宋体" w:hAnsi="宋体" w:cs="宋体"/>
                <w:bCs/>
                <w:color w:val="auto"/>
                <w:szCs w:val="21"/>
                <w:highlight w:val="none"/>
              </w:rPr>
              <w:t>10</w:t>
            </w:r>
            <w:r>
              <w:rPr>
                <w:rFonts w:hint="eastAsia" w:ascii="宋体" w:hAnsi="宋体" w:eastAsia="宋体" w:cs="宋体"/>
                <w:bCs/>
                <w:color w:val="auto"/>
                <w:szCs w:val="21"/>
                <w:highlight w:val="none"/>
              </w:rPr>
              <w:t>分）</w:t>
            </w:r>
          </w:p>
        </w:tc>
        <w:tc>
          <w:tcPr>
            <w:tcW w:w="0" w:type="auto"/>
            <w:vAlign w:val="center"/>
          </w:tcPr>
          <w:p>
            <w:pPr>
              <w:adjustRightInd w:val="0"/>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对相关</w:t>
            </w:r>
            <w:r>
              <w:rPr>
                <w:rFonts w:hint="eastAsia" w:ascii="宋体" w:hAnsi="宋体" w:eastAsia="宋体" w:cs="宋体"/>
                <w:b/>
                <w:bCs/>
                <w:color w:val="auto"/>
                <w:szCs w:val="21"/>
                <w:highlight w:val="none"/>
              </w:rPr>
              <w:t>技术发展</w:t>
            </w:r>
            <w:r>
              <w:rPr>
                <w:rFonts w:hint="eastAsia" w:ascii="宋体" w:hAnsi="宋体" w:eastAsia="宋体" w:cs="宋体"/>
                <w:color w:val="auto"/>
                <w:szCs w:val="21"/>
                <w:highlight w:val="none"/>
              </w:rPr>
              <w:t>推动作用巨大、效益显著</w:t>
            </w:r>
            <w:r>
              <w:rPr>
                <w:rFonts w:hint="eastAsia" w:ascii="宋体" w:hAnsi="宋体" w:cs="宋体"/>
                <w:color w:val="auto"/>
                <w:szCs w:val="21"/>
                <w:highlight w:val="none"/>
              </w:rPr>
              <w:t>10</w:t>
            </w:r>
            <w:r>
              <w:rPr>
                <w:rFonts w:hint="eastAsia" w:ascii="宋体" w:hAnsi="宋体" w:eastAsia="宋体" w:cs="宋体"/>
                <w:color w:val="auto"/>
                <w:szCs w:val="21"/>
                <w:highlight w:val="none"/>
              </w:rPr>
              <w:t>分；相对较弱者酌情扣分，最低</w:t>
            </w:r>
            <w:r>
              <w:rPr>
                <w:rFonts w:hint="eastAsia" w:ascii="宋体" w:hAnsi="宋体" w:cs="宋体"/>
                <w:color w:val="auto"/>
                <w:szCs w:val="21"/>
                <w:highlight w:val="none"/>
              </w:rPr>
              <w:t>8</w:t>
            </w:r>
            <w:r>
              <w:rPr>
                <w:rFonts w:hint="eastAsia" w:ascii="宋体" w:hAnsi="宋体" w:eastAsia="宋体" w:cs="宋体"/>
                <w:color w:val="auto"/>
                <w:szCs w:val="21"/>
                <w:highlight w:val="none"/>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widowControl/>
              <w:jc w:val="center"/>
              <w:textAlignment w:val="center"/>
              <w:rPr>
                <w:rFonts w:ascii="宋体" w:hAnsi="宋体" w:eastAsia="宋体" w:cs="宋体"/>
                <w:b/>
                <w:color w:val="auto"/>
                <w:kern w:val="0"/>
                <w:szCs w:val="21"/>
                <w:highlight w:val="none"/>
                <w:lang w:bidi="ar"/>
              </w:rPr>
            </w:pPr>
            <w:r>
              <w:rPr>
                <w:rFonts w:hint="eastAsia" w:ascii="宋体" w:hAnsi="宋体" w:eastAsia="宋体" w:cs="宋体"/>
                <w:b/>
                <w:color w:val="auto"/>
                <w:kern w:val="0"/>
                <w:szCs w:val="21"/>
                <w:highlight w:val="none"/>
                <w:lang w:bidi="ar"/>
              </w:rPr>
              <w:t>2</w:t>
            </w:r>
          </w:p>
        </w:tc>
        <w:tc>
          <w:tcPr>
            <w:tcW w:w="0" w:type="auto"/>
            <w:vMerge w:val="restart"/>
            <w:vAlign w:val="center"/>
          </w:tcPr>
          <w:p>
            <w:pPr>
              <w:snapToGrid w:val="0"/>
              <w:jc w:val="center"/>
              <w:rPr>
                <w:rFonts w:ascii="宋体" w:hAnsi="宋体" w:eastAsia="宋体" w:cs="宋体"/>
                <w:bCs/>
                <w:color w:val="auto"/>
                <w:szCs w:val="21"/>
                <w:highlight w:val="none"/>
              </w:rPr>
            </w:pPr>
            <w:r>
              <w:rPr>
                <w:rFonts w:hint="eastAsia" w:ascii="宋体" w:hAnsi="宋体" w:eastAsia="宋体" w:cs="宋体"/>
                <w:bCs/>
                <w:color w:val="auto"/>
                <w:szCs w:val="21"/>
                <w:highlight w:val="none"/>
              </w:rPr>
              <w:t>团队配置（</w:t>
            </w:r>
            <w:r>
              <w:rPr>
                <w:rFonts w:hint="eastAsia" w:ascii="宋体" w:hAnsi="宋体" w:cs="宋体"/>
                <w:bCs/>
                <w:color w:val="auto"/>
                <w:szCs w:val="21"/>
                <w:highlight w:val="none"/>
              </w:rPr>
              <w:t>2</w:t>
            </w:r>
            <w:r>
              <w:rPr>
                <w:rFonts w:hint="eastAsia" w:ascii="宋体" w:hAnsi="宋体" w:eastAsia="宋体" w:cs="宋体"/>
                <w:bCs/>
                <w:color w:val="auto"/>
                <w:szCs w:val="21"/>
                <w:highlight w:val="none"/>
              </w:rPr>
              <w:t>0分）</w:t>
            </w:r>
          </w:p>
        </w:tc>
        <w:tc>
          <w:tcPr>
            <w:tcW w:w="0" w:type="auto"/>
            <w:vAlign w:val="center"/>
          </w:tcPr>
          <w:p>
            <w:pPr>
              <w:snapToGrid w:val="0"/>
              <w:jc w:val="center"/>
              <w:rPr>
                <w:rFonts w:ascii="宋体" w:hAnsi="宋体" w:eastAsia="宋体" w:cs="宋体"/>
                <w:bCs/>
                <w:color w:val="auto"/>
                <w:szCs w:val="21"/>
                <w:highlight w:val="none"/>
              </w:rPr>
            </w:pPr>
            <w:r>
              <w:rPr>
                <w:rFonts w:hint="eastAsia" w:ascii="宋体" w:hAnsi="宋体" w:eastAsia="宋体" w:cs="宋体"/>
                <w:bCs/>
                <w:color w:val="auto"/>
                <w:szCs w:val="21"/>
                <w:highlight w:val="none"/>
              </w:rPr>
              <w:t>研究团队（10分）</w:t>
            </w:r>
          </w:p>
        </w:tc>
        <w:tc>
          <w:tcPr>
            <w:tcW w:w="0" w:type="auto"/>
            <w:vAlign w:val="center"/>
          </w:tcPr>
          <w:p>
            <w:pPr>
              <w:adjustRightInd w:val="0"/>
              <w:snapToGrid w:val="0"/>
              <w:spacing w:line="240" w:lineRule="atLeast"/>
              <w:jc w:val="left"/>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项目负责人、关键人员的资历及专业人员配置合理，10分。</w:t>
            </w:r>
          </w:p>
          <w:p>
            <w:pPr>
              <w:adjustRightInd w:val="0"/>
              <w:snapToGrid w:val="0"/>
              <w:spacing w:line="240" w:lineRule="atLeast"/>
              <w:jc w:val="left"/>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项目负责人、关键人员的资历及专业人员配置较合理，8分。</w:t>
            </w:r>
          </w:p>
          <w:p>
            <w:pPr>
              <w:adjustRightInd w:val="0"/>
              <w:snapToGrid w:val="0"/>
              <w:rPr>
                <w:rFonts w:ascii="宋体" w:hAnsi="宋体" w:eastAsia="宋体" w:cs="宋体"/>
                <w:color w:val="auto"/>
                <w:szCs w:val="21"/>
                <w:highlight w:val="none"/>
              </w:rPr>
            </w:pPr>
            <w:r>
              <w:rPr>
                <w:rFonts w:hint="eastAsia" w:ascii="宋体" w:hAnsi="宋体" w:eastAsia="宋体" w:cs="宋体"/>
                <w:b/>
                <w:bCs/>
                <w:color w:val="auto"/>
                <w:kern w:val="0"/>
                <w:szCs w:val="21"/>
                <w:highlight w:val="none"/>
              </w:rPr>
              <w:t>项目负责人、关键人员的资历及专业人员配置一般，6分。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jc w:val="center"/>
              <w:textAlignment w:val="center"/>
              <w:rPr>
                <w:rFonts w:ascii="宋体" w:hAnsi="宋体" w:eastAsia="宋体" w:cs="宋体"/>
                <w:b/>
                <w:color w:val="auto"/>
                <w:kern w:val="0"/>
                <w:szCs w:val="21"/>
                <w:highlight w:val="none"/>
                <w:lang w:bidi="ar"/>
              </w:rPr>
            </w:pPr>
          </w:p>
        </w:tc>
        <w:tc>
          <w:tcPr>
            <w:tcW w:w="0" w:type="auto"/>
            <w:vMerge w:val="continue"/>
            <w:vAlign w:val="center"/>
          </w:tcPr>
          <w:p>
            <w:pPr>
              <w:snapToGrid w:val="0"/>
              <w:jc w:val="center"/>
              <w:rPr>
                <w:rFonts w:ascii="宋体" w:hAnsi="宋体" w:eastAsia="宋体" w:cs="宋体"/>
                <w:bCs/>
                <w:color w:val="auto"/>
                <w:szCs w:val="21"/>
                <w:highlight w:val="none"/>
              </w:rPr>
            </w:pPr>
          </w:p>
        </w:tc>
        <w:tc>
          <w:tcPr>
            <w:tcW w:w="0" w:type="auto"/>
            <w:vAlign w:val="center"/>
          </w:tcPr>
          <w:p>
            <w:pPr>
              <w:snapToGrid w:val="0"/>
              <w:jc w:val="center"/>
              <w:rPr>
                <w:rFonts w:ascii="宋体" w:hAnsi="宋体" w:eastAsia="宋体" w:cs="宋体"/>
                <w:bCs/>
                <w:color w:val="auto"/>
                <w:szCs w:val="21"/>
                <w:highlight w:val="none"/>
              </w:rPr>
            </w:pPr>
            <w:r>
              <w:rPr>
                <w:rFonts w:hint="eastAsia" w:ascii="宋体" w:hAnsi="宋体" w:eastAsia="宋体" w:cs="宋体"/>
                <w:bCs/>
                <w:color w:val="auto"/>
                <w:szCs w:val="21"/>
                <w:highlight w:val="none"/>
              </w:rPr>
              <w:t>研究能力（10分）</w:t>
            </w:r>
          </w:p>
        </w:tc>
        <w:tc>
          <w:tcPr>
            <w:tcW w:w="0" w:type="auto"/>
            <w:vAlign w:val="center"/>
          </w:tcPr>
          <w:p>
            <w:pPr>
              <w:adjustRightInd w:val="0"/>
              <w:snapToGrid w:val="0"/>
              <w:rPr>
                <w:rFonts w:ascii="宋体" w:hAnsi="宋体" w:eastAsia="宋体" w:cs="宋体"/>
                <w:color w:val="auto"/>
                <w:szCs w:val="21"/>
                <w:highlight w:val="none"/>
              </w:rPr>
            </w:pPr>
            <w:r>
              <w:rPr>
                <w:rFonts w:hint="eastAsia" w:ascii="宋体" w:hAnsi="宋体" w:eastAsia="宋体" w:cs="宋体"/>
                <w:color w:val="auto"/>
                <w:szCs w:val="21"/>
                <w:highlight w:val="none"/>
              </w:rPr>
              <w:t>试验仪器设备（如需要）、基础设施（如需要）、仿真软件（如需要）完全满足要求10分；每1项不满足要求扣2分，最低6分；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widowControl/>
              <w:jc w:val="center"/>
              <w:textAlignment w:val="center"/>
              <w:rPr>
                <w:rFonts w:ascii="宋体" w:hAnsi="宋体" w:eastAsia="宋体" w:cs="宋体"/>
                <w:b/>
                <w:color w:val="auto"/>
                <w:kern w:val="0"/>
                <w:szCs w:val="21"/>
                <w:highlight w:val="none"/>
                <w:lang w:bidi="ar"/>
              </w:rPr>
            </w:pPr>
            <w:r>
              <w:rPr>
                <w:rFonts w:hint="eastAsia" w:ascii="宋体" w:hAnsi="宋体" w:eastAsia="宋体" w:cs="宋体"/>
                <w:b/>
                <w:color w:val="auto"/>
                <w:kern w:val="0"/>
                <w:szCs w:val="21"/>
                <w:highlight w:val="none"/>
                <w:lang w:bidi="ar"/>
              </w:rPr>
              <w:t>3</w:t>
            </w:r>
          </w:p>
        </w:tc>
        <w:tc>
          <w:tcPr>
            <w:tcW w:w="0" w:type="auto"/>
            <w:vMerge w:val="restart"/>
            <w:vAlign w:val="center"/>
          </w:tcPr>
          <w:p>
            <w:pPr>
              <w:snapToGrid w:val="0"/>
              <w:jc w:val="center"/>
              <w:rPr>
                <w:rFonts w:ascii="宋体" w:hAnsi="宋体" w:eastAsia="宋体" w:cs="宋体"/>
                <w:bCs/>
                <w:color w:val="auto"/>
                <w:szCs w:val="21"/>
                <w:highlight w:val="none"/>
              </w:rPr>
            </w:pPr>
            <w:r>
              <w:rPr>
                <w:rFonts w:hint="eastAsia" w:ascii="宋体" w:hAnsi="宋体" w:eastAsia="宋体" w:cs="宋体"/>
                <w:bCs/>
                <w:color w:val="auto"/>
                <w:szCs w:val="21"/>
                <w:highlight w:val="none"/>
              </w:rPr>
              <w:t>综合评价（</w:t>
            </w:r>
            <w:r>
              <w:rPr>
                <w:rFonts w:hint="eastAsia" w:ascii="宋体" w:hAnsi="宋体" w:cs="宋体"/>
                <w:bCs/>
                <w:color w:val="auto"/>
                <w:szCs w:val="21"/>
                <w:highlight w:val="none"/>
              </w:rPr>
              <w:t>3</w:t>
            </w:r>
            <w:r>
              <w:rPr>
                <w:rFonts w:hint="eastAsia" w:ascii="宋体" w:hAnsi="宋体" w:eastAsia="宋体" w:cs="宋体"/>
                <w:bCs/>
                <w:color w:val="auto"/>
                <w:szCs w:val="21"/>
                <w:highlight w:val="none"/>
              </w:rPr>
              <w:t>0分）</w:t>
            </w:r>
          </w:p>
        </w:tc>
        <w:tc>
          <w:tcPr>
            <w:tcW w:w="0" w:type="auto"/>
            <w:vMerge w:val="restart"/>
            <w:vAlign w:val="center"/>
          </w:tcPr>
          <w:p>
            <w:pPr>
              <w:widowControl/>
              <w:spacing w:line="240" w:lineRule="atLeast"/>
              <w:jc w:val="center"/>
              <w:rPr>
                <w:rFonts w:ascii="宋体" w:hAnsi="宋体" w:eastAsia="宋体"/>
                <w:bCs/>
                <w:color w:val="auto"/>
                <w:szCs w:val="21"/>
                <w:highlight w:val="none"/>
              </w:rPr>
            </w:pPr>
            <w:r>
              <w:rPr>
                <w:rFonts w:hint="eastAsia" w:ascii="宋体" w:hAnsi="宋体" w:eastAsia="宋体"/>
                <w:bCs/>
                <w:color w:val="auto"/>
                <w:szCs w:val="21"/>
                <w:highlight w:val="none"/>
              </w:rPr>
              <w:t>业绩</w:t>
            </w:r>
          </w:p>
          <w:p>
            <w:pPr>
              <w:widowControl/>
              <w:spacing w:line="240" w:lineRule="atLeast"/>
              <w:jc w:val="center"/>
              <w:rPr>
                <w:rFonts w:ascii="宋体" w:hAnsi="宋体" w:eastAsia="宋体"/>
                <w:bCs/>
                <w:color w:val="auto"/>
                <w:szCs w:val="21"/>
                <w:highlight w:val="none"/>
              </w:rPr>
            </w:pPr>
            <w:r>
              <w:rPr>
                <w:rFonts w:hint="eastAsia" w:ascii="宋体" w:hAnsi="宋体" w:eastAsia="宋体"/>
                <w:bCs/>
                <w:color w:val="auto"/>
                <w:szCs w:val="21"/>
                <w:highlight w:val="none"/>
              </w:rPr>
              <w:t>（</w:t>
            </w:r>
            <w:r>
              <w:rPr>
                <w:rFonts w:hint="eastAsia" w:ascii="宋体" w:hAnsi="宋体"/>
                <w:bCs/>
                <w:color w:val="auto"/>
                <w:szCs w:val="21"/>
                <w:highlight w:val="none"/>
              </w:rPr>
              <w:t>30</w:t>
            </w:r>
            <w:r>
              <w:rPr>
                <w:rFonts w:ascii="宋体" w:hAnsi="宋体" w:eastAsia="宋体"/>
                <w:bCs/>
                <w:color w:val="auto"/>
                <w:szCs w:val="21"/>
                <w:highlight w:val="none"/>
              </w:rPr>
              <w:t>分）</w:t>
            </w:r>
          </w:p>
        </w:tc>
        <w:tc>
          <w:tcPr>
            <w:tcW w:w="0" w:type="auto"/>
            <w:vAlign w:val="center"/>
          </w:tcPr>
          <w:p>
            <w:pPr>
              <w:adjustRightInd w:val="0"/>
              <w:snapToGrid w:val="0"/>
              <w:rPr>
                <w:rFonts w:ascii="宋体" w:hAnsi="宋体" w:cs="宋体"/>
                <w:bCs/>
                <w:color w:val="auto"/>
                <w:szCs w:val="21"/>
                <w:highlight w:val="none"/>
              </w:rPr>
            </w:pPr>
            <w:r>
              <w:rPr>
                <w:rFonts w:hint="eastAsia" w:ascii="宋体" w:hAnsi="宋体" w:eastAsia="宋体" w:cs="宋体"/>
                <w:bCs/>
                <w:color w:val="auto"/>
                <w:szCs w:val="21"/>
                <w:highlight w:val="none"/>
              </w:rPr>
              <w:t>项目负责人</w:t>
            </w:r>
            <w:r>
              <w:rPr>
                <w:rFonts w:hint="eastAsia" w:ascii="宋体" w:hAnsi="宋体" w:cs="宋体"/>
                <w:bCs/>
                <w:color w:val="auto"/>
                <w:szCs w:val="21"/>
                <w:highlight w:val="none"/>
              </w:rPr>
              <w:t>（15分）。</w:t>
            </w:r>
          </w:p>
          <w:p>
            <w:pPr>
              <w:adjustRightInd w:val="0"/>
              <w:snapToGrid w:val="0"/>
              <w:rPr>
                <w:rFonts w:eastAsia="宋体"/>
                <w:color w:val="auto"/>
                <w:highlight w:val="none"/>
              </w:rPr>
            </w:pPr>
            <w:r>
              <w:rPr>
                <w:rFonts w:hint="eastAsia" w:ascii="宋体" w:hAnsi="宋体" w:eastAsia="宋体" w:cs="宋体"/>
                <w:b/>
                <w:bCs/>
                <w:color w:val="auto"/>
                <w:szCs w:val="21"/>
                <w:highlight w:val="none"/>
              </w:rPr>
              <w:t>具有</w:t>
            </w:r>
            <w:r>
              <w:rPr>
                <w:rFonts w:hint="eastAsia" w:ascii="宋体" w:hAnsi="宋体" w:cs="宋体"/>
                <w:b/>
                <w:bCs/>
                <w:color w:val="auto"/>
                <w:szCs w:val="21"/>
                <w:highlight w:val="none"/>
              </w:rPr>
              <w:t>与本课题</w:t>
            </w:r>
            <w:r>
              <w:rPr>
                <w:rFonts w:hint="eastAsia" w:ascii="宋体" w:hAnsi="宋体" w:eastAsia="宋体" w:cs="宋体"/>
                <w:b/>
                <w:bCs/>
                <w:color w:val="auto"/>
                <w:szCs w:val="21"/>
                <w:highlight w:val="none"/>
              </w:rPr>
              <w:t>相关业绩或相关领域专业研究及实践业绩</w:t>
            </w:r>
            <w:r>
              <w:rPr>
                <w:rFonts w:hint="eastAsia" w:ascii="宋体" w:hAnsi="宋体" w:cs="宋体"/>
                <w:b/>
                <w:bCs/>
                <w:color w:val="auto"/>
                <w:szCs w:val="21"/>
                <w:highlight w:val="none"/>
              </w:rPr>
              <w:t>（科研、设计、施工等业绩）</w:t>
            </w:r>
            <w:r>
              <w:rPr>
                <w:rFonts w:hint="eastAsia" w:ascii="宋体" w:hAnsi="宋体" w:eastAsia="宋体" w:cs="宋体"/>
                <w:b/>
                <w:bCs/>
                <w:color w:val="auto"/>
                <w:szCs w:val="21"/>
                <w:highlight w:val="none"/>
              </w:rPr>
              <w:t>的</w:t>
            </w:r>
            <w:r>
              <w:rPr>
                <w:rFonts w:hint="eastAsia" w:ascii="宋体" w:hAnsi="宋体" w:cs="宋体"/>
                <w:b/>
                <w:bCs/>
                <w:color w:val="auto"/>
                <w:szCs w:val="21"/>
                <w:highlight w:val="none"/>
              </w:rPr>
              <w:t>15</w:t>
            </w:r>
            <w:r>
              <w:rPr>
                <w:rFonts w:ascii="宋体" w:hAnsi="宋体" w:eastAsia="宋体" w:cs="宋体"/>
                <w:b/>
                <w:bCs/>
                <w:color w:val="auto"/>
                <w:szCs w:val="21"/>
                <w:highlight w:val="none"/>
              </w:rPr>
              <w:t>分，</w:t>
            </w:r>
            <w:r>
              <w:rPr>
                <w:rFonts w:hint="eastAsia" w:ascii="宋体" w:hAnsi="宋体" w:cs="宋体"/>
                <w:b/>
                <w:bCs/>
                <w:color w:val="auto"/>
                <w:szCs w:val="21"/>
                <w:highlight w:val="none"/>
              </w:rPr>
              <w:t>其他</w:t>
            </w:r>
            <w:r>
              <w:rPr>
                <w:rFonts w:hint="eastAsia" w:ascii="宋体" w:hAnsi="宋体" w:eastAsia="宋体" w:cs="宋体"/>
                <w:b/>
                <w:bCs/>
                <w:color w:val="auto"/>
                <w:szCs w:val="21"/>
                <w:highlight w:val="none"/>
              </w:rPr>
              <w:t>相关业绩或相关领域专业研究及实践业绩</w:t>
            </w:r>
            <w:r>
              <w:rPr>
                <w:rFonts w:hint="eastAsia" w:ascii="宋体" w:hAnsi="宋体" w:cs="宋体"/>
                <w:b/>
                <w:bCs/>
                <w:color w:val="auto"/>
                <w:szCs w:val="21"/>
                <w:highlight w:val="none"/>
              </w:rPr>
              <w:t>得10分</w:t>
            </w:r>
            <w:r>
              <w:rPr>
                <w:rFonts w:hint="eastAsia" w:ascii="宋体" w:hAnsi="宋体" w:cs="宋体"/>
                <w:color w:val="auto"/>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jc w:val="center"/>
              <w:textAlignment w:val="center"/>
              <w:rPr>
                <w:rFonts w:ascii="宋体" w:hAnsi="宋体" w:eastAsia="宋体" w:cs="宋体"/>
                <w:b/>
                <w:color w:val="auto"/>
                <w:kern w:val="0"/>
                <w:szCs w:val="21"/>
                <w:highlight w:val="none"/>
                <w:lang w:bidi="ar"/>
              </w:rPr>
            </w:pPr>
          </w:p>
        </w:tc>
        <w:tc>
          <w:tcPr>
            <w:tcW w:w="0" w:type="auto"/>
            <w:vMerge w:val="continue"/>
            <w:vAlign w:val="center"/>
          </w:tcPr>
          <w:p>
            <w:pPr>
              <w:snapToGrid w:val="0"/>
              <w:jc w:val="center"/>
              <w:rPr>
                <w:rFonts w:ascii="宋体" w:hAnsi="宋体" w:eastAsia="宋体" w:cs="宋体"/>
                <w:bCs/>
                <w:color w:val="auto"/>
                <w:szCs w:val="21"/>
                <w:highlight w:val="none"/>
              </w:rPr>
            </w:pPr>
          </w:p>
        </w:tc>
        <w:tc>
          <w:tcPr>
            <w:tcW w:w="0" w:type="auto"/>
            <w:vMerge w:val="continue"/>
            <w:vAlign w:val="center"/>
          </w:tcPr>
          <w:p>
            <w:pPr>
              <w:widowControl/>
              <w:spacing w:line="240" w:lineRule="atLeast"/>
              <w:jc w:val="center"/>
              <w:rPr>
                <w:rFonts w:ascii="宋体" w:hAnsi="宋体" w:eastAsia="宋体"/>
                <w:bCs/>
                <w:color w:val="auto"/>
                <w:szCs w:val="21"/>
                <w:highlight w:val="none"/>
              </w:rPr>
            </w:pPr>
          </w:p>
        </w:tc>
        <w:tc>
          <w:tcPr>
            <w:tcW w:w="0" w:type="auto"/>
            <w:vAlign w:val="center"/>
          </w:tcPr>
          <w:p>
            <w:pPr>
              <w:spacing w:line="240" w:lineRule="atLeast"/>
              <w:rPr>
                <w:rFonts w:ascii="宋体" w:hAnsi="宋体" w:eastAsia="宋体"/>
                <w:b/>
                <w:bCs/>
                <w:color w:val="auto"/>
                <w:szCs w:val="21"/>
                <w:highlight w:val="none"/>
              </w:rPr>
            </w:pPr>
            <w:r>
              <w:rPr>
                <w:rFonts w:hint="eastAsia" w:ascii="宋体" w:hAnsi="宋体" w:eastAsia="宋体"/>
                <w:b/>
                <w:bCs/>
                <w:color w:val="auto"/>
                <w:szCs w:val="21"/>
                <w:highlight w:val="none"/>
              </w:rPr>
              <w:t>企业业绩（</w:t>
            </w:r>
            <w:r>
              <w:rPr>
                <w:rFonts w:hint="eastAsia" w:ascii="宋体" w:hAnsi="宋体"/>
                <w:b/>
                <w:bCs/>
                <w:color w:val="auto"/>
                <w:szCs w:val="21"/>
                <w:highlight w:val="none"/>
              </w:rPr>
              <w:t>15</w:t>
            </w:r>
            <w:r>
              <w:rPr>
                <w:rFonts w:hint="eastAsia" w:ascii="宋体" w:hAnsi="宋体" w:eastAsia="宋体"/>
                <w:b/>
                <w:bCs/>
                <w:color w:val="auto"/>
                <w:szCs w:val="21"/>
                <w:highlight w:val="none"/>
              </w:rPr>
              <w:t>分）。</w:t>
            </w:r>
          </w:p>
          <w:p>
            <w:pPr>
              <w:spacing w:line="240" w:lineRule="atLeast"/>
              <w:rPr>
                <w:rFonts w:ascii="宋体" w:hAnsi="宋体" w:eastAsia="宋体"/>
                <w:b/>
                <w:bCs/>
                <w:color w:val="auto"/>
                <w:szCs w:val="21"/>
                <w:highlight w:val="none"/>
              </w:rPr>
            </w:pPr>
            <w:r>
              <w:rPr>
                <w:rFonts w:hint="eastAsia" w:ascii="宋体" w:hAnsi="宋体"/>
                <w:b/>
                <w:bCs/>
                <w:color w:val="auto"/>
                <w:szCs w:val="21"/>
                <w:highlight w:val="none"/>
              </w:rPr>
              <w:t>1.</w:t>
            </w:r>
            <w:r>
              <w:rPr>
                <w:rFonts w:hint="eastAsia" w:ascii="宋体" w:hAnsi="宋体" w:eastAsia="宋体"/>
                <w:b/>
                <w:bCs/>
                <w:color w:val="auto"/>
                <w:szCs w:val="21"/>
                <w:highlight w:val="none"/>
              </w:rPr>
              <w:t>具有</w:t>
            </w:r>
            <w:r>
              <w:rPr>
                <w:rFonts w:hint="eastAsia" w:ascii="宋体" w:hAnsi="宋体"/>
                <w:b/>
                <w:bCs/>
                <w:color w:val="auto"/>
                <w:szCs w:val="21"/>
                <w:highlight w:val="none"/>
              </w:rPr>
              <w:t>与本</w:t>
            </w:r>
            <w:r>
              <w:rPr>
                <w:rFonts w:hint="eastAsia" w:ascii="宋体" w:hAnsi="宋体" w:eastAsia="宋体"/>
                <w:b/>
                <w:bCs/>
                <w:color w:val="auto"/>
                <w:szCs w:val="21"/>
                <w:highlight w:val="none"/>
              </w:rPr>
              <w:t>课题相关领域专业研究及实践业绩</w:t>
            </w:r>
            <w:r>
              <w:rPr>
                <w:rFonts w:hint="eastAsia" w:ascii="宋体" w:hAnsi="宋体"/>
                <w:b/>
                <w:bCs/>
                <w:color w:val="auto"/>
                <w:szCs w:val="21"/>
                <w:highlight w:val="none"/>
              </w:rPr>
              <w:t>，每项得7.5分；</w:t>
            </w:r>
          </w:p>
          <w:p>
            <w:pPr>
              <w:spacing w:line="240" w:lineRule="atLeast"/>
              <w:rPr>
                <w:rFonts w:ascii="宋体" w:hAnsi="宋体" w:eastAsia="宋体"/>
                <w:b/>
                <w:bCs/>
                <w:color w:val="auto"/>
                <w:szCs w:val="21"/>
                <w:highlight w:val="none"/>
              </w:rPr>
            </w:pPr>
            <w:r>
              <w:rPr>
                <w:rFonts w:hint="eastAsia" w:ascii="宋体" w:hAnsi="宋体"/>
                <w:b/>
                <w:bCs/>
                <w:color w:val="auto"/>
                <w:szCs w:val="21"/>
                <w:highlight w:val="none"/>
              </w:rPr>
              <w:t>2.</w:t>
            </w:r>
            <w:r>
              <w:rPr>
                <w:rFonts w:hint="eastAsia" w:ascii="宋体" w:hAnsi="宋体" w:eastAsia="宋体"/>
                <w:b/>
                <w:bCs/>
                <w:color w:val="auto"/>
                <w:szCs w:val="21"/>
                <w:highlight w:val="none"/>
              </w:rPr>
              <w:t>参与课题相关领域国家、行业标准制定</w:t>
            </w:r>
            <w:r>
              <w:rPr>
                <w:rFonts w:hint="eastAsia" w:ascii="宋体" w:hAnsi="宋体"/>
                <w:b/>
                <w:bCs/>
                <w:color w:val="auto"/>
                <w:szCs w:val="21"/>
                <w:highlight w:val="none"/>
              </w:rPr>
              <w:t>，</w:t>
            </w:r>
            <w:r>
              <w:rPr>
                <w:rFonts w:hint="eastAsia" w:ascii="宋体" w:hAnsi="宋体" w:eastAsia="宋体"/>
                <w:b/>
                <w:bCs/>
                <w:color w:val="auto"/>
                <w:szCs w:val="21"/>
                <w:highlight w:val="none"/>
              </w:rPr>
              <w:t>得</w:t>
            </w:r>
            <w:r>
              <w:rPr>
                <w:rFonts w:hint="eastAsia" w:ascii="宋体" w:hAnsi="宋体"/>
                <w:b/>
                <w:bCs/>
                <w:color w:val="auto"/>
                <w:szCs w:val="21"/>
                <w:highlight w:val="none"/>
              </w:rPr>
              <w:t>15</w:t>
            </w:r>
            <w:r>
              <w:rPr>
                <w:rFonts w:hint="eastAsia" w:ascii="宋体" w:hAnsi="宋体" w:eastAsia="宋体"/>
                <w:b/>
                <w:bCs/>
                <w:color w:val="auto"/>
                <w:szCs w:val="21"/>
                <w:highlight w:val="none"/>
              </w:rPr>
              <w:t>分</w:t>
            </w:r>
            <w:r>
              <w:rPr>
                <w:rFonts w:hint="eastAsia" w:ascii="宋体" w:hAnsi="宋体"/>
                <w:b/>
                <w:bCs/>
                <w:color w:val="auto"/>
                <w:szCs w:val="21"/>
                <w:highlight w:val="none"/>
              </w:rPr>
              <w:t>；</w:t>
            </w:r>
          </w:p>
          <w:p>
            <w:pPr>
              <w:pStyle w:val="13"/>
              <w:rPr>
                <w:rFonts w:eastAsia="宋体"/>
                <w:color w:val="auto"/>
                <w:highlight w:val="none"/>
              </w:rPr>
            </w:pPr>
            <w:r>
              <w:rPr>
                <w:rFonts w:hint="eastAsia" w:ascii="宋体" w:hAnsi="宋体"/>
                <w:b/>
                <w:bCs/>
                <w:color w:val="auto"/>
                <w:sz w:val="21"/>
                <w:szCs w:val="21"/>
                <w:highlight w:val="none"/>
              </w:rPr>
              <w:t>提供相关证明材料。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0" w:type="auto"/>
            <w:vAlign w:val="center"/>
          </w:tcPr>
          <w:p>
            <w:pPr>
              <w:widowControl/>
              <w:jc w:val="center"/>
              <w:textAlignment w:val="center"/>
              <w:rPr>
                <w:rFonts w:ascii="宋体" w:hAnsi="宋体" w:eastAsia="宋体" w:cs="宋体"/>
                <w:b/>
                <w:color w:val="auto"/>
                <w:kern w:val="0"/>
                <w:szCs w:val="21"/>
                <w:highlight w:val="none"/>
                <w:lang w:bidi="ar"/>
              </w:rPr>
            </w:pPr>
            <w:r>
              <w:rPr>
                <w:rFonts w:hint="eastAsia" w:ascii="宋体" w:hAnsi="宋体" w:eastAsia="宋体" w:cs="宋体"/>
                <w:b/>
                <w:color w:val="auto"/>
                <w:kern w:val="0"/>
                <w:szCs w:val="21"/>
                <w:highlight w:val="none"/>
                <w:lang w:bidi="ar"/>
              </w:rPr>
              <w:t>4</w:t>
            </w:r>
          </w:p>
        </w:tc>
        <w:tc>
          <w:tcPr>
            <w:tcW w:w="0" w:type="auto"/>
            <w:vAlign w:val="center"/>
          </w:tcPr>
          <w:p>
            <w:pPr>
              <w:widowControl/>
              <w:jc w:val="center"/>
              <w:textAlignment w:val="center"/>
              <w:rPr>
                <w:rFonts w:ascii="宋体" w:hAnsi="宋体" w:eastAsia="宋体" w:cs="宋体"/>
                <w:bCs/>
                <w:color w:val="auto"/>
                <w:szCs w:val="21"/>
                <w:highlight w:val="none"/>
              </w:rPr>
            </w:pPr>
            <w:r>
              <w:rPr>
                <w:rFonts w:hint="eastAsia" w:ascii="宋体" w:hAnsi="宋体" w:eastAsia="宋体" w:cs="宋体"/>
                <w:bCs/>
                <w:color w:val="auto"/>
                <w:kern w:val="0"/>
                <w:szCs w:val="21"/>
                <w:highlight w:val="none"/>
                <w:lang w:bidi="ar"/>
              </w:rPr>
              <w:t>绩效评价</w:t>
            </w:r>
            <w:r>
              <w:rPr>
                <w:rFonts w:hint="eastAsia" w:ascii="宋体" w:hAnsi="宋体" w:eastAsia="宋体" w:cs="宋体"/>
                <w:bCs/>
                <w:color w:val="auto"/>
                <w:kern w:val="0"/>
                <w:szCs w:val="21"/>
                <w:highlight w:val="none"/>
                <w:lang w:bidi="ar"/>
              </w:rPr>
              <w:br w:type="textWrapping"/>
            </w:r>
            <w:r>
              <w:rPr>
                <w:rFonts w:hint="eastAsia" w:ascii="宋体" w:hAnsi="宋体" w:eastAsia="宋体" w:cs="宋体"/>
                <w:bCs/>
                <w:color w:val="auto"/>
                <w:kern w:val="0"/>
                <w:szCs w:val="21"/>
                <w:highlight w:val="none"/>
                <w:lang w:bidi="ar"/>
              </w:rPr>
              <w:t>（25分）</w:t>
            </w:r>
          </w:p>
        </w:tc>
        <w:tc>
          <w:tcPr>
            <w:tcW w:w="0" w:type="auto"/>
            <w:vAlign w:val="center"/>
          </w:tcPr>
          <w:p>
            <w:pPr>
              <w:widowControl/>
              <w:jc w:val="center"/>
              <w:textAlignment w:val="center"/>
              <w:rPr>
                <w:rFonts w:ascii="宋体" w:hAnsi="宋体" w:eastAsia="宋体" w:cs="宋体"/>
                <w:bCs/>
                <w:color w:val="auto"/>
                <w:kern w:val="0"/>
                <w:szCs w:val="21"/>
                <w:highlight w:val="none"/>
                <w:lang w:bidi="ar"/>
              </w:rPr>
            </w:pPr>
            <w:r>
              <w:rPr>
                <w:rFonts w:hint="eastAsia" w:ascii="宋体" w:hAnsi="宋体" w:eastAsia="宋体" w:cs="宋体"/>
                <w:bCs/>
                <w:color w:val="auto"/>
                <w:kern w:val="0"/>
                <w:szCs w:val="21"/>
                <w:highlight w:val="none"/>
                <w:lang w:bidi="ar"/>
              </w:rPr>
              <w:t>绩效评价</w:t>
            </w:r>
          </w:p>
          <w:p>
            <w:pPr>
              <w:widowControl/>
              <w:jc w:val="center"/>
              <w:textAlignment w:val="center"/>
              <w:rPr>
                <w:rFonts w:ascii="宋体" w:hAnsi="宋体" w:eastAsia="宋体" w:cs="宋体"/>
                <w:bCs/>
                <w:color w:val="auto"/>
                <w:szCs w:val="21"/>
                <w:highlight w:val="none"/>
              </w:rPr>
            </w:pPr>
            <w:r>
              <w:rPr>
                <w:rFonts w:hint="eastAsia" w:ascii="宋体" w:hAnsi="宋体" w:eastAsia="宋体" w:cs="宋体"/>
                <w:bCs/>
                <w:color w:val="auto"/>
                <w:kern w:val="0"/>
                <w:szCs w:val="21"/>
                <w:highlight w:val="none"/>
                <w:lang w:bidi="ar"/>
              </w:rPr>
              <w:t>（25分）</w:t>
            </w:r>
          </w:p>
        </w:tc>
        <w:tc>
          <w:tcPr>
            <w:tcW w:w="0" w:type="auto"/>
            <w:vAlign w:val="center"/>
          </w:tcPr>
          <w:p>
            <w:pPr>
              <w:adjustRightInd w:val="0"/>
              <w:snapToGrid w:val="0"/>
              <w:spacing w:line="240" w:lineRule="atLeast"/>
              <w:jc w:val="left"/>
              <w:rPr>
                <w:rFonts w:ascii="宋体" w:hAnsi="宋体" w:eastAsia="宋体" w:cs="宋体"/>
                <w:bCs/>
                <w:color w:val="auto"/>
                <w:kern w:val="0"/>
                <w:szCs w:val="21"/>
                <w:highlight w:val="none"/>
              </w:rPr>
            </w:pPr>
            <w:r>
              <w:rPr>
                <w:rFonts w:hint="eastAsia" w:ascii="宋体" w:hAnsi="宋体" w:eastAsia="宋体" w:cs="宋体"/>
                <w:bCs/>
                <w:color w:val="auto"/>
                <w:kern w:val="0"/>
                <w:szCs w:val="21"/>
                <w:highlight w:val="none"/>
              </w:rPr>
              <w:t>按照最新一期相应绩效评价得分*0.25计算（得分按四舍五入保留两位小数），对于无绩效评价的投标人，根据投标文件重点考虑投标人在以往工程履约方面的表现，同时考虑投标人在履约协调、资源投入等方面的综合表现，根据评价结果并结合投标响应进行综合评价。未开展绩效评价阶段，绩效评价得分按100分计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0" w:type="auto"/>
            <w:vAlign w:val="center"/>
          </w:tcPr>
          <w:p>
            <w:pPr>
              <w:widowControl/>
              <w:snapToGrid w:val="0"/>
              <w:jc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5</w:t>
            </w:r>
          </w:p>
        </w:tc>
        <w:tc>
          <w:tcPr>
            <w:tcW w:w="0" w:type="auto"/>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风险评价</w:t>
            </w: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（-20-0）</w:t>
            </w:r>
          </w:p>
        </w:tc>
        <w:tc>
          <w:tcPr>
            <w:tcW w:w="0" w:type="auto"/>
            <w:vAlign w:val="center"/>
          </w:tcPr>
          <w:p>
            <w:pPr>
              <w:widowControl/>
              <w:snapToGrid w:val="0"/>
              <w:rPr>
                <w:rFonts w:ascii="宋体" w:hAnsi="宋体" w:eastAsia="宋体" w:cs="宋体"/>
                <w:color w:val="auto"/>
                <w:szCs w:val="21"/>
                <w:highlight w:val="none"/>
              </w:rPr>
            </w:pPr>
            <w:r>
              <w:rPr>
                <w:rFonts w:hint="eastAsia" w:ascii="宋体" w:hAnsi="宋体" w:eastAsia="宋体" w:cs="宋体"/>
                <w:color w:val="auto"/>
                <w:kern w:val="0"/>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无上述情形的，不扣分。</w:t>
            </w:r>
          </w:p>
        </w:tc>
      </w:tr>
    </w:tbl>
    <w:p>
      <w:pPr>
        <w:pStyle w:val="5"/>
        <w:rPr>
          <w:rFonts w:hint="eastAsia" w:eastAsia="宋体"/>
          <w:color w:val="auto"/>
          <w:highlight w:val="none"/>
          <w:lang w:eastAsia="zh-CN"/>
        </w:rPr>
      </w:pPr>
    </w:p>
    <w:p>
      <w:pPr>
        <w:ind w:firstLine="640" w:firstLineChars="200"/>
        <w:rPr>
          <w:rFonts w:ascii="方正仿宋_GBK" w:hAnsi="方正仿宋_GBK" w:eastAsia="方正仿宋_GBK" w:cs="方正仿宋_GBK"/>
          <w:bCs/>
          <w:color w:val="auto"/>
          <w:sz w:val="32"/>
          <w:szCs w:val="32"/>
          <w:highlight w:val="none"/>
        </w:rPr>
      </w:pPr>
      <w:r>
        <w:rPr>
          <w:rFonts w:hint="eastAsia" w:ascii="方正仿宋_GBK" w:hAnsi="方正仿宋_GBK" w:eastAsia="方正仿宋_GBK" w:cs="方正仿宋_GBK"/>
          <w:bCs/>
          <w:color w:val="auto"/>
          <w:sz w:val="32"/>
          <w:szCs w:val="32"/>
          <w:highlight w:val="none"/>
        </w:rPr>
        <w:t>工程保险</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801"/>
        <w:gridCol w:w="1537"/>
        <w:gridCol w:w="5659"/>
      </w:tblGrid>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576" w:hRule="atLeast"/>
          <w:tblHeader/>
          <w:jc w:val="center"/>
        </w:trPr>
        <w:tc>
          <w:tcPr>
            <w:tcW w:w="0" w:type="auto"/>
            <w:vAlign w:val="center"/>
          </w:tcPr>
          <w:p>
            <w:pPr>
              <w:widowControl/>
              <w:snapToGrid w:val="0"/>
              <w:spacing w:before="66" w:after="66"/>
              <w:jc w:val="center"/>
              <w:rPr>
                <w:rFonts w:ascii="宋体" w:hAnsi="宋体" w:eastAsia="宋体" w:cs="宋体"/>
                <w:b/>
                <w:color w:val="auto"/>
                <w:kern w:val="0"/>
                <w:szCs w:val="21"/>
                <w:highlight w:val="none"/>
              </w:rPr>
            </w:pPr>
            <w:r>
              <w:rPr>
                <w:rFonts w:hint="eastAsia" w:ascii="宋体" w:hAnsi="宋体" w:eastAsia="宋体" w:cs="宋体"/>
                <w:b/>
                <w:color w:val="auto"/>
                <w:spacing w:val="10"/>
                <w:kern w:val="0"/>
                <w:szCs w:val="21"/>
                <w:highlight w:val="none"/>
              </w:rPr>
              <w:t>序号</w:t>
            </w:r>
          </w:p>
        </w:tc>
        <w:tc>
          <w:tcPr>
            <w:tcW w:w="0" w:type="auto"/>
            <w:vAlign w:val="center"/>
          </w:tcPr>
          <w:p>
            <w:pPr>
              <w:widowControl/>
              <w:snapToGrid w:val="0"/>
              <w:spacing w:before="66" w:after="66"/>
              <w:jc w:val="center"/>
              <w:rPr>
                <w:rFonts w:ascii="宋体" w:hAnsi="宋体" w:eastAsia="宋体" w:cs="宋体"/>
                <w:b/>
                <w:color w:val="auto"/>
                <w:kern w:val="0"/>
                <w:szCs w:val="21"/>
                <w:highlight w:val="none"/>
              </w:rPr>
            </w:pPr>
            <w:r>
              <w:rPr>
                <w:rFonts w:hint="eastAsia" w:ascii="宋体" w:hAnsi="宋体" w:eastAsia="宋体" w:cs="宋体"/>
                <w:b/>
                <w:color w:val="auto"/>
                <w:spacing w:val="10"/>
                <w:kern w:val="0"/>
                <w:szCs w:val="21"/>
                <w:highlight w:val="none"/>
              </w:rPr>
              <w:t>分类</w:t>
            </w:r>
          </w:p>
        </w:tc>
        <w:tc>
          <w:tcPr>
            <w:tcW w:w="0" w:type="auto"/>
            <w:vAlign w:val="center"/>
          </w:tcPr>
          <w:p>
            <w:pPr>
              <w:widowControl/>
              <w:snapToGrid w:val="0"/>
              <w:spacing w:before="66" w:after="66"/>
              <w:jc w:val="center"/>
              <w:rPr>
                <w:rFonts w:ascii="宋体" w:hAnsi="宋体" w:eastAsia="宋体" w:cs="宋体"/>
                <w:b/>
                <w:bCs/>
                <w:color w:val="auto"/>
                <w:kern w:val="0"/>
                <w:szCs w:val="21"/>
                <w:highlight w:val="none"/>
              </w:rPr>
            </w:pPr>
            <w:r>
              <w:rPr>
                <w:rFonts w:hint="eastAsia" w:ascii="宋体" w:hAnsi="宋体" w:eastAsia="宋体" w:cs="宋体"/>
                <w:b/>
                <w:color w:val="auto"/>
                <w:spacing w:val="10"/>
                <w:kern w:val="0"/>
                <w:szCs w:val="21"/>
                <w:highlight w:val="none"/>
              </w:rPr>
              <w:t>评审内容及分值</w:t>
            </w:r>
          </w:p>
        </w:tc>
        <w:tc>
          <w:tcPr>
            <w:tcW w:w="0" w:type="auto"/>
            <w:vAlign w:val="center"/>
          </w:tcPr>
          <w:p>
            <w:pPr>
              <w:widowControl/>
              <w:snapToGrid w:val="0"/>
              <w:spacing w:before="66" w:after="66"/>
              <w:jc w:val="center"/>
              <w:rPr>
                <w:rFonts w:ascii="宋体" w:hAnsi="宋体" w:eastAsia="宋体" w:cs="宋体"/>
                <w:b/>
                <w:bCs/>
                <w:color w:val="auto"/>
                <w:kern w:val="0"/>
                <w:szCs w:val="21"/>
                <w:highlight w:val="none"/>
              </w:rPr>
            </w:pPr>
            <w:r>
              <w:rPr>
                <w:rFonts w:hint="eastAsia" w:ascii="宋体" w:hAnsi="宋体" w:eastAsia="宋体" w:cs="宋体"/>
                <w:b/>
                <w:color w:val="auto"/>
                <w:spacing w:val="10"/>
                <w:kern w:val="0"/>
                <w:szCs w:val="21"/>
                <w:highlight w:val="none"/>
              </w:rPr>
              <w:t>项目内容</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1</w:t>
            </w:r>
          </w:p>
        </w:tc>
        <w:tc>
          <w:tcPr>
            <w:tcW w:w="0" w:type="auto"/>
            <w:vMerge w:val="restart"/>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技术水平</w:t>
            </w:r>
          </w:p>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（30分）</w:t>
            </w: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风险认知</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根据对项目风险识别、分析的全面细致程度进行评分。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项目风险识别与分析全面细致。5分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项目风险识别与分析较为全面细致。4分</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不能全面准确识别项目风险，分析不够细致。3分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风险规划</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根据风险管理规划及措施的可操作性，以及是否与项目特点和投保险种相结合进行评分。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能够紧密结合项目特点和投保险种，制定完善的风险管理规划，风险管理措施可操作性强。5分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能够较为紧密结合项目特点和投保险种，制定较为完善的风险管理规划，风险管理措施可操作性较强。4分</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能够结合项目特点和投保险种，制定风险管理规划，风险管理措施具有一定的可操作性。3分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承保能力</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根据资本金与公积金之和进行评分。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资本金与公积金之和在100亿元（含）以上。5分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资本金与公积金之和在50亿（含）-100亿元之间。4分</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资本金与公积金之和在50亿以下。3分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偿付能力</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根据偿付能力充足率进行评分。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偿付能力充足率高于150%（含）。5分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偿付能力充足率在100%（含）-150%之间。4分</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偿付能力充足率低于100%以下。3分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818"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再保险合同</w:t>
            </w:r>
          </w:p>
          <w:p>
            <w:pPr>
              <w:pStyle w:val="17"/>
              <w:snapToGrid w:val="0"/>
              <w:ind w:firstLine="0"/>
              <w:jc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根据再保险的合作情况及再保险合同签署情况进行评分。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合作再保险公司、再保险经纪公司</w:t>
            </w:r>
            <w:r>
              <w:rPr>
                <w:rFonts w:hint="eastAsia" w:ascii="宋体" w:hAnsi="宋体" w:cs="宋体"/>
                <w:b/>
                <w:bCs/>
                <w:color w:val="auto"/>
                <w:kern w:val="0"/>
                <w:szCs w:val="21"/>
                <w:highlight w:val="none"/>
              </w:rPr>
              <w:t>合计</w:t>
            </w:r>
            <w:r>
              <w:rPr>
                <w:rFonts w:hint="eastAsia" w:ascii="宋体" w:hAnsi="宋体" w:eastAsia="宋体" w:cs="宋体"/>
                <w:b/>
                <w:bCs/>
                <w:color w:val="auto"/>
                <w:kern w:val="0"/>
                <w:szCs w:val="21"/>
                <w:highlight w:val="none"/>
              </w:rPr>
              <w:t>数量</w:t>
            </w:r>
            <w:r>
              <w:rPr>
                <w:rFonts w:hint="eastAsia" w:ascii="宋体" w:hAnsi="宋体" w:cs="宋体"/>
                <w:b/>
                <w:bCs/>
                <w:color w:val="auto"/>
                <w:kern w:val="0"/>
                <w:szCs w:val="21"/>
                <w:highlight w:val="none"/>
              </w:rPr>
              <w:t>10家（含）以上</w:t>
            </w:r>
            <w:r>
              <w:rPr>
                <w:rFonts w:hint="eastAsia" w:ascii="宋体" w:hAnsi="宋体" w:eastAsia="宋体" w:cs="宋体"/>
                <w:b/>
                <w:bCs/>
                <w:color w:val="auto"/>
                <w:kern w:val="0"/>
                <w:szCs w:val="21"/>
                <w:highlight w:val="none"/>
              </w:rPr>
              <w:t xml:space="preserve">。5分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合作再保险公司、再保险经纪公司</w:t>
            </w:r>
            <w:r>
              <w:rPr>
                <w:rFonts w:hint="eastAsia" w:ascii="宋体" w:hAnsi="宋体" w:cs="宋体"/>
                <w:b/>
                <w:bCs/>
                <w:color w:val="auto"/>
                <w:kern w:val="0"/>
                <w:szCs w:val="21"/>
                <w:highlight w:val="none"/>
              </w:rPr>
              <w:t>合计</w:t>
            </w:r>
            <w:r>
              <w:rPr>
                <w:rFonts w:hint="eastAsia" w:ascii="宋体" w:hAnsi="宋体" w:eastAsia="宋体" w:cs="宋体"/>
                <w:b/>
                <w:bCs/>
                <w:color w:val="auto"/>
                <w:kern w:val="0"/>
                <w:szCs w:val="21"/>
                <w:highlight w:val="none"/>
              </w:rPr>
              <w:t>数量</w:t>
            </w:r>
            <w:r>
              <w:rPr>
                <w:rFonts w:hint="eastAsia" w:ascii="宋体" w:hAnsi="宋体" w:cs="宋体"/>
                <w:b/>
                <w:bCs/>
                <w:color w:val="auto"/>
                <w:kern w:val="0"/>
                <w:szCs w:val="21"/>
                <w:highlight w:val="none"/>
              </w:rPr>
              <w:t>5家（含）-9家</w:t>
            </w:r>
            <w:r>
              <w:rPr>
                <w:rFonts w:hint="eastAsia" w:ascii="宋体" w:hAnsi="宋体" w:eastAsia="宋体" w:cs="宋体"/>
                <w:b/>
                <w:bCs/>
                <w:color w:val="auto"/>
                <w:kern w:val="0"/>
                <w:szCs w:val="21"/>
                <w:highlight w:val="none"/>
              </w:rPr>
              <w:t xml:space="preserve">。4分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合作再保险公司、再保险经纪公司</w:t>
            </w:r>
            <w:r>
              <w:rPr>
                <w:rFonts w:hint="eastAsia" w:ascii="宋体" w:hAnsi="宋体" w:cs="宋体"/>
                <w:b/>
                <w:bCs/>
                <w:color w:val="auto"/>
                <w:kern w:val="0"/>
                <w:szCs w:val="21"/>
                <w:highlight w:val="none"/>
              </w:rPr>
              <w:t>合计</w:t>
            </w:r>
            <w:r>
              <w:rPr>
                <w:rFonts w:hint="eastAsia" w:ascii="宋体" w:hAnsi="宋体" w:eastAsia="宋体" w:cs="宋体"/>
                <w:b/>
                <w:bCs/>
                <w:color w:val="auto"/>
                <w:kern w:val="0"/>
                <w:szCs w:val="21"/>
                <w:highlight w:val="none"/>
              </w:rPr>
              <w:t>数量</w:t>
            </w:r>
            <w:r>
              <w:rPr>
                <w:rFonts w:hint="eastAsia" w:ascii="宋体" w:hAnsi="宋体" w:cs="宋体"/>
                <w:b/>
                <w:bCs/>
                <w:color w:val="auto"/>
                <w:kern w:val="0"/>
                <w:szCs w:val="21"/>
                <w:highlight w:val="none"/>
              </w:rPr>
              <w:t>5家以下</w:t>
            </w:r>
            <w:r>
              <w:rPr>
                <w:rFonts w:hint="eastAsia" w:ascii="宋体" w:hAnsi="宋体" w:eastAsia="宋体" w:cs="宋体"/>
                <w:b/>
                <w:bCs/>
                <w:color w:val="auto"/>
                <w:kern w:val="0"/>
                <w:szCs w:val="21"/>
                <w:highlight w:val="none"/>
              </w:rPr>
              <w:t>。3</w:t>
            </w:r>
            <w:r>
              <w:rPr>
                <w:rFonts w:hint="eastAsia" w:ascii="宋体" w:hAnsi="宋体" w:cs="宋体"/>
                <w:b/>
                <w:bCs/>
                <w:color w:val="auto"/>
                <w:kern w:val="0"/>
                <w:szCs w:val="21"/>
                <w:highlight w:val="none"/>
              </w:rPr>
              <w:t>分</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cs="宋体"/>
                <w:b/>
                <w:bCs/>
                <w:color w:val="auto"/>
                <w:kern w:val="0"/>
                <w:szCs w:val="21"/>
                <w:highlight w:val="none"/>
              </w:rPr>
              <w:t>再保险合同保障需全面（全面指有明确的再保安排方式、再保覆盖的险种），若再保险合同保障不全面扣1分。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再保险安排</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根据本项目再保险安排计划方案的合理性与可行性，是否能够满足项目风险转嫁需求的情况进行评分。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对本项目再保险计划方案合理、可行性高，能够全面满足项目风险转嫁需求。5分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对本项目再保险计划方案合理、可行性较高，能够基本满足项目风险转嫁需求。4分 </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对本项目再保险计划方案不够合理、可行性一般，不太满足项目风险转嫁需求。3分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2</w:t>
            </w:r>
          </w:p>
        </w:tc>
        <w:tc>
          <w:tcPr>
            <w:tcW w:w="0" w:type="auto"/>
            <w:vMerge w:val="restart"/>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szCs w:val="21"/>
                <w:highlight w:val="none"/>
              </w:rPr>
              <w:t>团队配置</w:t>
            </w:r>
          </w:p>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szCs w:val="21"/>
                <w:highlight w:val="none"/>
              </w:rPr>
              <w:t>（35分）</w:t>
            </w: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服务团队</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根据服务团队人员构成、获奖情况、服务经验、服务流程与职责分工，以及针对项目属地服务覆盖情况进行评分。</w:t>
            </w:r>
          </w:p>
          <w:p>
            <w:pPr>
              <w:widowControl/>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服务团队人员构成广泛、服务经验丰富、服务流程完善、职责分工明确。5分 </w:t>
            </w:r>
          </w:p>
          <w:p>
            <w:pPr>
              <w:widowControl/>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服务团队人员构成相对广泛、服务经验相对丰富、服务流程相对完善、职责分工较为明确。4分 </w:t>
            </w:r>
          </w:p>
          <w:p>
            <w:pP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服务团队人员构成单一、服务经验欠缺、服务流程不够完善、职责分工不够明确。3分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PrEx>
        <w:trPr>
          <w:trHeight w:val="90"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承保经验</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（15分）</w:t>
            </w:r>
          </w:p>
        </w:tc>
        <w:tc>
          <w:tcPr>
            <w:tcW w:w="0" w:type="auto"/>
          </w:tcPr>
          <w:p>
            <w:pPr>
              <w:widowControl/>
              <w:jc w:val="left"/>
              <w:textAlignment w:val="center"/>
              <w:rPr>
                <w:rFonts w:ascii="宋体" w:hAnsi="宋体" w:eastAsia="宋体" w:cs="宋体"/>
                <w:bCs/>
                <w:color w:val="auto"/>
                <w:kern w:val="0"/>
                <w:szCs w:val="21"/>
                <w:highlight w:val="none"/>
              </w:rPr>
            </w:pPr>
            <w:r>
              <w:rPr>
                <w:rFonts w:hint="eastAsia" w:ascii="宋体" w:hAnsi="宋体" w:eastAsia="宋体" w:cs="宋体"/>
                <w:bCs/>
                <w:color w:val="auto"/>
                <w:kern w:val="0"/>
                <w:szCs w:val="21"/>
                <w:highlight w:val="none"/>
              </w:rPr>
              <w:t>根据近五年同类保险险种承保数量、承保金额等承保经验情况进行评分。</w:t>
            </w:r>
          </w:p>
          <w:p>
            <w:pPr>
              <w:widowControl/>
              <w:jc w:val="left"/>
              <w:textAlignment w:val="center"/>
              <w:rPr>
                <w:rFonts w:ascii="宋体" w:hAnsi="宋体" w:eastAsia="宋体" w:cs="宋体"/>
                <w:b/>
                <w:color w:val="auto"/>
                <w:kern w:val="0"/>
                <w:szCs w:val="21"/>
                <w:highlight w:val="none"/>
              </w:rPr>
            </w:pPr>
            <w:r>
              <w:rPr>
                <w:rFonts w:hint="eastAsia" w:ascii="宋体" w:hAnsi="宋体" w:eastAsia="宋体" w:cs="宋体"/>
                <w:b/>
                <w:color w:val="auto"/>
                <w:kern w:val="0"/>
                <w:szCs w:val="21"/>
                <w:highlight w:val="none"/>
              </w:rPr>
              <w:t>累计承保金额排</w:t>
            </w:r>
            <w:r>
              <w:rPr>
                <w:rFonts w:hint="eastAsia" w:ascii="宋体" w:hAnsi="宋体" w:cs="宋体"/>
                <w:b/>
                <w:color w:val="auto"/>
                <w:kern w:val="0"/>
                <w:szCs w:val="21"/>
                <w:highlight w:val="none"/>
              </w:rPr>
              <w:t>序为前30%（含）的</w:t>
            </w:r>
            <w:r>
              <w:rPr>
                <w:rFonts w:hint="eastAsia" w:ascii="宋体" w:hAnsi="宋体" w:eastAsia="宋体" w:cs="宋体"/>
                <w:b/>
                <w:color w:val="auto"/>
                <w:kern w:val="0"/>
                <w:szCs w:val="21"/>
                <w:highlight w:val="none"/>
              </w:rPr>
              <w:t>，如承保数量高于各投标人平均承保数量得15分，如承保数量低于各投标人平均承保数量得14分；</w:t>
            </w:r>
          </w:p>
          <w:p>
            <w:pPr>
              <w:widowControl/>
              <w:jc w:val="left"/>
              <w:textAlignment w:val="center"/>
              <w:rPr>
                <w:rFonts w:ascii="宋体" w:hAnsi="宋体" w:eastAsia="宋体" w:cs="宋体"/>
                <w:b/>
                <w:color w:val="auto"/>
                <w:kern w:val="0"/>
                <w:szCs w:val="21"/>
                <w:highlight w:val="none"/>
              </w:rPr>
            </w:pPr>
            <w:r>
              <w:rPr>
                <w:rFonts w:hint="eastAsia" w:ascii="宋体" w:hAnsi="宋体" w:eastAsia="宋体" w:cs="宋体"/>
                <w:b/>
                <w:color w:val="auto"/>
                <w:kern w:val="0"/>
                <w:szCs w:val="21"/>
                <w:highlight w:val="none"/>
              </w:rPr>
              <w:t>累计承保金额排</w:t>
            </w:r>
            <w:r>
              <w:rPr>
                <w:rFonts w:hint="eastAsia" w:ascii="宋体" w:hAnsi="宋体" w:cs="宋体"/>
                <w:b/>
                <w:color w:val="auto"/>
                <w:kern w:val="0"/>
                <w:szCs w:val="21"/>
                <w:highlight w:val="none"/>
              </w:rPr>
              <w:t>序为前30%（不含）-70%（含）的</w:t>
            </w:r>
            <w:r>
              <w:rPr>
                <w:rFonts w:hint="eastAsia" w:ascii="宋体" w:hAnsi="宋体" w:eastAsia="宋体" w:cs="宋体"/>
                <w:b/>
                <w:color w:val="auto"/>
                <w:kern w:val="0"/>
                <w:szCs w:val="21"/>
                <w:highlight w:val="none"/>
              </w:rPr>
              <w:t>，如承保数量高于各投标人平均承保数量得13分，如承保数量低于各投标人平均承保数量得12分；</w:t>
            </w:r>
          </w:p>
          <w:p>
            <w:pPr>
              <w:rPr>
                <w:rFonts w:ascii="宋体" w:hAnsi="宋体" w:eastAsia="宋体" w:cs="宋体"/>
                <w:color w:val="auto"/>
                <w:kern w:val="0"/>
                <w:szCs w:val="21"/>
                <w:highlight w:val="none"/>
              </w:rPr>
            </w:pPr>
            <w:r>
              <w:rPr>
                <w:rFonts w:hint="eastAsia" w:ascii="宋体" w:hAnsi="宋体" w:eastAsia="宋体" w:cs="宋体"/>
                <w:b/>
                <w:color w:val="auto"/>
                <w:kern w:val="0"/>
                <w:szCs w:val="21"/>
                <w:highlight w:val="none"/>
              </w:rPr>
              <w:t>累计承保金额在投标人中</w:t>
            </w:r>
            <w:r>
              <w:rPr>
                <w:rFonts w:hint="eastAsia" w:ascii="宋体" w:hAnsi="宋体" w:cs="宋体"/>
                <w:b/>
                <w:color w:val="auto"/>
                <w:kern w:val="0"/>
                <w:szCs w:val="21"/>
                <w:highlight w:val="none"/>
              </w:rPr>
              <w:t>剩余排序的</w:t>
            </w:r>
            <w:r>
              <w:rPr>
                <w:rFonts w:hint="eastAsia" w:ascii="宋体" w:hAnsi="宋体" w:eastAsia="宋体" w:cs="宋体"/>
                <w:b/>
                <w:color w:val="auto"/>
                <w:kern w:val="0"/>
                <w:szCs w:val="21"/>
                <w:highlight w:val="none"/>
              </w:rPr>
              <w:t>，如承保数量高于各投标人平均承保数量得11分，如承保数量低于各投标人平均承保数量得10分。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理赔经验</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（15分）</w:t>
            </w:r>
          </w:p>
        </w:tc>
        <w:tc>
          <w:tcPr>
            <w:tcW w:w="0" w:type="auto"/>
          </w:tcPr>
          <w:p>
            <w:pPr>
              <w:widowControl/>
              <w:jc w:val="left"/>
              <w:textAlignment w:val="center"/>
              <w:rPr>
                <w:rFonts w:ascii="宋体" w:hAnsi="宋体" w:eastAsia="宋体" w:cs="宋体"/>
                <w:bCs/>
                <w:color w:val="auto"/>
                <w:kern w:val="0"/>
                <w:szCs w:val="21"/>
                <w:highlight w:val="none"/>
              </w:rPr>
            </w:pPr>
            <w:r>
              <w:rPr>
                <w:rFonts w:hint="eastAsia" w:ascii="宋体" w:hAnsi="宋体" w:eastAsia="宋体" w:cs="宋体"/>
                <w:bCs/>
                <w:color w:val="auto"/>
                <w:kern w:val="0"/>
                <w:szCs w:val="21"/>
                <w:highlight w:val="none"/>
              </w:rPr>
              <w:t>根据近五年同类保险险种理赔案件赔付金额大小、赔付周期长短等理赔经验情况进行评分。</w:t>
            </w:r>
          </w:p>
          <w:p>
            <w:pPr>
              <w:widowControl/>
              <w:jc w:val="left"/>
              <w:textAlignment w:val="center"/>
              <w:rPr>
                <w:rFonts w:ascii="宋体" w:hAnsi="宋体" w:eastAsia="宋体" w:cs="宋体"/>
                <w:b/>
                <w:color w:val="auto"/>
                <w:kern w:val="0"/>
                <w:szCs w:val="21"/>
                <w:highlight w:val="none"/>
              </w:rPr>
            </w:pPr>
            <w:r>
              <w:rPr>
                <w:rFonts w:hint="eastAsia" w:ascii="宋体" w:hAnsi="宋体" w:eastAsia="宋体" w:cs="宋体"/>
                <w:b/>
                <w:color w:val="auto"/>
                <w:kern w:val="0"/>
                <w:szCs w:val="21"/>
                <w:highlight w:val="none"/>
              </w:rPr>
              <w:t>累计赔付金额在投标人中排名第一，如平均赔付周期低于各投标人平均赔付周期得15分，如赔付周期高于各投标人平均赔付周期得14分；</w:t>
            </w:r>
          </w:p>
          <w:p>
            <w:pPr>
              <w:widowControl/>
              <w:jc w:val="left"/>
              <w:textAlignment w:val="center"/>
              <w:rPr>
                <w:rFonts w:ascii="宋体" w:hAnsi="宋体" w:eastAsia="宋体" w:cs="宋体"/>
                <w:b/>
                <w:color w:val="auto"/>
                <w:kern w:val="0"/>
                <w:szCs w:val="21"/>
                <w:highlight w:val="none"/>
              </w:rPr>
            </w:pPr>
            <w:r>
              <w:rPr>
                <w:rFonts w:hint="eastAsia" w:ascii="宋体" w:hAnsi="宋体" w:eastAsia="宋体" w:cs="宋体"/>
                <w:b/>
                <w:color w:val="auto"/>
                <w:kern w:val="0"/>
                <w:szCs w:val="21"/>
                <w:highlight w:val="none"/>
              </w:rPr>
              <w:t>累计赔付金额在投标人中排名第二至倒数第二名的，如平均赔付周期低于各投标人平均赔付周期得13分，如赔付周期高于各投标人平均赔付周期得12分；</w:t>
            </w:r>
          </w:p>
          <w:p>
            <w:pPr>
              <w:rPr>
                <w:rFonts w:ascii="宋体" w:hAnsi="宋体" w:eastAsia="宋体" w:cs="宋体"/>
                <w:color w:val="auto"/>
                <w:kern w:val="0"/>
                <w:szCs w:val="21"/>
                <w:highlight w:val="none"/>
              </w:rPr>
            </w:pPr>
            <w:r>
              <w:rPr>
                <w:rFonts w:hint="eastAsia" w:ascii="宋体" w:hAnsi="宋体" w:eastAsia="宋体" w:cs="宋体"/>
                <w:b/>
                <w:color w:val="auto"/>
                <w:kern w:val="0"/>
                <w:szCs w:val="21"/>
                <w:highlight w:val="none"/>
              </w:rPr>
              <w:t>累计赔付金额在投标人中排名最后一名，如平均赔付周期低于各投标人平均赔付周期得11分，如赔付周期高于各投标人平均赔付周期得10分。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vMerge w:val="restart"/>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3</w:t>
            </w:r>
          </w:p>
        </w:tc>
        <w:tc>
          <w:tcPr>
            <w:tcW w:w="0" w:type="auto"/>
            <w:vMerge w:val="restart"/>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质量控制</w:t>
            </w:r>
          </w:p>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（25分）</w:t>
            </w: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出单服务</w:t>
            </w:r>
          </w:p>
          <w:p>
            <w:pPr>
              <w:pStyle w:val="17"/>
              <w:snapToGrid w:val="0"/>
              <w:ind w:firstLine="0"/>
              <w:jc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根据保险公司针对工程项目涉及多省的特点，提供承保出单服务的合规性、可行性、便捷性，投保资料简化情况以及出单承诺时限进行评分。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承保出单合规性、可行性、便捷性高，投保资料简洁有效，出单承诺完成时效性高。5分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承保出单合规性、可行性、便捷性相对较高，投保资料相对简洁，出单承诺完成时效性较高。4分 </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承保出单合规性、可行性、便捷性一般，投保资料复杂，出单承诺完成时效性较差。3分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Merge w:val="restart"/>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理赔服务</w:t>
            </w:r>
          </w:p>
          <w:p>
            <w:pPr>
              <w:pStyle w:val="18"/>
              <w:snapToGrid w:val="0"/>
              <w:ind w:left="0"/>
              <w:rPr>
                <w:rFonts w:ascii="宋体" w:hAnsi="宋体" w:eastAsia="宋体" w:cs="宋体"/>
                <w:color w:val="auto"/>
                <w:szCs w:val="21"/>
                <w:highlight w:val="none"/>
              </w:rPr>
            </w:pPr>
            <w:r>
              <w:rPr>
                <w:rFonts w:hint="eastAsia" w:ascii="宋体" w:hAnsi="宋体" w:eastAsia="宋体" w:cs="宋体"/>
                <w:color w:val="auto"/>
                <w:kern w:val="0"/>
                <w:szCs w:val="21"/>
                <w:highlight w:val="none"/>
              </w:rPr>
              <w:t>（10分）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根据理赔服务流程设置的便捷性，理赔处理的时效性进行评分。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保险公司赔案处理单位理赔权限高、内部审批环节少，理赔服务流程便捷，理赔处理时效性高。4分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保险公司赔案处理单位理赔权限较高、内部审批环节较少，理赔服务流程较为便捷，理赔处理时效性相对较高。3分 </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保险公司赔案处理单位理赔权限低、内部审批环节多，理赔服务流程复杂，理赔处理时效性一般。2分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Merge w:val="continue"/>
            <w:vAlign w:val="center"/>
          </w:tcPr>
          <w:p>
            <w:pPr>
              <w:pStyle w:val="17"/>
              <w:snapToGrid w:val="0"/>
              <w:ind w:firstLine="0"/>
              <w:rPr>
                <w:rFonts w:ascii="宋体" w:hAnsi="宋体" w:eastAsia="宋体" w:cs="宋体"/>
                <w:color w:val="auto"/>
                <w:kern w:val="0"/>
                <w:szCs w:val="21"/>
                <w:highlight w:val="none"/>
              </w:rPr>
            </w:pP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根据理赔资料清单的简洁性进行评分，理赔所需资料越简易得分越高。</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理赔资料清单的简洁。3分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理赔资料清单的较为简洁。2分 </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理赔资料清单的复杂。1分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1256"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Merge w:val="continue"/>
            <w:vAlign w:val="center"/>
          </w:tcPr>
          <w:p>
            <w:pPr>
              <w:pStyle w:val="17"/>
              <w:snapToGrid w:val="0"/>
              <w:ind w:firstLine="0"/>
              <w:rPr>
                <w:rFonts w:ascii="宋体" w:hAnsi="宋体" w:eastAsia="宋体" w:cs="宋体"/>
                <w:color w:val="auto"/>
                <w:kern w:val="0"/>
                <w:szCs w:val="21"/>
                <w:highlight w:val="none"/>
              </w:rPr>
            </w:pP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根据针对本项目理赔政策的宽松性和优惠程度等其它理赔服务承诺进行评分。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针对本项目给予的理赔优惠政策，相较其他投标人更宽松。3分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针对本项目给予一定优惠程度的理赔政策。2分 </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承诺理赔政策较为严格，无法给予优惠政策。1分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保险培训</w:t>
            </w:r>
          </w:p>
          <w:p>
            <w:pPr>
              <w:widowControl/>
              <w:snapToGrid w:val="0"/>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根据提供的</w:t>
            </w:r>
            <w:r>
              <w:rPr>
                <w:rFonts w:hint="eastAsia" w:ascii="宋体" w:hAnsi="宋体" w:cs="宋体"/>
                <w:color w:val="auto"/>
                <w:kern w:val="0"/>
                <w:szCs w:val="21"/>
                <w:highlight w:val="none"/>
              </w:rPr>
              <w:t>保险</w:t>
            </w:r>
            <w:r>
              <w:rPr>
                <w:rFonts w:hint="eastAsia" w:ascii="宋体" w:hAnsi="宋体" w:eastAsia="宋体" w:cs="宋体"/>
                <w:color w:val="auto"/>
                <w:kern w:val="0"/>
                <w:szCs w:val="21"/>
                <w:highlight w:val="none"/>
              </w:rPr>
              <w:t>培训服务</w:t>
            </w:r>
            <w:r>
              <w:rPr>
                <w:rFonts w:hint="eastAsia" w:ascii="宋体" w:hAnsi="宋体" w:cs="宋体"/>
                <w:color w:val="auto"/>
                <w:kern w:val="0"/>
                <w:szCs w:val="21"/>
                <w:highlight w:val="none"/>
              </w:rPr>
              <w:t>次数</w:t>
            </w:r>
            <w:r>
              <w:rPr>
                <w:rFonts w:hint="eastAsia" w:ascii="宋体" w:hAnsi="宋体" w:eastAsia="宋体" w:cs="宋体"/>
                <w:color w:val="auto"/>
                <w:kern w:val="0"/>
                <w:szCs w:val="21"/>
                <w:highlight w:val="none"/>
              </w:rPr>
              <w:t>和明确性进行评分。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cs="宋体"/>
                <w:b/>
                <w:bCs/>
                <w:color w:val="auto"/>
                <w:kern w:val="0"/>
                <w:szCs w:val="21"/>
                <w:highlight w:val="none"/>
              </w:rPr>
              <w:t>保险培训服务次数4次（含）及以上</w:t>
            </w:r>
            <w:r>
              <w:rPr>
                <w:rFonts w:hint="eastAsia" w:ascii="宋体" w:hAnsi="宋体" w:eastAsia="宋体" w:cs="宋体"/>
                <w:b/>
                <w:bCs/>
                <w:color w:val="auto"/>
                <w:kern w:val="0"/>
                <w:szCs w:val="21"/>
                <w:highlight w:val="none"/>
              </w:rPr>
              <w:t xml:space="preserve">。5分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cs="宋体"/>
                <w:b/>
                <w:bCs/>
                <w:color w:val="auto"/>
                <w:kern w:val="0"/>
                <w:szCs w:val="21"/>
                <w:highlight w:val="none"/>
              </w:rPr>
              <w:t>保险培训服务次数3次</w:t>
            </w:r>
            <w:r>
              <w:rPr>
                <w:rFonts w:hint="eastAsia" w:ascii="宋体" w:hAnsi="宋体" w:eastAsia="宋体" w:cs="宋体"/>
                <w:b/>
                <w:bCs/>
                <w:color w:val="auto"/>
                <w:kern w:val="0"/>
                <w:szCs w:val="21"/>
                <w:highlight w:val="none"/>
              </w:rPr>
              <w:t xml:space="preserve">。4分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cs="宋体"/>
                <w:b/>
                <w:bCs/>
                <w:color w:val="auto"/>
                <w:kern w:val="0"/>
                <w:szCs w:val="21"/>
                <w:highlight w:val="none"/>
              </w:rPr>
              <w:t>保险培训服务次数2次</w:t>
            </w:r>
            <w:r>
              <w:rPr>
                <w:rFonts w:hint="eastAsia" w:ascii="宋体" w:hAnsi="宋体" w:eastAsia="宋体" w:cs="宋体"/>
                <w:b/>
                <w:bCs/>
                <w:color w:val="auto"/>
                <w:kern w:val="0"/>
                <w:szCs w:val="21"/>
                <w:highlight w:val="none"/>
              </w:rPr>
              <w:t>。3</w:t>
            </w:r>
            <w:r>
              <w:rPr>
                <w:rFonts w:hint="eastAsia" w:ascii="宋体" w:hAnsi="宋体" w:cs="宋体"/>
                <w:b/>
                <w:bCs/>
                <w:color w:val="auto"/>
                <w:kern w:val="0"/>
                <w:szCs w:val="21"/>
                <w:highlight w:val="none"/>
              </w:rPr>
              <w:t>分</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cs="宋体"/>
                <w:b/>
                <w:bCs/>
                <w:color w:val="auto"/>
                <w:kern w:val="0"/>
                <w:szCs w:val="21"/>
                <w:highlight w:val="none"/>
              </w:rPr>
              <w:t>保险培训服务需有</w:t>
            </w:r>
            <w:r>
              <w:rPr>
                <w:rFonts w:hint="eastAsia" w:ascii="宋体" w:hAnsi="宋体" w:eastAsia="宋体" w:cs="宋体"/>
                <w:b/>
                <w:bCs/>
                <w:color w:val="auto"/>
                <w:kern w:val="0"/>
                <w:szCs w:val="21"/>
                <w:highlight w:val="none"/>
              </w:rPr>
              <w:t>明确</w:t>
            </w:r>
            <w:r>
              <w:rPr>
                <w:rFonts w:hint="eastAsia" w:ascii="宋体" w:hAnsi="宋体" w:cs="宋体"/>
                <w:b/>
                <w:bCs/>
                <w:color w:val="auto"/>
                <w:kern w:val="0"/>
                <w:szCs w:val="21"/>
                <w:highlight w:val="none"/>
              </w:rPr>
              <w:t>的培训对象及培训内容，若培训对象及培训内容不够明确扣1分。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b/>
                <w:bCs/>
                <w:color w:val="auto"/>
                <w:kern w:val="0"/>
                <w:szCs w:val="21"/>
                <w:highlight w:val="none"/>
              </w:rPr>
            </w:pP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增值服务</w:t>
            </w:r>
          </w:p>
          <w:p>
            <w:pPr>
              <w:pStyle w:val="17"/>
              <w:snapToGrid w:val="0"/>
              <w:ind w:firstLine="0"/>
              <w:jc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根据提供防灾防损服务及其他增值服务的实用性与可行性进行评分。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防灾防损服务与其他增值服务方案完善、实用性高。5分 </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 xml:space="preserve">防灾防损服务与其他增值服务方案较为完善、实用性较高。4分 </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防灾防损服务与其他增值服务方案简单、实用性一般。3分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4</w:t>
            </w:r>
          </w:p>
        </w:tc>
        <w:tc>
          <w:tcPr>
            <w:tcW w:w="0" w:type="auto"/>
            <w:vMerge w:val="restart"/>
            <w:vAlign w:val="center"/>
          </w:tcPr>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szCs w:val="21"/>
                <w:highlight w:val="none"/>
              </w:rPr>
              <w:t>综合评价</w:t>
            </w:r>
          </w:p>
          <w:p>
            <w:pPr>
              <w:widowControl/>
              <w:snapToGrid w:val="0"/>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szCs w:val="21"/>
                <w:highlight w:val="none"/>
              </w:rPr>
              <w:t>（10分）</w:t>
            </w:r>
          </w:p>
        </w:tc>
        <w:tc>
          <w:tcPr>
            <w:tcW w:w="0" w:type="auto"/>
            <w:vAlign w:val="center"/>
          </w:tcPr>
          <w:p>
            <w:pPr>
              <w:widowControl/>
              <w:snapToGrid w:val="0"/>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保险方案响应（5分）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对保险方案的差异进行评分。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提出差异有利于投保人的。5分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全部接受保险方案的。4分</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提出差异不利于投保人的。3分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snapToGrid w:val="0"/>
              <w:jc w:val="center"/>
              <w:textAlignment w:val="center"/>
              <w:rPr>
                <w:rFonts w:ascii="宋体" w:hAnsi="宋体" w:eastAsia="宋体" w:cs="宋体"/>
                <w:color w:val="auto"/>
                <w:kern w:val="0"/>
                <w:szCs w:val="21"/>
                <w:highlight w:val="none"/>
              </w:rPr>
            </w:pPr>
          </w:p>
        </w:tc>
        <w:tc>
          <w:tcPr>
            <w:tcW w:w="0" w:type="auto"/>
            <w:vAlign w:val="center"/>
          </w:tcPr>
          <w:p>
            <w:pPr>
              <w:widowControl/>
              <w:snapToGrid w:val="0"/>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服务方案响应（5分）</w:t>
            </w:r>
          </w:p>
        </w:tc>
        <w:tc>
          <w:tcPr>
            <w:tcW w:w="0" w:type="auto"/>
            <w:vAlign w:val="center"/>
          </w:tcPr>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对基本服务要求差异进行评分。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提出差异有利于投保人的。5分</w:t>
            </w:r>
          </w:p>
          <w:p>
            <w:pPr>
              <w:widowControl/>
              <w:snapToGrid w:val="0"/>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全部接受基本服务要求的。4分</w:t>
            </w:r>
          </w:p>
          <w:p>
            <w:pPr>
              <w:widowControl/>
              <w:snapToGrid w:val="0"/>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提出差异不利于投保人的。3分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Align w:val="center"/>
          </w:tcPr>
          <w:p>
            <w:pPr>
              <w:widowControl/>
              <w:snapToGrid w:val="0"/>
              <w:jc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5</w:t>
            </w:r>
          </w:p>
        </w:tc>
        <w:tc>
          <w:tcPr>
            <w:tcW w:w="0" w:type="auto"/>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风险评价</w:t>
            </w: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（-20-0）</w:t>
            </w:r>
          </w:p>
        </w:tc>
        <w:tc>
          <w:tcPr>
            <w:tcW w:w="0" w:type="auto"/>
            <w:vAlign w:val="center"/>
          </w:tcPr>
          <w:p>
            <w:pPr>
              <w:widowControl/>
              <w:snapToGrid w:val="0"/>
              <w:rPr>
                <w:rFonts w:ascii="宋体" w:hAnsi="宋体" w:eastAsia="宋体" w:cs="宋体"/>
                <w:color w:val="auto"/>
                <w:szCs w:val="21"/>
                <w:highlight w:val="none"/>
              </w:rPr>
            </w:pPr>
            <w:r>
              <w:rPr>
                <w:rFonts w:hint="eastAsia" w:ascii="宋体" w:hAnsi="宋体" w:eastAsia="宋体" w:cs="宋体"/>
                <w:color w:val="auto"/>
                <w:kern w:val="0"/>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无上述情形的，不扣分。</w:t>
            </w:r>
          </w:p>
        </w:tc>
      </w:tr>
    </w:tbl>
    <w:p>
      <w:pPr>
        <w:pStyle w:val="17"/>
        <w:snapToGrid w:val="0"/>
        <w:spacing w:after="0" w:line="580" w:lineRule="exact"/>
        <w:ind w:firstLine="640" w:firstLineChars="200"/>
        <w:jc w:val="left"/>
        <w:rPr>
          <w:rFonts w:hint="eastAsia" w:ascii="方正仿宋_GBK" w:hAnsi="方正仿宋_GBK" w:eastAsia="方正仿宋_GBK" w:cs="方正仿宋_GBK"/>
          <w:bCs/>
          <w:color w:val="auto"/>
          <w:sz w:val="32"/>
          <w:szCs w:val="32"/>
          <w:highlight w:val="none"/>
        </w:rPr>
      </w:pPr>
    </w:p>
    <w:p>
      <w:pPr>
        <w:pStyle w:val="17"/>
        <w:snapToGrid w:val="0"/>
        <w:spacing w:after="0" w:line="580" w:lineRule="exact"/>
        <w:ind w:firstLine="640" w:firstLineChars="200"/>
        <w:jc w:val="left"/>
        <w:rPr>
          <w:color w:val="auto"/>
          <w:highlight w:val="none"/>
        </w:rPr>
      </w:pPr>
      <w:r>
        <w:rPr>
          <w:rFonts w:hint="eastAsia" w:ascii="方正仿宋_GBK" w:hAnsi="方正仿宋_GBK" w:eastAsia="方正仿宋_GBK" w:cs="方正仿宋_GBK"/>
          <w:bCs/>
          <w:color w:val="auto"/>
          <w:sz w:val="32"/>
          <w:szCs w:val="32"/>
          <w:highlight w:val="none"/>
        </w:rPr>
        <w:t>决算审核</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8" w:type="dxa"/>
          <w:bottom w:w="0" w:type="dxa"/>
          <w:right w:w="108" w:type="dxa"/>
        </w:tblCellMar>
      </w:tblPr>
      <w:tblGrid>
        <w:gridCol w:w="495"/>
        <w:gridCol w:w="739"/>
        <w:gridCol w:w="1327"/>
        <w:gridCol w:w="5961"/>
      </w:tblGrid>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558" w:hRule="atLeast"/>
          <w:tblHeader/>
          <w:jc w:val="center"/>
        </w:trPr>
        <w:tc>
          <w:tcPr>
            <w:tcW w:w="0" w:type="auto"/>
            <w:vAlign w:val="center"/>
          </w:tcPr>
          <w:p>
            <w:pPr>
              <w:widowControl/>
              <w:snapToGrid w:val="0"/>
              <w:spacing w:before="66" w:after="66"/>
              <w:jc w:val="center"/>
              <w:rPr>
                <w:rFonts w:ascii="宋体" w:hAnsi="宋体" w:eastAsia="宋体" w:cs="宋体"/>
                <w:b/>
                <w:color w:val="auto"/>
                <w:kern w:val="0"/>
                <w:szCs w:val="21"/>
                <w:highlight w:val="none"/>
              </w:rPr>
            </w:pPr>
            <w:r>
              <w:rPr>
                <w:rFonts w:hint="eastAsia" w:ascii="宋体" w:hAnsi="宋体" w:eastAsia="宋体" w:cs="宋体"/>
                <w:b/>
                <w:color w:val="auto"/>
                <w:spacing w:val="10"/>
                <w:kern w:val="0"/>
                <w:szCs w:val="21"/>
                <w:highlight w:val="none"/>
              </w:rPr>
              <w:t>序号</w:t>
            </w:r>
          </w:p>
        </w:tc>
        <w:tc>
          <w:tcPr>
            <w:tcW w:w="0" w:type="auto"/>
            <w:vAlign w:val="center"/>
          </w:tcPr>
          <w:p>
            <w:pPr>
              <w:widowControl/>
              <w:snapToGrid w:val="0"/>
              <w:spacing w:before="66" w:after="66"/>
              <w:jc w:val="center"/>
              <w:rPr>
                <w:rFonts w:ascii="宋体" w:hAnsi="宋体" w:eastAsia="宋体" w:cs="宋体"/>
                <w:b/>
                <w:color w:val="auto"/>
                <w:kern w:val="0"/>
                <w:szCs w:val="21"/>
                <w:highlight w:val="none"/>
              </w:rPr>
            </w:pPr>
            <w:r>
              <w:rPr>
                <w:rFonts w:hint="eastAsia" w:ascii="宋体" w:hAnsi="宋体" w:eastAsia="宋体" w:cs="宋体"/>
                <w:b/>
                <w:color w:val="auto"/>
                <w:spacing w:val="10"/>
                <w:kern w:val="0"/>
                <w:szCs w:val="21"/>
                <w:highlight w:val="none"/>
              </w:rPr>
              <w:t>分类</w:t>
            </w:r>
          </w:p>
        </w:tc>
        <w:tc>
          <w:tcPr>
            <w:tcW w:w="0" w:type="auto"/>
            <w:vAlign w:val="center"/>
          </w:tcPr>
          <w:p>
            <w:pPr>
              <w:widowControl/>
              <w:snapToGrid w:val="0"/>
              <w:spacing w:before="66" w:after="66"/>
              <w:jc w:val="center"/>
              <w:rPr>
                <w:rFonts w:ascii="宋体" w:hAnsi="宋体" w:eastAsia="宋体" w:cs="宋体"/>
                <w:b/>
                <w:bCs/>
                <w:color w:val="auto"/>
                <w:kern w:val="0"/>
                <w:szCs w:val="21"/>
                <w:highlight w:val="none"/>
              </w:rPr>
            </w:pPr>
            <w:r>
              <w:rPr>
                <w:rFonts w:hint="eastAsia" w:ascii="宋体" w:hAnsi="宋体" w:eastAsia="宋体" w:cs="宋体"/>
                <w:b/>
                <w:color w:val="auto"/>
                <w:spacing w:val="10"/>
                <w:kern w:val="0"/>
                <w:szCs w:val="21"/>
                <w:highlight w:val="none"/>
              </w:rPr>
              <w:t>评审内容及分值</w:t>
            </w:r>
          </w:p>
        </w:tc>
        <w:tc>
          <w:tcPr>
            <w:tcW w:w="0" w:type="auto"/>
            <w:vAlign w:val="center"/>
          </w:tcPr>
          <w:p>
            <w:pPr>
              <w:widowControl/>
              <w:snapToGrid w:val="0"/>
              <w:spacing w:before="66" w:after="66"/>
              <w:jc w:val="center"/>
              <w:rPr>
                <w:rFonts w:ascii="宋体" w:hAnsi="宋体" w:eastAsia="宋体" w:cs="宋体"/>
                <w:b/>
                <w:bCs/>
                <w:color w:val="auto"/>
                <w:kern w:val="0"/>
                <w:szCs w:val="21"/>
                <w:highlight w:val="none"/>
              </w:rPr>
            </w:pPr>
            <w:r>
              <w:rPr>
                <w:rFonts w:hint="eastAsia" w:ascii="宋体" w:hAnsi="宋体" w:eastAsia="宋体" w:cs="宋体"/>
                <w:b/>
                <w:color w:val="auto"/>
                <w:spacing w:val="10"/>
                <w:kern w:val="0"/>
                <w:szCs w:val="21"/>
                <w:highlight w:val="none"/>
              </w:rPr>
              <w:t>项目内容</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1</w:t>
            </w:r>
          </w:p>
        </w:tc>
        <w:tc>
          <w:tcPr>
            <w:tcW w:w="0" w:type="auto"/>
            <w:vMerge w:val="restart"/>
            <w:vAlign w:val="center"/>
          </w:tcPr>
          <w:p>
            <w:pPr>
              <w:widowControl/>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技术水平</w:t>
            </w:r>
          </w:p>
          <w:p>
            <w:pPr>
              <w:widowControl/>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（35分）</w:t>
            </w:r>
          </w:p>
        </w:tc>
        <w:tc>
          <w:tcPr>
            <w:tcW w:w="0" w:type="auto"/>
            <w:vAlign w:val="center"/>
          </w:tcPr>
          <w:p>
            <w:pPr>
              <w:widowControl/>
              <w:jc w:val="center"/>
              <w:textAlignment w:val="center"/>
              <w:rPr>
                <w:rFonts w:ascii="宋体" w:hAnsi="宋体" w:eastAsia="宋体" w:cs="宋体"/>
                <w:color w:val="auto"/>
                <w:kern w:val="0"/>
                <w:szCs w:val="21"/>
                <w:highlight w:val="none"/>
              </w:rPr>
            </w:pPr>
            <w:r>
              <w:rPr>
                <w:rFonts w:hint="eastAsia" w:ascii="宋体" w:hAnsi="宋体" w:eastAsia="宋体" w:cs="宋体"/>
                <w:color w:val="auto"/>
                <w:szCs w:val="21"/>
                <w:highlight w:val="none"/>
              </w:rPr>
              <w:t>决算方案（15分）</w:t>
            </w:r>
          </w:p>
        </w:tc>
        <w:tc>
          <w:tcPr>
            <w:tcW w:w="0" w:type="auto"/>
            <w:vAlign w:val="center"/>
          </w:tcPr>
          <w:p>
            <w:pPr>
              <w:widowControl/>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对投标文件的竣工决算审核工作方案进行评审。</w:t>
            </w:r>
            <w:r>
              <w:rPr>
                <w:rFonts w:hint="eastAsia" w:ascii="宋体" w:hAnsi="宋体" w:eastAsia="宋体" w:cs="宋体"/>
                <w:color w:val="auto"/>
                <w:kern w:val="0"/>
                <w:szCs w:val="21"/>
                <w:highlight w:val="none"/>
              </w:rPr>
              <w:br w:type="textWrapping"/>
            </w:r>
            <w:r>
              <w:rPr>
                <w:rFonts w:hint="eastAsia" w:ascii="宋体" w:hAnsi="宋体" w:eastAsia="宋体" w:cs="宋体"/>
                <w:b/>
                <w:bCs/>
                <w:color w:val="auto"/>
                <w:kern w:val="0"/>
                <w:szCs w:val="21"/>
                <w:highlight w:val="none"/>
              </w:rPr>
              <w:t>审核方案清晰、合理，</w:t>
            </w:r>
            <w:r>
              <w:rPr>
                <w:rFonts w:hint="eastAsia" w:ascii="宋体" w:hAnsi="宋体" w:cs="宋体"/>
                <w:b/>
                <w:bCs/>
                <w:color w:val="auto"/>
                <w:kern w:val="0"/>
                <w:szCs w:val="21"/>
                <w:highlight w:val="none"/>
              </w:rPr>
              <w:t>包括审核目标与依据、审核范围与时间安排、审核重点工作、审核方法与程序、审核人员安排分工、沟通协调机制、质量控制措施、风险评估应对等全部内容，</w:t>
            </w:r>
            <w:r>
              <w:rPr>
                <w:rFonts w:hint="eastAsia" w:ascii="宋体" w:hAnsi="宋体" w:eastAsia="宋体" w:cs="宋体"/>
                <w:b/>
                <w:bCs/>
                <w:color w:val="auto"/>
                <w:kern w:val="0"/>
                <w:szCs w:val="21"/>
                <w:highlight w:val="none"/>
              </w:rPr>
              <w:t>可操作性强。15分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审核方案较为清晰、合理，</w:t>
            </w:r>
            <w:r>
              <w:rPr>
                <w:rFonts w:hint="eastAsia" w:ascii="宋体" w:hAnsi="宋体" w:cs="宋体"/>
                <w:b/>
                <w:bCs/>
                <w:color w:val="auto"/>
                <w:kern w:val="0"/>
                <w:szCs w:val="21"/>
                <w:highlight w:val="none"/>
              </w:rPr>
              <w:t>审核目标与依据、审核范围与时间安排、审核重点工作、审核方法与程序、审核人员安排分工、沟通协调机制、质量控制措施、风险评估应对等内容中缺失1-2项，</w:t>
            </w:r>
            <w:r>
              <w:rPr>
                <w:rFonts w:hint="eastAsia" w:ascii="宋体" w:hAnsi="宋体" w:eastAsia="宋体" w:cs="宋体"/>
                <w:b/>
                <w:bCs/>
                <w:color w:val="auto"/>
                <w:kern w:val="0"/>
                <w:szCs w:val="21"/>
                <w:highlight w:val="none"/>
              </w:rPr>
              <w:t>具备可操作性。13分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审核方案不太清晰、合理，</w:t>
            </w:r>
            <w:r>
              <w:rPr>
                <w:rFonts w:hint="eastAsia" w:ascii="宋体" w:hAnsi="宋体" w:cs="宋体"/>
                <w:b/>
                <w:bCs/>
                <w:color w:val="auto"/>
                <w:kern w:val="0"/>
                <w:szCs w:val="21"/>
                <w:highlight w:val="none"/>
              </w:rPr>
              <w:t>审核目标与依据、审核范围与时间安排、审核重点工作、审核方法与程序、审核人员安排分工、沟通协调机制、质量控制措施、风险评估应对等内容缺失3项或以上，</w:t>
            </w:r>
            <w:r>
              <w:rPr>
                <w:rFonts w:hint="eastAsia" w:ascii="宋体" w:hAnsi="宋体" w:eastAsia="宋体" w:cs="宋体"/>
                <w:b/>
                <w:bCs/>
                <w:color w:val="auto"/>
                <w:kern w:val="0"/>
                <w:szCs w:val="21"/>
                <w:highlight w:val="none"/>
              </w:rPr>
              <w:t>与项目目标间关联度较低或存在较大偏差，可操作性不强。9分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jc w:val="center"/>
              <w:textAlignment w:val="center"/>
              <w:rPr>
                <w:rFonts w:ascii="宋体" w:hAnsi="宋体" w:eastAsia="宋体" w:cs="宋体"/>
                <w:b/>
                <w:bCs/>
                <w:color w:val="auto"/>
                <w:kern w:val="0"/>
                <w:szCs w:val="21"/>
                <w:highlight w:val="none"/>
              </w:rPr>
            </w:pPr>
          </w:p>
        </w:tc>
        <w:tc>
          <w:tcPr>
            <w:tcW w:w="0" w:type="auto"/>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组织管理</w:t>
            </w:r>
          </w:p>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（10分）</w:t>
            </w:r>
          </w:p>
        </w:tc>
        <w:tc>
          <w:tcPr>
            <w:tcW w:w="0" w:type="auto"/>
            <w:vAlign w:val="center"/>
          </w:tcPr>
          <w:p>
            <w:pPr>
              <w:widowControl/>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对投标文件的组织管理机制进行评审。</w:t>
            </w:r>
            <w:r>
              <w:rPr>
                <w:rFonts w:hint="eastAsia" w:ascii="宋体" w:hAnsi="宋体" w:eastAsia="宋体" w:cs="宋体"/>
                <w:color w:val="auto"/>
                <w:kern w:val="0"/>
                <w:szCs w:val="21"/>
                <w:highlight w:val="none"/>
              </w:rPr>
              <w:br w:type="textWrapping"/>
            </w:r>
            <w:r>
              <w:rPr>
                <w:rFonts w:hint="eastAsia" w:ascii="宋体" w:hAnsi="宋体" w:cs="宋体"/>
                <w:color w:val="auto"/>
                <w:kern w:val="0"/>
                <w:szCs w:val="21"/>
                <w:highlight w:val="none"/>
              </w:rPr>
              <w:t>组织管理机制中包括</w:t>
            </w:r>
            <w:r>
              <w:rPr>
                <w:rFonts w:hint="eastAsia" w:ascii="宋体" w:hAnsi="宋体" w:eastAsia="宋体" w:cs="宋体"/>
                <w:b/>
                <w:bCs/>
                <w:color w:val="auto"/>
                <w:kern w:val="0"/>
                <w:szCs w:val="21"/>
                <w:highlight w:val="none"/>
              </w:rPr>
              <w:t>项目时效、质量、项目管控及内部沟通</w:t>
            </w:r>
            <w:r>
              <w:rPr>
                <w:rFonts w:hint="eastAsia" w:ascii="宋体" w:hAnsi="宋体" w:cs="宋体"/>
                <w:b/>
                <w:bCs/>
                <w:color w:val="auto"/>
                <w:kern w:val="0"/>
                <w:szCs w:val="21"/>
                <w:highlight w:val="none"/>
              </w:rPr>
              <w:t>各项内容</w:t>
            </w:r>
            <w:r>
              <w:rPr>
                <w:rFonts w:hint="eastAsia" w:ascii="宋体" w:hAnsi="宋体" w:eastAsia="宋体" w:cs="宋体"/>
                <w:b/>
                <w:bCs/>
                <w:color w:val="auto"/>
                <w:kern w:val="0"/>
                <w:szCs w:val="21"/>
                <w:highlight w:val="none"/>
              </w:rPr>
              <w:t>，有健全的项目管理及相关配套工作机制。10分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能够掌控项目时效、质量等要素，对项目服务方向的偏差可以及时响应并调整</w:t>
            </w:r>
            <w:r>
              <w:rPr>
                <w:rFonts w:hint="eastAsia" w:ascii="宋体" w:hAnsi="宋体" w:cs="宋体"/>
                <w:b/>
                <w:bCs/>
                <w:color w:val="auto"/>
                <w:kern w:val="0"/>
                <w:szCs w:val="21"/>
                <w:highlight w:val="none"/>
              </w:rPr>
              <w:t>，但是</w:t>
            </w:r>
            <w:r>
              <w:rPr>
                <w:rFonts w:hint="eastAsia" w:ascii="宋体" w:hAnsi="宋体" w:eastAsia="宋体" w:cs="宋体"/>
                <w:b/>
                <w:bCs/>
                <w:color w:val="auto"/>
                <w:kern w:val="0"/>
                <w:szCs w:val="21"/>
                <w:highlight w:val="none"/>
              </w:rPr>
              <w:t>项目时效、质量、项目管控及内部沟通</w:t>
            </w:r>
            <w:r>
              <w:rPr>
                <w:rFonts w:hint="eastAsia" w:ascii="宋体" w:hAnsi="宋体" w:cs="宋体"/>
                <w:b/>
                <w:bCs/>
                <w:color w:val="auto"/>
                <w:kern w:val="0"/>
                <w:szCs w:val="21"/>
                <w:highlight w:val="none"/>
              </w:rPr>
              <w:t>等内容缺失1项</w:t>
            </w:r>
            <w:r>
              <w:rPr>
                <w:rFonts w:hint="eastAsia" w:ascii="宋体" w:hAnsi="宋体" w:eastAsia="宋体" w:cs="宋体"/>
                <w:b/>
                <w:bCs/>
                <w:color w:val="auto"/>
                <w:kern w:val="0"/>
                <w:szCs w:val="21"/>
                <w:highlight w:val="none"/>
              </w:rPr>
              <w:t>。8分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缺少良好的项目管理制度，缺乏有效沟通机制</w:t>
            </w:r>
            <w:r>
              <w:rPr>
                <w:rFonts w:hint="eastAsia" w:ascii="宋体" w:hAnsi="宋体" w:cs="宋体"/>
                <w:b/>
                <w:bCs/>
                <w:color w:val="auto"/>
                <w:kern w:val="0"/>
                <w:szCs w:val="21"/>
                <w:highlight w:val="none"/>
              </w:rPr>
              <w:t>，</w:t>
            </w:r>
            <w:r>
              <w:rPr>
                <w:rFonts w:hint="eastAsia" w:ascii="宋体" w:hAnsi="宋体" w:eastAsia="宋体" w:cs="宋体"/>
                <w:b/>
                <w:bCs/>
                <w:color w:val="auto"/>
                <w:kern w:val="0"/>
                <w:szCs w:val="21"/>
                <w:highlight w:val="none"/>
              </w:rPr>
              <w:t>项目时效、质量、项目管控及内部沟通</w:t>
            </w:r>
            <w:r>
              <w:rPr>
                <w:rFonts w:hint="eastAsia" w:ascii="宋体" w:hAnsi="宋体" w:cs="宋体"/>
                <w:b/>
                <w:bCs/>
                <w:color w:val="auto"/>
                <w:kern w:val="0"/>
                <w:szCs w:val="21"/>
                <w:highlight w:val="none"/>
              </w:rPr>
              <w:t>内容缺失2项或以上</w:t>
            </w:r>
            <w:r>
              <w:rPr>
                <w:rFonts w:hint="eastAsia" w:ascii="宋体" w:hAnsi="宋体" w:eastAsia="宋体" w:cs="宋体"/>
                <w:b/>
                <w:bCs/>
                <w:color w:val="auto"/>
                <w:kern w:val="0"/>
                <w:szCs w:val="21"/>
                <w:highlight w:val="none"/>
              </w:rPr>
              <w:t>。6分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jc w:val="center"/>
              <w:textAlignment w:val="center"/>
              <w:rPr>
                <w:rFonts w:ascii="宋体" w:hAnsi="宋体" w:eastAsia="宋体" w:cs="宋体"/>
                <w:b/>
                <w:bCs/>
                <w:color w:val="auto"/>
                <w:kern w:val="0"/>
                <w:szCs w:val="21"/>
                <w:highlight w:val="none"/>
              </w:rPr>
            </w:pPr>
          </w:p>
        </w:tc>
        <w:tc>
          <w:tcPr>
            <w:tcW w:w="0" w:type="auto"/>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进度管理</w:t>
            </w:r>
          </w:p>
          <w:p>
            <w:pPr>
              <w:widowControl/>
              <w:jc w:val="center"/>
              <w:textAlignment w:val="center"/>
              <w:rPr>
                <w:rFonts w:ascii="宋体" w:hAnsi="宋体" w:eastAsia="宋体" w:cs="宋体"/>
                <w:color w:val="auto"/>
                <w:kern w:val="0"/>
                <w:szCs w:val="21"/>
                <w:highlight w:val="none"/>
              </w:rPr>
            </w:pPr>
            <w:r>
              <w:rPr>
                <w:rFonts w:hint="eastAsia" w:ascii="宋体" w:hAnsi="宋体" w:eastAsia="宋体" w:cs="宋体"/>
                <w:color w:val="auto"/>
                <w:szCs w:val="21"/>
                <w:highlight w:val="none"/>
              </w:rPr>
              <w:t>（10分）</w:t>
            </w:r>
          </w:p>
        </w:tc>
        <w:tc>
          <w:tcPr>
            <w:tcW w:w="0" w:type="auto"/>
            <w:vAlign w:val="center"/>
          </w:tcPr>
          <w:p>
            <w:pPr>
              <w:widowControl/>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对投标文件中时间进度安排的合理性进行评审。</w:t>
            </w:r>
            <w:r>
              <w:rPr>
                <w:rFonts w:hint="eastAsia" w:ascii="宋体" w:hAnsi="宋体" w:eastAsia="宋体" w:cs="宋体"/>
                <w:color w:val="auto"/>
                <w:kern w:val="0"/>
                <w:szCs w:val="21"/>
                <w:highlight w:val="none"/>
              </w:rPr>
              <w:br w:type="textWrapping"/>
            </w:r>
            <w:r>
              <w:rPr>
                <w:rFonts w:hint="eastAsia" w:ascii="宋体" w:hAnsi="宋体" w:eastAsia="宋体" w:cs="宋体"/>
                <w:b/>
                <w:bCs/>
                <w:color w:val="auto"/>
                <w:kern w:val="0"/>
                <w:szCs w:val="21"/>
                <w:highlight w:val="none"/>
              </w:rPr>
              <w:t>时间进度安排合理，阶段目标明确。10分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时间进度安排较为合理，阶段目标较为明确。8分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时间进度安排不清晰，阶段目标不太明确、较难实现。6分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widowControl/>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2</w:t>
            </w:r>
          </w:p>
        </w:tc>
        <w:tc>
          <w:tcPr>
            <w:tcW w:w="0" w:type="auto"/>
            <w:vMerge w:val="restart"/>
            <w:vAlign w:val="center"/>
          </w:tcPr>
          <w:p>
            <w:pPr>
              <w:widowControl/>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szCs w:val="21"/>
                <w:highlight w:val="none"/>
              </w:rPr>
              <w:t>团队配置</w:t>
            </w:r>
          </w:p>
          <w:p>
            <w:pPr>
              <w:widowControl/>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szCs w:val="21"/>
                <w:highlight w:val="none"/>
              </w:rPr>
              <w:t>（35分）</w:t>
            </w:r>
          </w:p>
        </w:tc>
        <w:tc>
          <w:tcPr>
            <w:tcW w:w="0" w:type="auto"/>
            <w:vAlign w:val="center"/>
          </w:tcPr>
          <w:p>
            <w:pPr>
              <w:widowControl/>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项目业绩</w:t>
            </w:r>
          </w:p>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（20分）</w:t>
            </w:r>
          </w:p>
        </w:tc>
        <w:tc>
          <w:tcPr>
            <w:tcW w:w="0" w:type="auto"/>
            <w:vAlign w:val="center"/>
          </w:tcPr>
          <w:p>
            <w:pP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对满足招标公告要求的决算审核业绩情况进行评审，按照项目业绩和获奖情况数量从高到低进行排序并评审。</w:t>
            </w:r>
          </w:p>
          <w:p>
            <w:pPr>
              <w:widowControl/>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排序为前30%（含）的。20分</w:t>
            </w:r>
          </w:p>
          <w:p>
            <w:pPr>
              <w:widowControl/>
              <w:jc w:val="left"/>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排序为前30%（不含）-70%（含）的。17分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剩余排序的。14分</w:t>
            </w:r>
          </w:p>
          <w:p>
            <w:pP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注：按以上百分比规则计算时，四舍五入取整。</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jc w:val="center"/>
              <w:textAlignment w:val="center"/>
              <w:rPr>
                <w:rFonts w:ascii="宋体" w:hAnsi="宋体" w:eastAsia="宋体" w:cs="宋体"/>
                <w:b/>
                <w:bCs/>
                <w:color w:val="auto"/>
                <w:kern w:val="0"/>
                <w:szCs w:val="21"/>
                <w:highlight w:val="none"/>
              </w:rPr>
            </w:pPr>
          </w:p>
        </w:tc>
        <w:tc>
          <w:tcPr>
            <w:tcW w:w="0" w:type="auto"/>
            <w:vMerge w:val="restart"/>
            <w:vAlign w:val="center"/>
          </w:tcPr>
          <w:p>
            <w:pPr>
              <w:widowControl/>
              <w:jc w:val="center"/>
              <w:textAlignment w:val="center"/>
              <w:rPr>
                <w:rFonts w:ascii="宋体" w:hAnsi="宋体" w:eastAsia="宋体" w:cs="宋体"/>
                <w:color w:val="auto"/>
                <w:kern w:val="0"/>
                <w:szCs w:val="21"/>
                <w:highlight w:val="none"/>
              </w:rPr>
            </w:pPr>
            <w:r>
              <w:rPr>
                <w:rFonts w:hint="eastAsia" w:ascii="宋体" w:hAnsi="宋体" w:eastAsia="宋体" w:cs="宋体"/>
                <w:color w:val="auto"/>
                <w:szCs w:val="21"/>
                <w:highlight w:val="none"/>
              </w:rPr>
              <w:t>团队能力</w:t>
            </w:r>
            <w:r>
              <w:rPr>
                <w:rFonts w:hint="eastAsia" w:ascii="宋体" w:hAnsi="宋体" w:eastAsia="宋体" w:cs="宋体"/>
                <w:color w:val="auto"/>
                <w:kern w:val="0"/>
                <w:szCs w:val="21"/>
                <w:highlight w:val="none"/>
              </w:rPr>
              <w:t>（15分）</w:t>
            </w:r>
          </w:p>
        </w:tc>
        <w:tc>
          <w:tcPr>
            <w:tcW w:w="0" w:type="auto"/>
            <w:vAlign w:val="center"/>
          </w:tcPr>
          <w:p>
            <w:pPr>
              <w:widowControl/>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对项目团队人员配置情况进行评审。</w:t>
            </w:r>
            <w:r>
              <w:rPr>
                <w:rFonts w:hint="eastAsia" w:ascii="宋体" w:hAnsi="宋体" w:eastAsia="宋体" w:cs="宋体"/>
                <w:color w:val="auto"/>
                <w:kern w:val="0"/>
                <w:szCs w:val="21"/>
                <w:highlight w:val="none"/>
              </w:rPr>
              <w:br w:type="textWrapping"/>
            </w:r>
            <w:r>
              <w:rPr>
                <w:rFonts w:hint="eastAsia" w:ascii="宋体" w:hAnsi="宋体" w:eastAsia="宋体" w:cs="宋体"/>
                <w:b/>
                <w:bCs/>
                <w:color w:val="auto"/>
                <w:kern w:val="0"/>
                <w:szCs w:val="21"/>
                <w:highlight w:val="none"/>
              </w:rPr>
              <w:t>团队成员中硕士及以上学历的比例&gt;=30%。5分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50%&gt;团队成员中硕士及以上学历的比例&gt;=20%。4分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团队成员中硕士及以上学历的比例&lt;20%。3分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jc w:val="center"/>
              <w:textAlignment w:val="center"/>
              <w:rPr>
                <w:rFonts w:ascii="宋体" w:hAnsi="宋体" w:eastAsia="宋体" w:cs="宋体"/>
                <w:b/>
                <w:bCs/>
                <w:color w:val="auto"/>
                <w:kern w:val="0"/>
                <w:szCs w:val="21"/>
                <w:highlight w:val="none"/>
              </w:rPr>
            </w:pPr>
          </w:p>
        </w:tc>
        <w:tc>
          <w:tcPr>
            <w:tcW w:w="0" w:type="auto"/>
            <w:vMerge w:val="continue"/>
            <w:vAlign w:val="center"/>
          </w:tcPr>
          <w:p>
            <w:pPr>
              <w:widowControl/>
              <w:jc w:val="center"/>
              <w:textAlignment w:val="center"/>
              <w:rPr>
                <w:rFonts w:ascii="宋体" w:hAnsi="宋体" w:eastAsia="宋体" w:cs="宋体"/>
                <w:color w:val="auto"/>
                <w:szCs w:val="21"/>
                <w:highlight w:val="none"/>
              </w:rPr>
            </w:pPr>
          </w:p>
        </w:tc>
        <w:tc>
          <w:tcPr>
            <w:tcW w:w="0" w:type="auto"/>
            <w:vAlign w:val="center"/>
          </w:tcPr>
          <w:p>
            <w:pPr>
              <w:widowControl/>
              <w:jc w:val="left"/>
              <w:textAlignment w:val="center"/>
              <w:rPr>
                <w:rFonts w:ascii="宋体" w:hAnsi="宋体" w:eastAsia="宋体" w:cs="宋体"/>
                <w:b/>
                <w:bCs/>
                <w:color w:val="auto"/>
                <w:kern w:val="0"/>
                <w:szCs w:val="21"/>
                <w:highlight w:val="none"/>
              </w:rPr>
            </w:pPr>
            <w:r>
              <w:rPr>
                <w:rFonts w:hint="eastAsia" w:ascii="宋体" w:hAnsi="宋体" w:eastAsia="宋体" w:cs="宋体"/>
                <w:color w:val="auto"/>
                <w:kern w:val="0"/>
                <w:szCs w:val="21"/>
                <w:highlight w:val="none"/>
              </w:rPr>
              <w:t>对项目团队人员工作经验进行评审。</w:t>
            </w:r>
            <w:r>
              <w:rPr>
                <w:rFonts w:hint="eastAsia" w:ascii="宋体" w:hAnsi="宋体" w:eastAsia="宋体" w:cs="宋体"/>
                <w:color w:val="auto"/>
                <w:kern w:val="0"/>
                <w:szCs w:val="21"/>
                <w:highlight w:val="none"/>
              </w:rPr>
              <w:br w:type="textWrapping"/>
            </w:r>
            <w:r>
              <w:rPr>
                <w:rFonts w:hint="eastAsia" w:ascii="宋体" w:hAnsi="宋体" w:eastAsia="宋体" w:cs="宋体"/>
                <w:b/>
                <w:bCs/>
                <w:color w:val="auto"/>
                <w:kern w:val="0"/>
                <w:szCs w:val="21"/>
                <w:highlight w:val="none"/>
              </w:rPr>
              <w:t>团队成员平均参与过1个及以上500kV及以上交流或±400kV及以上直流输变电工程，或5个及以上110kV及以上、500kV以下交流或±400kV以下直流工程决算审核或审计项目。5分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团队成员平均参与过3（含3个）-5个110kV及以上、500kV以下交流或±400kV以下直流输变电工程决算审核或审计项目。4分</w:t>
            </w:r>
          </w:p>
          <w:p>
            <w:pPr>
              <w:widowControl/>
              <w:jc w:val="left"/>
              <w:textAlignment w:val="center"/>
              <w:rPr>
                <w:rFonts w:ascii="宋体" w:hAnsi="宋体" w:eastAsia="宋体" w:cs="宋体"/>
                <w:color w:val="auto"/>
                <w:kern w:val="0"/>
                <w:szCs w:val="21"/>
                <w:highlight w:val="none"/>
              </w:rPr>
            </w:pPr>
            <w:r>
              <w:rPr>
                <w:rFonts w:hint="eastAsia" w:ascii="宋体" w:hAnsi="宋体" w:eastAsia="宋体" w:cs="宋体"/>
                <w:b/>
                <w:bCs/>
                <w:color w:val="auto"/>
                <w:kern w:val="0"/>
                <w:szCs w:val="21"/>
                <w:highlight w:val="none"/>
              </w:rPr>
              <w:t>团队成员平均参与过0-3个110kV及以上、500kV以下交流或±400kV以下直流输变电工程决算审核或审计项目。3分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widowControl/>
              <w:jc w:val="center"/>
              <w:textAlignment w:val="center"/>
              <w:rPr>
                <w:rFonts w:ascii="宋体" w:hAnsi="宋体" w:eastAsia="宋体" w:cs="宋体"/>
                <w:color w:val="auto"/>
                <w:kern w:val="0"/>
                <w:szCs w:val="21"/>
                <w:highlight w:val="none"/>
              </w:rPr>
            </w:pPr>
          </w:p>
        </w:tc>
        <w:tc>
          <w:tcPr>
            <w:tcW w:w="0" w:type="auto"/>
            <w:vMerge w:val="continue"/>
            <w:vAlign w:val="center"/>
          </w:tcPr>
          <w:p>
            <w:pPr>
              <w:widowControl/>
              <w:jc w:val="center"/>
              <w:textAlignment w:val="center"/>
              <w:rPr>
                <w:rFonts w:ascii="宋体" w:hAnsi="宋体" w:eastAsia="宋体" w:cs="宋体"/>
                <w:b/>
                <w:bCs/>
                <w:color w:val="auto"/>
                <w:kern w:val="0"/>
                <w:szCs w:val="21"/>
                <w:highlight w:val="none"/>
              </w:rPr>
            </w:pPr>
          </w:p>
        </w:tc>
        <w:tc>
          <w:tcPr>
            <w:tcW w:w="0" w:type="auto"/>
            <w:vMerge w:val="continue"/>
            <w:vAlign w:val="center"/>
          </w:tcPr>
          <w:p>
            <w:pPr>
              <w:widowControl/>
              <w:jc w:val="center"/>
              <w:textAlignment w:val="center"/>
              <w:rPr>
                <w:rFonts w:ascii="宋体" w:hAnsi="宋体" w:eastAsia="宋体" w:cs="宋体"/>
                <w:color w:val="auto"/>
                <w:szCs w:val="21"/>
                <w:highlight w:val="none"/>
              </w:rPr>
            </w:pPr>
          </w:p>
        </w:tc>
        <w:tc>
          <w:tcPr>
            <w:tcW w:w="0" w:type="auto"/>
            <w:vAlign w:val="center"/>
          </w:tcPr>
          <w:p>
            <w:pPr>
              <w:widowControl/>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对项目团队人员专业资格证书获取情况进行评审。</w:t>
            </w:r>
            <w:r>
              <w:rPr>
                <w:rFonts w:hint="eastAsia" w:ascii="宋体" w:hAnsi="宋体" w:eastAsia="宋体" w:cs="宋体"/>
                <w:color w:val="auto"/>
                <w:kern w:val="0"/>
                <w:szCs w:val="21"/>
                <w:highlight w:val="none"/>
              </w:rPr>
              <w:br w:type="textWrapping"/>
            </w:r>
            <w:r>
              <w:rPr>
                <w:rFonts w:hint="eastAsia" w:ascii="宋体" w:hAnsi="宋体" w:eastAsia="宋体" w:cs="宋体"/>
                <w:b/>
                <w:bCs/>
                <w:color w:val="auto"/>
                <w:kern w:val="0"/>
                <w:szCs w:val="21"/>
                <w:highlight w:val="none"/>
              </w:rPr>
              <w:t>团队成员中具有注册会计师或注册造价工程师资格证书的比例&gt;=25%。5分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25&gt;团队成员中具有注册会计师或注册造价工程师资格证书的比例&gt;=10%。4分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团队成员中具有注册会计师或注册造价工程师资格证书的比例&lt;10%。3分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1355" w:hRule="atLeast"/>
          <w:jc w:val="center"/>
        </w:trPr>
        <w:tc>
          <w:tcPr>
            <w:tcW w:w="0" w:type="auto"/>
            <w:vAlign w:val="center"/>
          </w:tcPr>
          <w:p>
            <w:pPr>
              <w:widowControl/>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3</w:t>
            </w:r>
          </w:p>
        </w:tc>
        <w:tc>
          <w:tcPr>
            <w:tcW w:w="0" w:type="auto"/>
            <w:vAlign w:val="center"/>
          </w:tcPr>
          <w:p>
            <w:pPr>
              <w:widowControl/>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质量控制</w:t>
            </w:r>
          </w:p>
          <w:p>
            <w:pPr>
              <w:widowControl/>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（20分）</w:t>
            </w:r>
          </w:p>
        </w:tc>
        <w:tc>
          <w:tcPr>
            <w:tcW w:w="0" w:type="auto"/>
            <w:vAlign w:val="center"/>
          </w:tcPr>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项目成果</w:t>
            </w:r>
          </w:p>
          <w:p>
            <w:pPr>
              <w:widowControl/>
              <w:jc w:val="center"/>
              <w:textAlignment w:val="center"/>
              <w:rPr>
                <w:rFonts w:ascii="宋体" w:hAnsi="宋体" w:eastAsia="宋体" w:cs="宋体"/>
                <w:color w:val="auto"/>
                <w:szCs w:val="21"/>
                <w:highlight w:val="none"/>
              </w:rPr>
            </w:pPr>
            <w:r>
              <w:rPr>
                <w:rFonts w:hint="eastAsia" w:ascii="宋体" w:hAnsi="宋体" w:eastAsia="宋体" w:cs="宋体"/>
                <w:color w:val="auto"/>
                <w:szCs w:val="21"/>
                <w:highlight w:val="none"/>
              </w:rPr>
              <w:t>（20分）</w:t>
            </w:r>
          </w:p>
        </w:tc>
        <w:tc>
          <w:tcPr>
            <w:tcW w:w="0" w:type="auto"/>
            <w:vAlign w:val="center"/>
          </w:tcPr>
          <w:p>
            <w:pPr>
              <w:widowControl/>
              <w:jc w:val="left"/>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对项目拟实现的预期目标和项目成果进行评审。</w:t>
            </w:r>
            <w:r>
              <w:rPr>
                <w:rFonts w:hint="eastAsia" w:ascii="宋体" w:hAnsi="宋体" w:eastAsia="宋体" w:cs="宋体"/>
                <w:color w:val="auto"/>
                <w:kern w:val="0"/>
                <w:szCs w:val="21"/>
                <w:highlight w:val="none"/>
              </w:rPr>
              <w:br w:type="textWrapping"/>
            </w:r>
            <w:r>
              <w:rPr>
                <w:rFonts w:hint="eastAsia" w:ascii="宋体" w:hAnsi="宋体" w:eastAsia="宋体" w:cs="宋体"/>
                <w:b/>
                <w:bCs/>
                <w:color w:val="auto"/>
                <w:kern w:val="0"/>
                <w:szCs w:val="21"/>
                <w:highlight w:val="none"/>
              </w:rPr>
              <w:t>完成项目预期服务内容基础上，良好地实现项目目标，能提出合理创新，产生积极的应用效果。20分</w:t>
            </w:r>
            <w:r>
              <w:rPr>
                <w:rFonts w:hint="eastAsia" w:ascii="宋体" w:hAnsi="宋体" w:eastAsia="宋体" w:cs="宋体"/>
                <w:b/>
                <w:bCs/>
                <w:color w:val="auto"/>
                <w:kern w:val="0"/>
                <w:szCs w:val="21"/>
                <w:highlight w:val="none"/>
              </w:rPr>
              <w:br w:type="textWrapping"/>
            </w:r>
            <w:r>
              <w:rPr>
                <w:rFonts w:hint="eastAsia" w:ascii="宋体" w:hAnsi="宋体" w:eastAsia="宋体" w:cs="宋体"/>
                <w:b/>
                <w:bCs/>
                <w:color w:val="auto"/>
                <w:kern w:val="0"/>
                <w:szCs w:val="21"/>
                <w:highlight w:val="none"/>
              </w:rPr>
              <w:t>能够完成项目既定要求，能够及时提交要求的全部成果。17分</w:t>
            </w:r>
            <w:r>
              <w:rPr>
                <w:rFonts w:hint="eastAsia" w:ascii="宋体" w:hAnsi="宋体" w:eastAsia="宋体" w:cs="宋体"/>
                <w:b/>
                <w:bCs/>
                <w:color w:val="auto"/>
                <w:kern w:val="0"/>
                <w:szCs w:val="21"/>
                <w:highlight w:val="none"/>
              </w:rPr>
              <w:br w:type="textWrapping"/>
            </w:r>
            <w:r>
              <w:rPr>
                <w:rFonts w:hint="eastAsia" w:ascii="宋体" w:hAnsi="宋体" w:cs="宋体"/>
                <w:b/>
                <w:bCs/>
                <w:color w:val="auto"/>
                <w:kern w:val="0"/>
                <w:szCs w:val="21"/>
                <w:highlight w:val="none"/>
              </w:rPr>
              <w:t>基本达到</w:t>
            </w:r>
            <w:r>
              <w:rPr>
                <w:rFonts w:hint="eastAsia" w:ascii="宋体" w:hAnsi="宋体" w:eastAsia="宋体" w:cs="宋体"/>
                <w:b/>
                <w:bCs/>
                <w:color w:val="auto"/>
                <w:kern w:val="0"/>
                <w:szCs w:val="21"/>
                <w:highlight w:val="none"/>
              </w:rPr>
              <w:t>项目既定要求</w:t>
            </w:r>
            <w:r>
              <w:rPr>
                <w:rFonts w:hint="eastAsia" w:ascii="宋体" w:hAnsi="宋体" w:cs="宋体"/>
                <w:b/>
                <w:bCs/>
                <w:color w:val="auto"/>
                <w:kern w:val="0"/>
                <w:szCs w:val="21"/>
                <w:highlight w:val="none"/>
              </w:rPr>
              <w:t>、</w:t>
            </w:r>
            <w:r>
              <w:rPr>
                <w:rFonts w:hint="eastAsia" w:ascii="宋体" w:hAnsi="宋体" w:eastAsia="宋体" w:cs="宋体"/>
                <w:b/>
                <w:bCs/>
                <w:color w:val="auto"/>
                <w:kern w:val="0"/>
                <w:szCs w:val="21"/>
                <w:highlight w:val="none"/>
              </w:rPr>
              <w:t>提交要求的成果。14分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Align w:val="center"/>
          </w:tcPr>
          <w:p>
            <w:pPr>
              <w:widowControl/>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4</w:t>
            </w:r>
          </w:p>
        </w:tc>
        <w:tc>
          <w:tcPr>
            <w:tcW w:w="0" w:type="auto"/>
            <w:vAlign w:val="center"/>
          </w:tcPr>
          <w:p>
            <w:pPr>
              <w:widowControl/>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szCs w:val="21"/>
                <w:highlight w:val="none"/>
              </w:rPr>
              <w:t>综合评价</w:t>
            </w:r>
          </w:p>
          <w:p>
            <w:pPr>
              <w:widowControl/>
              <w:jc w:val="center"/>
              <w:textAlignment w:val="center"/>
              <w:rPr>
                <w:rFonts w:ascii="宋体" w:hAnsi="宋体" w:eastAsia="宋体" w:cs="宋体"/>
                <w:b/>
                <w:bCs/>
                <w:color w:val="auto"/>
                <w:szCs w:val="21"/>
                <w:highlight w:val="none"/>
              </w:rPr>
            </w:pPr>
            <w:r>
              <w:rPr>
                <w:rFonts w:hint="eastAsia" w:ascii="宋体" w:hAnsi="宋体" w:eastAsia="宋体" w:cs="宋体"/>
                <w:b/>
                <w:bCs/>
                <w:color w:val="auto"/>
                <w:szCs w:val="21"/>
                <w:highlight w:val="none"/>
              </w:rPr>
              <w:t>（10分）</w:t>
            </w:r>
          </w:p>
        </w:tc>
        <w:tc>
          <w:tcPr>
            <w:tcW w:w="0" w:type="auto"/>
            <w:vAlign w:val="center"/>
          </w:tcPr>
          <w:p>
            <w:pPr>
              <w:widowControl/>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文件响应性</w:t>
            </w:r>
            <w:r>
              <w:rPr>
                <w:rFonts w:hint="eastAsia" w:ascii="宋体" w:hAnsi="宋体" w:eastAsia="宋体" w:cs="宋体"/>
                <w:color w:val="auto"/>
                <w:szCs w:val="21"/>
                <w:highlight w:val="none"/>
              </w:rPr>
              <w:t>(10分)</w:t>
            </w:r>
          </w:p>
        </w:tc>
        <w:tc>
          <w:tcPr>
            <w:tcW w:w="0" w:type="auto"/>
            <w:vAlign w:val="center"/>
          </w:tcPr>
          <w:p>
            <w:pPr>
              <w:textAlignment w:val="center"/>
              <w:rPr>
                <w:rFonts w:ascii="宋体" w:hAnsi="宋体" w:eastAsia="宋体"/>
                <w:b/>
                <w:bCs/>
                <w:color w:val="auto"/>
                <w:szCs w:val="21"/>
                <w:highlight w:val="none"/>
              </w:rPr>
            </w:pPr>
            <w:r>
              <w:rPr>
                <w:rFonts w:hint="eastAsia" w:ascii="宋体" w:hAnsi="宋体" w:eastAsia="宋体" w:cs="宋体"/>
                <w:color w:val="auto"/>
                <w:kern w:val="0"/>
                <w:szCs w:val="21"/>
                <w:highlight w:val="none"/>
              </w:rPr>
              <w:t>对技术投标文件内容的完整性、规范性、逻辑性、响应性等方面进行评审</w:t>
            </w:r>
            <w:r>
              <w:rPr>
                <w:rFonts w:hint="eastAsia" w:ascii="宋体" w:hAnsi="宋体" w:eastAsia="宋体"/>
                <w:color w:val="auto"/>
                <w:szCs w:val="21"/>
                <w:highlight w:val="none"/>
              </w:rPr>
              <w:t>，</w:t>
            </w:r>
            <w:r>
              <w:rPr>
                <w:rFonts w:hint="eastAsia" w:ascii="宋体" w:hAnsi="宋体" w:eastAsia="宋体"/>
                <w:b/>
                <w:bCs/>
                <w:color w:val="auto"/>
                <w:szCs w:val="21"/>
                <w:highlight w:val="none"/>
              </w:rPr>
              <w:t>提供业绩、业主评价等证明支持性文件内容完整齐全，</w:t>
            </w:r>
            <w:r>
              <w:rPr>
                <w:rFonts w:hint="eastAsia" w:ascii="宋体" w:hAnsi="宋体"/>
                <w:b/>
                <w:bCs/>
                <w:color w:val="auto"/>
                <w:szCs w:val="21"/>
                <w:highlight w:val="none"/>
              </w:rPr>
              <w:t>规范合理，响应准确。</w:t>
            </w:r>
            <w:r>
              <w:rPr>
                <w:rFonts w:ascii="宋体" w:hAnsi="宋体" w:eastAsia="宋体"/>
                <w:b/>
                <w:bCs/>
                <w:color w:val="auto"/>
                <w:szCs w:val="21"/>
                <w:highlight w:val="none"/>
              </w:rPr>
              <w:t>10分</w:t>
            </w:r>
          </w:p>
          <w:p>
            <w:pPr>
              <w:textAlignment w:val="center"/>
              <w:rPr>
                <w:rFonts w:ascii="宋体" w:hAnsi="宋体" w:eastAsia="宋体"/>
                <w:b/>
                <w:bCs/>
                <w:color w:val="auto"/>
                <w:szCs w:val="21"/>
                <w:highlight w:val="none"/>
              </w:rPr>
            </w:pPr>
            <w:r>
              <w:rPr>
                <w:rFonts w:hint="eastAsia" w:ascii="宋体" w:hAnsi="宋体"/>
                <w:b/>
                <w:bCs/>
                <w:color w:val="auto"/>
                <w:szCs w:val="21"/>
                <w:highlight w:val="none"/>
              </w:rPr>
              <w:t>内容较为完整规范，逻辑基本合理，响应较为准确。</w:t>
            </w:r>
            <w:r>
              <w:rPr>
                <w:rFonts w:hint="eastAsia" w:ascii="宋体" w:hAnsi="宋体" w:eastAsia="宋体"/>
                <w:b/>
                <w:bCs/>
                <w:color w:val="auto"/>
                <w:szCs w:val="21"/>
                <w:highlight w:val="none"/>
              </w:rPr>
              <w:t>8</w:t>
            </w:r>
            <w:r>
              <w:rPr>
                <w:rFonts w:ascii="宋体" w:hAnsi="宋体" w:eastAsia="宋体"/>
                <w:b/>
                <w:bCs/>
                <w:color w:val="auto"/>
                <w:szCs w:val="21"/>
                <w:highlight w:val="none"/>
              </w:rPr>
              <w:t>分</w:t>
            </w:r>
          </w:p>
          <w:p>
            <w:pPr>
              <w:textAlignment w:val="center"/>
              <w:rPr>
                <w:rFonts w:ascii="宋体" w:hAnsi="宋体" w:eastAsia="宋体" w:cs="宋体"/>
                <w:color w:val="auto"/>
                <w:kern w:val="0"/>
                <w:szCs w:val="21"/>
                <w:highlight w:val="none"/>
              </w:rPr>
            </w:pPr>
            <w:r>
              <w:rPr>
                <w:rFonts w:hint="eastAsia" w:ascii="宋体" w:hAnsi="宋体"/>
                <w:b/>
                <w:bCs/>
                <w:color w:val="auto"/>
                <w:szCs w:val="21"/>
                <w:highlight w:val="none"/>
              </w:rPr>
              <w:t>内容有少量缺失，逻辑性不强，响应准确性较低。</w:t>
            </w:r>
            <w:r>
              <w:rPr>
                <w:rFonts w:hint="eastAsia" w:ascii="宋体" w:hAnsi="宋体" w:eastAsia="宋体"/>
                <w:b/>
                <w:bCs/>
                <w:color w:val="auto"/>
                <w:szCs w:val="21"/>
                <w:highlight w:val="none"/>
              </w:rPr>
              <w:t>6</w:t>
            </w:r>
            <w:r>
              <w:rPr>
                <w:rFonts w:ascii="宋体" w:hAnsi="宋体" w:eastAsia="宋体"/>
                <w:b/>
                <w:bCs/>
                <w:color w:val="auto"/>
                <w:szCs w:val="21"/>
                <w:highlight w:val="none"/>
              </w:rPr>
              <w:t>分。</w:t>
            </w:r>
          </w:p>
        </w:tc>
      </w:tr>
      <w:tr>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Align w:val="center"/>
          </w:tcPr>
          <w:p>
            <w:pPr>
              <w:widowControl/>
              <w:snapToGrid w:val="0"/>
              <w:jc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5</w:t>
            </w:r>
          </w:p>
        </w:tc>
        <w:tc>
          <w:tcPr>
            <w:tcW w:w="0" w:type="auto"/>
            <w:vAlign w:val="center"/>
          </w:tcPr>
          <w:p>
            <w:pPr>
              <w:widowControl/>
              <w:snapToGrid w:val="0"/>
              <w:jc w:val="center"/>
              <w:textAlignment w:val="center"/>
              <w:rPr>
                <w:rFonts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风险评价</w:t>
            </w:r>
          </w:p>
        </w:tc>
        <w:tc>
          <w:tcPr>
            <w:tcW w:w="0" w:type="auto"/>
            <w:vAlign w:val="center"/>
          </w:tcPr>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风险评价</w:t>
            </w:r>
          </w:p>
          <w:p>
            <w:pPr>
              <w:widowControl/>
              <w:snapToGrid w:val="0"/>
              <w:jc w:val="center"/>
              <w:textAlignment w:val="center"/>
              <w:rPr>
                <w:rFonts w:ascii="宋体" w:hAnsi="宋体" w:eastAsia="宋体" w:cs="宋体"/>
                <w:color w:val="auto"/>
                <w:kern w:val="0"/>
                <w:szCs w:val="21"/>
                <w:highlight w:val="none"/>
              </w:rPr>
            </w:pPr>
            <w:r>
              <w:rPr>
                <w:rFonts w:hint="eastAsia" w:ascii="宋体" w:hAnsi="宋体" w:eastAsia="宋体" w:cs="宋体"/>
                <w:color w:val="auto"/>
                <w:kern w:val="0"/>
                <w:szCs w:val="21"/>
                <w:highlight w:val="none"/>
              </w:rPr>
              <w:t>（-20-0）</w:t>
            </w:r>
          </w:p>
        </w:tc>
        <w:tc>
          <w:tcPr>
            <w:tcW w:w="0" w:type="auto"/>
            <w:vAlign w:val="center"/>
          </w:tcPr>
          <w:p>
            <w:pPr>
              <w:widowControl/>
              <w:snapToGrid w:val="0"/>
              <w:rPr>
                <w:rFonts w:ascii="宋体" w:hAnsi="宋体" w:eastAsia="宋体" w:cs="宋体"/>
                <w:color w:val="auto"/>
                <w:szCs w:val="21"/>
                <w:highlight w:val="none"/>
              </w:rPr>
            </w:pPr>
            <w:r>
              <w:rPr>
                <w:rFonts w:hint="eastAsia" w:ascii="宋体" w:hAnsi="宋体" w:eastAsia="宋体" w:cs="宋体"/>
                <w:color w:val="auto"/>
                <w:kern w:val="0"/>
                <w:szCs w:val="21"/>
                <w:highlight w:val="none"/>
              </w:rPr>
              <w:t>投标人因负面事件或其他情形，带来供应履约风险，对招标人生产经营、公司形象可能带来较大影响，根据严重程度扣10-20分；</w:t>
            </w:r>
          </w:p>
          <w:p>
            <w:pPr>
              <w:widowControl/>
              <w:snapToGrid w:val="0"/>
              <w:textAlignment w:val="center"/>
              <w:rPr>
                <w:rFonts w:ascii="宋体" w:hAnsi="宋体" w:eastAsia="宋体" w:cs="宋体"/>
                <w:color w:val="auto"/>
                <w:szCs w:val="21"/>
                <w:highlight w:val="none"/>
              </w:rPr>
            </w:pPr>
            <w:r>
              <w:rPr>
                <w:rFonts w:hint="eastAsia" w:ascii="宋体" w:hAnsi="宋体" w:eastAsia="宋体" w:cs="宋体"/>
                <w:color w:val="auto"/>
                <w:kern w:val="0"/>
                <w:szCs w:val="21"/>
                <w:highlight w:val="none"/>
              </w:rPr>
              <w:t>无上述情形的，不扣分。</w:t>
            </w:r>
          </w:p>
        </w:tc>
      </w:tr>
    </w:tbl>
    <w:p>
      <w:pPr>
        <w:rPr>
          <w:rFonts w:ascii="黑体" w:hAnsi="黑体" w:eastAsia="黑体" w:cs="黑体"/>
          <w:color w:val="auto"/>
          <w:sz w:val="24"/>
          <w:szCs w:val="24"/>
          <w:highlight w:val="none"/>
        </w:rPr>
      </w:pPr>
      <w:r>
        <w:rPr>
          <w:rFonts w:ascii="黑体" w:hAnsi="黑体" w:eastAsia="黑体" w:cs="黑体"/>
          <w:color w:val="auto"/>
          <w:sz w:val="24"/>
          <w:szCs w:val="24"/>
          <w:highlight w:val="none"/>
        </w:rPr>
        <w:br w:type="page"/>
      </w:r>
    </w:p>
    <w:p>
      <w:pPr>
        <w:keepNext/>
        <w:keepLines/>
        <w:spacing w:beforeLines="100" w:afterLines="50" w:line="400" w:lineRule="exact"/>
        <w:ind w:left="0"/>
        <w:jc w:val="both"/>
        <w:rPr>
          <w:rFonts w:ascii="黑体" w:hAnsi="黑体" w:eastAsia="黑体" w:cs="黑体"/>
          <w:color w:val="auto"/>
          <w:sz w:val="24"/>
          <w:szCs w:val="24"/>
          <w:highlight w:val="none"/>
        </w:rPr>
      </w:pPr>
      <w:r>
        <w:rPr>
          <w:rFonts w:ascii="黑体" w:hAnsi="黑体" w:eastAsia="黑体" w:cs="黑体"/>
          <w:color w:val="auto"/>
          <w:sz w:val="24"/>
          <w:szCs w:val="24"/>
          <w:highlight w:val="none"/>
        </w:rPr>
        <w:t>评标办法前附表之五：投标报价评分标准</w:t>
      </w:r>
    </w:p>
    <w:tbl>
      <w:tblPr>
        <w:tblStyle w:val="19"/>
        <w:tblW w:w="8522" w:type="dxa"/>
        <w:jc w:val="center"/>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Layout w:type="fixed"/>
        <w:tblCellMar>
          <w:top w:w="0" w:type="dxa"/>
          <w:left w:w="108" w:type="dxa"/>
          <w:bottom w:w="0" w:type="dxa"/>
          <w:right w:w="108" w:type="dxa"/>
        </w:tblCellMar>
      </w:tblPr>
      <w:tblGrid>
        <w:gridCol w:w="8522"/>
      </w:tblGrid>
      <w:tr>
        <w:tblPrEx>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CellMar>
            <w:top w:w="0" w:type="dxa"/>
            <w:left w:w="108" w:type="dxa"/>
            <w:bottom w:w="0" w:type="dxa"/>
            <w:right w:w="108" w:type="dxa"/>
          </w:tblCellMar>
        </w:tblPrEx>
        <w:trPr>
          <w:trHeight w:val="90" w:hRule="atLeast"/>
          <w:jc w:val="center"/>
        </w:trPr>
        <w:tc>
          <w:tcPr>
            <w:tcW w:w="8522" w:type="dxa"/>
            <w:tcBorders>
              <w:top w:val="double" w:color="000000" w:sz="4" w:space="0"/>
              <w:bottom w:val="single" w:color="000000" w:sz="4" w:space="0"/>
            </w:tcBorders>
            <w:vAlign w:val="center"/>
          </w:tcPr>
          <w:p>
            <w:pPr>
              <w:widowControl/>
              <w:rPr>
                <w:rFonts w:hint="eastAsia" w:ascii="宋体" w:hAnsi="宋体" w:eastAsia="宋体" w:cs="宋体"/>
                <w:b/>
                <w:bCs/>
                <w:color w:val="auto"/>
                <w:sz w:val="21"/>
                <w:szCs w:val="21"/>
                <w:highlight w:val="none"/>
              </w:rPr>
            </w:pPr>
            <w:r>
              <w:rPr>
                <w:rFonts w:hint="eastAsia" w:ascii="宋体" w:hAnsi="宋体" w:eastAsia="宋体" w:cs="宋体"/>
                <w:b/>
                <w:color w:val="auto"/>
                <w:sz w:val="21"/>
                <w:szCs w:val="21"/>
                <w:highlight w:val="none"/>
              </w:rPr>
              <w:t>2.2.4（3） 投标报价评分标准</w:t>
            </w:r>
          </w:p>
        </w:tc>
      </w:tr>
      <w:tr>
        <w:tblPrEx>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PrEx>
        <w:trPr>
          <w:trHeight w:val="90" w:hRule="atLeast"/>
          <w:jc w:val="center"/>
        </w:trPr>
        <w:tc>
          <w:tcPr>
            <w:tcW w:w="8522" w:type="dxa"/>
            <w:tcBorders>
              <w:top w:val="double" w:color="000000" w:sz="4" w:space="0"/>
              <w:bottom w:val="single" w:color="000000" w:sz="4" w:space="0"/>
            </w:tcBorders>
            <w:vAlign w:val="center"/>
          </w:tcPr>
          <w:p>
            <w:pPr>
              <w:snapToGrid w:val="0"/>
              <w:rPr>
                <w:rFonts w:hint="eastAsia" w:ascii="Times New Roman" w:hAnsi="Times New Roman" w:eastAsia="宋体"/>
                <w:color w:val="auto"/>
                <w:kern w:val="0"/>
                <w:sz w:val="18"/>
                <w:szCs w:val="18"/>
                <w:highlight w:val="none"/>
                <w:lang w:eastAsia="zh-CN"/>
              </w:rPr>
            </w:pPr>
            <w:r>
              <w:rPr>
                <w:rFonts w:ascii="Times New Roman" w:hAnsi="Times New Roman"/>
                <w:color w:val="auto"/>
                <w:kern w:val="0"/>
                <w:sz w:val="18"/>
                <w:szCs w:val="18"/>
                <w:highlight w:val="none"/>
              </w:rPr>
              <w:t>1.评标价格计算公式选择：</w:t>
            </w:r>
            <w:r>
              <w:rPr>
                <w:rFonts w:ascii="Times New Roman" w:hAnsi="Times New Roman" w:eastAsia="宋体" w:cs="Times New Roman"/>
                <w:color w:val="auto"/>
                <w:sz w:val="18"/>
                <w:szCs w:val="18"/>
                <w:highlight w:val="none"/>
              </w:rPr>
              <w:t>详见 评标办法前附表</w:t>
            </w:r>
            <w:r>
              <w:rPr>
                <w:rFonts w:hint="eastAsia" w:ascii="Times New Roman" w:hAnsi="Times New Roman" w:eastAsia="宋体" w:cs="Times New Roman"/>
                <w:color w:val="auto"/>
                <w:sz w:val="18"/>
                <w:szCs w:val="18"/>
                <w:highlight w:val="none"/>
              </w:rPr>
              <w:t>之六</w:t>
            </w:r>
          </w:p>
          <w:p>
            <w:pPr>
              <w:spacing w:before="156" w:beforeLines="5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2.评标价格计算公式</w:t>
            </w:r>
          </w:p>
          <w:p>
            <w:pPr>
              <w:spacing w:before="156" w:beforeLines="50"/>
              <w:rPr>
                <w:rFonts w:hint="default" w:ascii="Times New Roman" w:hAnsi="Times New Roman"/>
                <w:b/>
                <w:color w:val="auto"/>
                <w:sz w:val="18"/>
                <w:szCs w:val="18"/>
                <w:highlight w:val="none"/>
              </w:rPr>
            </w:pPr>
            <w:r>
              <w:rPr>
                <w:rFonts w:hint="default" w:ascii="Times New Roman" w:hAnsi="Times New Roman"/>
                <w:b/>
                <w:color w:val="auto"/>
                <w:sz w:val="18"/>
                <w:szCs w:val="18"/>
                <w:highlight w:val="none"/>
              </w:rPr>
              <w:t>公式1：最低评标价法（金额）</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价格得分=（基准价/投标人的评标价）×100</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基准价=所评包或标段中所有通过商务、技术评审的合格投标人评标价中的最低价；</w:t>
            </w:r>
          </w:p>
          <w:p>
            <w:pPr>
              <w:spacing w:before="156" w:beforeLines="50"/>
              <w:rPr>
                <w:rFonts w:hint="default" w:ascii="Times New Roman" w:hAnsi="Times New Roman"/>
                <w:b/>
                <w:color w:val="auto"/>
                <w:sz w:val="18"/>
                <w:szCs w:val="18"/>
                <w:highlight w:val="none"/>
              </w:rPr>
            </w:pPr>
            <w:r>
              <w:rPr>
                <w:rFonts w:hint="default" w:ascii="Times New Roman" w:hAnsi="Times New Roman"/>
                <w:b/>
                <w:color w:val="auto"/>
                <w:sz w:val="18"/>
                <w:szCs w:val="18"/>
                <w:highlight w:val="none"/>
              </w:rPr>
              <w:t>公式2：最低评标价法（折扣比例）</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价格得分=（基准值）/（投标人的折扣比例）×100</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基准值=所评包或标段中所有通过商务、技术评审的合格投标人折扣比例中的最低值。</w:t>
            </w:r>
          </w:p>
          <w:p>
            <w:pPr>
              <w:spacing w:before="156" w:beforeLines="50"/>
              <w:rPr>
                <w:rFonts w:hint="default" w:ascii="Times New Roman" w:hAnsi="Times New Roman"/>
                <w:b/>
                <w:color w:val="auto"/>
                <w:sz w:val="18"/>
                <w:szCs w:val="18"/>
                <w:highlight w:val="none"/>
              </w:rPr>
            </w:pPr>
            <w:r>
              <w:rPr>
                <w:rFonts w:hint="default" w:ascii="Times New Roman" w:hAnsi="Times New Roman"/>
                <w:b/>
                <w:color w:val="auto"/>
                <w:sz w:val="18"/>
                <w:szCs w:val="18"/>
                <w:highlight w:val="none"/>
              </w:rPr>
              <w:t>公式3：算术平均值下浮法（金额）</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价格得分=100-100×n×|基准价-投标人的评标价|/基准价</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当投标人的评标价≤基准价，n=1；</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当投标人的评标价＞基准价，n=2。</w:t>
            </w:r>
          </w:p>
          <w:p>
            <w:pPr>
              <w:rPr>
                <w:rFonts w:hint="default" w:ascii="Times New Roman" w:hAnsi="Times New Roman"/>
                <w:color w:val="auto"/>
                <w:sz w:val="18"/>
                <w:szCs w:val="18"/>
                <w:highlight w:val="none"/>
              </w:rPr>
            </w:pPr>
          </w:p>
          <w:p>
            <w:pPr>
              <w:rPr>
                <w:rFonts w:hint="default" w:ascii="Times New Roman" w:hAnsi="Times New Roman"/>
                <w:color w:val="auto"/>
                <w:sz w:val="18"/>
                <w:szCs w:val="18"/>
                <w:highlight w:val="none"/>
                <w:u w:val="single"/>
              </w:rPr>
            </w:pPr>
            <w:r>
              <w:rPr>
                <w:rFonts w:hint="default" w:ascii="Times New Roman" w:hAnsi="Times New Roman"/>
                <w:color w:val="auto"/>
                <w:sz w:val="18"/>
                <w:szCs w:val="18"/>
                <w:highlight w:val="none"/>
              </w:rPr>
              <w:t>基准价为所有通过技术、商务评审的合格投标人的评标价去掉部分高价和部分低价后（但不影响其参与价格分计算）的算术平均值乘以（1</w:t>
            </w:r>
            <w:r>
              <w:rPr>
                <w:rFonts w:ascii="Times New Roman" w:hAnsi="Times New Roman"/>
                <w:color w:val="auto"/>
                <w:sz w:val="18"/>
                <w:szCs w:val="18"/>
                <w:highlight w:val="none"/>
              </w:rPr>
              <w:t>-下浮</w:t>
            </w:r>
            <w:r>
              <w:rPr>
                <w:rFonts w:hint="default" w:ascii="Times New Roman" w:hAnsi="Times New Roman"/>
                <w:color w:val="auto"/>
                <w:sz w:val="18"/>
                <w:szCs w:val="18"/>
                <w:highlight w:val="none"/>
              </w:rPr>
              <w:t>系数）。</w:t>
            </w:r>
          </w:p>
          <w:p>
            <w:pPr>
              <w:rPr>
                <w:rFonts w:hint="default" w:ascii="Times New Roman" w:hAnsi="Times New Roman"/>
                <w:color w:val="auto"/>
                <w:sz w:val="18"/>
                <w:szCs w:val="18"/>
                <w:highlight w:val="none"/>
              </w:rPr>
            </w:pP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其中计算基准价时，需要去除的评标价情况如下：</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M：为通过技术、商务评审的合格投标人数量</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M≤5时，直接计算；</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M=6时，去掉一个最高价；</w:t>
            </w:r>
          </w:p>
          <w:p>
            <w:pPr>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M≥7时，去掉一个最高价、一个最低价。</w:t>
            </w:r>
          </w:p>
          <w:p>
            <w:pPr>
              <w:snapToGrid w:val="0"/>
              <w:rPr>
                <w:rFonts w:ascii="Times New Roman" w:hAnsi="Times New Roman"/>
                <w:color w:val="auto"/>
                <w:sz w:val="18"/>
                <w:szCs w:val="18"/>
                <w:highlight w:val="none"/>
              </w:rPr>
            </w:pPr>
            <w:r>
              <w:rPr>
                <w:rFonts w:ascii="Times New Roman" w:hAnsi="Times New Roman"/>
                <w:color w:val="auto"/>
                <w:sz w:val="18"/>
                <w:szCs w:val="18"/>
                <w:highlight w:val="none"/>
              </w:rPr>
              <w:t>注：</w:t>
            </w:r>
          </w:p>
          <w:p>
            <w:pPr>
              <w:snapToGrid w:val="0"/>
              <w:rPr>
                <w:rFonts w:ascii="Times New Roman" w:hAnsi="Times New Roman"/>
                <w:color w:val="auto"/>
                <w:sz w:val="18"/>
                <w:szCs w:val="18"/>
                <w:highlight w:val="none"/>
              </w:rPr>
            </w:pPr>
            <w:r>
              <w:rPr>
                <w:rFonts w:ascii="Times New Roman" w:hAnsi="Times New Roman"/>
                <w:color w:val="auto"/>
                <w:sz w:val="18"/>
                <w:szCs w:val="18"/>
                <w:highlight w:val="none"/>
              </w:rPr>
              <w:t>1.评标价：合格投标人的投标报价经算术错误修正后的价格。</w:t>
            </w:r>
          </w:p>
          <w:p>
            <w:pPr>
              <w:snapToGrid w:val="0"/>
              <w:rPr>
                <w:rFonts w:ascii="Times New Roman" w:hAnsi="Times New Roman"/>
                <w:b/>
                <w:color w:val="auto"/>
                <w:kern w:val="0"/>
                <w:sz w:val="18"/>
                <w:szCs w:val="18"/>
                <w:highlight w:val="none"/>
              </w:rPr>
            </w:pPr>
            <w:r>
              <w:rPr>
                <w:rFonts w:ascii="Times New Roman" w:hAnsi="Times New Roman"/>
                <w:color w:val="auto"/>
                <w:sz w:val="18"/>
                <w:szCs w:val="18"/>
                <w:highlight w:val="none"/>
              </w:rPr>
              <w:t>2.当计算出的价格部分得分＜0，按0分计。</w:t>
            </w:r>
          </w:p>
          <w:p>
            <w:pPr>
              <w:pStyle w:val="37"/>
              <w:snapToGrid w:val="0"/>
              <w:spacing w:before="156" w:beforeLines="50"/>
              <w:rPr>
                <w:rFonts w:hint="default" w:ascii="Times New Roman" w:hAnsi="Times New Roman"/>
                <w:b/>
                <w:color w:val="auto"/>
                <w:sz w:val="18"/>
                <w:szCs w:val="18"/>
                <w:highlight w:val="none"/>
              </w:rPr>
            </w:pPr>
            <w:r>
              <w:rPr>
                <w:rFonts w:hint="default" w:ascii="Times New Roman" w:hAnsi="Times New Roman"/>
                <w:b/>
                <w:color w:val="auto"/>
                <w:sz w:val="18"/>
                <w:szCs w:val="18"/>
                <w:highlight w:val="none"/>
              </w:rPr>
              <w:t>公式</w:t>
            </w:r>
            <w:r>
              <w:rPr>
                <w:rFonts w:ascii="Times New Roman" w:hAnsi="Times New Roman"/>
                <w:b/>
                <w:color w:val="auto"/>
                <w:sz w:val="18"/>
                <w:szCs w:val="18"/>
                <w:highlight w:val="none"/>
              </w:rPr>
              <w:t>4</w:t>
            </w:r>
            <w:r>
              <w:rPr>
                <w:rFonts w:hint="default" w:ascii="Times New Roman" w:hAnsi="Times New Roman"/>
                <w:b/>
                <w:color w:val="auto"/>
                <w:sz w:val="18"/>
                <w:szCs w:val="18"/>
                <w:highlight w:val="none"/>
              </w:rPr>
              <w:t>：算术平均值下浮法（费率）</w:t>
            </w:r>
          </w:p>
          <w:p>
            <w:pPr>
              <w:pStyle w:val="37"/>
              <w:topLinePunct/>
              <w:snapToGrid w:val="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价格得分=100-100×n×|基准值-投标人的费率|/基准值</w:t>
            </w:r>
          </w:p>
          <w:p>
            <w:pPr>
              <w:pStyle w:val="37"/>
              <w:topLinePunct/>
              <w:snapToGrid w:val="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当投标人的费率≤基准值，n=1；</w:t>
            </w:r>
          </w:p>
          <w:p>
            <w:pPr>
              <w:pStyle w:val="37"/>
              <w:topLinePunct/>
              <w:snapToGrid w:val="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当投标人的费率＞基准值，n=2。</w:t>
            </w:r>
          </w:p>
          <w:p>
            <w:pPr>
              <w:pStyle w:val="37"/>
              <w:topLinePunct/>
              <w:snapToGrid w:val="0"/>
              <w:rPr>
                <w:rFonts w:hint="default" w:ascii="Times New Roman" w:hAnsi="Times New Roman"/>
                <w:color w:val="auto"/>
                <w:sz w:val="18"/>
                <w:szCs w:val="18"/>
                <w:highlight w:val="none"/>
              </w:rPr>
            </w:pPr>
          </w:p>
          <w:p>
            <w:pPr>
              <w:pStyle w:val="37"/>
              <w:topLinePunct/>
              <w:snapToGrid w:val="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基准值为所有通过技术、商务评审的合格投标人的费率去掉部分高值和部分低值后（但不影响其参与价格分计算）的算术平均值乘以（1</w:t>
            </w:r>
            <w:r>
              <w:rPr>
                <w:rFonts w:ascii="Times New Roman" w:hAnsi="Times New Roman"/>
                <w:color w:val="auto"/>
                <w:sz w:val="18"/>
                <w:szCs w:val="18"/>
                <w:highlight w:val="none"/>
              </w:rPr>
              <w:t>-下浮</w:t>
            </w:r>
            <w:r>
              <w:rPr>
                <w:rFonts w:hint="default" w:ascii="Times New Roman" w:hAnsi="Times New Roman"/>
                <w:color w:val="auto"/>
                <w:sz w:val="18"/>
                <w:szCs w:val="18"/>
                <w:highlight w:val="none"/>
              </w:rPr>
              <w:t>系数）。</w:t>
            </w:r>
          </w:p>
          <w:p>
            <w:pPr>
              <w:pStyle w:val="37"/>
              <w:topLinePunct/>
              <w:snapToGrid w:val="0"/>
              <w:rPr>
                <w:rFonts w:hint="default" w:ascii="Times New Roman" w:hAnsi="Times New Roman"/>
                <w:color w:val="auto"/>
                <w:sz w:val="18"/>
                <w:szCs w:val="18"/>
                <w:highlight w:val="none"/>
              </w:rPr>
            </w:pPr>
          </w:p>
          <w:p>
            <w:pPr>
              <w:pStyle w:val="37"/>
              <w:topLinePunct/>
              <w:snapToGrid w:val="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其中计算基准值时，需要去除的费率情况如下：</w:t>
            </w:r>
          </w:p>
          <w:p>
            <w:pPr>
              <w:pStyle w:val="37"/>
              <w:topLinePunct/>
              <w:snapToGrid w:val="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M：为通过技术、商务评审的合格投标人数量</w:t>
            </w:r>
          </w:p>
          <w:p>
            <w:pPr>
              <w:pStyle w:val="37"/>
              <w:topLinePunct/>
              <w:snapToGrid w:val="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M≤5时，直接计算；</w:t>
            </w:r>
          </w:p>
          <w:p>
            <w:pPr>
              <w:pStyle w:val="37"/>
              <w:topLinePunct/>
              <w:snapToGrid w:val="0"/>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M=6时，去掉一个最高值；</w:t>
            </w:r>
          </w:p>
          <w:p>
            <w:pPr>
              <w:pStyle w:val="37"/>
              <w:rPr>
                <w:rFonts w:hint="default" w:ascii="Times New Roman" w:hAnsi="Times New Roman"/>
                <w:color w:val="auto"/>
                <w:sz w:val="18"/>
                <w:szCs w:val="18"/>
                <w:highlight w:val="none"/>
              </w:rPr>
            </w:pPr>
            <w:r>
              <w:rPr>
                <w:rFonts w:hint="default" w:ascii="Times New Roman" w:hAnsi="Times New Roman"/>
                <w:color w:val="auto"/>
                <w:sz w:val="18"/>
                <w:szCs w:val="18"/>
                <w:highlight w:val="none"/>
              </w:rPr>
              <w:t>M≥7时，去掉一个最高值、一个最低值。</w:t>
            </w:r>
          </w:p>
          <w:p>
            <w:pPr>
              <w:rPr>
                <w:rFonts w:ascii="Times New Roman" w:hAnsi="Times New Roman"/>
                <w:color w:val="auto"/>
                <w:sz w:val="18"/>
                <w:szCs w:val="18"/>
                <w:highlight w:val="none"/>
              </w:rPr>
            </w:pPr>
            <w:r>
              <w:rPr>
                <w:rFonts w:ascii="Times New Roman" w:hAnsi="Times New Roman"/>
                <w:color w:val="auto"/>
                <w:sz w:val="18"/>
                <w:szCs w:val="18"/>
                <w:highlight w:val="none"/>
              </w:rPr>
              <w:t>注：当计算出的价格部分得分＜0，按0分计。</w:t>
            </w:r>
          </w:p>
          <w:p>
            <w:pPr>
              <w:pStyle w:val="37"/>
              <w:autoSpaceDE w:val="0"/>
              <w:autoSpaceDN w:val="0"/>
              <w:snapToGrid w:val="0"/>
              <w:spacing w:before="156" w:beforeLines="50"/>
              <w:rPr>
                <w:rFonts w:hint="default"/>
                <w:b/>
                <w:color w:val="auto"/>
                <w:kern w:val="0"/>
                <w:sz w:val="18"/>
                <w:szCs w:val="22"/>
                <w:highlight w:val="none"/>
              </w:rPr>
            </w:pPr>
            <w:r>
              <w:rPr>
                <w:rFonts w:hint="default"/>
                <w:b/>
                <w:color w:val="auto"/>
                <w:kern w:val="0"/>
                <w:sz w:val="18"/>
                <w:szCs w:val="18"/>
                <w:highlight w:val="none"/>
              </w:rPr>
              <w:t>公式</w:t>
            </w:r>
            <w:r>
              <w:rPr>
                <w:b/>
                <w:color w:val="auto"/>
                <w:kern w:val="0"/>
                <w:sz w:val="18"/>
                <w:szCs w:val="18"/>
                <w:highlight w:val="none"/>
              </w:rPr>
              <w:t>5</w:t>
            </w:r>
            <w:r>
              <w:rPr>
                <w:rFonts w:hint="default"/>
                <w:b/>
                <w:color w:val="auto"/>
                <w:kern w:val="0"/>
                <w:sz w:val="18"/>
                <w:szCs w:val="18"/>
                <w:highlight w:val="none"/>
              </w:rPr>
              <w:t>：算术平均值下浮法（</w:t>
            </w:r>
            <w:r>
              <w:rPr>
                <w:b/>
                <w:color w:val="auto"/>
                <w:kern w:val="0"/>
                <w:sz w:val="18"/>
                <w:szCs w:val="18"/>
                <w:highlight w:val="none"/>
              </w:rPr>
              <w:t>基准价去同</w:t>
            </w:r>
            <w:r>
              <w:rPr>
                <w:rFonts w:hint="default"/>
                <w:b/>
                <w:color w:val="auto"/>
                <w:kern w:val="0"/>
                <w:sz w:val="18"/>
                <w:szCs w:val="18"/>
                <w:highlight w:val="none"/>
              </w:rPr>
              <w:t>）</w:t>
            </w:r>
          </w:p>
          <w:p>
            <w:pPr>
              <w:pStyle w:val="37"/>
              <w:topLinePunct/>
              <w:autoSpaceDE w:val="0"/>
              <w:autoSpaceDN w:val="0"/>
              <w:snapToGrid w:val="0"/>
              <w:rPr>
                <w:color w:val="auto"/>
                <w:kern w:val="0"/>
                <w:sz w:val="18"/>
                <w:szCs w:val="18"/>
                <w:highlight w:val="none"/>
              </w:rPr>
            </w:pPr>
            <w:r>
              <w:rPr>
                <w:color w:val="auto"/>
                <w:kern w:val="0"/>
                <w:sz w:val="18"/>
                <w:szCs w:val="18"/>
                <w:highlight w:val="none"/>
              </w:rPr>
              <w:t>价格得分=100-100×n×|基准价-投标人的评标价|/基准价</w:t>
            </w:r>
          </w:p>
          <w:p>
            <w:pPr>
              <w:pStyle w:val="37"/>
              <w:topLinePunct/>
              <w:autoSpaceDE w:val="0"/>
              <w:autoSpaceDN w:val="0"/>
              <w:snapToGrid w:val="0"/>
              <w:rPr>
                <w:rFonts w:hint="eastAsia" w:ascii="Times New Roman" w:hAnsi="Times New Roman" w:eastAsia="宋体" w:cs="Times New Roman"/>
                <w:color w:val="auto"/>
                <w:kern w:val="2"/>
                <w:sz w:val="18"/>
                <w:szCs w:val="18"/>
                <w:highlight w:val="none"/>
                <w:lang w:val="en-US" w:eastAsia="zh-CN" w:bidi="ar-SA"/>
              </w:rPr>
            </w:pPr>
            <w:r>
              <w:rPr>
                <w:rFonts w:hint="eastAsia" w:ascii="Times New Roman" w:hAnsi="Times New Roman" w:eastAsia="宋体" w:cs="Times New Roman"/>
                <w:color w:val="auto"/>
                <w:kern w:val="2"/>
                <w:sz w:val="18"/>
                <w:szCs w:val="18"/>
                <w:highlight w:val="none"/>
                <w:lang w:val="en-US" w:eastAsia="zh-CN" w:bidi="ar-SA"/>
              </w:rPr>
              <w:t>正向系数为评标价格计算公式中当投标人的评标价＞基准价时的</w:t>
            </w:r>
            <w:r>
              <w:rPr>
                <w:rFonts w:ascii="Times New Roman" w:hAnsi="Times New Roman" w:eastAsia="宋体" w:cs="Times New Roman"/>
                <w:color w:val="auto"/>
                <w:kern w:val="2"/>
                <w:sz w:val="18"/>
                <w:szCs w:val="18"/>
                <w:highlight w:val="none"/>
                <w:lang w:val="en-US" w:eastAsia="zh-CN" w:bidi="ar-SA"/>
              </w:rPr>
              <w:t>n</w:t>
            </w:r>
            <w:r>
              <w:rPr>
                <w:rFonts w:hint="eastAsia" w:ascii="Times New Roman" w:hAnsi="Times New Roman" w:eastAsia="宋体" w:cs="Times New Roman"/>
                <w:color w:val="auto"/>
                <w:kern w:val="2"/>
                <w:sz w:val="18"/>
                <w:szCs w:val="18"/>
                <w:highlight w:val="none"/>
                <w:lang w:val="en-US" w:eastAsia="zh-CN" w:bidi="ar-SA"/>
              </w:rPr>
              <w:t>值；</w:t>
            </w:r>
          </w:p>
          <w:p>
            <w:pPr>
              <w:pStyle w:val="37"/>
              <w:topLinePunct/>
              <w:autoSpaceDE w:val="0"/>
              <w:autoSpaceDN w:val="0"/>
              <w:snapToGrid w:val="0"/>
              <w:rPr>
                <w:rFonts w:hint="eastAsia" w:ascii="Times New Roman" w:hAnsi="Times New Roman" w:eastAsia="宋体" w:cs="Times New Roman"/>
                <w:color w:val="auto"/>
                <w:kern w:val="2"/>
                <w:sz w:val="18"/>
                <w:szCs w:val="18"/>
                <w:highlight w:val="none"/>
                <w:lang w:val="en-US" w:eastAsia="zh-CN" w:bidi="ar-SA"/>
              </w:rPr>
            </w:pPr>
            <w:r>
              <w:rPr>
                <w:rFonts w:hint="eastAsia" w:ascii="Times New Roman" w:hAnsi="Times New Roman" w:eastAsia="宋体" w:cs="Times New Roman"/>
                <w:color w:val="auto"/>
                <w:kern w:val="2"/>
                <w:sz w:val="18"/>
                <w:szCs w:val="18"/>
                <w:highlight w:val="none"/>
                <w:lang w:val="en-US" w:eastAsia="zh-CN" w:bidi="ar-SA"/>
              </w:rPr>
              <w:t>负向系数为评标价格计算公式中当投标人的评标价</w:t>
            </w:r>
            <w:r>
              <w:rPr>
                <w:rFonts w:ascii="Times New Roman" w:hAnsi="Times New Roman" w:eastAsia="宋体" w:cs="Times New Roman"/>
                <w:color w:val="auto"/>
                <w:kern w:val="2"/>
                <w:sz w:val="18"/>
                <w:szCs w:val="18"/>
                <w:highlight w:val="none"/>
                <w:lang w:val="en-US" w:eastAsia="zh-CN" w:bidi="ar-SA"/>
              </w:rPr>
              <w:t>≤</w:t>
            </w:r>
            <w:r>
              <w:rPr>
                <w:rFonts w:hint="eastAsia" w:ascii="Times New Roman" w:hAnsi="Times New Roman" w:eastAsia="宋体" w:cs="Times New Roman"/>
                <w:color w:val="auto"/>
                <w:kern w:val="2"/>
                <w:sz w:val="18"/>
                <w:szCs w:val="18"/>
                <w:highlight w:val="none"/>
                <w:lang w:val="en-US" w:eastAsia="zh-CN" w:bidi="ar-SA"/>
              </w:rPr>
              <w:t>基准价时的</w:t>
            </w:r>
            <w:r>
              <w:rPr>
                <w:rFonts w:ascii="Times New Roman" w:hAnsi="Times New Roman" w:eastAsia="宋体" w:cs="Times New Roman"/>
                <w:color w:val="auto"/>
                <w:kern w:val="2"/>
                <w:sz w:val="18"/>
                <w:szCs w:val="18"/>
                <w:highlight w:val="none"/>
                <w:lang w:val="en-US" w:eastAsia="zh-CN" w:bidi="ar-SA"/>
              </w:rPr>
              <w:t>n</w:t>
            </w:r>
            <w:r>
              <w:rPr>
                <w:rFonts w:hint="eastAsia" w:ascii="Times New Roman" w:hAnsi="Times New Roman" w:eastAsia="宋体" w:cs="Times New Roman"/>
                <w:color w:val="auto"/>
                <w:kern w:val="2"/>
                <w:sz w:val="18"/>
                <w:szCs w:val="18"/>
                <w:highlight w:val="none"/>
                <w:lang w:val="en-US" w:eastAsia="zh-CN" w:bidi="ar-SA"/>
              </w:rPr>
              <w:t>值。</w:t>
            </w:r>
          </w:p>
          <w:p>
            <w:pPr>
              <w:pStyle w:val="37"/>
              <w:topLinePunct/>
              <w:autoSpaceDE w:val="0"/>
              <w:autoSpaceDN w:val="0"/>
              <w:snapToGrid w:val="0"/>
              <w:rPr>
                <w:color w:val="auto"/>
                <w:kern w:val="0"/>
                <w:sz w:val="18"/>
                <w:szCs w:val="18"/>
                <w:highlight w:val="none"/>
              </w:rPr>
            </w:pPr>
            <w:r>
              <w:rPr>
                <w:color w:val="auto"/>
                <w:kern w:val="0"/>
                <w:sz w:val="18"/>
                <w:szCs w:val="18"/>
                <w:highlight w:val="none"/>
              </w:rPr>
              <w:t>基准价为所有通过技术、商务评审的合格投标人的评标价先去掉部分“相同”报价后，再去掉部分高价和部分低价（均不影响其参与价格分计算）的算术平均值乘以（1-下浮系数）。</w:t>
            </w:r>
          </w:p>
          <w:p>
            <w:pPr>
              <w:pStyle w:val="37"/>
              <w:topLinePunct/>
              <w:autoSpaceDE w:val="0"/>
              <w:autoSpaceDN w:val="0"/>
              <w:snapToGrid w:val="0"/>
              <w:rPr>
                <w:color w:val="auto"/>
                <w:kern w:val="0"/>
                <w:sz w:val="18"/>
                <w:szCs w:val="18"/>
                <w:highlight w:val="none"/>
              </w:rPr>
            </w:pPr>
            <w:r>
              <w:rPr>
                <w:color w:val="auto"/>
                <w:kern w:val="0"/>
                <w:sz w:val="18"/>
                <w:szCs w:val="18"/>
                <w:highlight w:val="none"/>
              </w:rPr>
              <w:t> </w:t>
            </w:r>
          </w:p>
          <w:p>
            <w:pPr>
              <w:pStyle w:val="37"/>
              <w:topLinePunct/>
              <w:autoSpaceDE w:val="0"/>
              <w:autoSpaceDN w:val="0"/>
              <w:snapToGrid w:val="0"/>
              <w:rPr>
                <w:color w:val="auto"/>
                <w:kern w:val="0"/>
                <w:sz w:val="18"/>
                <w:szCs w:val="18"/>
                <w:highlight w:val="none"/>
              </w:rPr>
            </w:pPr>
            <w:r>
              <w:rPr>
                <w:color w:val="auto"/>
                <w:kern w:val="0"/>
                <w:sz w:val="18"/>
                <w:szCs w:val="18"/>
                <w:highlight w:val="none"/>
              </w:rPr>
              <w:t>需要去除的报价情况如下：</w:t>
            </w:r>
          </w:p>
          <w:p>
            <w:pPr>
              <w:pStyle w:val="37"/>
              <w:topLinePunct/>
              <w:autoSpaceDE w:val="0"/>
              <w:autoSpaceDN w:val="0"/>
              <w:snapToGrid w:val="0"/>
              <w:rPr>
                <w:color w:val="auto"/>
                <w:kern w:val="0"/>
                <w:sz w:val="18"/>
                <w:szCs w:val="18"/>
                <w:highlight w:val="none"/>
              </w:rPr>
            </w:pPr>
            <w:r>
              <w:rPr>
                <w:color w:val="auto"/>
                <w:kern w:val="0"/>
                <w:sz w:val="18"/>
                <w:szCs w:val="18"/>
                <w:highlight w:val="none"/>
              </w:rPr>
              <w:t>对于两个及以上“相同”的投标报价（万元），只取其中的最低投标报价参与基准价计算。“相同”是指投标报价（万元）除以S，四舍五入取整后相同。</w:t>
            </w:r>
          </w:p>
          <w:p>
            <w:pPr>
              <w:pStyle w:val="37"/>
              <w:topLinePunct/>
              <w:autoSpaceDE w:val="0"/>
              <w:autoSpaceDN w:val="0"/>
              <w:snapToGrid w:val="0"/>
              <w:rPr>
                <w:color w:val="auto"/>
                <w:kern w:val="0"/>
                <w:sz w:val="18"/>
                <w:szCs w:val="18"/>
                <w:highlight w:val="none"/>
              </w:rPr>
            </w:pPr>
            <w:r>
              <w:rPr>
                <w:color w:val="auto"/>
                <w:kern w:val="0"/>
                <w:sz w:val="18"/>
                <w:szCs w:val="18"/>
                <w:highlight w:val="none"/>
              </w:rPr>
              <w:t>S为“相同系数”：A0为所有通过技术、商务评审的合格投标人的评标价的算术平均值；</w:t>
            </w:r>
          </w:p>
          <w:p>
            <w:pPr>
              <w:pStyle w:val="37"/>
              <w:topLinePunct/>
              <w:autoSpaceDE w:val="0"/>
              <w:autoSpaceDN w:val="0"/>
              <w:snapToGrid w:val="0"/>
              <w:rPr>
                <w:color w:val="auto"/>
                <w:kern w:val="0"/>
                <w:sz w:val="18"/>
                <w:szCs w:val="18"/>
                <w:highlight w:val="none"/>
              </w:rPr>
            </w:pPr>
            <w:r>
              <w:rPr>
                <w:color w:val="auto"/>
                <w:kern w:val="0"/>
                <w:sz w:val="18"/>
                <w:szCs w:val="18"/>
                <w:highlight w:val="none"/>
              </w:rPr>
              <w:t> </w:t>
            </w:r>
          </w:p>
          <w:p>
            <w:pPr>
              <w:pStyle w:val="37"/>
              <w:topLinePunct/>
              <w:autoSpaceDE w:val="0"/>
              <w:autoSpaceDN w:val="0"/>
              <w:snapToGrid w:val="0"/>
              <w:rPr>
                <w:color w:val="auto"/>
                <w:kern w:val="0"/>
                <w:sz w:val="18"/>
                <w:szCs w:val="18"/>
                <w:highlight w:val="none"/>
              </w:rPr>
            </w:pPr>
            <w:r>
              <w:rPr>
                <w:color w:val="auto"/>
                <w:kern w:val="0"/>
                <w:sz w:val="18"/>
                <w:szCs w:val="18"/>
                <w:highlight w:val="none"/>
              </w:rPr>
              <w:t>A0＜100时，取S=1；</w:t>
            </w:r>
          </w:p>
          <w:p>
            <w:pPr>
              <w:pStyle w:val="37"/>
              <w:topLinePunct/>
              <w:autoSpaceDE w:val="0"/>
              <w:autoSpaceDN w:val="0"/>
              <w:snapToGrid w:val="0"/>
              <w:rPr>
                <w:color w:val="auto"/>
                <w:kern w:val="0"/>
                <w:sz w:val="18"/>
                <w:szCs w:val="18"/>
                <w:highlight w:val="none"/>
              </w:rPr>
            </w:pPr>
            <w:r>
              <w:rPr>
                <w:color w:val="auto"/>
                <w:kern w:val="0"/>
                <w:sz w:val="18"/>
                <w:szCs w:val="18"/>
                <w:highlight w:val="none"/>
              </w:rPr>
              <w:t>100≤A0＜1000时，取S=5；</w:t>
            </w:r>
          </w:p>
          <w:p>
            <w:pPr>
              <w:pStyle w:val="37"/>
              <w:topLinePunct/>
              <w:autoSpaceDE w:val="0"/>
              <w:autoSpaceDN w:val="0"/>
              <w:snapToGrid w:val="0"/>
              <w:rPr>
                <w:color w:val="auto"/>
                <w:kern w:val="0"/>
                <w:sz w:val="18"/>
                <w:szCs w:val="18"/>
                <w:highlight w:val="none"/>
              </w:rPr>
            </w:pPr>
            <w:r>
              <w:rPr>
                <w:color w:val="auto"/>
                <w:kern w:val="0"/>
                <w:sz w:val="18"/>
                <w:szCs w:val="18"/>
                <w:highlight w:val="none"/>
              </w:rPr>
              <w:t>1000≤A0时，取S=10。</w:t>
            </w:r>
          </w:p>
          <w:p>
            <w:pPr>
              <w:pStyle w:val="37"/>
              <w:topLinePunct/>
              <w:autoSpaceDE w:val="0"/>
              <w:autoSpaceDN w:val="0"/>
              <w:snapToGrid w:val="0"/>
              <w:rPr>
                <w:color w:val="auto"/>
                <w:kern w:val="0"/>
                <w:sz w:val="18"/>
                <w:szCs w:val="18"/>
                <w:highlight w:val="none"/>
              </w:rPr>
            </w:pPr>
            <w:r>
              <w:rPr>
                <w:color w:val="auto"/>
                <w:kern w:val="0"/>
                <w:sz w:val="18"/>
                <w:szCs w:val="18"/>
                <w:highlight w:val="none"/>
              </w:rPr>
              <w:t> </w:t>
            </w:r>
          </w:p>
          <w:p>
            <w:pPr>
              <w:pStyle w:val="37"/>
              <w:topLinePunct/>
              <w:autoSpaceDE w:val="0"/>
              <w:autoSpaceDN w:val="0"/>
              <w:snapToGrid w:val="0"/>
              <w:rPr>
                <w:color w:val="auto"/>
                <w:kern w:val="0"/>
                <w:sz w:val="18"/>
                <w:szCs w:val="18"/>
                <w:highlight w:val="none"/>
              </w:rPr>
            </w:pPr>
            <w:r>
              <w:rPr>
                <w:color w:val="auto"/>
                <w:kern w:val="0"/>
                <w:sz w:val="18"/>
                <w:szCs w:val="18"/>
                <w:highlight w:val="none"/>
              </w:rPr>
              <w:t>M： 为去掉部分“相同”报价后的评标价的数量。</w:t>
            </w:r>
          </w:p>
          <w:p>
            <w:pPr>
              <w:pStyle w:val="37"/>
              <w:topLinePunct/>
              <w:autoSpaceDE w:val="0"/>
              <w:autoSpaceDN w:val="0"/>
              <w:snapToGrid w:val="0"/>
              <w:rPr>
                <w:color w:val="auto"/>
                <w:kern w:val="0"/>
                <w:sz w:val="18"/>
                <w:szCs w:val="18"/>
                <w:highlight w:val="none"/>
              </w:rPr>
            </w:pPr>
            <w:r>
              <w:rPr>
                <w:color w:val="auto"/>
                <w:kern w:val="0"/>
                <w:sz w:val="18"/>
                <w:szCs w:val="18"/>
                <w:highlight w:val="none"/>
              </w:rPr>
              <w:t>M≤5时，直接计算；</w:t>
            </w:r>
          </w:p>
          <w:p>
            <w:pPr>
              <w:pStyle w:val="37"/>
              <w:topLinePunct/>
              <w:autoSpaceDE w:val="0"/>
              <w:autoSpaceDN w:val="0"/>
              <w:snapToGrid w:val="0"/>
              <w:rPr>
                <w:color w:val="auto"/>
                <w:kern w:val="0"/>
                <w:sz w:val="18"/>
                <w:szCs w:val="18"/>
                <w:highlight w:val="none"/>
              </w:rPr>
            </w:pPr>
            <w:r>
              <w:rPr>
                <w:color w:val="auto"/>
                <w:kern w:val="0"/>
                <w:sz w:val="18"/>
                <w:szCs w:val="18"/>
                <w:highlight w:val="none"/>
              </w:rPr>
              <w:t>M=6时，去掉一个最高价；</w:t>
            </w:r>
          </w:p>
          <w:p>
            <w:pPr>
              <w:pStyle w:val="37"/>
              <w:topLinePunct/>
              <w:autoSpaceDE w:val="0"/>
              <w:autoSpaceDN w:val="0"/>
              <w:snapToGrid w:val="0"/>
              <w:rPr>
                <w:color w:val="auto"/>
                <w:kern w:val="0"/>
                <w:sz w:val="18"/>
                <w:szCs w:val="18"/>
                <w:highlight w:val="none"/>
              </w:rPr>
            </w:pPr>
            <w:r>
              <w:rPr>
                <w:color w:val="auto"/>
                <w:kern w:val="0"/>
                <w:sz w:val="18"/>
                <w:szCs w:val="18"/>
                <w:highlight w:val="none"/>
              </w:rPr>
              <w:t>M≥7时，去掉一个最高价、一个最低价。</w:t>
            </w:r>
          </w:p>
          <w:p>
            <w:pPr>
              <w:pStyle w:val="37"/>
              <w:topLinePunct/>
              <w:autoSpaceDE w:val="0"/>
              <w:autoSpaceDN w:val="0"/>
              <w:snapToGrid w:val="0"/>
              <w:rPr>
                <w:color w:val="auto"/>
                <w:kern w:val="0"/>
                <w:sz w:val="18"/>
                <w:szCs w:val="18"/>
                <w:highlight w:val="none"/>
              </w:rPr>
            </w:pPr>
            <w:r>
              <w:rPr>
                <w:color w:val="auto"/>
                <w:kern w:val="0"/>
                <w:sz w:val="18"/>
                <w:szCs w:val="18"/>
                <w:highlight w:val="none"/>
              </w:rPr>
              <w:t> </w:t>
            </w:r>
          </w:p>
          <w:p>
            <w:pPr>
              <w:pStyle w:val="37"/>
              <w:topLinePunct/>
              <w:autoSpaceDE w:val="0"/>
              <w:autoSpaceDN w:val="0"/>
              <w:snapToGrid w:val="0"/>
              <w:rPr>
                <w:color w:val="auto"/>
                <w:kern w:val="0"/>
                <w:sz w:val="18"/>
                <w:szCs w:val="18"/>
                <w:highlight w:val="none"/>
              </w:rPr>
            </w:pPr>
            <w:r>
              <w:rPr>
                <w:color w:val="auto"/>
                <w:kern w:val="0"/>
                <w:sz w:val="18"/>
                <w:szCs w:val="18"/>
                <w:highlight w:val="none"/>
              </w:rPr>
              <w:t>注：</w:t>
            </w:r>
          </w:p>
          <w:p>
            <w:pPr>
              <w:pStyle w:val="37"/>
              <w:topLinePunct/>
              <w:autoSpaceDE w:val="0"/>
              <w:autoSpaceDN w:val="0"/>
              <w:snapToGrid w:val="0"/>
              <w:rPr>
                <w:color w:val="auto"/>
                <w:kern w:val="0"/>
                <w:sz w:val="18"/>
                <w:szCs w:val="18"/>
                <w:highlight w:val="none"/>
              </w:rPr>
            </w:pPr>
            <w:r>
              <w:rPr>
                <w:color w:val="auto"/>
                <w:kern w:val="0"/>
                <w:sz w:val="18"/>
                <w:szCs w:val="18"/>
                <w:highlight w:val="none"/>
              </w:rPr>
              <w:t>1.评标价：合格投标人的投标报价经算术错误修正后的价格。</w:t>
            </w:r>
          </w:p>
          <w:p>
            <w:pPr>
              <w:pStyle w:val="37"/>
              <w:topLinePunct/>
              <w:autoSpaceDE w:val="0"/>
              <w:autoSpaceDN w:val="0"/>
              <w:snapToGrid w:val="0"/>
              <w:rPr>
                <w:color w:val="auto"/>
                <w:kern w:val="0"/>
                <w:sz w:val="18"/>
                <w:szCs w:val="18"/>
                <w:highlight w:val="none"/>
              </w:rPr>
            </w:pPr>
            <w:r>
              <w:rPr>
                <w:color w:val="auto"/>
                <w:kern w:val="0"/>
                <w:sz w:val="18"/>
                <w:szCs w:val="18"/>
                <w:highlight w:val="none"/>
              </w:rPr>
              <w:t>2.当计算出的价格部分得分＜0，按0分计。</w:t>
            </w:r>
          </w:p>
          <w:p>
            <w:pPr>
              <w:widowControl/>
              <w:rPr>
                <w:rFonts w:hint="eastAsia" w:ascii="宋体" w:hAnsi="宋体" w:eastAsia="宋体" w:cs="宋体"/>
                <w:b/>
                <w:color w:val="auto"/>
                <w:sz w:val="21"/>
                <w:szCs w:val="21"/>
                <w:highlight w:val="none"/>
              </w:rPr>
            </w:pPr>
          </w:p>
        </w:tc>
      </w:tr>
    </w:tbl>
    <w:p>
      <w:pPr>
        <w:keepNext/>
        <w:keepLines/>
        <w:spacing w:beforeLines="100" w:afterLines="50" w:line="400" w:lineRule="exact"/>
        <w:ind w:left="0"/>
        <w:jc w:val="both"/>
        <w:rPr>
          <w:rFonts w:ascii="黑体" w:hAnsi="黑体" w:eastAsia="黑体" w:cs="黑体"/>
          <w:color w:val="auto"/>
          <w:sz w:val="24"/>
          <w:szCs w:val="24"/>
          <w:highlight w:val="none"/>
        </w:rPr>
      </w:pPr>
      <w:r>
        <w:rPr>
          <w:rFonts w:ascii="黑体" w:hAnsi="黑体" w:eastAsia="黑体" w:cs="黑体"/>
          <w:color w:val="auto"/>
          <w:sz w:val="24"/>
          <w:szCs w:val="24"/>
          <w:highlight w:val="none"/>
        </w:rPr>
        <w:br w:type="page"/>
      </w:r>
    </w:p>
    <w:p>
      <w:pPr>
        <w:pStyle w:val="3"/>
        <w:keepNext/>
        <w:keepLines/>
        <w:spacing w:beforeLines="100" w:afterLines="50" w:line="400" w:lineRule="exact"/>
        <w:ind w:left="0" w:firstLine="0"/>
        <w:jc w:val="both"/>
        <w:rPr>
          <w:rFonts w:ascii="黑体" w:hAnsi="黑体" w:eastAsia="黑体" w:cs="黑体"/>
          <w:color w:val="auto"/>
          <w:sz w:val="24"/>
          <w:szCs w:val="24"/>
          <w:highlight w:val="none"/>
        </w:rPr>
      </w:pPr>
      <w:r>
        <w:rPr>
          <w:rFonts w:ascii="黑体" w:hAnsi="黑体" w:eastAsia="黑体" w:cs="黑体"/>
          <w:color w:val="auto"/>
          <w:sz w:val="24"/>
          <w:szCs w:val="24"/>
          <w:highlight w:val="none"/>
        </w:rPr>
        <w:t>评标办法前附表</w:t>
      </w:r>
      <w:r>
        <w:rPr>
          <w:rFonts w:hint="eastAsia" w:ascii="黑体" w:hAnsi="黑体" w:eastAsia="黑体" w:cs="黑体"/>
          <w:color w:val="auto"/>
          <w:sz w:val="24"/>
          <w:szCs w:val="24"/>
          <w:highlight w:val="none"/>
        </w:rPr>
        <w:t>之六</w:t>
      </w:r>
    </w:p>
    <w:tbl>
      <w:tblPr>
        <w:tblStyle w:val="19"/>
        <w:tblW w:w="10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1758"/>
        <w:gridCol w:w="971"/>
        <w:gridCol w:w="945"/>
        <w:gridCol w:w="1212"/>
        <w:gridCol w:w="1287"/>
        <w:gridCol w:w="654"/>
        <w:gridCol w:w="673"/>
        <w:gridCol w:w="634"/>
        <w:gridCol w:w="17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510" w:type="dxa"/>
            <w:vMerge w:val="restart"/>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bookmarkStart w:id="270" w:name="_GoBack"/>
            <w:r>
              <w:rPr>
                <w:rFonts w:hint="eastAsia" w:ascii="宋体" w:hAnsi="宋体" w:eastAsia="宋体" w:cs="宋体"/>
                <w:b/>
                <w:bCs/>
                <w:color w:val="000000"/>
                <w:kern w:val="0"/>
                <w:sz w:val="18"/>
                <w:szCs w:val="18"/>
                <w:highlight w:val="none"/>
                <w:lang w:val="en-US" w:eastAsia="zh-CN" w:bidi="ar"/>
              </w:rPr>
              <w:t>序号</w:t>
            </w:r>
          </w:p>
        </w:tc>
        <w:tc>
          <w:tcPr>
            <w:tcW w:w="1758" w:type="dxa"/>
            <w:vMerge w:val="restart"/>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工程名称</w:t>
            </w:r>
          </w:p>
        </w:tc>
        <w:tc>
          <w:tcPr>
            <w:tcW w:w="971" w:type="dxa"/>
            <w:vMerge w:val="restart"/>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b/>
                <w:bCs/>
                <w:color w:val="000000"/>
                <w:kern w:val="0"/>
                <w:sz w:val="18"/>
                <w:szCs w:val="18"/>
                <w:highlight w:val="none"/>
              </w:rPr>
            </w:pPr>
            <w:r>
              <w:rPr>
                <w:rFonts w:hint="eastAsia" w:ascii="宋体" w:hAnsi="宋体" w:eastAsia="宋体" w:cs="宋体"/>
                <w:b/>
                <w:bCs/>
                <w:color w:val="000000"/>
                <w:kern w:val="0"/>
                <w:sz w:val="18"/>
                <w:szCs w:val="18"/>
                <w:highlight w:val="none"/>
                <w:lang w:val="en-US" w:eastAsia="zh-CN" w:bidi="ar"/>
              </w:rPr>
              <w:t>分标</w:t>
            </w:r>
          </w:p>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名称</w:t>
            </w:r>
          </w:p>
        </w:tc>
        <w:tc>
          <w:tcPr>
            <w:tcW w:w="945" w:type="dxa"/>
            <w:vMerge w:val="restart"/>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b/>
                <w:bCs/>
                <w:color w:val="000000"/>
                <w:kern w:val="0"/>
                <w:sz w:val="18"/>
                <w:szCs w:val="18"/>
                <w:highlight w:val="none"/>
              </w:rPr>
            </w:pPr>
            <w:r>
              <w:rPr>
                <w:rFonts w:hint="eastAsia" w:ascii="宋体" w:hAnsi="宋体" w:eastAsia="宋体" w:cs="宋体"/>
                <w:b/>
                <w:bCs/>
                <w:color w:val="000000"/>
                <w:kern w:val="0"/>
                <w:sz w:val="18"/>
                <w:szCs w:val="18"/>
                <w:highlight w:val="none"/>
                <w:lang w:val="en-US" w:eastAsia="zh-CN" w:bidi="ar"/>
              </w:rPr>
              <w:t>权重设置</w:t>
            </w:r>
          </w:p>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技:商:价</w:t>
            </w:r>
          </w:p>
        </w:tc>
        <w:tc>
          <w:tcPr>
            <w:tcW w:w="3826" w:type="dxa"/>
            <w:gridSpan w:val="4"/>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rPr>
              <w:t>价格计分算法</w:t>
            </w:r>
          </w:p>
        </w:tc>
        <w:tc>
          <w:tcPr>
            <w:tcW w:w="2382" w:type="dxa"/>
            <w:gridSpan w:val="2"/>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rPr>
              <w:t>同时中标最多数量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510"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b/>
                <w:bCs/>
                <w:color w:val="000000"/>
                <w:kern w:val="0"/>
                <w:sz w:val="18"/>
                <w:szCs w:val="18"/>
                <w:highlight w:val="none"/>
                <w:lang w:val="en-US" w:eastAsia="zh-CN" w:bidi="ar"/>
              </w:rPr>
            </w:pPr>
          </w:p>
        </w:tc>
        <w:tc>
          <w:tcPr>
            <w:tcW w:w="1758"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b/>
                <w:bCs/>
                <w:color w:val="000000"/>
                <w:kern w:val="0"/>
                <w:sz w:val="18"/>
                <w:szCs w:val="18"/>
                <w:highlight w:val="none"/>
                <w:lang w:val="en-US" w:eastAsia="zh-CN" w:bidi="ar"/>
              </w:rPr>
            </w:pPr>
          </w:p>
        </w:tc>
        <w:tc>
          <w:tcPr>
            <w:tcW w:w="971"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b/>
                <w:bCs/>
                <w:color w:val="000000"/>
                <w:kern w:val="0"/>
                <w:sz w:val="18"/>
                <w:szCs w:val="18"/>
                <w:highlight w:val="none"/>
                <w:lang w:val="en-US" w:eastAsia="zh-CN" w:bidi="ar"/>
              </w:rPr>
            </w:pPr>
          </w:p>
        </w:tc>
        <w:tc>
          <w:tcPr>
            <w:tcW w:w="945"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b/>
                <w:bCs/>
                <w:color w:val="000000"/>
                <w:kern w:val="0"/>
                <w:sz w:val="18"/>
                <w:szCs w:val="18"/>
                <w:highlight w:val="none"/>
                <w:lang w:val="en-US" w:eastAsia="zh-CN" w:bidi="ar"/>
              </w:rPr>
            </w:pPr>
          </w:p>
        </w:tc>
        <w:tc>
          <w:tcPr>
            <w:tcW w:w="1212"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价格公式</w:t>
            </w: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下浮系数</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正向系数</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负向系数</w:t>
            </w:r>
          </w:p>
        </w:tc>
        <w:tc>
          <w:tcPr>
            <w:tcW w:w="63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总包数</w:t>
            </w: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cs="宋体"/>
                <w:color w:val="auto"/>
                <w:kern w:val="0"/>
                <w:sz w:val="18"/>
                <w:szCs w:val="18"/>
                <w:highlight w:val="none"/>
                <w:lang w:bidi="ar"/>
              </w:rPr>
            </w:pPr>
            <w:r>
              <w:rPr>
                <w:rFonts w:hint="eastAsia" w:ascii="宋体" w:hAnsi="宋体" w:eastAsia="宋体" w:cs="宋体"/>
                <w:b/>
                <w:bCs/>
                <w:color w:val="000000"/>
                <w:kern w:val="0"/>
                <w:sz w:val="18"/>
                <w:szCs w:val="18"/>
                <w:highlight w:val="none"/>
                <w:lang w:val="en-US" w:eastAsia="zh-CN" w:bidi="ar"/>
              </w:rPr>
              <w:t>限包数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color w:val="auto"/>
                <w:kern w:val="0"/>
                <w:sz w:val="18"/>
                <w:szCs w:val="18"/>
                <w:highlight w:val="none"/>
                <w:lang w:eastAsia="zh" w:bidi="ar"/>
              </w:rPr>
              <w:t>1</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CN" w:bidi="ar"/>
              </w:rPr>
            </w:pPr>
            <w:r>
              <w:rPr>
                <w:rFonts w:hint="eastAsia" w:ascii="宋体" w:hAnsi="宋体" w:eastAsia="宋体" w:cs="宋体"/>
                <w:color w:val="auto"/>
                <w:kern w:val="0"/>
                <w:sz w:val="18"/>
                <w:szCs w:val="18"/>
                <w:highlight w:val="none"/>
                <w:lang w:val="en-US" w:eastAsia="zh-CN" w:bidi="ar"/>
              </w:rPr>
              <w:t>陕西-河南、鲁苏背靠背</w:t>
            </w:r>
            <w:r>
              <w:rPr>
                <w:rFonts w:hint="eastAsia" w:ascii="宋体" w:hAnsi="宋体" w:eastAsia="宋体" w:cs="宋体"/>
                <w:color w:val="auto"/>
                <w:kern w:val="0"/>
                <w:sz w:val="18"/>
                <w:szCs w:val="18"/>
                <w:highlight w:val="none"/>
                <w:lang w:bidi="ar"/>
              </w:rPr>
              <w:t>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换流站土建施工</w:t>
            </w:r>
          </w:p>
        </w:tc>
        <w:tc>
          <w:tcPr>
            <w:tcW w:w="945"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val="en-US" w:eastAsia="zh-CN" w:bidi="ar"/>
              </w:rPr>
              <w:t>5</w:t>
            </w:r>
            <w:r>
              <w:rPr>
                <w:rFonts w:hint="eastAsia" w:ascii="宋体" w:hAnsi="宋体" w:eastAsia="宋体" w:cs="宋体"/>
                <w:color w:val="auto"/>
                <w:kern w:val="0"/>
                <w:sz w:val="18"/>
                <w:szCs w:val="18"/>
                <w:highlight w:val="none"/>
                <w:lang w:bidi="ar"/>
              </w:rPr>
              <w:t>0:10:</w:t>
            </w:r>
            <w:r>
              <w:rPr>
                <w:rFonts w:hint="eastAsia" w:ascii="宋体" w:hAnsi="宋体" w:eastAsia="宋体" w:cs="宋体"/>
                <w:color w:val="auto"/>
                <w:kern w:val="0"/>
                <w:sz w:val="18"/>
                <w:szCs w:val="18"/>
                <w:highlight w:val="none"/>
                <w:lang w:val="en-US" w:eastAsia="zh-CN" w:bidi="ar"/>
              </w:rPr>
              <w:t>4</w:t>
            </w:r>
            <w:r>
              <w:rPr>
                <w:rFonts w:hint="eastAsia" w:ascii="宋体" w:hAnsi="宋体" w:eastAsia="宋体" w:cs="宋体"/>
                <w:color w:val="auto"/>
                <w:kern w:val="0"/>
                <w:sz w:val="18"/>
                <w:szCs w:val="18"/>
                <w:highlight w:val="none"/>
                <w:lang w:bidi="ar"/>
              </w:rPr>
              <w:t>0</w:t>
            </w:r>
          </w:p>
        </w:tc>
        <w:tc>
          <w:tcPr>
            <w:tcW w:w="1212" w:type="dxa"/>
            <w:vMerge w:val="restart"/>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color w:val="auto"/>
                <w:kern w:val="0"/>
                <w:sz w:val="18"/>
                <w:szCs w:val="18"/>
                <w:highlight w:val="none"/>
                <w:lang w:bidi="ar"/>
              </w:rPr>
              <w:t>算术平均值下浮法（基准价去同）</w:t>
            </w:r>
          </w:p>
        </w:tc>
        <w:tc>
          <w:tcPr>
            <w:tcW w:w="1287"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restart"/>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default" w:ascii="宋体" w:hAnsi="宋体" w:eastAsia="宋体" w:cs="宋体"/>
                <w:b/>
                <w:bCs/>
                <w:color w:val="000000"/>
                <w:kern w:val="0"/>
                <w:sz w:val="18"/>
                <w:szCs w:val="18"/>
                <w:highlight w:val="none"/>
                <w:lang w:val="en-US" w:eastAsia="zh-CN" w:bidi="ar"/>
              </w:rPr>
            </w:pPr>
            <w:r>
              <w:rPr>
                <w:rFonts w:hint="eastAsia" w:ascii="宋体" w:hAnsi="宋体" w:cs="宋体"/>
                <w:b w:val="0"/>
                <w:bCs w:val="0"/>
                <w:color w:val="000000"/>
                <w:kern w:val="0"/>
                <w:sz w:val="18"/>
                <w:szCs w:val="18"/>
                <w:highlight w:val="none"/>
                <w:lang w:val="en-US" w:eastAsia="zh-CN" w:bidi="ar"/>
              </w:rPr>
              <w:t>详见招标公告</w:t>
            </w:r>
          </w:p>
        </w:tc>
        <w:tc>
          <w:tcPr>
            <w:tcW w:w="174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CN" w:bidi="ar"/>
              </w:rPr>
            </w:pPr>
            <w:r>
              <w:rPr>
                <w:rFonts w:hint="eastAsia" w:ascii="宋体" w:hAnsi="宋体" w:eastAsia="宋体" w:cs="宋体"/>
                <w:b w:val="0"/>
                <w:bCs w:val="0"/>
                <w:color w:val="000000"/>
                <w:kern w:val="0"/>
                <w:sz w:val="18"/>
                <w:szCs w:val="18"/>
                <w:highlight w:val="none"/>
                <w:lang w:val="en-US" w:eastAsia="zh-CN" w:bidi="ar"/>
              </w:rPr>
              <w:t>包1-6限中1个，包7-包8限中1个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auto"/>
                <w:kern w:val="0"/>
                <w:sz w:val="18"/>
                <w:szCs w:val="18"/>
                <w:highlight w:val="none"/>
                <w:lang w:eastAsia="zh-CN" w:bidi="ar"/>
              </w:rPr>
            </w:pPr>
            <w:r>
              <w:rPr>
                <w:rFonts w:hint="eastAsia" w:ascii="宋体" w:hAnsi="宋体" w:cs="宋体"/>
                <w:color w:val="auto"/>
                <w:kern w:val="0"/>
                <w:sz w:val="18"/>
                <w:szCs w:val="18"/>
                <w:highlight w:val="none"/>
                <w:lang w:val="en-US" w:eastAsia="zh-CN" w:bidi="ar"/>
              </w:rPr>
              <w:t>2</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 w:bidi="ar"/>
              </w:rPr>
            </w:pPr>
            <w:r>
              <w:rPr>
                <w:rFonts w:hint="eastAsia" w:ascii="宋体" w:hAnsi="宋体" w:eastAsia="宋体" w:cs="宋体"/>
                <w:color w:val="auto"/>
                <w:kern w:val="0"/>
                <w:sz w:val="18"/>
                <w:szCs w:val="18"/>
                <w:highlight w:val="none"/>
                <w:lang w:bidi="ar"/>
              </w:rPr>
              <w:t>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i w:val="0"/>
                <w:iCs w:val="0"/>
                <w:color w:val="auto"/>
                <w:kern w:val="0"/>
                <w:sz w:val="18"/>
                <w:szCs w:val="18"/>
                <w:highlight w:val="none"/>
                <w:u w:val="none"/>
                <w:lang w:val="en-US" w:eastAsia="zh-CN" w:bidi="ar"/>
              </w:rPr>
              <w:t>变电站土建及电气安装施工</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color w:val="auto"/>
                <w:kern w:val="0"/>
                <w:sz w:val="18"/>
                <w:szCs w:val="18"/>
                <w:highlight w:val="none"/>
                <w:lang w:val="en-US" w:eastAsia="zh-CN" w:bidi="ar"/>
              </w:rPr>
              <w:t>5</w:t>
            </w:r>
            <w:r>
              <w:rPr>
                <w:rFonts w:hint="eastAsia" w:ascii="宋体" w:hAnsi="宋体" w:eastAsia="宋体" w:cs="宋体"/>
                <w:color w:val="auto"/>
                <w:kern w:val="0"/>
                <w:sz w:val="18"/>
                <w:szCs w:val="18"/>
                <w:highlight w:val="none"/>
                <w:lang w:bidi="ar"/>
              </w:rPr>
              <w:t>0:10:</w:t>
            </w:r>
            <w:r>
              <w:rPr>
                <w:rFonts w:hint="eastAsia" w:ascii="宋体" w:hAnsi="宋体" w:eastAsia="宋体" w:cs="宋体"/>
                <w:color w:val="auto"/>
                <w:kern w:val="0"/>
                <w:sz w:val="18"/>
                <w:szCs w:val="18"/>
                <w:highlight w:val="none"/>
                <w:lang w:val="en-US" w:eastAsia="zh-CN" w:bidi="ar"/>
              </w:rPr>
              <w:t>4</w:t>
            </w:r>
            <w:r>
              <w:rPr>
                <w:rFonts w:hint="eastAsia" w:ascii="宋体" w:hAnsi="宋体" w:eastAsia="宋体" w:cs="宋体"/>
                <w:color w:val="auto"/>
                <w:kern w:val="0"/>
                <w:sz w:val="18"/>
                <w:szCs w:val="18"/>
                <w:highlight w:val="none"/>
                <w:lang w:bidi="ar"/>
              </w:rPr>
              <w:t>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000000"/>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b w:val="0"/>
                <w:bCs w:val="0"/>
                <w:color w:val="000000"/>
                <w:kern w:val="0"/>
                <w:sz w:val="18"/>
                <w:szCs w:val="18"/>
                <w:highlight w:val="none"/>
                <w:lang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b w:val="0"/>
                <w:bCs w:val="0"/>
                <w:color w:val="000000"/>
                <w:kern w:val="0"/>
                <w:sz w:val="18"/>
                <w:szCs w:val="18"/>
                <w:highlight w:val="none"/>
                <w:lang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3</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default" w:ascii="宋体" w:hAnsi="宋体" w:eastAsia="宋体" w:cs="宋体"/>
                <w:color w:val="000000"/>
                <w:kern w:val="0"/>
                <w:sz w:val="18"/>
                <w:szCs w:val="18"/>
                <w:highlight w:val="none"/>
                <w:lang w:val="en-US" w:eastAsia="zh-CN" w:bidi="ar"/>
              </w:rPr>
            </w:pPr>
            <w:r>
              <w:rPr>
                <w:rFonts w:hint="eastAsia" w:ascii="宋体" w:hAnsi="宋体" w:eastAsia="宋体" w:cs="宋体"/>
                <w:color w:val="auto"/>
                <w:kern w:val="0"/>
                <w:sz w:val="18"/>
                <w:szCs w:val="18"/>
                <w:highlight w:val="none"/>
                <w:lang w:bidi="ar"/>
              </w:rPr>
              <w:t>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变电站桩基施工</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bidi="ar"/>
              </w:rPr>
            </w:pPr>
            <w:r>
              <w:rPr>
                <w:rFonts w:hint="eastAsia" w:ascii="宋体" w:hAnsi="宋体" w:eastAsia="宋体" w:cs="宋体"/>
                <w:color w:val="auto"/>
                <w:kern w:val="0"/>
                <w:sz w:val="18"/>
                <w:szCs w:val="18"/>
                <w:highlight w:val="none"/>
                <w:lang w:val="en-US" w:eastAsia="zh-CN" w:bidi="ar"/>
              </w:rPr>
              <w:t>5</w:t>
            </w:r>
            <w:r>
              <w:rPr>
                <w:rFonts w:hint="eastAsia" w:ascii="宋体" w:hAnsi="宋体" w:eastAsia="宋体" w:cs="宋体"/>
                <w:color w:val="auto"/>
                <w:kern w:val="0"/>
                <w:sz w:val="18"/>
                <w:szCs w:val="18"/>
                <w:highlight w:val="none"/>
                <w:lang w:bidi="ar"/>
              </w:rPr>
              <w:t>0:10:</w:t>
            </w:r>
            <w:r>
              <w:rPr>
                <w:rFonts w:hint="eastAsia" w:ascii="宋体" w:hAnsi="宋体" w:eastAsia="宋体" w:cs="宋体"/>
                <w:color w:val="auto"/>
                <w:kern w:val="0"/>
                <w:sz w:val="18"/>
                <w:szCs w:val="18"/>
                <w:highlight w:val="none"/>
                <w:lang w:val="en-US" w:eastAsia="zh-CN" w:bidi="ar"/>
              </w:rPr>
              <w:t>4</w:t>
            </w:r>
            <w:r>
              <w:rPr>
                <w:rFonts w:hint="eastAsia" w:ascii="宋体" w:hAnsi="宋体" w:eastAsia="宋体" w:cs="宋体"/>
                <w:color w:val="auto"/>
                <w:kern w:val="0"/>
                <w:sz w:val="18"/>
                <w:szCs w:val="18"/>
                <w:highlight w:val="none"/>
                <w:lang w:bidi="ar"/>
              </w:rPr>
              <w:t>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000000"/>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000000"/>
                <w:kern w:val="0"/>
                <w:sz w:val="18"/>
                <w:szCs w:val="18"/>
                <w:highlight w:val="none"/>
                <w:lang w:val="en-US"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eastAsia="宋体" w:cs="宋体"/>
                <w:kern w:val="0"/>
                <w:sz w:val="18"/>
                <w:szCs w:val="18"/>
                <w:highlight w:val="none"/>
                <w:lang w:eastAsia="zh" w:bidi="ar"/>
              </w:rPr>
              <w:t>4</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陕西-河南、鲁苏背靠背、达拉特~蒙西工程、浙江环网工程、攀西特高压工程、招远核电送出工程、烟威（登州站升压）工程、甘肃～浙江</w:t>
            </w:r>
            <w:r>
              <w:rPr>
                <w:rFonts w:hint="eastAsia" w:ascii="宋体" w:hAnsi="宋体" w:cs="宋体"/>
                <w:color w:val="auto"/>
                <w:kern w:val="0"/>
                <w:sz w:val="18"/>
                <w:szCs w:val="18"/>
                <w:highlight w:val="none"/>
                <w:lang w:val="en-US" w:eastAsia="zh-CN" w:bidi="ar"/>
              </w:rPr>
              <w:t>芜湖</w:t>
            </w:r>
            <w:r>
              <w:rPr>
                <w:rFonts w:hint="eastAsia" w:ascii="宋体" w:hAnsi="宋体" w:eastAsia="宋体" w:cs="宋体"/>
                <w:color w:val="auto"/>
                <w:kern w:val="0"/>
                <w:sz w:val="18"/>
                <w:szCs w:val="18"/>
                <w:highlight w:val="none"/>
                <w:lang w:bidi="ar"/>
              </w:rPr>
              <w:t>GIL管廊</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i w:val="0"/>
                <w:iCs w:val="0"/>
                <w:color w:val="auto"/>
                <w:kern w:val="0"/>
                <w:sz w:val="18"/>
                <w:szCs w:val="18"/>
                <w:highlight w:val="none"/>
                <w:u w:val="none"/>
                <w:lang w:val="en-US" w:eastAsia="zh-CN" w:bidi="ar"/>
              </w:rPr>
              <w:t>光纤通信施工</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val="en-US" w:eastAsia="zh-CN" w:bidi="ar"/>
              </w:rPr>
              <w:t>5</w:t>
            </w:r>
            <w:r>
              <w:rPr>
                <w:rFonts w:hint="eastAsia" w:ascii="宋体" w:hAnsi="宋体" w:eastAsia="宋体" w:cs="宋体"/>
                <w:color w:val="auto"/>
                <w:kern w:val="0"/>
                <w:sz w:val="18"/>
                <w:szCs w:val="18"/>
                <w:highlight w:val="none"/>
                <w:lang w:bidi="ar"/>
              </w:rPr>
              <w:t>0:10:</w:t>
            </w:r>
            <w:r>
              <w:rPr>
                <w:rFonts w:hint="eastAsia" w:ascii="宋体" w:hAnsi="宋体" w:eastAsia="宋体" w:cs="宋体"/>
                <w:color w:val="auto"/>
                <w:kern w:val="0"/>
                <w:sz w:val="18"/>
                <w:szCs w:val="18"/>
                <w:highlight w:val="none"/>
                <w:lang w:val="en-US" w:eastAsia="zh-CN" w:bidi="ar"/>
              </w:rPr>
              <w:t>4</w:t>
            </w:r>
            <w:r>
              <w:rPr>
                <w:rFonts w:hint="eastAsia" w:ascii="宋体" w:hAnsi="宋体" w:eastAsia="宋体" w:cs="宋体"/>
                <w:color w:val="auto"/>
                <w:kern w:val="0"/>
                <w:sz w:val="18"/>
                <w:szCs w:val="18"/>
                <w:highlight w:val="none"/>
                <w:lang w:bidi="ar"/>
              </w:rPr>
              <w:t>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b w:val="0"/>
                <w:bCs w:val="0"/>
                <w:i w:val="0"/>
                <w:iCs w:val="0"/>
                <w:color w:val="auto"/>
                <w:sz w:val="18"/>
                <w:szCs w:val="18"/>
                <w:highlight w:val="none"/>
                <w:lang w:val="en-US" w:eastAsia="zh-CN"/>
              </w:rPr>
              <w:t>包1-包4限中1包，包5-包6限中1包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 w:bidi="ar"/>
              </w:rPr>
            </w:pPr>
            <w:r>
              <w:rPr>
                <w:rFonts w:hint="eastAsia" w:ascii="宋体" w:hAnsi="宋体" w:cs="宋体"/>
                <w:kern w:val="0"/>
                <w:sz w:val="18"/>
                <w:szCs w:val="18"/>
                <w:highlight w:val="none"/>
                <w:lang w:val="en-US" w:eastAsia="zh-CN" w:bidi="ar"/>
              </w:rPr>
              <w:t>5</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变电站监理</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60:10:30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cs="宋体"/>
                <w:color w:val="000000"/>
                <w:kern w:val="0"/>
                <w:sz w:val="18"/>
                <w:szCs w:val="18"/>
                <w:highlight w:val="none"/>
                <w:lang w:val="en-US" w:eastAsia="zh-CN" w:bidi="ar"/>
              </w:rPr>
              <w:t>6</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陕西-河南、鲁苏背靠背、达拉特~蒙西工程、浙江环网工程、攀西特高压工程、招远核电送出工程、烟威（登州站升压）工程、甘肃～浙江</w:t>
            </w:r>
            <w:r>
              <w:rPr>
                <w:rFonts w:hint="eastAsia" w:ascii="宋体" w:hAnsi="宋体" w:cs="宋体"/>
                <w:color w:val="auto"/>
                <w:kern w:val="0"/>
                <w:sz w:val="18"/>
                <w:szCs w:val="18"/>
                <w:highlight w:val="none"/>
                <w:lang w:val="en-US" w:eastAsia="zh-CN" w:bidi="ar"/>
              </w:rPr>
              <w:t>芜湖</w:t>
            </w:r>
            <w:r>
              <w:rPr>
                <w:rFonts w:hint="eastAsia" w:ascii="宋体" w:hAnsi="宋体" w:eastAsia="宋体" w:cs="宋体"/>
                <w:color w:val="auto"/>
                <w:kern w:val="0"/>
                <w:sz w:val="18"/>
                <w:szCs w:val="18"/>
                <w:highlight w:val="none"/>
                <w:lang w:bidi="ar"/>
              </w:rPr>
              <w:t>GIL管廊</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通信监理</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60:10:30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default"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7</w:t>
            </w:r>
          </w:p>
        </w:tc>
        <w:tc>
          <w:tcPr>
            <w:tcW w:w="1758" w:type="dxa"/>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center"/>
              <w:rPr>
                <w:rFonts w:hint="eastAsia" w:ascii="宋体" w:hAnsi="宋体" w:eastAsia="宋体" w:cs="宋体"/>
                <w:color w:val="000000"/>
                <w:kern w:val="0"/>
                <w:sz w:val="18"/>
                <w:szCs w:val="18"/>
                <w:highlight w:val="none"/>
                <w:lang w:val="en-US" w:eastAsia="zh" w:bidi="ar"/>
              </w:rPr>
            </w:pPr>
            <w:r>
              <w:rPr>
                <w:rFonts w:hint="eastAsia" w:ascii="宋体" w:hAnsi="宋体" w:eastAsia="宋体" w:cs="宋体"/>
                <w:color w:val="000000"/>
                <w:kern w:val="0"/>
                <w:sz w:val="18"/>
                <w:szCs w:val="18"/>
                <w:highlight w:val="none"/>
                <w:lang w:eastAsia="zh" w:bidi="ar"/>
              </w:rPr>
              <w:t>练塘扩、东吴扩、浙江环网、攀西、达拉特~蒙西、招远核电送出工程、烟威</w:t>
            </w:r>
            <w:r>
              <w:rPr>
                <w:rFonts w:hint="eastAsia" w:ascii="宋体" w:hAnsi="宋体" w:eastAsia="宋体" w:cs="宋体"/>
                <w:color w:val="000000"/>
                <w:kern w:val="0"/>
                <w:sz w:val="18"/>
                <w:szCs w:val="18"/>
                <w:highlight w:val="none"/>
                <w:lang w:eastAsia="zh-CN" w:bidi="ar"/>
              </w:rPr>
              <w:t>（</w:t>
            </w:r>
            <w:r>
              <w:rPr>
                <w:rFonts w:hint="eastAsia" w:ascii="宋体" w:hAnsi="宋体" w:eastAsia="宋体" w:cs="宋体"/>
                <w:color w:val="000000"/>
                <w:kern w:val="0"/>
                <w:sz w:val="18"/>
                <w:szCs w:val="18"/>
                <w:highlight w:val="none"/>
                <w:lang w:eastAsia="zh" w:bidi="ar"/>
              </w:rPr>
              <w:t>登州站升压）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 w:bidi="ar"/>
              </w:rPr>
            </w:pPr>
            <w:r>
              <w:rPr>
                <w:rFonts w:hint="eastAsia" w:ascii="宋体" w:hAnsi="宋体" w:eastAsia="宋体" w:cs="宋体"/>
                <w:i w:val="0"/>
                <w:iCs w:val="0"/>
                <w:color w:val="auto"/>
                <w:kern w:val="0"/>
                <w:sz w:val="18"/>
                <w:szCs w:val="18"/>
                <w:highlight w:val="none"/>
                <w:u w:val="none"/>
                <w:lang w:val="en-US" w:eastAsia="zh-CN" w:bidi="ar"/>
              </w:rPr>
              <w:t>结算审核</w:t>
            </w:r>
          </w:p>
        </w:tc>
        <w:tc>
          <w:tcPr>
            <w:tcW w:w="945"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rPr>
              <w:t>60:10:30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textAlignment w:val="center"/>
              <w:rPr>
                <w:rFonts w:hint="eastAsia" w:ascii="宋体" w:hAnsi="宋体" w:eastAsia="宋体" w:cs="宋体"/>
                <w:color w:val="000000"/>
                <w:kern w:val="0"/>
                <w:sz w:val="18"/>
                <w:szCs w:val="18"/>
                <w:highlight w:val="none"/>
                <w:lang w:val="en-US" w:eastAsia="zh-CN"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default" w:ascii="宋体" w:hAnsi="宋体" w:eastAsia="宋体" w:cs="宋体"/>
                <w:color w:val="000000"/>
                <w:kern w:val="0"/>
                <w:sz w:val="18"/>
                <w:szCs w:val="18"/>
                <w:highlight w:val="none"/>
                <w:lang w:val="en-US" w:eastAsia="zh-CN" w:bidi="ar"/>
              </w:rPr>
            </w:pPr>
          </w:p>
        </w:tc>
        <w:tc>
          <w:tcPr>
            <w:tcW w:w="1748"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包1-包11限中1个</w:t>
            </w:r>
            <w:r>
              <w:rPr>
                <w:rFonts w:hint="eastAsia" w:ascii="宋体" w:hAnsi="宋体" w:eastAsia="宋体" w:cs="宋体"/>
                <w:kern w:val="0"/>
                <w:sz w:val="18"/>
                <w:szCs w:val="18"/>
                <w:highlight w:val="none"/>
                <w:lang w:eastAsia="zh-CN" w:bidi="ar"/>
              </w:rPr>
              <w:t>，</w:t>
            </w:r>
          </w:p>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bidi="ar"/>
              </w:rPr>
              <w:t>包12-包15限中1包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8</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eastAsia="zh" w:bidi="ar"/>
              </w:rPr>
            </w:pPr>
            <w:r>
              <w:rPr>
                <w:rFonts w:hint="eastAsia" w:ascii="宋体" w:hAnsi="宋体" w:eastAsia="宋体" w:cs="宋体"/>
                <w:color w:val="auto"/>
                <w:kern w:val="0"/>
                <w:sz w:val="18"/>
                <w:szCs w:val="18"/>
                <w:highlight w:val="none"/>
                <w:lang w:bidi="ar"/>
              </w:rPr>
              <w:t>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i w:val="0"/>
                <w:iCs w:val="0"/>
                <w:color w:val="auto"/>
                <w:kern w:val="0"/>
                <w:sz w:val="18"/>
                <w:szCs w:val="18"/>
                <w:highlight w:val="none"/>
                <w:u w:val="none"/>
                <w:lang w:val="en-US" w:eastAsia="zh-CN" w:bidi="ar"/>
              </w:rPr>
              <w:t>设备监造</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9</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bidi="ar"/>
              </w:rPr>
            </w:pPr>
            <w:r>
              <w:rPr>
                <w:rFonts w:hint="eastAsia" w:ascii="宋体" w:hAnsi="宋体" w:eastAsia="宋体" w:cs="宋体"/>
                <w:color w:val="auto"/>
                <w:kern w:val="0"/>
                <w:sz w:val="18"/>
                <w:szCs w:val="18"/>
                <w:highlight w:val="none"/>
                <w:lang w:bidi="ar"/>
              </w:rPr>
              <w:t>攀西、浙江环网、烟威（登州站升压）、招远核电送出、达拉特~蒙西、甘肃-浙江芜湖GIL管廊工程</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i w:val="0"/>
                <w:iCs w:val="0"/>
                <w:color w:val="auto"/>
                <w:kern w:val="0"/>
                <w:sz w:val="18"/>
                <w:szCs w:val="18"/>
                <w:highlight w:val="none"/>
                <w:u w:val="none"/>
                <w:lang w:val="en-US" w:eastAsia="zh-CN" w:bidi="ar"/>
              </w:rPr>
              <w:t>系统调试</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autoSpaceDE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10</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eastAsia="宋体" w:cs="宋体"/>
                <w:color w:val="auto"/>
                <w:kern w:val="0"/>
                <w:sz w:val="18"/>
                <w:szCs w:val="18"/>
                <w:highlight w:val="none"/>
                <w:lang w:val="en-US" w:eastAsia="zh-CN" w:bidi="ar"/>
              </w:rPr>
            </w:pPr>
            <w:r>
              <w:rPr>
                <w:rFonts w:hint="eastAsia" w:ascii="宋体" w:hAnsi="宋体" w:eastAsia="宋体" w:cs="宋体"/>
                <w:color w:val="auto"/>
                <w:kern w:val="0"/>
                <w:sz w:val="18"/>
                <w:szCs w:val="18"/>
                <w:highlight w:val="none"/>
                <w:lang w:val="en-US" w:eastAsia="zh-CN" w:bidi="ar"/>
              </w:rPr>
              <w:t>川渝加强、</w:t>
            </w:r>
            <w:r>
              <w:rPr>
                <w:rFonts w:hint="eastAsia" w:ascii="宋体" w:hAnsi="宋体" w:eastAsia="宋体" w:cs="宋体"/>
                <w:kern w:val="2"/>
                <w:sz w:val="18"/>
                <w:szCs w:val="18"/>
                <w:highlight w:val="none"/>
                <w:lang w:eastAsia="zh"/>
              </w:rPr>
              <w:t>藏东南</w:t>
            </w:r>
            <w:r>
              <w:rPr>
                <w:rFonts w:hint="eastAsia" w:ascii="宋体" w:hAnsi="宋体" w:eastAsia="宋体" w:cs="宋体"/>
                <w:kern w:val="2"/>
                <w:sz w:val="18"/>
                <w:szCs w:val="18"/>
                <w:highlight w:val="none"/>
                <w:lang w:val="en-US" w:eastAsia="zh-CN"/>
              </w:rPr>
              <w:t>-</w:t>
            </w:r>
            <w:r>
              <w:rPr>
                <w:rFonts w:hint="eastAsia" w:ascii="宋体" w:hAnsi="宋体" w:eastAsia="宋体" w:cs="宋体"/>
                <w:kern w:val="2"/>
                <w:sz w:val="18"/>
                <w:szCs w:val="18"/>
                <w:highlight w:val="none"/>
                <w:lang w:eastAsia="zh"/>
              </w:rPr>
              <w:t>粤港澳</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eastAsia="zh" w:bidi="ar"/>
              </w:rPr>
            </w:pPr>
            <w:r>
              <w:rPr>
                <w:rFonts w:hint="eastAsia" w:ascii="宋体" w:hAnsi="宋体" w:eastAsia="宋体" w:cs="宋体"/>
                <w:i w:val="0"/>
                <w:iCs w:val="0"/>
                <w:color w:val="auto"/>
                <w:kern w:val="0"/>
                <w:sz w:val="18"/>
                <w:szCs w:val="18"/>
                <w:highlight w:val="none"/>
                <w:u w:val="none"/>
                <w:lang w:val="en-US" w:eastAsia="zh-CN" w:bidi="ar"/>
              </w:rPr>
              <w:t>科研</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val="en-US" w:eastAsia="zh-CN"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val="en-US" w:eastAsia="zh-CN" w:bidi="ar"/>
              </w:rPr>
            </w:pPr>
          </w:p>
        </w:tc>
        <w:tc>
          <w:tcPr>
            <w:tcW w:w="1748" w:type="dxa"/>
            <w:noWrap w:val="0"/>
            <w:vAlign w:val="center"/>
          </w:tcPr>
          <w:p>
            <w:pPr>
              <w:keepNext w:val="0"/>
              <w:keepLines w:val="0"/>
              <w:widowControl/>
              <w:suppressLineNumbers w:val="0"/>
              <w:autoSpaceDE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无限制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11</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color w:val="auto"/>
                <w:kern w:val="0"/>
                <w:sz w:val="18"/>
                <w:szCs w:val="18"/>
                <w:highlight w:val="none"/>
                <w:lang w:val="en-US" w:eastAsia="zh-CN" w:bidi="ar"/>
              </w:rPr>
              <w:t>陕西-河南、鲁苏背靠背</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i w:val="0"/>
                <w:iCs w:val="0"/>
                <w:color w:val="auto"/>
                <w:kern w:val="0"/>
                <w:sz w:val="18"/>
                <w:szCs w:val="18"/>
                <w:highlight w:val="none"/>
                <w:u w:val="none"/>
                <w:lang w:val="en-US" w:eastAsia="zh" w:bidi="ar"/>
              </w:rPr>
            </w:pPr>
            <w:r>
              <w:rPr>
                <w:rFonts w:hint="eastAsia" w:ascii="宋体" w:hAnsi="宋体" w:eastAsia="宋体" w:cs="宋体"/>
                <w:i w:val="0"/>
                <w:iCs w:val="0"/>
                <w:color w:val="auto"/>
                <w:kern w:val="0"/>
                <w:sz w:val="18"/>
                <w:szCs w:val="18"/>
                <w:highlight w:val="none"/>
                <w:u w:val="none"/>
                <w:lang w:val="en-US" w:eastAsia="zh" w:bidi="ar"/>
              </w:rPr>
              <w:t>工程保险</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eastAsia" w:ascii="宋体" w:hAnsi="宋体" w:eastAsia="宋体" w:cs="宋体"/>
                <w:kern w:val="0"/>
                <w:sz w:val="18"/>
                <w:szCs w:val="18"/>
                <w:highlight w:val="none"/>
                <w:lang w:val="en-US" w:eastAsia="zh" w:bidi="ar"/>
              </w:rPr>
            </w:pPr>
          </w:p>
        </w:tc>
        <w:tc>
          <w:tcPr>
            <w:tcW w:w="1748" w:type="dxa"/>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限中1个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10"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宋体" w:hAnsi="宋体" w:cs="宋体"/>
                <w:kern w:val="0"/>
                <w:sz w:val="18"/>
                <w:szCs w:val="18"/>
                <w:highlight w:val="none"/>
                <w:lang w:val="en-US" w:eastAsia="zh-CN" w:bidi="ar"/>
              </w:rPr>
            </w:pPr>
            <w:r>
              <w:rPr>
                <w:rFonts w:hint="eastAsia" w:ascii="宋体" w:hAnsi="宋体" w:cs="宋体"/>
                <w:kern w:val="0"/>
                <w:sz w:val="18"/>
                <w:szCs w:val="18"/>
                <w:highlight w:val="none"/>
                <w:lang w:val="en-US" w:eastAsia="zh-CN" w:bidi="ar"/>
              </w:rPr>
              <w:t>12</w:t>
            </w:r>
          </w:p>
        </w:tc>
        <w:tc>
          <w:tcPr>
            <w:tcW w:w="1758"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color w:val="auto"/>
                <w:kern w:val="0"/>
                <w:sz w:val="18"/>
                <w:szCs w:val="18"/>
                <w:highlight w:val="none"/>
                <w:lang w:val="en-US" w:eastAsia="zh-CN" w:bidi="ar"/>
              </w:rPr>
            </w:pPr>
            <w:r>
              <w:rPr>
                <w:rFonts w:hint="eastAsia" w:ascii="宋体" w:hAnsi="宋体" w:eastAsia="宋体" w:cs="宋体"/>
                <w:color w:val="auto"/>
                <w:kern w:val="0"/>
                <w:sz w:val="18"/>
                <w:szCs w:val="18"/>
                <w:highlight w:val="none"/>
                <w:lang w:val="en-US" w:eastAsia="zh-CN" w:bidi="ar"/>
              </w:rPr>
              <w:t>陕西-河南、鲁苏背靠背</w:t>
            </w:r>
          </w:p>
        </w:tc>
        <w:tc>
          <w:tcPr>
            <w:tcW w:w="971" w:type="dxa"/>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i w:val="0"/>
                <w:iCs w:val="0"/>
                <w:color w:val="auto"/>
                <w:kern w:val="0"/>
                <w:sz w:val="18"/>
                <w:szCs w:val="18"/>
                <w:highlight w:val="none"/>
                <w:u w:val="none"/>
                <w:lang w:val="en-US" w:eastAsia="zh" w:bidi="ar"/>
              </w:rPr>
            </w:pPr>
            <w:r>
              <w:rPr>
                <w:rFonts w:hint="eastAsia" w:ascii="宋体" w:hAnsi="宋体" w:eastAsia="宋体" w:cs="宋体"/>
                <w:i w:val="0"/>
                <w:iCs w:val="0"/>
                <w:color w:val="auto"/>
                <w:kern w:val="0"/>
                <w:sz w:val="18"/>
                <w:szCs w:val="18"/>
                <w:highlight w:val="none"/>
                <w:u w:val="none"/>
                <w:lang w:val="en-US" w:eastAsia="zh" w:bidi="ar"/>
              </w:rPr>
              <w:t>决算审核</w:t>
            </w:r>
          </w:p>
        </w:tc>
        <w:tc>
          <w:tcPr>
            <w:tcW w:w="945" w:type="dxa"/>
            <w:noWrap w:val="0"/>
            <w:vAlign w:val="center"/>
          </w:tcPr>
          <w:p>
            <w:pPr>
              <w:keepNext w:val="0"/>
              <w:keepLines w:val="0"/>
              <w:widowControl/>
              <w:suppressLineNumbers w:val="0"/>
              <w:autoSpaceDE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60:10:30</w:t>
            </w:r>
          </w:p>
        </w:tc>
        <w:tc>
          <w:tcPr>
            <w:tcW w:w="1212" w:type="dxa"/>
            <w:vMerge w:val="continue"/>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eastAsia" w:ascii="宋体" w:hAnsi="宋体" w:eastAsia="宋体" w:cs="宋体"/>
                <w:kern w:val="0"/>
                <w:sz w:val="18"/>
                <w:szCs w:val="18"/>
                <w:highlight w:val="none"/>
                <w:lang w:bidi="ar"/>
              </w:rPr>
            </w:pPr>
          </w:p>
        </w:tc>
        <w:tc>
          <w:tcPr>
            <w:tcW w:w="1287"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val="en-US" w:eastAsia="zh-CN" w:bidi="ar"/>
              </w:rPr>
              <w:t>2%</w:t>
            </w:r>
          </w:p>
        </w:tc>
        <w:tc>
          <w:tcPr>
            <w:tcW w:w="654"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eastAsia="zh" w:bidi="ar"/>
              </w:rPr>
            </w:pPr>
            <w:r>
              <w:rPr>
                <w:rFonts w:hint="eastAsia" w:ascii="宋体" w:hAnsi="宋体" w:cs="宋体"/>
                <w:color w:val="auto"/>
                <w:kern w:val="0"/>
                <w:sz w:val="18"/>
                <w:szCs w:val="18"/>
                <w:highlight w:val="none"/>
                <w:lang w:val="en-US" w:eastAsia="zh-CN" w:bidi="ar"/>
              </w:rPr>
              <w:t>2</w:t>
            </w:r>
          </w:p>
        </w:tc>
        <w:tc>
          <w:tcPr>
            <w:tcW w:w="673" w:type="dxa"/>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color w:val="auto"/>
                <w:kern w:val="0"/>
                <w:sz w:val="18"/>
                <w:szCs w:val="18"/>
                <w:highlight w:val="none"/>
                <w:lang w:bidi="ar"/>
              </w:rPr>
              <w:t>1</w:t>
            </w:r>
          </w:p>
        </w:tc>
        <w:tc>
          <w:tcPr>
            <w:tcW w:w="634" w:type="dxa"/>
            <w:vMerge w:val="continue"/>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eastAsia" w:ascii="宋体" w:hAnsi="宋体" w:eastAsia="宋体" w:cs="宋体"/>
                <w:kern w:val="0"/>
                <w:sz w:val="18"/>
                <w:szCs w:val="18"/>
                <w:highlight w:val="none"/>
                <w:lang w:val="en-US" w:eastAsia="zh" w:bidi="ar"/>
              </w:rPr>
            </w:pPr>
          </w:p>
        </w:tc>
        <w:tc>
          <w:tcPr>
            <w:tcW w:w="1748" w:type="dxa"/>
            <w:noWrap w:val="0"/>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line="280" w:lineRule="exact"/>
              <w:ind w:left="0" w:right="0" w:firstLine="0" w:firstLineChars="0"/>
              <w:jc w:val="center"/>
              <w:textAlignment w:val="center"/>
              <w:rPr>
                <w:rFonts w:hint="eastAsia" w:ascii="宋体" w:hAnsi="宋体" w:eastAsia="宋体" w:cs="宋体"/>
                <w:kern w:val="0"/>
                <w:sz w:val="18"/>
                <w:szCs w:val="18"/>
                <w:highlight w:val="none"/>
                <w:lang w:bidi="ar"/>
              </w:rPr>
            </w:pPr>
            <w:r>
              <w:rPr>
                <w:rFonts w:hint="eastAsia" w:ascii="宋体" w:hAnsi="宋体" w:eastAsia="宋体" w:cs="宋体"/>
                <w:kern w:val="0"/>
                <w:sz w:val="18"/>
                <w:szCs w:val="18"/>
                <w:highlight w:val="none"/>
                <w:lang w:bidi="ar"/>
              </w:rPr>
              <w:t>限中1个</w:t>
            </w:r>
          </w:p>
        </w:tc>
      </w:tr>
      <w:bookmarkEnd w:id="270"/>
    </w:tbl>
    <w:p>
      <w:pPr>
        <w:pStyle w:val="2"/>
        <w:keepNext/>
        <w:keepLines/>
        <w:pageBreakBefore w:val="0"/>
        <w:widowControl w:val="0"/>
        <w:kinsoku/>
        <w:wordWrap/>
        <w:overflowPunct/>
        <w:topLinePunct/>
        <w:autoSpaceDE/>
        <w:autoSpaceDN/>
        <w:bidi w:val="0"/>
        <w:adjustRightInd/>
        <w:snapToGrid/>
        <w:spacing w:before="0" w:after="0" w:line="240" w:lineRule="auto"/>
        <w:jc w:val="left"/>
        <w:textAlignment w:val="auto"/>
        <w:rPr>
          <w:b w:val="0"/>
          <w:bCs w:val="0"/>
          <w:color w:val="auto"/>
          <w:sz w:val="24"/>
          <w:szCs w:val="24"/>
          <w:highlight w:val="none"/>
        </w:rPr>
      </w:pPr>
      <w:r>
        <w:rPr>
          <w:rFonts w:hint="eastAsia" w:ascii="Times New Roman" w:hAnsi="Times New Roman" w:eastAsia="宋体" w:cs="Times New Roman"/>
          <w:b w:val="0"/>
          <w:bCs w:val="0"/>
          <w:color w:val="auto"/>
          <w:kern w:val="2"/>
          <w:sz w:val="18"/>
          <w:szCs w:val="18"/>
          <w:highlight w:val="none"/>
          <w:lang w:val="en-US" w:eastAsia="zh-CN" w:bidi="ar-SA"/>
        </w:rPr>
        <w:t>注：</w:t>
      </w:r>
      <w:r>
        <w:rPr>
          <w:rFonts w:ascii="Times New Roman" w:hAnsi="Times New Roman" w:eastAsia="宋体" w:cs="Times New Roman"/>
          <w:b w:val="0"/>
          <w:bCs w:val="0"/>
          <w:color w:val="auto"/>
          <w:kern w:val="2"/>
          <w:sz w:val="18"/>
          <w:szCs w:val="18"/>
          <w:highlight w:val="none"/>
          <w:lang w:val="en-US" w:eastAsia="zh-CN" w:bidi="ar-SA"/>
        </w:rPr>
        <w:t>1.</w:t>
      </w:r>
      <w:r>
        <w:rPr>
          <w:rFonts w:hint="eastAsia" w:ascii="Times New Roman" w:hAnsi="Times New Roman" w:eastAsia="宋体" w:cs="Times New Roman"/>
          <w:b w:val="0"/>
          <w:bCs w:val="0"/>
          <w:color w:val="auto"/>
          <w:kern w:val="2"/>
          <w:sz w:val="18"/>
          <w:szCs w:val="18"/>
          <w:highlight w:val="none"/>
          <w:lang w:val="en-US" w:eastAsia="zh-CN" w:bidi="ar-SA"/>
        </w:rPr>
        <w:t>正向系数为评标价格计算公式中当投标人的评标价＞基准价时的</w:t>
      </w:r>
      <w:r>
        <w:rPr>
          <w:rFonts w:ascii="Times New Roman" w:hAnsi="Times New Roman" w:eastAsia="宋体" w:cs="Times New Roman"/>
          <w:b w:val="0"/>
          <w:bCs w:val="0"/>
          <w:color w:val="auto"/>
          <w:kern w:val="2"/>
          <w:sz w:val="18"/>
          <w:szCs w:val="18"/>
          <w:highlight w:val="none"/>
          <w:lang w:val="en-US" w:eastAsia="zh-CN" w:bidi="ar-SA"/>
        </w:rPr>
        <w:t>n</w:t>
      </w:r>
      <w:r>
        <w:rPr>
          <w:rFonts w:hint="eastAsia" w:ascii="Times New Roman" w:hAnsi="Times New Roman" w:eastAsia="宋体" w:cs="Times New Roman"/>
          <w:b w:val="0"/>
          <w:bCs w:val="0"/>
          <w:color w:val="auto"/>
          <w:kern w:val="2"/>
          <w:sz w:val="18"/>
          <w:szCs w:val="18"/>
          <w:highlight w:val="none"/>
          <w:lang w:val="en-US" w:eastAsia="zh-CN" w:bidi="ar-SA"/>
        </w:rPr>
        <w:t>值；负向系数为评标价格计算公式中当投标人的评标价</w:t>
      </w:r>
      <w:r>
        <w:rPr>
          <w:rFonts w:ascii="Times New Roman" w:hAnsi="Times New Roman" w:eastAsia="宋体" w:cs="Times New Roman"/>
          <w:b w:val="0"/>
          <w:bCs w:val="0"/>
          <w:color w:val="auto"/>
          <w:kern w:val="2"/>
          <w:sz w:val="18"/>
          <w:szCs w:val="18"/>
          <w:highlight w:val="none"/>
          <w:lang w:val="en-US" w:eastAsia="zh-CN" w:bidi="ar-SA"/>
        </w:rPr>
        <w:t>≤</w:t>
      </w:r>
      <w:r>
        <w:rPr>
          <w:rFonts w:hint="eastAsia" w:ascii="Times New Roman" w:hAnsi="Times New Roman" w:eastAsia="宋体" w:cs="Times New Roman"/>
          <w:b w:val="0"/>
          <w:bCs w:val="0"/>
          <w:color w:val="auto"/>
          <w:kern w:val="2"/>
          <w:sz w:val="18"/>
          <w:szCs w:val="18"/>
          <w:highlight w:val="none"/>
          <w:lang w:val="en-US" w:eastAsia="zh-CN" w:bidi="ar-SA"/>
        </w:rPr>
        <w:t>基准价时的</w:t>
      </w:r>
      <w:r>
        <w:rPr>
          <w:rFonts w:ascii="Times New Roman" w:hAnsi="Times New Roman" w:eastAsia="宋体" w:cs="Times New Roman"/>
          <w:b w:val="0"/>
          <w:bCs w:val="0"/>
          <w:color w:val="auto"/>
          <w:kern w:val="2"/>
          <w:sz w:val="18"/>
          <w:szCs w:val="18"/>
          <w:highlight w:val="none"/>
          <w:lang w:val="en-US" w:eastAsia="zh-CN" w:bidi="ar-SA"/>
        </w:rPr>
        <w:t>n</w:t>
      </w:r>
      <w:r>
        <w:rPr>
          <w:rFonts w:hint="eastAsia" w:ascii="Times New Roman" w:hAnsi="Times New Roman" w:eastAsia="宋体" w:cs="Times New Roman"/>
          <w:b w:val="0"/>
          <w:bCs w:val="0"/>
          <w:color w:val="auto"/>
          <w:kern w:val="2"/>
          <w:sz w:val="18"/>
          <w:szCs w:val="18"/>
          <w:highlight w:val="none"/>
          <w:lang w:val="en-US" w:eastAsia="zh-CN" w:bidi="ar-SA"/>
        </w:rPr>
        <w:t>值。</w:t>
      </w:r>
    </w:p>
    <w:p>
      <w:pPr>
        <w:spacing w:line="400" w:lineRule="exact"/>
        <w:rPr>
          <w:rFonts w:hint="eastAsia"/>
          <w:color w:val="auto"/>
          <w:szCs w:val="21"/>
          <w:highlight w:val="none"/>
        </w:rPr>
      </w:pPr>
    </w:p>
    <w:p>
      <w:pPr>
        <w:rPr>
          <w:color w:val="auto"/>
          <w:szCs w:val="21"/>
          <w:highlight w:val="none"/>
        </w:rPr>
      </w:pPr>
      <w:r>
        <w:rPr>
          <w:color w:val="auto"/>
          <w:szCs w:val="21"/>
          <w:highlight w:val="none"/>
        </w:rPr>
        <w:br w:type="page"/>
      </w:r>
      <w:bookmarkStart w:id="235" w:name="_Toc496718842"/>
      <w:bookmarkStart w:id="236" w:name="_Toc19318"/>
      <w:bookmarkStart w:id="237" w:name="_Toc62551559"/>
    </w:p>
    <w:p>
      <w:pPr>
        <w:pStyle w:val="3"/>
        <w:numPr>
          <w:ilvl w:val="0"/>
          <w:numId w:val="7"/>
        </w:numPr>
        <w:tabs>
          <w:tab w:val="left" w:pos="284"/>
        </w:tabs>
        <w:spacing w:before="240" w:beforeLines="100" w:after="120" w:afterLines="50" w:line="400" w:lineRule="exact"/>
        <w:ind w:left="0" w:firstLine="0"/>
        <w:jc w:val="both"/>
        <w:rPr>
          <w:rFonts w:ascii="黑体" w:hAnsi="宋体" w:eastAsia="黑体"/>
          <w:color w:val="auto"/>
          <w:kern w:val="2"/>
          <w:sz w:val="24"/>
          <w:szCs w:val="24"/>
          <w:highlight w:val="none"/>
        </w:rPr>
      </w:pPr>
      <w:r>
        <w:rPr>
          <w:rFonts w:hint="default" w:ascii="黑体" w:hAnsi="宋体" w:eastAsia="黑体"/>
          <w:color w:val="auto"/>
          <w:kern w:val="2"/>
          <w:sz w:val="24"/>
          <w:szCs w:val="24"/>
          <w:highlight w:val="none"/>
        </w:rPr>
        <w:t>评标方法</w:t>
      </w:r>
      <w:bookmarkEnd w:id="235"/>
      <w:bookmarkEnd w:id="236"/>
      <w:bookmarkEnd w:id="237"/>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本次评标采用综合评估法。评标委员会对满足招标文件实质性要求的投标文件，按照本章第 2.2 款规定的评分标准进行打分，并按得分由高到低顺序推荐中标候选人，或根据招标人授权直接确定中标人，但投标报价低于其成本的除外。</w:t>
      </w:r>
      <w:r>
        <w:rPr>
          <w:rFonts w:hint="eastAsia"/>
          <w:color w:val="auto"/>
          <w:sz w:val="21"/>
          <w:highlight w:val="none"/>
        </w:rPr>
        <w:t>综合评分相等时，以技术得分高的优先；技术得分也相等的，以投标报价低的优先；技术得分和投标报价都相等时，由招标人确定。</w:t>
      </w:r>
    </w:p>
    <w:p>
      <w:pPr>
        <w:pStyle w:val="3"/>
        <w:numPr>
          <w:ilvl w:val="0"/>
          <w:numId w:val="7"/>
        </w:numPr>
        <w:tabs>
          <w:tab w:val="left" w:pos="284"/>
        </w:tabs>
        <w:spacing w:before="240" w:beforeLines="100" w:after="120" w:afterLines="50" w:line="400" w:lineRule="exact"/>
        <w:ind w:left="0" w:firstLine="0"/>
        <w:jc w:val="both"/>
        <w:rPr>
          <w:rFonts w:ascii="黑体" w:hAnsi="宋体" w:eastAsia="黑体"/>
          <w:color w:val="auto"/>
          <w:kern w:val="2"/>
          <w:sz w:val="24"/>
          <w:szCs w:val="24"/>
          <w:highlight w:val="none"/>
        </w:rPr>
      </w:pPr>
      <w:bookmarkStart w:id="238" w:name="_bookmark85"/>
      <w:bookmarkEnd w:id="238"/>
      <w:bookmarkStart w:id="239" w:name="_Toc496718843"/>
      <w:bookmarkStart w:id="240" w:name="_Toc62551560"/>
      <w:bookmarkStart w:id="241" w:name="_Toc32582"/>
      <w:r>
        <w:rPr>
          <w:rFonts w:ascii="黑体" w:hAnsi="宋体" w:eastAsia="黑体"/>
          <w:color w:val="auto"/>
          <w:kern w:val="2"/>
          <w:sz w:val="24"/>
          <w:szCs w:val="24"/>
          <w:highlight w:val="none"/>
        </w:rPr>
        <w:t>评审标准</w:t>
      </w:r>
      <w:bookmarkEnd w:id="239"/>
      <w:bookmarkEnd w:id="240"/>
      <w:bookmarkEnd w:id="241"/>
    </w:p>
    <w:p>
      <w:pPr>
        <w:pStyle w:val="4"/>
        <w:numPr>
          <w:ilvl w:val="1"/>
          <w:numId w:val="7"/>
        </w:numPr>
        <w:tabs>
          <w:tab w:val="left" w:pos="426"/>
        </w:tabs>
        <w:spacing w:before="120" w:beforeLines="50" w:after="120" w:afterLines="50" w:line="400" w:lineRule="exact"/>
        <w:ind w:left="0" w:firstLine="0"/>
        <w:jc w:val="both"/>
        <w:rPr>
          <w:rFonts w:ascii="黑体" w:eastAsia="黑体"/>
          <w:b/>
          <w:color w:val="auto"/>
          <w:kern w:val="2"/>
          <w:sz w:val="21"/>
          <w:szCs w:val="21"/>
          <w:highlight w:val="none"/>
        </w:rPr>
      </w:pPr>
      <w:bookmarkStart w:id="242" w:name="_bookmark86"/>
      <w:bookmarkEnd w:id="242"/>
      <w:r>
        <w:rPr>
          <w:rFonts w:hint="eastAsia" w:ascii="黑体" w:eastAsia="黑体"/>
          <w:b/>
          <w:color w:val="auto"/>
          <w:kern w:val="2"/>
          <w:sz w:val="21"/>
          <w:szCs w:val="21"/>
          <w:highlight w:val="none"/>
        </w:rPr>
        <w:t>初步评审标准</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形式评审标准：见评标办法前附表。</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资格评审标准：见评标办法前附表。</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响应性评审标准：见评标办法前附表。</w:t>
      </w:r>
    </w:p>
    <w:p>
      <w:pPr>
        <w:pStyle w:val="4"/>
        <w:numPr>
          <w:ilvl w:val="1"/>
          <w:numId w:val="7"/>
        </w:numPr>
        <w:tabs>
          <w:tab w:val="left" w:pos="426"/>
        </w:tabs>
        <w:spacing w:before="120" w:beforeLines="50" w:after="120" w:afterLines="50" w:line="400" w:lineRule="exact"/>
        <w:ind w:left="0" w:firstLine="0"/>
        <w:jc w:val="both"/>
        <w:rPr>
          <w:rFonts w:ascii="黑体" w:eastAsia="黑体"/>
          <w:b/>
          <w:color w:val="auto"/>
          <w:kern w:val="2"/>
          <w:sz w:val="21"/>
          <w:szCs w:val="21"/>
          <w:highlight w:val="none"/>
        </w:rPr>
      </w:pPr>
      <w:bookmarkStart w:id="243" w:name="_bookmark87"/>
      <w:bookmarkEnd w:id="243"/>
      <w:r>
        <w:rPr>
          <w:rFonts w:hint="eastAsia" w:ascii="黑体" w:eastAsia="黑体"/>
          <w:b/>
          <w:color w:val="auto"/>
          <w:kern w:val="2"/>
          <w:sz w:val="21"/>
          <w:szCs w:val="21"/>
          <w:highlight w:val="none"/>
        </w:rPr>
        <w:t>分值构成与评分标准</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分值构成</w:t>
      </w:r>
    </w:p>
    <w:p>
      <w:pPr>
        <w:pStyle w:val="23"/>
        <w:tabs>
          <w:tab w:val="left" w:pos="0"/>
        </w:tabs>
        <w:spacing w:line="400" w:lineRule="atLeast"/>
        <w:ind w:firstLine="420" w:firstLineChars="200"/>
        <w:jc w:val="both"/>
        <w:rPr>
          <w:color w:val="auto"/>
          <w:kern w:val="2"/>
          <w:sz w:val="21"/>
          <w:highlight w:val="none"/>
        </w:rPr>
      </w:pPr>
      <w:r>
        <w:rPr>
          <w:rFonts w:hint="eastAsia"/>
          <w:color w:val="auto"/>
          <w:kern w:val="2"/>
          <w:sz w:val="21"/>
          <w:highlight w:val="none"/>
        </w:rPr>
        <w:t>（</w:t>
      </w:r>
      <w:r>
        <w:rPr>
          <w:color w:val="auto"/>
          <w:kern w:val="2"/>
          <w:sz w:val="21"/>
          <w:highlight w:val="none"/>
        </w:rPr>
        <w:t>1</w:t>
      </w:r>
      <w:r>
        <w:rPr>
          <w:rFonts w:hint="eastAsia"/>
          <w:color w:val="auto"/>
          <w:kern w:val="2"/>
          <w:sz w:val="21"/>
          <w:highlight w:val="none"/>
        </w:rPr>
        <w:t>）商务部分：见评标办法前附表；</w:t>
      </w:r>
    </w:p>
    <w:p>
      <w:pPr>
        <w:pStyle w:val="23"/>
        <w:tabs>
          <w:tab w:val="left" w:pos="0"/>
        </w:tabs>
        <w:spacing w:line="400" w:lineRule="atLeast"/>
        <w:ind w:firstLine="420" w:firstLineChars="200"/>
        <w:jc w:val="both"/>
        <w:rPr>
          <w:color w:val="auto"/>
          <w:kern w:val="2"/>
          <w:sz w:val="21"/>
          <w:highlight w:val="none"/>
        </w:rPr>
      </w:pPr>
      <w:r>
        <w:rPr>
          <w:rFonts w:hint="eastAsia"/>
          <w:color w:val="auto"/>
          <w:kern w:val="2"/>
          <w:sz w:val="21"/>
          <w:highlight w:val="none"/>
        </w:rPr>
        <w:t>（</w:t>
      </w:r>
      <w:r>
        <w:rPr>
          <w:color w:val="auto"/>
          <w:kern w:val="2"/>
          <w:sz w:val="21"/>
          <w:highlight w:val="none"/>
        </w:rPr>
        <w:t>2</w:t>
      </w:r>
      <w:r>
        <w:rPr>
          <w:rFonts w:hint="eastAsia"/>
          <w:color w:val="auto"/>
          <w:kern w:val="2"/>
          <w:sz w:val="21"/>
          <w:highlight w:val="none"/>
        </w:rPr>
        <w:t>）技术部分：见评标办法前附表；</w:t>
      </w:r>
    </w:p>
    <w:p>
      <w:pPr>
        <w:pStyle w:val="23"/>
        <w:tabs>
          <w:tab w:val="left" w:pos="0"/>
        </w:tabs>
        <w:spacing w:line="400" w:lineRule="atLeast"/>
        <w:ind w:firstLine="420" w:firstLineChars="200"/>
        <w:jc w:val="both"/>
        <w:rPr>
          <w:color w:val="auto"/>
          <w:kern w:val="2"/>
          <w:sz w:val="21"/>
          <w:highlight w:val="none"/>
        </w:rPr>
      </w:pPr>
      <w:r>
        <w:rPr>
          <w:rFonts w:hint="eastAsia"/>
          <w:color w:val="auto"/>
          <w:kern w:val="2"/>
          <w:sz w:val="21"/>
          <w:highlight w:val="none"/>
        </w:rPr>
        <w:t>（</w:t>
      </w:r>
      <w:r>
        <w:rPr>
          <w:color w:val="auto"/>
          <w:kern w:val="2"/>
          <w:sz w:val="21"/>
          <w:highlight w:val="none"/>
        </w:rPr>
        <w:t>3</w:t>
      </w:r>
      <w:r>
        <w:rPr>
          <w:rFonts w:hint="eastAsia"/>
          <w:color w:val="auto"/>
          <w:kern w:val="2"/>
          <w:sz w:val="21"/>
          <w:highlight w:val="none"/>
        </w:rPr>
        <w:t>）投标报价：见评标办法前附表；</w:t>
      </w:r>
    </w:p>
    <w:p>
      <w:pPr>
        <w:pStyle w:val="23"/>
        <w:tabs>
          <w:tab w:val="left" w:pos="0"/>
        </w:tabs>
        <w:spacing w:line="400" w:lineRule="atLeast"/>
        <w:ind w:firstLine="420" w:firstLineChars="200"/>
        <w:jc w:val="both"/>
        <w:rPr>
          <w:color w:val="auto"/>
          <w:kern w:val="2"/>
          <w:sz w:val="21"/>
          <w:highlight w:val="none"/>
        </w:rPr>
      </w:pPr>
      <w:r>
        <w:rPr>
          <w:rFonts w:hint="eastAsia"/>
          <w:color w:val="auto"/>
          <w:kern w:val="2"/>
          <w:sz w:val="21"/>
          <w:highlight w:val="none"/>
        </w:rPr>
        <w:t>（4）其他评分因素：见评标办法前附表。</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评标基准价计算</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评标基准价计算方法：见评标办法前附表。</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投标报价的偏差率计算</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投标报价的偏差率计算公式：见评标办法前附表。</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评分标准</w:t>
      </w:r>
    </w:p>
    <w:p>
      <w:pPr>
        <w:pStyle w:val="23"/>
        <w:tabs>
          <w:tab w:val="left" w:pos="0"/>
        </w:tabs>
        <w:spacing w:line="400" w:lineRule="atLeast"/>
        <w:ind w:firstLine="420" w:firstLineChars="200"/>
        <w:jc w:val="both"/>
        <w:rPr>
          <w:color w:val="auto"/>
          <w:kern w:val="2"/>
          <w:sz w:val="21"/>
          <w:highlight w:val="none"/>
        </w:rPr>
      </w:pPr>
      <w:r>
        <w:rPr>
          <w:rFonts w:hint="eastAsia"/>
          <w:color w:val="auto"/>
          <w:kern w:val="2"/>
          <w:sz w:val="21"/>
          <w:highlight w:val="none"/>
        </w:rPr>
        <w:t>（</w:t>
      </w:r>
      <w:r>
        <w:rPr>
          <w:color w:val="auto"/>
          <w:kern w:val="2"/>
          <w:sz w:val="21"/>
          <w:highlight w:val="none"/>
        </w:rPr>
        <w:t>1</w:t>
      </w:r>
      <w:r>
        <w:rPr>
          <w:rFonts w:hint="eastAsia"/>
          <w:color w:val="auto"/>
          <w:kern w:val="2"/>
          <w:sz w:val="21"/>
          <w:highlight w:val="none"/>
        </w:rPr>
        <w:t>）商务评分标准：见评标办法前附表；</w:t>
      </w:r>
    </w:p>
    <w:p>
      <w:pPr>
        <w:pStyle w:val="23"/>
        <w:tabs>
          <w:tab w:val="left" w:pos="0"/>
        </w:tabs>
        <w:spacing w:line="400" w:lineRule="atLeast"/>
        <w:ind w:firstLine="420" w:firstLineChars="200"/>
        <w:jc w:val="both"/>
        <w:rPr>
          <w:color w:val="auto"/>
          <w:kern w:val="2"/>
          <w:sz w:val="21"/>
          <w:highlight w:val="none"/>
        </w:rPr>
      </w:pPr>
      <w:r>
        <w:rPr>
          <w:rFonts w:hint="eastAsia"/>
          <w:color w:val="auto"/>
          <w:kern w:val="2"/>
          <w:sz w:val="21"/>
          <w:highlight w:val="none"/>
        </w:rPr>
        <w:t>（</w:t>
      </w:r>
      <w:r>
        <w:rPr>
          <w:color w:val="auto"/>
          <w:kern w:val="2"/>
          <w:sz w:val="21"/>
          <w:highlight w:val="none"/>
        </w:rPr>
        <w:t>2</w:t>
      </w:r>
      <w:r>
        <w:rPr>
          <w:rFonts w:hint="eastAsia"/>
          <w:color w:val="auto"/>
          <w:kern w:val="2"/>
          <w:sz w:val="21"/>
          <w:highlight w:val="none"/>
        </w:rPr>
        <w:t>）技术评分标准：见评标办法前附表；</w:t>
      </w:r>
    </w:p>
    <w:p>
      <w:pPr>
        <w:pStyle w:val="23"/>
        <w:tabs>
          <w:tab w:val="left" w:pos="0"/>
        </w:tabs>
        <w:spacing w:line="400" w:lineRule="atLeast"/>
        <w:ind w:firstLine="420" w:firstLineChars="200"/>
        <w:jc w:val="both"/>
        <w:rPr>
          <w:color w:val="auto"/>
          <w:kern w:val="2"/>
          <w:sz w:val="21"/>
          <w:highlight w:val="none"/>
        </w:rPr>
      </w:pPr>
      <w:r>
        <w:rPr>
          <w:rFonts w:hint="eastAsia"/>
          <w:color w:val="auto"/>
          <w:kern w:val="2"/>
          <w:sz w:val="21"/>
          <w:highlight w:val="none"/>
        </w:rPr>
        <w:t>（</w:t>
      </w:r>
      <w:r>
        <w:rPr>
          <w:color w:val="auto"/>
          <w:kern w:val="2"/>
          <w:sz w:val="21"/>
          <w:highlight w:val="none"/>
        </w:rPr>
        <w:t>3</w:t>
      </w:r>
      <w:r>
        <w:rPr>
          <w:rFonts w:hint="eastAsia"/>
          <w:color w:val="auto"/>
          <w:kern w:val="2"/>
          <w:sz w:val="21"/>
          <w:highlight w:val="none"/>
        </w:rPr>
        <w:t>）投标报价评分标准：见评标办法前附表；</w:t>
      </w:r>
    </w:p>
    <w:p>
      <w:pPr>
        <w:pStyle w:val="23"/>
        <w:tabs>
          <w:tab w:val="left" w:pos="0"/>
        </w:tabs>
        <w:spacing w:line="400" w:lineRule="atLeast"/>
        <w:ind w:firstLine="420" w:firstLineChars="200"/>
        <w:jc w:val="both"/>
        <w:rPr>
          <w:color w:val="auto"/>
          <w:kern w:val="2"/>
          <w:sz w:val="21"/>
          <w:highlight w:val="none"/>
        </w:rPr>
      </w:pPr>
      <w:r>
        <w:rPr>
          <w:rFonts w:hint="eastAsia"/>
          <w:color w:val="auto"/>
          <w:kern w:val="2"/>
          <w:sz w:val="21"/>
          <w:highlight w:val="none"/>
        </w:rPr>
        <w:t>（4）其他因素评分标准：见评标办法前附表。</w:t>
      </w:r>
    </w:p>
    <w:p>
      <w:pPr>
        <w:pStyle w:val="3"/>
        <w:numPr>
          <w:ilvl w:val="0"/>
          <w:numId w:val="7"/>
        </w:numPr>
        <w:tabs>
          <w:tab w:val="left" w:pos="284"/>
        </w:tabs>
        <w:spacing w:before="240" w:beforeLines="100" w:after="120" w:afterLines="50" w:line="240" w:lineRule="exact"/>
        <w:ind w:left="0" w:firstLine="0"/>
        <w:jc w:val="both"/>
        <w:rPr>
          <w:rFonts w:ascii="黑体" w:hAnsi="宋体" w:eastAsia="黑体"/>
          <w:color w:val="auto"/>
          <w:kern w:val="2"/>
          <w:sz w:val="24"/>
          <w:szCs w:val="24"/>
          <w:highlight w:val="none"/>
        </w:rPr>
      </w:pPr>
      <w:bookmarkStart w:id="244" w:name="_bookmark88"/>
      <w:bookmarkEnd w:id="244"/>
      <w:bookmarkStart w:id="245" w:name="_Toc62551561"/>
      <w:bookmarkStart w:id="246" w:name="_Toc496718844"/>
      <w:bookmarkStart w:id="247" w:name="_Toc25478"/>
      <w:r>
        <w:rPr>
          <w:rFonts w:ascii="黑体" w:hAnsi="宋体" w:eastAsia="黑体"/>
          <w:color w:val="auto"/>
          <w:kern w:val="2"/>
          <w:sz w:val="24"/>
          <w:szCs w:val="24"/>
          <w:highlight w:val="none"/>
        </w:rPr>
        <w:t>评标程序</w:t>
      </w:r>
      <w:bookmarkEnd w:id="245"/>
      <w:bookmarkEnd w:id="246"/>
      <w:bookmarkEnd w:id="247"/>
    </w:p>
    <w:p>
      <w:pPr>
        <w:pStyle w:val="4"/>
        <w:numPr>
          <w:ilvl w:val="1"/>
          <w:numId w:val="7"/>
        </w:numPr>
        <w:tabs>
          <w:tab w:val="left" w:pos="426"/>
        </w:tabs>
        <w:spacing w:before="120" w:beforeLines="50" w:after="120" w:afterLines="50" w:line="400" w:lineRule="exact"/>
        <w:ind w:left="0" w:firstLine="0"/>
        <w:jc w:val="both"/>
        <w:rPr>
          <w:rFonts w:ascii="黑体" w:eastAsia="黑体"/>
          <w:b/>
          <w:color w:val="auto"/>
          <w:kern w:val="2"/>
          <w:sz w:val="21"/>
          <w:szCs w:val="21"/>
          <w:highlight w:val="none"/>
        </w:rPr>
      </w:pPr>
      <w:bookmarkStart w:id="248" w:name="_bookmark89"/>
      <w:bookmarkEnd w:id="248"/>
      <w:r>
        <w:rPr>
          <w:rFonts w:hint="eastAsia" w:ascii="黑体" w:eastAsia="黑体"/>
          <w:b/>
          <w:color w:val="auto"/>
          <w:kern w:val="2"/>
          <w:sz w:val="21"/>
          <w:szCs w:val="21"/>
          <w:highlight w:val="none"/>
        </w:rPr>
        <w:t>初步评审</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评标委员会可以要求投标人提交第二章“投标人须知”规定的有关证明和证件的原件， 以便核验。评标委员会依据本章第 2.1 款规定的标准对投标文件进行初步评审。有一项不符合评审标准的，评标委员会应当否决其投标。</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投标人有以下情形之一的，评标委员会应当否决其投标：</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（1）投标文件没有对招标文件的实质性要求和条件作出响应，或者对招标文件的偏差超出招标文件规定的偏差范围或最高项数；</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（2）有串通投标、弄虚作假、行贿等违法行为。</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投标报价有算术错误及其他错误的，评标委员会按以下原则要求投标人对投标报价进行修正，并要求投标人书面澄清确认。投标人拒不澄清确认的，评标委员会应当否决其投标：</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（1）投标文件中的大写金额与小写金额不一致的，以大写金额为准；</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（2）总价金额与单价金额不一致的，以单价金额为准，但单价金额小数点有明显错误的除外。</w:t>
      </w:r>
    </w:p>
    <w:p>
      <w:pPr>
        <w:pStyle w:val="4"/>
        <w:numPr>
          <w:ilvl w:val="1"/>
          <w:numId w:val="7"/>
        </w:numPr>
        <w:tabs>
          <w:tab w:val="left" w:pos="426"/>
        </w:tabs>
        <w:spacing w:before="120" w:beforeLines="50" w:after="120" w:afterLines="50" w:line="400" w:lineRule="exact"/>
        <w:ind w:left="0" w:firstLine="0"/>
        <w:jc w:val="both"/>
        <w:rPr>
          <w:rFonts w:ascii="黑体" w:eastAsia="黑体"/>
          <w:b/>
          <w:color w:val="auto"/>
          <w:kern w:val="2"/>
          <w:sz w:val="21"/>
          <w:szCs w:val="21"/>
          <w:highlight w:val="none"/>
        </w:rPr>
      </w:pPr>
      <w:bookmarkStart w:id="249" w:name="_bookmark90"/>
      <w:bookmarkEnd w:id="249"/>
      <w:r>
        <w:rPr>
          <w:rFonts w:hint="eastAsia" w:ascii="黑体" w:eastAsia="黑体"/>
          <w:b/>
          <w:color w:val="auto"/>
          <w:kern w:val="2"/>
          <w:sz w:val="21"/>
          <w:szCs w:val="21"/>
          <w:highlight w:val="none"/>
        </w:rPr>
        <w:t>详细评审</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评标委员会按本章第 2.2款规定的量化因素和分值进行打分，并计算出综合评估得分。</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 xml:space="preserve">（1）按本章第 </w:t>
      </w:r>
      <w:r>
        <w:rPr>
          <w:rFonts w:hint="default"/>
          <w:color w:val="auto"/>
          <w:kern w:val="2"/>
          <w:sz w:val="21"/>
          <w:highlight w:val="none"/>
          <w:lang w:val="en-US"/>
        </w:rPr>
        <w:t>2</w:t>
      </w:r>
      <w:r>
        <w:rPr>
          <w:color w:val="auto"/>
          <w:kern w:val="2"/>
          <w:sz w:val="21"/>
          <w:highlight w:val="none"/>
        </w:rPr>
        <w:t>.2.4（1）目规定的评审因素和分值对商务部分计算出得分 A；</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 xml:space="preserve">（2）按本章第 </w:t>
      </w:r>
      <w:r>
        <w:rPr>
          <w:rFonts w:hint="default"/>
          <w:color w:val="auto"/>
          <w:kern w:val="2"/>
          <w:sz w:val="21"/>
          <w:highlight w:val="none"/>
          <w:lang w:val="en-US"/>
        </w:rPr>
        <w:t>2</w:t>
      </w:r>
      <w:r>
        <w:rPr>
          <w:color w:val="auto"/>
          <w:kern w:val="2"/>
          <w:sz w:val="21"/>
          <w:highlight w:val="none"/>
        </w:rPr>
        <w:t>.2.4（2）目规定的评审因素和分值对技术部分计算出得分 B；</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 xml:space="preserve">（3）按本章第 </w:t>
      </w:r>
      <w:r>
        <w:rPr>
          <w:rFonts w:hint="default"/>
          <w:color w:val="auto"/>
          <w:kern w:val="2"/>
          <w:sz w:val="21"/>
          <w:highlight w:val="none"/>
          <w:lang w:val="en-US"/>
        </w:rPr>
        <w:t>2</w:t>
      </w:r>
      <w:r>
        <w:rPr>
          <w:color w:val="auto"/>
          <w:kern w:val="2"/>
          <w:sz w:val="21"/>
          <w:highlight w:val="none"/>
        </w:rPr>
        <w:t>.2.4（3）目规定的评审因素和分值对投标报价计算出得分 C；</w:t>
      </w:r>
    </w:p>
    <w:p>
      <w:pPr>
        <w:pStyle w:val="23"/>
        <w:tabs>
          <w:tab w:val="left" w:pos="0"/>
        </w:tabs>
        <w:spacing w:line="400" w:lineRule="atLeast"/>
        <w:ind w:firstLine="420" w:firstLineChars="200"/>
        <w:jc w:val="both"/>
        <w:rPr>
          <w:color w:val="auto"/>
          <w:kern w:val="2"/>
          <w:sz w:val="21"/>
          <w:highlight w:val="none"/>
        </w:rPr>
      </w:pPr>
      <w:r>
        <w:rPr>
          <w:color w:val="auto"/>
          <w:kern w:val="2"/>
          <w:sz w:val="21"/>
          <w:highlight w:val="none"/>
        </w:rPr>
        <w:t xml:space="preserve">（4）按本章第 </w:t>
      </w:r>
      <w:r>
        <w:rPr>
          <w:rFonts w:hint="default"/>
          <w:color w:val="auto"/>
          <w:kern w:val="2"/>
          <w:sz w:val="21"/>
          <w:highlight w:val="none"/>
          <w:lang w:val="en-US"/>
        </w:rPr>
        <w:t>2</w:t>
      </w:r>
      <w:r>
        <w:rPr>
          <w:color w:val="auto"/>
          <w:kern w:val="2"/>
          <w:sz w:val="21"/>
          <w:highlight w:val="none"/>
        </w:rPr>
        <w:t>.2.4（4）目规定的评审因素和分值对其他部分计算出得分 D。</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评分分值计算保留小数点后两位，小数点后第三位“四舍五入”。</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投标人得分= A+B+C+D。</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pPr>
        <w:pStyle w:val="4"/>
        <w:numPr>
          <w:ilvl w:val="1"/>
          <w:numId w:val="7"/>
        </w:numPr>
        <w:tabs>
          <w:tab w:val="left" w:pos="426"/>
        </w:tabs>
        <w:spacing w:before="120" w:beforeLines="50" w:after="120" w:afterLines="50" w:line="400" w:lineRule="exact"/>
        <w:ind w:left="0" w:firstLine="0"/>
        <w:jc w:val="both"/>
        <w:rPr>
          <w:rFonts w:ascii="黑体" w:eastAsia="黑体"/>
          <w:b/>
          <w:color w:val="auto"/>
          <w:kern w:val="2"/>
          <w:sz w:val="21"/>
          <w:szCs w:val="21"/>
          <w:highlight w:val="none"/>
        </w:rPr>
      </w:pPr>
      <w:bookmarkStart w:id="250" w:name="_bookmark91"/>
      <w:bookmarkEnd w:id="250"/>
      <w:r>
        <w:rPr>
          <w:rFonts w:hint="eastAsia" w:ascii="黑体" w:eastAsia="黑体"/>
          <w:b/>
          <w:color w:val="auto"/>
          <w:kern w:val="2"/>
          <w:sz w:val="21"/>
          <w:szCs w:val="21"/>
          <w:highlight w:val="none"/>
        </w:rPr>
        <w:t>投标文件的澄清</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在评标过程中，评标委员会可以书面形式要求投标人对投标文件中含义不明确、对同</w:t>
      </w:r>
      <w:r>
        <w:rPr>
          <w:rFonts w:hint="eastAsia"/>
          <w:color w:val="auto"/>
          <w:kern w:val="2"/>
          <w:sz w:val="21"/>
          <w:szCs w:val="21"/>
          <w:highlight w:val="none"/>
        </w:rPr>
        <w:t>类</w:t>
      </w:r>
      <w:r>
        <w:rPr>
          <w:color w:val="auto"/>
          <w:kern w:val="2"/>
          <w:sz w:val="21"/>
          <w:szCs w:val="21"/>
          <w:highlight w:val="none"/>
        </w:rPr>
        <w:t>问题表述不一致或者有明显文字和计算错误的内容作必要的澄清、说明或补正。澄清、说明或补正应以书面方式进行。评标委员会不接受投标人主动提出的澄清、说明或补正。</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澄清、说明或补正不得超出投标文件的范围且不得改变投标文件的实质性内容，并构成投标文件的组成部分</w:t>
      </w:r>
      <w:r>
        <w:rPr>
          <w:rFonts w:hint="eastAsia"/>
          <w:color w:val="auto"/>
          <w:kern w:val="2"/>
          <w:sz w:val="21"/>
          <w:szCs w:val="21"/>
          <w:highlight w:val="none"/>
        </w:rPr>
        <w:t>。</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评标委员会对投标人提交的澄清、说明或补正有疑问的，可以要求投标人进一步澄清、说明或补正，直至满足评标委员会的要求</w:t>
      </w:r>
      <w:r>
        <w:rPr>
          <w:rFonts w:hint="eastAsia"/>
          <w:color w:val="auto"/>
          <w:kern w:val="2"/>
          <w:sz w:val="21"/>
          <w:szCs w:val="21"/>
          <w:highlight w:val="none"/>
        </w:rPr>
        <w:t>。</w:t>
      </w:r>
    </w:p>
    <w:p>
      <w:pPr>
        <w:pStyle w:val="4"/>
        <w:numPr>
          <w:ilvl w:val="1"/>
          <w:numId w:val="7"/>
        </w:numPr>
        <w:tabs>
          <w:tab w:val="left" w:pos="426"/>
        </w:tabs>
        <w:spacing w:before="120" w:beforeLines="50" w:after="120" w:afterLines="50" w:line="400" w:lineRule="exact"/>
        <w:ind w:left="0" w:firstLine="0"/>
        <w:jc w:val="both"/>
        <w:rPr>
          <w:rFonts w:ascii="黑体" w:eastAsia="黑体"/>
          <w:b/>
          <w:color w:val="auto"/>
          <w:kern w:val="2"/>
          <w:sz w:val="21"/>
          <w:szCs w:val="21"/>
          <w:highlight w:val="none"/>
        </w:rPr>
      </w:pPr>
      <w:r>
        <w:rPr>
          <w:rFonts w:hint="eastAsia" w:ascii="黑体" w:eastAsia="黑体"/>
          <w:b/>
          <w:color w:val="auto"/>
          <w:kern w:val="2"/>
          <w:sz w:val="21"/>
          <w:szCs w:val="21"/>
          <w:highlight w:val="none"/>
        </w:rPr>
        <w:t>评标结果</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除第</w:t>
      </w:r>
      <w:r>
        <w:rPr>
          <w:rFonts w:hint="eastAsia"/>
          <w:color w:val="auto"/>
          <w:kern w:val="2"/>
          <w:sz w:val="21"/>
          <w:szCs w:val="21"/>
          <w:highlight w:val="none"/>
          <w:lang w:val="en-US"/>
        </w:rPr>
        <w:t>二</w:t>
      </w:r>
      <w:r>
        <w:rPr>
          <w:color w:val="auto"/>
          <w:kern w:val="2"/>
          <w:sz w:val="21"/>
          <w:szCs w:val="21"/>
          <w:highlight w:val="none"/>
        </w:rPr>
        <w:t>章“投标人须知”前附表授权直接确定中标人外，评标委员会按照得分由高到低的顺序推荐中标候选人，并标明排序</w:t>
      </w:r>
      <w:r>
        <w:rPr>
          <w:rFonts w:hint="eastAsia"/>
          <w:color w:val="auto"/>
          <w:kern w:val="2"/>
          <w:sz w:val="21"/>
          <w:szCs w:val="21"/>
          <w:highlight w:val="none"/>
        </w:rPr>
        <w:t>。</w:t>
      </w:r>
    </w:p>
    <w:p>
      <w:pPr>
        <w:pStyle w:val="29"/>
        <w:numPr>
          <w:ilvl w:val="2"/>
          <w:numId w:val="7"/>
        </w:numPr>
        <w:tabs>
          <w:tab w:val="left" w:pos="993"/>
        </w:tabs>
        <w:spacing w:line="400" w:lineRule="atLeast"/>
        <w:ind w:left="0" w:firstLine="420" w:firstLineChars="200"/>
        <w:jc w:val="both"/>
        <w:rPr>
          <w:color w:val="auto"/>
          <w:kern w:val="2"/>
          <w:sz w:val="21"/>
          <w:szCs w:val="21"/>
          <w:highlight w:val="none"/>
        </w:rPr>
      </w:pPr>
      <w:r>
        <w:rPr>
          <w:color w:val="auto"/>
          <w:kern w:val="2"/>
          <w:sz w:val="21"/>
          <w:szCs w:val="21"/>
          <w:highlight w:val="none"/>
        </w:rPr>
        <w:t>评标委员会完成评标后，应当向招标人提交书面评标报告和中标候选人名单。</w:t>
      </w:r>
    </w:p>
    <w:p>
      <w:pPr>
        <w:adjustRightInd w:val="0"/>
        <w:snapToGrid w:val="0"/>
        <w:jc w:val="center"/>
        <w:outlineLvl w:val="0"/>
        <w:rPr>
          <w:rFonts w:ascii="黑体" w:eastAsia="黑体"/>
          <w:b/>
          <w:color w:val="auto"/>
          <w:sz w:val="28"/>
          <w:szCs w:val="28"/>
          <w:highlight w:val="none"/>
        </w:rPr>
      </w:pPr>
      <w:r>
        <w:rPr>
          <w:color w:val="auto"/>
          <w:highlight w:val="none"/>
        </w:rPr>
        <w:br w:type="page"/>
      </w:r>
      <w:bookmarkStart w:id="251" w:name="_Toc3251"/>
      <w:bookmarkStart w:id="252" w:name="_Toc22413"/>
      <w:bookmarkStart w:id="253" w:name="_Toc22364"/>
      <w:bookmarkStart w:id="254" w:name="_Toc500521533"/>
      <w:bookmarkStart w:id="255" w:name="_Toc496718845"/>
      <w:bookmarkStart w:id="256" w:name="_Toc62551562"/>
      <w:bookmarkStart w:id="257" w:name="_Toc14776"/>
      <w:bookmarkStart w:id="258" w:name="_Toc500521534"/>
      <w:bookmarkStart w:id="259" w:name="_Toc12901"/>
      <w:bookmarkStart w:id="260" w:name="_Toc62551563"/>
      <w:bookmarkStart w:id="261" w:name="_Toc18711"/>
      <w:r>
        <w:rPr>
          <w:rFonts w:hint="eastAsia" w:ascii="黑体" w:eastAsia="黑体"/>
          <w:b/>
          <w:color w:val="auto"/>
          <w:sz w:val="28"/>
          <w:szCs w:val="28"/>
          <w:highlight w:val="none"/>
        </w:rPr>
        <w:t>第四章  合同条款及格式</w:t>
      </w:r>
      <w:bookmarkEnd w:id="251"/>
      <w:bookmarkEnd w:id="252"/>
      <w:bookmarkEnd w:id="253"/>
      <w:bookmarkEnd w:id="254"/>
      <w:bookmarkEnd w:id="255"/>
      <w:bookmarkEnd w:id="256"/>
    </w:p>
    <w:p>
      <w:pPr>
        <w:rPr>
          <w:color w:val="auto"/>
          <w:highlight w:val="none"/>
        </w:rPr>
      </w:pPr>
    </w:p>
    <w:p>
      <w:pPr>
        <w:adjustRightInd w:val="0"/>
        <w:snapToGrid w:val="0"/>
        <w:jc w:val="center"/>
        <w:rPr>
          <w:rFonts w:ascii="黑体" w:eastAsia="黑体"/>
          <w:b/>
          <w:color w:val="auto"/>
          <w:sz w:val="28"/>
          <w:szCs w:val="28"/>
          <w:highlight w:val="none"/>
        </w:rPr>
      </w:pPr>
      <w:bookmarkStart w:id="262" w:name="_Toc31846"/>
      <w:bookmarkStart w:id="263" w:name="_Toc29190"/>
      <w:bookmarkStart w:id="264" w:name="_Toc29171"/>
      <w:r>
        <w:rPr>
          <w:rFonts w:hint="eastAsia" w:ascii="黑体" w:eastAsia="黑体"/>
          <w:b/>
          <w:color w:val="auto"/>
          <w:sz w:val="28"/>
          <w:szCs w:val="28"/>
          <w:highlight w:val="none"/>
        </w:rPr>
        <w:t>单独成册</w:t>
      </w:r>
      <w:bookmarkEnd w:id="262"/>
      <w:bookmarkEnd w:id="263"/>
      <w:bookmarkEnd w:id="264"/>
    </w:p>
    <w:p>
      <w:pPr>
        <w:widowControl/>
        <w:jc w:val="left"/>
        <w:rPr>
          <w:rFonts w:ascii="黑体" w:eastAsia="黑体"/>
          <w:b/>
          <w:color w:val="auto"/>
          <w:sz w:val="28"/>
          <w:szCs w:val="28"/>
          <w:highlight w:val="none"/>
        </w:rPr>
      </w:pPr>
      <w:r>
        <w:rPr>
          <w:rFonts w:ascii="黑体" w:eastAsia="黑体"/>
          <w:b/>
          <w:color w:val="auto"/>
          <w:sz w:val="28"/>
          <w:szCs w:val="28"/>
          <w:highlight w:val="none"/>
        </w:rPr>
        <w:br w:type="page"/>
      </w:r>
    </w:p>
    <w:p>
      <w:pPr>
        <w:adjustRightInd w:val="0"/>
        <w:snapToGrid w:val="0"/>
        <w:spacing w:line="400" w:lineRule="atLeast"/>
        <w:jc w:val="center"/>
        <w:outlineLvl w:val="0"/>
        <w:rPr>
          <w:rFonts w:ascii="黑体" w:eastAsia="黑体"/>
          <w:b/>
          <w:color w:val="auto"/>
          <w:sz w:val="28"/>
          <w:szCs w:val="28"/>
          <w:highlight w:val="none"/>
        </w:rPr>
      </w:pPr>
      <w:r>
        <w:rPr>
          <w:rFonts w:hint="eastAsia" w:ascii="黑体" w:eastAsia="黑体"/>
          <w:b/>
          <w:color w:val="auto"/>
          <w:sz w:val="28"/>
          <w:szCs w:val="28"/>
          <w:highlight w:val="none"/>
        </w:rPr>
        <w:t>第五章  委托人要求（技术标准和要求）</w:t>
      </w:r>
      <w:bookmarkEnd w:id="257"/>
      <w:bookmarkEnd w:id="258"/>
      <w:bookmarkEnd w:id="259"/>
      <w:bookmarkEnd w:id="260"/>
      <w:bookmarkEnd w:id="261"/>
    </w:p>
    <w:p>
      <w:pPr>
        <w:topLinePunct/>
        <w:spacing w:line="400" w:lineRule="exact"/>
        <w:ind w:firstLine="420" w:firstLineChars="200"/>
        <w:rPr>
          <w:rFonts w:ascii="Times New Roman" w:hAnsi="Times New Roman"/>
          <w:color w:val="auto"/>
          <w:szCs w:val="21"/>
          <w:highlight w:val="none"/>
        </w:rPr>
      </w:pPr>
    </w:p>
    <w:p>
      <w:pPr>
        <w:adjustRightInd w:val="0"/>
        <w:snapToGrid w:val="0"/>
        <w:jc w:val="center"/>
        <w:rPr>
          <w:rFonts w:ascii="黑体" w:eastAsia="黑体"/>
          <w:b/>
          <w:color w:val="auto"/>
          <w:sz w:val="28"/>
          <w:szCs w:val="28"/>
          <w:highlight w:val="none"/>
        </w:rPr>
      </w:pPr>
      <w:r>
        <w:rPr>
          <w:rFonts w:hint="eastAsia" w:ascii="黑体" w:eastAsia="黑体"/>
          <w:b/>
          <w:color w:val="auto"/>
          <w:sz w:val="28"/>
          <w:szCs w:val="28"/>
          <w:highlight w:val="none"/>
        </w:rPr>
        <w:t>单独成册</w:t>
      </w:r>
    </w:p>
    <w:p>
      <w:pPr>
        <w:numPr>
          <w:ilvl w:val="0"/>
          <w:numId w:val="8"/>
        </w:numPr>
        <w:topLinePunct/>
        <w:spacing w:line="400" w:lineRule="atLeast"/>
        <w:ind w:firstLine="420" w:firstLineChars="200"/>
        <w:jc w:val="center"/>
        <w:outlineLvl w:val="0"/>
        <w:rPr>
          <w:rFonts w:hint="eastAsia" w:ascii="黑体" w:eastAsia="黑体"/>
          <w:b/>
          <w:color w:val="auto"/>
          <w:sz w:val="28"/>
          <w:szCs w:val="28"/>
          <w:highlight w:val="none"/>
        </w:rPr>
      </w:pPr>
      <w:r>
        <w:rPr>
          <w:color w:val="auto"/>
          <w:highlight w:val="none"/>
        </w:rPr>
        <w:br w:type="page"/>
      </w:r>
      <w:bookmarkStart w:id="265" w:name="_Toc28252"/>
      <w:bookmarkStart w:id="266" w:name="_Toc500521535"/>
      <w:bookmarkStart w:id="267" w:name="_Toc62551564"/>
      <w:bookmarkStart w:id="268" w:name="_Toc21185"/>
      <w:bookmarkStart w:id="269" w:name="_Toc2611"/>
      <w:r>
        <w:rPr>
          <w:rFonts w:hint="eastAsia" w:ascii="黑体" w:eastAsia="黑体"/>
          <w:b/>
          <w:color w:val="auto"/>
          <w:sz w:val="28"/>
          <w:szCs w:val="28"/>
          <w:highlight w:val="none"/>
        </w:rPr>
        <w:t xml:space="preserve"> 投标文件格式</w:t>
      </w:r>
      <w:bookmarkEnd w:id="265"/>
      <w:bookmarkEnd w:id="266"/>
      <w:bookmarkEnd w:id="267"/>
      <w:bookmarkEnd w:id="268"/>
      <w:bookmarkEnd w:id="269"/>
    </w:p>
    <w:p>
      <w:pPr>
        <w:keepNext/>
        <w:keepLines/>
        <w:numPr>
          <w:ilvl w:val="0"/>
          <w:numId w:val="9"/>
        </w:numPr>
        <w:snapToGrid w:val="0"/>
        <w:spacing w:before="192" w:beforeLines="80" w:after="192" w:afterLines="80"/>
        <w:jc w:val="left"/>
        <w:outlineLvl w:val="1"/>
        <w:rPr>
          <w:rFonts w:eastAsia="黑体"/>
          <w:color w:val="auto"/>
          <w:sz w:val="28"/>
          <w:highlight w:val="none"/>
        </w:rPr>
      </w:pPr>
      <w:r>
        <w:rPr>
          <w:rFonts w:eastAsia="黑体"/>
          <w:color w:val="auto"/>
          <w:sz w:val="28"/>
          <w:highlight w:val="none"/>
        </w:rPr>
        <w:t>投标文件组成</w:t>
      </w:r>
    </w:p>
    <w:p>
      <w:pPr>
        <w:keepNext w:val="0"/>
        <w:keepLines w:val="0"/>
        <w:pageBreakBefore w:val="0"/>
        <w:widowControl w:val="0"/>
        <w:tabs>
          <w:tab w:val="left" w:pos="312"/>
        </w:tabs>
        <w:kinsoku/>
        <w:wordWrap/>
        <w:overflowPunct/>
        <w:topLinePunct w:val="0"/>
        <w:autoSpaceDE/>
        <w:autoSpaceDN/>
        <w:bidi w:val="0"/>
        <w:adjustRightInd w:val="0"/>
        <w:snapToGrid w:val="0"/>
        <w:spacing w:line="420" w:lineRule="exact"/>
        <w:ind w:left="0" w:firstLine="420" w:firstLineChars="200"/>
        <w:jc w:val="left"/>
        <w:textAlignment w:val="auto"/>
        <w:rPr>
          <w:color w:val="auto"/>
          <w:szCs w:val="21"/>
          <w:highlight w:val="none"/>
        </w:rPr>
      </w:pPr>
      <w:r>
        <w:rPr>
          <w:color w:val="auto"/>
          <w:szCs w:val="21"/>
          <w:highlight w:val="none"/>
        </w:rPr>
        <w:t>投标文件应按照下表的文件顺序编制各投标文件，未按招标文件规定内容与格式编制的投标文件，将对投标人的投标结果产生不利影响。与招标投标评标无关的文件或材料，如招标文件要求年份以前以后的业绩等，</w:t>
      </w:r>
      <w:r>
        <w:rPr>
          <w:rFonts w:hint="eastAsia"/>
          <w:color w:val="auto"/>
          <w:szCs w:val="21"/>
          <w:highlight w:val="none"/>
          <w:lang w:eastAsia="zh-CN"/>
        </w:rPr>
        <w:t>不得编入投标文件，编入不作评审</w:t>
      </w:r>
      <w:r>
        <w:rPr>
          <w:color w:val="auto"/>
          <w:szCs w:val="21"/>
          <w:highlight w:val="none"/>
        </w:rPr>
        <w:t>。</w:t>
      </w:r>
    </w:p>
    <w:p>
      <w:pPr>
        <w:tabs>
          <w:tab w:val="left" w:pos="312"/>
        </w:tabs>
        <w:topLinePunct w:val="0"/>
        <w:adjustRightInd w:val="0"/>
        <w:snapToGrid w:val="0"/>
        <w:spacing w:line="360" w:lineRule="auto"/>
        <w:ind w:left="420"/>
        <w:jc w:val="center"/>
        <w:rPr>
          <w:b/>
          <w:color w:val="auto"/>
          <w:szCs w:val="21"/>
          <w:highlight w:val="none"/>
        </w:rPr>
      </w:pPr>
    </w:p>
    <w:p>
      <w:pPr>
        <w:tabs>
          <w:tab w:val="left" w:pos="312"/>
        </w:tabs>
        <w:topLinePunct w:val="0"/>
        <w:adjustRightInd w:val="0"/>
        <w:snapToGrid w:val="0"/>
        <w:spacing w:line="360" w:lineRule="auto"/>
        <w:ind w:left="420"/>
        <w:jc w:val="center"/>
        <w:rPr>
          <w:b/>
          <w:color w:val="auto"/>
          <w:szCs w:val="21"/>
          <w:highlight w:val="none"/>
        </w:rPr>
      </w:pPr>
      <w:r>
        <w:rPr>
          <w:b/>
          <w:color w:val="auto"/>
          <w:szCs w:val="21"/>
          <w:highlight w:val="none"/>
        </w:rPr>
        <w:t>投标文件组成列表（电子单轨制）</w:t>
      </w:r>
    </w:p>
    <w:tbl>
      <w:tblPr>
        <w:tblStyle w:val="19"/>
        <w:tblW w:w="4998" w:type="pct"/>
        <w:tblInd w:w="0" w:type="dxa"/>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Layout w:type="autofit"/>
        <w:tblCellMar>
          <w:top w:w="0" w:type="dxa"/>
          <w:left w:w="108" w:type="dxa"/>
          <w:bottom w:w="0" w:type="dxa"/>
          <w:right w:w="108" w:type="dxa"/>
        </w:tblCellMar>
      </w:tblPr>
      <w:tblGrid>
        <w:gridCol w:w="939"/>
        <w:gridCol w:w="3496"/>
        <w:gridCol w:w="893"/>
        <w:gridCol w:w="902"/>
        <w:gridCol w:w="2289"/>
      </w:tblGrid>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478" w:hRule="atLeast"/>
          <w:tblHeader/>
        </w:trPr>
        <w:tc>
          <w:tcPr>
            <w:tcW w:w="551" w:type="pct"/>
            <w:vMerge w:val="restart"/>
            <w:vAlign w:val="center"/>
          </w:tcPr>
          <w:p>
            <w:pPr>
              <w:widowControl/>
              <w:jc w:val="center"/>
              <w:rPr>
                <w:b/>
                <w:bCs/>
                <w:color w:val="auto"/>
                <w:kern w:val="0"/>
                <w:sz w:val="18"/>
                <w:szCs w:val="18"/>
                <w:highlight w:val="none"/>
              </w:rPr>
            </w:pPr>
            <w:r>
              <w:rPr>
                <w:b/>
                <w:bCs/>
                <w:color w:val="auto"/>
                <w:kern w:val="0"/>
                <w:sz w:val="18"/>
                <w:szCs w:val="18"/>
                <w:highlight w:val="none"/>
              </w:rPr>
              <w:t>序号</w:t>
            </w:r>
          </w:p>
        </w:tc>
        <w:tc>
          <w:tcPr>
            <w:tcW w:w="2052" w:type="pct"/>
            <w:vMerge w:val="restart"/>
            <w:vAlign w:val="center"/>
          </w:tcPr>
          <w:p>
            <w:pPr>
              <w:widowControl/>
              <w:jc w:val="center"/>
              <w:rPr>
                <w:b/>
                <w:bCs/>
                <w:color w:val="auto"/>
                <w:kern w:val="0"/>
                <w:sz w:val="18"/>
                <w:szCs w:val="18"/>
                <w:highlight w:val="none"/>
              </w:rPr>
            </w:pPr>
            <w:r>
              <w:rPr>
                <w:b/>
                <w:bCs/>
                <w:color w:val="auto"/>
                <w:kern w:val="0"/>
                <w:sz w:val="18"/>
                <w:szCs w:val="18"/>
                <w:highlight w:val="none"/>
              </w:rPr>
              <w:t>名称</w:t>
            </w:r>
          </w:p>
        </w:tc>
        <w:tc>
          <w:tcPr>
            <w:tcW w:w="2396" w:type="pct"/>
            <w:gridSpan w:val="3"/>
            <w:vAlign w:val="center"/>
          </w:tcPr>
          <w:p>
            <w:pPr>
              <w:widowControl/>
              <w:jc w:val="center"/>
              <w:rPr>
                <w:b/>
                <w:bCs/>
                <w:color w:val="auto"/>
                <w:kern w:val="0"/>
                <w:sz w:val="18"/>
                <w:szCs w:val="18"/>
                <w:highlight w:val="none"/>
              </w:rPr>
            </w:pPr>
            <w:r>
              <w:rPr>
                <w:b/>
                <w:bCs/>
                <w:color w:val="auto"/>
                <w:kern w:val="0"/>
                <w:sz w:val="18"/>
                <w:szCs w:val="18"/>
                <w:highlight w:val="none"/>
              </w:rPr>
              <w:t>电子文件介质渠道</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379" w:hRule="atLeast"/>
          <w:tblHeader/>
        </w:trPr>
        <w:tc>
          <w:tcPr>
            <w:tcW w:w="551" w:type="pct"/>
            <w:vMerge w:val="continue"/>
            <w:vAlign w:val="center"/>
          </w:tcPr>
          <w:p>
            <w:pPr>
              <w:widowControl/>
              <w:jc w:val="center"/>
              <w:rPr>
                <w:b/>
                <w:bCs/>
                <w:color w:val="auto"/>
                <w:kern w:val="0"/>
                <w:sz w:val="18"/>
                <w:szCs w:val="18"/>
                <w:highlight w:val="none"/>
              </w:rPr>
            </w:pPr>
          </w:p>
        </w:tc>
        <w:tc>
          <w:tcPr>
            <w:tcW w:w="2052" w:type="pct"/>
            <w:vMerge w:val="continue"/>
            <w:vAlign w:val="center"/>
          </w:tcPr>
          <w:p>
            <w:pPr>
              <w:widowControl/>
              <w:jc w:val="center"/>
              <w:rPr>
                <w:b/>
                <w:bCs/>
                <w:color w:val="auto"/>
                <w:kern w:val="0"/>
                <w:sz w:val="18"/>
                <w:szCs w:val="18"/>
                <w:highlight w:val="none"/>
              </w:rPr>
            </w:pPr>
          </w:p>
        </w:tc>
        <w:tc>
          <w:tcPr>
            <w:tcW w:w="524" w:type="pct"/>
            <w:vAlign w:val="center"/>
          </w:tcPr>
          <w:p>
            <w:pPr>
              <w:autoSpaceDE w:val="0"/>
              <w:autoSpaceDN w:val="0"/>
              <w:adjustRightInd w:val="0"/>
              <w:snapToGrid w:val="0"/>
              <w:jc w:val="center"/>
              <w:rPr>
                <w:b/>
                <w:color w:val="auto"/>
                <w:sz w:val="18"/>
                <w:highlight w:val="none"/>
              </w:rPr>
            </w:pPr>
            <w:r>
              <w:rPr>
                <w:rFonts w:hint="eastAsia"/>
                <w:b/>
                <w:color w:val="auto"/>
                <w:sz w:val="18"/>
                <w:highlight w:val="none"/>
              </w:rPr>
              <w:t>网盘</w:t>
            </w:r>
          </w:p>
        </w:tc>
        <w:tc>
          <w:tcPr>
            <w:tcW w:w="529" w:type="pct"/>
            <w:vAlign w:val="center"/>
          </w:tcPr>
          <w:p>
            <w:pPr>
              <w:autoSpaceDE w:val="0"/>
              <w:autoSpaceDN w:val="0"/>
              <w:adjustRightInd w:val="0"/>
              <w:snapToGrid w:val="0"/>
              <w:jc w:val="center"/>
              <w:rPr>
                <w:b/>
                <w:color w:val="auto"/>
                <w:sz w:val="18"/>
                <w:highlight w:val="none"/>
              </w:rPr>
            </w:pPr>
            <w:r>
              <w:rPr>
                <w:b/>
                <w:color w:val="auto"/>
                <w:sz w:val="18"/>
                <w:highlight w:val="none"/>
              </w:rPr>
              <w:t>ECP</w:t>
            </w:r>
          </w:p>
        </w:tc>
        <w:tc>
          <w:tcPr>
            <w:tcW w:w="1343" w:type="pct"/>
            <w:vAlign w:val="center"/>
          </w:tcPr>
          <w:p>
            <w:pPr>
              <w:autoSpaceDE w:val="0"/>
              <w:autoSpaceDN w:val="0"/>
              <w:adjustRightInd w:val="0"/>
              <w:snapToGrid w:val="0"/>
              <w:jc w:val="center"/>
              <w:rPr>
                <w:b/>
                <w:color w:val="auto"/>
                <w:sz w:val="18"/>
                <w:highlight w:val="none"/>
              </w:rPr>
            </w:pPr>
            <w:r>
              <w:rPr>
                <w:b/>
                <w:color w:val="auto"/>
                <w:sz w:val="18"/>
                <w:highlight w:val="none"/>
              </w:rPr>
              <w:t>ECP上传模块</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551" w:type="pct"/>
            <w:shd w:val="pct25" w:color="000000" w:fill="CCCCCC"/>
            <w:vAlign w:val="center"/>
          </w:tcPr>
          <w:p>
            <w:pPr>
              <w:widowControl/>
              <w:jc w:val="center"/>
              <w:rPr>
                <w:rFonts w:eastAsia="黑体"/>
                <w:b/>
                <w:bCs/>
                <w:color w:val="auto"/>
                <w:kern w:val="0"/>
                <w:sz w:val="24"/>
                <w:szCs w:val="24"/>
                <w:highlight w:val="none"/>
              </w:rPr>
            </w:pPr>
            <w:r>
              <w:rPr>
                <w:rFonts w:eastAsia="黑体"/>
                <w:b/>
                <w:bCs/>
                <w:color w:val="auto"/>
                <w:kern w:val="0"/>
                <w:sz w:val="24"/>
                <w:szCs w:val="24"/>
                <w:highlight w:val="none"/>
              </w:rPr>
              <w:t>（一）</w:t>
            </w:r>
          </w:p>
        </w:tc>
        <w:tc>
          <w:tcPr>
            <w:tcW w:w="4448" w:type="pct"/>
            <w:gridSpan w:val="4"/>
            <w:shd w:val="pct25" w:color="000000" w:fill="CCCCCC"/>
            <w:vAlign w:val="center"/>
          </w:tcPr>
          <w:p>
            <w:pPr>
              <w:widowControl/>
              <w:jc w:val="left"/>
              <w:rPr>
                <w:rFonts w:eastAsia="黑体"/>
                <w:b/>
                <w:bCs/>
                <w:color w:val="auto"/>
                <w:kern w:val="0"/>
                <w:sz w:val="24"/>
                <w:szCs w:val="24"/>
                <w:highlight w:val="none"/>
              </w:rPr>
            </w:pPr>
            <w:r>
              <w:rPr>
                <w:rFonts w:eastAsia="黑体"/>
                <w:b/>
                <w:bCs/>
                <w:color w:val="auto"/>
                <w:kern w:val="0"/>
                <w:sz w:val="24"/>
                <w:szCs w:val="24"/>
                <w:highlight w:val="none"/>
              </w:rPr>
              <w:t>开标文件</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432" w:hRule="atLeast"/>
        </w:trPr>
        <w:tc>
          <w:tcPr>
            <w:tcW w:w="551" w:type="pct"/>
            <w:vAlign w:val="center"/>
          </w:tcPr>
          <w:p>
            <w:pPr>
              <w:widowControl/>
              <w:jc w:val="center"/>
              <w:rPr>
                <w:rFonts w:ascii="Times New Roman" w:hAnsi="Times New Roman" w:eastAsiaTheme="minorEastAsia" w:cstheme="minorBidi"/>
                <w:color w:val="auto"/>
                <w:kern w:val="0"/>
                <w:sz w:val="18"/>
                <w:szCs w:val="18"/>
                <w:highlight w:val="none"/>
              </w:rPr>
            </w:pPr>
            <w:r>
              <w:rPr>
                <w:rFonts w:ascii="Times New Roman" w:hAnsi="Times New Roman"/>
                <w:color w:val="auto"/>
                <w:kern w:val="0"/>
                <w:sz w:val="18"/>
                <w:szCs w:val="18"/>
                <w:highlight w:val="none"/>
              </w:rPr>
              <w:t>1</w:t>
            </w:r>
          </w:p>
        </w:tc>
        <w:tc>
          <w:tcPr>
            <w:tcW w:w="2052" w:type="pct"/>
            <w:vAlign w:val="center"/>
          </w:tcPr>
          <w:p>
            <w:pPr>
              <w:widowControl/>
              <w:rPr>
                <w:rFonts w:ascii="宋体" w:hAnsi="宋体" w:cs="宋体" w:eastAsiaTheme="minorEastAsia"/>
                <w:color w:val="auto"/>
                <w:kern w:val="0"/>
                <w:sz w:val="18"/>
                <w:szCs w:val="18"/>
                <w:highlight w:val="none"/>
              </w:rPr>
            </w:pPr>
            <w:r>
              <w:rPr>
                <w:rFonts w:ascii="宋体" w:hAnsi="宋体" w:cs="宋体"/>
                <w:color w:val="auto"/>
                <w:kern w:val="0"/>
                <w:sz w:val="18"/>
                <w:szCs w:val="18"/>
                <w:highlight w:val="none"/>
              </w:rPr>
              <w:t>投标函及投标函附录（带二维码）</w:t>
            </w:r>
          </w:p>
        </w:tc>
        <w:tc>
          <w:tcPr>
            <w:tcW w:w="524" w:type="pct"/>
            <w:vAlign w:val="center"/>
          </w:tcPr>
          <w:p>
            <w:pPr>
              <w:widowControl/>
              <w:jc w:val="center"/>
              <w:rPr>
                <w:rFonts w:ascii="宋体" w:hAnsi="宋体" w:cs="宋体" w:eastAsiaTheme="minorEastAsia"/>
                <w:color w:val="auto"/>
                <w:kern w:val="0"/>
                <w:sz w:val="18"/>
                <w:szCs w:val="18"/>
                <w:highlight w:val="none"/>
              </w:rPr>
            </w:pPr>
            <w:r>
              <w:rPr>
                <w:rFonts w:ascii="Times New Roman" w:hAnsi="Times New Roman"/>
                <w:color w:val="auto"/>
                <w:kern w:val="0"/>
                <w:sz w:val="18"/>
                <w:szCs w:val="18"/>
                <w:highlight w:val="none"/>
              </w:rPr>
              <w:t>×</w:t>
            </w:r>
          </w:p>
        </w:tc>
        <w:tc>
          <w:tcPr>
            <w:tcW w:w="529" w:type="pct"/>
            <w:vAlign w:val="center"/>
          </w:tcPr>
          <w:p>
            <w:pPr>
              <w:widowControl/>
              <w:jc w:val="center"/>
              <w:rPr>
                <w:rFonts w:ascii="宋体" w:hAnsi="宋体" w:cs="宋体" w:eastAsiaTheme="minorEastAsia"/>
                <w:color w:val="auto"/>
                <w:kern w:val="0"/>
                <w:sz w:val="18"/>
                <w:szCs w:val="18"/>
                <w:highlight w:val="none"/>
              </w:rPr>
            </w:pPr>
            <w:r>
              <w:rPr>
                <w:rFonts w:ascii="Times New Roman" w:hAnsi="Times New Roman"/>
                <w:color w:val="auto"/>
                <w:kern w:val="0"/>
                <w:sz w:val="18"/>
                <w:szCs w:val="18"/>
                <w:highlight w:val="none"/>
              </w:rPr>
              <w:t>√</w:t>
            </w:r>
          </w:p>
        </w:tc>
        <w:tc>
          <w:tcPr>
            <w:tcW w:w="1343" w:type="pct"/>
            <w:vAlign w:val="center"/>
          </w:tcPr>
          <w:p>
            <w:pPr>
              <w:widowControl/>
              <w:jc w:val="center"/>
              <w:rPr>
                <w:rFonts w:ascii="宋体" w:hAnsi="宋体" w:cs="宋体" w:eastAsiaTheme="minorEastAsia"/>
                <w:color w:val="auto"/>
                <w:kern w:val="0"/>
                <w:sz w:val="18"/>
                <w:szCs w:val="18"/>
                <w:highlight w:val="none"/>
              </w:rPr>
            </w:pPr>
            <w:r>
              <w:rPr>
                <w:rFonts w:ascii="宋体" w:hAnsi="宋体" w:cs="宋体"/>
                <w:color w:val="auto"/>
                <w:kern w:val="0"/>
                <w:sz w:val="18"/>
                <w:szCs w:val="18"/>
                <w:highlight w:val="none"/>
              </w:rPr>
              <w:t>系统自动生成</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551" w:type="pct"/>
            <w:shd w:val="pct25" w:color="000000" w:fill="BFBFBF"/>
            <w:vAlign w:val="center"/>
          </w:tcPr>
          <w:p>
            <w:pPr>
              <w:widowControl/>
              <w:jc w:val="center"/>
              <w:rPr>
                <w:rFonts w:eastAsia="黑体"/>
                <w:b/>
                <w:bCs/>
                <w:color w:val="auto"/>
                <w:kern w:val="0"/>
                <w:sz w:val="24"/>
                <w:szCs w:val="24"/>
                <w:highlight w:val="none"/>
              </w:rPr>
            </w:pPr>
            <w:r>
              <w:rPr>
                <w:rFonts w:eastAsia="黑体"/>
                <w:b/>
                <w:bCs/>
                <w:color w:val="auto"/>
                <w:kern w:val="0"/>
                <w:sz w:val="24"/>
                <w:szCs w:val="24"/>
                <w:highlight w:val="none"/>
              </w:rPr>
              <w:t>（二）</w:t>
            </w:r>
          </w:p>
        </w:tc>
        <w:tc>
          <w:tcPr>
            <w:tcW w:w="4448" w:type="pct"/>
            <w:gridSpan w:val="4"/>
            <w:shd w:val="pct25" w:color="000000" w:fill="BFBFBF"/>
            <w:vAlign w:val="center"/>
          </w:tcPr>
          <w:p>
            <w:pPr>
              <w:widowControl/>
              <w:jc w:val="left"/>
              <w:rPr>
                <w:rFonts w:eastAsia="黑体"/>
                <w:b/>
                <w:bCs/>
                <w:color w:val="auto"/>
                <w:kern w:val="0"/>
                <w:sz w:val="24"/>
                <w:szCs w:val="24"/>
                <w:highlight w:val="none"/>
              </w:rPr>
            </w:pPr>
            <w:r>
              <w:rPr>
                <w:rFonts w:eastAsia="黑体"/>
                <w:b/>
                <w:bCs/>
                <w:color w:val="auto"/>
                <w:kern w:val="0"/>
                <w:sz w:val="24"/>
                <w:szCs w:val="24"/>
                <w:highlight w:val="none"/>
              </w:rPr>
              <w:t>报价文件（30MB/包）</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470" w:hRule="atLeast"/>
        </w:trPr>
        <w:tc>
          <w:tcPr>
            <w:tcW w:w="551" w:type="pct"/>
            <w:vAlign w:val="center"/>
          </w:tcPr>
          <w:p>
            <w:pPr>
              <w:widowControl/>
              <w:jc w:val="center"/>
              <w:rPr>
                <w:rFonts w:ascii="Times New Roman" w:hAnsi="Times New Roman" w:eastAsiaTheme="minorEastAsia" w:cstheme="minorBidi"/>
                <w:color w:val="auto"/>
                <w:kern w:val="0"/>
                <w:sz w:val="18"/>
                <w:szCs w:val="18"/>
                <w:highlight w:val="none"/>
              </w:rPr>
            </w:pPr>
            <w:r>
              <w:rPr>
                <w:rFonts w:ascii="Times New Roman" w:hAnsi="Times New Roman"/>
                <w:color w:val="auto"/>
                <w:kern w:val="0"/>
                <w:sz w:val="18"/>
                <w:szCs w:val="18"/>
                <w:highlight w:val="none"/>
              </w:rPr>
              <w:t>1</w:t>
            </w:r>
          </w:p>
        </w:tc>
        <w:tc>
          <w:tcPr>
            <w:tcW w:w="2052" w:type="pct"/>
            <w:vAlign w:val="center"/>
          </w:tcPr>
          <w:p>
            <w:pPr>
              <w:widowControl/>
              <w:rPr>
                <w:rFonts w:ascii="宋体" w:hAnsi="宋体" w:cs="宋体" w:eastAsiaTheme="minorEastAsia"/>
                <w:color w:val="auto"/>
                <w:kern w:val="0"/>
                <w:sz w:val="18"/>
                <w:szCs w:val="18"/>
                <w:highlight w:val="none"/>
              </w:rPr>
            </w:pPr>
            <w:r>
              <w:rPr>
                <w:rFonts w:ascii="宋体" w:hAnsi="宋体" w:cs="宋体"/>
                <w:color w:val="auto"/>
                <w:kern w:val="0"/>
                <w:sz w:val="18"/>
                <w:szCs w:val="18"/>
                <w:highlight w:val="none"/>
              </w:rPr>
              <w:t>报价明细表</w:t>
            </w:r>
          </w:p>
        </w:tc>
        <w:tc>
          <w:tcPr>
            <w:tcW w:w="524" w:type="pct"/>
            <w:vAlign w:val="center"/>
          </w:tcPr>
          <w:p>
            <w:pPr>
              <w:widowControl/>
              <w:jc w:val="center"/>
              <w:rPr>
                <w:rFonts w:ascii="Times New Roman" w:hAnsi="Times New Roman" w:eastAsiaTheme="minorEastAsia" w:cstheme="minorBidi"/>
                <w:color w:val="auto"/>
                <w:kern w:val="0"/>
                <w:sz w:val="18"/>
                <w:szCs w:val="18"/>
                <w:highlight w:val="none"/>
              </w:rPr>
            </w:pPr>
            <w:r>
              <w:rPr>
                <w:rFonts w:ascii="Times New Roman" w:hAnsi="Times New Roman"/>
                <w:color w:val="auto"/>
                <w:kern w:val="0"/>
                <w:sz w:val="18"/>
                <w:szCs w:val="18"/>
                <w:highlight w:val="none"/>
              </w:rPr>
              <w:t>×</w:t>
            </w:r>
          </w:p>
        </w:tc>
        <w:tc>
          <w:tcPr>
            <w:tcW w:w="529" w:type="pct"/>
            <w:vAlign w:val="center"/>
          </w:tcPr>
          <w:p>
            <w:pPr>
              <w:widowControl/>
              <w:jc w:val="center"/>
              <w:rPr>
                <w:rFonts w:ascii="Times New Roman" w:hAnsi="Times New Roman" w:eastAsiaTheme="minorEastAsia" w:cstheme="minorBidi"/>
                <w:color w:val="auto"/>
                <w:kern w:val="0"/>
                <w:sz w:val="18"/>
                <w:szCs w:val="18"/>
                <w:highlight w:val="none"/>
              </w:rPr>
            </w:pPr>
            <w:r>
              <w:rPr>
                <w:rFonts w:ascii="Times New Roman" w:hAnsi="Times New Roman"/>
                <w:color w:val="auto"/>
                <w:kern w:val="0"/>
                <w:sz w:val="18"/>
                <w:szCs w:val="18"/>
                <w:highlight w:val="none"/>
              </w:rPr>
              <w:t>√</w:t>
            </w:r>
          </w:p>
        </w:tc>
        <w:tc>
          <w:tcPr>
            <w:tcW w:w="1343" w:type="pct"/>
            <w:vAlign w:val="center"/>
          </w:tcPr>
          <w:p>
            <w:pPr>
              <w:widowControl/>
              <w:jc w:val="center"/>
              <w:rPr>
                <w:rFonts w:ascii="宋体" w:hAnsi="宋体" w:cs="宋体" w:eastAsiaTheme="minorEastAsia"/>
                <w:color w:val="auto"/>
                <w:kern w:val="0"/>
                <w:sz w:val="18"/>
                <w:szCs w:val="18"/>
                <w:highlight w:val="none"/>
              </w:rPr>
            </w:pPr>
            <w:r>
              <w:rPr>
                <w:rFonts w:ascii="宋体" w:hAnsi="宋体" w:cs="宋体"/>
                <w:color w:val="auto"/>
                <w:kern w:val="0"/>
                <w:sz w:val="18"/>
                <w:szCs w:val="18"/>
                <w:highlight w:val="none"/>
              </w:rPr>
              <w:t>工程量清单</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551" w:type="pct"/>
            <w:shd w:val="pct25" w:color="000000" w:fill="BFBFBF"/>
            <w:vAlign w:val="center"/>
          </w:tcPr>
          <w:p>
            <w:pPr>
              <w:widowControl/>
              <w:jc w:val="center"/>
              <w:rPr>
                <w:rFonts w:eastAsia="黑体"/>
                <w:b/>
                <w:bCs/>
                <w:color w:val="auto"/>
                <w:kern w:val="0"/>
                <w:sz w:val="24"/>
                <w:szCs w:val="24"/>
                <w:highlight w:val="none"/>
              </w:rPr>
            </w:pPr>
            <w:r>
              <w:rPr>
                <w:rFonts w:eastAsia="黑体"/>
                <w:b/>
                <w:bCs/>
                <w:color w:val="auto"/>
                <w:kern w:val="0"/>
                <w:sz w:val="24"/>
                <w:szCs w:val="24"/>
                <w:highlight w:val="none"/>
              </w:rPr>
              <w:t>（三）</w:t>
            </w:r>
          </w:p>
        </w:tc>
        <w:tc>
          <w:tcPr>
            <w:tcW w:w="4448" w:type="pct"/>
            <w:gridSpan w:val="4"/>
            <w:shd w:val="pct25" w:color="000000" w:fill="BFBFBF"/>
            <w:vAlign w:val="center"/>
          </w:tcPr>
          <w:p>
            <w:pPr>
              <w:widowControl/>
              <w:jc w:val="left"/>
              <w:rPr>
                <w:rFonts w:eastAsia="黑体"/>
                <w:b/>
                <w:bCs/>
                <w:color w:val="auto"/>
                <w:kern w:val="0"/>
                <w:sz w:val="24"/>
                <w:szCs w:val="24"/>
                <w:highlight w:val="none"/>
              </w:rPr>
            </w:pPr>
            <w:r>
              <w:rPr>
                <w:rFonts w:eastAsia="黑体"/>
                <w:b/>
                <w:bCs/>
                <w:color w:val="auto"/>
                <w:kern w:val="0"/>
                <w:sz w:val="24"/>
                <w:szCs w:val="24"/>
                <w:highlight w:val="none"/>
              </w:rPr>
              <w:t>商务文件（10MB/包）</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551" w:type="pct"/>
            <w:vAlign w:val="center"/>
          </w:tcPr>
          <w:p>
            <w:pPr>
              <w:widowControl/>
              <w:jc w:val="center"/>
              <w:rPr>
                <w:rFonts w:ascii="Times New Roman" w:hAnsi="Times New Roman" w:cstheme="minorBidi"/>
                <w:color w:val="auto"/>
                <w:kern w:val="0"/>
                <w:sz w:val="18"/>
                <w:szCs w:val="18"/>
                <w:highlight w:val="none"/>
              </w:rPr>
            </w:pPr>
            <w:r>
              <w:rPr>
                <w:rFonts w:hint="eastAsia" w:ascii="Times New Roman" w:hAnsi="Times New Roman"/>
                <w:color w:val="auto"/>
                <w:kern w:val="0"/>
                <w:sz w:val="18"/>
                <w:szCs w:val="18"/>
                <w:highlight w:val="none"/>
              </w:rPr>
              <w:t>1</w:t>
            </w:r>
          </w:p>
        </w:tc>
        <w:tc>
          <w:tcPr>
            <w:tcW w:w="2052" w:type="pct"/>
            <w:vAlign w:val="center"/>
          </w:tcPr>
          <w:p>
            <w:pPr>
              <w:topLinePunct/>
              <w:autoSpaceDE w:val="0"/>
              <w:autoSpaceDN w:val="0"/>
              <w:adjustRightInd w:val="0"/>
              <w:snapToGrid w:val="0"/>
              <w:rPr>
                <w:rFonts w:ascii="Times New Roman" w:hAnsi="Times New Roman" w:cstheme="minorBidi"/>
                <w:color w:val="auto"/>
                <w:sz w:val="18"/>
                <w:szCs w:val="20"/>
                <w:highlight w:val="none"/>
              </w:rPr>
            </w:pPr>
            <w:r>
              <w:rPr>
                <w:rFonts w:hint="eastAsia" w:ascii="宋体" w:hAnsi="宋体" w:cs="宋体"/>
                <w:color w:val="auto"/>
                <w:kern w:val="0"/>
                <w:sz w:val="20"/>
                <w:szCs w:val="20"/>
                <w:highlight w:val="none"/>
                <w:lang w:bidi="ar"/>
              </w:rPr>
              <w:t>商务文件第一册（按要求标注页码）</w:t>
            </w:r>
          </w:p>
        </w:tc>
        <w:tc>
          <w:tcPr>
            <w:tcW w:w="524" w:type="pct"/>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ascii="Times New Roman" w:hAnsi="Times New Roman"/>
                <w:color w:val="auto"/>
                <w:sz w:val="18"/>
                <w:szCs w:val="20"/>
                <w:highlight w:val="none"/>
              </w:rPr>
              <w:t>×</w:t>
            </w:r>
          </w:p>
        </w:tc>
        <w:tc>
          <w:tcPr>
            <w:tcW w:w="529" w:type="pct"/>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ascii="Times New Roman" w:hAnsi="Times New Roman"/>
                <w:color w:val="auto"/>
                <w:sz w:val="18"/>
                <w:szCs w:val="20"/>
                <w:highlight w:val="none"/>
              </w:rPr>
              <w:t>√</w:t>
            </w:r>
          </w:p>
        </w:tc>
        <w:tc>
          <w:tcPr>
            <w:tcW w:w="1343" w:type="pct"/>
            <w:vAlign w:val="center"/>
          </w:tcPr>
          <w:p>
            <w:pPr>
              <w:topLinePunct/>
              <w:autoSpaceDE w:val="0"/>
              <w:autoSpaceDN w:val="0"/>
              <w:adjustRightInd w:val="0"/>
              <w:snapToGrid w:val="0"/>
              <w:jc w:val="center"/>
              <w:rPr>
                <w:rFonts w:ascii="Times New Roman" w:hAnsi="Times New Roman" w:cstheme="minorBidi"/>
                <w:color w:val="auto"/>
                <w:sz w:val="18"/>
                <w:szCs w:val="20"/>
                <w:highlight w:val="none"/>
              </w:rPr>
            </w:pPr>
            <w:r>
              <w:rPr>
                <w:rFonts w:hint="eastAsia" w:ascii="Times New Roman" w:hAnsi="Times New Roman"/>
                <w:color w:val="auto"/>
                <w:sz w:val="18"/>
                <w:szCs w:val="20"/>
                <w:highlight w:val="none"/>
              </w:rPr>
              <w:t>具体见商务指引文件</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551" w:type="pct"/>
            <w:vAlign w:val="center"/>
          </w:tcPr>
          <w:p>
            <w:pPr>
              <w:widowControl/>
              <w:jc w:val="center"/>
              <w:rPr>
                <w:rFonts w:ascii="Times New Roman" w:hAnsi="Times New Roman" w:cstheme="minorBidi"/>
                <w:color w:val="auto"/>
                <w:kern w:val="0"/>
                <w:sz w:val="18"/>
                <w:szCs w:val="18"/>
                <w:highlight w:val="none"/>
              </w:rPr>
            </w:pPr>
            <w:r>
              <w:rPr>
                <w:rFonts w:hint="eastAsia" w:ascii="Times New Roman" w:hAnsi="Times New Roman"/>
                <w:color w:val="auto"/>
                <w:kern w:val="0"/>
                <w:sz w:val="18"/>
                <w:szCs w:val="18"/>
                <w:highlight w:val="none"/>
              </w:rPr>
              <w:t>2</w:t>
            </w:r>
          </w:p>
        </w:tc>
        <w:tc>
          <w:tcPr>
            <w:tcW w:w="2052" w:type="pct"/>
            <w:vAlign w:val="center"/>
          </w:tcPr>
          <w:p>
            <w:pPr>
              <w:topLinePunct/>
              <w:autoSpaceDE w:val="0"/>
              <w:autoSpaceDN w:val="0"/>
              <w:adjustRightInd w:val="0"/>
              <w:snapToGrid w:val="0"/>
              <w:rPr>
                <w:rFonts w:ascii="Times New Roman" w:hAnsi="Times New Roman" w:eastAsiaTheme="minorEastAsia" w:cstheme="minorBidi"/>
                <w:color w:val="auto"/>
                <w:sz w:val="18"/>
                <w:szCs w:val="20"/>
                <w:highlight w:val="none"/>
              </w:rPr>
            </w:pPr>
            <w:r>
              <w:rPr>
                <w:rFonts w:hint="eastAsia" w:ascii="宋体" w:hAnsi="宋体" w:cs="宋体"/>
                <w:color w:val="auto"/>
                <w:kern w:val="0"/>
                <w:sz w:val="20"/>
                <w:szCs w:val="20"/>
                <w:highlight w:val="none"/>
                <w:lang w:bidi="ar"/>
              </w:rPr>
              <w:t>商务文件第二册（按要求标注页码）</w:t>
            </w:r>
          </w:p>
        </w:tc>
        <w:tc>
          <w:tcPr>
            <w:tcW w:w="524" w:type="pct"/>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ascii="Times New Roman" w:hAnsi="Times New Roman"/>
                <w:color w:val="auto"/>
                <w:sz w:val="18"/>
                <w:szCs w:val="20"/>
                <w:highlight w:val="none"/>
              </w:rPr>
              <w:t>×</w:t>
            </w:r>
          </w:p>
        </w:tc>
        <w:tc>
          <w:tcPr>
            <w:tcW w:w="529" w:type="pct"/>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ascii="Times New Roman" w:hAnsi="Times New Roman"/>
                <w:color w:val="auto"/>
                <w:sz w:val="18"/>
                <w:szCs w:val="20"/>
                <w:highlight w:val="none"/>
              </w:rPr>
              <w:t>√</w:t>
            </w:r>
          </w:p>
        </w:tc>
        <w:tc>
          <w:tcPr>
            <w:tcW w:w="1343" w:type="pct"/>
            <w:vAlign w:val="center"/>
          </w:tcPr>
          <w:p>
            <w:pPr>
              <w:topLinePunct/>
              <w:autoSpaceDE w:val="0"/>
              <w:autoSpaceDN w:val="0"/>
              <w:adjustRightInd w:val="0"/>
              <w:snapToGrid w:val="0"/>
              <w:jc w:val="center"/>
              <w:rPr>
                <w:rFonts w:ascii="Times New Roman" w:hAnsi="Times New Roman" w:eastAsiaTheme="minorEastAsia" w:cstheme="minorBidi"/>
                <w:color w:val="auto"/>
                <w:sz w:val="18"/>
                <w:szCs w:val="20"/>
                <w:highlight w:val="none"/>
              </w:rPr>
            </w:pPr>
            <w:r>
              <w:rPr>
                <w:rFonts w:hint="eastAsia" w:ascii="Times New Roman" w:hAnsi="Times New Roman"/>
                <w:color w:val="auto"/>
                <w:sz w:val="18"/>
                <w:szCs w:val="20"/>
                <w:highlight w:val="none"/>
              </w:rPr>
              <w:t>具体见商务指引文件</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551" w:type="pct"/>
            <w:shd w:val="pct25" w:color="000000" w:fill="BFBFBF"/>
            <w:vAlign w:val="center"/>
          </w:tcPr>
          <w:p>
            <w:pPr>
              <w:widowControl/>
              <w:jc w:val="center"/>
              <w:rPr>
                <w:rFonts w:eastAsia="黑体"/>
                <w:b/>
                <w:bCs/>
                <w:color w:val="auto"/>
                <w:kern w:val="0"/>
                <w:sz w:val="24"/>
                <w:szCs w:val="24"/>
                <w:highlight w:val="none"/>
              </w:rPr>
            </w:pPr>
            <w:r>
              <w:rPr>
                <w:rFonts w:eastAsia="黑体"/>
                <w:b/>
                <w:bCs/>
                <w:color w:val="auto"/>
                <w:kern w:val="0"/>
                <w:sz w:val="24"/>
                <w:szCs w:val="24"/>
                <w:highlight w:val="none"/>
              </w:rPr>
              <w:t>（四）</w:t>
            </w:r>
          </w:p>
        </w:tc>
        <w:tc>
          <w:tcPr>
            <w:tcW w:w="4448" w:type="pct"/>
            <w:gridSpan w:val="4"/>
            <w:shd w:val="pct25" w:color="000000" w:fill="BFBFBF"/>
            <w:vAlign w:val="center"/>
          </w:tcPr>
          <w:p>
            <w:pPr>
              <w:widowControl/>
              <w:jc w:val="left"/>
              <w:rPr>
                <w:rFonts w:eastAsia="黑体"/>
                <w:b/>
                <w:bCs/>
                <w:color w:val="auto"/>
                <w:kern w:val="0"/>
                <w:sz w:val="24"/>
                <w:szCs w:val="24"/>
                <w:highlight w:val="none"/>
              </w:rPr>
            </w:pPr>
            <w:r>
              <w:rPr>
                <w:rFonts w:eastAsia="黑体"/>
                <w:b/>
                <w:bCs/>
                <w:color w:val="auto"/>
                <w:kern w:val="0"/>
                <w:sz w:val="24"/>
                <w:szCs w:val="24"/>
                <w:highlight w:val="none"/>
              </w:rPr>
              <w:t>技术文件（60MB/包）</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551" w:type="pct"/>
            <w:vAlign w:val="center"/>
          </w:tcPr>
          <w:p>
            <w:pPr>
              <w:widowControl/>
              <w:jc w:val="center"/>
              <w:rPr>
                <w:rFonts w:ascii="Times New Roman" w:hAnsi="Times New Roman" w:eastAsiaTheme="minorEastAsia" w:cstheme="minorBidi"/>
                <w:color w:val="auto"/>
                <w:kern w:val="0"/>
                <w:sz w:val="18"/>
                <w:szCs w:val="18"/>
                <w:highlight w:val="none"/>
              </w:rPr>
            </w:pPr>
            <w:r>
              <w:rPr>
                <w:rFonts w:hint="eastAsia" w:ascii="Times New Roman" w:hAnsi="Times New Roman"/>
                <w:color w:val="auto"/>
                <w:kern w:val="0"/>
                <w:sz w:val="18"/>
                <w:szCs w:val="18"/>
                <w:highlight w:val="none"/>
              </w:rPr>
              <w:t>1</w:t>
            </w:r>
          </w:p>
        </w:tc>
        <w:tc>
          <w:tcPr>
            <w:tcW w:w="2052" w:type="pct"/>
            <w:vAlign w:val="center"/>
          </w:tcPr>
          <w:p>
            <w:pPr>
              <w:topLinePunct/>
              <w:autoSpaceDE w:val="0"/>
              <w:autoSpaceDN w:val="0"/>
              <w:adjustRightInd w:val="0"/>
              <w:snapToGrid w:val="0"/>
              <w:rPr>
                <w:rFonts w:ascii="Times New Roman" w:hAnsi="Times New Roman"/>
                <w:color w:val="auto"/>
                <w:sz w:val="18"/>
                <w:szCs w:val="20"/>
                <w:highlight w:val="none"/>
              </w:rPr>
            </w:pPr>
            <w:r>
              <w:rPr>
                <w:rFonts w:hint="eastAsia" w:ascii="宋体" w:hAnsi="宋体" w:cs="宋体"/>
                <w:color w:val="auto"/>
                <w:kern w:val="0"/>
                <w:sz w:val="20"/>
                <w:szCs w:val="20"/>
                <w:highlight w:val="none"/>
                <w:lang w:bidi="ar"/>
              </w:rPr>
              <w:t>技术文件第一册（按要求标注页码）</w:t>
            </w:r>
          </w:p>
        </w:tc>
        <w:tc>
          <w:tcPr>
            <w:tcW w:w="524" w:type="pct"/>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ascii="Times New Roman" w:hAnsi="Times New Roman"/>
                <w:color w:val="auto"/>
                <w:sz w:val="18"/>
                <w:szCs w:val="20"/>
                <w:highlight w:val="none"/>
              </w:rPr>
              <w:t>ECP容量受限时可用</w:t>
            </w:r>
          </w:p>
        </w:tc>
        <w:tc>
          <w:tcPr>
            <w:tcW w:w="529" w:type="pct"/>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ascii="Times New Roman" w:hAnsi="Times New Roman"/>
                <w:color w:val="auto"/>
                <w:sz w:val="18"/>
                <w:szCs w:val="20"/>
                <w:highlight w:val="none"/>
              </w:rPr>
              <w:t>√</w:t>
            </w:r>
          </w:p>
        </w:tc>
        <w:tc>
          <w:tcPr>
            <w:tcW w:w="1343" w:type="pct"/>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hint="eastAsia" w:ascii="Times New Roman" w:hAnsi="Times New Roman"/>
                <w:color w:val="auto"/>
                <w:sz w:val="18"/>
                <w:szCs w:val="20"/>
                <w:highlight w:val="none"/>
              </w:rPr>
              <w:t>具体见技术指引文件</w:t>
            </w:r>
          </w:p>
        </w:tc>
      </w:tr>
      <w:tr>
        <w:tblPrEx>
          <w:tblBorders>
            <w:top w:val="double" w:color="auto" w:sz="6" w:space="0"/>
            <w:left w:val="none" w:color="auto" w:sz="0" w:space="0"/>
            <w:bottom w:val="double" w:color="auto" w:sz="6" w:space="0"/>
            <w:right w:val="none" w:color="auto" w:sz="0"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551" w:type="pct"/>
            <w:vAlign w:val="center"/>
          </w:tcPr>
          <w:p>
            <w:pPr>
              <w:widowControl/>
              <w:jc w:val="center"/>
              <w:rPr>
                <w:rFonts w:ascii="Times New Roman" w:hAnsi="Times New Roman" w:eastAsiaTheme="minorEastAsia" w:cstheme="minorBidi"/>
                <w:color w:val="auto"/>
                <w:kern w:val="0"/>
                <w:sz w:val="18"/>
                <w:szCs w:val="18"/>
                <w:highlight w:val="none"/>
              </w:rPr>
            </w:pPr>
            <w:r>
              <w:rPr>
                <w:rFonts w:hint="eastAsia" w:ascii="Times New Roman" w:hAnsi="Times New Roman"/>
                <w:color w:val="auto"/>
                <w:kern w:val="0"/>
                <w:sz w:val="18"/>
                <w:szCs w:val="18"/>
                <w:highlight w:val="none"/>
              </w:rPr>
              <w:t>2</w:t>
            </w:r>
          </w:p>
        </w:tc>
        <w:tc>
          <w:tcPr>
            <w:tcW w:w="2052" w:type="pct"/>
            <w:vAlign w:val="center"/>
          </w:tcPr>
          <w:p>
            <w:pPr>
              <w:topLinePunct/>
              <w:autoSpaceDE w:val="0"/>
              <w:autoSpaceDN w:val="0"/>
              <w:adjustRightInd w:val="0"/>
              <w:snapToGrid w:val="0"/>
              <w:rPr>
                <w:rFonts w:ascii="Times New Roman" w:hAnsi="Times New Roman"/>
                <w:color w:val="auto"/>
                <w:sz w:val="18"/>
                <w:szCs w:val="20"/>
                <w:highlight w:val="none"/>
              </w:rPr>
            </w:pPr>
            <w:r>
              <w:rPr>
                <w:rFonts w:hint="eastAsia" w:ascii="宋体" w:hAnsi="宋体" w:cs="宋体"/>
                <w:color w:val="auto"/>
                <w:kern w:val="0"/>
                <w:sz w:val="20"/>
                <w:szCs w:val="20"/>
                <w:highlight w:val="none"/>
                <w:lang w:bidi="ar"/>
              </w:rPr>
              <w:t>技术文件第二册（按要求标注页码）</w:t>
            </w:r>
          </w:p>
        </w:tc>
        <w:tc>
          <w:tcPr>
            <w:tcW w:w="524" w:type="pct"/>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ascii="Times New Roman" w:hAnsi="Times New Roman"/>
                <w:color w:val="auto"/>
                <w:sz w:val="18"/>
                <w:szCs w:val="20"/>
                <w:highlight w:val="none"/>
              </w:rPr>
              <w:t>ECP容量受限时可用</w:t>
            </w:r>
          </w:p>
        </w:tc>
        <w:tc>
          <w:tcPr>
            <w:tcW w:w="529" w:type="pct"/>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ascii="Times New Roman" w:hAnsi="Times New Roman"/>
                <w:color w:val="auto"/>
                <w:sz w:val="18"/>
                <w:szCs w:val="20"/>
                <w:highlight w:val="none"/>
              </w:rPr>
              <w:t>√</w:t>
            </w:r>
          </w:p>
        </w:tc>
        <w:tc>
          <w:tcPr>
            <w:tcW w:w="1343" w:type="pct"/>
            <w:vAlign w:val="center"/>
          </w:tcPr>
          <w:p>
            <w:pPr>
              <w:topLinePunct/>
              <w:autoSpaceDE w:val="0"/>
              <w:autoSpaceDN w:val="0"/>
              <w:adjustRightInd w:val="0"/>
              <w:snapToGrid w:val="0"/>
              <w:jc w:val="center"/>
              <w:rPr>
                <w:rFonts w:ascii="Times New Roman" w:hAnsi="Times New Roman"/>
                <w:color w:val="auto"/>
                <w:sz w:val="18"/>
                <w:szCs w:val="20"/>
                <w:highlight w:val="none"/>
              </w:rPr>
            </w:pPr>
            <w:r>
              <w:rPr>
                <w:rFonts w:hint="eastAsia" w:ascii="Times New Roman" w:hAnsi="Times New Roman"/>
                <w:color w:val="auto"/>
                <w:sz w:val="18"/>
                <w:szCs w:val="20"/>
                <w:highlight w:val="none"/>
              </w:rPr>
              <w:t>具体见技术指引文件</w:t>
            </w:r>
          </w:p>
        </w:tc>
      </w:tr>
    </w:tbl>
    <w:p>
      <w:pPr>
        <w:pStyle w:val="18"/>
        <w:rPr>
          <w:b/>
          <w:color w:val="auto"/>
          <w:sz w:val="24"/>
          <w:szCs w:val="22"/>
          <w:highlight w:val="none"/>
        </w:rPr>
      </w:pPr>
    </w:p>
    <w:p>
      <w:pPr>
        <w:rPr>
          <w:rFonts w:eastAsia="黑体"/>
          <w:color w:val="auto"/>
          <w:sz w:val="28"/>
          <w:highlight w:val="none"/>
        </w:rPr>
      </w:pPr>
      <w:r>
        <w:rPr>
          <w:rFonts w:eastAsia="黑体"/>
          <w:color w:val="auto"/>
          <w:sz w:val="28"/>
          <w:highlight w:val="none"/>
        </w:rPr>
        <w:br w:type="page"/>
      </w:r>
    </w:p>
    <w:p>
      <w:pPr>
        <w:keepNext/>
        <w:keepLines/>
        <w:numPr>
          <w:ilvl w:val="0"/>
          <w:numId w:val="9"/>
        </w:numPr>
        <w:snapToGrid w:val="0"/>
        <w:spacing w:before="192" w:beforeLines="80" w:after="192" w:afterLines="80"/>
        <w:jc w:val="left"/>
        <w:outlineLvl w:val="1"/>
        <w:rPr>
          <w:rFonts w:eastAsia="黑体"/>
          <w:color w:val="auto"/>
          <w:sz w:val="28"/>
          <w:highlight w:val="none"/>
        </w:rPr>
      </w:pPr>
      <w:r>
        <w:rPr>
          <w:rFonts w:eastAsia="黑体"/>
          <w:color w:val="auto"/>
          <w:sz w:val="28"/>
          <w:highlight w:val="none"/>
        </w:rPr>
        <w:t>投标文件格式要求</w:t>
      </w:r>
    </w:p>
    <w:p>
      <w:pPr>
        <w:widowControl/>
        <w:numPr>
          <w:ilvl w:val="0"/>
          <w:numId w:val="10"/>
        </w:numPr>
        <w:jc w:val="left"/>
        <w:outlineLvl w:val="1"/>
        <w:rPr>
          <w:b/>
          <w:color w:val="auto"/>
          <w:sz w:val="24"/>
          <w:highlight w:val="none"/>
        </w:rPr>
      </w:pPr>
      <w:r>
        <w:rPr>
          <w:b/>
          <w:color w:val="auto"/>
          <w:sz w:val="24"/>
          <w:highlight w:val="none"/>
        </w:rPr>
        <w:t>开标文件（投标函及投标函附录）</w:t>
      </w:r>
    </w:p>
    <w:p>
      <w:pPr>
        <w:pStyle w:val="39"/>
        <w:jc w:val="right"/>
        <w:rPr>
          <w:rFonts w:ascii="Times New Roman" w:hAnsi="Times New Roman"/>
          <w:color w:val="auto"/>
          <w:sz w:val="18"/>
          <w:highlight w:val="none"/>
          <w:lang w:eastAsia="zh-CN"/>
        </w:rPr>
      </w:pPr>
      <w:r>
        <w:rPr>
          <w:rFonts w:ascii="Times New Roman" w:hAnsi="Times New Roman"/>
          <w:color w:val="auto"/>
          <w:highlight w:val="none"/>
        </w:rPr>
        <w:t>系统</w:t>
      </w:r>
      <w:r>
        <w:rPr>
          <w:rFonts w:ascii="Times New Roman" w:hAnsi="Times New Roman"/>
          <w:color w:val="auto"/>
          <w:highlight w:val="none"/>
          <w:lang w:eastAsia="zh-CN"/>
        </w:rPr>
        <w:t>二维码</w:t>
      </w:r>
    </w:p>
    <w:p>
      <w:pPr>
        <w:spacing w:line="480" w:lineRule="auto"/>
        <w:jc w:val="center"/>
        <w:rPr>
          <w:rFonts w:eastAsia="黑体"/>
          <w:color w:val="auto"/>
          <w:sz w:val="24"/>
          <w:highlight w:val="none"/>
        </w:rPr>
      </w:pPr>
    </w:p>
    <w:p>
      <w:pPr>
        <w:spacing w:line="400" w:lineRule="atLeast"/>
        <w:jc w:val="center"/>
        <w:rPr>
          <w:rFonts w:eastAsia="黑体"/>
          <w:b/>
          <w:color w:val="auto"/>
          <w:sz w:val="28"/>
          <w:szCs w:val="28"/>
          <w:highlight w:val="none"/>
        </w:rPr>
      </w:pPr>
      <w:r>
        <w:rPr>
          <w:rFonts w:hint="eastAsia" w:eastAsia="黑体"/>
          <w:b/>
          <w:color w:val="auto"/>
          <w:sz w:val="28"/>
          <w:szCs w:val="28"/>
          <w:highlight w:val="none"/>
        </w:rPr>
        <w:t>投标函</w:t>
      </w:r>
    </w:p>
    <w:p>
      <w:pPr>
        <w:spacing w:line="400" w:lineRule="exact"/>
        <w:ind w:firstLine="420" w:firstLineChars="200"/>
        <w:rPr>
          <w:rFonts w:ascii="宋体" w:hAnsi="宋体" w:cs="宋体"/>
          <w:color w:val="auto"/>
          <w:highlight w:val="none"/>
        </w:rPr>
      </w:pPr>
      <w:r>
        <w:rPr>
          <w:rFonts w:hint="eastAsia" w:ascii="宋体" w:hAnsi="宋体" w:cs="宋体"/>
          <w:color w:val="auto"/>
          <w:highlight w:val="none"/>
        </w:rPr>
        <w:t>致：招标人</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1.我方已仔细研究了招标编号：</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，项目名称：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，分标名称：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包名称：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招标文件的全部内容，愿以投标函</w:t>
      </w:r>
      <w:r>
        <w:rPr>
          <w:rFonts w:hint="eastAsia" w:ascii="宋体" w:hAnsi="宋体" w:cs="宋体"/>
          <w:color w:val="auto"/>
          <w:highlight w:val="none"/>
        </w:rPr>
        <w:t>附件</w:t>
      </w:r>
      <w:r>
        <w:rPr>
          <w:rFonts w:hint="eastAsia" w:ascii="宋体" w:hAnsi="宋体" w:cs="宋体"/>
          <w:color w:val="auto"/>
          <w:szCs w:val="21"/>
          <w:highlight w:val="none"/>
        </w:rPr>
        <w:t>所列报价，按合同约定完成招标文件规定的各项工作，质量标准达到招标文件要求。</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2.我方承诺在投标有效期内不修改、撤销投标文件。</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3.随同本投标函提交投标保证金一份(如有)。</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4.本投标有效期满足招标文件要求。</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5.如我方中标</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（1）我方承诺在收到中标通知书后，在中标通知书约定的期限内与招标文件规定的主体签订合同。</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（2）随同本投标函递交的投标函附表属于合同文件的组成部分。</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（3）我方承诺按照招标文件规定向招标文件规定的主体递交履约担保。</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（4）我方承诺在合同约定的期限内完成各项工作。</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（5）我方同意投标人须知关于不退还投标保证金的规定。</w:t>
      </w:r>
    </w:p>
    <w:p>
      <w:pPr>
        <w:widowControl/>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（6）我方承诺按照招标文件的规定和要求缴纳中标代理服务费。</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6.我方在此声明，所递交的投标文件及有关资料内容完整、真实和准确，且不存在招标文件第二章“投标人须知”第1.4.3项规定的任何一种情形。</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7.我方承诺除已写明的商务、技术偏差外，我方完全响应合同条款的各项规定。</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8.我方完全理解并郑重承诺遵守《供应商参与国家电网有限公司投标行为“十不准”》要求，“十不准”内容如下：</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（1）不准以任何形式通过“代理”、“中介”、“掮客”等不正当手段谋取中标。</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2）不准以任何名义和形式向国家电网有限公司招标采购相关从业人员本人、亲属（配偶、子女及其配偶）或其他特定关系人（以下统称公司招标采购相关从业人员）给予礼品礼金、消费卡劵、有价证劵等好处。（其中，招标采购相关从业人员，是指国家电网有限公司从事招标采购及相关工作的人员，主要包括招标采购管理部门人员、招标代理机构人员、招标采购评标专家、供应商关系管理人员、供应商绩效评价人员、物资质量监督人员、合同签约履约人员、物资供应及现场交接验收人员、采购标准编制人员、招标采购文件编制与审查人员、招标采购评审委员会人员、招标采购监督人员、法律保障人员、招标采购有关信息系统运维方人员等。亲属，依据国家电网有限公司规定，是指本人配偶、子女及其配偶。）</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（3）不准以任何名义为招标采购相关从业人员支付或报销应由其支付的费用。</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（4）不准直接或通过社会关系人员以打招呼、恐吓、威逼利诱等方式围猎公司招标采购相关从业人员，套取涉密或非公开信息。</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（5）不准私自接触招标采购相关从业人员，以及私自邀请其参观、考察、调研。</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（6）不准以任何方式与招标采购相关从业人员串通投标。</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（7）不准以任何方式与其他投标人围标、串通投标。</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（8）不准以任何理由恶意竞标、虚假应答、提供任何虚假信息或者证明文件，以及从事其他非正常投标行为。</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（9）不准采取捏造事实或者提供虚假投诉材料，恶意投诉、诋毁、排挤其他投标人，扰乱公平竞争招投标环境。</w:t>
      </w:r>
    </w:p>
    <w:p>
      <w:pPr>
        <w:widowControl/>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（10）不准瞒报本企业法定代表人（单位负责人）、出资人、高管中存在国家电网有限公司系统在职、离职、退休人员，以及上述人员亲属（配偶、子女及其配偶）的情况。</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9.我方完全理解并郑重承诺如下：</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1）同意并接受《国家电网有限公司供应商关系管理办法》的全部条款内容。在招标投标的全过程中，我方对所有投标文件的真实性负责，若在投标文件中发现虚假投标、围串标等涉及供应商不良行为处理的情形，我方将无条件承担相应责任，承诺不将责任推卸至标书制作、投标等具体工作人员。</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2）我方已自行在中国裁判文书网查询确认、并承诺，我方、公司法定代表人（单位负责人）、拟委任的项目负责人（如招标文件要求委任项目负责人），在本次投标截止日前三年时间内，均未有行贿犯罪行为。</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3）承诺践诺，履行产品质量主体责任。牢固树立“质量第一”意识，严格按照招标文件、投标响应、供货合同的约定，生产满足技术规范要求的合格产品，保证出厂设备质量。增强企业全员产品质量主体责任意识，建立健全质量责任制度，明确岗位职责，把质量责任落实到生产经营的每一个环节和每一名员工。</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4）诚信至上，坚持诚实守信依法经营。依法依规参与招投标和从事生产经营活动，坚决杜绝采用不正常手段从事非正常投标活动，坚决杜绝偷工减料、以次充好，坚决杜绝违规转分包，自觉抵制恶意低价竞标、虚假投标、联合串标、恶意违约等不诚信行为，自觉接受社会、用户的监督。</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5）严格管理，强化制造过程质量控制。推行先进质量管理方法，完善质量保证体系、标准化体系和检验检测体系，严格执行产品质量标准，从产品设计、原材料组部件采购、生产加工、包装、储存、运输等各个环节，实施全面的质量管控，不断提高产品质量。</w:t>
      </w:r>
    </w:p>
    <w:p>
      <w:pPr>
        <w:widowControl/>
        <w:spacing w:line="400" w:lineRule="exact"/>
        <w:ind w:firstLine="420" w:firstLineChars="200"/>
        <w:rPr>
          <w:rFonts w:ascii="宋体" w:hAnsi="宋体" w:cs="宋体"/>
          <w:color w:val="auto"/>
          <w:highlight w:val="none"/>
        </w:rPr>
      </w:pPr>
      <w:r>
        <w:rPr>
          <w:rFonts w:hint="eastAsia" w:ascii="宋体" w:hAnsi="宋体" w:cs="宋体"/>
          <w:color w:val="auto"/>
          <w:highlight w:val="none"/>
        </w:rPr>
        <w:t>（6）积极主动，大力提升售后服务水平。健全和完善产品质量追溯和售后服务制度，对不合格产品实行有效追溯、召回和处理，对违反规定或约定的行为，积极承担相应的责任。做好现场的技术支持，加强设备运行后的信息跟踪和售后服务，提升用户满意度。</w:t>
      </w:r>
    </w:p>
    <w:p>
      <w:pPr>
        <w:widowControl/>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重视研发，不断增强自主创新能力。积极选用新工艺、新材料、新设备，积极发展环保型、节约型、高能效技术，采用国内外先进标准，不断提高技术研发水平，实施以质量诚信为核心内容的品牌发展战略，不断提升创新发展的核心竞争力。</w:t>
      </w:r>
    </w:p>
    <w:p>
      <w:pPr>
        <w:widowControl/>
        <w:spacing w:line="400" w:lineRule="exact"/>
        <w:ind w:firstLine="420" w:firstLineChars="200"/>
        <w:rPr>
          <w:rFonts w:ascii="宋体" w:hAnsi="宋体" w:cs="宋体"/>
          <w:color w:val="auto"/>
          <w:sz w:val="21"/>
          <w:highlight w:val="none"/>
        </w:rPr>
      </w:pPr>
      <w:r>
        <w:rPr>
          <w:rFonts w:hint="eastAsia" w:ascii="宋体" w:hAnsi="宋体" w:cs="宋体"/>
          <w:color w:val="auto"/>
          <w:sz w:val="21"/>
          <w:highlight w:val="none"/>
        </w:rPr>
        <w:t>（8）我方承诺，我方及外购外协供应商（如有）将充分配合国家电网有限公司开展供应商资质能力核实工作。如我方或外购外协供应商（如有）经核实不具备生产投标产品所需的生产能力，我方同意被取消中标资格；如我方或外购外协供应商（如有）未配合核实工作，或经核实发现提供了虚假投标信息，我方同意被取消中标资格，并接受被纳入供应商不良行为处理的后果。</w:t>
      </w:r>
    </w:p>
    <w:p>
      <w:pPr>
        <w:spacing w:line="400" w:lineRule="exact"/>
        <w:ind w:firstLine="420"/>
        <w:jc w:val="left"/>
        <w:rPr>
          <w:rFonts w:ascii="宋体" w:hAnsi="宋体" w:cs="宋体"/>
          <w:color w:val="auto"/>
          <w:highlight w:val="none"/>
        </w:rPr>
      </w:pPr>
      <w:r>
        <w:rPr>
          <w:rFonts w:hint="eastAsia" w:ascii="宋体" w:hAnsi="宋体" w:cs="宋体"/>
          <w:color w:val="auto"/>
          <w:highlight w:val="none"/>
        </w:rPr>
        <w:t>贵公司既可根据国家有关单位的判决、裁定等生效法律文书认定我公司是否违反承诺，也有权通过对贵公司相关人员的调查来认定我公司是否违反承诺。如违反以上承诺，我公司自愿接受贵公司依据有关规定对我公司的处理（包括但不限于拒绝我公司投标、取消中标资格以及终止合同等），给贵公司造成损失的，予以赔偿。</w:t>
      </w:r>
    </w:p>
    <w:p>
      <w:pPr>
        <w:spacing w:line="400" w:lineRule="exact"/>
        <w:ind w:firstLine="420"/>
        <w:jc w:val="right"/>
        <w:rPr>
          <w:rFonts w:ascii="宋体" w:hAnsi="宋体" w:cs="宋体"/>
          <w:color w:val="auto"/>
          <w:highlight w:val="none"/>
        </w:rPr>
      </w:pPr>
    </w:p>
    <w:p>
      <w:pPr>
        <w:spacing w:line="400" w:lineRule="exact"/>
        <w:ind w:firstLine="420"/>
        <w:jc w:val="right"/>
        <w:rPr>
          <w:rFonts w:ascii="宋体" w:hAnsi="宋体" w:cs="宋体"/>
          <w:color w:val="auto"/>
          <w:highlight w:val="none"/>
        </w:rPr>
      </w:pPr>
    </w:p>
    <w:p>
      <w:pPr>
        <w:spacing w:line="400" w:lineRule="exact"/>
        <w:ind w:firstLine="420"/>
        <w:jc w:val="right"/>
        <w:rPr>
          <w:rFonts w:ascii="宋体" w:hAnsi="宋体" w:cs="宋体"/>
          <w:color w:val="auto"/>
          <w:highlight w:val="none"/>
        </w:rPr>
      </w:pPr>
    </w:p>
    <w:p>
      <w:pPr>
        <w:spacing w:line="400" w:lineRule="exact"/>
        <w:ind w:firstLine="420"/>
        <w:jc w:val="right"/>
        <w:rPr>
          <w:rFonts w:ascii="宋体" w:hAnsi="宋体" w:cs="宋体"/>
          <w:color w:val="auto"/>
          <w:highlight w:val="none"/>
        </w:rPr>
      </w:pPr>
    </w:p>
    <w:p>
      <w:pPr>
        <w:spacing w:line="400" w:lineRule="exact"/>
        <w:ind w:firstLine="420"/>
        <w:jc w:val="right"/>
        <w:rPr>
          <w:rFonts w:ascii="宋体" w:hAnsi="宋体" w:cs="宋体"/>
          <w:color w:val="auto"/>
          <w:highlight w:val="none"/>
        </w:rPr>
      </w:pPr>
      <w:r>
        <w:rPr>
          <w:rFonts w:hint="eastAsia" w:ascii="宋体" w:hAnsi="宋体" w:cs="宋体"/>
          <w:color w:val="auto"/>
          <w:highlight w:val="none"/>
        </w:rPr>
        <w:t>与本投标有关的一切正式往来通讯请寄：</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投标人名称：</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地址：</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电话：</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授权代表姓名：</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授权代表职务：</w:t>
      </w:r>
    </w:p>
    <w:p>
      <w:pPr>
        <w:spacing w:line="400" w:lineRule="exact"/>
        <w:ind w:left="1260" w:leftChars="600" w:firstLine="420"/>
        <w:jc w:val="right"/>
        <w:rPr>
          <w:rFonts w:ascii="宋体" w:hAnsi="宋体" w:cs="宋体"/>
          <w:color w:val="auto"/>
          <w:highlight w:val="none"/>
        </w:rPr>
      </w:pPr>
      <w:r>
        <w:rPr>
          <w:rFonts w:hint="eastAsia" w:ascii="宋体" w:hAnsi="宋体" w:cs="宋体"/>
          <w:color w:val="auto"/>
          <w:highlight w:val="none"/>
        </w:rPr>
        <w:t>传真：</w:t>
      </w:r>
    </w:p>
    <w:p>
      <w:pPr>
        <w:spacing w:line="400" w:lineRule="exact"/>
        <w:jc w:val="right"/>
        <w:rPr>
          <w:rFonts w:ascii="宋体" w:hAnsi="宋体" w:cs="宋体"/>
          <w:color w:val="auto"/>
          <w:highlight w:val="none"/>
        </w:rPr>
      </w:pPr>
      <w:r>
        <w:rPr>
          <w:rFonts w:hint="eastAsia" w:ascii="宋体" w:hAnsi="宋体" w:cs="宋体"/>
          <w:color w:val="auto"/>
          <w:highlight w:val="none"/>
        </w:rPr>
        <w:t>邮编：</w:t>
      </w:r>
    </w:p>
    <w:p>
      <w:pPr>
        <w:spacing w:line="400" w:lineRule="exact"/>
        <w:jc w:val="right"/>
        <w:rPr>
          <w:color w:val="auto"/>
          <w:highlight w:val="none"/>
        </w:rPr>
      </w:pPr>
      <w:r>
        <w:rPr>
          <w:rFonts w:hint="eastAsia" w:ascii="宋体" w:hAnsi="宋体" w:cs="宋体"/>
          <w:color w:val="auto"/>
          <w:highlight w:val="none"/>
        </w:rPr>
        <w:t>日期：</w:t>
      </w:r>
    </w:p>
    <w:p>
      <w:pPr>
        <w:rPr>
          <w:color w:val="auto"/>
          <w:highlight w:val="none"/>
        </w:rPr>
      </w:pPr>
    </w:p>
    <w:p>
      <w:pPr>
        <w:rPr>
          <w:color w:val="auto"/>
          <w:szCs w:val="21"/>
          <w:highlight w:val="none"/>
        </w:rPr>
      </w:pPr>
    </w:p>
    <w:p>
      <w:pPr>
        <w:ind w:left="420"/>
        <w:rPr>
          <w:b/>
          <w:color w:val="auto"/>
          <w:szCs w:val="21"/>
          <w:highlight w:val="none"/>
        </w:rPr>
      </w:pPr>
      <w:r>
        <w:rPr>
          <w:rFonts w:hint="eastAsia"/>
          <w:b/>
          <w:color w:val="auto"/>
          <w:szCs w:val="21"/>
          <w:highlight w:val="none"/>
        </w:rPr>
        <w:t>附件：附表1投标函价格表</w:t>
      </w:r>
    </w:p>
    <w:p>
      <w:pPr>
        <w:ind w:left="420"/>
        <w:rPr>
          <w:b/>
          <w:color w:val="auto"/>
          <w:szCs w:val="21"/>
          <w:highlight w:val="none"/>
        </w:rPr>
      </w:pPr>
    </w:p>
    <w:p>
      <w:pPr>
        <w:ind w:left="420"/>
        <w:rPr>
          <w:color w:val="auto"/>
          <w:szCs w:val="21"/>
          <w:highlight w:val="none"/>
        </w:rPr>
      </w:pPr>
      <w:r>
        <w:rPr>
          <w:b/>
          <w:color w:val="auto"/>
          <w:szCs w:val="21"/>
          <w:highlight w:val="none"/>
        </w:rPr>
        <w:t>备注：投标函以电子商务平台自动生成并导出的内容为准。</w:t>
      </w:r>
      <w:r>
        <w:rPr>
          <w:b/>
          <w:color w:val="auto"/>
          <w:szCs w:val="21"/>
          <w:highlight w:val="none"/>
        </w:rPr>
        <w:br w:type="page"/>
      </w:r>
      <w:r>
        <w:rPr>
          <w:color w:val="auto"/>
          <w:szCs w:val="21"/>
          <w:highlight w:val="none"/>
        </w:rPr>
        <w:t>附表1</w:t>
      </w:r>
    </w:p>
    <w:p>
      <w:pPr>
        <w:adjustRightInd w:val="0"/>
        <w:rPr>
          <w:rFonts w:eastAsia="仿宋_GB2312"/>
          <w:color w:val="auto"/>
          <w:szCs w:val="21"/>
          <w:highlight w:val="none"/>
        </w:rPr>
      </w:pPr>
    </w:p>
    <w:p>
      <w:pPr>
        <w:pStyle w:val="40"/>
        <w:rPr>
          <w:rFonts w:ascii="Times New Roman"/>
          <w:color w:val="auto"/>
          <w:highlight w:val="none"/>
        </w:rPr>
      </w:pPr>
      <w:r>
        <w:rPr>
          <w:rFonts w:ascii="Times New Roman"/>
          <w:color w:val="auto"/>
          <w:highlight w:val="none"/>
        </w:rPr>
        <w:t>投标函价格表</w:t>
      </w:r>
    </w:p>
    <w:p>
      <w:pPr>
        <w:tabs>
          <w:tab w:val="left" w:pos="7020"/>
          <w:tab w:val="left" w:pos="9000"/>
        </w:tabs>
        <w:adjustRightInd w:val="0"/>
        <w:ind w:firstLine="369"/>
        <w:rPr>
          <w:color w:val="auto"/>
          <w:sz w:val="18"/>
          <w:szCs w:val="18"/>
          <w:highlight w:val="none"/>
        </w:rPr>
      </w:pPr>
      <w:r>
        <w:rPr>
          <w:color w:val="auto"/>
          <w:sz w:val="18"/>
          <w:szCs w:val="18"/>
          <w:highlight w:val="none"/>
        </w:rPr>
        <w:t>招标编号：</w:t>
      </w:r>
      <w:r>
        <w:rPr>
          <w:color w:val="auto"/>
          <w:sz w:val="18"/>
          <w:szCs w:val="18"/>
          <w:highlight w:val="none"/>
          <w:u w:val="single"/>
        </w:rPr>
        <w:t>${招标编号}</w:t>
      </w:r>
    </w:p>
    <w:p>
      <w:pPr>
        <w:tabs>
          <w:tab w:val="left" w:pos="7020"/>
          <w:tab w:val="left" w:pos="9000"/>
        </w:tabs>
        <w:adjustRightInd w:val="0"/>
        <w:ind w:firstLine="369"/>
        <w:rPr>
          <w:color w:val="auto"/>
          <w:sz w:val="18"/>
          <w:szCs w:val="18"/>
          <w:highlight w:val="none"/>
        </w:rPr>
      </w:pPr>
      <w:r>
        <w:rPr>
          <w:color w:val="auto"/>
          <w:sz w:val="18"/>
          <w:szCs w:val="18"/>
          <w:highlight w:val="none"/>
        </w:rPr>
        <w:t>分标编号：</w:t>
      </w:r>
      <w:r>
        <w:rPr>
          <w:color w:val="auto"/>
          <w:sz w:val="18"/>
          <w:szCs w:val="18"/>
          <w:highlight w:val="none"/>
          <w:u w:val="single"/>
        </w:rPr>
        <w:t>${分标编号}</w:t>
      </w:r>
    </w:p>
    <w:p>
      <w:pPr>
        <w:tabs>
          <w:tab w:val="left" w:pos="7020"/>
          <w:tab w:val="left" w:pos="9000"/>
        </w:tabs>
        <w:adjustRightInd w:val="0"/>
        <w:ind w:firstLine="369"/>
        <w:rPr>
          <w:color w:val="auto"/>
          <w:sz w:val="18"/>
          <w:szCs w:val="18"/>
          <w:highlight w:val="none"/>
        </w:rPr>
      </w:pPr>
      <w:r>
        <w:rPr>
          <w:color w:val="auto"/>
          <w:sz w:val="18"/>
          <w:szCs w:val="18"/>
          <w:highlight w:val="none"/>
        </w:rPr>
        <w:t>包号：</w:t>
      </w:r>
      <w:r>
        <w:rPr>
          <w:color w:val="auto"/>
          <w:sz w:val="18"/>
          <w:szCs w:val="18"/>
          <w:highlight w:val="none"/>
          <w:u w:val="single"/>
        </w:rPr>
        <w:t>${包号}</w:t>
      </w:r>
    </w:p>
    <w:p>
      <w:pPr>
        <w:adjustRightInd w:val="0"/>
        <w:ind w:left="361" w:leftChars="172" w:firstLine="9" w:firstLineChars="5"/>
        <w:rPr>
          <w:color w:val="auto"/>
          <w:sz w:val="18"/>
          <w:szCs w:val="18"/>
          <w:highlight w:val="none"/>
          <w:u w:val="single"/>
        </w:rPr>
      </w:pPr>
      <w:r>
        <w:rPr>
          <w:color w:val="auto"/>
          <w:sz w:val="18"/>
          <w:szCs w:val="18"/>
          <w:highlight w:val="none"/>
        </w:rPr>
        <w:t>投标人：</w:t>
      </w:r>
      <w:r>
        <w:rPr>
          <w:color w:val="auto"/>
          <w:sz w:val="18"/>
          <w:szCs w:val="18"/>
          <w:highlight w:val="none"/>
          <w:u w:val="single"/>
        </w:rPr>
        <w:t>${投标人全称}</w:t>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ab/>
      </w:r>
      <w:r>
        <w:rPr>
          <w:color w:val="auto"/>
          <w:sz w:val="18"/>
          <w:szCs w:val="18"/>
          <w:highlight w:val="none"/>
        </w:rPr>
        <w:t>货币：人民币</w:t>
      </w:r>
    </w:p>
    <w:tbl>
      <w:tblPr>
        <w:tblStyle w:val="1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414"/>
        <w:gridCol w:w="3937"/>
        <w:gridCol w:w="3935"/>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noWrap w:val="0"/>
            <w:vAlign w:val="center"/>
          </w:tcPr>
          <w:p>
            <w:pPr>
              <w:tabs>
                <w:tab w:val="left" w:pos="7020"/>
                <w:tab w:val="left" w:pos="9000"/>
              </w:tabs>
              <w:adjustRightInd w:val="0"/>
              <w:snapToGrid w:val="0"/>
              <w:spacing w:before="60" w:after="60"/>
              <w:jc w:val="center"/>
              <w:rPr>
                <w:color w:val="auto"/>
                <w:sz w:val="18"/>
                <w:szCs w:val="21"/>
                <w:highlight w:val="none"/>
              </w:rPr>
            </w:pPr>
            <w:r>
              <w:rPr>
                <w:color w:val="auto"/>
                <w:sz w:val="18"/>
                <w:szCs w:val="21"/>
                <w:highlight w:val="none"/>
              </w:rPr>
              <w:t>包号</w:t>
            </w:r>
          </w:p>
        </w:tc>
        <w:tc>
          <w:tcPr>
            <w:tcW w:w="3937" w:type="dxa"/>
            <w:noWrap w:val="0"/>
            <w:vAlign w:val="center"/>
          </w:tcPr>
          <w:p>
            <w:pPr>
              <w:tabs>
                <w:tab w:val="left" w:pos="7020"/>
                <w:tab w:val="left" w:pos="9000"/>
              </w:tabs>
              <w:adjustRightInd w:val="0"/>
              <w:snapToGrid w:val="0"/>
              <w:spacing w:before="60" w:after="60"/>
              <w:jc w:val="center"/>
              <w:rPr>
                <w:color w:val="auto"/>
                <w:sz w:val="18"/>
                <w:szCs w:val="21"/>
                <w:highlight w:val="none"/>
              </w:rPr>
            </w:pPr>
            <w:r>
              <w:rPr>
                <w:color w:val="auto"/>
                <w:sz w:val="18"/>
                <w:szCs w:val="21"/>
                <w:highlight w:val="none"/>
              </w:rPr>
              <w:t>投标总价</w:t>
            </w:r>
          </w:p>
        </w:tc>
        <w:tc>
          <w:tcPr>
            <w:tcW w:w="3935" w:type="dxa"/>
            <w:noWrap w:val="0"/>
            <w:vAlign w:val="center"/>
          </w:tcPr>
          <w:p>
            <w:pPr>
              <w:tabs>
                <w:tab w:val="left" w:pos="7020"/>
                <w:tab w:val="left" w:pos="9000"/>
              </w:tabs>
              <w:adjustRightInd w:val="0"/>
              <w:snapToGrid w:val="0"/>
              <w:spacing w:before="60" w:after="60"/>
              <w:jc w:val="center"/>
              <w:rPr>
                <w:color w:val="auto"/>
                <w:sz w:val="18"/>
                <w:szCs w:val="21"/>
                <w:highlight w:val="none"/>
              </w:rPr>
            </w:pPr>
            <w:r>
              <w:rPr>
                <w:color w:val="auto"/>
                <w:sz w:val="18"/>
                <w:szCs w:val="21"/>
                <w:highlight w:val="none"/>
              </w:rPr>
              <w:t>折扣比例（％）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Merge w:val="restart"/>
            <w:noWrap w:val="0"/>
            <w:vAlign w:val="center"/>
          </w:tcPr>
          <w:p>
            <w:pPr>
              <w:pStyle w:val="11"/>
              <w:ind w:firstLine="420"/>
              <w:rPr>
                <w:rFonts w:ascii="Times New Roman" w:hAnsi="Times New Roman"/>
                <w:color w:val="auto"/>
                <w:highlight w:val="none"/>
              </w:rPr>
            </w:pPr>
            <w:r>
              <w:rPr>
                <w:rFonts w:ascii="Times New Roman" w:hAnsi="Times New Roman"/>
                <w:color w:val="auto"/>
                <w:highlight w:val="none"/>
              </w:rPr>
              <w:t>${包号}</w:t>
            </w:r>
          </w:p>
        </w:tc>
        <w:tc>
          <w:tcPr>
            <w:tcW w:w="3937" w:type="dxa"/>
            <w:noWrap w:val="0"/>
            <w:vAlign w:val="center"/>
          </w:tcPr>
          <w:p>
            <w:pPr>
              <w:tabs>
                <w:tab w:val="left" w:pos="7020"/>
                <w:tab w:val="left" w:pos="9000"/>
              </w:tabs>
              <w:adjustRightInd w:val="0"/>
              <w:snapToGrid w:val="0"/>
              <w:spacing w:before="60" w:after="60"/>
              <w:ind w:firstLine="360" w:firstLineChars="200"/>
              <w:rPr>
                <w:color w:val="auto"/>
                <w:sz w:val="18"/>
                <w:szCs w:val="21"/>
                <w:highlight w:val="none"/>
              </w:rPr>
            </w:pPr>
            <w:r>
              <w:rPr>
                <w:color w:val="auto"/>
                <w:sz w:val="18"/>
                <w:szCs w:val="21"/>
                <w:highlight w:val="none"/>
              </w:rPr>
              <w:t>金额（小写）：</w:t>
            </w:r>
          </w:p>
          <w:p>
            <w:pPr>
              <w:tabs>
                <w:tab w:val="left" w:pos="7020"/>
                <w:tab w:val="left" w:pos="9000"/>
              </w:tabs>
              <w:adjustRightInd w:val="0"/>
              <w:snapToGrid w:val="0"/>
              <w:spacing w:before="60" w:after="60"/>
              <w:rPr>
                <w:color w:val="auto"/>
                <w:sz w:val="18"/>
                <w:szCs w:val="21"/>
                <w:highlight w:val="none"/>
              </w:rPr>
            </w:pPr>
            <w:r>
              <w:rPr>
                <w:color w:val="auto"/>
                <w:sz w:val="18"/>
                <w:szCs w:val="21"/>
                <w:highlight w:val="none"/>
                <w:u w:val="single"/>
              </w:rPr>
              <w:t>${开标总价小写}</w:t>
            </w:r>
            <w:r>
              <w:rPr>
                <w:color w:val="auto"/>
                <w:sz w:val="18"/>
                <w:szCs w:val="21"/>
                <w:highlight w:val="none"/>
              </w:rPr>
              <w:t>万元</w:t>
            </w:r>
          </w:p>
        </w:tc>
        <w:tc>
          <w:tcPr>
            <w:tcW w:w="3935" w:type="dxa"/>
            <w:noWrap w:val="0"/>
            <w:vAlign w:val="center"/>
          </w:tcPr>
          <w:p>
            <w:pPr>
              <w:tabs>
                <w:tab w:val="left" w:pos="7020"/>
                <w:tab w:val="left" w:pos="9000"/>
              </w:tabs>
              <w:adjustRightInd w:val="0"/>
              <w:snapToGrid w:val="0"/>
              <w:spacing w:before="60" w:after="60"/>
              <w:ind w:firstLine="360" w:firstLineChars="200"/>
              <w:rPr>
                <w:color w:val="auto"/>
                <w:sz w:val="18"/>
                <w:szCs w:val="21"/>
                <w:highlight w:val="none"/>
              </w:rPr>
            </w:pPr>
            <w:r>
              <w:rPr>
                <w:color w:val="auto"/>
                <w:sz w:val="18"/>
                <w:szCs w:val="21"/>
                <w:highlight w:val="none"/>
              </w:rPr>
              <w:t>百分比：</w:t>
            </w:r>
          </w:p>
          <w:p>
            <w:pPr>
              <w:tabs>
                <w:tab w:val="left" w:pos="7020"/>
                <w:tab w:val="left" w:pos="9000"/>
              </w:tabs>
              <w:adjustRightInd w:val="0"/>
              <w:snapToGrid w:val="0"/>
              <w:spacing w:before="60" w:after="60"/>
              <w:ind w:firstLine="720" w:firstLineChars="400"/>
              <w:rPr>
                <w:color w:val="auto"/>
                <w:sz w:val="18"/>
                <w:szCs w:val="21"/>
                <w:highlight w:val="none"/>
              </w:rPr>
            </w:pPr>
            <w:r>
              <w:rPr>
                <w:color w:val="auto"/>
                <w:sz w:val="18"/>
                <w:szCs w:val="21"/>
                <w:highlight w:val="none"/>
                <w:u w:val="single"/>
              </w:rPr>
              <w:t>${折扣}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Merge w:val="continue"/>
            <w:noWrap w:val="0"/>
            <w:vAlign w:val="center"/>
          </w:tcPr>
          <w:p>
            <w:pPr>
              <w:pStyle w:val="11"/>
              <w:ind w:firstLine="420"/>
              <w:rPr>
                <w:rFonts w:ascii="Times New Roman" w:hAnsi="Times New Roman"/>
                <w:color w:val="auto"/>
                <w:highlight w:val="none"/>
              </w:rPr>
            </w:pPr>
          </w:p>
        </w:tc>
        <w:tc>
          <w:tcPr>
            <w:tcW w:w="3937" w:type="dxa"/>
            <w:noWrap w:val="0"/>
            <w:vAlign w:val="center"/>
          </w:tcPr>
          <w:p>
            <w:pPr>
              <w:tabs>
                <w:tab w:val="left" w:pos="7020"/>
                <w:tab w:val="left" w:pos="9000"/>
              </w:tabs>
              <w:adjustRightInd w:val="0"/>
              <w:snapToGrid w:val="0"/>
              <w:spacing w:before="60" w:after="60"/>
              <w:ind w:firstLine="360" w:firstLineChars="200"/>
              <w:rPr>
                <w:color w:val="auto"/>
                <w:sz w:val="18"/>
                <w:szCs w:val="21"/>
                <w:highlight w:val="none"/>
              </w:rPr>
            </w:pPr>
            <w:r>
              <w:rPr>
                <w:color w:val="auto"/>
                <w:sz w:val="18"/>
                <w:szCs w:val="21"/>
                <w:highlight w:val="none"/>
              </w:rPr>
              <w:t>大写：${开标总价大写}</w:t>
            </w:r>
          </w:p>
        </w:tc>
        <w:tc>
          <w:tcPr>
            <w:tcW w:w="3935" w:type="dxa"/>
            <w:noWrap w:val="0"/>
            <w:vAlign w:val="center"/>
          </w:tcPr>
          <w:p>
            <w:pPr>
              <w:tabs>
                <w:tab w:val="left" w:pos="7020"/>
                <w:tab w:val="left" w:pos="9000"/>
              </w:tabs>
              <w:adjustRightInd w:val="0"/>
              <w:snapToGrid w:val="0"/>
              <w:spacing w:before="60" w:after="60"/>
              <w:rPr>
                <w:color w:val="auto"/>
                <w:sz w:val="18"/>
                <w:szCs w:val="21"/>
                <w:highlight w:val="none"/>
              </w:rPr>
            </w:pPr>
          </w:p>
        </w:tc>
      </w:tr>
    </w:tbl>
    <w:p>
      <w:pPr>
        <w:adjustRightInd w:val="0"/>
        <w:ind w:firstLine="420"/>
        <w:rPr>
          <w:color w:val="auto"/>
          <w:szCs w:val="21"/>
          <w:highlight w:val="none"/>
        </w:rPr>
      </w:pPr>
    </w:p>
    <w:p>
      <w:pPr>
        <w:adjustRightInd w:val="0"/>
        <w:jc w:val="right"/>
        <w:rPr>
          <w:color w:val="auto"/>
          <w:szCs w:val="21"/>
          <w:highlight w:val="none"/>
        </w:rPr>
      </w:pPr>
      <w:r>
        <w:rPr>
          <w:color w:val="auto"/>
          <w:highlight w:val="none"/>
        </w:rPr>
        <w:t>法定代表人或其授权代表：（签字）</w:t>
      </w:r>
    </w:p>
    <w:p>
      <w:pPr>
        <w:adjustRightInd w:val="0"/>
        <w:ind w:left="6300" w:firstLine="420"/>
        <w:jc w:val="right"/>
        <w:rPr>
          <w:color w:val="auto"/>
          <w:szCs w:val="21"/>
          <w:highlight w:val="none"/>
        </w:rPr>
      </w:pPr>
      <w:r>
        <w:rPr>
          <w:color w:val="auto"/>
          <w:szCs w:val="21"/>
          <w:highlight w:val="none"/>
        </w:rPr>
        <w:t>（单位公章）</w:t>
      </w:r>
    </w:p>
    <w:p>
      <w:pPr>
        <w:rPr>
          <w:color w:val="auto"/>
          <w:highlight w:val="none"/>
        </w:rPr>
      </w:pPr>
    </w:p>
    <w:p>
      <w:pPr>
        <w:tabs>
          <w:tab w:val="left" w:pos="1260"/>
        </w:tabs>
        <w:rPr>
          <w:color w:val="auto"/>
          <w:szCs w:val="21"/>
          <w:highlight w:val="none"/>
        </w:rPr>
      </w:pPr>
    </w:p>
    <w:p>
      <w:pPr>
        <w:widowControl/>
        <w:topLinePunct w:val="0"/>
        <w:jc w:val="left"/>
        <w:rPr>
          <w:color w:val="auto"/>
          <w:szCs w:val="21"/>
          <w:highlight w:val="none"/>
        </w:rPr>
      </w:pPr>
      <w:r>
        <w:rPr>
          <w:color w:val="auto"/>
          <w:szCs w:val="21"/>
          <w:highlight w:val="none"/>
        </w:rPr>
        <w:br w:type="page"/>
      </w:r>
    </w:p>
    <w:p>
      <w:pPr>
        <w:widowControl/>
        <w:numPr>
          <w:ilvl w:val="0"/>
          <w:numId w:val="10"/>
        </w:numPr>
        <w:ind w:left="0" w:leftChars="0" w:firstLine="0" w:firstLineChars="0"/>
        <w:jc w:val="left"/>
        <w:outlineLvl w:val="1"/>
        <w:rPr>
          <w:b/>
          <w:color w:val="auto"/>
          <w:sz w:val="24"/>
          <w:highlight w:val="none"/>
        </w:rPr>
      </w:pPr>
      <w:r>
        <w:rPr>
          <w:rFonts w:hint="eastAsia"/>
          <w:b/>
          <w:color w:val="auto"/>
          <w:sz w:val="24"/>
          <w:highlight w:val="none"/>
          <w:lang w:val="en-US" w:eastAsia="zh-CN"/>
        </w:rPr>
        <w:t>报价</w:t>
      </w:r>
      <w:r>
        <w:rPr>
          <w:b/>
          <w:color w:val="auto"/>
          <w:sz w:val="24"/>
          <w:highlight w:val="none"/>
        </w:rPr>
        <w:t>文件（</w:t>
      </w:r>
      <w:r>
        <w:rPr>
          <w:rFonts w:hint="eastAsia"/>
          <w:b/>
          <w:color w:val="auto"/>
          <w:sz w:val="24"/>
          <w:highlight w:val="none"/>
          <w:lang w:val="en-US" w:eastAsia="zh-CN"/>
        </w:rPr>
        <w:t>报价明细表</w:t>
      </w:r>
      <w:r>
        <w:rPr>
          <w:b/>
          <w:color w:val="auto"/>
          <w:sz w:val="24"/>
          <w:highlight w:val="none"/>
        </w:rPr>
        <w:t>）</w:t>
      </w:r>
    </w:p>
    <w:p>
      <w:pPr>
        <w:pStyle w:val="6"/>
        <w:rPr>
          <w:rFonts w:hint="default"/>
          <w:color w:val="auto"/>
          <w:highlight w:val="none"/>
          <w:lang w:val="en-US" w:eastAsia="zh-CN"/>
        </w:rPr>
      </w:pPr>
    </w:p>
    <w:p>
      <w:pPr>
        <w:spacing w:line="360" w:lineRule="exact"/>
        <w:jc w:val="left"/>
        <w:rPr>
          <w:rFonts w:hint="eastAsia" w:ascii="Times New Roman" w:hAnsi="Times New Roman" w:eastAsia="黑体" w:cs="Times New Roman"/>
          <w:b/>
          <w:bCs/>
          <w:color w:val="000000"/>
          <w:kern w:val="2"/>
          <w:sz w:val="28"/>
          <w:szCs w:val="32"/>
          <w:highlight w:val="none"/>
          <w:lang w:val="en-US" w:eastAsia="zh-CN" w:bidi="ar-SA"/>
        </w:rPr>
      </w:pPr>
      <w:r>
        <w:rPr>
          <w:rFonts w:hint="eastAsia" w:ascii="Times New Roman" w:hAnsi="Times New Roman" w:eastAsia="黑体" w:cs="Times New Roman"/>
          <w:b/>
          <w:bCs/>
          <w:color w:val="000000"/>
          <w:kern w:val="2"/>
          <w:sz w:val="28"/>
          <w:szCs w:val="32"/>
          <w:highlight w:val="none"/>
          <w:lang w:val="en-US" w:eastAsia="zh-CN" w:bidi="ar-SA"/>
        </w:rPr>
        <w:t>变电站监理</w:t>
      </w:r>
    </w:p>
    <w:p>
      <w:pPr>
        <w:spacing w:line="360" w:lineRule="exact"/>
        <w:jc w:val="center"/>
        <w:rPr>
          <w:rFonts w:hint="eastAsia" w:eastAsia="黑体"/>
          <w:b/>
          <w:bCs/>
          <w:highlight w:val="none"/>
          <w:lang w:eastAsia="zh-CN"/>
        </w:rPr>
      </w:pPr>
      <w:r>
        <w:rPr>
          <w:rFonts w:hint="eastAsia" w:ascii="黑体" w:hAnsi="黑体" w:eastAsia="黑体"/>
          <w:b/>
          <w:bCs/>
          <w:highlight w:val="none"/>
          <w:lang w:val="en-US" w:eastAsia="zh-CN"/>
        </w:rPr>
        <w:t>变电</w:t>
      </w:r>
      <w:r>
        <w:rPr>
          <w:rFonts w:hint="eastAsia" w:ascii="黑体" w:hAnsi="黑体" w:eastAsia="黑体"/>
          <w:b/>
          <w:bCs/>
          <w:highlight w:val="none"/>
        </w:rPr>
        <w:t>站监理报价明细表</w:t>
      </w:r>
      <w:r>
        <w:rPr>
          <w:rFonts w:hint="eastAsia" w:ascii="黑体" w:hAnsi="黑体" w:eastAsia="黑体"/>
          <w:b/>
          <w:bCs/>
          <w:highlight w:val="none"/>
          <w:lang w:eastAsia="zh-CN"/>
        </w:rPr>
        <w:t>（</w:t>
      </w:r>
      <w:r>
        <w:rPr>
          <w:rFonts w:hint="eastAsia" w:ascii="黑体" w:hAnsi="黑体" w:eastAsia="黑体"/>
          <w:b/>
          <w:bCs/>
          <w:highlight w:val="none"/>
          <w:lang w:val="en-US" w:eastAsia="zh-CN"/>
        </w:rPr>
        <w:t>包1</w:t>
      </w:r>
      <w:r>
        <w:rPr>
          <w:rFonts w:hint="eastAsia" w:ascii="黑体" w:hAnsi="黑体" w:eastAsia="黑体"/>
          <w:b/>
          <w:bCs/>
          <w:highlight w:val="none"/>
          <w:lang w:eastAsia="zh-CN"/>
        </w:rPr>
        <w:t>）</w:t>
      </w:r>
    </w:p>
    <w:p>
      <w:pPr>
        <w:pStyle w:val="40"/>
        <w:spacing w:before="0" w:after="0"/>
        <w:jc w:val="both"/>
        <w:rPr>
          <w:rFonts w:eastAsia="宋体"/>
          <w:sz w:val="21"/>
          <w:szCs w:val="21"/>
          <w:highlight w:val="none"/>
        </w:rPr>
      </w:pPr>
      <w:r>
        <w:rPr>
          <w:rFonts w:hint="eastAsia" w:ascii="宋体" w:hAnsi="宋体" w:eastAsia="宋体"/>
          <w:sz w:val="21"/>
          <w:szCs w:val="21"/>
          <w:highlight w:val="none"/>
        </w:rPr>
        <w:t>招标编号：</w:t>
      </w:r>
    </w:p>
    <w:p>
      <w:pPr>
        <w:pStyle w:val="40"/>
        <w:spacing w:before="0" w:after="0"/>
        <w:jc w:val="both"/>
        <w:rPr>
          <w:rFonts w:eastAsia="宋体"/>
          <w:sz w:val="21"/>
          <w:szCs w:val="21"/>
          <w:highlight w:val="none"/>
        </w:rPr>
      </w:pPr>
      <w:r>
        <w:rPr>
          <w:rFonts w:hint="eastAsia" w:ascii="宋体" w:hAnsi="宋体" w:eastAsia="宋体"/>
          <w:sz w:val="21"/>
          <w:szCs w:val="21"/>
          <w:highlight w:val="none"/>
        </w:rPr>
        <w:t>分标编号：</w:t>
      </w:r>
    </w:p>
    <w:p>
      <w:pPr>
        <w:pStyle w:val="40"/>
        <w:spacing w:before="0" w:after="0"/>
        <w:jc w:val="both"/>
        <w:rPr>
          <w:rFonts w:eastAsia="宋体"/>
          <w:sz w:val="21"/>
          <w:szCs w:val="21"/>
          <w:highlight w:val="none"/>
        </w:rPr>
      </w:pPr>
      <w:r>
        <w:rPr>
          <w:rFonts w:hint="eastAsia" w:ascii="宋体" w:hAnsi="宋体" w:eastAsia="宋体"/>
          <w:sz w:val="21"/>
          <w:szCs w:val="21"/>
          <w:highlight w:val="none"/>
        </w:rPr>
        <w:t>包号：</w:t>
      </w:r>
      <w:r>
        <w:rPr>
          <w:rFonts w:eastAsia="宋体"/>
          <w:sz w:val="21"/>
          <w:szCs w:val="21"/>
          <w:highlight w:val="none"/>
        </w:rPr>
        <w:t xml:space="preserve">                                                      </w:t>
      </w:r>
      <w:r>
        <w:rPr>
          <w:rFonts w:hint="eastAsia" w:ascii="宋体" w:hAnsi="宋体" w:eastAsia="宋体"/>
          <w:sz w:val="21"/>
          <w:szCs w:val="21"/>
          <w:highlight w:val="none"/>
        </w:rPr>
        <w:t>金额单位：万元人民币</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3233"/>
        <w:gridCol w:w="2175"/>
        <w:gridCol w:w="1403"/>
        <w:gridCol w:w="10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blHeader/>
          <w:jc w:val="center"/>
        </w:trPr>
        <w:tc>
          <w:tcPr>
            <w:tcW w:w="694" w:type="dxa"/>
            <w:noWrap/>
            <w:vAlign w:val="center"/>
          </w:tcPr>
          <w:p>
            <w:pPr>
              <w:widowControl/>
              <w:jc w:val="center"/>
              <w:rPr>
                <w:rFonts w:ascii="宋体" w:hAnsi="宋体" w:cs="宋体"/>
                <w:b/>
                <w:bCs/>
                <w:color w:val="000000"/>
                <w:kern w:val="0"/>
                <w:sz w:val="21"/>
                <w:szCs w:val="21"/>
                <w:highlight w:val="none"/>
              </w:rPr>
            </w:pPr>
            <w:r>
              <w:rPr>
                <w:rFonts w:hint="eastAsia" w:ascii="宋体" w:hAnsi="宋体" w:cs="宋体"/>
                <w:b/>
                <w:bCs/>
                <w:color w:val="000000"/>
                <w:kern w:val="0"/>
                <w:sz w:val="21"/>
                <w:szCs w:val="21"/>
                <w:highlight w:val="none"/>
              </w:rPr>
              <w:t>包号</w:t>
            </w:r>
          </w:p>
        </w:tc>
        <w:tc>
          <w:tcPr>
            <w:tcW w:w="3233" w:type="dxa"/>
            <w:noWrap/>
            <w:vAlign w:val="center"/>
          </w:tcPr>
          <w:p>
            <w:pPr>
              <w:widowControl/>
              <w:jc w:val="center"/>
              <w:rPr>
                <w:rFonts w:ascii="宋体" w:hAnsi="宋体" w:cs="宋体"/>
                <w:b/>
                <w:bCs/>
                <w:color w:val="000000"/>
                <w:kern w:val="0"/>
                <w:sz w:val="21"/>
                <w:szCs w:val="21"/>
                <w:highlight w:val="none"/>
              </w:rPr>
            </w:pPr>
            <w:r>
              <w:rPr>
                <w:rFonts w:hint="eastAsia" w:ascii="宋体" w:hAnsi="宋体" w:cs="宋体"/>
                <w:b/>
                <w:bCs/>
                <w:color w:val="000000"/>
                <w:kern w:val="0"/>
                <w:sz w:val="21"/>
                <w:szCs w:val="21"/>
                <w:highlight w:val="none"/>
              </w:rPr>
              <w:t>工程名称</w:t>
            </w:r>
          </w:p>
        </w:tc>
        <w:tc>
          <w:tcPr>
            <w:tcW w:w="2175" w:type="dxa"/>
            <w:noWrap/>
            <w:vAlign w:val="center"/>
          </w:tcPr>
          <w:p>
            <w:pPr>
              <w:widowControl/>
              <w:jc w:val="center"/>
              <w:rPr>
                <w:rFonts w:hint="default" w:ascii="宋体" w:hAnsi="宋体" w:eastAsia="宋体" w:cs="宋体"/>
                <w:b/>
                <w:bCs/>
                <w:color w:val="000000"/>
                <w:kern w:val="0"/>
                <w:sz w:val="21"/>
                <w:szCs w:val="21"/>
                <w:highlight w:val="none"/>
                <w:lang w:val="en-US" w:eastAsia="zh-CN"/>
              </w:rPr>
            </w:pPr>
            <w:r>
              <w:rPr>
                <w:rFonts w:hint="eastAsia" w:ascii="宋体" w:hAnsi="宋体" w:cs="宋体"/>
                <w:b/>
                <w:bCs/>
                <w:color w:val="000000"/>
                <w:kern w:val="0"/>
                <w:sz w:val="21"/>
                <w:szCs w:val="21"/>
                <w:highlight w:val="none"/>
              </w:rPr>
              <w:t>招标范围</w:t>
            </w:r>
          </w:p>
        </w:tc>
        <w:tc>
          <w:tcPr>
            <w:tcW w:w="1403" w:type="dxa"/>
            <w:noWrap/>
            <w:vAlign w:val="center"/>
          </w:tcPr>
          <w:p>
            <w:pPr>
              <w:widowControl/>
              <w:jc w:val="center"/>
              <w:rPr>
                <w:rFonts w:hint="eastAsia" w:ascii="宋体" w:hAnsi="宋体" w:eastAsia="宋体" w:cs="宋体"/>
                <w:b/>
                <w:bCs/>
                <w:color w:val="000000"/>
                <w:kern w:val="0"/>
                <w:sz w:val="21"/>
                <w:szCs w:val="21"/>
                <w:highlight w:val="none"/>
                <w:lang w:val="en-US" w:eastAsia="zh-CN"/>
              </w:rPr>
            </w:pPr>
            <w:r>
              <w:rPr>
                <w:rFonts w:hint="eastAsia" w:ascii="宋体" w:hAnsi="宋体" w:cs="宋体"/>
                <w:b/>
                <w:bCs/>
                <w:color w:val="000000"/>
                <w:kern w:val="0"/>
                <w:sz w:val="21"/>
                <w:szCs w:val="21"/>
                <w:highlight w:val="none"/>
              </w:rPr>
              <w:t>报价</w:t>
            </w:r>
            <w:r>
              <w:rPr>
                <w:rFonts w:hint="eastAsia" w:ascii="宋体" w:hAnsi="宋体" w:cs="宋体"/>
                <w:b/>
                <w:bCs/>
                <w:color w:val="000000"/>
                <w:kern w:val="0"/>
                <w:sz w:val="21"/>
                <w:szCs w:val="21"/>
                <w:highlight w:val="none"/>
                <w:lang w:val="en-US" w:eastAsia="zh-CN"/>
              </w:rPr>
              <w:t>金额</w:t>
            </w:r>
          </w:p>
        </w:tc>
        <w:tc>
          <w:tcPr>
            <w:tcW w:w="1017" w:type="dxa"/>
            <w:noWrap/>
            <w:vAlign w:val="center"/>
          </w:tcPr>
          <w:p>
            <w:pPr>
              <w:widowControl/>
              <w:jc w:val="center"/>
              <w:rPr>
                <w:rFonts w:ascii="宋体" w:hAnsi="宋体" w:cs="宋体"/>
                <w:b/>
                <w:bCs/>
                <w:color w:val="000000"/>
                <w:kern w:val="0"/>
                <w:sz w:val="21"/>
                <w:szCs w:val="21"/>
                <w:highlight w:val="none"/>
              </w:rPr>
            </w:pPr>
            <w:r>
              <w:rPr>
                <w:rFonts w:hint="eastAsia" w:ascii="宋体" w:hAnsi="宋体" w:cs="宋体"/>
                <w:b/>
                <w:bCs/>
                <w:color w:val="000000"/>
                <w:kern w:val="0"/>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4" w:type="dxa"/>
            <w:noWrap/>
            <w:vAlign w:val="center"/>
          </w:tcPr>
          <w:p>
            <w:pPr>
              <w:widowControl/>
              <w:jc w:val="center"/>
              <w:rPr>
                <w:rFonts w:ascii="宋体" w:hAnsi="宋体" w:cs="宋体"/>
                <w:color w:val="000000"/>
                <w:kern w:val="0"/>
                <w:sz w:val="21"/>
                <w:szCs w:val="21"/>
                <w:highlight w:val="none"/>
              </w:rPr>
            </w:pPr>
            <w:r>
              <w:rPr>
                <w:rFonts w:hint="eastAsia" w:ascii="宋体" w:hAnsi="宋体" w:eastAsia="宋体" w:cs="宋体"/>
                <w:color w:val="000000"/>
                <w:kern w:val="0"/>
                <w:sz w:val="21"/>
                <w:szCs w:val="21"/>
                <w:highlight w:val="none"/>
              </w:rPr>
              <w:t>包1</w:t>
            </w:r>
          </w:p>
        </w:tc>
        <w:tc>
          <w:tcPr>
            <w:tcW w:w="3233" w:type="dxa"/>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ascii="宋体" w:hAnsi="宋体" w:cs="宋体"/>
                <w:color w:val="000000"/>
                <w:kern w:val="0"/>
                <w:sz w:val="21"/>
                <w:szCs w:val="21"/>
                <w:highlight w:val="none"/>
              </w:rPr>
            </w:pPr>
            <w:r>
              <w:rPr>
                <w:rFonts w:hint="eastAsia" w:ascii="Times New Roman" w:hAnsi="Times New Roman" w:eastAsia="宋体" w:cs="Times New Roman"/>
                <w:sz w:val="21"/>
                <w:szCs w:val="21"/>
                <w:highlight w:val="none"/>
                <w:lang w:val="en-US" w:eastAsia="zh-CN"/>
              </w:rPr>
              <w:t>芜湖GIL管廊</w:t>
            </w:r>
          </w:p>
        </w:tc>
        <w:tc>
          <w:tcPr>
            <w:tcW w:w="2175" w:type="dxa"/>
            <w:noWrap/>
            <w:vAlign w:val="center"/>
          </w:tcPr>
          <w:p>
            <w:pPr>
              <w:widowControl/>
              <w:jc w:val="center"/>
              <w:rPr>
                <w:rFonts w:hint="eastAsia" w:ascii="宋体" w:hAnsi="宋体" w:eastAsia="宋体" w:cs="宋体"/>
                <w:color w:val="000000"/>
                <w:kern w:val="0"/>
                <w:sz w:val="21"/>
                <w:szCs w:val="21"/>
                <w:highlight w:val="none"/>
                <w:lang w:val="en-US" w:eastAsia="zh-CN"/>
              </w:rPr>
            </w:pPr>
            <w:r>
              <w:rPr>
                <w:rFonts w:hint="default" w:ascii="Times New Roman" w:hAnsi="Times New Roman" w:eastAsia="宋体" w:cs="Times New Roman"/>
                <w:sz w:val="21"/>
                <w:szCs w:val="21"/>
                <w:highlight w:val="none"/>
                <w:lang w:val="en-US" w:eastAsia="zh-CN"/>
              </w:rPr>
              <w:t>引接站桩基及土建施工、GIL及引接站电气安装施工监理</w:t>
            </w:r>
          </w:p>
        </w:tc>
        <w:tc>
          <w:tcPr>
            <w:tcW w:w="1403" w:type="dxa"/>
            <w:noWrap/>
            <w:vAlign w:val="center"/>
          </w:tcPr>
          <w:p>
            <w:pPr>
              <w:widowControl/>
              <w:jc w:val="center"/>
              <w:rPr>
                <w:rFonts w:ascii="宋体" w:hAnsi="宋体" w:cs="宋体"/>
                <w:color w:val="000000"/>
                <w:kern w:val="0"/>
                <w:sz w:val="21"/>
                <w:szCs w:val="21"/>
                <w:highlight w:val="none"/>
              </w:rPr>
            </w:pPr>
          </w:p>
        </w:tc>
        <w:tc>
          <w:tcPr>
            <w:tcW w:w="1017" w:type="dxa"/>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94" w:type="dxa"/>
            <w:noWrap/>
            <w:vAlign w:val="center"/>
          </w:tcPr>
          <w:p>
            <w:pPr>
              <w:widowControl/>
              <w:jc w:val="center"/>
              <w:rPr>
                <w:rFonts w:ascii="宋体" w:hAnsi="宋体" w:cs="宋体"/>
                <w:color w:val="000000"/>
                <w:kern w:val="0"/>
                <w:sz w:val="21"/>
                <w:szCs w:val="21"/>
                <w:highlight w:val="none"/>
              </w:rPr>
            </w:pPr>
          </w:p>
        </w:tc>
        <w:tc>
          <w:tcPr>
            <w:tcW w:w="5408" w:type="dxa"/>
            <w:gridSpan w:val="2"/>
            <w:noWrap/>
            <w:vAlign w:val="center"/>
          </w:tcPr>
          <w:p>
            <w:pPr>
              <w:widowControl/>
              <w:jc w:val="center"/>
              <w:rPr>
                <w:rFonts w:ascii="宋体" w:hAnsi="宋体" w:cs="宋体"/>
                <w:color w:val="000000"/>
                <w:sz w:val="21"/>
                <w:szCs w:val="21"/>
                <w:highlight w:val="none"/>
              </w:rPr>
            </w:pPr>
            <w:r>
              <w:rPr>
                <w:rFonts w:hint="eastAsia" w:ascii="宋体" w:hAnsi="宋体" w:cs="宋体"/>
                <w:color w:val="000000"/>
                <w:sz w:val="21"/>
                <w:szCs w:val="21"/>
                <w:highlight w:val="none"/>
              </w:rPr>
              <w:t>合计</w:t>
            </w:r>
          </w:p>
        </w:tc>
        <w:tc>
          <w:tcPr>
            <w:tcW w:w="1403" w:type="dxa"/>
            <w:noWrap/>
            <w:vAlign w:val="center"/>
          </w:tcPr>
          <w:p>
            <w:pPr>
              <w:widowControl/>
              <w:jc w:val="center"/>
              <w:rPr>
                <w:rFonts w:ascii="宋体" w:hAnsi="宋体" w:cs="宋体"/>
                <w:color w:val="000000"/>
                <w:kern w:val="0"/>
                <w:sz w:val="21"/>
                <w:szCs w:val="21"/>
                <w:highlight w:val="none"/>
              </w:rPr>
            </w:pPr>
          </w:p>
        </w:tc>
        <w:tc>
          <w:tcPr>
            <w:tcW w:w="1017" w:type="dxa"/>
            <w:noWrap/>
            <w:vAlign w:val="center"/>
          </w:tcPr>
          <w:p>
            <w:pPr>
              <w:widowControl/>
              <w:jc w:val="center"/>
              <w:rPr>
                <w:rFonts w:ascii="宋体" w:hAnsi="宋体" w:cs="宋体"/>
                <w:color w:val="000000"/>
                <w:kern w:val="0"/>
                <w:sz w:val="21"/>
                <w:szCs w:val="21"/>
                <w:highlight w:val="none"/>
              </w:rPr>
            </w:pPr>
          </w:p>
        </w:tc>
      </w:tr>
    </w:tbl>
    <w:p>
      <w:pPr>
        <w:spacing w:line="360" w:lineRule="exact"/>
        <w:jc w:val="left"/>
        <w:rPr>
          <w:rFonts w:hint="eastAsia" w:ascii="宋体" w:hAnsi="宋体"/>
          <w:color w:val="000000"/>
          <w:highlight w:val="none"/>
        </w:rPr>
      </w:pPr>
    </w:p>
    <w:p>
      <w:pPr>
        <w:spacing w:line="360" w:lineRule="exact"/>
        <w:jc w:val="left"/>
        <w:rPr>
          <w:rFonts w:hint="eastAsia" w:ascii="宋体" w:hAnsi="宋体"/>
          <w:color w:val="000000"/>
          <w:highlight w:val="none"/>
          <w:lang w:val="en-US" w:eastAsia="zh-CN"/>
        </w:rPr>
      </w:pPr>
      <w:r>
        <w:rPr>
          <w:rFonts w:hint="eastAsia" w:ascii="宋体" w:hAnsi="宋体"/>
          <w:color w:val="000000"/>
          <w:highlight w:val="none"/>
        </w:rPr>
        <w:t>注：</w:t>
      </w:r>
      <w:r>
        <w:rPr>
          <w:rFonts w:hint="eastAsia" w:ascii="宋体" w:hAnsi="宋体"/>
          <w:color w:val="000000"/>
          <w:highlight w:val="none"/>
          <w:lang w:val="en-US" w:eastAsia="zh-CN"/>
        </w:rPr>
        <w:t>投标人根据招标技术规范书等文件所列监理逐项报价。</w:t>
      </w:r>
    </w:p>
    <w:p>
      <w:pPr>
        <w:pStyle w:val="5"/>
        <w:rPr>
          <w:rFonts w:hint="eastAsia"/>
          <w:highlight w:val="none"/>
          <w:lang w:val="en-US" w:eastAsia="zh-CN"/>
        </w:rPr>
      </w:pPr>
    </w:p>
    <w:p>
      <w:pPr>
        <w:spacing w:line="360" w:lineRule="exact"/>
        <w:jc w:val="left"/>
        <w:rPr>
          <w:rFonts w:hint="eastAsia" w:ascii="Times New Roman" w:hAnsi="Times New Roman" w:eastAsia="黑体" w:cs="Times New Roman"/>
          <w:b/>
          <w:bCs/>
          <w:color w:val="000000"/>
          <w:kern w:val="2"/>
          <w:sz w:val="28"/>
          <w:szCs w:val="32"/>
          <w:highlight w:val="none"/>
          <w:lang w:val="en-US" w:eastAsia="zh-CN" w:bidi="ar-SA"/>
        </w:rPr>
      </w:pPr>
      <w:r>
        <w:rPr>
          <w:rFonts w:hint="eastAsia" w:ascii="Times New Roman" w:hAnsi="Times New Roman" w:eastAsia="黑体" w:cs="Times New Roman"/>
          <w:b/>
          <w:bCs/>
          <w:color w:val="000000"/>
          <w:kern w:val="2"/>
          <w:sz w:val="28"/>
          <w:szCs w:val="32"/>
          <w:highlight w:val="none"/>
          <w:lang w:val="en-US" w:eastAsia="zh-CN" w:bidi="ar-SA"/>
        </w:rPr>
        <w:t>通信监理</w:t>
      </w:r>
    </w:p>
    <w:p>
      <w:pPr>
        <w:spacing w:line="360" w:lineRule="exact"/>
        <w:ind w:firstLine="422" w:firstLineChars="200"/>
        <w:jc w:val="center"/>
        <w:rPr>
          <w:rFonts w:hint="eastAsia" w:ascii="Times New Roman" w:hAnsi="Times New Roman" w:eastAsia="黑体" w:cs="Times New Roman"/>
          <w:b/>
          <w:bCs/>
          <w:color w:val="000000"/>
          <w:kern w:val="2"/>
          <w:sz w:val="21"/>
          <w:szCs w:val="22"/>
          <w:highlight w:val="none"/>
          <w:lang w:val="en-US" w:eastAsia="zh-CN" w:bidi="ar-SA"/>
        </w:rPr>
      </w:pPr>
      <w:r>
        <w:rPr>
          <w:rFonts w:hint="eastAsia" w:ascii="Times New Roman" w:hAnsi="Times New Roman" w:eastAsia="黑体" w:cs="Times New Roman"/>
          <w:b/>
          <w:bCs/>
          <w:color w:val="000000"/>
          <w:kern w:val="2"/>
          <w:sz w:val="21"/>
          <w:szCs w:val="22"/>
          <w:highlight w:val="none"/>
          <w:lang w:val="en-US" w:eastAsia="zh-CN" w:bidi="ar-SA"/>
        </w:rPr>
        <w:t>总报价表</w:t>
      </w:r>
    </w:p>
    <w:p>
      <w:pPr>
        <w:pStyle w:val="40"/>
        <w:tabs>
          <w:tab w:val="center" w:pos="4706"/>
          <w:tab w:val="right" w:pos="9214"/>
        </w:tabs>
        <w:jc w:val="both"/>
        <w:rPr>
          <w:rFonts w:eastAsia="宋体"/>
          <w:color w:val="000000"/>
          <w:sz w:val="18"/>
          <w:highlight w:val="none"/>
        </w:rPr>
      </w:pPr>
      <w:r>
        <w:rPr>
          <w:rFonts w:hint="eastAsia"/>
          <w:color w:val="000000"/>
          <w:sz w:val="18"/>
          <w:highlight w:val="none"/>
        </w:rPr>
        <w:t>包号：</w:t>
      </w:r>
      <w:r>
        <w:rPr>
          <w:color w:val="000000"/>
          <w:sz w:val="18"/>
          <w:highlight w:val="none"/>
          <w:u w:val="single"/>
        </w:rPr>
        <w:t xml:space="preserve"> </w:t>
      </w:r>
      <w:r>
        <w:rPr>
          <w:rFonts w:hint="eastAsia"/>
          <w:color w:val="000000"/>
          <w:sz w:val="18"/>
          <w:highlight w:val="none"/>
          <w:u w:val="single"/>
        </w:rPr>
        <w:t xml:space="preserve">  </w:t>
      </w:r>
      <w:r>
        <w:rPr>
          <w:rFonts w:hint="eastAsia"/>
          <w:color w:val="000000"/>
          <w:sz w:val="18"/>
          <w:highlight w:val="none"/>
          <w:u w:val="single"/>
          <w:lang w:val="en-US" w:eastAsia="zh-CN"/>
        </w:rPr>
        <w:t>1</w:t>
      </w:r>
      <w:r>
        <w:rPr>
          <w:rFonts w:hint="eastAsia"/>
          <w:color w:val="000000"/>
          <w:sz w:val="18"/>
          <w:highlight w:val="none"/>
          <w:u w:val="single"/>
        </w:rPr>
        <w:t xml:space="preserve"> </w:t>
      </w:r>
      <w:r>
        <w:rPr>
          <w:color w:val="000000"/>
          <w:sz w:val="18"/>
          <w:highlight w:val="none"/>
          <w:u w:val="single"/>
        </w:rPr>
        <w:t xml:space="preserve"> </w:t>
      </w:r>
      <w:r>
        <w:rPr>
          <w:rFonts w:hint="eastAsia"/>
          <w:color w:val="000000"/>
          <w:sz w:val="18"/>
          <w:highlight w:val="none"/>
          <w:u w:val="single"/>
        </w:rPr>
        <w:t xml:space="preserve"> </w:t>
      </w:r>
      <w:r>
        <w:rPr>
          <w:color w:val="000000"/>
          <w:highlight w:val="none"/>
        </w:rPr>
        <w:tab/>
      </w:r>
      <w:r>
        <w:rPr>
          <w:rFonts w:hint="eastAsia"/>
          <w:color w:val="000000"/>
          <w:highlight w:val="none"/>
        </w:rPr>
        <w:t xml:space="preserve">                                                </w:t>
      </w:r>
      <w:r>
        <w:rPr>
          <w:rFonts w:hint="eastAsia" w:eastAsia="宋体"/>
          <w:color w:val="000000"/>
          <w:sz w:val="18"/>
          <w:highlight w:val="none"/>
        </w:rPr>
        <w:t>金额单位：万元人民币</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0"/>
        <w:gridCol w:w="4128"/>
        <w:gridCol w:w="1421"/>
        <w:gridCol w:w="1228"/>
        <w:gridCol w:w="5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7" w:hRule="atLeast"/>
          <w:jc w:val="center"/>
        </w:trPr>
        <w:tc>
          <w:tcPr>
            <w:tcW w:w="690"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right="0"/>
              <w:jc w:val="center"/>
              <w:rPr>
                <w:rFonts w:hint="eastAsia" w:ascii="宋体" w:hAnsi="宋体" w:eastAsia="宋体" w:cs="宋体"/>
                <w:kern w:val="0"/>
                <w:sz w:val="18"/>
                <w:szCs w:val="18"/>
                <w:highlight w:val="none"/>
                <w:lang w:val="en-US"/>
              </w:rPr>
            </w:pPr>
            <w:r>
              <w:rPr>
                <w:rFonts w:hint="eastAsia" w:ascii="宋体" w:hAnsi="宋体" w:eastAsia="宋体" w:cs="宋体"/>
                <w:kern w:val="0"/>
                <w:sz w:val="18"/>
                <w:szCs w:val="18"/>
                <w:highlight w:val="none"/>
              </w:rPr>
              <w:t>序号</w:t>
            </w: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r>
              <w:rPr>
                <w:rFonts w:hint="eastAsia" w:ascii="宋体" w:hAnsi="宋体" w:eastAsia="宋体" w:cs="宋体"/>
                <w:kern w:val="0"/>
                <w:sz w:val="18"/>
                <w:szCs w:val="18"/>
                <w:highlight w:val="none"/>
              </w:rPr>
              <w:t>项目</w:t>
            </w:r>
          </w:p>
        </w:tc>
        <w:tc>
          <w:tcPr>
            <w:tcW w:w="1421" w:type="dxa"/>
            <w:tcBorders>
              <w:top w:val="single" w:color="000000" w:sz="4" w:space="0"/>
              <w:left w:val="single" w:color="000000" w:sz="4" w:space="0"/>
              <w:bottom w:val="single" w:color="000000" w:sz="4" w:space="0"/>
              <w:right w:val="single" w:color="auto" w:sz="4" w:space="0"/>
            </w:tcBorders>
            <w:noWrap w:val="0"/>
            <w:vAlign w:val="center"/>
          </w:tcPr>
          <w:p>
            <w:pPr>
              <w:pStyle w:val="16"/>
              <w:keepNext w:val="0"/>
              <w:keepLines w:val="0"/>
              <w:widowControl/>
              <w:suppressLineNumbers w:val="0"/>
              <w:spacing w:before="100" w:beforeAutospacing="1" w:after="100" w:afterAutospacing="1" w:line="240" w:lineRule="exact"/>
              <w:ind w:right="0"/>
              <w:jc w:val="center"/>
              <w:rPr>
                <w:rFonts w:hint="eastAsia" w:ascii="宋体" w:hAnsi="宋体" w:eastAsia="宋体" w:cs="宋体"/>
                <w:kern w:val="0"/>
                <w:sz w:val="18"/>
                <w:szCs w:val="18"/>
                <w:highlight w:val="none"/>
                <w:lang w:val="en-US"/>
              </w:rPr>
            </w:pPr>
            <w:r>
              <w:rPr>
                <w:rFonts w:hint="eastAsia" w:ascii="宋体" w:hAnsi="宋体" w:eastAsia="宋体" w:cs="宋体"/>
                <w:kern w:val="0"/>
                <w:sz w:val="18"/>
                <w:szCs w:val="18"/>
                <w:highlight w:val="none"/>
              </w:rPr>
              <w:t>最终报价</w:t>
            </w:r>
            <w:r>
              <w:rPr>
                <w:rFonts w:hint="eastAsia" w:ascii="宋体" w:hAnsi="宋体" w:eastAsia="宋体" w:cs="宋体"/>
                <w:kern w:val="0"/>
                <w:sz w:val="18"/>
                <w:szCs w:val="18"/>
                <w:highlight w:val="none"/>
                <w:lang w:val="en-US"/>
              </w:rPr>
              <w:t>(</w:t>
            </w:r>
            <w:r>
              <w:rPr>
                <w:rFonts w:hint="eastAsia" w:ascii="宋体" w:hAnsi="宋体" w:eastAsia="宋体" w:cs="宋体"/>
                <w:kern w:val="0"/>
                <w:sz w:val="18"/>
                <w:szCs w:val="18"/>
                <w:highlight w:val="none"/>
              </w:rPr>
              <w:t>小写</w:t>
            </w:r>
            <w:r>
              <w:rPr>
                <w:rFonts w:hint="eastAsia" w:ascii="宋体" w:hAnsi="宋体" w:eastAsia="宋体" w:cs="宋体"/>
                <w:kern w:val="0"/>
                <w:sz w:val="18"/>
                <w:szCs w:val="18"/>
                <w:highlight w:val="none"/>
                <w:lang w:val="en-US"/>
              </w:rPr>
              <w:t>)</w:t>
            </w:r>
          </w:p>
        </w:tc>
        <w:tc>
          <w:tcPr>
            <w:tcW w:w="1228" w:type="dxa"/>
            <w:tcBorders>
              <w:top w:val="single" w:color="000000" w:sz="4" w:space="0"/>
              <w:left w:val="single" w:color="auto"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right="0"/>
              <w:jc w:val="center"/>
              <w:rPr>
                <w:rFonts w:hint="eastAsia" w:ascii="宋体" w:hAnsi="宋体" w:eastAsia="宋体" w:cs="宋体"/>
                <w:kern w:val="0"/>
                <w:sz w:val="18"/>
                <w:szCs w:val="18"/>
                <w:highlight w:val="none"/>
                <w:lang w:val="en-US"/>
              </w:rPr>
            </w:pPr>
            <w:r>
              <w:rPr>
                <w:rFonts w:hint="eastAsia" w:ascii="宋体" w:hAnsi="宋体" w:eastAsia="宋体" w:cs="宋体"/>
                <w:kern w:val="0"/>
                <w:sz w:val="18"/>
                <w:szCs w:val="18"/>
                <w:highlight w:val="none"/>
              </w:rPr>
              <w:t>合计</w:t>
            </w:r>
            <w:r>
              <w:rPr>
                <w:rFonts w:hint="eastAsia" w:ascii="宋体" w:hAnsi="宋体" w:eastAsia="宋体" w:cs="宋体"/>
                <w:kern w:val="0"/>
                <w:sz w:val="18"/>
                <w:szCs w:val="18"/>
                <w:highlight w:val="none"/>
                <w:lang w:val="en-US"/>
              </w:rPr>
              <w:t>(</w:t>
            </w:r>
            <w:r>
              <w:rPr>
                <w:rFonts w:hint="eastAsia" w:ascii="宋体" w:hAnsi="宋体" w:eastAsia="宋体" w:cs="宋体"/>
                <w:kern w:val="0"/>
                <w:sz w:val="18"/>
                <w:szCs w:val="18"/>
                <w:highlight w:val="none"/>
              </w:rPr>
              <w:t>小写</w:t>
            </w:r>
            <w:r>
              <w:rPr>
                <w:rFonts w:hint="eastAsia" w:ascii="宋体" w:hAnsi="宋体" w:eastAsia="宋体" w:cs="宋体"/>
                <w:kern w:val="0"/>
                <w:sz w:val="18"/>
                <w:szCs w:val="18"/>
                <w:highlight w:val="none"/>
                <w:lang w:val="en-US"/>
              </w:rPr>
              <w:t>)</w:t>
            </w:r>
          </w:p>
        </w:tc>
        <w:tc>
          <w:tcPr>
            <w:tcW w:w="581" w:type="dxa"/>
            <w:tcBorders>
              <w:top w:val="single" w:color="000000" w:sz="4" w:space="0"/>
              <w:left w:val="single" w:color="auto"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right="0"/>
              <w:jc w:val="center"/>
              <w:rPr>
                <w:rFonts w:hint="eastAsia" w:ascii="宋体" w:hAnsi="宋体" w:eastAsia="宋体" w:cs="宋体"/>
                <w:kern w:val="0"/>
                <w:sz w:val="18"/>
                <w:szCs w:val="18"/>
                <w:highlight w:val="none"/>
                <w:lang w:val="en-US"/>
              </w:rPr>
            </w:pPr>
            <w:r>
              <w:rPr>
                <w:rFonts w:hint="eastAsia" w:ascii="宋体" w:hAnsi="宋体" w:eastAsia="宋体" w:cs="宋体"/>
                <w:kern w:val="0"/>
                <w:sz w:val="18"/>
                <w:szCs w:val="18"/>
                <w:highlight w:val="none"/>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restart"/>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right="0"/>
              <w:jc w:val="both"/>
              <w:rPr>
                <w:rFonts w:hint="eastAsia" w:ascii="宋体" w:hAnsi="宋体" w:eastAsia="宋体" w:cs="宋体"/>
                <w:kern w:val="0"/>
                <w:sz w:val="18"/>
                <w:szCs w:val="18"/>
                <w:highlight w:val="none"/>
                <w:lang w:val="en-US"/>
              </w:rPr>
            </w:pPr>
            <w:r>
              <w:rPr>
                <w:rFonts w:hint="eastAsia" w:ascii="宋体" w:hAnsi="宋体" w:eastAsia="宋体" w:cs="宋体"/>
                <w:kern w:val="0"/>
                <w:sz w:val="18"/>
                <w:szCs w:val="18"/>
                <w:highlight w:val="none"/>
              </w:rPr>
              <w:t>包</w:t>
            </w:r>
            <w:r>
              <w:rPr>
                <w:rFonts w:hint="eastAsia" w:ascii="宋体" w:hAnsi="宋体" w:eastAsia="宋体" w:cs="宋体"/>
                <w:kern w:val="0"/>
                <w:sz w:val="18"/>
                <w:szCs w:val="18"/>
                <w:highlight w:val="none"/>
                <w:lang w:val="en-US"/>
              </w:rPr>
              <w:t>1</w:t>
            </w: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攀西</w:t>
            </w:r>
            <w:r>
              <w:rPr>
                <w:rFonts w:hint="eastAsia" w:ascii="宋体" w:hAnsi="宋体" w:eastAsia="宋体" w:cs="宋体"/>
                <w:kern w:val="0"/>
                <w:sz w:val="18"/>
                <w:szCs w:val="18"/>
                <w:highlight w:val="none"/>
                <w:lang w:eastAsia="zh-CN"/>
              </w:rPr>
              <w:t>特高压</w:t>
            </w:r>
            <w:r>
              <w:rPr>
                <w:rFonts w:hint="eastAsia" w:ascii="宋体" w:hAnsi="宋体" w:eastAsia="宋体" w:cs="宋体"/>
                <w:kern w:val="0"/>
                <w:sz w:val="18"/>
                <w:szCs w:val="18"/>
                <w:highlight w:val="none"/>
              </w:rPr>
              <w:t>工程通信设备安装及调试监理</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restart"/>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浙江环网</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陕西</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河南</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r>
              <w:rPr>
                <w:rFonts w:hint="eastAsia" w:ascii="宋体" w:hAnsi="宋体" w:eastAsia="宋体" w:cs="宋体"/>
                <w:kern w:val="0"/>
                <w:sz w:val="18"/>
                <w:szCs w:val="18"/>
                <w:highlight w:val="none"/>
                <w:lang w:eastAsia="zh-CN"/>
              </w:rPr>
              <w:t>（陕西、山西地区）</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陕西</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河南</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r>
              <w:rPr>
                <w:rFonts w:hint="eastAsia" w:ascii="宋体" w:hAnsi="宋体" w:eastAsia="宋体" w:cs="宋体"/>
                <w:kern w:val="0"/>
                <w:sz w:val="18"/>
                <w:szCs w:val="18"/>
                <w:highlight w:val="none"/>
                <w:lang w:eastAsia="zh-CN"/>
              </w:rPr>
              <w:t>（河南地区）</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烟威（登州站</w:t>
            </w:r>
            <w:r>
              <w:rPr>
                <w:rFonts w:hint="eastAsia" w:ascii="宋体" w:hAnsi="宋体" w:eastAsia="宋体" w:cs="宋体"/>
                <w:kern w:val="0"/>
                <w:sz w:val="18"/>
                <w:szCs w:val="18"/>
                <w:highlight w:val="none"/>
                <w:lang w:eastAsia="zh-CN"/>
              </w:rPr>
              <w:t>升压</w:t>
            </w:r>
            <w:r>
              <w:rPr>
                <w:rFonts w:hint="eastAsia" w:ascii="宋体" w:hAnsi="宋体" w:eastAsia="宋体" w:cs="宋体"/>
                <w:kern w:val="0"/>
                <w:sz w:val="18"/>
                <w:szCs w:val="18"/>
                <w:highlight w:val="none"/>
              </w:rPr>
              <w:t>）</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招远核电送出</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达拉特</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蒙西</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鲁苏背靠背</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浙江环网GIL管廊</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exact"/>
              <w:ind w:left="0" w:right="0" w:firstLine="0"/>
              <w:jc w:val="left"/>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甘浙芜湖GIL管廊</w:t>
            </w:r>
            <w:r>
              <w:rPr>
                <w:rFonts w:hint="eastAsia" w:ascii="宋体" w:hAnsi="宋体" w:eastAsia="宋体" w:cs="宋体"/>
                <w:kern w:val="0"/>
                <w:sz w:val="18"/>
                <w:szCs w:val="18"/>
                <w:highlight w:val="none"/>
                <w:lang w:eastAsia="zh-CN"/>
              </w:rPr>
              <w:t>工程</w:t>
            </w:r>
            <w:r>
              <w:rPr>
                <w:rFonts w:hint="eastAsia" w:ascii="宋体" w:hAnsi="宋体" w:eastAsia="宋体" w:cs="宋体"/>
                <w:kern w:val="0"/>
                <w:sz w:val="18"/>
                <w:szCs w:val="18"/>
                <w:highlight w:val="none"/>
              </w:rPr>
              <w:t>通信设备安装及调试监理</w:t>
            </w:r>
          </w:p>
        </w:tc>
        <w:tc>
          <w:tcPr>
            <w:tcW w:w="142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default" w:ascii="Times New Roman" w:hAnsi="Times New Roman" w:cs="Times New Roman"/>
                <w:sz w:val="20"/>
                <w:szCs w:val="20"/>
                <w:highlight w:val="none"/>
              </w:rPr>
            </w:pPr>
          </w:p>
        </w:tc>
        <w:tc>
          <w:tcPr>
            <w:tcW w:w="581"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690"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4128" w:type="dxa"/>
            <w:tcBorders>
              <w:top w:val="single" w:color="000000" w:sz="4" w:space="0"/>
              <w:left w:val="single" w:color="000000" w:sz="4" w:space="0"/>
              <w:bottom w:val="single" w:color="000000"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1"/>
              <w:jc w:val="center"/>
              <w:rPr>
                <w:rFonts w:hint="eastAsia" w:ascii="仿宋_GB2312" w:hAnsi="宋体" w:eastAsia="仿宋_GB2312" w:cs="仿宋_GB2312"/>
                <w:b/>
                <w:sz w:val="20"/>
                <w:szCs w:val="21"/>
                <w:highlight w:val="none"/>
                <w:lang w:val="en-US"/>
              </w:rPr>
            </w:pPr>
            <w:r>
              <w:rPr>
                <w:rFonts w:hint="eastAsia" w:ascii="宋体" w:hAnsi="宋体" w:eastAsia="宋体" w:cs="宋体"/>
                <w:b/>
                <w:bCs w:val="0"/>
                <w:kern w:val="0"/>
                <w:sz w:val="18"/>
                <w:szCs w:val="18"/>
                <w:highlight w:val="none"/>
              </w:rPr>
              <w:t>合计</w:t>
            </w:r>
          </w:p>
        </w:tc>
        <w:tc>
          <w:tcPr>
            <w:tcW w:w="1421" w:type="dxa"/>
            <w:tcBorders>
              <w:top w:val="single" w:color="000000" w:sz="4" w:space="0"/>
              <w:left w:val="single" w:color="000000" w:sz="4" w:space="0"/>
              <w:bottom w:val="single" w:color="auto"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1228" w:type="dxa"/>
            <w:tcBorders>
              <w:top w:val="single" w:color="000000" w:sz="4" w:space="0"/>
              <w:left w:val="single" w:color="000000" w:sz="4" w:space="0"/>
              <w:bottom w:val="single" w:color="auto"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c>
          <w:tcPr>
            <w:tcW w:w="581" w:type="dxa"/>
            <w:tcBorders>
              <w:top w:val="single" w:color="000000" w:sz="4" w:space="0"/>
              <w:left w:val="single" w:color="000000" w:sz="4" w:space="0"/>
              <w:bottom w:val="single" w:color="auto" w:sz="4" w:space="0"/>
              <w:right w:val="single" w:color="000000" w:sz="4" w:space="0"/>
            </w:tcBorders>
            <w:noWrap w:val="0"/>
            <w:vAlign w:val="center"/>
          </w:tcPr>
          <w:p>
            <w:pPr>
              <w:pStyle w:val="16"/>
              <w:keepNext w:val="0"/>
              <w:keepLines w:val="0"/>
              <w:widowControl/>
              <w:suppressLineNumbers w:val="0"/>
              <w:spacing w:before="100" w:beforeAutospacing="1" w:after="100" w:afterAutospacing="1" w:line="240" w:lineRule="exact"/>
              <w:ind w:left="0" w:right="0" w:firstLine="360"/>
              <w:jc w:val="center"/>
              <w:rPr>
                <w:rFonts w:hint="eastAsia" w:ascii="宋体" w:hAnsi="宋体" w:eastAsia="宋体" w:cs="宋体"/>
                <w:kern w:val="0"/>
                <w:sz w:val="18"/>
                <w:szCs w:val="18"/>
                <w:highlight w:val="none"/>
                <w:lang w:val="en-US"/>
              </w:rPr>
            </w:pPr>
          </w:p>
        </w:tc>
      </w:tr>
    </w:tbl>
    <w:p>
      <w:pPr>
        <w:pStyle w:val="5"/>
        <w:rPr>
          <w:rFonts w:hint="eastAsia"/>
          <w:highlight w:val="none"/>
          <w:lang w:val="en-US" w:eastAsia="zh-CN"/>
        </w:rPr>
      </w:pPr>
    </w:p>
    <w:p>
      <w:pPr>
        <w:spacing w:line="360" w:lineRule="exact"/>
        <w:jc w:val="left"/>
        <w:rPr>
          <w:rFonts w:hint="eastAsia" w:ascii="Times New Roman" w:hAnsi="Times New Roman" w:eastAsia="黑体" w:cs="Times New Roman"/>
          <w:b/>
          <w:bCs/>
          <w:color w:val="000000"/>
          <w:kern w:val="2"/>
          <w:sz w:val="28"/>
          <w:szCs w:val="32"/>
          <w:highlight w:val="none"/>
          <w:lang w:val="en-US" w:eastAsia="zh-CN" w:bidi="ar-SA"/>
        </w:rPr>
      </w:pPr>
      <w:r>
        <w:rPr>
          <w:rFonts w:hint="eastAsia" w:ascii="Times New Roman" w:hAnsi="Times New Roman" w:eastAsia="黑体" w:cs="Times New Roman"/>
          <w:b/>
          <w:bCs/>
          <w:color w:val="000000"/>
          <w:kern w:val="2"/>
          <w:sz w:val="28"/>
          <w:szCs w:val="32"/>
          <w:highlight w:val="none"/>
          <w:lang w:val="en-US" w:eastAsia="zh-CN" w:bidi="ar-SA"/>
        </w:rPr>
        <w:t>结算审核</w:t>
      </w:r>
    </w:p>
    <w:p>
      <w:pPr>
        <w:widowControl/>
        <w:jc w:val="center"/>
        <w:rPr>
          <w:rFonts w:hint="default" w:ascii="Times New Roman" w:hAnsi="Times New Roman" w:eastAsia="宋体" w:cs="Times New Roman"/>
          <w:b/>
          <w:bCs/>
          <w:sz w:val="28"/>
          <w:szCs w:val="28"/>
          <w:highlight w:val="none"/>
        </w:rPr>
      </w:pPr>
      <w:r>
        <w:rPr>
          <w:rFonts w:hint="default" w:ascii="Times New Roman" w:hAnsi="Times New Roman" w:cs="Times New Roman"/>
          <w:b/>
          <w:bCs/>
          <w:sz w:val="28"/>
          <w:szCs w:val="28"/>
          <w:highlight w:val="none"/>
        </w:rPr>
        <w:t>结算审核报价明细表</w:t>
      </w:r>
      <w:r>
        <w:rPr>
          <w:rFonts w:hint="eastAsia" w:ascii="Times New Roman" w:hAnsi="Times New Roman" w:eastAsia="宋体" w:cs="Times New Roman"/>
          <w:b/>
          <w:bCs/>
          <w:sz w:val="28"/>
          <w:szCs w:val="28"/>
          <w:highlight w:val="none"/>
          <w:lang w:eastAsia="zh-CN"/>
        </w:rPr>
        <w:t>（</w:t>
      </w:r>
      <w:r>
        <w:rPr>
          <w:rFonts w:hint="default" w:ascii="Times New Roman" w:hAnsi="Times New Roman" w:eastAsia="宋体" w:cs="Times New Roman"/>
          <w:b/>
          <w:bCs/>
          <w:sz w:val="28"/>
          <w:szCs w:val="28"/>
          <w:highlight w:val="none"/>
        </w:rPr>
        <w:t>适用于包</w:t>
      </w:r>
      <w:r>
        <w:rPr>
          <w:rFonts w:hint="eastAsia" w:ascii="宋体" w:hAnsi="宋体" w:eastAsia="宋体" w:cs="宋体"/>
          <w:b/>
          <w:bCs/>
          <w:sz w:val="28"/>
          <w:szCs w:val="28"/>
          <w:highlight w:val="none"/>
          <w:lang w:val="en-US" w:eastAsia="zh-CN"/>
        </w:rPr>
        <w:t>1-4/6-10</w:t>
      </w:r>
      <w:r>
        <w:rPr>
          <w:rFonts w:hint="eastAsia" w:ascii="Times New Roman" w:hAnsi="Times New Roman" w:eastAsia="宋体" w:cs="Times New Roman"/>
          <w:b/>
          <w:bCs/>
          <w:sz w:val="28"/>
          <w:szCs w:val="28"/>
          <w:highlight w:val="none"/>
          <w:lang w:eastAsia="zh-CN"/>
        </w:rPr>
        <w:t>）</w:t>
      </w:r>
    </w:p>
    <w:tbl>
      <w:tblPr>
        <w:tblStyle w:val="19"/>
        <w:tblW w:w="4999" w:type="pct"/>
        <w:jc w:val="center"/>
        <w:tblLayout w:type="autofit"/>
        <w:tblCellMar>
          <w:top w:w="5" w:type="dxa"/>
          <w:left w:w="0" w:type="dxa"/>
          <w:bottom w:w="0" w:type="dxa"/>
          <w:right w:w="18" w:type="dxa"/>
        </w:tblCellMar>
      </w:tblPr>
      <w:tblGrid>
        <w:gridCol w:w="784"/>
        <w:gridCol w:w="765"/>
        <w:gridCol w:w="2530"/>
        <w:gridCol w:w="2072"/>
        <w:gridCol w:w="2174"/>
      </w:tblGrid>
      <w:tr>
        <w:tblPrEx>
          <w:tblCellMar>
            <w:top w:w="5" w:type="dxa"/>
            <w:left w:w="0" w:type="dxa"/>
            <w:bottom w:w="0" w:type="dxa"/>
            <w:right w:w="18" w:type="dxa"/>
          </w:tblCellMar>
        </w:tblPrEx>
        <w:trPr>
          <w:trHeight w:val="703" w:hRule="atLeast"/>
          <w:jc w:val="center"/>
        </w:trPr>
        <w:tc>
          <w:tcPr>
            <w:tcW w:w="471"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包名称</w:t>
            </w:r>
          </w:p>
        </w:tc>
        <w:tc>
          <w:tcPr>
            <w:tcW w:w="459"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1519"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基本审核费</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c>
          <w:tcPr>
            <w:tcW w:w="1244"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汇总费（如有）</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c>
          <w:tcPr>
            <w:tcW w:w="1304"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效益收费</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r>
      <w:tr>
        <w:tblPrEx>
          <w:tblCellMar>
            <w:top w:w="5" w:type="dxa"/>
            <w:left w:w="0" w:type="dxa"/>
            <w:bottom w:w="0" w:type="dxa"/>
            <w:right w:w="18" w:type="dxa"/>
          </w:tblCellMar>
        </w:tblPrEx>
        <w:trPr>
          <w:trHeight w:val="476" w:hRule="atLeast"/>
          <w:jc w:val="center"/>
        </w:trPr>
        <w:tc>
          <w:tcPr>
            <w:tcW w:w="471" w:type="pct"/>
            <w:vMerge w:val="restart"/>
            <w:tcBorders>
              <w:top w:val="single" w:color="000000" w:sz="2" w:space="0"/>
              <w:left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p>
        </w:tc>
        <w:tc>
          <w:tcPr>
            <w:tcW w:w="459" w:type="pct"/>
            <w:vMerge w:val="restart"/>
            <w:tcBorders>
              <w:top w:val="single" w:color="000000" w:sz="2" w:space="0"/>
              <w:left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1519"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p>
        </w:tc>
        <w:tc>
          <w:tcPr>
            <w:tcW w:w="1244"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p>
        </w:tc>
        <w:tc>
          <w:tcPr>
            <w:tcW w:w="1304"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p>
        </w:tc>
      </w:tr>
      <w:tr>
        <w:tblPrEx>
          <w:tblCellMar>
            <w:top w:w="5" w:type="dxa"/>
            <w:left w:w="0" w:type="dxa"/>
            <w:bottom w:w="0" w:type="dxa"/>
            <w:right w:w="18" w:type="dxa"/>
          </w:tblCellMar>
        </w:tblPrEx>
        <w:trPr>
          <w:trHeight w:val="868" w:hRule="atLeast"/>
          <w:jc w:val="center"/>
        </w:trPr>
        <w:tc>
          <w:tcPr>
            <w:tcW w:w="471" w:type="pct"/>
            <w:vMerge w:val="continue"/>
            <w:tcBorders>
              <w:left w:val="single" w:color="000000" w:sz="2" w:space="0"/>
              <w:bottom w:val="single" w:color="000000" w:sz="2" w:space="0"/>
              <w:right w:val="single" w:color="000000" w:sz="2" w:space="0"/>
            </w:tcBorders>
            <w:noWrap w:val="0"/>
            <w:vAlign w:val="top"/>
          </w:tcPr>
          <w:p>
            <w:pPr>
              <w:adjustRightInd w:val="0"/>
              <w:snapToGrid w:val="0"/>
              <w:jc w:val="center"/>
              <w:rPr>
                <w:rFonts w:hint="eastAsia" w:ascii="宋体" w:hAnsi="宋体" w:eastAsia="宋体" w:cs="宋体"/>
                <w:sz w:val="21"/>
                <w:szCs w:val="21"/>
                <w:highlight w:val="none"/>
              </w:rPr>
            </w:pPr>
          </w:p>
        </w:tc>
        <w:tc>
          <w:tcPr>
            <w:tcW w:w="459" w:type="pct"/>
            <w:vMerge w:val="continue"/>
            <w:tcBorders>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p>
        </w:tc>
        <w:tc>
          <w:tcPr>
            <w:tcW w:w="4068" w:type="pct"/>
            <w:gridSpan w:val="3"/>
            <w:tcBorders>
              <w:top w:val="single" w:color="000000" w:sz="2" w:space="0"/>
              <w:left w:val="single" w:color="auto" w:sz="4" w:space="0"/>
              <w:bottom w:val="single" w:color="000000" w:sz="2" w:space="0"/>
              <w:right w:val="single" w:color="000000" w:sz="2" w:space="0"/>
            </w:tcBorders>
            <w:noWrap w:val="0"/>
            <w:vAlign w:val="center"/>
          </w:tcPr>
          <w:p>
            <w:pPr>
              <w:adjustRightInd w:val="0"/>
              <w:snapToGrid w:val="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投标报价总额：            万元；</w:t>
            </w:r>
          </w:p>
          <w:p>
            <w:pPr>
              <w:adjustRightInd w:val="0"/>
              <w:snapToGrid w:val="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效益收费费率：            %。</w:t>
            </w:r>
          </w:p>
        </w:tc>
      </w:tr>
    </w:tbl>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注：</w:t>
      </w:r>
    </w:p>
    <w:p>
      <w:pPr>
        <w:adjustRightInd w:val="0"/>
        <w:snapToGrid w:val="0"/>
        <w:rPr>
          <w:rFonts w:hint="default" w:ascii="宋体" w:hAnsi="宋体" w:eastAsia="宋体" w:cs="宋体"/>
          <w:sz w:val="21"/>
          <w:szCs w:val="21"/>
          <w:highlight w:val="none"/>
          <w:lang w:val="en-US" w:eastAsia="zh-CN" w:bidi="ar"/>
        </w:rPr>
      </w:pPr>
      <w:r>
        <w:rPr>
          <w:rFonts w:hint="eastAsia" w:ascii="宋体" w:hAnsi="宋体" w:eastAsia="宋体" w:cs="宋体"/>
          <w:sz w:val="21"/>
          <w:szCs w:val="21"/>
          <w:highlight w:val="none"/>
          <w:lang w:bidi="ar"/>
        </w:rPr>
        <w:t>1、投标报价总额=各单项工程基本审核费之和+汇总费（如有）+效益收费。</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2、汇总要求详见技术规范书，有汇总要求的标包，汇总费按不超过</w:t>
      </w:r>
      <w:r>
        <w:rPr>
          <w:rFonts w:hint="eastAsia" w:ascii="宋体" w:hAnsi="宋体" w:eastAsia="宋体" w:cs="宋体"/>
          <w:sz w:val="21"/>
          <w:szCs w:val="21"/>
          <w:highlight w:val="none"/>
          <w:lang w:val="en-US" w:eastAsia="zh-CN" w:bidi="ar"/>
        </w:rPr>
        <w:t>20</w:t>
      </w:r>
      <w:r>
        <w:rPr>
          <w:rFonts w:hint="eastAsia" w:ascii="宋体" w:hAnsi="宋体" w:eastAsia="宋体" w:cs="宋体"/>
          <w:sz w:val="21"/>
          <w:szCs w:val="21"/>
          <w:highlight w:val="none"/>
          <w:lang w:bidi="ar"/>
        </w:rPr>
        <w:t>万元填报；如本标包无汇总要求，汇总费按0万元填报。</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3、最高限价和投标报价均包含效益收费，</w:t>
      </w:r>
      <w:r>
        <w:rPr>
          <w:rFonts w:hint="eastAsia" w:ascii="宋体" w:hAnsi="宋体" w:eastAsia="宋体" w:cs="宋体"/>
          <w:sz w:val="21"/>
          <w:szCs w:val="21"/>
          <w:highlight w:val="none"/>
          <w:lang w:eastAsia="zh-CN" w:bidi="ar"/>
        </w:rPr>
        <w:t>《结算审核报价明细表》</w:t>
      </w:r>
      <w:r>
        <w:rPr>
          <w:rFonts w:hint="eastAsia" w:ascii="宋体" w:hAnsi="宋体" w:eastAsia="宋体" w:cs="宋体"/>
          <w:sz w:val="21"/>
          <w:szCs w:val="21"/>
          <w:highlight w:val="none"/>
          <w:lang w:bidi="ar"/>
        </w:rPr>
        <w:t>中效益收费固定</w:t>
      </w:r>
      <w:r>
        <w:rPr>
          <w:rFonts w:hint="eastAsia" w:ascii="宋体" w:hAnsi="宋体" w:eastAsia="宋体" w:cs="宋体"/>
          <w:sz w:val="21"/>
          <w:szCs w:val="21"/>
          <w:highlight w:val="none"/>
          <w:lang w:val="en-US" w:eastAsia="zh-CN" w:bidi="ar"/>
        </w:rPr>
        <w:t>并按以下金额填报</w:t>
      </w:r>
      <w:r>
        <w:rPr>
          <w:rFonts w:hint="eastAsia" w:ascii="宋体" w:hAnsi="宋体" w:eastAsia="宋体" w:cs="宋体"/>
          <w:sz w:val="21"/>
          <w:szCs w:val="21"/>
          <w:highlight w:val="none"/>
          <w:lang w:eastAsia="zh-CN" w:bidi="ar"/>
        </w:rPr>
        <w:t>：</w:t>
      </w:r>
      <w:r>
        <w:rPr>
          <w:rFonts w:hint="eastAsia" w:ascii="宋体" w:hAnsi="宋体" w:eastAsia="宋体" w:cs="宋体"/>
          <w:sz w:val="21"/>
          <w:szCs w:val="21"/>
          <w:highlight w:val="none"/>
          <w:lang w:val="en-US" w:eastAsia="zh-CN" w:bidi="ar"/>
        </w:rPr>
        <w:t>包1、8为50万元；包2-5、9为45万元；包6-7、10为35万元；包11为40万元</w:t>
      </w:r>
      <w:r>
        <w:rPr>
          <w:rFonts w:hint="eastAsia" w:ascii="宋体" w:hAnsi="宋体" w:eastAsia="宋体" w:cs="宋体"/>
          <w:b/>
          <w:bCs/>
          <w:sz w:val="21"/>
          <w:szCs w:val="21"/>
          <w:highlight w:val="none"/>
          <w:lang w:val="en-US" w:eastAsia="zh-CN" w:bidi="ar"/>
        </w:rPr>
        <w:t>（其中，</w:t>
      </w:r>
      <w:r>
        <w:rPr>
          <w:rFonts w:hint="eastAsia" w:ascii="宋体" w:hAnsi="宋体" w:eastAsia="宋体" w:cs="宋体"/>
          <w:b/>
          <w:bCs/>
          <w:sz w:val="21"/>
          <w:szCs w:val="21"/>
          <w:highlight w:val="none"/>
          <w:lang w:val="en-US" w:eastAsia="zh-CN"/>
        </w:rPr>
        <w:t>达拉特~蒙西为26万元，招远核电送出为12万元，烟威（登州升压）为2万元</w:t>
      </w:r>
      <w:r>
        <w:rPr>
          <w:rFonts w:hint="eastAsia" w:ascii="宋体" w:hAnsi="宋体" w:eastAsia="宋体" w:cs="宋体"/>
          <w:b/>
          <w:bCs/>
          <w:sz w:val="21"/>
          <w:szCs w:val="21"/>
          <w:highlight w:val="none"/>
          <w:lang w:val="en-US" w:eastAsia="zh-CN" w:bidi="ar"/>
        </w:rPr>
        <w:t>）</w:t>
      </w:r>
      <w:r>
        <w:rPr>
          <w:rFonts w:hint="eastAsia" w:ascii="宋体" w:hAnsi="宋体" w:eastAsia="宋体" w:cs="宋体"/>
          <w:sz w:val="21"/>
          <w:szCs w:val="21"/>
          <w:highlight w:val="none"/>
          <w:lang w:bidi="ar"/>
        </w:rPr>
        <w:t>。实际效益收费在合同结算时据实调整。实际效益收费=效益收费计算基数×效益收费费率（%）</w:t>
      </w:r>
      <w:r>
        <w:rPr>
          <w:rFonts w:hint="eastAsia" w:ascii="宋体" w:hAnsi="宋体" w:eastAsia="宋体" w:cs="宋体"/>
          <w:sz w:val="21"/>
          <w:szCs w:val="21"/>
          <w:highlight w:val="none"/>
          <w:lang w:eastAsia="zh-CN" w:bidi="ar"/>
        </w:rPr>
        <w:t>，</w:t>
      </w:r>
      <w:r>
        <w:rPr>
          <w:rFonts w:hint="eastAsia" w:ascii="宋体" w:hAnsi="宋体" w:eastAsia="宋体" w:cs="宋体"/>
          <w:sz w:val="21"/>
          <w:szCs w:val="21"/>
          <w:highlight w:val="none"/>
          <w:lang w:val="en-US" w:eastAsia="zh-CN" w:bidi="ar"/>
        </w:rPr>
        <w:t>上限为</w:t>
      </w:r>
      <w:r>
        <w:rPr>
          <w:rFonts w:hint="eastAsia" w:ascii="宋体" w:hAnsi="宋体" w:eastAsia="宋体" w:cs="宋体"/>
          <w:sz w:val="21"/>
          <w:szCs w:val="21"/>
          <w:highlight w:val="none"/>
          <w:lang w:bidi="ar"/>
        </w:rPr>
        <w:t>投标报价</w:t>
      </w:r>
      <w:r>
        <w:rPr>
          <w:rFonts w:hint="eastAsia" w:ascii="宋体" w:hAnsi="宋体" w:eastAsia="宋体" w:cs="宋体"/>
          <w:sz w:val="21"/>
          <w:szCs w:val="21"/>
          <w:highlight w:val="none"/>
          <w:lang w:val="en-US" w:eastAsia="zh-CN" w:bidi="ar"/>
        </w:rPr>
        <w:t>填报金额</w:t>
      </w:r>
      <w:r>
        <w:rPr>
          <w:rFonts w:hint="eastAsia" w:ascii="宋体" w:hAnsi="宋体" w:eastAsia="宋体" w:cs="宋体"/>
          <w:sz w:val="21"/>
          <w:szCs w:val="21"/>
          <w:highlight w:val="none"/>
          <w:lang w:bidi="ar"/>
        </w:rPr>
        <w:t>。</w:t>
      </w:r>
      <w:r>
        <w:rPr>
          <w:rFonts w:hint="eastAsia" w:ascii="宋体" w:hAnsi="宋体" w:cs="宋体"/>
          <w:sz w:val="20"/>
          <w:szCs w:val="20"/>
          <w:highlight w:val="none"/>
        </w:rPr>
        <w:t>效益收费的计算基数为工程建筑安装工程费、建设场地征用及清理费和物资费的审减额，包括上述费用在工程竣工结算批复中的预留项目审减额，不含预留项目实施完成后的结算审减额</w:t>
      </w:r>
      <w:r>
        <w:rPr>
          <w:rFonts w:hint="eastAsia" w:ascii="宋体" w:hAnsi="宋体" w:eastAsia="宋体" w:cs="宋体"/>
          <w:sz w:val="21"/>
          <w:szCs w:val="21"/>
          <w:highlight w:val="none"/>
          <w:lang w:bidi="ar"/>
        </w:rPr>
        <w:t>。</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4、投标人须在“效益收费费率（%）”栏中自行填报效益收费费率，效益收费费率上限为 3% ，否则作为否决投标处理。</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5、各包最高限价见招标文件第一章招标公告附件1需求一览表。</w:t>
      </w:r>
    </w:p>
    <w:p>
      <w:pPr>
        <w:pStyle w:val="6"/>
        <w:rPr>
          <w:rFonts w:hint="eastAsia"/>
          <w:highlight w:val="none"/>
        </w:rPr>
      </w:pPr>
    </w:p>
    <w:p>
      <w:pPr>
        <w:widowControl/>
        <w:jc w:val="center"/>
        <w:rPr>
          <w:rFonts w:hint="default" w:ascii="Times New Roman" w:hAnsi="Times New Roman" w:cs="Times New Roman"/>
          <w:szCs w:val="21"/>
          <w:highlight w:val="none"/>
        </w:rPr>
      </w:pPr>
      <w:r>
        <w:rPr>
          <w:rFonts w:hint="default" w:ascii="Times New Roman" w:hAnsi="Times New Roman" w:cs="Times New Roman"/>
          <w:b/>
          <w:bCs/>
          <w:sz w:val="28"/>
          <w:szCs w:val="28"/>
          <w:highlight w:val="none"/>
        </w:rPr>
        <w:t>结算审核报价明细表</w:t>
      </w:r>
      <w:r>
        <w:rPr>
          <w:rFonts w:hint="eastAsia" w:ascii="Times New Roman" w:hAnsi="Times New Roman" w:cs="Times New Roman"/>
          <w:b/>
          <w:bCs/>
          <w:sz w:val="28"/>
          <w:szCs w:val="28"/>
          <w:highlight w:val="none"/>
          <w:lang w:eastAsia="zh-CN"/>
        </w:rPr>
        <w:t>（</w:t>
      </w:r>
      <w:r>
        <w:rPr>
          <w:rFonts w:hint="default" w:ascii="Times New Roman" w:hAnsi="Times New Roman" w:cs="Times New Roman"/>
          <w:b/>
          <w:bCs/>
          <w:sz w:val="28"/>
          <w:szCs w:val="28"/>
          <w:highlight w:val="none"/>
        </w:rPr>
        <w:t>适用于包</w:t>
      </w:r>
      <w:r>
        <w:rPr>
          <w:rFonts w:hint="eastAsia" w:ascii="宋体" w:hAnsi="宋体" w:eastAsia="宋体" w:cs="宋体"/>
          <w:b/>
          <w:bCs/>
          <w:sz w:val="28"/>
          <w:szCs w:val="28"/>
          <w:highlight w:val="none"/>
          <w:lang w:val="en-US" w:eastAsia="zh-CN"/>
        </w:rPr>
        <w:t>5</w:t>
      </w:r>
      <w:r>
        <w:rPr>
          <w:rFonts w:hint="eastAsia" w:ascii="Times New Roman" w:hAnsi="Times New Roman" w:cs="Times New Roman"/>
          <w:b/>
          <w:bCs/>
          <w:sz w:val="28"/>
          <w:szCs w:val="28"/>
          <w:highlight w:val="none"/>
          <w:lang w:eastAsia="zh-CN"/>
        </w:rPr>
        <w:t>）</w:t>
      </w:r>
    </w:p>
    <w:tbl>
      <w:tblPr>
        <w:tblStyle w:val="19"/>
        <w:tblW w:w="5001" w:type="pct"/>
        <w:tblInd w:w="0" w:type="dxa"/>
        <w:tblLayout w:type="autofit"/>
        <w:tblCellMar>
          <w:top w:w="5" w:type="dxa"/>
          <w:left w:w="0" w:type="dxa"/>
          <w:bottom w:w="0" w:type="dxa"/>
          <w:right w:w="18" w:type="dxa"/>
        </w:tblCellMar>
      </w:tblPr>
      <w:tblGrid>
        <w:gridCol w:w="617"/>
        <w:gridCol w:w="610"/>
        <w:gridCol w:w="2026"/>
        <w:gridCol w:w="1658"/>
        <w:gridCol w:w="1658"/>
        <w:gridCol w:w="1760"/>
      </w:tblGrid>
      <w:tr>
        <w:tblPrEx>
          <w:tblCellMar>
            <w:top w:w="5" w:type="dxa"/>
            <w:left w:w="0" w:type="dxa"/>
            <w:bottom w:w="0" w:type="dxa"/>
            <w:right w:w="18" w:type="dxa"/>
          </w:tblCellMar>
        </w:tblPrEx>
        <w:trPr>
          <w:trHeight w:val="703" w:hRule="atLeast"/>
        </w:trPr>
        <w:tc>
          <w:tcPr>
            <w:tcW w:w="371"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包名称</w:t>
            </w:r>
          </w:p>
        </w:tc>
        <w:tc>
          <w:tcPr>
            <w:tcW w:w="366"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1216"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单项工程名称</w:t>
            </w:r>
          </w:p>
        </w:tc>
        <w:tc>
          <w:tcPr>
            <w:tcW w:w="995" w:type="pct"/>
            <w:tcBorders>
              <w:top w:val="single" w:color="000000" w:sz="2"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基本审核费</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c>
          <w:tcPr>
            <w:tcW w:w="995" w:type="pct"/>
            <w:tcBorders>
              <w:top w:val="single" w:color="000000" w:sz="2"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汇总费（如有）</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c>
          <w:tcPr>
            <w:tcW w:w="1053"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效益收费</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r>
      <w:tr>
        <w:tblPrEx>
          <w:tblCellMar>
            <w:top w:w="5" w:type="dxa"/>
            <w:left w:w="0" w:type="dxa"/>
            <w:bottom w:w="0" w:type="dxa"/>
            <w:right w:w="18" w:type="dxa"/>
          </w:tblCellMar>
        </w:tblPrEx>
        <w:trPr>
          <w:trHeight w:val="476" w:hRule="atLeast"/>
        </w:trPr>
        <w:tc>
          <w:tcPr>
            <w:tcW w:w="371" w:type="pct"/>
            <w:vMerge w:val="restart"/>
            <w:tcBorders>
              <w:top w:val="single" w:color="000000" w:sz="2" w:space="0"/>
              <w:left w:val="single" w:color="000000" w:sz="2" w:space="0"/>
              <w:right w:val="single" w:color="000000" w:sz="2" w:space="0"/>
            </w:tcBorders>
            <w:noWrap w:val="0"/>
            <w:vAlign w:val="center"/>
          </w:tcPr>
          <w:p>
            <w:pPr>
              <w:adjustRightInd w:val="0"/>
              <w:snapToGrid w:val="0"/>
              <w:jc w:val="center"/>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包5</w:t>
            </w:r>
          </w:p>
        </w:tc>
        <w:tc>
          <w:tcPr>
            <w:tcW w:w="366" w:type="pct"/>
            <w:tcBorders>
              <w:top w:val="single" w:color="000000" w:sz="2"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w:t>
            </w:r>
          </w:p>
        </w:tc>
        <w:tc>
          <w:tcPr>
            <w:tcW w:w="1216" w:type="pct"/>
            <w:tcBorders>
              <w:top w:val="single" w:color="000000" w:sz="2" w:space="0"/>
              <w:left w:val="single" w:color="000000" w:sz="2" w:space="0"/>
              <w:bottom w:val="single" w:color="000000" w:sz="2"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线路、OPGW光缆工程</w:t>
            </w:r>
          </w:p>
        </w:tc>
        <w:tc>
          <w:tcPr>
            <w:tcW w:w="995" w:type="pc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995" w:type="pct"/>
            <w:vMerge w:val="restar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1053" w:type="pct"/>
            <w:vMerge w:val="restart"/>
            <w:tcBorders>
              <w:top w:val="single" w:color="000000" w:sz="2" w:space="0"/>
              <w:left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p>
        </w:tc>
      </w:tr>
      <w:tr>
        <w:tblPrEx>
          <w:tblCellMar>
            <w:top w:w="5" w:type="dxa"/>
            <w:left w:w="0" w:type="dxa"/>
            <w:bottom w:w="0" w:type="dxa"/>
            <w:right w:w="18" w:type="dxa"/>
          </w:tblCellMar>
        </w:tblPrEx>
        <w:trPr>
          <w:trHeight w:val="476" w:hRule="atLeast"/>
        </w:trPr>
        <w:tc>
          <w:tcPr>
            <w:tcW w:w="371" w:type="pct"/>
            <w:vMerge w:val="continue"/>
            <w:tcBorders>
              <w:left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p>
        </w:tc>
        <w:tc>
          <w:tcPr>
            <w:tcW w:w="366" w:type="pct"/>
            <w:tcBorders>
              <w:top w:val="single" w:color="auto" w:sz="4"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p>
        </w:tc>
        <w:tc>
          <w:tcPr>
            <w:tcW w:w="1216" w:type="pct"/>
            <w:tcBorders>
              <w:top w:val="single" w:color="000000" w:sz="2" w:space="0"/>
              <w:left w:val="single" w:color="000000" w:sz="2" w:space="0"/>
              <w:bottom w:val="single" w:color="000000" w:sz="2"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GIL管廊（土建部分）</w:t>
            </w:r>
          </w:p>
        </w:tc>
        <w:tc>
          <w:tcPr>
            <w:tcW w:w="995" w:type="pc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995" w:type="pct"/>
            <w:vMerge w:val="continue"/>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1053" w:type="pct"/>
            <w:vMerge w:val="continue"/>
            <w:tcBorders>
              <w:left w:val="single" w:color="auto" w:sz="4"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p>
        </w:tc>
      </w:tr>
      <w:tr>
        <w:tblPrEx>
          <w:tblCellMar>
            <w:top w:w="5" w:type="dxa"/>
            <w:left w:w="0" w:type="dxa"/>
            <w:bottom w:w="0" w:type="dxa"/>
            <w:right w:w="18" w:type="dxa"/>
          </w:tblCellMar>
        </w:tblPrEx>
        <w:trPr>
          <w:trHeight w:val="868" w:hRule="atLeast"/>
        </w:trPr>
        <w:tc>
          <w:tcPr>
            <w:tcW w:w="371" w:type="pct"/>
            <w:vMerge w:val="continue"/>
            <w:tcBorders>
              <w:left w:val="single" w:color="000000" w:sz="2" w:space="0"/>
              <w:bottom w:val="single" w:color="000000" w:sz="2" w:space="0"/>
              <w:right w:val="single" w:color="000000" w:sz="2" w:space="0"/>
            </w:tcBorders>
            <w:noWrap w:val="0"/>
            <w:vAlign w:val="top"/>
          </w:tcPr>
          <w:p>
            <w:pPr>
              <w:adjustRightInd w:val="0"/>
              <w:snapToGrid w:val="0"/>
              <w:jc w:val="center"/>
              <w:rPr>
                <w:rFonts w:hint="eastAsia" w:ascii="宋体" w:hAnsi="宋体" w:eastAsia="宋体" w:cs="宋体"/>
                <w:sz w:val="21"/>
                <w:szCs w:val="21"/>
                <w:highlight w:val="none"/>
              </w:rPr>
            </w:pPr>
          </w:p>
        </w:tc>
        <w:tc>
          <w:tcPr>
            <w:tcW w:w="4628" w:type="pct"/>
            <w:gridSpan w:val="5"/>
            <w:tcBorders>
              <w:top w:val="single" w:color="auto" w:sz="4" w:space="0"/>
              <w:left w:val="single" w:color="000000" w:sz="2" w:space="0"/>
              <w:bottom w:val="single" w:color="000000" w:sz="2" w:space="0"/>
              <w:right w:val="single" w:color="000000" w:sz="2" w:space="0"/>
            </w:tcBorders>
            <w:noWrap w:val="0"/>
            <w:vAlign w:val="center"/>
          </w:tcPr>
          <w:p>
            <w:pPr>
              <w:adjustRightInd w:val="0"/>
              <w:snapToGrid w:val="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投标报价总额：            万元；</w:t>
            </w:r>
          </w:p>
          <w:p>
            <w:pPr>
              <w:adjustRightInd w:val="0"/>
              <w:snapToGrid w:val="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效益收费费率：            %。</w:t>
            </w:r>
          </w:p>
        </w:tc>
      </w:tr>
    </w:tbl>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注：</w:t>
      </w:r>
    </w:p>
    <w:p>
      <w:pPr>
        <w:adjustRightInd w:val="0"/>
        <w:snapToGrid w:val="0"/>
        <w:rPr>
          <w:rFonts w:hint="default" w:ascii="宋体" w:hAnsi="宋体" w:eastAsia="宋体" w:cs="宋体"/>
          <w:sz w:val="21"/>
          <w:szCs w:val="21"/>
          <w:highlight w:val="none"/>
          <w:lang w:val="en-US" w:eastAsia="zh-CN" w:bidi="ar"/>
        </w:rPr>
      </w:pPr>
      <w:r>
        <w:rPr>
          <w:rFonts w:hint="eastAsia" w:ascii="宋体" w:hAnsi="宋体" w:eastAsia="宋体" w:cs="宋体"/>
          <w:sz w:val="21"/>
          <w:szCs w:val="21"/>
          <w:highlight w:val="none"/>
          <w:lang w:bidi="ar"/>
        </w:rPr>
        <w:t>1、投标报价总额=各单项工程基本审核费之和+汇总费（如有）+效益收费。</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2、汇总要求详见技术规范书，有汇总要求的标包，汇总费按不超过</w:t>
      </w:r>
      <w:r>
        <w:rPr>
          <w:rFonts w:hint="eastAsia" w:ascii="宋体" w:hAnsi="宋体" w:eastAsia="宋体" w:cs="宋体"/>
          <w:sz w:val="21"/>
          <w:szCs w:val="21"/>
          <w:highlight w:val="none"/>
          <w:lang w:val="en-US" w:eastAsia="zh-CN" w:bidi="ar"/>
        </w:rPr>
        <w:t>20</w:t>
      </w:r>
      <w:r>
        <w:rPr>
          <w:rFonts w:hint="eastAsia" w:ascii="宋体" w:hAnsi="宋体" w:eastAsia="宋体" w:cs="宋体"/>
          <w:sz w:val="21"/>
          <w:szCs w:val="21"/>
          <w:highlight w:val="none"/>
          <w:lang w:bidi="ar"/>
        </w:rPr>
        <w:t>万元填报；如本标包无汇总要求，汇总费按0万元填报。</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3、最高限价和投标报价均包含效益收费，</w:t>
      </w:r>
      <w:r>
        <w:rPr>
          <w:rFonts w:hint="eastAsia" w:ascii="宋体" w:hAnsi="宋体" w:eastAsia="宋体" w:cs="宋体"/>
          <w:sz w:val="21"/>
          <w:szCs w:val="21"/>
          <w:highlight w:val="none"/>
          <w:lang w:eastAsia="zh-CN" w:bidi="ar"/>
        </w:rPr>
        <w:t>《结算审核报价明细表》</w:t>
      </w:r>
      <w:r>
        <w:rPr>
          <w:rFonts w:hint="eastAsia" w:ascii="宋体" w:hAnsi="宋体" w:eastAsia="宋体" w:cs="宋体"/>
          <w:sz w:val="21"/>
          <w:szCs w:val="21"/>
          <w:highlight w:val="none"/>
          <w:lang w:bidi="ar"/>
        </w:rPr>
        <w:t>中效益收费固定</w:t>
      </w:r>
      <w:r>
        <w:rPr>
          <w:rFonts w:hint="eastAsia" w:ascii="宋体" w:hAnsi="宋体" w:eastAsia="宋体" w:cs="宋体"/>
          <w:sz w:val="21"/>
          <w:szCs w:val="21"/>
          <w:highlight w:val="none"/>
          <w:lang w:val="en-US" w:eastAsia="zh-CN" w:bidi="ar"/>
        </w:rPr>
        <w:t>并按以下金额填报</w:t>
      </w:r>
      <w:r>
        <w:rPr>
          <w:rFonts w:hint="eastAsia" w:ascii="宋体" w:hAnsi="宋体" w:eastAsia="宋体" w:cs="宋体"/>
          <w:sz w:val="21"/>
          <w:szCs w:val="21"/>
          <w:highlight w:val="none"/>
          <w:lang w:eastAsia="zh-CN" w:bidi="ar"/>
        </w:rPr>
        <w:t>：</w:t>
      </w:r>
      <w:r>
        <w:rPr>
          <w:rFonts w:hint="eastAsia" w:ascii="宋体" w:hAnsi="宋体" w:eastAsia="宋体" w:cs="宋体"/>
          <w:sz w:val="21"/>
          <w:szCs w:val="21"/>
          <w:highlight w:val="none"/>
          <w:lang w:val="en-US" w:eastAsia="zh-CN" w:bidi="ar"/>
        </w:rPr>
        <w:t>包1、8为50万元；包2-5、9为45万元；包6-7、10为35万元；包11为40万元</w:t>
      </w:r>
      <w:r>
        <w:rPr>
          <w:rFonts w:hint="eastAsia" w:ascii="宋体" w:hAnsi="宋体" w:eastAsia="宋体" w:cs="宋体"/>
          <w:b/>
          <w:bCs/>
          <w:sz w:val="21"/>
          <w:szCs w:val="21"/>
          <w:highlight w:val="none"/>
          <w:lang w:val="en-US" w:eastAsia="zh-CN" w:bidi="ar"/>
        </w:rPr>
        <w:t>（其中，</w:t>
      </w:r>
      <w:r>
        <w:rPr>
          <w:rFonts w:hint="eastAsia" w:ascii="宋体" w:hAnsi="宋体" w:eastAsia="宋体" w:cs="宋体"/>
          <w:b/>
          <w:bCs/>
          <w:sz w:val="21"/>
          <w:szCs w:val="21"/>
          <w:highlight w:val="none"/>
          <w:lang w:val="en-US" w:eastAsia="zh-CN"/>
        </w:rPr>
        <w:t>达拉特~蒙西为26万元，招远核电送出为12万元，烟威（登州升压）为2万元</w:t>
      </w:r>
      <w:r>
        <w:rPr>
          <w:rFonts w:hint="eastAsia" w:ascii="宋体" w:hAnsi="宋体" w:eastAsia="宋体" w:cs="宋体"/>
          <w:b/>
          <w:bCs/>
          <w:sz w:val="21"/>
          <w:szCs w:val="21"/>
          <w:highlight w:val="none"/>
          <w:lang w:val="en-US" w:eastAsia="zh-CN" w:bidi="ar"/>
        </w:rPr>
        <w:t>）</w:t>
      </w:r>
      <w:r>
        <w:rPr>
          <w:rFonts w:hint="eastAsia" w:ascii="宋体" w:hAnsi="宋体" w:eastAsia="宋体" w:cs="宋体"/>
          <w:sz w:val="21"/>
          <w:szCs w:val="21"/>
          <w:highlight w:val="none"/>
          <w:lang w:bidi="ar"/>
        </w:rPr>
        <w:t>。实际效益收费在合同结算时据实调整。实际效益收费=效益收费计算基数×效益收费费率（%）</w:t>
      </w:r>
      <w:r>
        <w:rPr>
          <w:rFonts w:hint="eastAsia" w:ascii="宋体" w:hAnsi="宋体" w:eastAsia="宋体" w:cs="宋体"/>
          <w:sz w:val="21"/>
          <w:szCs w:val="21"/>
          <w:highlight w:val="none"/>
          <w:lang w:eastAsia="zh-CN" w:bidi="ar"/>
        </w:rPr>
        <w:t>，</w:t>
      </w:r>
      <w:r>
        <w:rPr>
          <w:rFonts w:hint="eastAsia" w:ascii="宋体" w:hAnsi="宋体" w:eastAsia="宋体" w:cs="宋体"/>
          <w:sz w:val="21"/>
          <w:szCs w:val="21"/>
          <w:highlight w:val="none"/>
          <w:lang w:val="en-US" w:eastAsia="zh-CN" w:bidi="ar"/>
        </w:rPr>
        <w:t>上限为</w:t>
      </w:r>
      <w:r>
        <w:rPr>
          <w:rFonts w:hint="eastAsia" w:ascii="宋体" w:hAnsi="宋体" w:eastAsia="宋体" w:cs="宋体"/>
          <w:sz w:val="21"/>
          <w:szCs w:val="21"/>
          <w:highlight w:val="none"/>
          <w:lang w:bidi="ar"/>
        </w:rPr>
        <w:t>投标报价</w:t>
      </w:r>
      <w:r>
        <w:rPr>
          <w:rFonts w:hint="eastAsia" w:ascii="宋体" w:hAnsi="宋体" w:eastAsia="宋体" w:cs="宋体"/>
          <w:sz w:val="21"/>
          <w:szCs w:val="21"/>
          <w:highlight w:val="none"/>
          <w:lang w:val="en-US" w:eastAsia="zh-CN" w:bidi="ar"/>
        </w:rPr>
        <w:t>填报金额</w:t>
      </w:r>
      <w:r>
        <w:rPr>
          <w:rFonts w:hint="eastAsia" w:ascii="宋体" w:hAnsi="宋体" w:eastAsia="宋体" w:cs="宋体"/>
          <w:sz w:val="21"/>
          <w:szCs w:val="21"/>
          <w:highlight w:val="none"/>
          <w:lang w:bidi="ar"/>
        </w:rPr>
        <w:t>。</w:t>
      </w:r>
      <w:r>
        <w:rPr>
          <w:rFonts w:hint="eastAsia" w:ascii="宋体" w:hAnsi="宋体" w:cs="宋体"/>
          <w:sz w:val="20"/>
          <w:szCs w:val="20"/>
          <w:highlight w:val="none"/>
        </w:rPr>
        <w:t>效益收费的计算基数为工程建筑安装工程费、建设场地征用及清理费和物资费的审减额，包括上述费用在工程竣工结算批复中的预留项目审减额，不含预留项目实施完成后的结算审减额</w:t>
      </w:r>
      <w:r>
        <w:rPr>
          <w:rFonts w:hint="eastAsia" w:ascii="宋体" w:hAnsi="宋体" w:eastAsia="宋体" w:cs="宋体"/>
          <w:sz w:val="21"/>
          <w:szCs w:val="21"/>
          <w:highlight w:val="none"/>
          <w:lang w:bidi="ar"/>
        </w:rPr>
        <w:t>。</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4、投标人须在“效益收费费率（%）”栏中自行填报效益收费费率，效益收费费率上限为 3% ，否则作为否决投标处理。</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5、各包最高限价见招标文件第一章招标公告附件1需求一览表。</w:t>
      </w:r>
    </w:p>
    <w:p>
      <w:pPr>
        <w:adjustRightInd w:val="0"/>
        <w:snapToGrid w:val="0"/>
        <w:rPr>
          <w:rFonts w:hint="eastAsia" w:ascii="宋体" w:hAnsi="宋体" w:eastAsia="宋体" w:cs="宋体"/>
          <w:sz w:val="21"/>
          <w:szCs w:val="21"/>
          <w:highlight w:val="none"/>
          <w:lang w:bidi="ar"/>
        </w:rPr>
      </w:pPr>
    </w:p>
    <w:p>
      <w:pPr>
        <w:pStyle w:val="5"/>
        <w:rPr>
          <w:rFonts w:hint="eastAsia"/>
          <w:highlight w:val="none"/>
        </w:rPr>
      </w:pPr>
      <w:r>
        <w:rPr>
          <w:rFonts w:hint="eastAsia"/>
          <w:highlight w:val="none"/>
        </w:rPr>
        <w:br w:type="page"/>
      </w:r>
    </w:p>
    <w:p>
      <w:pPr>
        <w:widowControl/>
        <w:jc w:val="center"/>
        <w:rPr>
          <w:rFonts w:hint="default" w:ascii="Times New Roman" w:hAnsi="Times New Roman" w:cs="Times New Roman"/>
          <w:szCs w:val="21"/>
          <w:highlight w:val="none"/>
        </w:rPr>
      </w:pPr>
      <w:r>
        <w:rPr>
          <w:rFonts w:hint="default" w:ascii="Times New Roman" w:hAnsi="Times New Roman" w:cs="Times New Roman"/>
          <w:b/>
          <w:bCs/>
          <w:sz w:val="28"/>
          <w:szCs w:val="28"/>
          <w:highlight w:val="none"/>
        </w:rPr>
        <w:t>结算审核报价明细表</w:t>
      </w:r>
      <w:r>
        <w:rPr>
          <w:rFonts w:hint="eastAsia" w:ascii="Times New Roman" w:hAnsi="Times New Roman" w:cs="Times New Roman"/>
          <w:b/>
          <w:bCs/>
          <w:sz w:val="28"/>
          <w:szCs w:val="28"/>
          <w:highlight w:val="none"/>
          <w:lang w:eastAsia="zh-CN"/>
        </w:rPr>
        <w:t>（</w:t>
      </w:r>
      <w:r>
        <w:rPr>
          <w:rFonts w:hint="default" w:ascii="Times New Roman" w:hAnsi="Times New Roman" w:cs="Times New Roman"/>
          <w:b/>
          <w:bCs/>
          <w:sz w:val="28"/>
          <w:szCs w:val="28"/>
          <w:highlight w:val="none"/>
        </w:rPr>
        <w:t>适用于包</w:t>
      </w:r>
      <w:r>
        <w:rPr>
          <w:rFonts w:hint="eastAsia" w:ascii="宋体" w:hAnsi="宋体" w:eastAsia="宋体" w:cs="宋体"/>
          <w:b/>
          <w:bCs/>
          <w:sz w:val="28"/>
          <w:szCs w:val="28"/>
          <w:highlight w:val="none"/>
          <w:lang w:val="en-US" w:eastAsia="zh-CN"/>
        </w:rPr>
        <w:t>11</w:t>
      </w:r>
      <w:r>
        <w:rPr>
          <w:rFonts w:hint="eastAsia" w:ascii="Times New Roman" w:hAnsi="Times New Roman" w:cs="Times New Roman"/>
          <w:b/>
          <w:bCs/>
          <w:sz w:val="28"/>
          <w:szCs w:val="28"/>
          <w:highlight w:val="none"/>
          <w:lang w:eastAsia="zh-CN"/>
        </w:rPr>
        <w:t>）</w:t>
      </w:r>
    </w:p>
    <w:tbl>
      <w:tblPr>
        <w:tblStyle w:val="19"/>
        <w:tblW w:w="5003" w:type="pct"/>
        <w:tblInd w:w="0" w:type="dxa"/>
        <w:tblLayout w:type="autofit"/>
        <w:tblCellMar>
          <w:top w:w="5" w:type="dxa"/>
          <w:left w:w="0" w:type="dxa"/>
          <w:bottom w:w="0" w:type="dxa"/>
          <w:right w:w="18" w:type="dxa"/>
        </w:tblCellMar>
      </w:tblPr>
      <w:tblGrid>
        <w:gridCol w:w="615"/>
        <w:gridCol w:w="610"/>
        <w:gridCol w:w="2027"/>
        <w:gridCol w:w="1658"/>
        <w:gridCol w:w="1658"/>
        <w:gridCol w:w="1764"/>
      </w:tblGrid>
      <w:tr>
        <w:tblPrEx>
          <w:tblCellMar>
            <w:top w:w="5" w:type="dxa"/>
            <w:left w:w="0" w:type="dxa"/>
            <w:bottom w:w="0" w:type="dxa"/>
            <w:right w:w="18" w:type="dxa"/>
          </w:tblCellMar>
        </w:tblPrEx>
        <w:trPr>
          <w:trHeight w:val="703" w:hRule="atLeast"/>
        </w:trPr>
        <w:tc>
          <w:tcPr>
            <w:tcW w:w="369"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包名称</w:t>
            </w:r>
          </w:p>
        </w:tc>
        <w:tc>
          <w:tcPr>
            <w:tcW w:w="366"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1216" w:type="pct"/>
            <w:tcBorders>
              <w:top w:val="single" w:color="000000" w:sz="2" w:space="0"/>
              <w:left w:val="single" w:color="000000" w:sz="2" w:space="0"/>
              <w:bottom w:val="single" w:color="000000" w:sz="2" w:space="0"/>
              <w:right w:val="single" w:color="000000" w:sz="2" w:space="0"/>
            </w:tcBorders>
            <w:noWrap w:val="0"/>
            <w:vAlign w:val="center"/>
          </w:tcPr>
          <w:p>
            <w:pPr>
              <w:adjustRightInd w:val="0"/>
              <w:snapToGrid w:val="0"/>
              <w:jc w:val="center"/>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单项工程名称</w:t>
            </w:r>
          </w:p>
        </w:tc>
        <w:tc>
          <w:tcPr>
            <w:tcW w:w="995" w:type="pct"/>
            <w:tcBorders>
              <w:top w:val="single" w:color="000000" w:sz="2"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基本审核费</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c>
          <w:tcPr>
            <w:tcW w:w="995" w:type="pct"/>
            <w:tcBorders>
              <w:top w:val="single" w:color="000000" w:sz="2"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汇总费（如有）</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c>
          <w:tcPr>
            <w:tcW w:w="1057" w:type="pct"/>
            <w:tcBorders>
              <w:top w:val="single" w:color="000000" w:sz="2"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效益收费</w:t>
            </w:r>
          </w:p>
          <w:p>
            <w:pPr>
              <w:adjustRightInd w:val="0"/>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（万元）</w:t>
            </w:r>
          </w:p>
        </w:tc>
      </w:tr>
      <w:tr>
        <w:tblPrEx>
          <w:tblCellMar>
            <w:top w:w="5" w:type="dxa"/>
            <w:left w:w="0" w:type="dxa"/>
            <w:bottom w:w="0" w:type="dxa"/>
            <w:right w:w="18" w:type="dxa"/>
          </w:tblCellMar>
        </w:tblPrEx>
        <w:trPr>
          <w:trHeight w:val="476" w:hRule="atLeast"/>
        </w:trPr>
        <w:tc>
          <w:tcPr>
            <w:tcW w:w="369" w:type="pct"/>
            <w:vMerge w:val="restart"/>
            <w:tcBorders>
              <w:top w:val="single" w:color="000000" w:sz="2" w:space="0"/>
              <w:left w:val="single" w:color="000000" w:sz="2" w:space="0"/>
              <w:right w:val="single" w:color="000000" w:sz="2" w:space="0"/>
            </w:tcBorders>
            <w:noWrap w:val="0"/>
            <w:vAlign w:val="center"/>
          </w:tcPr>
          <w:p>
            <w:pPr>
              <w:adjustRightInd w:val="0"/>
              <w:snapToGrid w:val="0"/>
              <w:jc w:val="center"/>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包11</w:t>
            </w:r>
          </w:p>
        </w:tc>
        <w:tc>
          <w:tcPr>
            <w:tcW w:w="366" w:type="pct"/>
            <w:tcBorders>
              <w:top w:val="single" w:color="000000" w:sz="2"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w:t>
            </w:r>
          </w:p>
        </w:tc>
        <w:tc>
          <w:tcPr>
            <w:tcW w:w="1216" w:type="pct"/>
            <w:tcBorders>
              <w:top w:val="single" w:color="000000" w:sz="2" w:space="0"/>
              <w:left w:val="single" w:color="000000" w:sz="2" w:space="0"/>
              <w:bottom w:val="single" w:color="000000" w:sz="2"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达拉特~蒙西</w:t>
            </w:r>
          </w:p>
        </w:tc>
        <w:tc>
          <w:tcPr>
            <w:tcW w:w="995" w:type="pc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995" w:type="pct"/>
            <w:vMerge w:val="restart"/>
            <w:tcBorders>
              <w:top w:val="single" w:color="auto" w:sz="4" w:space="0"/>
              <w:left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1057" w:type="pc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r>
      <w:tr>
        <w:tblPrEx>
          <w:tblCellMar>
            <w:top w:w="5" w:type="dxa"/>
            <w:left w:w="0" w:type="dxa"/>
            <w:bottom w:w="0" w:type="dxa"/>
            <w:right w:w="18" w:type="dxa"/>
          </w:tblCellMar>
        </w:tblPrEx>
        <w:trPr>
          <w:trHeight w:val="476" w:hRule="atLeast"/>
        </w:trPr>
        <w:tc>
          <w:tcPr>
            <w:tcW w:w="369" w:type="pct"/>
            <w:vMerge w:val="continue"/>
            <w:tcBorders>
              <w:left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p>
        </w:tc>
        <w:tc>
          <w:tcPr>
            <w:tcW w:w="366" w:type="pct"/>
            <w:tcBorders>
              <w:top w:val="single" w:color="auto" w:sz="4" w:space="0"/>
              <w:left w:val="single" w:color="000000" w:sz="2" w:space="0"/>
              <w:bottom w:val="single" w:color="auto" w:sz="4"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p>
        </w:tc>
        <w:tc>
          <w:tcPr>
            <w:tcW w:w="1216" w:type="pct"/>
            <w:tcBorders>
              <w:top w:val="single" w:color="000000" w:sz="2" w:space="0"/>
              <w:left w:val="single" w:color="000000" w:sz="2" w:space="0"/>
              <w:bottom w:val="single" w:color="000000" w:sz="2" w:space="0"/>
              <w:right w:val="single" w:color="auto" w:sz="4" w:space="0"/>
            </w:tcBorders>
            <w:noWrap w:val="0"/>
            <w:vAlign w:val="center"/>
          </w:tcPr>
          <w:p>
            <w:pPr>
              <w:adjustRightInd w:val="0"/>
              <w:snapToGrid w:val="0"/>
              <w:jc w:val="center"/>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招远核电送出</w:t>
            </w:r>
          </w:p>
        </w:tc>
        <w:tc>
          <w:tcPr>
            <w:tcW w:w="995" w:type="pc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995" w:type="pct"/>
            <w:vMerge w:val="continue"/>
            <w:tcBorders>
              <w:left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1057" w:type="pc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r>
      <w:tr>
        <w:tblPrEx>
          <w:tblCellMar>
            <w:top w:w="5" w:type="dxa"/>
            <w:left w:w="0" w:type="dxa"/>
            <w:bottom w:w="0" w:type="dxa"/>
            <w:right w:w="18" w:type="dxa"/>
          </w:tblCellMar>
        </w:tblPrEx>
        <w:trPr>
          <w:trHeight w:val="476" w:hRule="atLeast"/>
        </w:trPr>
        <w:tc>
          <w:tcPr>
            <w:tcW w:w="369" w:type="pct"/>
            <w:vMerge w:val="continue"/>
            <w:tcBorders>
              <w:left w:val="single" w:color="000000" w:sz="2" w:space="0"/>
              <w:right w:val="single" w:color="000000" w:sz="2" w:space="0"/>
            </w:tcBorders>
            <w:noWrap w:val="0"/>
            <w:vAlign w:val="center"/>
          </w:tcPr>
          <w:p>
            <w:pPr>
              <w:adjustRightInd w:val="0"/>
              <w:snapToGrid w:val="0"/>
              <w:jc w:val="center"/>
              <w:rPr>
                <w:rFonts w:hint="eastAsia" w:ascii="宋体" w:hAnsi="宋体" w:eastAsia="宋体" w:cs="宋体"/>
                <w:sz w:val="21"/>
                <w:szCs w:val="21"/>
                <w:highlight w:val="none"/>
                <w:lang w:val="en-US" w:eastAsia="zh-CN"/>
              </w:rPr>
            </w:pPr>
          </w:p>
        </w:tc>
        <w:tc>
          <w:tcPr>
            <w:tcW w:w="366" w:type="pct"/>
            <w:tcBorders>
              <w:top w:val="single" w:color="auto" w:sz="4" w:space="0"/>
              <w:left w:val="single" w:color="000000" w:sz="2" w:space="0"/>
              <w:bottom w:val="single" w:color="auto" w:sz="4" w:space="0"/>
              <w:right w:val="single" w:color="000000" w:sz="2" w:space="0"/>
            </w:tcBorders>
            <w:noWrap w:val="0"/>
            <w:vAlign w:val="center"/>
          </w:tcPr>
          <w:p>
            <w:pPr>
              <w:adjustRightInd w:val="0"/>
              <w:snapToGrid w:val="0"/>
              <w:jc w:val="center"/>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w:t>
            </w:r>
          </w:p>
        </w:tc>
        <w:tc>
          <w:tcPr>
            <w:tcW w:w="1216" w:type="pct"/>
            <w:tcBorders>
              <w:top w:val="single" w:color="000000" w:sz="2" w:space="0"/>
              <w:left w:val="single" w:color="000000" w:sz="2" w:space="0"/>
              <w:bottom w:val="single" w:color="000000" w:sz="2" w:space="0"/>
              <w:right w:val="single" w:color="auto" w:sz="4" w:space="0"/>
            </w:tcBorders>
            <w:noWrap w:val="0"/>
            <w:vAlign w:val="center"/>
          </w:tcPr>
          <w:p>
            <w:pPr>
              <w:adjustRightInd w:val="0"/>
              <w:snapToGrid w:val="0"/>
              <w:jc w:val="center"/>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烟威（登州升压）</w:t>
            </w:r>
          </w:p>
        </w:tc>
        <w:tc>
          <w:tcPr>
            <w:tcW w:w="995" w:type="pc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995" w:type="pct"/>
            <w:vMerge w:val="continue"/>
            <w:tcBorders>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c>
          <w:tcPr>
            <w:tcW w:w="1057" w:type="pct"/>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eastAsia="宋体" w:cs="宋体"/>
                <w:sz w:val="21"/>
                <w:szCs w:val="21"/>
                <w:highlight w:val="none"/>
              </w:rPr>
            </w:pPr>
          </w:p>
        </w:tc>
      </w:tr>
      <w:tr>
        <w:tblPrEx>
          <w:tblCellMar>
            <w:top w:w="5" w:type="dxa"/>
            <w:left w:w="0" w:type="dxa"/>
            <w:bottom w:w="0" w:type="dxa"/>
            <w:right w:w="18" w:type="dxa"/>
          </w:tblCellMar>
        </w:tblPrEx>
        <w:trPr>
          <w:trHeight w:val="868" w:hRule="atLeast"/>
        </w:trPr>
        <w:tc>
          <w:tcPr>
            <w:tcW w:w="369" w:type="pct"/>
            <w:vMerge w:val="continue"/>
            <w:tcBorders>
              <w:left w:val="single" w:color="000000" w:sz="2" w:space="0"/>
              <w:bottom w:val="single" w:color="000000" w:sz="2" w:space="0"/>
              <w:right w:val="single" w:color="000000" w:sz="2" w:space="0"/>
            </w:tcBorders>
            <w:noWrap w:val="0"/>
            <w:vAlign w:val="top"/>
          </w:tcPr>
          <w:p>
            <w:pPr>
              <w:adjustRightInd w:val="0"/>
              <w:snapToGrid w:val="0"/>
              <w:jc w:val="center"/>
              <w:rPr>
                <w:rFonts w:hint="eastAsia" w:ascii="宋体" w:hAnsi="宋体" w:eastAsia="宋体" w:cs="宋体"/>
                <w:sz w:val="21"/>
                <w:szCs w:val="21"/>
                <w:highlight w:val="none"/>
              </w:rPr>
            </w:pPr>
          </w:p>
        </w:tc>
        <w:tc>
          <w:tcPr>
            <w:tcW w:w="4630" w:type="pct"/>
            <w:gridSpan w:val="5"/>
            <w:tcBorders>
              <w:top w:val="single" w:color="auto" w:sz="4" w:space="0"/>
              <w:left w:val="single" w:color="000000" w:sz="2" w:space="0"/>
              <w:bottom w:val="single" w:color="000000" w:sz="2" w:space="0"/>
              <w:right w:val="single" w:color="000000" w:sz="2" w:space="0"/>
            </w:tcBorders>
            <w:noWrap w:val="0"/>
            <w:vAlign w:val="center"/>
          </w:tcPr>
          <w:p>
            <w:pPr>
              <w:adjustRightInd w:val="0"/>
              <w:snapToGrid w:val="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投标报价总额：            万元；</w:t>
            </w:r>
          </w:p>
          <w:p>
            <w:pPr>
              <w:adjustRightInd w:val="0"/>
              <w:snapToGrid w:val="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效益收费费率：            %。</w:t>
            </w:r>
          </w:p>
        </w:tc>
      </w:tr>
    </w:tbl>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注：</w:t>
      </w:r>
    </w:p>
    <w:p>
      <w:pPr>
        <w:adjustRightInd w:val="0"/>
        <w:snapToGrid w:val="0"/>
        <w:rPr>
          <w:rFonts w:hint="default" w:ascii="宋体" w:hAnsi="宋体" w:eastAsia="宋体" w:cs="宋体"/>
          <w:sz w:val="21"/>
          <w:szCs w:val="21"/>
          <w:highlight w:val="none"/>
          <w:lang w:val="en-US" w:eastAsia="zh-CN" w:bidi="ar"/>
        </w:rPr>
      </w:pPr>
      <w:r>
        <w:rPr>
          <w:rFonts w:hint="eastAsia" w:ascii="宋体" w:hAnsi="宋体" w:eastAsia="宋体" w:cs="宋体"/>
          <w:sz w:val="21"/>
          <w:szCs w:val="21"/>
          <w:highlight w:val="none"/>
          <w:lang w:bidi="ar"/>
        </w:rPr>
        <w:t>1、投标报价总额=各单项工程基本审核费之和+汇总费（如有）+效益收费。</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2、汇总要求详见技术规范书，有汇总要求的标包，汇总费按不超过</w:t>
      </w:r>
      <w:r>
        <w:rPr>
          <w:rFonts w:hint="eastAsia" w:ascii="宋体" w:hAnsi="宋体" w:eastAsia="宋体" w:cs="宋体"/>
          <w:sz w:val="21"/>
          <w:szCs w:val="21"/>
          <w:highlight w:val="none"/>
          <w:lang w:val="en-US" w:eastAsia="zh-CN" w:bidi="ar"/>
        </w:rPr>
        <w:t>20</w:t>
      </w:r>
      <w:r>
        <w:rPr>
          <w:rFonts w:hint="eastAsia" w:ascii="宋体" w:hAnsi="宋体" w:eastAsia="宋体" w:cs="宋体"/>
          <w:sz w:val="21"/>
          <w:szCs w:val="21"/>
          <w:highlight w:val="none"/>
          <w:lang w:bidi="ar"/>
        </w:rPr>
        <w:t>万元填报；如本标包无汇总要求，汇总费按0万元填报。</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3、最高限价和投标报价均包含效益收费，</w:t>
      </w:r>
      <w:r>
        <w:rPr>
          <w:rFonts w:hint="eastAsia" w:ascii="宋体" w:hAnsi="宋体" w:eastAsia="宋体" w:cs="宋体"/>
          <w:sz w:val="21"/>
          <w:szCs w:val="21"/>
          <w:highlight w:val="none"/>
          <w:lang w:eastAsia="zh-CN" w:bidi="ar"/>
        </w:rPr>
        <w:t>《结算审核报价明细表》</w:t>
      </w:r>
      <w:r>
        <w:rPr>
          <w:rFonts w:hint="eastAsia" w:ascii="宋体" w:hAnsi="宋体" w:eastAsia="宋体" w:cs="宋体"/>
          <w:sz w:val="21"/>
          <w:szCs w:val="21"/>
          <w:highlight w:val="none"/>
          <w:lang w:bidi="ar"/>
        </w:rPr>
        <w:t>中效益收费固定</w:t>
      </w:r>
      <w:r>
        <w:rPr>
          <w:rFonts w:hint="eastAsia" w:ascii="宋体" w:hAnsi="宋体" w:eastAsia="宋体" w:cs="宋体"/>
          <w:sz w:val="21"/>
          <w:szCs w:val="21"/>
          <w:highlight w:val="none"/>
          <w:lang w:val="en-US" w:eastAsia="zh-CN" w:bidi="ar"/>
        </w:rPr>
        <w:t>并按以下金额填报</w:t>
      </w:r>
      <w:r>
        <w:rPr>
          <w:rFonts w:hint="eastAsia" w:ascii="宋体" w:hAnsi="宋体" w:eastAsia="宋体" w:cs="宋体"/>
          <w:sz w:val="21"/>
          <w:szCs w:val="21"/>
          <w:highlight w:val="none"/>
          <w:lang w:eastAsia="zh-CN" w:bidi="ar"/>
        </w:rPr>
        <w:t>：</w:t>
      </w:r>
      <w:r>
        <w:rPr>
          <w:rFonts w:hint="eastAsia" w:ascii="宋体" w:hAnsi="宋体" w:eastAsia="宋体" w:cs="宋体"/>
          <w:sz w:val="21"/>
          <w:szCs w:val="21"/>
          <w:highlight w:val="none"/>
          <w:lang w:val="en-US" w:eastAsia="zh-CN" w:bidi="ar"/>
        </w:rPr>
        <w:t>包1、8为50万元；包2-5、9为45万元；包6-7、10为35万元；包11为40万元</w:t>
      </w:r>
      <w:r>
        <w:rPr>
          <w:rFonts w:hint="eastAsia" w:ascii="宋体" w:hAnsi="宋体" w:eastAsia="宋体" w:cs="宋体"/>
          <w:b/>
          <w:bCs/>
          <w:sz w:val="21"/>
          <w:szCs w:val="21"/>
          <w:highlight w:val="none"/>
          <w:lang w:val="en-US" w:eastAsia="zh-CN" w:bidi="ar"/>
        </w:rPr>
        <w:t>（其中，</w:t>
      </w:r>
      <w:r>
        <w:rPr>
          <w:rFonts w:hint="eastAsia" w:ascii="宋体" w:hAnsi="宋体" w:eastAsia="宋体" w:cs="宋体"/>
          <w:b/>
          <w:bCs/>
          <w:sz w:val="21"/>
          <w:szCs w:val="21"/>
          <w:highlight w:val="none"/>
          <w:lang w:val="en-US" w:eastAsia="zh-CN"/>
        </w:rPr>
        <w:t>达拉特~蒙西为26万元，招远核电送出为12万元，烟威（登州升压）为2万元</w:t>
      </w:r>
      <w:r>
        <w:rPr>
          <w:rFonts w:hint="eastAsia" w:ascii="宋体" w:hAnsi="宋体" w:eastAsia="宋体" w:cs="宋体"/>
          <w:b/>
          <w:bCs/>
          <w:sz w:val="21"/>
          <w:szCs w:val="21"/>
          <w:highlight w:val="none"/>
          <w:lang w:val="en-US" w:eastAsia="zh-CN" w:bidi="ar"/>
        </w:rPr>
        <w:t>）</w:t>
      </w:r>
      <w:r>
        <w:rPr>
          <w:rFonts w:hint="eastAsia" w:ascii="宋体" w:hAnsi="宋体" w:eastAsia="宋体" w:cs="宋体"/>
          <w:sz w:val="21"/>
          <w:szCs w:val="21"/>
          <w:highlight w:val="none"/>
          <w:lang w:bidi="ar"/>
        </w:rPr>
        <w:t>。实际效益收费在合同结算时据实调整。实际效益收费=效益收费计算基数×效益收费费率（%）</w:t>
      </w:r>
      <w:r>
        <w:rPr>
          <w:rFonts w:hint="eastAsia" w:ascii="宋体" w:hAnsi="宋体" w:eastAsia="宋体" w:cs="宋体"/>
          <w:sz w:val="21"/>
          <w:szCs w:val="21"/>
          <w:highlight w:val="none"/>
          <w:lang w:eastAsia="zh-CN" w:bidi="ar"/>
        </w:rPr>
        <w:t>，</w:t>
      </w:r>
      <w:r>
        <w:rPr>
          <w:rFonts w:hint="eastAsia" w:ascii="宋体" w:hAnsi="宋体" w:eastAsia="宋体" w:cs="宋体"/>
          <w:sz w:val="21"/>
          <w:szCs w:val="21"/>
          <w:highlight w:val="none"/>
          <w:lang w:val="en-US" w:eastAsia="zh-CN" w:bidi="ar"/>
        </w:rPr>
        <w:t>上限为</w:t>
      </w:r>
      <w:r>
        <w:rPr>
          <w:rFonts w:hint="eastAsia" w:ascii="宋体" w:hAnsi="宋体" w:eastAsia="宋体" w:cs="宋体"/>
          <w:sz w:val="21"/>
          <w:szCs w:val="21"/>
          <w:highlight w:val="none"/>
          <w:lang w:bidi="ar"/>
        </w:rPr>
        <w:t>投标报价</w:t>
      </w:r>
      <w:r>
        <w:rPr>
          <w:rFonts w:hint="eastAsia" w:ascii="宋体" w:hAnsi="宋体" w:eastAsia="宋体" w:cs="宋体"/>
          <w:sz w:val="21"/>
          <w:szCs w:val="21"/>
          <w:highlight w:val="none"/>
          <w:lang w:val="en-US" w:eastAsia="zh-CN" w:bidi="ar"/>
        </w:rPr>
        <w:t>填报金额</w:t>
      </w:r>
      <w:r>
        <w:rPr>
          <w:rFonts w:hint="eastAsia" w:ascii="宋体" w:hAnsi="宋体" w:eastAsia="宋体" w:cs="宋体"/>
          <w:sz w:val="21"/>
          <w:szCs w:val="21"/>
          <w:highlight w:val="none"/>
          <w:lang w:bidi="ar"/>
        </w:rPr>
        <w:t>。</w:t>
      </w:r>
      <w:r>
        <w:rPr>
          <w:rFonts w:hint="eastAsia" w:ascii="宋体" w:hAnsi="宋体" w:cs="宋体"/>
          <w:sz w:val="20"/>
          <w:szCs w:val="20"/>
          <w:highlight w:val="none"/>
        </w:rPr>
        <w:t>效益收费的计算基数为工程建筑安装工程费、建设场地征用及清理费和物资费的审减额，包括上述费用在工程竣工结算批复中的预留项目审减额，不含预留项目实施完成后的结算审减额</w:t>
      </w:r>
      <w:r>
        <w:rPr>
          <w:rFonts w:hint="eastAsia" w:ascii="宋体" w:hAnsi="宋体" w:eastAsia="宋体" w:cs="宋体"/>
          <w:sz w:val="21"/>
          <w:szCs w:val="21"/>
          <w:highlight w:val="none"/>
          <w:lang w:bidi="ar"/>
        </w:rPr>
        <w:t>。</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4、投标人须在“效益收费费率（%）”栏中自行填报效益收费费率，效益收费费率上限为 3% ，否则作为否决投标处理。</w:t>
      </w:r>
    </w:p>
    <w:p>
      <w:pPr>
        <w:adjustRightInd w:val="0"/>
        <w:snapToGrid w:val="0"/>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5、各包最高限价见招标文件第一章招标公告附件1需求一览表。</w:t>
      </w:r>
    </w:p>
    <w:p>
      <w:pPr>
        <w:jc w:val="center"/>
        <w:rPr>
          <w:rFonts w:hint="eastAsia" w:ascii="方正黑体_GBK" w:eastAsia="方正黑体_GBK"/>
          <w:highlight w:val="none"/>
          <w:lang w:val="en-US" w:eastAsia="zh-CN"/>
        </w:rPr>
      </w:pPr>
    </w:p>
    <w:p>
      <w:pPr>
        <w:jc w:val="center"/>
        <w:rPr>
          <w:rFonts w:hint="eastAsia" w:ascii="Times New Roman" w:hAnsi="Times New Roman" w:eastAsia="黑体" w:cs="Times New Roman"/>
          <w:b/>
          <w:bCs/>
          <w:color w:val="000000"/>
          <w:kern w:val="2"/>
          <w:sz w:val="28"/>
          <w:szCs w:val="32"/>
          <w:highlight w:val="none"/>
          <w:lang w:val="en-US" w:eastAsia="zh-CN" w:bidi="ar-SA"/>
        </w:rPr>
      </w:pPr>
      <w:r>
        <w:rPr>
          <w:rFonts w:hint="eastAsia" w:ascii="黑体" w:hAnsi="黑体" w:eastAsia="黑体" w:cs="黑体"/>
          <w:b/>
          <w:bCs/>
          <w:color w:val="auto"/>
          <w:szCs w:val="21"/>
          <w:highlight w:val="none"/>
          <w:lang w:eastAsia="zh-CN"/>
        </w:rPr>
        <w:t>工程结算审核报价明细表(适用于包12）</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招标编号：</w:t>
      </w:r>
    </w:p>
    <w:p>
      <w:pPr>
        <w:pStyle w:val="5"/>
        <w:ind w:left="0" w:leftChars="0" w:firstLine="0" w:firstLineChars="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分标</w:t>
      </w:r>
      <w:r>
        <w:rPr>
          <w:rFonts w:hint="eastAsia" w:ascii="宋体" w:hAnsi="宋体" w:eastAsia="宋体" w:cs="宋体"/>
          <w:color w:val="auto"/>
          <w:sz w:val="21"/>
          <w:szCs w:val="21"/>
          <w:highlight w:val="none"/>
          <w:lang w:val="en-US" w:eastAsia="zh-CN"/>
        </w:rPr>
        <w:t>名称</w:t>
      </w:r>
      <w:r>
        <w:rPr>
          <w:rFonts w:hint="eastAsia" w:ascii="宋体" w:hAnsi="宋体" w:eastAsia="宋体" w:cs="宋体"/>
          <w:color w:val="auto"/>
          <w:sz w:val="21"/>
          <w:szCs w:val="21"/>
          <w:highlight w:val="none"/>
        </w:rPr>
        <w:t>：</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投标人名称：</w:t>
      </w:r>
    </w:p>
    <w:p>
      <w:pPr>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单位：人民币</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6"/>
        <w:gridCol w:w="852"/>
        <w:gridCol w:w="1162"/>
        <w:gridCol w:w="2265"/>
        <w:gridCol w:w="1200"/>
        <w:gridCol w:w="1011"/>
        <w:gridCol w:w="10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9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val="en-US" w:eastAsia="zh-CN"/>
              </w:rPr>
              <w:t>包名称</w:t>
            </w: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val="en-US" w:eastAsia="zh-CN"/>
              </w:rPr>
              <w:t>序号</w:t>
            </w:r>
          </w:p>
        </w:tc>
        <w:tc>
          <w:tcPr>
            <w:tcW w:w="682"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val="en-US" w:eastAsia="zh-CN"/>
              </w:rPr>
              <w:t>工程名称</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val="en-US" w:eastAsia="zh-CN"/>
              </w:rPr>
              <w:t>单项工程名称</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val="en-US" w:eastAsia="zh-CN"/>
              </w:rPr>
              <w:t>基本审核费（万元）</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val="en-US" w:eastAsia="zh-CN"/>
              </w:rPr>
              <w:t>汇总费（如有）（万元）</w:t>
            </w:r>
          </w:p>
        </w:tc>
        <w:tc>
          <w:tcPr>
            <w:tcW w:w="59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lang w:val="en-US" w:eastAsia="zh-CN"/>
              </w:rPr>
              <w:t>效益收费（万元）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包12</w:t>
            </w: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p>
        </w:tc>
        <w:tc>
          <w:tcPr>
            <w:tcW w:w="682"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练塘扩</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restar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682"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东吴扩</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restart"/>
            <w:tcBorders>
              <w:top w:val="single" w:color="auto" w:sz="4" w:space="0"/>
              <w:left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p>
        </w:tc>
        <w:tc>
          <w:tcPr>
            <w:tcW w:w="682"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浙江环网嘉兴站</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restart"/>
            <w:tcBorders>
              <w:top w:val="single" w:color="auto"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restart"/>
            <w:tcBorders>
              <w:top w:val="single" w:color="auto" w:sz="4" w:space="0"/>
              <w:left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000000"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000000"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p>
        </w:tc>
        <w:tc>
          <w:tcPr>
            <w:tcW w:w="682"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攀西工程川南站</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restart"/>
            <w:tcBorders>
              <w:top w:val="single" w:color="auto"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restart"/>
            <w:tcBorders>
              <w:top w:val="single" w:color="auto" w:sz="4" w:space="0"/>
              <w:left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auto"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auto"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w:t>
            </w:r>
          </w:p>
        </w:tc>
        <w:tc>
          <w:tcPr>
            <w:tcW w:w="68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99" w:type="pct"/>
            <w:vMerge w:val="continue"/>
            <w:tcBorders>
              <w:top w:val="single" w:color="auto" w:sz="4" w:space="0"/>
              <w:left w:val="single" w:color="000000" w:sz="4" w:space="0"/>
              <w:bottom w:val="single" w:color="auto" w:sz="4" w:space="0"/>
              <w:right w:val="single" w:color="000000" w:sz="4" w:space="0"/>
            </w:tcBorders>
            <w:noWrap w:val="0"/>
            <w:vAlign w:val="center"/>
          </w:tcPr>
          <w:p>
            <w:pPr>
              <w:rPr>
                <w:rFonts w:hint="eastAsia" w:ascii="宋体" w:hAnsi="宋体" w:eastAsia="宋体" w:cs="宋体"/>
                <w:color w:val="auto"/>
                <w:sz w:val="21"/>
                <w:szCs w:val="21"/>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0" w:type="pct"/>
            <w:vMerge w:val="continue"/>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500" w:type="pct"/>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p>
        </w:tc>
        <w:tc>
          <w:tcPr>
            <w:tcW w:w="3908" w:type="pct"/>
            <w:gridSpan w:val="5"/>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投标报价总额：</w:t>
            </w:r>
            <w:r>
              <w:rPr>
                <w:rFonts w:hint="eastAsia" w:ascii="宋体" w:hAnsi="宋体" w:eastAsia="宋体" w:cs="宋体"/>
                <w:color w:val="auto"/>
                <w:sz w:val="21"/>
                <w:szCs w:val="21"/>
                <w:highlight w:val="none"/>
                <w:u w:val="single"/>
                <w:lang w:val="en-US" w:eastAsia="zh-CN"/>
              </w:rPr>
              <w:t xml:space="preserve">      </w:t>
            </w:r>
            <w:r>
              <w:rPr>
                <w:rFonts w:hint="eastAsia" w:ascii="宋体" w:hAnsi="宋体" w:eastAsia="宋体" w:cs="宋体"/>
                <w:color w:val="auto"/>
                <w:sz w:val="21"/>
                <w:szCs w:val="21"/>
                <w:highlight w:val="none"/>
                <w:lang w:val="en-US" w:eastAsia="zh-CN"/>
              </w:rPr>
              <w:t>万元；</w:t>
            </w:r>
            <w:r>
              <w:rPr>
                <w:rFonts w:hint="eastAsia" w:ascii="宋体" w:hAnsi="宋体" w:eastAsia="宋体" w:cs="宋体"/>
                <w:color w:val="auto"/>
                <w:sz w:val="21"/>
                <w:szCs w:val="21"/>
                <w:highlight w:val="none"/>
                <w:lang w:val="en-US" w:eastAsia="zh-CN"/>
              </w:rPr>
              <w:br w:type="textWrapping"/>
            </w:r>
            <w:r>
              <w:rPr>
                <w:rFonts w:hint="eastAsia" w:ascii="宋体" w:hAnsi="宋体" w:eastAsia="宋体" w:cs="宋体"/>
                <w:color w:val="auto"/>
                <w:sz w:val="21"/>
                <w:szCs w:val="21"/>
                <w:highlight w:val="none"/>
                <w:lang w:val="en-US" w:eastAsia="zh-CN"/>
              </w:rPr>
              <w:t>效益收费费率：</w:t>
            </w:r>
            <w:r>
              <w:rPr>
                <w:rFonts w:hint="eastAsia" w:ascii="宋体" w:hAnsi="宋体" w:eastAsia="宋体" w:cs="宋体"/>
                <w:color w:val="auto"/>
                <w:sz w:val="21"/>
                <w:szCs w:val="21"/>
                <w:highlight w:val="none"/>
                <w:u w:val="single"/>
                <w:lang w:val="en-US" w:eastAsia="zh-CN"/>
              </w:rPr>
              <w:t xml:space="preserve">        </w:t>
            </w:r>
            <w:r>
              <w:rPr>
                <w:rFonts w:hint="eastAsia" w:ascii="宋体" w:hAnsi="宋体" w:eastAsia="宋体" w:cs="宋体"/>
                <w:color w:val="auto"/>
                <w:sz w:val="21"/>
                <w:szCs w:val="21"/>
                <w:highlight w:val="none"/>
                <w:lang w:val="en-US" w:eastAsia="zh-CN"/>
              </w:rPr>
              <w:t>%。</w:t>
            </w:r>
          </w:p>
        </w:tc>
      </w:tr>
    </w:tbl>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注：</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1、投标报价总额=各单项工程基本审核费之和+汇总费</w:t>
      </w:r>
      <w:r>
        <w:rPr>
          <w:rFonts w:hint="eastAsia" w:ascii="宋体" w:hAnsi="宋体" w:eastAsia="宋体" w:cs="宋体"/>
          <w:color w:val="auto"/>
          <w:sz w:val="21"/>
          <w:szCs w:val="21"/>
          <w:highlight w:val="none"/>
          <w:lang w:val="en-US" w:eastAsia="zh-CN"/>
        </w:rPr>
        <w:t>之和</w:t>
      </w:r>
      <w:r>
        <w:rPr>
          <w:rFonts w:hint="eastAsia" w:ascii="宋体" w:hAnsi="宋体" w:eastAsia="宋体" w:cs="宋体"/>
          <w:color w:val="auto"/>
          <w:sz w:val="21"/>
          <w:szCs w:val="21"/>
          <w:highlight w:val="none"/>
        </w:rPr>
        <w:t>（如有）+效益收费</w:t>
      </w:r>
      <w:r>
        <w:rPr>
          <w:rFonts w:hint="eastAsia" w:ascii="宋体" w:hAnsi="宋体" w:eastAsia="宋体" w:cs="宋体"/>
          <w:color w:val="auto"/>
          <w:sz w:val="21"/>
          <w:szCs w:val="21"/>
          <w:highlight w:val="none"/>
          <w:lang w:val="en-US" w:eastAsia="zh-CN"/>
        </w:rPr>
        <w:t>之和</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2、汇总费如有，按不超过</w:t>
      </w:r>
      <w:r>
        <w:rPr>
          <w:rFonts w:hint="eastAsia" w:ascii="宋体" w:hAnsi="宋体" w:eastAsia="宋体" w:cs="宋体"/>
          <w:color w:val="auto"/>
          <w:sz w:val="21"/>
          <w:szCs w:val="21"/>
          <w:highlight w:val="none"/>
          <w:lang w:eastAsia="zh-CN"/>
        </w:rPr>
        <w:t>各个工程汇总费</w:t>
      </w:r>
      <w:r>
        <w:rPr>
          <w:rFonts w:hint="eastAsia" w:ascii="宋体" w:hAnsi="宋体" w:eastAsia="宋体" w:cs="宋体"/>
          <w:color w:val="auto"/>
          <w:sz w:val="21"/>
          <w:szCs w:val="21"/>
          <w:highlight w:val="none"/>
        </w:rPr>
        <w:t>分项限价金额填报</w:t>
      </w:r>
      <w:r>
        <w:rPr>
          <w:rFonts w:hint="eastAsia" w:ascii="宋体" w:hAnsi="宋体" w:eastAsia="宋体" w:cs="宋体"/>
          <w:color w:val="auto"/>
          <w:sz w:val="21"/>
          <w:szCs w:val="21"/>
          <w:highlight w:val="none"/>
          <w:lang w:eastAsia="zh-CN"/>
        </w:rPr>
        <w:t>在对应工程汇总费一栏中</w:t>
      </w:r>
      <w:r>
        <w:rPr>
          <w:rFonts w:hint="eastAsia" w:ascii="宋体" w:hAnsi="宋体" w:eastAsia="宋体" w:cs="宋体"/>
          <w:color w:val="auto"/>
          <w:sz w:val="21"/>
          <w:szCs w:val="21"/>
          <w:highlight w:val="none"/>
        </w:rPr>
        <w:t>。如本标包</w:t>
      </w:r>
      <w:r>
        <w:rPr>
          <w:rFonts w:hint="eastAsia" w:ascii="宋体" w:hAnsi="宋体" w:eastAsia="宋体" w:cs="宋体"/>
          <w:color w:val="auto"/>
          <w:sz w:val="21"/>
          <w:szCs w:val="21"/>
          <w:highlight w:val="none"/>
          <w:lang w:eastAsia="zh-CN"/>
        </w:rPr>
        <w:t>、本工程分项限价无</w:t>
      </w:r>
      <w:r>
        <w:rPr>
          <w:rFonts w:hint="eastAsia" w:ascii="宋体" w:hAnsi="宋体" w:eastAsia="宋体" w:cs="宋体"/>
          <w:color w:val="auto"/>
          <w:sz w:val="21"/>
          <w:szCs w:val="21"/>
          <w:highlight w:val="none"/>
        </w:rPr>
        <w:t>汇总费，</w:t>
      </w:r>
      <w:r>
        <w:rPr>
          <w:rFonts w:hint="eastAsia" w:ascii="宋体" w:hAnsi="宋体" w:eastAsia="宋体" w:cs="宋体"/>
          <w:color w:val="auto"/>
          <w:sz w:val="21"/>
          <w:szCs w:val="21"/>
          <w:highlight w:val="none"/>
          <w:lang w:eastAsia="zh-CN"/>
        </w:rPr>
        <w:t>对应工程汇总费一栏</w:t>
      </w:r>
      <w:r>
        <w:rPr>
          <w:rFonts w:hint="eastAsia" w:ascii="宋体" w:hAnsi="宋体" w:eastAsia="宋体" w:cs="宋体"/>
          <w:color w:val="auto"/>
          <w:sz w:val="21"/>
          <w:szCs w:val="21"/>
          <w:highlight w:val="none"/>
        </w:rPr>
        <w:t>按0万元填报。</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3、最高限价和投标报价均包含效益收费，投标报价表中效益收费</w:t>
      </w:r>
      <w:r>
        <w:rPr>
          <w:rFonts w:hint="eastAsia" w:ascii="宋体" w:hAnsi="宋体" w:eastAsia="宋体" w:cs="宋体"/>
          <w:color w:val="auto"/>
          <w:sz w:val="21"/>
          <w:szCs w:val="21"/>
          <w:highlight w:val="none"/>
          <w:lang w:eastAsia="zh-CN"/>
        </w:rPr>
        <w:t>按各个工程的</w:t>
      </w:r>
      <w:r>
        <w:rPr>
          <w:rFonts w:hint="eastAsia" w:ascii="宋体" w:hAnsi="宋体" w:eastAsia="宋体" w:cs="宋体"/>
          <w:color w:val="auto"/>
          <w:sz w:val="21"/>
          <w:szCs w:val="21"/>
          <w:highlight w:val="none"/>
        </w:rPr>
        <w:t>固定费用填报，其中包1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43</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练塘扩2万元、东吴扩1万元、浙江环网嘉兴站20万元、川南站20万元）</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13</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52</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宁绍站20万元，莲都扩、兰江改造1万元，GIL管廊电气、辅助系统及引接站10万元，达拉特站20万元，蒙西扩1万元）</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14</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20</w:t>
      </w:r>
      <w:r>
        <w:rPr>
          <w:rFonts w:hint="eastAsia" w:ascii="宋体" w:hAnsi="宋体" w:eastAsia="宋体" w:cs="宋体"/>
          <w:color w:val="auto"/>
          <w:sz w:val="21"/>
          <w:szCs w:val="21"/>
          <w:highlight w:val="none"/>
        </w:rPr>
        <w:t>万元，包</w:t>
      </w:r>
      <w:r>
        <w:rPr>
          <w:rFonts w:hint="eastAsia" w:ascii="宋体" w:hAnsi="宋体" w:eastAsia="宋体" w:cs="宋体"/>
          <w:color w:val="auto"/>
          <w:sz w:val="21"/>
          <w:szCs w:val="21"/>
          <w:highlight w:val="none"/>
          <w:lang w:val="en-US" w:eastAsia="zh-CN"/>
        </w:rPr>
        <w:t>15共21</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攀西站20万元、天府南扩1万元）</w:t>
      </w:r>
      <w:r>
        <w:rPr>
          <w:rFonts w:hint="eastAsia" w:ascii="宋体" w:hAnsi="宋体" w:eastAsia="宋体" w:cs="宋体"/>
          <w:color w:val="auto"/>
          <w:sz w:val="21"/>
          <w:szCs w:val="21"/>
          <w:highlight w:val="none"/>
        </w:rPr>
        <w:t>。实际效益收费在合同结算时据实调整。实际效益收费=效益收费计算基数×效益收费费率（%）。效益收费计算基数为工程建筑安装工程费</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建设场地征用及清理费</w:t>
      </w:r>
      <w:r>
        <w:rPr>
          <w:rFonts w:hint="eastAsia" w:ascii="宋体" w:hAnsi="宋体" w:eastAsia="宋体" w:cs="宋体"/>
          <w:color w:val="auto"/>
          <w:sz w:val="21"/>
          <w:szCs w:val="21"/>
          <w:highlight w:val="none"/>
          <w:lang w:val="en-US" w:eastAsia="zh-CN"/>
        </w:rPr>
        <w:t>、物资费</w:t>
      </w:r>
      <w:r>
        <w:rPr>
          <w:rFonts w:hint="eastAsia" w:ascii="宋体" w:hAnsi="宋体" w:eastAsia="宋体" w:cs="宋体"/>
          <w:color w:val="auto"/>
          <w:sz w:val="21"/>
          <w:szCs w:val="21"/>
          <w:highlight w:val="none"/>
        </w:rPr>
        <w:t>的</w:t>
      </w:r>
      <w:r>
        <w:rPr>
          <w:rFonts w:hint="eastAsia" w:ascii="宋体" w:hAnsi="宋体" w:eastAsia="宋体" w:cs="宋体"/>
          <w:color w:val="auto"/>
          <w:sz w:val="21"/>
          <w:szCs w:val="21"/>
          <w:highlight w:val="none"/>
          <w:lang w:eastAsia="zh-CN"/>
        </w:rPr>
        <w:t>总共</w:t>
      </w:r>
      <w:r>
        <w:rPr>
          <w:rFonts w:hint="eastAsia" w:ascii="宋体" w:hAnsi="宋体" w:eastAsia="宋体" w:cs="宋体"/>
          <w:color w:val="auto"/>
          <w:sz w:val="21"/>
          <w:szCs w:val="21"/>
          <w:highlight w:val="none"/>
        </w:rPr>
        <w:t>审减额</w:t>
      </w:r>
      <w:r>
        <w:rPr>
          <w:rFonts w:hint="eastAsia" w:ascii="宋体" w:hAnsi="宋体" w:eastAsia="宋体" w:cs="宋体"/>
          <w:color w:val="auto"/>
          <w:sz w:val="21"/>
          <w:szCs w:val="21"/>
          <w:highlight w:val="none"/>
          <w:lang w:eastAsia="zh-CN"/>
        </w:rPr>
        <w:t>，包括上述费用在工程竣工结算批复中的预留项目审减额，不含预留项目实施完成后的结算审减额</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4、投标人须在“效益收费费率（%）”栏中自行填报效益收费费率，效益收费费率上限为 3% ，否则作为否决投标处理</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包内所有工程效益收费费率一致</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5、各包最高限价见招标文件第一章招标公告附件1需求一览表。</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6、基本审核费：如本标包审核范围不含安稳工程、接地极工程或</w:t>
      </w:r>
      <w:r>
        <w:rPr>
          <w:rFonts w:hint="eastAsia" w:ascii="宋体" w:hAnsi="宋体" w:eastAsia="宋体" w:cs="宋体"/>
          <w:color w:val="auto"/>
          <w:sz w:val="21"/>
          <w:szCs w:val="21"/>
          <w:highlight w:val="none"/>
          <w:lang w:eastAsia="zh-CN"/>
        </w:rPr>
        <w:t>光通信设备工程</w:t>
      </w:r>
      <w:r>
        <w:rPr>
          <w:rFonts w:hint="eastAsia" w:ascii="宋体" w:hAnsi="宋体" w:eastAsia="宋体" w:cs="宋体"/>
          <w:color w:val="auto"/>
          <w:sz w:val="21"/>
          <w:szCs w:val="21"/>
          <w:highlight w:val="none"/>
        </w:rPr>
        <w:t>，对应基本审核费填0万元。站本体工程仅指换流站、变电站或扩建工程（含进站路），不包括安稳、接地极、</w:t>
      </w:r>
      <w:r>
        <w:rPr>
          <w:rFonts w:hint="eastAsia" w:ascii="宋体" w:hAnsi="宋体" w:eastAsia="宋体" w:cs="宋体"/>
          <w:color w:val="auto"/>
          <w:sz w:val="21"/>
          <w:szCs w:val="21"/>
          <w:highlight w:val="none"/>
          <w:lang w:eastAsia="zh-CN"/>
        </w:rPr>
        <w:t>光通信设备工程</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7、包</w:t>
      </w:r>
      <w:r>
        <w:rPr>
          <w:rFonts w:hint="eastAsia" w:ascii="宋体" w:hAnsi="宋体" w:eastAsia="宋体" w:cs="宋体"/>
          <w:color w:val="auto"/>
          <w:sz w:val="21"/>
          <w:szCs w:val="21"/>
          <w:highlight w:val="none"/>
          <w:lang w:val="en-US" w:eastAsia="zh-CN"/>
        </w:rPr>
        <w:t>13达拉特站、</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14温州站、包15攀西站</w:t>
      </w:r>
      <w:r>
        <w:rPr>
          <w:rFonts w:hint="eastAsia" w:ascii="宋体" w:hAnsi="宋体" w:eastAsia="宋体" w:cs="宋体"/>
          <w:color w:val="auto"/>
          <w:sz w:val="21"/>
          <w:szCs w:val="21"/>
          <w:highlight w:val="none"/>
        </w:rPr>
        <w:t>含汇总费，包括汇总、造价分析及工程其他费审核。</w:t>
      </w:r>
    </w:p>
    <w:p>
      <w:pPr>
        <w:pStyle w:val="5"/>
        <w:rPr>
          <w:rFonts w:hint="eastAsia" w:ascii="宋体" w:hAnsi="宋体" w:eastAsia="宋体" w:cs="宋体"/>
          <w:color w:val="auto"/>
          <w:sz w:val="21"/>
          <w:szCs w:val="21"/>
          <w:highlight w:val="none"/>
        </w:rPr>
      </w:pPr>
    </w:p>
    <w:p>
      <w:pPr>
        <w:pStyle w:val="6"/>
        <w:rPr>
          <w:rFonts w:hint="eastAsia" w:ascii="宋体" w:hAnsi="宋体" w:eastAsia="宋体" w:cs="宋体"/>
          <w:color w:val="auto"/>
          <w:sz w:val="21"/>
          <w:szCs w:val="21"/>
          <w:highlight w:val="none"/>
        </w:rPr>
      </w:pPr>
    </w:p>
    <w:p>
      <w:pPr>
        <w:widowControl/>
        <w:tabs>
          <w:tab w:val="left" w:pos="6180"/>
          <w:tab w:val="left" w:pos="9000"/>
        </w:tabs>
        <w:spacing w:after="160" w:line="240" w:lineRule="exact"/>
        <w:ind w:left="420"/>
        <w:jc w:val="center"/>
        <w:outlineLvl w:val="1"/>
        <w:rPr>
          <w:rFonts w:ascii="微软雅黑" w:hAnsi="微软雅黑" w:eastAsia="微软雅黑" w:cs="微软雅黑"/>
          <w:b/>
          <w:color w:val="000000"/>
          <w:kern w:val="0"/>
          <w:sz w:val="22"/>
          <w:szCs w:val="21"/>
          <w:highlight w:val="none"/>
        </w:rPr>
      </w:pPr>
      <w:r>
        <w:rPr>
          <w:rFonts w:hint="eastAsia" w:ascii="黑体" w:hAnsi="黑体" w:eastAsia="黑体" w:cs="黑体"/>
          <w:b/>
          <w:bCs/>
          <w:color w:val="auto"/>
          <w:szCs w:val="21"/>
          <w:highlight w:val="none"/>
          <w:lang w:eastAsia="zh-CN"/>
        </w:rPr>
        <w:t>工程结算审核报价明细表(适用于包</w:t>
      </w:r>
      <w:r>
        <w:rPr>
          <w:rFonts w:hint="eastAsia" w:ascii="黑体" w:hAnsi="黑体" w:eastAsia="黑体" w:cs="黑体"/>
          <w:b/>
          <w:bCs/>
          <w:color w:val="auto"/>
          <w:szCs w:val="21"/>
          <w:highlight w:val="none"/>
          <w:lang w:val="en-US" w:eastAsia="zh-CN"/>
        </w:rPr>
        <w:t>13</w:t>
      </w:r>
      <w:r>
        <w:rPr>
          <w:rFonts w:hint="eastAsia" w:ascii="黑体" w:hAnsi="黑体" w:eastAsia="黑体" w:cs="黑体"/>
          <w:b/>
          <w:bCs/>
          <w:color w:val="auto"/>
          <w:szCs w:val="21"/>
          <w:highlight w:val="none"/>
          <w:lang w:eastAsia="zh-CN"/>
        </w:rPr>
        <w:t>）</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招标编号：</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分标名称：</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w:t>
      </w:r>
    </w:p>
    <w:p>
      <w:pPr>
        <w:widowControl/>
        <w:adjustRightInd w:val="0"/>
        <w:jc w:val="left"/>
        <w:rPr>
          <w:highlight w:val="none"/>
        </w:rPr>
      </w:pPr>
      <w:r>
        <w:rPr>
          <w:rFonts w:hint="eastAsia" w:ascii="宋体" w:hAnsi="宋体" w:eastAsia="宋体" w:cs="宋体"/>
          <w:color w:val="auto"/>
          <w:sz w:val="21"/>
          <w:szCs w:val="21"/>
          <w:highlight w:val="none"/>
        </w:rPr>
        <w:t>货币：人民币</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6"/>
        <w:gridCol w:w="903"/>
        <w:gridCol w:w="1113"/>
        <w:gridCol w:w="2265"/>
        <w:gridCol w:w="1200"/>
        <w:gridCol w:w="1011"/>
        <w:gridCol w:w="10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91"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包名称</w:t>
            </w: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序号</w:t>
            </w:r>
          </w:p>
        </w:tc>
        <w:tc>
          <w:tcPr>
            <w:tcW w:w="65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工程名称</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单项工程名称</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基本审核费（万元）</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汇总费（如有）（万元）</w:t>
            </w:r>
          </w:p>
        </w:tc>
        <w:tc>
          <w:tcPr>
            <w:tcW w:w="597"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效益收费（万元）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包13</w:t>
            </w: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65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浙江环网宁绍站</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000000"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65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浙江环网莲都扩、兰江变电改造</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restart"/>
            <w:tcBorders>
              <w:top w:val="single" w:color="auto" w:sz="4" w:space="0"/>
              <w:left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000000"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65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浙江环网GIL管廊电气、辅助系统及引接站</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restart"/>
            <w:tcBorders>
              <w:top w:val="single" w:color="auto" w:sz="4" w:space="0"/>
              <w:left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65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达拉特~蒙西工程达拉特站</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restart"/>
            <w:tcBorders>
              <w:top w:val="single" w:color="auto" w:sz="4" w:space="0"/>
              <w:left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65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达拉特~蒙西工程蒙西扩</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restart"/>
            <w:tcBorders>
              <w:top w:val="single" w:color="auto" w:sz="4" w:space="0"/>
              <w:left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65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7"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30"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3878" w:type="pct"/>
            <w:gridSpan w:val="5"/>
            <w:vMerge w:val="restart"/>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投标报价总额：</w:t>
            </w:r>
            <w:r>
              <w:rPr>
                <w:rFonts w:hint="eastAsia" w:ascii="宋体" w:hAnsi="宋体" w:eastAsia="宋体" w:cs="宋体"/>
                <w:color w:val="auto"/>
                <w:sz w:val="21"/>
                <w:szCs w:val="21"/>
                <w:highlight w:val="none"/>
                <w:u w:val="single"/>
                <w:lang w:val="en-US" w:eastAsia="zh-CN"/>
              </w:rPr>
              <w:t xml:space="preserve">      </w:t>
            </w:r>
            <w:r>
              <w:rPr>
                <w:rFonts w:hint="eastAsia" w:ascii="宋体" w:hAnsi="宋体" w:eastAsia="宋体" w:cs="宋体"/>
                <w:color w:val="auto"/>
                <w:sz w:val="21"/>
                <w:szCs w:val="21"/>
                <w:highlight w:val="none"/>
                <w:lang w:val="en-US" w:eastAsia="zh-CN"/>
              </w:rPr>
              <w:t>万元；</w:t>
            </w:r>
            <w:r>
              <w:rPr>
                <w:rFonts w:hint="eastAsia" w:ascii="宋体" w:hAnsi="宋体" w:eastAsia="宋体" w:cs="宋体"/>
                <w:color w:val="auto"/>
                <w:sz w:val="21"/>
                <w:szCs w:val="21"/>
                <w:highlight w:val="none"/>
                <w:lang w:val="en-US" w:eastAsia="zh-CN"/>
              </w:rPr>
              <w:br w:type="textWrapping"/>
            </w:r>
            <w:r>
              <w:rPr>
                <w:rFonts w:hint="eastAsia" w:ascii="宋体" w:hAnsi="宋体" w:eastAsia="宋体" w:cs="宋体"/>
                <w:color w:val="auto"/>
                <w:sz w:val="21"/>
                <w:szCs w:val="21"/>
                <w:highlight w:val="none"/>
                <w:lang w:val="en-US" w:eastAsia="zh-CN"/>
              </w:rPr>
              <w:t>效益收费费率：</w:t>
            </w:r>
            <w:r>
              <w:rPr>
                <w:rFonts w:hint="eastAsia" w:ascii="宋体" w:hAnsi="宋体" w:eastAsia="宋体" w:cs="宋体"/>
                <w:color w:val="auto"/>
                <w:sz w:val="21"/>
                <w:szCs w:val="21"/>
                <w:highlight w:val="none"/>
                <w:u w:val="single"/>
                <w:lang w:val="en-US" w:eastAsia="zh-CN"/>
              </w:rPr>
              <w:t xml:space="preserve">       </w:t>
            </w:r>
            <w:r>
              <w:rPr>
                <w:rFonts w:hint="eastAsia" w:ascii="宋体" w:hAnsi="宋体" w:eastAsia="宋体" w:cs="宋体"/>
                <w:color w:val="auto"/>
                <w:sz w:val="21"/>
                <w:szCs w:val="21"/>
                <w:highlight w:val="none"/>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2"/>
                <w:szCs w:val="22"/>
                <w:highlight w:val="none"/>
                <w:u w:val="none"/>
              </w:rPr>
            </w:pPr>
          </w:p>
        </w:tc>
        <w:tc>
          <w:tcPr>
            <w:tcW w:w="530"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2"/>
                <w:szCs w:val="22"/>
                <w:highlight w:val="none"/>
                <w:u w:val="none"/>
              </w:rPr>
            </w:pPr>
          </w:p>
        </w:tc>
        <w:tc>
          <w:tcPr>
            <w:tcW w:w="3878"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eastAsia="宋体" w:cs="宋体"/>
                <w:i w:val="0"/>
                <w:iCs w:val="0"/>
                <w:color w:val="000000"/>
                <w:sz w:val="22"/>
                <w:szCs w:val="22"/>
                <w:highlight w:val="none"/>
                <w:u w:val="none"/>
              </w:rPr>
            </w:pPr>
          </w:p>
        </w:tc>
      </w:tr>
    </w:tbl>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注：</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1、投标报价总额=各单项工程基本审核费之和+汇总费</w:t>
      </w:r>
      <w:r>
        <w:rPr>
          <w:rFonts w:hint="eastAsia" w:ascii="宋体" w:hAnsi="宋体" w:eastAsia="宋体" w:cs="宋体"/>
          <w:color w:val="auto"/>
          <w:sz w:val="21"/>
          <w:szCs w:val="21"/>
          <w:highlight w:val="none"/>
          <w:lang w:val="en-US" w:eastAsia="zh-CN"/>
        </w:rPr>
        <w:t>之和</w:t>
      </w:r>
      <w:r>
        <w:rPr>
          <w:rFonts w:hint="eastAsia" w:ascii="宋体" w:hAnsi="宋体" w:eastAsia="宋体" w:cs="宋体"/>
          <w:color w:val="auto"/>
          <w:sz w:val="21"/>
          <w:szCs w:val="21"/>
          <w:highlight w:val="none"/>
        </w:rPr>
        <w:t>（如有）+效益收费</w:t>
      </w:r>
      <w:r>
        <w:rPr>
          <w:rFonts w:hint="eastAsia" w:ascii="宋体" w:hAnsi="宋体" w:eastAsia="宋体" w:cs="宋体"/>
          <w:color w:val="auto"/>
          <w:sz w:val="21"/>
          <w:szCs w:val="21"/>
          <w:highlight w:val="none"/>
          <w:lang w:val="en-US" w:eastAsia="zh-CN"/>
        </w:rPr>
        <w:t>之和</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2、汇总费如有，按不超过</w:t>
      </w:r>
      <w:r>
        <w:rPr>
          <w:rFonts w:hint="eastAsia" w:ascii="宋体" w:hAnsi="宋体" w:eastAsia="宋体" w:cs="宋体"/>
          <w:color w:val="auto"/>
          <w:sz w:val="21"/>
          <w:szCs w:val="21"/>
          <w:highlight w:val="none"/>
          <w:lang w:eastAsia="zh-CN"/>
        </w:rPr>
        <w:t>各个工程汇总费</w:t>
      </w:r>
      <w:r>
        <w:rPr>
          <w:rFonts w:hint="eastAsia" w:ascii="宋体" w:hAnsi="宋体" w:eastAsia="宋体" w:cs="宋体"/>
          <w:color w:val="auto"/>
          <w:sz w:val="21"/>
          <w:szCs w:val="21"/>
          <w:highlight w:val="none"/>
        </w:rPr>
        <w:t>分项限价金额填报</w:t>
      </w:r>
      <w:r>
        <w:rPr>
          <w:rFonts w:hint="eastAsia" w:ascii="宋体" w:hAnsi="宋体" w:eastAsia="宋体" w:cs="宋体"/>
          <w:color w:val="auto"/>
          <w:sz w:val="21"/>
          <w:szCs w:val="21"/>
          <w:highlight w:val="none"/>
          <w:lang w:eastAsia="zh-CN"/>
        </w:rPr>
        <w:t>在对应工程汇总费一栏中</w:t>
      </w:r>
      <w:r>
        <w:rPr>
          <w:rFonts w:hint="eastAsia" w:ascii="宋体" w:hAnsi="宋体" w:eastAsia="宋体" w:cs="宋体"/>
          <w:color w:val="auto"/>
          <w:sz w:val="21"/>
          <w:szCs w:val="21"/>
          <w:highlight w:val="none"/>
        </w:rPr>
        <w:t>。如本标包</w:t>
      </w:r>
      <w:r>
        <w:rPr>
          <w:rFonts w:hint="eastAsia" w:ascii="宋体" w:hAnsi="宋体" w:eastAsia="宋体" w:cs="宋体"/>
          <w:color w:val="auto"/>
          <w:sz w:val="21"/>
          <w:szCs w:val="21"/>
          <w:highlight w:val="none"/>
          <w:lang w:eastAsia="zh-CN"/>
        </w:rPr>
        <w:t>、本工程分项限价无</w:t>
      </w:r>
      <w:r>
        <w:rPr>
          <w:rFonts w:hint="eastAsia" w:ascii="宋体" w:hAnsi="宋体" w:eastAsia="宋体" w:cs="宋体"/>
          <w:color w:val="auto"/>
          <w:sz w:val="21"/>
          <w:szCs w:val="21"/>
          <w:highlight w:val="none"/>
        </w:rPr>
        <w:t>汇总费，</w:t>
      </w:r>
      <w:r>
        <w:rPr>
          <w:rFonts w:hint="eastAsia" w:ascii="宋体" w:hAnsi="宋体" w:eastAsia="宋体" w:cs="宋体"/>
          <w:color w:val="auto"/>
          <w:sz w:val="21"/>
          <w:szCs w:val="21"/>
          <w:highlight w:val="none"/>
          <w:lang w:eastAsia="zh-CN"/>
        </w:rPr>
        <w:t>对应工程汇总费一栏</w:t>
      </w:r>
      <w:r>
        <w:rPr>
          <w:rFonts w:hint="eastAsia" w:ascii="宋体" w:hAnsi="宋体" w:eastAsia="宋体" w:cs="宋体"/>
          <w:color w:val="auto"/>
          <w:sz w:val="21"/>
          <w:szCs w:val="21"/>
          <w:highlight w:val="none"/>
        </w:rPr>
        <w:t>按0万元填报。</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3、最高限价和投标报价均包含效益收费，投标报价表中效益收费</w:t>
      </w:r>
      <w:r>
        <w:rPr>
          <w:rFonts w:hint="eastAsia" w:ascii="宋体" w:hAnsi="宋体" w:eastAsia="宋体" w:cs="宋体"/>
          <w:color w:val="auto"/>
          <w:sz w:val="21"/>
          <w:szCs w:val="21"/>
          <w:highlight w:val="none"/>
          <w:lang w:eastAsia="zh-CN"/>
        </w:rPr>
        <w:t>按各个工程的</w:t>
      </w:r>
      <w:r>
        <w:rPr>
          <w:rFonts w:hint="eastAsia" w:ascii="宋体" w:hAnsi="宋体" w:eastAsia="宋体" w:cs="宋体"/>
          <w:color w:val="auto"/>
          <w:sz w:val="21"/>
          <w:szCs w:val="21"/>
          <w:highlight w:val="none"/>
        </w:rPr>
        <w:t>固定费用填报，其中包1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43</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练塘扩2万元、东吴扩1万元、浙江环网嘉兴站20万元、川南站20万元）</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13</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52</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宁绍站20万元，莲都扩、兰江改造1万元，GIL管廊电气、辅助系统及引接站10万元，达拉特站20万元，蒙西扩1万元）</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14</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20</w:t>
      </w:r>
      <w:r>
        <w:rPr>
          <w:rFonts w:hint="eastAsia" w:ascii="宋体" w:hAnsi="宋体" w:eastAsia="宋体" w:cs="宋体"/>
          <w:color w:val="auto"/>
          <w:sz w:val="21"/>
          <w:szCs w:val="21"/>
          <w:highlight w:val="none"/>
        </w:rPr>
        <w:t>万元，包</w:t>
      </w:r>
      <w:r>
        <w:rPr>
          <w:rFonts w:hint="eastAsia" w:ascii="宋体" w:hAnsi="宋体" w:eastAsia="宋体" w:cs="宋体"/>
          <w:color w:val="auto"/>
          <w:sz w:val="21"/>
          <w:szCs w:val="21"/>
          <w:highlight w:val="none"/>
          <w:lang w:val="en-US" w:eastAsia="zh-CN"/>
        </w:rPr>
        <w:t>15共21</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攀西站20万元、天府南扩1万元）</w:t>
      </w:r>
      <w:r>
        <w:rPr>
          <w:rFonts w:hint="eastAsia" w:ascii="宋体" w:hAnsi="宋体" w:eastAsia="宋体" w:cs="宋体"/>
          <w:color w:val="auto"/>
          <w:sz w:val="21"/>
          <w:szCs w:val="21"/>
          <w:highlight w:val="none"/>
        </w:rPr>
        <w:t>。实际效益收费在合同结算时据实调整。实际效益收费=效益收费计算基数×效益收费费率（%）。效益收费计算基数为工程建筑安装工程费</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建设场地征用及清理费</w:t>
      </w:r>
      <w:r>
        <w:rPr>
          <w:rFonts w:hint="eastAsia" w:ascii="宋体" w:hAnsi="宋体" w:eastAsia="宋体" w:cs="宋体"/>
          <w:color w:val="auto"/>
          <w:sz w:val="21"/>
          <w:szCs w:val="21"/>
          <w:highlight w:val="none"/>
          <w:lang w:val="en-US" w:eastAsia="zh-CN"/>
        </w:rPr>
        <w:t>、物资费</w:t>
      </w:r>
      <w:r>
        <w:rPr>
          <w:rFonts w:hint="eastAsia" w:ascii="宋体" w:hAnsi="宋体" w:eastAsia="宋体" w:cs="宋体"/>
          <w:color w:val="auto"/>
          <w:sz w:val="21"/>
          <w:szCs w:val="21"/>
          <w:highlight w:val="none"/>
        </w:rPr>
        <w:t>的</w:t>
      </w:r>
      <w:r>
        <w:rPr>
          <w:rFonts w:hint="eastAsia" w:ascii="宋体" w:hAnsi="宋体" w:eastAsia="宋体" w:cs="宋体"/>
          <w:color w:val="auto"/>
          <w:sz w:val="21"/>
          <w:szCs w:val="21"/>
          <w:highlight w:val="none"/>
          <w:lang w:eastAsia="zh-CN"/>
        </w:rPr>
        <w:t>总共</w:t>
      </w:r>
      <w:r>
        <w:rPr>
          <w:rFonts w:hint="eastAsia" w:ascii="宋体" w:hAnsi="宋体" w:eastAsia="宋体" w:cs="宋体"/>
          <w:color w:val="auto"/>
          <w:sz w:val="21"/>
          <w:szCs w:val="21"/>
          <w:highlight w:val="none"/>
        </w:rPr>
        <w:t>审减额</w:t>
      </w:r>
      <w:r>
        <w:rPr>
          <w:rFonts w:hint="eastAsia" w:ascii="宋体" w:hAnsi="宋体" w:eastAsia="宋体" w:cs="宋体"/>
          <w:color w:val="auto"/>
          <w:sz w:val="21"/>
          <w:szCs w:val="21"/>
          <w:highlight w:val="none"/>
          <w:lang w:eastAsia="zh-CN"/>
        </w:rPr>
        <w:t>，包括上述费用在工程竣工结算批复中的预留项目审减额，不含预留项目实施完成后的结算审减额</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4、投标人须在“效益收费费率（%）”栏中自行填报效益收费费率，效益收费费率上限为 3% ，否则作为否决投标处理</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包内所有工程效益收费费率一致</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5、各包最高限价见招标文件第一章招标公告附件1需求一览表。</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6、基本审核费：如本标包审核范围不含安稳工程、接地极工程或</w:t>
      </w:r>
      <w:r>
        <w:rPr>
          <w:rFonts w:hint="eastAsia" w:ascii="宋体" w:hAnsi="宋体" w:eastAsia="宋体" w:cs="宋体"/>
          <w:color w:val="auto"/>
          <w:sz w:val="21"/>
          <w:szCs w:val="21"/>
          <w:highlight w:val="none"/>
          <w:lang w:eastAsia="zh-CN"/>
        </w:rPr>
        <w:t>光通信设备工程</w:t>
      </w:r>
      <w:r>
        <w:rPr>
          <w:rFonts w:hint="eastAsia" w:ascii="宋体" w:hAnsi="宋体" w:eastAsia="宋体" w:cs="宋体"/>
          <w:color w:val="auto"/>
          <w:sz w:val="21"/>
          <w:szCs w:val="21"/>
          <w:highlight w:val="none"/>
        </w:rPr>
        <w:t>，对应基本审核费填0万元。站本体工程仅指换流站、变电站或扩建工程（含进站路），不包括安稳、接地极、</w:t>
      </w:r>
      <w:r>
        <w:rPr>
          <w:rFonts w:hint="eastAsia" w:ascii="宋体" w:hAnsi="宋体" w:eastAsia="宋体" w:cs="宋体"/>
          <w:color w:val="auto"/>
          <w:sz w:val="21"/>
          <w:szCs w:val="21"/>
          <w:highlight w:val="none"/>
          <w:lang w:eastAsia="zh-CN"/>
        </w:rPr>
        <w:t>光通信设备工程</w:t>
      </w:r>
      <w:r>
        <w:rPr>
          <w:rFonts w:hint="eastAsia" w:ascii="宋体" w:hAnsi="宋体" w:eastAsia="宋体" w:cs="宋体"/>
          <w:color w:val="auto"/>
          <w:sz w:val="21"/>
          <w:szCs w:val="21"/>
          <w:highlight w:val="none"/>
        </w:rPr>
        <w:t>。</w:t>
      </w:r>
    </w:p>
    <w:p>
      <w:pPr>
        <w:rPr>
          <w:rFonts w:hint="eastAsia" w:ascii="宋体" w:hAnsi="宋体" w:cs="方正仿宋_GBK"/>
          <w:color w:val="000000"/>
          <w:sz w:val="22"/>
          <w:szCs w:val="22"/>
          <w:highlight w:val="none"/>
        </w:rPr>
      </w:pPr>
      <w:r>
        <w:rPr>
          <w:rFonts w:hint="eastAsia" w:ascii="宋体" w:hAnsi="宋体" w:eastAsia="宋体" w:cs="宋体"/>
          <w:color w:val="auto"/>
          <w:sz w:val="21"/>
          <w:szCs w:val="21"/>
          <w:highlight w:val="none"/>
        </w:rPr>
        <w:t>7、包</w:t>
      </w:r>
      <w:r>
        <w:rPr>
          <w:rFonts w:hint="eastAsia" w:ascii="宋体" w:hAnsi="宋体" w:eastAsia="宋体" w:cs="宋体"/>
          <w:color w:val="auto"/>
          <w:sz w:val="21"/>
          <w:szCs w:val="21"/>
          <w:highlight w:val="none"/>
          <w:lang w:val="en-US" w:eastAsia="zh-CN"/>
        </w:rPr>
        <w:t>13达拉特站、</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14温州站、包15攀西站</w:t>
      </w:r>
      <w:r>
        <w:rPr>
          <w:rFonts w:hint="eastAsia" w:ascii="宋体" w:hAnsi="宋体" w:eastAsia="宋体" w:cs="宋体"/>
          <w:color w:val="auto"/>
          <w:sz w:val="21"/>
          <w:szCs w:val="21"/>
          <w:highlight w:val="none"/>
        </w:rPr>
        <w:t>含汇总费，包括汇总、造价分析及工程其他费审核。</w:t>
      </w:r>
    </w:p>
    <w:p>
      <w:pPr>
        <w:pStyle w:val="5"/>
        <w:rPr>
          <w:rFonts w:hint="eastAsia" w:ascii="宋体" w:hAnsi="宋体" w:cs="方正仿宋_GBK"/>
          <w:color w:val="000000"/>
          <w:sz w:val="22"/>
          <w:szCs w:val="22"/>
          <w:highlight w:val="none"/>
        </w:rPr>
      </w:pPr>
    </w:p>
    <w:p>
      <w:pPr>
        <w:pStyle w:val="6"/>
        <w:rPr>
          <w:rFonts w:hint="eastAsia" w:ascii="宋体" w:hAnsi="宋体" w:cs="方正仿宋_GBK"/>
          <w:color w:val="000000"/>
          <w:sz w:val="22"/>
          <w:szCs w:val="22"/>
          <w:highlight w:val="none"/>
        </w:rPr>
      </w:pPr>
    </w:p>
    <w:p>
      <w:pPr>
        <w:widowControl/>
        <w:tabs>
          <w:tab w:val="left" w:pos="6180"/>
          <w:tab w:val="left" w:pos="9000"/>
        </w:tabs>
        <w:spacing w:after="160" w:line="240" w:lineRule="exact"/>
        <w:ind w:left="420"/>
        <w:jc w:val="center"/>
        <w:outlineLvl w:val="1"/>
        <w:rPr>
          <w:rFonts w:ascii="微软雅黑" w:hAnsi="微软雅黑" w:eastAsia="微软雅黑" w:cs="微软雅黑"/>
          <w:b/>
          <w:color w:val="000000"/>
          <w:kern w:val="0"/>
          <w:sz w:val="22"/>
          <w:szCs w:val="21"/>
          <w:highlight w:val="none"/>
        </w:rPr>
      </w:pPr>
      <w:r>
        <w:rPr>
          <w:rFonts w:hint="eastAsia" w:ascii="黑体" w:hAnsi="黑体" w:eastAsia="黑体" w:cs="黑体"/>
          <w:b/>
          <w:bCs/>
          <w:color w:val="auto"/>
          <w:szCs w:val="21"/>
          <w:highlight w:val="none"/>
          <w:lang w:eastAsia="zh-CN"/>
        </w:rPr>
        <w:t>工程结算审核报价明细表(适用于包</w:t>
      </w:r>
      <w:r>
        <w:rPr>
          <w:rFonts w:hint="eastAsia" w:ascii="黑体" w:hAnsi="黑体" w:eastAsia="黑体" w:cs="黑体"/>
          <w:b/>
          <w:bCs/>
          <w:color w:val="auto"/>
          <w:szCs w:val="21"/>
          <w:highlight w:val="none"/>
          <w:lang w:val="en-US" w:eastAsia="zh-CN"/>
        </w:rPr>
        <w:t>14</w:t>
      </w:r>
      <w:r>
        <w:rPr>
          <w:rFonts w:hint="eastAsia" w:ascii="黑体" w:hAnsi="黑体" w:eastAsia="黑体" w:cs="黑体"/>
          <w:b/>
          <w:bCs/>
          <w:color w:val="auto"/>
          <w:szCs w:val="21"/>
          <w:highlight w:val="none"/>
          <w:lang w:eastAsia="zh-CN"/>
        </w:rPr>
        <w:t>）</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招标编号：</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分标名称：</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w:t>
      </w:r>
    </w:p>
    <w:p>
      <w:pPr>
        <w:widowControl/>
        <w:adjustRightInd w:val="0"/>
        <w:jc w:val="left"/>
        <w:rPr>
          <w:highlight w:val="none"/>
        </w:rPr>
      </w:pPr>
      <w:r>
        <w:rPr>
          <w:rFonts w:hint="eastAsia" w:ascii="宋体" w:hAnsi="宋体" w:eastAsia="宋体" w:cs="宋体"/>
          <w:color w:val="auto"/>
          <w:sz w:val="21"/>
          <w:szCs w:val="21"/>
          <w:highlight w:val="none"/>
        </w:rPr>
        <w:t>货币：人民币</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9"/>
        <w:gridCol w:w="922"/>
        <w:gridCol w:w="1098"/>
        <w:gridCol w:w="2265"/>
        <w:gridCol w:w="1200"/>
        <w:gridCol w:w="1011"/>
        <w:gridCol w:w="1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92"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包名称</w:t>
            </w:r>
          </w:p>
        </w:tc>
        <w:tc>
          <w:tcPr>
            <w:tcW w:w="541"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序号</w:t>
            </w:r>
          </w:p>
        </w:tc>
        <w:tc>
          <w:tcPr>
            <w:tcW w:w="64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工程名称</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单项工程名称</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基本审核费（万元）</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汇总费（如有）（万元）</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效益收费（万元）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包14</w:t>
            </w:r>
          </w:p>
        </w:tc>
        <w:tc>
          <w:tcPr>
            <w:tcW w:w="541"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644"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浙江环网温州站</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41"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644"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41"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644"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41"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644"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41"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3865" w:type="pct"/>
            <w:gridSpan w:val="5"/>
            <w:vMerge w:val="restart"/>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投标报价总额：</w:t>
            </w:r>
            <w:r>
              <w:rPr>
                <w:rFonts w:hint="eastAsia" w:ascii="宋体" w:hAnsi="宋体" w:eastAsia="宋体" w:cs="宋体"/>
                <w:color w:val="auto"/>
                <w:sz w:val="21"/>
                <w:szCs w:val="21"/>
                <w:highlight w:val="none"/>
                <w:u w:val="single"/>
                <w:lang w:val="en-US" w:eastAsia="zh-CN"/>
              </w:rPr>
              <w:t xml:space="preserve">      </w:t>
            </w:r>
            <w:r>
              <w:rPr>
                <w:rFonts w:hint="eastAsia" w:ascii="宋体" w:hAnsi="宋体" w:eastAsia="宋体" w:cs="宋体"/>
                <w:color w:val="auto"/>
                <w:sz w:val="21"/>
                <w:szCs w:val="21"/>
                <w:highlight w:val="none"/>
                <w:lang w:val="en-US" w:eastAsia="zh-CN"/>
              </w:rPr>
              <w:t>万元；</w:t>
            </w:r>
            <w:r>
              <w:rPr>
                <w:rFonts w:hint="eastAsia" w:ascii="宋体" w:hAnsi="宋体" w:eastAsia="宋体" w:cs="宋体"/>
                <w:color w:val="auto"/>
                <w:sz w:val="21"/>
                <w:szCs w:val="21"/>
                <w:highlight w:val="none"/>
                <w:lang w:val="en-US" w:eastAsia="zh-CN"/>
              </w:rPr>
              <w:br w:type="textWrapping"/>
            </w:r>
            <w:r>
              <w:rPr>
                <w:rFonts w:hint="eastAsia" w:ascii="宋体" w:hAnsi="宋体" w:eastAsia="宋体" w:cs="宋体"/>
                <w:color w:val="auto"/>
                <w:sz w:val="21"/>
                <w:szCs w:val="21"/>
                <w:highlight w:val="none"/>
                <w:lang w:val="en-US" w:eastAsia="zh-CN"/>
              </w:rPr>
              <w:t>效益收费费率：</w:t>
            </w:r>
            <w:r>
              <w:rPr>
                <w:rFonts w:hint="eastAsia" w:ascii="宋体" w:hAnsi="宋体" w:eastAsia="宋体" w:cs="宋体"/>
                <w:color w:val="auto"/>
                <w:sz w:val="21"/>
                <w:szCs w:val="21"/>
                <w:highlight w:val="none"/>
                <w:u w:val="single"/>
                <w:lang w:val="en-US" w:eastAsia="zh-CN"/>
              </w:rPr>
              <w:t xml:space="preserve">        </w:t>
            </w:r>
            <w:r>
              <w:rPr>
                <w:rFonts w:hint="eastAsia" w:ascii="宋体" w:hAnsi="宋体" w:eastAsia="宋体" w:cs="宋体"/>
                <w:color w:val="auto"/>
                <w:sz w:val="21"/>
                <w:szCs w:val="21"/>
                <w:highlight w:val="none"/>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2"/>
                <w:szCs w:val="22"/>
                <w:highlight w:val="none"/>
                <w:u w:val="none"/>
              </w:rPr>
            </w:pPr>
          </w:p>
        </w:tc>
        <w:tc>
          <w:tcPr>
            <w:tcW w:w="54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2"/>
                <w:szCs w:val="22"/>
                <w:highlight w:val="none"/>
                <w:u w:val="none"/>
              </w:rPr>
            </w:pPr>
          </w:p>
        </w:tc>
        <w:tc>
          <w:tcPr>
            <w:tcW w:w="3865"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eastAsia="宋体" w:cs="宋体"/>
                <w:i w:val="0"/>
                <w:iCs w:val="0"/>
                <w:color w:val="000000"/>
                <w:sz w:val="22"/>
                <w:szCs w:val="22"/>
                <w:highlight w:val="none"/>
                <w:u w:val="none"/>
              </w:rPr>
            </w:pPr>
          </w:p>
        </w:tc>
      </w:tr>
    </w:tbl>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注：</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1、投标报价总额=各单项工程基本审核费之和+汇总费</w:t>
      </w:r>
      <w:r>
        <w:rPr>
          <w:rFonts w:hint="eastAsia" w:ascii="宋体" w:hAnsi="宋体" w:eastAsia="宋体" w:cs="宋体"/>
          <w:color w:val="auto"/>
          <w:sz w:val="21"/>
          <w:szCs w:val="21"/>
          <w:highlight w:val="none"/>
          <w:lang w:val="en-US" w:eastAsia="zh-CN"/>
        </w:rPr>
        <w:t>之和</w:t>
      </w:r>
      <w:r>
        <w:rPr>
          <w:rFonts w:hint="eastAsia" w:ascii="宋体" w:hAnsi="宋体" w:eastAsia="宋体" w:cs="宋体"/>
          <w:color w:val="auto"/>
          <w:sz w:val="21"/>
          <w:szCs w:val="21"/>
          <w:highlight w:val="none"/>
        </w:rPr>
        <w:t>（如有）+效益收费</w:t>
      </w:r>
      <w:r>
        <w:rPr>
          <w:rFonts w:hint="eastAsia" w:ascii="宋体" w:hAnsi="宋体" w:eastAsia="宋体" w:cs="宋体"/>
          <w:color w:val="auto"/>
          <w:sz w:val="21"/>
          <w:szCs w:val="21"/>
          <w:highlight w:val="none"/>
          <w:lang w:val="en-US" w:eastAsia="zh-CN"/>
        </w:rPr>
        <w:t>之和</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2、汇总费如有，按不超过</w:t>
      </w:r>
      <w:r>
        <w:rPr>
          <w:rFonts w:hint="eastAsia" w:ascii="宋体" w:hAnsi="宋体" w:eastAsia="宋体" w:cs="宋体"/>
          <w:color w:val="auto"/>
          <w:sz w:val="21"/>
          <w:szCs w:val="21"/>
          <w:highlight w:val="none"/>
          <w:lang w:eastAsia="zh-CN"/>
        </w:rPr>
        <w:t>各个工程汇总费</w:t>
      </w:r>
      <w:r>
        <w:rPr>
          <w:rFonts w:hint="eastAsia" w:ascii="宋体" w:hAnsi="宋体" w:eastAsia="宋体" w:cs="宋体"/>
          <w:color w:val="auto"/>
          <w:sz w:val="21"/>
          <w:szCs w:val="21"/>
          <w:highlight w:val="none"/>
        </w:rPr>
        <w:t>分项限价金额填报</w:t>
      </w:r>
      <w:r>
        <w:rPr>
          <w:rFonts w:hint="eastAsia" w:ascii="宋体" w:hAnsi="宋体" w:eastAsia="宋体" w:cs="宋体"/>
          <w:color w:val="auto"/>
          <w:sz w:val="21"/>
          <w:szCs w:val="21"/>
          <w:highlight w:val="none"/>
          <w:lang w:eastAsia="zh-CN"/>
        </w:rPr>
        <w:t>在对应工程汇总费一栏中</w:t>
      </w:r>
      <w:r>
        <w:rPr>
          <w:rFonts w:hint="eastAsia" w:ascii="宋体" w:hAnsi="宋体" w:eastAsia="宋体" w:cs="宋体"/>
          <w:color w:val="auto"/>
          <w:sz w:val="21"/>
          <w:szCs w:val="21"/>
          <w:highlight w:val="none"/>
        </w:rPr>
        <w:t>。如本标包</w:t>
      </w:r>
      <w:r>
        <w:rPr>
          <w:rFonts w:hint="eastAsia" w:ascii="宋体" w:hAnsi="宋体" w:eastAsia="宋体" w:cs="宋体"/>
          <w:color w:val="auto"/>
          <w:sz w:val="21"/>
          <w:szCs w:val="21"/>
          <w:highlight w:val="none"/>
          <w:lang w:eastAsia="zh-CN"/>
        </w:rPr>
        <w:t>、本工程分项限价无</w:t>
      </w:r>
      <w:r>
        <w:rPr>
          <w:rFonts w:hint="eastAsia" w:ascii="宋体" w:hAnsi="宋体" w:eastAsia="宋体" w:cs="宋体"/>
          <w:color w:val="auto"/>
          <w:sz w:val="21"/>
          <w:szCs w:val="21"/>
          <w:highlight w:val="none"/>
        </w:rPr>
        <w:t>汇总费，</w:t>
      </w:r>
      <w:r>
        <w:rPr>
          <w:rFonts w:hint="eastAsia" w:ascii="宋体" w:hAnsi="宋体" w:eastAsia="宋体" w:cs="宋体"/>
          <w:color w:val="auto"/>
          <w:sz w:val="21"/>
          <w:szCs w:val="21"/>
          <w:highlight w:val="none"/>
          <w:lang w:eastAsia="zh-CN"/>
        </w:rPr>
        <w:t>对应工程汇总费一栏</w:t>
      </w:r>
      <w:r>
        <w:rPr>
          <w:rFonts w:hint="eastAsia" w:ascii="宋体" w:hAnsi="宋体" w:eastAsia="宋体" w:cs="宋体"/>
          <w:color w:val="auto"/>
          <w:sz w:val="21"/>
          <w:szCs w:val="21"/>
          <w:highlight w:val="none"/>
        </w:rPr>
        <w:t>按0万元填报。</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3、最高限价和投标报价均包含效益收费，投标报价表中效益收费</w:t>
      </w:r>
      <w:r>
        <w:rPr>
          <w:rFonts w:hint="eastAsia" w:ascii="宋体" w:hAnsi="宋体" w:eastAsia="宋体" w:cs="宋体"/>
          <w:color w:val="auto"/>
          <w:sz w:val="21"/>
          <w:szCs w:val="21"/>
          <w:highlight w:val="none"/>
          <w:lang w:eastAsia="zh-CN"/>
        </w:rPr>
        <w:t>按各个工程的</w:t>
      </w:r>
      <w:r>
        <w:rPr>
          <w:rFonts w:hint="eastAsia" w:ascii="宋体" w:hAnsi="宋体" w:eastAsia="宋体" w:cs="宋体"/>
          <w:color w:val="auto"/>
          <w:sz w:val="21"/>
          <w:szCs w:val="21"/>
          <w:highlight w:val="none"/>
        </w:rPr>
        <w:t>固定费用填报，其中包1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43</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练塘扩2万元、东吴扩1万元、浙江环网嘉兴站20万元、川南站20万元）</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13</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52</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宁绍站20万元，莲都扩、兰江改造1万元，GIL管廊电气、辅助系统及引接站10万元，达拉特站20万元，蒙西扩1万元）</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14</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20</w:t>
      </w:r>
      <w:r>
        <w:rPr>
          <w:rFonts w:hint="eastAsia" w:ascii="宋体" w:hAnsi="宋体" w:eastAsia="宋体" w:cs="宋体"/>
          <w:color w:val="auto"/>
          <w:sz w:val="21"/>
          <w:szCs w:val="21"/>
          <w:highlight w:val="none"/>
        </w:rPr>
        <w:t>万元，包</w:t>
      </w:r>
      <w:r>
        <w:rPr>
          <w:rFonts w:hint="eastAsia" w:ascii="宋体" w:hAnsi="宋体" w:eastAsia="宋体" w:cs="宋体"/>
          <w:color w:val="auto"/>
          <w:sz w:val="21"/>
          <w:szCs w:val="21"/>
          <w:highlight w:val="none"/>
          <w:lang w:val="en-US" w:eastAsia="zh-CN"/>
        </w:rPr>
        <w:t>15共21</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攀西站20万元、天府南扩1万元）</w:t>
      </w:r>
      <w:r>
        <w:rPr>
          <w:rFonts w:hint="eastAsia" w:ascii="宋体" w:hAnsi="宋体" w:eastAsia="宋体" w:cs="宋体"/>
          <w:color w:val="auto"/>
          <w:sz w:val="21"/>
          <w:szCs w:val="21"/>
          <w:highlight w:val="none"/>
        </w:rPr>
        <w:t>。实际效益收费在合同结算时据实调整。实际效益收费=效益收费计算基数×效益收费费率（%）。效益收费计算基数为工程建筑安装工程费</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建设场地征用及清理费</w:t>
      </w:r>
      <w:r>
        <w:rPr>
          <w:rFonts w:hint="eastAsia" w:ascii="宋体" w:hAnsi="宋体" w:eastAsia="宋体" w:cs="宋体"/>
          <w:color w:val="auto"/>
          <w:sz w:val="21"/>
          <w:szCs w:val="21"/>
          <w:highlight w:val="none"/>
          <w:lang w:val="en-US" w:eastAsia="zh-CN"/>
        </w:rPr>
        <w:t>、物资费</w:t>
      </w:r>
      <w:r>
        <w:rPr>
          <w:rFonts w:hint="eastAsia" w:ascii="宋体" w:hAnsi="宋体" w:eastAsia="宋体" w:cs="宋体"/>
          <w:color w:val="auto"/>
          <w:sz w:val="21"/>
          <w:szCs w:val="21"/>
          <w:highlight w:val="none"/>
        </w:rPr>
        <w:t>的</w:t>
      </w:r>
      <w:r>
        <w:rPr>
          <w:rFonts w:hint="eastAsia" w:ascii="宋体" w:hAnsi="宋体" w:eastAsia="宋体" w:cs="宋体"/>
          <w:color w:val="auto"/>
          <w:sz w:val="21"/>
          <w:szCs w:val="21"/>
          <w:highlight w:val="none"/>
          <w:lang w:eastAsia="zh-CN"/>
        </w:rPr>
        <w:t>总共</w:t>
      </w:r>
      <w:r>
        <w:rPr>
          <w:rFonts w:hint="eastAsia" w:ascii="宋体" w:hAnsi="宋体" w:eastAsia="宋体" w:cs="宋体"/>
          <w:color w:val="auto"/>
          <w:sz w:val="21"/>
          <w:szCs w:val="21"/>
          <w:highlight w:val="none"/>
        </w:rPr>
        <w:t>审减额</w:t>
      </w:r>
      <w:r>
        <w:rPr>
          <w:rFonts w:hint="eastAsia" w:ascii="宋体" w:hAnsi="宋体" w:eastAsia="宋体" w:cs="宋体"/>
          <w:color w:val="auto"/>
          <w:sz w:val="21"/>
          <w:szCs w:val="21"/>
          <w:highlight w:val="none"/>
          <w:lang w:eastAsia="zh-CN"/>
        </w:rPr>
        <w:t>，包括上述费用在工程竣工结算批复中的预留项目审减额，不含预留项目实施完成后的结算审减额</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4、投标人须在“效益收费费率（%）”栏中自行填报效益收费费率，效益收费费率上限为 3% ，否则作为否决投标处理</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包内所有工程效益收费费率一致</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5、各包最高限价见招标文件第一章招标公告附件1需求一览表。</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6、基本审核费：如本标包审核范围不含安稳工程、接地极工程或</w:t>
      </w:r>
      <w:r>
        <w:rPr>
          <w:rFonts w:hint="eastAsia" w:ascii="宋体" w:hAnsi="宋体" w:eastAsia="宋体" w:cs="宋体"/>
          <w:color w:val="auto"/>
          <w:sz w:val="21"/>
          <w:szCs w:val="21"/>
          <w:highlight w:val="none"/>
          <w:lang w:eastAsia="zh-CN"/>
        </w:rPr>
        <w:t>光通信设备工程</w:t>
      </w:r>
      <w:r>
        <w:rPr>
          <w:rFonts w:hint="eastAsia" w:ascii="宋体" w:hAnsi="宋体" w:eastAsia="宋体" w:cs="宋体"/>
          <w:color w:val="auto"/>
          <w:sz w:val="21"/>
          <w:szCs w:val="21"/>
          <w:highlight w:val="none"/>
        </w:rPr>
        <w:t>，对应基本审核费填0万元。站本体工程仅指换流站、变电站或扩建工程（含进站路），不包括安稳、接地极、</w:t>
      </w:r>
      <w:r>
        <w:rPr>
          <w:rFonts w:hint="eastAsia" w:ascii="宋体" w:hAnsi="宋体" w:eastAsia="宋体" w:cs="宋体"/>
          <w:color w:val="auto"/>
          <w:sz w:val="21"/>
          <w:szCs w:val="21"/>
          <w:highlight w:val="none"/>
          <w:lang w:eastAsia="zh-CN"/>
        </w:rPr>
        <w:t>光通信设备工程</w:t>
      </w:r>
      <w:r>
        <w:rPr>
          <w:rFonts w:hint="eastAsia" w:ascii="宋体" w:hAnsi="宋体" w:eastAsia="宋体" w:cs="宋体"/>
          <w:color w:val="auto"/>
          <w:sz w:val="21"/>
          <w:szCs w:val="21"/>
          <w:highlight w:val="none"/>
        </w:rPr>
        <w:t>。</w:t>
      </w:r>
    </w:p>
    <w:p>
      <w:pPr>
        <w:rPr>
          <w:rFonts w:hint="eastAsia" w:ascii="宋体" w:hAnsi="宋体" w:cs="方正仿宋_GBK"/>
          <w:color w:val="000000"/>
          <w:sz w:val="22"/>
          <w:szCs w:val="22"/>
          <w:highlight w:val="none"/>
        </w:rPr>
      </w:pPr>
      <w:r>
        <w:rPr>
          <w:rFonts w:hint="eastAsia" w:ascii="宋体" w:hAnsi="宋体" w:eastAsia="宋体" w:cs="宋体"/>
          <w:color w:val="auto"/>
          <w:sz w:val="21"/>
          <w:szCs w:val="21"/>
          <w:highlight w:val="none"/>
        </w:rPr>
        <w:t>7、包</w:t>
      </w:r>
      <w:r>
        <w:rPr>
          <w:rFonts w:hint="eastAsia" w:ascii="宋体" w:hAnsi="宋体" w:eastAsia="宋体" w:cs="宋体"/>
          <w:color w:val="auto"/>
          <w:sz w:val="21"/>
          <w:szCs w:val="21"/>
          <w:highlight w:val="none"/>
          <w:lang w:val="en-US" w:eastAsia="zh-CN"/>
        </w:rPr>
        <w:t>13达拉特站、</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14温州站、包15攀西站</w:t>
      </w:r>
      <w:r>
        <w:rPr>
          <w:rFonts w:hint="eastAsia" w:ascii="宋体" w:hAnsi="宋体" w:eastAsia="宋体" w:cs="宋体"/>
          <w:color w:val="auto"/>
          <w:sz w:val="21"/>
          <w:szCs w:val="21"/>
          <w:highlight w:val="none"/>
        </w:rPr>
        <w:t>含汇总费，包括汇总、造价分析及工程其他费审核。</w:t>
      </w:r>
    </w:p>
    <w:p>
      <w:pPr>
        <w:rPr>
          <w:rFonts w:hint="eastAsia"/>
          <w:highlight w:val="none"/>
          <w:lang w:val="en-US" w:eastAsia="zh-CN"/>
        </w:rPr>
      </w:pPr>
    </w:p>
    <w:p>
      <w:pPr>
        <w:pStyle w:val="5"/>
        <w:rPr>
          <w:rFonts w:hint="eastAsia" w:ascii="黑体" w:hAnsi="黑体" w:eastAsia="黑体" w:cs="黑体"/>
          <w:b/>
          <w:bCs/>
          <w:color w:val="auto"/>
          <w:kern w:val="2"/>
          <w:sz w:val="21"/>
          <w:szCs w:val="21"/>
          <w:highlight w:val="none"/>
          <w:lang w:val="en-US" w:eastAsia="zh-CN" w:bidi="ar-SA"/>
        </w:rPr>
      </w:pPr>
    </w:p>
    <w:p>
      <w:pPr>
        <w:widowControl/>
        <w:tabs>
          <w:tab w:val="left" w:pos="6180"/>
          <w:tab w:val="left" w:pos="9000"/>
        </w:tabs>
        <w:spacing w:after="160" w:line="240" w:lineRule="exact"/>
        <w:ind w:left="420"/>
        <w:jc w:val="center"/>
        <w:outlineLvl w:val="1"/>
        <w:rPr>
          <w:rFonts w:ascii="微软雅黑" w:hAnsi="微软雅黑" w:eastAsia="微软雅黑" w:cs="微软雅黑"/>
          <w:b/>
          <w:color w:val="000000"/>
          <w:kern w:val="0"/>
          <w:sz w:val="22"/>
          <w:szCs w:val="21"/>
          <w:highlight w:val="none"/>
        </w:rPr>
      </w:pPr>
      <w:r>
        <w:rPr>
          <w:rFonts w:hint="eastAsia" w:ascii="黑体" w:hAnsi="黑体" w:eastAsia="黑体" w:cs="黑体"/>
          <w:b/>
          <w:bCs/>
          <w:color w:val="auto"/>
          <w:kern w:val="2"/>
          <w:sz w:val="21"/>
          <w:szCs w:val="21"/>
          <w:highlight w:val="none"/>
          <w:lang w:val="en-US" w:eastAsia="zh-CN" w:bidi="ar-SA"/>
        </w:rPr>
        <w:t>工程结算审核报价明细表(适用于包15）</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招标编号：</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分标名称：</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w:t>
      </w:r>
    </w:p>
    <w:p>
      <w:pPr>
        <w:widowControl/>
        <w:adjustRightInd w:val="0"/>
        <w:jc w:val="left"/>
        <w:rPr>
          <w:highlight w:val="none"/>
        </w:rPr>
      </w:pPr>
      <w:r>
        <w:rPr>
          <w:rFonts w:hint="eastAsia" w:ascii="宋体" w:hAnsi="宋体" w:eastAsia="宋体" w:cs="宋体"/>
          <w:color w:val="auto"/>
          <w:sz w:val="21"/>
          <w:szCs w:val="21"/>
          <w:highlight w:val="none"/>
        </w:rPr>
        <w:t>货币：人民币</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0"/>
        <w:gridCol w:w="1010"/>
        <w:gridCol w:w="1011"/>
        <w:gridCol w:w="2265"/>
        <w:gridCol w:w="1200"/>
        <w:gridCol w:w="1011"/>
        <w:gridCol w:w="10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包名称</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序号</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工程名称</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单项工程名称</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基本审核费（万元）</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汇总费（如有）（万元）</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效益收费（万元）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包15</w:t>
            </w: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攀西工程攀西站</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26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26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000000"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攀西工程天府南扩</w:t>
            </w: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站本体工程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auto" w:sz="4" w:space="0"/>
              <w:left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安稳工程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26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接地极工程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26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1329"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光通信设备工程</w:t>
            </w:r>
          </w:p>
        </w:tc>
        <w:tc>
          <w:tcPr>
            <w:tcW w:w="704"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continue"/>
            <w:tcBorders>
              <w:top w:val="single" w:color="auto" w:sz="4" w:space="0"/>
              <w:left w:val="single" w:color="000000" w:sz="4" w:space="0"/>
              <w:bottom w:val="single" w:color="auto"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593" w:type="pct"/>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color w:val="auto"/>
                <w:sz w:val="21"/>
                <w:szCs w:val="21"/>
                <w:highlight w:val="none"/>
                <w:lang w:val="en-US" w:eastAsia="zh-CN"/>
              </w:rPr>
            </w:pPr>
          </w:p>
        </w:tc>
        <w:tc>
          <w:tcPr>
            <w:tcW w:w="3813" w:type="pct"/>
            <w:gridSpan w:val="5"/>
            <w:vMerge w:val="restart"/>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投标报价总额：</w:t>
            </w:r>
            <w:r>
              <w:rPr>
                <w:rFonts w:hint="eastAsia" w:ascii="宋体" w:hAnsi="宋体" w:eastAsia="宋体" w:cs="宋体"/>
                <w:color w:val="auto"/>
                <w:sz w:val="21"/>
                <w:szCs w:val="21"/>
                <w:highlight w:val="none"/>
                <w:u w:val="single"/>
                <w:lang w:val="en-US" w:eastAsia="zh-CN"/>
              </w:rPr>
              <w:t xml:space="preserve">      </w:t>
            </w:r>
            <w:r>
              <w:rPr>
                <w:rFonts w:hint="eastAsia" w:ascii="宋体" w:hAnsi="宋体" w:eastAsia="宋体" w:cs="宋体"/>
                <w:color w:val="auto"/>
                <w:sz w:val="21"/>
                <w:szCs w:val="21"/>
                <w:highlight w:val="none"/>
                <w:lang w:val="en-US" w:eastAsia="zh-CN"/>
              </w:rPr>
              <w:t>万元；</w:t>
            </w:r>
            <w:r>
              <w:rPr>
                <w:rFonts w:hint="eastAsia" w:ascii="宋体" w:hAnsi="宋体" w:eastAsia="宋体" w:cs="宋体"/>
                <w:color w:val="auto"/>
                <w:sz w:val="21"/>
                <w:szCs w:val="21"/>
                <w:highlight w:val="none"/>
                <w:lang w:val="en-US" w:eastAsia="zh-CN"/>
              </w:rPr>
              <w:br w:type="textWrapping"/>
            </w:r>
            <w:r>
              <w:rPr>
                <w:rFonts w:hint="eastAsia" w:ascii="宋体" w:hAnsi="宋体" w:eastAsia="宋体" w:cs="宋体"/>
                <w:color w:val="auto"/>
                <w:sz w:val="21"/>
                <w:szCs w:val="21"/>
                <w:highlight w:val="none"/>
                <w:lang w:val="en-US" w:eastAsia="zh-CN"/>
              </w:rPr>
              <w:t>效益收费费率：</w:t>
            </w:r>
            <w:r>
              <w:rPr>
                <w:rFonts w:hint="eastAsia" w:ascii="宋体" w:hAnsi="宋体" w:eastAsia="宋体" w:cs="宋体"/>
                <w:color w:val="auto"/>
                <w:sz w:val="21"/>
                <w:szCs w:val="21"/>
                <w:highlight w:val="none"/>
                <w:u w:val="single"/>
                <w:lang w:val="en-US" w:eastAsia="zh-CN"/>
              </w:rPr>
              <w:t xml:space="preserve">       </w:t>
            </w:r>
            <w:r>
              <w:rPr>
                <w:rFonts w:hint="eastAsia" w:ascii="宋体" w:hAnsi="宋体" w:eastAsia="宋体" w:cs="宋体"/>
                <w:color w:val="auto"/>
                <w:sz w:val="21"/>
                <w:szCs w:val="21"/>
                <w:highlight w:val="none"/>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2"/>
                <w:szCs w:val="22"/>
                <w:highlight w:val="none"/>
                <w:u w:val="none"/>
              </w:rPr>
            </w:pPr>
          </w:p>
        </w:tc>
        <w:tc>
          <w:tcPr>
            <w:tcW w:w="59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2"/>
                <w:szCs w:val="22"/>
                <w:highlight w:val="none"/>
                <w:u w:val="none"/>
              </w:rPr>
            </w:pPr>
          </w:p>
        </w:tc>
        <w:tc>
          <w:tcPr>
            <w:tcW w:w="3813"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eastAsia="宋体" w:cs="宋体"/>
                <w:i w:val="0"/>
                <w:iCs w:val="0"/>
                <w:color w:val="000000"/>
                <w:sz w:val="22"/>
                <w:szCs w:val="22"/>
                <w:highlight w:val="none"/>
                <w:u w:val="none"/>
              </w:rPr>
            </w:pPr>
          </w:p>
        </w:tc>
      </w:tr>
    </w:tbl>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注：</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1、投标报价总额=各单项工程基本审核费之和+汇总费</w:t>
      </w:r>
      <w:r>
        <w:rPr>
          <w:rFonts w:hint="eastAsia" w:ascii="宋体" w:hAnsi="宋体" w:eastAsia="宋体" w:cs="宋体"/>
          <w:color w:val="auto"/>
          <w:sz w:val="21"/>
          <w:szCs w:val="21"/>
          <w:highlight w:val="none"/>
          <w:lang w:val="en-US" w:eastAsia="zh-CN"/>
        </w:rPr>
        <w:t>之和</w:t>
      </w:r>
      <w:r>
        <w:rPr>
          <w:rFonts w:hint="eastAsia" w:ascii="宋体" w:hAnsi="宋体" w:eastAsia="宋体" w:cs="宋体"/>
          <w:color w:val="auto"/>
          <w:sz w:val="21"/>
          <w:szCs w:val="21"/>
          <w:highlight w:val="none"/>
        </w:rPr>
        <w:t>（如有）+效益收费</w:t>
      </w:r>
      <w:r>
        <w:rPr>
          <w:rFonts w:hint="eastAsia" w:ascii="宋体" w:hAnsi="宋体" w:eastAsia="宋体" w:cs="宋体"/>
          <w:color w:val="auto"/>
          <w:sz w:val="21"/>
          <w:szCs w:val="21"/>
          <w:highlight w:val="none"/>
          <w:lang w:val="en-US" w:eastAsia="zh-CN"/>
        </w:rPr>
        <w:t>之和</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2、汇总费如有，按不超过</w:t>
      </w:r>
      <w:r>
        <w:rPr>
          <w:rFonts w:hint="eastAsia" w:ascii="宋体" w:hAnsi="宋体" w:eastAsia="宋体" w:cs="宋体"/>
          <w:color w:val="auto"/>
          <w:sz w:val="21"/>
          <w:szCs w:val="21"/>
          <w:highlight w:val="none"/>
          <w:lang w:eastAsia="zh-CN"/>
        </w:rPr>
        <w:t>各个工程汇总费</w:t>
      </w:r>
      <w:r>
        <w:rPr>
          <w:rFonts w:hint="eastAsia" w:ascii="宋体" w:hAnsi="宋体" w:eastAsia="宋体" w:cs="宋体"/>
          <w:color w:val="auto"/>
          <w:sz w:val="21"/>
          <w:szCs w:val="21"/>
          <w:highlight w:val="none"/>
        </w:rPr>
        <w:t>分项限价金额填报</w:t>
      </w:r>
      <w:r>
        <w:rPr>
          <w:rFonts w:hint="eastAsia" w:ascii="宋体" w:hAnsi="宋体" w:eastAsia="宋体" w:cs="宋体"/>
          <w:color w:val="auto"/>
          <w:sz w:val="21"/>
          <w:szCs w:val="21"/>
          <w:highlight w:val="none"/>
          <w:lang w:eastAsia="zh-CN"/>
        </w:rPr>
        <w:t>在对应工程汇总费一栏中</w:t>
      </w:r>
      <w:r>
        <w:rPr>
          <w:rFonts w:hint="eastAsia" w:ascii="宋体" w:hAnsi="宋体" w:eastAsia="宋体" w:cs="宋体"/>
          <w:color w:val="auto"/>
          <w:sz w:val="21"/>
          <w:szCs w:val="21"/>
          <w:highlight w:val="none"/>
        </w:rPr>
        <w:t>。如本标包</w:t>
      </w:r>
      <w:r>
        <w:rPr>
          <w:rFonts w:hint="eastAsia" w:ascii="宋体" w:hAnsi="宋体" w:eastAsia="宋体" w:cs="宋体"/>
          <w:color w:val="auto"/>
          <w:sz w:val="21"/>
          <w:szCs w:val="21"/>
          <w:highlight w:val="none"/>
          <w:lang w:eastAsia="zh-CN"/>
        </w:rPr>
        <w:t>、本工程分项限价无</w:t>
      </w:r>
      <w:r>
        <w:rPr>
          <w:rFonts w:hint="eastAsia" w:ascii="宋体" w:hAnsi="宋体" w:eastAsia="宋体" w:cs="宋体"/>
          <w:color w:val="auto"/>
          <w:sz w:val="21"/>
          <w:szCs w:val="21"/>
          <w:highlight w:val="none"/>
        </w:rPr>
        <w:t>汇总费，</w:t>
      </w:r>
      <w:r>
        <w:rPr>
          <w:rFonts w:hint="eastAsia" w:ascii="宋体" w:hAnsi="宋体" w:eastAsia="宋体" w:cs="宋体"/>
          <w:color w:val="auto"/>
          <w:sz w:val="21"/>
          <w:szCs w:val="21"/>
          <w:highlight w:val="none"/>
          <w:lang w:eastAsia="zh-CN"/>
        </w:rPr>
        <w:t>对应工程汇总费一栏</w:t>
      </w:r>
      <w:r>
        <w:rPr>
          <w:rFonts w:hint="eastAsia" w:ascii="宋体" w:hAnsi="宋体" w:eastAsia="宋体" w:cs="宋体"/>
          <w:color w:val="auto"/>
          <w:sz w:val="21"/>
          <w:szCs w:val="21"/>
          <w:highlight w:val="none"/>
        </w:rPr>
        <w:t>按0万元填报。</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3、最高限价和投标报价均包含效益收费，投标报价表中效益收费</w:t>
      </w:r>
      <w:r>
        <w:rPr>
          <w:rFonts w:hint="eastAsia" w:ascii="宋体" w:hAnsi="宋体" w:eastAsia="宋体" w:cs="宋体"/>
          <w:color w:val="auto"/>
          <w:sz w:val="21"/>
          <w:szCs w:val="21"/>
          <w:highlight w:val="none"/>
          <w:lang w:eastAsia="zh-CN"/>
        </w:rPr>
        <w:t>按各个工程的</w:t>
      </w:r>
      <w:r>
        <w:rPr>
          <w:rFonts w:hint="eastAsia" w:ascii="宋体" w:hAnsi="宋体" w:eastAsia="宋体" w:cs="宋体"/>
          <w:color w:val="auto"/>
          <w:sz w:val="21"/>
          <w:szCs w:val="21"/>
          <w:highlight w:val="none"/>
        </w:rPr>
        <w:t>固定费用填报，其中包1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43</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练塘扩2万元、东吴扩1万元、浙江环网嘉兴站20万元、川南站20万元）</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13</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52</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宁绍站20万元，莲都扩、兰江改造1万元，GIL管廊电气、辅助系统及引接站10万元，达拉特站20万元，蒙西扩1万元）</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14</w:t>
      </w:r>
      <w:r>
        <w:rPr>
          <w:rFonts w:hint="eastAsia" w:ascii="宋体" w:hAnsi="宋体" w:eastAsia="宋体" w:cs="宋体"/>
          <w:color w:val="auto"/>
          <w:sz w:val="21"/>
          <w:szCs w:val="21"/>
          <w:highlight w:val="none"/>
          <w:lang w:eastAsia="zh-CN"/>
        </w:rPr>
        <w:t>共</w:t>
      </w:r>
      <w:r>
        <w:rPr>
          <w:rFonts w:hint="eastAsia" w:ascii="宋体" w:hAnsi="宋体" w:eastAsia="宋体" w:cs="宋体"/>
          <w:color w:val="auto"/>
          <w:sz w:val="21"/>
          <w:szCs w:val="21"/>
          <w:highlight w:val="none"/>
          <w:lang w:val="en-US" w:eastAsia="zh-CN"/>
        </w:rPr>
        <w:t>20</w:t>
      </w:r>
      <w:r>
        <w:rPr>
          <w:rFonts w:hint="eastAsia" w:ascii="宋体" w:hAnsi="宋体" w:eastAsia="宋体" w:cs="宋体"/>
          <w:color w:val="auto"/>
          <w:sz w:val="21"/>
          <w:szCs w:val="21"/>
          <w:highlight w:val="none"/>
        </w:rPr>
        <w:t>万元，包</w:t>
      </w:r>
      <w:r>
        <w:rPr>
          <w:rFonts w:hint="eastAsia" w:ascii="宋体" w:hAnsi="宋体" w:eastAsia="宋体" w:cs="宋体"/>
          <w:color w:val="auto"/>
          <w:sz w:val="21"/>
          <w:szCs w:val="21"/>
          <w:highlight w:val="none"/>
          <w:lang w:val="en-US" w:eastAsia="zh-CN"/>
        </w:rPr>
        <w:t>15共21</w:t>
      </w:r>
      <w:r>
        <w:rPr>
          <w:rFonts w:hint="eastAsia" w:ascii="宋体" w:hAnsi="宋体" w:eastAsia="宋体" w:cs="宋体"/>
          <w:color w:val="auto"/>
          <w:sz w:val="21"/>
          <w:szCs w:val="21"/>
          <w:highlight w:val="none"/>
        </w:rPr>
        <w:t>万元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攀西站20万元、天府南扩1万元）</w:t>
      </w:r>
      <w:r>
        <w:rPr>
          <w:rFonts w:hint="eastAsia" w:ascii="宋体" w:hAnsi="宋体" w:eastAsia="宋体" w:cs="宋体"/>
          <w:color w:val="auto"/>
          <w:sz w:val="21"/>
          <w:szCs w:val="21"/>
          <w:highlight w:val="none"/>
        </w:rPr>
        <w:t>。实际效益收费在合同结算时据实调整。实际效益收费=效益收费计算基数×效益收费费率（%）。效益收费计算基数为工程建筑安装工程费</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建设场地征用及清理费</w:t>
      </w:r>
      <w:r>
        <w:rPr>
          <w:rFonts w:hint="eastAsia" w:ascii="宋体" w:hAnsi="宋体" w:eastAsia="宋体" w:cs="宋体"/>
          <w:color w:val="auto"/>
          <w:sz w:val="21"/>
          <w:szCs w:val="21"/>
          <w:highlight w:val="none"/>
          <w:lang w:val="en-US" w:eastAsia="zh-CN"/>
        </w:rPr>
        <w:t>、物资费</w:t>
      </w:r>
      <w:r>
        <w:rPr>
          <w:rFonts w:hint="eastAsia" w:ascii="宋体" w:hAnsi="宋体" w:eastAsia="宋体" w:cs="宋体"/>
          <w:color w:val="auto"/>
          <w:sz w:val="21"/>
          <w:szCs w:val="21"/>
          <w:highlight w:val="none"/>
        </w:rPr>
        <w:t>的</w:t>
      </w:r>
      <w:r>
        <w:rPr>
          <w:rFonts w:hint="eastAsia" w:ascii="宋体" w:hAnsi="宋体" w:eastAsia="宋体" w:cs="宋体"/>
          <w:color w:val="auto"/>
          <w:sz w:val="21"/>
          <w:szCs w:val="21"/>
          <w:highlight w:val="none"/>
          <w:lang w:eastAsia="zh-CN"/>
        </w:rPr>
        <w:t>总共</w:t>
      </w:r>
      <w:r>
        <w:rPr>
          <w:rFonts w:hint="eastAsia" w:ascii="宋体" w:hAnsi="宋体" w:eastAsia="宋体" w:cs="宋体"/>
          <w:color w:val="auto"/>
          <w:sz w:val="21"/>
          <w:szCs w:val="21"/>
          <w:highlight w:val="none"/>
        </w:rPr>
        <w:t>审减额</w:t>
      </w:r>
      <w:r>
        <w:rPr>
          <w:rFonts w:hint="eastAsia" w:ascii="宋体" w:hAnsi="宋体" w:eastAsia="宋体" w:cs="宋体"/>
          <w:color w:val="auto"/>
          <w:sz w:val="21"/>
          <w:szCs w:val="21"/>
          <w:highlight w:val="none"/>
          <w:lang w:eastAsia="zh-CN"/>
        </w:rPr>
        <w:t>，包括上述费用在工程竣工结算批复中的预留项目审减额，不含预留项目实施完成后的结算审减额</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4、投标人须在“效益收费费率（%）”栏中自行填报效益收费费率，效益收费费率上限为 3% ，否则作为否决投标处理</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包内所有工程效益收费费率一致</w:t>
      </w:r>
      <w:r>
        <w:rPr>
          <w:rFonts w:hint="eastAsia" w:ascii="宋体" w:hAnsi="宋体" w:eastAsia="宋体" w:cs="宋体"/>
          <w:color w:val="auto"/>
          <w:sz w:val="21"/>
          <w:szCs w:val="21"/>
          <w:highlight w:val="none"/>
        </w:rPr>
        <w:t>。</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5、各包最高限价见招标文件第一章招标公告附件1需求一览表。</w:t>
      </w:r>
    </w:p>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6、基本审核费：如本标包审核范围不含安稳工程、接地极工程或</w:t>
      </w:r>
      <w:r>
        <w:rPr>
          <w:rFonts w:hint="eastAsia" w:ascii="宋体" w:hAnsi="宋体" w:eastAsia="宋体" w:cs="宋体"/>
          <w:color w:val="auto"/>
          <w:sz w:val="21"/>
          <w:szCs w:val="21"/>
          <w:highlight w:val="none"/>
          <w:lang w:eastAsia="zh-CN"/>
        </w:rPr>
        <w:t>光通信设备工程</w:t>
      </w:r>
      <w:r>
        <w:rPr>
          <w:rFonts w:hint="eastAsia" w:ascii="宋体" w:hAnsi="宋体" w:eastAsia="宋体" w:cs="宋体"/>
          <w:color w:val="auto"/>
          <w:sz w:val="21"/>
          <w:szCs w:val="21"/>
          <w:highlight w:val="none"/>
        </w:rPr>
        <w:t>，对应基本审核费填0万元。站本体工程仅指换流站、变电站或扩建工程（含进站路），不包括安稳、接地极、</w:t>
      </w:r>
      <w:r>
        <w:rPr>
          <w:rFonts w:hint="eastAsia" w:ascii="宋体" w:hAnsi="宋体" w:eastAsia="宋体" w:cs="宋体"/>
          <w:color w:val="auto"/>
          <w:sz w:val="21"/>
          <w:szCs w:val="21"/>
          <w:highlight w:val="none"/>
          <w:lang w:eastAsia="zh-CN"/>
        </w:rPr>
        <w:t>光通信设备工程</w:t>
      </w:r>
      <w:r>
        <w:rPr>
          <w:rFonts w:hint="eastAsia" w:ascii="宋体" w:hAnsi="宋体" w:eastAsia="宋体" w:cs="宋体"/>
          <w:color w:val="auto"/>
          <w:sz w:val="21"/>
          <w:szCs w:val="21"/>
          <w:highlight w:val="none"/>
        </w:rPr>
        <w:t>。</w:t>
      </w:r>
    </w:p>
    <w:p>
      <w:pPr>
        <w:rPr>
          <w:rFonts w:hint="eastAsia" w:ascii="宋体" w:hAnsi="宋体" w:cs="方正仿宋_GBK"/>
          <w:color w:val="000000"/>
          <w:sz w:val="22"/>
          <w:szCs w:val="22"/>
          <w:highlight w:val="none"/>
        </w:rPr>
      </w:pPr>
      <w:r>
        <w:rPr>
          <w:rFonts w:hint="eastAsia" w:ascii="宋体" w:hAnsi="宋体" w:eastAsia="宋体" w:cs="宋体"/>
          <w:color w:val="auto"/>
          <w:sz w:val="21"/>
          <w:szCs w:val="21"/>
          <w:highlight w:val="none"/>
        </w:rPr>
        <w:t>7、包</w:t>
      </w:r>
      <w:r>
        <w:rPr>
          <w:rFonts w:hint="eastAsia" w:ascii="宋体" w:hAnsi="宋体" w:eastAsia="宋体" w:cs="宋体"/>
          <w:color w:val="auto"/>
          <w:sz w:val="21"/>
          <w:szCs w:val="21"/>
          <w:highlight w:val="none"/>
          <w:lang w:val="en-US" w:eastAsia="zh-CN"/>
        </w:rPr>
        <w:t>13达拉特站、</w:t>
      </w:r>
      <w:r>
        <w:rPr>
          <w:rFonts w:hint="eastAsia" w:ascii="宋体" w:hAnsi="宋体" w:eastAsia="宋体" w:cs="宋体"/>
          <w:color w:val="auto"/>
          <w:sz w:val="21"/>
          <w:szCs w:val="21"/>
          <w:highlight w:val="none"/>
        </w:rPr>
        <w:t>包</w:t>
      </w:r>
      <w:r>
        <w:rPr>
          <w:rFonts w:hint="eastAsia" w:ascii="宋体" w:hAnsi="宋体" w:eastAsia="宋体" w:cs="宋体"/>
          <w:color w:val="auto"/>
          <w:sz w:val="21"/>
          <w:szCs w:val="21"/>
          <w:highlight w:val="none"/>
          <w:lang w:val="en-US" w:eastAsia="zh-CN"/>
        </w:rPr>
        <w:t>14温州站、包15攀西站</w:t>
      </w:r>
      <w:r>
        <w:rPr>
          <w:rFonts w:hint="eastAsia" w:ascii="宋体" w:hAnsi="宋体" w:eastAsia="宋体" w:cs="宋体"/>
          <w:color w:val="auto"/>
          <w:sz w:val="21"/>
          <w:szCs w:val="21"/>
          <w:highlight w:val="none"/>
        </w:rPr>
        <w:t>含汇总费，包括汇总、造价分析及工程其他费审核。</w:t>
      </w:r>
    </w:p>
    <w:p>
      <w:pPr>
        <w:pStyle w:val="6"/>
        <w:rPr>
          <w:rFonts w:hint="eastAsia"/>
          <w:highlight w:val="none"/>
          <w:lang w:val="en-US" w:eastAsia="zh-CN"/>
        </w:rPr>
      </w:pPr>
    </w:p>
    <w:p>
      <w:pPr>
        <w:spacing w:line="360" w:lineRule="exact"/>
        <w:jc w:val="left"/>
        <w:rPr>
          <w:rFonts w:hint="eastAsia" w:ascii="Times New Roman" w:hAnsi="Times New Roman" w:eastAsia="黑体" w:cs="Times New Roman"/>
          <w:b/>
          <w:bCs/>
          <w:color w:val="000000"/>
          <w:kern w:val="2"/>
          <w:sz w:val="28"/>
          <w:szCs w:val="32"/>
          <w:highlight w:val="none"/>
          <w:lang w:val="en-US" w:eastAsia="zh-CN" w:bidi="ar-SA"/>
        </w:rPr>
      </w:pPr>
      <w:r>
        <w:rPr>
          <w:rFonts w:hint="eastAsia" w:ascii="Times New Roman" w:hAnsi="Times New Roman" w:eastAsia="黑体" w:cs="Times New Roman"/>
          <w:b/>
          <w:bCs/>
          <w:color w:val="000000"/>
          <w:kern w:val="2"/>
          <w:sz w:val="28"/>
          <w:szCs w:val="32"/>
          <w:highlight w:val="none"/>
          <w:lang w:val="en-US" w:eastAsia="zh-CN" w:bidi="ar-SA"/>
        </w:rPr>
        <w:t>设备监造</w:t>
      </w:r>
    </w:p>
    <w:p>
      <w:pPr>
        <w:spacing w:line="360" w:lineRule="exact"/>
        <w:jc w:val="center"/>
        <w:rPr>
          <w:rFonts w:hint="eastAsia" w:ascii="微软雅黑" w:hAnsi="微软雅黑" w:eastAsia="微软雅黑" w:cs="微软雅黑"/>
          <w:b/>
          <w:bCs/>
          <w:color w:val="auto"/>
          <w:szCs w:val="21"/>
          <w:highlight w:val="none"/>
          <w:lang w:eastAsia="zh-CN"/>
        </w:rPr>
      </w:pPr>
      <w:r>
        <w:rPr>
          <w:rFonts w:hint="eastAsia" w:ascii="黑体" w:hAnsi="黑体" w:eastAsia="黑体" w:cs="黑体"/>
          <w:b/>
          <w:bCs/>
          <w:color w:val="auto"/>
          <w:szCs w:val="21"/>
          <w:highlight w:val="none"/>
        </w:rPr>
        <w:t>设备监造报价明细表</w:t>
      </w:r>
      <w:r>
        <w:rPr>
          <w:rFonts w:hint="eastAsia" w:ascii="黑体" w:hAnsi="黑体" w:eastAsia="黑体" w:cs="黑体"/>
          <w:b/>
          <w:bCs/>
          <w:color w:val="auto"/>
          <w:szCs w:val="21"/>
          <w:highlight w:val="none"/>
          <w:lang w:eastAsia="zh-CN"/>
        </w:rPr>
        <w:t>（</w:t>
      </w:r>
      <w:r>
        <w:rPr>
          <w:rFonts w:hint="eastAsia" w:ascii="黑体" w:hAnsi="黑体" w:eastAsia="黑体" w:cs="黑体"/>
          <w:b/>
          <w:bCs/>
          <w:color w:val="auto"/>
          <w:szCs w:val="21"/>
          <w:highlight w:val="none"/>
          <w:lang w:val="en-US" w:eastAsia="zh-CN"/>
        </w:rPr>
        <w:t>包1</w:t>
      </w:r>
      <w:r>
        <w:rPr>
          <w:rFonts w:hint="eastAsia" w:ascii="黑体" w:hAnsi="黑体" w:eastAsia="黑体" w:cs="黑体"/>
          <w:b/>
          <w:bCs/>
          <w:color w:val="auto"/>
          <w:szCs w:val="21"/>
          <w:highlight w:val="none"/>
          <w:lang w:eastAsia="zh-CN"/>
        </w:rPr>
        <w:t>）</w:t>
      </w:r>
    </w:p>
    <w:p>
      <w:pPr>
        <w:pStyle w:val="40"/>
        <w:spacing w:before="0" w:after="0"/>
        <w:jc w:val="left"/>
        <w:rPr>
          <w:rFonts w:hint="eastAsia" w:ascii="宋体" w:hAnsi="宋体" w:eastAsia="宋体" w:cs="宋体"/>
          <w:color w:val="auto"/>
          <w:highlight w:val="none"/>
        </w:rPr>
      </w:pPr>
      <w:r>
        <w:rPr>
          <w:rFonts w:hint="eastAsia" w:ascii="宋体" w:hAnsi="宋体" w:eastAsia="宋体" w:cs="宋体"/>
          <w:color w:val="auto"/>
          <w:highlight w:val="none"/>
        </w:rPr>
        <w:t>招标编号：</w:t>
      </w:r>
    </w:p>
    <w:p>
      <w:pPr>
        <w:pStyle w:val="40"/>
        <w:spacing w:before="0" w:after="0"/>
        <w:jc w:val="left"/>
        <w:rPr>
          <w:rFonts w:hint="eastAsia" w:ascii="宋体" w:hAnsi="宋体" w:eastAsia="宋体" w:cs="宋体"/>
          <w:color w:val="auto"/>
          <w:highlight w:val="none"/>
        </w:rPr>
      </w:pPr>
      <w:r>
        <w:rPr>
          <w:rFonts w:hint="eastAsia" w:ascii="宋体" w:hAnsi="宋体" w:eastAsia="宋体" w:cs="宋体"/>
          <w:color w:val="auto"/>
          <w:highlight w:val="none"/>
        </w:rPr>
        <w:t>分标编号：</w:t>
      </w:r>
    </w:p>
    <w:p>
      <w:pPr>
        <w:pStyle w:val="5"/>
        <w:ind w:firstLine="0"/>
        <w:jc w:val="left"/>
        <w:rPr>
          <w:rFonts w:hint="eastAsia" w:ascii="宋体" w:hAnsi="宋体" w:cs="宋体"/>
          <w:color w:val="auto"/>
          <w:szCs w:val="21"/>
          <w:highlight w:val="none"/>
        </w:rPr>
      </w:pPr>
      <w:r>
        <w:rPr>
          <w:rFonts w:hint="eastAsia" w:ascii="宋体" w:hAnsi="宋体" w:cs="宋体"/>
          <w:color w:val="auto"/>
          <w:szCs w:val="21"/>
          <w:highlight w:val="none"/>
        </w:rPr>
        <w:t>包号：</w:t>
      </w:r>
    </w:p>
    <w:tbl>
      <w:tblPr>
        <w:tblStyle w:val="19"/>
        <w:tblW w:w="513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0"/>
        <w:gridCol w:w="824"/>
        <w:gridCol w:w="909"/>
        <w:gridCol w:w="1901"/>
        <w:gridCol w:w="1354"/>
        <w:gridCol w:w="894"/>
        <w:gridCol w:w="1094"/>
        <w:gridCol w:w="11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blHeader/>
        </w:trPr>
        <w:tc>
          <w:tcPr>
            <w:tcW w:w="342"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包号</w:t>
            </w:r>
          </w:p>
        </w:tc>
        <w:tc>
          <w:tcPr>
            <w:tcW w:w="47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工程名称</w:t>
            </w:r>
          </w:p>
        </w:tc>
        <w:tc>
          <w:tcPr>
            <w:tcW w:w="51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包名称</w:t>
            </w:r>
          </w:p>
        </w:tc>
        <w:tc>
          <w:tcPr>
            <w:tcW w:w="1086"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监造设备</w:t>
            </w:r>
          </w:p>
        </w:tc>
        <w:tc>
          <w:tcPr>
            <w:tcW w:w="77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监造内容</w:t>
            </w: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数量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监造方式</w:t>
            </w:r>
          </w:p>
        </w:tc>
        <w:tc>
          <w:tcPr>
            <w:tcW w:w="66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监造费合计（万元）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包1</w:t>
            </w:r>
          </w:p>
        </w:tc>
        <w:tc>
          <w:tcPr>
            <w:tcW w:w="471"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kern w:val="0"/>
                <w:sz w:val="21"/>
                <w:szCs w:val="21"/>
                <w:highlight w:val="none"/>
                <w:lang w:val="en-US" w:eastAsia="zh-CN" w:bidi="ar-SA"/>
              </w:rPr>
              <w:t>芜湖GIL管廊</w:t>
            </w:r>
          </w:p>
        </w:tc>
        <w:tc>
          <w:tcPr>
            <w:tcW w:w="519"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宋体" w:hAnsi="宋体" w:eastAsia="宋体" w:cs="宋体"/>
                <w:i w:val="0"/>
                <w:iCs w:val="0"/>
                <w:color w:val="000000"/>
                <w:sz w:val="21"/>
                <w:szCs w:val="21"/>
                <w:highlight w:val="none"/>
                <w:u w:val="none"/>
                <w:lang w:val="en-US"/>
              </w:rPr>
            </w:pPr>
            <w:r>
              <w:rPr>
                <w:rFonts w:hint="eastAsia" w:ascii="宋体" w:hAnsi="宋体" w:eastAsia="宋体" w:cs="宋体"/>
                <w:kern w:val="0"/>
                <w:sz w:val="21"/>
                <w:szCs w:val="21"/>
                <w:highlight w:val="none"/>
                <w:lang w:val="en-US" w:eastAsia="zh-CN" w:bidi="ar-SA"/>
              </w:rPr>
              <w:t>芜湖GIL管廊</w:t>
            </w:r>
            <w:r>
              <w:rPr>
                <w:rFonts w:hint="eastAsia" w:ascii="宋体" w:hAnsi="宋体" w:eastAsia="宋体" w:cs="宋体"/>
                <w:i w:val="0"/>
                <w:iCs w:val="0"/>
                <w:color w:val="000000"/>
                <w:kern w:val="0"/>
                <w:sz w:val="21"/>
                <w:szCs w:val="21"/>
                <w:highlight w:val="none"/>
                <w:u w:val="none"/>
                <w:lang w:val="en-US" w:eastAsia="zh-CN" w:bidi="ar"/>
              </w:rPr>
              <w:t>设备监造</w:t>
            </w: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500kVGIL设备,5000A,63kA（SF6绝缘，隧道段）</w:t>
            </w:r>
          </w:p>
        </w:tc>
        <w:tc>
          <w:tcPr>
            <w:tcW w:w="773" w:type="pct"/>
            <w:vMerge w:val="restart"/>
            <w:tcBorders>
              <w:top w:val="single" w:color="000000" w:sz="4" w:space="0"/>
              <w:left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依据监造实施细则开展工作包括但不限于以下内容：</w:t>
            </w:r>
            <w:r>
              <w:rPr>
                <w:rStyle w:val="45"/>
                <w:rFonts w:eastAsia="宋体"/>
                <w:sz w:val="21"/>
                <w:szCs w:val="21"/>
                <w:highlight w:val="none"/>
                <w:lang w:val="en-US" w:eastAsia="zh-CN" w:bidi="ar"/>
              </w:rPr>
              <w:t>a)</w:t>
            </w:r>
            <w:r>
              <w:rPr>
                <w:rStyle w:val="53"/>
                <w:sz w:val="21"/>
                <w:szCs w:val="21"/>
                <w:highlight w:val="none"/>
                <w:lang w:val="en-US" w:eastAsia="zh-CN" w:bidi="ar"/>
              </w:rPr>
              <w:t>编制监造大纲、监造实施细则；</w:t>
            </w:r>
            <w:r>
              <w:rPr>
                <w:rStyle w:val="45"/>
                <w:rFonts w:eastAsia="宋体"/>
                <w:sz w:val="21"/>
                <w:szCs w:val="21"/>
                <w:highlight w:val="none"/>
                <w:lang w:val="en-US" w:eastAsia="zh-CN" w:bidi="ar"/>
              </w:rPr>
              <w:t>b)</w:t>
            </w:r>
            <w:r>
              <w:rPr>
                <w:rStyle w:val="53"/>
                <w:sz w:val="21"/>
                <w:szCs w:val="21"/>
                <w:highlight w:val="none"/>
                <w:lang w:val="en-US" w:eastAsia="zh-CN" w:bidi="ar"/>
              </w:rPr>
              <w:t>参加设联会和设计审核；</w:t>
            </w:r>
            <w:r>
              <w:rPr>
                <w:rStyle w:val="45"/>
                <w:rFonts w:eastAsia="宋体"/>
                <w:sz w:val="21"/>
                <w:szCs w:val="21"/>
                <w:highlight w:val="none"/>
                <w:lang w:val="en-US" w:eastAsia="zh-CN" w:bidi="ar"/>
              </w:rPr>
              <w:t>c)</w:t>
            </w:r>
            <w:r>
              <w:rPr>
                <w:rStyle w:val="53"/>
                <w:sz w:val="21"/>
                <w:szCs w:val="21"/>
                <w:highlight w:val="none"/>
                <w:lang w:val="en-US" w:eastAsia="zh-CN" w:bidi="ar"/>
              </w:rPr>
              <w:t>全过程驻厂监造（包括附件出厂发运）；</w:t>
            </w:r>
            <w:r>
              <w:rPr>
                <w:rStyle w:val="45"/>
                <w:rFonts w:eastAsia="宋体"/>
                <w:sz w:val="21"/>
                <w:szCs w:val="21"/>
                <w:highlight w:val="none"/>
                <w:lang w:val="en-US" w:eastAsia="zh-CN" w:bidi="ar"/>
              </w:rPr>
              <w:t>d</w:t>
            </w:r>
            <w:r>
              <w:rPr>
                <w:rStyle w:val="53"/>
                <w:sz w:val="21"/>
                <w:szCs w:val="21"/>
                <w:highlight w:val="none"/>
                <w:lang w:val="en-US" w:eastAsia="zh-CN" w:bidi="ar"/>
              </w:rPr>
              <w:t>）关键点见证；</w:t>
            </w:r>
            <w:r>
              <w:rPr>
                <w:rStyle w:val="45"/>
                <w:rFonts w:eastAsia="宋体"/>
                <w:sz w:val="21"/>
                <w:szCs w:val="21"/>
                <w:highlight w:val="none"/>
                <w:lang w:val="en-US" w:eastAsia="zh-CN" w:bidi="ar"/>
              </w:rPr>
              <w:t>e)</w:t>
            </w:r>
            <w:r>
              <w:rPr>
                <w:rStyle w:val="53"/>
                <w:sz w:val="21"/>
                <w:szCs w:val="21"/>
                <w:highlight w:val="none"/>
                <w:lang w:val="en-US" w:eastAsia="zh-CN" w:bidi="ar"/>
              </w:rPr>
              <w:t>见证型式、出厂试验、专项试验等试验；</w:t>
            </w:r>
            <w:r>
              <w:rPr>
                <w:rStyle w:val="45"/>
                <w:rFonts w:eastAsia="宋体"/>
                <w:sz w:val="21"/>
                <w:szCs w:val="21"/>
                <w:highlight w:val="none"/>
                <w:lang w:val="en-US" w:eastAsia="zh-CN" w:bidi="ar"/>
              </w:rPr>
              <w:t>f)</w:t>
            </w:r>
            <w:r>
              <w:rPr>
                <w:rStyle w:val="53"/>
                <w:sz w:val="21"/>
                <w:szCs w:val="21"/>
                <w:highlight w:val="none"/>
                <w:lang w:val="en-US" w:eastAsia="zh-CN" w:bidi="ar"/>
              </w:rPr>
              <w:t>提交监造信息和监造总结</w:t>
            </w: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20898单相米</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500kVGIL设备,5000A,63kA（C4混合气体绝缘，隧道段）</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432单相米</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500kVGIL设备,5000A,63kA（引接站工作竖井段）</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460单相米</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500kVGIL设备,5000A,63kA（SF6绝缘，引接站户外地面段）</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430单相米</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500kVGIL设备,5000A,63kA（C4混合气体绝缘，引接站户外地面段）</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320单相米</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500kVGIL设备,5000A,63kA（备品）</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252单相米</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500kV电流互感器，内置于GIL</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12台</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500kV电压互感器，内置于GIL</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12台</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500kV感应电流快速释放装置,C类,内置于GIL</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4组</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驻厂监造</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暖通系统</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1套</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关键点见证</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低压电缆</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1套</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关键点见证</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变电站监控系统,AC500kV</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1套</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关键点见证</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辅助监控系统,AC500kV（GIL管廊综合监测）</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1套</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关键点见证</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线路保护,AC500kV</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8套</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关键点见证</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471"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9"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1086"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线路保护,AC500kV</w:t>
            </w:r>
          </w:p>
        </w:tc>
        <w:tc>
          <w:tcPr>
            <w:tcW w:w="773"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8套</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关键点见证</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42" w:type="pct"/>
            <w:vMerge w:val="continue"/>
            <w:tcBorders>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1"/>
                <w:szCs w:val="21"/>
                <w:highlight w:val="none"/>
                <w:u w:val="none"/>
              </w:rPr>
            </w:pPr>
          </w:p>
        </w:tc>
        <w:tc>
          <w:tcPr>
            <w:tcW w:w="2077" w:type="pct"/>
            <w:gridSpan w:val="3"/>
            <w:tcBorders>
              <w:top w:val="single" w:color="auto" w:sz="4" w:space="0"/>
              <w:left w:val="single" w:color="000000" w:sz="4" w:space="0"/>
              <w:bottom w:val="single" w:color="auto"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包1合计</w:t>
            </w:r>
          </w:p>
        </w:tc>
        <w:tc>
          <w:tcPr>
            <w:tcW w:w="773" w:type="pct"/>
            <w:vMerge w:val="continue"/>
            <w:tcBorders>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auto"/>
                <w:sz w:val="21"/>
                <w:szCs w:val="21"/>
                <w:highlight w:val="none"/>
                <w:u w:val="none"/>
              </w:rPr>
            </w:pPr>
          </w:p>
        </w:tc>
        <w:tc>
          <w:tcPr>
            <w:tcW w:w="51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w:t>
            </w:r>
          </w:p>
        </w:tc>
        <w:tc>
          <w:tcPr>
            <w:tcW w:w="669" w:type="pct"/>
            <w:tcBorders>
              <w:top w:val="single" w:color="000000" w:sz="4" w:space="0"/>
              <w:left w:val="single" w:color="000000" w:sz="4" w:space="0"/>
              <w:bottom w:val="single" w:color="000000" w:sz="4" w:space="0"/>
              <w:right w:val="single" w:color="000000" w:sz="4" w:space="0"/>
            </w:tcBorders>
            <w:noWrap/>
            <w:vAlign w:val="center"/>
          </w:tcPr>
          <w:p>
            <w:pPr>
              <w:jc w:val="center"/>
              <w:rPr>
                <w:rFonts w:hint="default" w:ascii="Arial" w:hAnsi="Arial" w:eastAsia="宋体" w:cs="Arial"/>
                <w:i w:val="0"/>
                <w:iCs w:val="0"/>
                <w:color w:val="auto"/>
                <w:sz w:val="21"/>
                <w:szCs w:val="21"/>
                <w:highlight w:val="none"/>
                <w:u w:val="none"/>
              </w:rPr>
            </w:pPr>
          </w:p>
        </w:tc>
      </w:tr>
    </w:tbl>
    <w:p>
      <w:pPr>
        <w:widowControl/>
        <w:adjustRightInd w:val="0"/>
        <w:jc w:val="left"/>
        <w:rPr>
          <w:rFonts w:hint="eastAsia" w:ascii="宋体" w:hAnsi="宋体"/>
          <w:color w:val="000000"/>
          <w:highlight w:val="none"/>
          <w:lang w:val="en-US" w:eastAsia="zh-CN"/>
        </w:rPr>
      </w:pPr>
      <w:r>
        <w:rPr>
          <w:rFonts w:hint="eastAsia" w:ascii="宋体" w:hAnsi="宋体"/>
          <w:color w:val="000000"/>
          <w:highlight w:val="none"/>
          <w:lang w:val="en-US" w:eastAsia="zh-CN"/>
        </w:rPr>
        <w:t>注：1.该分项报价表适用于监造分标报价。</w:t>
      </w:r>
    </w:p>
    <w:p>
      <w:pPr>
        <w:widowControl/>
        <w:adjustRightInd w:val="0"/>
        <w:ind w:firstLine="420" w:firstLineChars="200"/>
        <w:jc w:val="left"/>
        <w:rPr>
          <w:rFonts w:hint="default" w:ascii="宋体" w:hAnsi="宋体"/>
          <w:color w:val="000000"/>
          <w:highlight w:val="none"/>
          <w:lang w:val="en-US" w:eastAsia="zh-CN"/>
        </w:rPr>
      </w:pPr>
      <w:r>
        <w:rPr>
          <w:rFonts w:hint="eastAsia" w:ascii="宋体" w:hAnsi="宋体"/>
          <w:color w:val="000000"/>
          <w:highlight w:val="none"/>
          <w:lang w:val="en-US" w:eastAsia="zh-CN"/>
        </w:rPr>
        <w:t>2.投标人根据招标技术规范书等文件所列监造设备逐项报价。</w:t>
      </w:r>
    </w:p>
    <w:p>
      <w:pPr>
        <w:rPr>
          <w:highlight w:val="none"/>
        </w:rPr>
      </w:pPr>
    </w:p>
    <w:p>
      <w:pPr>
        <w:pStyle w:val="5"/>
        <w:rPr>
          <w:rFonts w:hint="eastAsia"/>
          <w:highlight w:val="none"/>
          <w:lang w:val="en-US" w:eastAsia="zh-CN"/>
        </w:rPr>
      </w:pPr>
    </w:p>
    <w:p>
      <w:pPr>
        <w:spacing w:line="360" w:lineRule="exact"/>
        <w:jc w:val="left"/>
        <w:rPr>
          <w:rFonts w:hint="eastAsia" w:ascii="Times New Roman" w:hAnsi="Times New Roman" w:eastAsia="黑体" w:cs="Times New Roman"/>
          <w:b/>
          <w:bCs/>
          <w:color w:val="000000"/>
          <w:kern w:val="2"/>
          <w:sz w:val="28"/>
          <w:szCs w:val="32"/>
          <w:highlight w:val="none"/>
          <w:lang w:val="en-US" w:eastAsia="zh-CN" w:bidi="ar-SA"/>
        </w:rPr>
      </w:pPr>
      <w:r>
        <w:rPr>
          <w:rFonts w:hint="eastAsia" w:ascii="Times New Roman" w:hAnsi="Times New Roman" w:eastAsia="黑体" w:cs="Times New Roman"/>
          <w:b/>
          <w:bCs/>
          <w:color w:val="000000"/>
          <w:kern w:val="2"/>
          <w:sz w:val="28"/>
          <w:szCs w:val="32"/>
          <w:highlight w:val="none"/>
          <w:lang w:val="en-US" w:eastAsia="zh-CN" w:bidi="ar-SA"/>
        </w:rPr>
        <w:t>系统调试</w:t>
      </w:r>
    </w:p>
    <w:p>
      <w:pPr>
        <w:pStyle w:val="28"/>
        <w:tabs>
          <w:tab w:val="left" w:pos="6180"/>
          <w:tab w:val="left" w:pos="9000"/>
        </w:tabs>
        <w:spacing w:line="240" w:lineRule="exact"/>
        <w:ind w:left="420" w:firstLine="0" w:firstLineChars="0"/>
        <w:jc w:val="center"/>
        <w:rPr>
          <w:rFonts w:hint="eastAsia" w:ascii="Times New Roman" w:hAnsi="Times New Roman" w:eastAsia="黑体" w:cs="Times New Roman"/>
          <w:b/>
          <w:bCs/>
          <w:kern w:val="2"/>
          <w:sz w:val="21"/>
          <w:szCs w:val="21"/>
          <w:highlight w:val="none"/>
          <w:lang w:val="en-US" w:eastAsia="zh-CN" w:bidi="ar-SA"/>
        </w:rPr>
      </w:pPr>
      <w:r>
        <w:rPr>
          <w:rFonts w:hint="eastAsia" w:ascii="黑体" w:hAnsi="黑体" w:eastAsia="黑体" w:cs="黑体"/>
          <w:b/>
          <w:bCs/>
          <w:kern w:val="2"/>
          <w:sz w:val="21"/>
          <w:szCs w:val="21"/>
          <w:highlight w:val="none"/>
          <w:lang w:val="en-US" w:eastAsia="zh-CN" w:bidi="ar-SA"/>
        </w:rPr>
        <w:t>系统调试报价明细表（包1）</w:t>
      </w:r>
    </w:p>
    <w:p>
      <w:pPr>
        <w:pStyle w:val="40"/>
        <w:spacing w:before="0" w:after="0"/>
        <w:jc w:val="left"/>
        <w:rPr>
          <w:rFonts w:hint="eastAsia" w:ascii="宋体" w:hAnsi="宋体" w:eastAsia="宋体" w:cs="宋体"/>
          <w:color w:val="auto"/>
          <w:highlight w:val="none"/>
        </w:rPr>
      </w:pPr>
      <w:r>
        <w:rPr>
          <w:rFonts w:hint="eastAsia" w:ascii="宋体" w:hAnsi="宋体" w:eastAsia="宋体" w:cs="宋体"/>
          <w:color w:val="auto"/>
          <w:highlight w:val="none"/>
        </w:rPr>
        <w:t>招标编号：</w:t>
      </w:r>
    </w:p>
    <w:p>
      <w:pPr>
        <w:pStyle w:val="40"/>
        <w:spacing w:before="0" w:after="0"/>
        <w:jc w:val="left"/>
        <w:rPr>
          <w:rFonts w:hint="eastAsia" w:ascii="宋体" w:hAnsi="宋体" w:eastAsia="宋体" w:cs="宋体"/>
          <w:color w:val="auto"/>
          <w:highlight w:val="none"/>
        </w:rPr>
      </w:pPr>
      <w:r>
        <w:rPr>
          <w:rFonts w:hint="eastAsia" w:ascii="宋体" w:hAnsi="宋体" w:eastAsia="宋体" w:cs="宋体"/>
          <w:color w:val="auto"/>
          <w:highlight w:val="none"/>
        </w:rPr>
        <w:t>分标名称：</w:t>
      </w:r>
    </w:p>
    <w:p>
      <w:pPr>
        <w:pStyle w:val="40"/>
        <w:spacing w:before="0" w:after="0"/>
        <w:jc w:val="left"/>
        <w:rPr>
          <w:rFonts w:hint="eastAsia" w:ascii="宋体" w:hAnsi="宋体" w:eastAsia="宋体" w:cs="宋体"/>
          <w:color w:val="auto"/>
          <w:highlight w:val="none"/>
        </w:rPr>
      </w:pPr>
      <w:r>
        <w:rPr>
          <w:rFonts w:hint="eastAsia" w:ascii="宋体" w:hAnsi="宋体" w:eastAsia="宋体" w:cs="宋体"/>
          <w:color w:val="auto"/>
          <w:highlight w:val="none"/>
        </w:rPr>
        <w:t>包号：</w:t>
      </w:r>
    </w:p>
    <w:p>
      <w:pPr>
        <w:pStyle w:val="40"/>
        <w:spacing w:before="0" w:after="0"/>
        <w:jc w:val="left"/>
        <w:rPr>
          <w:rFonts w:hint="eastAsia" w:ascii="宋体" w:hAnsi="宋体" w:eastAsia="宋体" w:cs="宋体"/>
          <w:color w:val="auto"/>
          <w:highlight w:val="none"/>
        </w:rPr>
      </w:pPr>
      <w:r>
        <w:rPr>
          <w:rFonts w:hint="eastAsia" w:ascii="宋体" w:hAnsi="宋体" w:eastAsia="宋体" w:cs="宋体"/>
          <w:color w:val="auto"/>
          <w:highlight w:val="none"/>
        </w:rPr>
        <w:t>投标人名称：</w:t>
      </w:r>
    </w:p>
    <w:p>
      <w:pPr>
        <w:pStyle w:val="40"/>
        <w:spacing w:before="0" w:after="0"/>
        <w:jc w:val="left"/>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金额</w:t>
      </w:r>
      <w:r>
        <w:rPr>
          <w:rFonts w:hint="eastAsia" w:ascii="宋体" w:hAnsi="宋体" w:eastAsia="宋体" w:cs="宋体"/>
          <w:color w:val="auto"/>
          <w:highlight w:val="none"/>
        </w:rPr>
        <w:t>单位：万元人民币</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3383"/>
        <w:gridCol w:w="2175"/>
        <w:gridCol w:w="1403"/>
        <w:gridCol w:w="10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blHeader/>
          <w:jc w:val="center"/>
        </w:trPr>
        <w:tc>
          <w:tcPr>
            <w:tcW w:w="319" w:type="pct"/>
            <w:noWrap/>
            <w:vAlign w:val="center"/>
          </w:tcPr>
          <w:p>
            <w:pPr>
              <w:widowControl/>
              <w:jc w:val="center"/>
              <w:rPr>
                <w:rFonts w:ascii="宋体" w:hAnsi="宋体" w:cs="宋体"/>
                <w:b/>
                <w:bCs/>
                <w:color w:val="000000"/>
                <w:kern w:val="0"/>
                <w:sz w:val="21"/>
                <w:szCs w:val="21"/>
                <w:highlight w:val="none"/>
              </w:rPr>
            </w:pPr>
            <w:r>
              <w:rPr>
                <w:rFonts w:hint="eastAsia" w:ascii="宋体" w:hAnsi="宋体" w:cs="宋体"/>
                <w:b/>
                <w:bCs/>
                <w:color w:val="000000"/>
                <w:kern w:val="0"/>
                <w:sz w:val="21"/>
                <w:szCs w:val="21"/>
                <w:highlight w:val="none"/>
              </w:rPr>
              <w:t>包号</w:t>
            </w:r>
          </w:p>
        </w:tc>
        <w:tc>
          <w:tcPr>
            <w:tcW w:w="1984" w:type="pct"/>
            <w:noWrap/>
            <w:vAlign w:val="center"/>
          </w:tcPr>
          <w:p>
            <w:pPr>
              <w:widowControl/>
              <w:jc w:val="center"/>
              <w:rPr>
                <w:rFonts w:ascii="宋体" w:hAnsi="宋体" w:cs="宋体"/>
                <w:b/>
                <w:bCs/>
                <w:color w:val="000000"/>
                <w:kern w:val="0"/>
                <w:sz w:val="21"/>
                <w:szCs w:val="21"/>
                <w:highlight w:val="none"/>
              </w:rPr>
            </w:pPr>
            <w:r>
              <w:rPr>
                <w:rFonts w:hint="eastAsia" w:ascii="宋体" w:hAnsi="宋体" w:cs="宋体"/>
                <w:b/>
                <w:bCs/>
                <w:color w:val="000000"/>
                <w:kern w:val="0"/>
                <w:sz w:val="21"/>
                <w:szCs w:val="21"/>
                <w:highlight w:val="none"/>
              </w:rPr>
              <w:t>工程名称</w:t>
            </w:r>
          </w:p>
        </w:tc>
        <w:tc>
          <w:tcPr>
            <w:tcW w:w="1276" w:type="pct"/>
            <w:noWrap/>
            <w:vAlign w:val="center"/>
          </w:tcPr>
          <w:p>
            <w:pPr>
              <w:widowControl/>
              <w:jc w:val="center"/>
              <w:rPr>
                <w:rFonts w:hint="default" w:ascii="宋体" w:hAnsi="宋体" w:eastAsia="宋体" w:cs="宋体"/>
                <w:b/>
                <w:bCs/>
                <w:color w:val="000000"/>
                <w:kern w:val="0"/>
                <w:sz w:val="21"/>
                <w:szCs w:val="21"/>
                <w:highlight w:val="none"/>
                <w:lang w:val="en-US" w:eastAsia="zh-CN"/>
              </w:rPr>
            </w:pPr>
            <w:r>
              <w:rPr>
                <w:rFonts w:hint="eastAsia" w:ascii="宋体" w:hAnsi="宋体" w:cs="宋体"/>
                <w:b/>
                <w:bCs/>
                <w:color w:val="000000"/>
                <w:kern w:val="0"/>
                <w:sz w:val="21"/>
                <w:szCs w:val="21"/>
                <w:highlight w:val="none"/>
              </w:rPr>
              <w:t>招标范围</w:t>
            </w:r>
          </w:p>
        </w:tc>
        <w:tc>
          <w:tcPr>
            <w:tcW w:w="823" w:type="pct"/>
            <w:noWrap/>
            <w:vAlign w:val="center"/>
          </w:tcPr>
          <w:p>
            <w:pPr>
              <w:widowControl/>
              <w:jc w:val="center"/>
              <w:rPr>
                <w:rFonts w:hint="default" w:ascii="宋体" w:hAnsi="宋体" w:eastAsia="宋体" w:cs="宋体"/>
                <w:b/>
                <w:bCs/>
                <w:color w:val="000000"/>
                <w:kern w:val="0"/>
                <w:sz w:val="21"/>
                <w:szCs w:val="21"/>
                <w:highlight w:val="none"/>
                <w:lang w:val="en-US" w:eastAsia="zh-CN"/>
              </w:rPr>
            </w:pPr>
            <w:r>
              <w:rPr>
                <w:rFonts w:hint="eastAsia" w:ascii="宋体" w:hAnsi="宋体" w:cs="宋体"/>
                <w:b/>
                <w:bCs/>
                <w:color w:val="000000"/>
                <w:kern w:val="0"/>
                <w:sz w:val="21"/>
                <w:szCs w:val="21"/>
                <w:highlight w:val="none"/>
                <w:lang w:val="en-US" w:eastAsia="zh-CN"/>
              </w:rPr>
              <w:t>分项报价</w:t>
            </w:r>
          </w:p>
        </w:tc>
        <w:tc>
          <w:tcPr>
            <w:tcW w:w="596" w:type="pct"/>
            <w:noWrap/>
            <w:vAlign w:val="center"/>
          </w:tcPr>
          <w:p>
            <w:pPr>
              <w:widowControl/>
              <w:jc w:val="center"/>
              <w:rPr>
                <w:rFonts w:ascii="宋体" w:hAnsi="宋体" w:cs="宋体"/>
                <w:b/>
                <w:bCs/>
                <w:color w:val="000000"/>
                <w:kern w:val="0"/>
                <w:sz w:val="21"/>
                <w:szCs w:val="21"/>
                <w:highlight w:val="none"/>
              </w:rPr>
            </w:pPr>
            <w:r>
              <w:rPr>
                <w:rFonts w:hint="eastAsia" w:ascii="宋体" w:hAnsi="宋体" w:cs="宋体"/>
                <w:b/>
                <w:bCs/>
                <w:color w:val="000000"/>
                <w:kern w:val="0"/>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restart"/>
            <w:noWrap/>
            <w:vAlign w:val="center"/>
          </w:tcPr>
          <w:p>
            <w:pPr>
              <w:widowControl/>
              <w:jc w:val="center"/>
              <w:rPr>
                <w:rFonts w:ascii="宋体" w:hAnsi="宋体" w:cs="宋体"/>
                <w:color w:val="000000"/>
                <w:kern w:val="0"/>
                <w:sz w:val="21"/>
                <w:szCs w:val="21"/>
                <w:highlight w:val="none"/>
              </w:rPr>
            </w:pPr>
            <w:r>
              <w:rPr>
                <w:rFonts w:hint="eastAsia" w:ascii="宋体" w:hAnsi="宋体" w:eastAsia="宋体" w:cs="宋体"/>
                <w:color w:val="000000"/>
                <w:kern w:val="0"/>
                <w:sz w:val="21"/>
                <w:szCs w:val="21"/>
                <w:highlight w:val="none"/>
              </w:rPr>
              <w:t>包1</w:t>
            </w:r>
          </w:p>
        </w:tc>
        <w:tc>
          <w:tcPr>
            <w:tcW w:w="1984" w:type="pct"/>
            <w:vMerge w:val="restart"/>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ascii="宋体" w:hAnsi="宋体" w:cs="宋体"/>
                <w:color w:val="000000"/>
                <w:kern w:val="0"/>
                <w:sz w:val="21"/>
                <w:szCs w:val="21"/>
                <w:highlight w:val="none"/>
              </w:rPr>
            </w:pPr>
            <w:r>
              <w:rPr>
                <w:rFonts w:hint="eastAsia" w:ascii="宋体" w:hAnsi="宋体" w:eastAsia="宋体" w:cs="宋体"/>
                <w:kern w:val="0"/>
                <w:sz w:val="21"/>
                <w:szCs w:val="21"/>
                <w:highlight w:val="none"/>
                <w:lang w:val="en-US" w:eastAsia="zh-CN" w:bidi="ar-SA"/>
              </w:rPr>
              <w:t>攀西、浙江环网、达拉特~蒙西、烟威（登州站升压）、招远核电送出、芜湖GIL管廊</w:t>
            </w: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攀西站</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川南站</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天府南扩</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攀西-川南线路</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川南-天府南（天府）线路</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嘉兴站</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宁绍站</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温州站</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莲都扩</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兰江改造</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安吉-练塘开断接入嘉兴线路</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嘉兴-宁绍线路</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宁绍-温州线路</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温州-莲都</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达拉特站</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蒙西扩</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达拉特-蒙西线路</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登州升压站</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海阳西-昌乐开断接入登州线路</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登州扩</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招远核电-登州线路</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19" w:type="pct"/>
            <w:vMerge w:val="continue"/>
            <w:noWrap/>
            <w:vAlign w:val="center"/>
          </w:tcPr>
          <w:p>
            <w:pPr>
              <w:widowControl/>
              <w:jc w:val="center"/>
              <w:rPr>
                <w:rFonts w:hint="eastAsia" w:ascii="宋体" w:hAnsi="宋体" w:eastAsia="宋体" w:cs="宋体"/>
                <w:color w:val="000000"/>
                <w:kern w:val="0"/>
                <w:sz w:val="21"/>
                <w:szCs w:val="21"/>
                <w:highlight w:val="none"/>
              </w:rPr>
            </w:pPr>
          </w:p>
        </w:tc>
        <w:tc>
          <w:tcPr>
            <w:tcW w:w="1984" w:type="pct"/>
            <w:vMerge w:val="continue"/>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kern w:val="0"/>
                <w:sz w:val="21"/>
                <w:szCs w:val="21"/>
                <w:highlight w:val="none"/>
                <w:lang w:val="en-US" w:eastAsia="zh-CN" w:bidi="ar-SA"/>
              </w:rPr>
            </w:pPr>
          </w:p>
        </w:tc>
        <w:tc>
          <w:tcPr>
            <w:tcW w:w="1276" w:type="pct"/>
            <w:noWrap/>
            <w:vAlign w:val="center"/>
          </w:tcPr>
          <w:p>
            <w:pPr>
              <w:widowControl/>
              <w:jc w:val="center"/>
              <w:rPr>
                <w:rFonts w:hint="default" w:ascii="宋体" w:hAnsi="宋体" w:eastAsia="宋体" w:cs="宋体"/>
                <w:kern w:val="0"/>
                <w:sz w:val="21"/>
                <w:szCs w:val="21"/>
                <w:highlight w:val="none"/>
                <w:lang w:val="en-US" w:eastAsia="zh-CN" w:bidi="ar-SA"/>
              </w:rPr>
            </w:pPr>
            <w:r>
              <w:rPr>
                <w:rFonts w:hint="default" w:ascii="宋体" w:hAnsi="宋体" w:eastAsia="宋体" w:cs="宋体"/>
                <w:kern w:val="0"/>
                <w:sz w:val="21"/>
                <w:szCs w:val="21"/>
                <w:highlight w:val="none"/>
                <w:lang w:val="en-US" w:eastAsia="zh-CN" w:bidi="ar-SA"/>
              </w:rPr>
              <w:t>芜湖GIL管廊</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319" w:type="pct"/>
            <w:vMerge w:val="continue"/>
            <w:noWrap/>
            <w:vAlign w:val="center"/>
          </w:tcPr>
          <w:p>
            <w:pPr>
              <w:widowControl/>
              <w:jc w:val="center"/>
              <w:rPr>
                <w:rFonts w:ascii="宋体" w:hAnsi="宋体" w:cs="宋体"/>
                <w:color w:val="000000"/>
                <w:kern w:val="0"/>
                <w:sz w:val="21"/>
                <w:szCs w:val="21"/>
                <w:highlight w:val="none"/>
              </w:rPr>
            </w:pPr>
          </w:p>
        </w:tc>
        <w:tc>
          <w:tcPr>
            <w:tcW w:w="3260" w:type="pct"/>
            <w:gridSpan w:val="2"/>
            <w:noWrap/>
            <w:vAlign w:val="center"/>
          </w:tcPr>
          <w:p>
            <w:pPr>
              <w:widowControl/>
              <w:jc w:val="center"/>
              <w:rPr>
                <w:rFonts w:ascii="宋体" w:hAnsi="宋体" w:cs="宋体"/>
                <w:color w:val="000000"/>
                <w:sz w:val="21"/>
                <w:szCs w:val="21"/>
                <w:highlight w:val="none"/>
              </w:rPr>
            </w:pPr>
            <w:r>
              <w:rPr>
                <w:rFonts w:hint="eastAsia" w:ascii="宋体" w:hAnsi="宋体" w:cs="宋体"/>
                <w:color w:val="000000"/>
                <w:sz w:val="21"/>
                <w:szCs w:val="21"/>
                <w:highlight w:val="none"/>
              </w:rPr>
              <w:t>合计</w:t>
            </w:r>
          </w:p>
        </w:tc>
        <w:tc>
          <w:tcPr>
            <w:tcW w:w="823" w:type="pct"/>
            <w:noWrap/>
            <w:vAlign w:val="center"/>
          </w:tcPr>
          <w:p>
            <w:pPr>
              <w:widowControl/>
              <w:jc w:val="center"/>
              <w:rPr>
                <w:rFonts w:ascii="宋体" w:hAnsi="宋体" w:cs="宋体"/>
                <w:color w:val="000000"/>
                <w:kern w:val="0"/>
                <w:sz w:val="21"/>
                <w:szCs w:val="21"/>
                <w:highlight w:val="none"/>
              </w:rPr>
            </w:pPr>
          </w:p>
        </w:tc>
        <w:tc>
          <w:tcPr>
            <w:tcW w:w="596" w:type="pct"/>
            <w:noWrap/>
            <w:vAlign w:val="center"/>
          </w:tcPr>
          <w:p>
            <w:pPr>
              <w:widowControl/>
              <w:jc w:val="center"/>
              <w:rPr>
                <w:rFonts w:ascii="宋体" w:hAnsi="宋体" w:cs="宋体"/>
                <w:color w:val="000000"/>
                <w:kern w:val="0"/>
                <w:sz w:val="21"/>
                <w:szCs w:val="21"/>
                <w:highlight w:val="none"/>
              </w:rPr>
            </w:pPr>
          </w:p>
        </w:tc>
      </w:tr>
    </w:tbl>
    <w:p>
      <w:pPr>
        <w:widowControl/>
        <w:adjustRightInd w:val="0"/>
        <w:jc w:val="left"/>
        <w:rPr>
          <w:rFonts w:ascii="宋体" w:hAnsi="宋体"/>
          <w:color w:val="000000"/>
          <w:highlight w:val="none"/>
        </w:rPr>
      </w:pPr>
      <w:r>
        <w:rPr>
          <w:rFonts w:hint="eastAsia" w:ascii="宋体" w:hAnsi="宋体"/>
          <w:color w:val="000000"/>
          <w:highlight w:val="none"/>
        </w:rPr>
        <w:t>注：招标公告需求一览表中有分项限价的包，投标报价时需填写分项报价。</w:t>
      </w:r>
    </w:p>
    <w:p>
      <w:pPr>
        <w:pStyle w:val="5"/>
        <w:rPr>
          <w:rFonts w:hint="eastAsia"/>
          <w:highlight w:val="none"/>
          <w:lang w:val="en-US" w:eastAsia="zh-CN"/>
        </w:rPr>
      </w:pPr>
    </w:p>
    <w:p>
      <w:pPr>
        <w:spacing w:line="360" w:lineRule="exact"/>
        <w:jc w:val="left"/>
        <w:rPr>
          <w:rFonts w:hint="eastAsia" w:ascii="Times New Roman" w:hAnsi="Times New Roman" w:eastAsia="黑体" w:cs="Times New Roman"/>
          <w:b/>
          <w:bCs/>
          <w:color w:val="000000"/>
          <w:kern w:val="2"/>
          <w:sz w:val="28"/>
          <w:szCs w:val="32"/>
          <w:highlight w:val="none"/>
          <w:lang w:val="en-US" w:eastAsia="zh-CN" w:bidi="ar-SA"/>
        </w:rPr>
      </w:pPr>
      <w:r>
        <w:rPr>
          <w:rFonts w:hint="eastAsia" w:ascii="Times New Roman" w:hAnsi="Times New Roman" w:eastAsia="黑体" w:cs="Times New Roman"/>
          <w:b/>
          <w:bCs/>
          <w:color w:val="000000"/>
          <w:kern w:val="2"/>
          <w:sz w:val="28"/>
          <w:szCs w:val="32"/>
          <w:highlight w:val="none"/>
          <w:lang w:val="en-US" w:eastAsia="zh-CN" w:bidi="ar-SA"/>
        </w:rPr>
        <w:t>科研</w:t>
      </w:r>
    </w:p>
    <w:p>
      <w:pPr>
        <w:jc w:val="center"/>
        <w:rPr>
          <w:rFonts w:hint="eastAsia" w:ascii="Times New Roman" w:hAnsi="Times New Roman" w:eastAsia="黑体" w:cs="Times New Roman"/>
          <w:b/>
          <w:bCs/>
          <w:color w:val="000000"/>
          <w:kern w:val="2"/>
          <w:sz w:val="28"/>
          <w:szCs w:val="32"/>
          <w:highlight w:val="none"/>
          <w:lang w:val="en-US" w:eastAsia="zh-CN" w:bidi="ar-SA"/>
        </w:rPr>
      </w:pPr>
      <w:r>
        <w:rPr>
          <w:rFonts w:hint="eastAsia" w:ascii="黑体" w:hAnsi="黑体" w:eastAsia="黑体" w:cs="黑体"/>
          <w:b/>
          <w:bCs/>
          <w:color w:val="auto"/>
          <w:szCs w:val="21"/>
          <w:highlight w:val="none"/>
          <w:lang w:val="en-US" w:eastAsia="zh-CN"/>
        </w:rPr>
        <w:t>科研</w:t>
      </w:r>
      <w:r>
        <w:rPr>
          <w:rFonts w:hint="eastAsia" w:ascii="黑体" w:hAnsi="黑体" w:eastAsia="黑体" w:cs="黑体"/>
          <w:b/>
          <w:bCs/>
          <w:color w:val="auto"/>
          <w:szCs w:val="21"/>
          <w:highlight w:val="none"/>
        </w:rPr>
        <w:t>报价明细表</w:t>
      </w:r>
      <w:r>
        <w:rPr>
          <w:rFonts w:hint="eastAsia" w:ascii="黑体" w:hAnsi="黑体" w:eastAsia="黑体" w:cs="黑体"/>
          <w:b/>
          <w:bCs/>
          <w:color w:val="auto"/>
          <w:szCs w:val="21"/>
          <w:highlight w:val="none"/>
          <w:lang w:eastAsia="zh-CN"/>
        </w:rPr>
        <w:t>（</w:t>
      </w:r>
      <w:r>
        <w:rPr>
          <w:rFonts w:hint="eastAsia" w:ascii="黑体" w:hAnsi="黑体" w:eastAsia="黑体" w:cs="黑体"/>
          <w:b/>
          <w:bCs/>
          <w:color w:val="auto"/>
          <w:szCs w:val="21"/>
          <w:highlight w:val="none"/>
          <w:lang w:val="en-US" w:eastAsia="zh-CN"/>
        </w:rPr>
        <w:t>包1、包2</w:t>
      </w:r>
      <w:r>
        <w:rPr>
          <w:rFonts w:hint="eastAsia" w:ascii="黑体" w:hAnsi="黑体" w:eastAsia="黑体" w:cs="黑体"/>
          <w:b/>
          <w:bCs/>
          <w:color w:val="auto"/>
          <w:szCs w:val="21"/>
          <w:highlight w:val="none"/>
          <w:lang w:eastAsia="zh-CN"/>
        </w:rPr>
        <w:t>）</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招标编号：</w:t>
      </w:r>
    </w:p>
    <w:p>
      <w:pPr>
        <w:pStyle w:val="5"/>
        <w:ind w:left="0" w:leftChars="0" w:firstLine="0" w:firstLineChars="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分标编号：</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包号：</w:t>
      </w:r>
    </w:p>
    <w:p>
      <w:pPr>
        <w:widowControl/>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投标人名称：</w:t>
      </w:r>
    </w:p>
    <w:p>
      <w:pPr>
        <w:adjustRightInd w:val="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单位：万元人民币</w:t>
      </w:r>
    </w:p>
    <w:tbl>
      <w:tblPr>
        <w:tblStyle w:val="1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2"/>
        <w:gridCol w:w="1280"/>
        <w:gridCol w:w="1280"/>
        <w:gridCol w:w="1230"/>
        <w:gridCol w:w="1230"/>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2" w:type="pct"/>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科目名称</w:t>
            </w:r>
          </w:p>
        </w:tc>
        <w:tc>
          <w:tcPr>
            <w:tcW w:w="751" w:type="pct"/>
            <w:noWrap w:val="0"/>
            <w:vAlign w:val="bottom"/>
          </w:tcPr>
          <w:p>
            <w:pPr>
              <w:jc w:val="center"/>
              <w:rPr>
                <w:rFonts w:hint="default"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专题一</w:t>
            </w:r>
          </w:p>
        </w:tc>
        <w:tc>
          <w:tcPr>
            <w:tcW w:w="751" w:type="pct"/>
            <w:noWrap w:val="0"/>
            <w:vAlign w:val="bottom"/>
          </w:tcPr>
          <w:p>
            <w:pPr>
              <w:jc w:val="center"/>
              <w:rPr>
                <w:rFonts w:hint="default" w:ascii="宋体" w:hAnsi="宋体" w:eastAsia="宋体" w:cs="宋体"/>
                <w:b/>
                <w:bCs/>
                <w:color w:val="auto"/>
                <w:sz w:val="21"/>
                <w:szCs w:val="21"/>
                <w:highlight w:val="none"/>
                <w:lang w:val="en-US"/>
              </w:rPr>
            </w:pPr>
            <w:r>
              <w:rPr>
                <w:rFonts w:hint="eastAsia" w:ascii="宋体" w:hAnsi="宋体" w:eastAsia="宋体" w:cs="宋体"/>
                <w:b/>
                <w:bCs/>
                <w:color w:val="auto"/>
                <w:sz w:val="21"/>
                <w:szCs w:val="21"/>
                <w:highlight w:val="none"/>
                <w:lang w:val="en-US" w:eastAsia="zh-CN"/>
              </w:rPr>
              <w:t>专题二</w:t>
            </w:r>
          </w:p>
        </w:tc>
        <w:tc>
          <w:tcPr>
            <w:tcW w:w="722" w:type="pct"/>
            <w:noWrap w:val="0"/>
            <w:vAlign w:val="center"/>
          </w:tcPr>
          <w:p>
            <w:pPr>
              <w:jc w:val="center"/>
              <w:rPr>
                <w:rFonts w:hint="default"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专题三</w:t>
            </w:r>
          </w:p>
        </w:tc>
        <w:tc>
          <w:tcPr>
            <w:tcW w:w="722" w:type="pct"/>
            <w:noWrap w:val="0"/>
            <w:vAlign w:val="center"/>
          </w:tcPr>
          <w:p>
            <w:pPr>
              <w:jc w:val="center"/>
              <w:rPr>
                <w:rFonts w:hint="default"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合计</w:t>
            </w:r>
          </w:p>
        </w:tc>
        <w:tc>
          <w:tcPr>
            <w:tcW w:w="660" w:type="pct"/>
            <w:noWrap w:val="0"/>
            <w:vAlign w:val="center"/>
          </w:tcPr>
          <w:p>
            <w:pPr>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（一）直接费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1.人工费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（1）专职研究人员人工费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（2）临时性研究人员人工费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2.设备费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（1）仪器设备使用费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（2）软件使用费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3.业务费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（1）材料费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（2）资料费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（3）印刷出版费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（4）知识产权费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（5）会议费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（6）差旅费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（7）培训费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4.场地使用费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（1）场地物业费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（2）场地租金</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5.专家咨询费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（二）间接费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（三）外委支出费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1.外委研究支出费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2.仪器设备租赁费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3.外协测试试验与加工费</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（四）税金</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92" w:type="pct"/>
            <w:noWrap w:val="0"/>
            <w:vAlign w:val="bottom"/>
          </w:tcPr>
          <w:p>
            <w:pP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合计</w:t>
            </w:r>
          </w:p>
        </w:tc>
        <w:tc>
          <w:tcPr>
            <w:tcW w:w="751" w:type="pct"/>
            <w:noWrap w:val="0"/>
            <w:vAlign w:val="bottom"/>
          </w:tcPr>
          <w:p>
            <w:pPr>
              <w:rPr>
                <w:rFonts w:hint="eastAsia" w:ascii="宋体" w:hAnsi="宋体" w:eastAsia="宋体" w:cs="宋体"/>
                <w:color w:val="auto"/>
                <w:sz w:val="21"/>
                <w:szCs w:val="21"/>
                <w:highlight w:val="none"/>
              </w:rPr>
            </w:pPr>
          </w:p>
        </w:tc>
        <w:tc>
          <w:tcPr>
            <w:tcW w:w="751"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722" w:type="pct"/>
            <w:noWrap w:val="0"/>
            <w:vAlign w:val="bottom"/>
          </w:tcPr>
          <w:p>
            <w:pPr>
              <w:rPr>
                <w:rFonts w:hint="eastAsia" w:ascii="宋体" w:hAnsi="宋体" w:eastAsia="宋体" w:cs="宋体"/>
                <w:color w:val="auto"/>
                <w:sz w:val="21"/>
                <w:szCs w:val="21"/>
                <w:highlight w:val="none"/>
              </w:rPr>
            </w:pPr>
          </w:p>
        </w:tc>
        <w:tc>
          <w:tcPr>
            <w:tcW w:w="660" w:type="pct"/>
            <w:noWrap w:val="0"/>
            <w:vAlign w:val="bottom"/>
          </w:tcPr>
          <w:p>
            <w:pPr>
              <w:rPr>
                <w:rFonts w:hint="eastAsia" w:ascii="宋体" w:hAnsi="宋体" w:eastAsia="宋体" w:cs="宋体"/>
                <w:color w:val="auto"/>
                <w:sz w:val="21"/>
                <w:szCs w:val="21"/>
                <w:highlight w:val="none"/>
              </w:rPr>
            </w:pPr>
          </w:p>
        </w:tc>
      </w:tr>
    </w:tbl>
    <w:p>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注：以上项目按需填写，不发生可不填写。</w:t>
      </w:r>
    </w:p>
    <w:p>
      <w:pPr>
        <w:widowControl/>
        <w:adjustRightInd w:val="0"/>
        <w:jc w:val="left"/>
        <w:rPr>
          <w:rFonts w:ascii="宋体" w:hAnsi="宋体"/>
          <w:color w:val="000000"/>
          <w:highlight w:val="none"/>
        </w:rPr>
      </w:pPr>
    </w:p>
    <w:p>
      <w:pPr>
        <w:pStyle w:val="5"/>
        <w:rPr>
          <w:rFonts w:hint="eastAsia"/>
          <w:highlight w:val="none"/>
          <w:lang w:val="en-US" w:eastAsia="zh-CN"/>
        </w:rPr>
      </w:pPr>
    </w:p>
    <w:p>
      <w:pPr>
        <w:spacing w:line="360" w:lineRule="exact"/>
        <w:jc w:val="left"/>
        <w:rPr>
          <w:rFonts w:hint="eastAsia" w:ascii="Times New Roman" w:hAnsi="Times New Roman" w:eastAsia="黑体" w:cs="Times New Roman"/>
          <w:b/>
          <w:bCs/>
          <w:color w:val="000000"/>
          <w:kern w:val="2"/>
          <w:sz w:val="28"/>
          <w:szCs w:val="32"/>
          <w:highlight w:val="none"/>
          <w:lang w:val="en-US" w:eastAsia="zh-CN" w:bidi="ar-SA"/>
        </w:rPr>
      </w:pPr>
      <w:r>
        <w:rPr>
          <w:rFonts w:hint="eastAsia" w:ascii="Times New Roman" w:hAnsi="Times New Roman" w:eastAsia="黑体" w:cs="Times New Roman"/>
          <w:b/>
          <w:bCs/>
          <w:color w:val="000000"/>
          <w:kern w:val="2"/>
          <w:sz w:val="28"/>
          <w:szCs w:val="32"/>
          <w:highlight w:val="none"/>
          <w:lang w:val="en-US" w:eastAsia="zh-CN" w:bidi="ar-SA"/>
        </w:rPr>
        <w:t>工程保险</w:t>
      </w:r>
    </w:p>
    <w:tbl>
      <w:tblPr>
        <w:tblStyle w:val="19"/>
        <w:tblpPr w:leftFromText="180" w:rightFromText="180" w:vertAnchor="text" w:horzAnchor="page" w:tblpX="2087" w:tblpY="344"/>
        <w:tblOverlap w:val="never"/>
        <w:tblW w:w="483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14"/>
        <w:gridCol w:w="663"/>
        <w:gridCol w:w="1245"/>
        <w:gridCol w:w="2667"/>
        <w:gridCol w:w="1333"/>
        <w:gridCol w:w="1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5" w:hRule="atLeast"/>
        </w:trPr>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sz w:val="18"/>
                <w:szCs w:val="18"/>
                <w:highlight w:val="none"/>
                <w:u w:val="none"/>
                <w:lang w:bidi="ar"/>
              </w:rPr>
            </w:pPr>
            <w:r>
              <w:rPr>
                <w:rFonts w:hint="eastAsia" w:ascii="方正仿宋_GBK" w:hAnsi="方正仿宋_GBK" w:eastAsia="宋体" w:cs="方正仿宋_GBK"/>
                <w:b/>
                <w:bCs/>
                <w:i w:val="0"/>
                <w:kern w:val="2"/>
                <w:sz w:val="18"/>
                <w:szCs w:val="18"/>
                <w:highlight w:val="none"/>
                <w:u w:val="none"/>
                <w:lang w:val="en-US" w:eastAsia="zh-CN" w:bidi="ar"/>
              </w:rPr>
              <w:t>包号</w:t>
            </w:r>
          </w:p>
        </w:tc>
        <w:tc>
          <w:tcPr>
            <w:tcW w:w="41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kern w:val="2"/>
                <w:sz w:val="18"/>
                <w:szCs w:val="18"/>
                <w:highlight w:val="none"/>
                <w:u w:val="none"/>
                <w:lang w:val="en-US" w:eastAsia="zh-CN" w:bidi="ar"/>
              </w:rPr>
            </w:pPr>
            <w:r>
              <w:rPr>
                <w:rFonts w:hint="eastAsia" w:ascii="方正仿宋_GBK" w:hAnsi="方正仿宋_GBK" w:eastAsia="宋体" w:cs="方正仿宋_GBK"/>
                <w:b/>
                <w:bCs/>
                <w:i w:val="0"/>
                <w:kern w:val="2"/>
                <w:sz w:val="18"/>
                <w:szCs w:val="18"/>
                <w:highlight w:val="none"/>
                <w:u w:val="none"/>
                <w:lang w:val="en-US" w:eastAsia="zh-CN" w:bidi="ar"/>
              </w:rPr>
              <w:t>包名称</w:t>
            </w:r>
          </w:p>
        </w:tc>
        <w:tc>
          <w:tcPr>
            <w:tcW w:w="77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kern w:val="2"/>
                <w:sz w:val="18"/>
                <w:szCs w:val="18"/>
                <w:highlight w:val="none"/>
                <w:u w:val="none"/>
                <w:lang w:val="en-US" w:eastAsia="zh-CN" w:bidi="ar"/>
              </w:rPr>
            </w:pPr>
            <w:r>
              <w:rPr>
                <w:rFonts w:hint="eastAsia" w:ascii="方正仿宋_GBK" w:hAnsi="方正仿宋_GBK" w:eastAsia="宋体" w:cs="方正仿宋_GBK"/>
                <w:b/>
                <w:bCs/>
                <w:i w:val="0"/>
                <w:kern w:val="2"/>
                <w:sz w:val="18"/>
                <w:szCs w:val="18"/>
                <w:highlight w:val="none"/>
                <w:u w:val="none"/>
                <w:lang w:val="en-US" w:eastAsia="zh-CN" w:bidi="ar"/>
              </w:rPr>
              <w:t>工程名称</w:t>
            </w:r>
          </w:p>
        </w:tc>
        <w:tc>
          <w:tcPr>
            <w:tcW w:w="1654" w:type="pc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kern w:val="2"/>
                <w:sz w:val="18"/>
                <w:szCs w:val="18"/>
                <w:highlight w:val="none"/>
                <w:u w:val="none"/>
                <w:lang w:val="en-US" w:eastAsia="zh-CN" w:bidi="ar"/>
              </w:rPr>
            </w:pPr>
            <w:r>
              <w:rPr>
                <w:rFonts w:hint="eastAsia" w:ascii="方正仿宋_GBK" w:hAnsi="方正仿宋_GBK" w:eastAsia="宋体" w:cs="方正仿宋_GBK"/>
                <w:b/>
                <w:bCs/>
                <w:i w:val="0"/>
                <w:kern w:val="2"/>
                <w:sz w:val="18"/>
                <w:szCs w:val="18"/>
                <w:highlight w:val="none"/>
                <w:u w:val="none"/>
                <w:lang w:val="en-US" w:eastAsia="zh-CN" w:bidi="ar"/>
              </w:rPr>
              <w:t>单项工程</w:t>
            </w:r>
          </w:p>
        </w:tc>
        <w:tc>
          <w:tcPr>
            <w:tcW w:w="826" w:type="pc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sz w:val="18"/>
                <w:szCs w:val="18"/>
                <w:highlight w:val="none"/>
                <w:u w:val="none"/>
                <w:lang w:eastAsia="zh-CN" w:bidi="ar"/>
              </w:rPr>
            </w:pPr>
            <w:r>
              <w:rPr>
                <w:rFonts w:hint="eastAsia" w:ascii="方正仿宋_GBK" w:hAnsi="方正仿宋_GBK" w:eastAsia="宋体" w:cs="方正仿宋_GBK"/>
                <w:b/>
                <w:bCs/>
                <w:i w:val="0"/>
                <w:sz w:val="18"/>
                <w:szCs w:val="18"/>
                <w:highlight w:val="none"/>
                <w:u w:val="none"/>
                <w:lang w:eastAsia="zh-CN" w:bidi="ar"/>
              </w:rPr>
              <w:t>分项报价</w:t>
            </w:r>
          </w:p>
        </w:tc>
        <w:tc>
          <w:tcPr>
            <w:tcW w:w="8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sz w:val="18"/>
                <w:szCs w:val="18"/>
                <w:highlight w:val="none"/>
                <w:u w:val="none"/>
                <w:lang w:eastAsia="zh-CN" w:bidi="ar"/>
              </w:rPr>
            </w:pPr>
            <w:r>
              <w:rPr>
                <w:rFonts w:hint="eastAsia" w:ascii="方正仿宋_GBK" w:hAnsi="方正仿宋_GBK" w:eastAsia="宋体" w:cs="方正仿宋_GBK"/>
                <w:b/>
                <w:bCs/>
                <w:i w:val="0"/>
                <w:sz w:val="18"/>
                <w:szCs w:val="18"/>
                <w:highlight w:val="none"/>
                <w:u w:val="none"/>
                <w:lang w:eastAsia="zh-CN" w:bidi="ar"/>
              </w:rPr>
              <w:t>报价合计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4" w:hRule="atLeast"/>
        </w:trPr>
        <w:tc>
          <w:tcPr>
            <w:tcW w:w="442"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outlineLvl w:val="9"/>
              <w:rPr>
                <w:rFonts w:hint="eastAsia" w:ascii="方正仿宋_GBK" w:hAnsi="方正仿宋_GBK" w:eastAsia="宋体" w:cs="方正仿宋_GBK"/>
                <w:sz w:val="18"/>
                <w:szCs w:val="18"/>
                <w:highlight w:val="none"/>
                <w:vertAlign w:val="baseline"/>
                <w:lang w:val="en-US" w:eastAsia="zh-CN"/>
              </w:rPr>
            </w:pPr>
            <w:r>
              <w:rPr>
                <w:rFonts w:hint="eastAsia" w:ascii="方正仿宋_GBK" w:hAnsi="方正仿宋_GBK" w:eastAsia="宋体" w:cs="方正仿宋_GBK"/>
                <w:sz w:val="18"/>
                <w:szCs w:val="18"/>
                <w:highlight w:val="none"/>
                <w:vertAlign w:val="baseline"/>
                <w:lang w:eastAsia="zh-CN"/>
              </w:rPr>
              <w:t>包</w:t>
            </w:r>
            <w:r>
              <w:rPr>
                <w:rFonts w:hint="eastAsia" w:ascii="方正仿宋_GBK" w:hAnsi="方正仿宋_GBK" w:eastAsia="宋体" w:cs="方正仿宋_GBK"/>
                <w:sz w:val="18"/>
                <w:szCs w:val="18"/>
                <w:highlight w:val="none"/>
                <w:vertAlign w:val="baseline"/>
                <w:lang w:val="en-US" w:eastAsia="zh-CN"/>
              </w:rPr>
              <w:t>1</w:t>
            </w:r>
          </w:p>
        </w:tc>
        <w:tc>
          <w:tcPr>
            <w:tcW w:w="66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outlineLvl w:val="9"/>
              <w:rPr>
                <w:rFonts w:hint="eastAsia" w:ascii="方正仿宋_GBK" w:hAnsi="方正仿宋_GBK" w:eastAsia="宋体" w:cs="方正仿宋_GBK"/>
                <w:sz w:val="18"/>
                <w:szCs w:val="18"/>
                <w:highlight w:val="none"/>
                <w:vertAlign w:val="baseline"/>
                <w:lang w:eastAsia="zh-CN"/>
              </w:rPr>
            </w:pPr>
            <w:r>
              <w:rPr>
                <w:rFonts w:hint="eastAsia" w:ascii="方正仿宋_GBK" w:hAnsi="方正仿宋_GBK" w:eastAsia="宋体" w:cs="方正仿宋_GBK"/>
                <w:kern w:val="2"/>
                <w:sz w:val="18"/>
                <w:szCs w:val="18"/>
                <w:highlight w:val="none"/>
                <w:vertAlign w:val="baseline"/>
                <w:lang w:val="en-US" w:eastAsia="zh-CN" w:bidi="ar-SA"/>
              </w:rPr>
              <w:t>陕西-河南工程保险</w:t>
            </w:r>
          </w:p>
        </w:tc>
        <w:tc>
          <w:tcPr>
            <w:tcW w:w="1245"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left="0" w:leftChars="0" w:firstLine="0" w:firstLineChars="0"/>
              <w:jc w:val="both"/>
              <w:textAlignment w:val="auto"/>
              <w:outlineLvl w:val="9"/>
              <w:rPr>
                <w:rFonts w:hint="eastAsia" w:ascii="方正仿宋_GBK" w:hAnsi="方正仿宋_GBK" w:eastAsia="宋体" w:cs="方正仿宋_GBK"/>
                <w:sz w:val="18"/>
                <w:szCs w:val="18"/>
                <w:highlight w:val="none"/>
                <w:vertAlign w:val="baseline"/>
                <w:lang w:eastAsia="zh-CN"/>
              </w:rPr>
            </w:pPr>
            <w:r>
              <w:rPr>
                <w:rFonts w:hint="eastAsia" w:ascii="方正仿宋_GBK" w:hAnsi="方正仿宋_GBK" w:eastAsia="宋体" w:cs="方正仿宋_GBK"/>
                <w:kern w:val="2"/>
                <w:sz w:val="18"/>
                <w:szCs w:val="18"/>
                <w:highlight w:val="none"/>
                <w:vertAlign w:val="baseline"/>
                <w:lang w:val="en-US" w:eastAsia="zh-CN" w:bidi="ar-SA"/>
              </w:rPr>
              <w:t>陕西-河南±800千伏直流输电工程</w:t>
            </w:r>
          </w:p>
        </w:tc>
        <w:tc>
          <w:tcPr>
            <w:tcW w:w="2667"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sz w:val="18"/>
                <w:szCs w:val="18"/>
                <w:highlight w:val="none"/>
                <w:vertAlign w:val="baseline"/>
                <w:lang w:val="en-US" w:eastAsia="zh-CN"/>
              </w:rPr>
            </w:pPr>
            <w:r>
              <w:rPr>
                <w:rFonts w:hint="eastAsia" w:ascii="方正仿宋_GBK" w:hAnsi="方正仿宋_GBK" w:eastAsia="宋体" w:cs="方正仿宋_GBK"/>
                <w:sz w:val="18"/>
                <w:szCs w:val="18"/>
                <w:highlight w:val="none"/>
                <w:vertAlign w:val="baseline"/>
                <w:lang w:val="en-US" w:eastAsia="zh-CN"/>
              </w:rPr>
              <w:t>送端换流站、送端接地极和接地极线路、全段直流线路</w:t>
            </w:r>
          </w:p>
        </w:tc>
        <w:tc>
          <w:tcPr>
            <w:tcW w:w="82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left="0" w:leftChars="0" w:firstLine="540" w:firstLineChars="300"/>
              <w:jc w:val="both"/>
              <w:textAlignment w:val="auto"/>
              <w:outlineLvl w:val="9"/>
              <w:rPr>
                <w:rFonts w:hint="default" w:ascii="方正仿宋_GBK" w:hAnsi="方正仿宋_GBK" w:cs="方正仿宋_GBK"/>
                <w:sz w:val="18"/>
                <w:szCs w:val="18"/>
                <w:highlight w:val="none"/>
                <w:vertAlign w:val="baseline"/>
                <w:lang w:val="en-US" w:eastAsia="zh-CN"/>
              </w:rPr>
            </w:pPr>
          </w:p>
        </w:tc>
        <w:tc>
          <w:tcPr>
            <w:tcW w:w="893" w:type="pct"/>
            <w:vMerge w:val="restart"/>
            <w:tcBorders>
              <w:top w:val="single" w:color="000000" w:sz="4" w:space="0"/>
              <w:left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cs="方正仿宋_GBK"/>
                <w:sz w:val="18"/>
                <w:szCs w:val="18"/>
                <w:highlight w:val="none"/>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4" w:hRule="atLeast"/>
        </w:trPr>
        <w:tc>
          <w:tcPr>
            <w:tcW w:w="442"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outlineLvl w:val="9"/>
              <w:rPr>
                <w:rFonts w:hint="eastAsia" w:ascii="方正仿宋_GBK" w:hAnsi="方正仿宋_GBK" w:eastAsia="宋体" w:cs="方正仿宋_GBK"/>
                <w:sz w:val="18"/>
                <w:szCs w:val="18"/>
                <w:highlight w:val="none"/>
              </w:rPr>
            </w:pPr>
          </w:p>
        </w:tc>
        <w:tc>
          <w:tcPr>
            <w:tcW w:w="411"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outlineLvl w:val="9"/>
              <w:rPr>
                <w:rFonts w:hint="eastAsia" w:ascii="方正仿宋_GBK" w:hAnsi="方正仿宋_GBK" w:eastAsia="宋体" w:cs="方正仿宋_GBK"/>
                <w:sz w:val="18"/>
                <w:szCs w:val="18"/>
                <w:highlight w:val="none"/>
              </w:rPr>
            </w:pPr>
          </w:p>
        </w:tc>
        <w:tc>
          <w:tcPr>
            <w:tcW w:w="772"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outlineLvl w:val="9"/>
              <w:rPr>
                <w:rFonts w:hint="eastAsia" w:ascii="方正仿宋_GBK" w:hAnsi="方正仿宋_GBK" w:eastAsia="宋体" w:cs="方正仿宋_GBK"/>
                <w:sz w:val="18"/>
                <w:szCs w:val="18"/>
                <w:highlight w:val="none"/>
              </w:rPr>
            </w:pPr>
          </w:p>
        </w:tc>
        <w:tc>
          <w:tcPr>
            <w:tcW w:w="2667"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outlineLvl w:val="9"/>
              <w:rPr>
                <w:rFonts w:hint="eastAsia" w:ascii="方正仿宋_GBK" w:hAnsi="方正仿宋_GBK" w:eastAsia="宋体" w:cs="方正仿宋_GBK"/>
                <w:b w:val="0"/>
                <w:bCs w:val="0"/>
                <w:sz w:val="18"/>
                <w:szCs w:val="18"/>
                <w:highlight w:val="none"/>
                <w:vertAlign w:val="baseline"/>
                <w:lang w:val="en-US" w:eastAsia="zh-CN"/>
              </w:rPr>
            </w:pPr>
            <w:r>
              <w:rPr>
                <w:rFonts w:hint="eastAsia" w:ascii="方正仿宋_GBK" w:hAnsi="方正仿宋_GBK" w:eastAsia="宋体" w:cs="方正仿宋_GBK"/>
                <w:b w:val="0"/>
                <w:bCs w:val="0"/>
                <w:sz w:val="18"/>
                <w:szCs w:val="18"/>
                <w:highlight w:val="none"/>
                <w:vertAlign w:val="baseline"/>
                <w:lang w:val="en-US" w:eastAsia="zh-CN"/>
              </w:rPr>
              <w:t>受端换流站、受端</w:t>
            </w:r>
            <w:r>
              <w:rPr>
                <w:rFonts w:hint="eastAsia" w:ascii="方正仿宋_GBK" w:hAnsi="方正仿宋_GBK" w:eastAsia="宋体" w:cs="方正仿宋_GBK"/>
                <w:sz w:val="18"/>
                <w:szCs w:val="18"/>
                <w:highlight w:val="none"/>
                <w:vertAlign w:val="baseline"/>
                <w:lang w:val="en-US" w:eastAsia="zh-CN"/>
              </w:rPr>
              <w:t>接地极和接地极线路</w:t>
            </w:r>
          </w:p>
        </w:tc>
        <w:tc>
          <w:tcPr>
            <w:tcW w:w="826"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cs="方正仿宋_GBK"/>
                <w:b/>
                <w:bCs/>
                <w:sz w:val="18"/>
                <w:szCs w:val="18"/>
                <w:highlight w:val="none"/>
                <w:vertAlign w:val="baseline"/>
                <w:lang w:val="en-US" w:eastAsia="zh-CN"/>
              </w:rPr>
            </w:pPr>
          </w:p>
        </w:tc>
        <w:tc>
          <w:tcPr>
            <w:tcW w:w="893" w:type="pct"/>
            <w:vMerge w:val="continue"/>
            <w:tcBorders>
              <w:left w:val="single" w:color="auto"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outlineLvl w:val="9"/>
              <w:rPr>
                <w:rFonts w:hint="eastAsia" w:ascii="方正仿宋_GBK" w:hAnsi="方正仿宋_GBK" w:cs="方正仿宋_GBK"/>
                <w:b/>
                <w:bCs/>
                <w:sz w:val="18"/>
                <w:szCs w:val="18"/>
                <w:highlight w:val="none"/>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8" w:hRule="atLeast"/>
        </w:trPr>
        <w:tc>
          <w:tcPr>
            <w:tcW w:w="442"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包2</w:t>
            </w:r>
          </w:p>
        </w:tc>
        <w:tc>
          <w:tcPr>
            <w:tcW w:w="66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left="0" w:leftChars="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鲁苏背靠背工程保险</w:t>
            </w:r>
          </w:p>
        </w:tc>
        <w:tc>
          <w:tcPr>
            <w:tcW w:w="1245"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left="0" w:leftChars="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鲁苏背靠背联网工程</w:t>
            </w:r>
          </w:p>
        </w:tc>
        <w:tc>
          <w:tcPr>
            <w:tcW w:w="2667" w:type="dxa"/>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背靠背换流站</w:t>
            </w:r>
          </w:p>
        </w:tc>
        <w:tc>
          <w:tcPr>
            <w:tcW w:w="826"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eastAsia="方正仿宋_GBK" w:cs="方正仿宋_GBK"/>
                <w:kern w:val="2"/>
                <w:sz w:val="18"/>
                <w:szCs w:val="18"/>
                <w:highlight w:val="none"/>
                <w:vertAlign w:val="baseline"/>
                <w:lang w:val="en-US" w:eastAsia="zh-CN" w:bidi="ar-SA"/>
              </w:rPr>
            </w:pPr>
          </w:p>
        </w:tc>
        <w:tc>
          <w:tcPr>
            <w:tcW w:w="893"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eastAsia="方正仿宋_GBK" w:cs="方正仿宋_GBK"/>
                <w:kern w:val="2"/>
                <w:sz w:val="18"/>
                <w:szCs w:val="18"/>
                <w:highlight w:val="none"/>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8" w:hRule="atLeast"/>
        </w:trPr>
        <w:tc>
          <w:tcPr>
            <w:tcW w:w="442"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sz w:val="18"/>
                <w:szCs w:val="18"/>
                <w:highlight w:val="none"/>
              </w:rPr>
            </w:pPr>
          </w:p>
        </w:tc>
        <w:tc>
          <w:tcPr>
            <w:tcW w:w="411"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sz w:val="18"/>
                <w:szCs w:val="18"/>
                <w:highlight w:val="none"/>
              </w:rPr>
            </w:pPr>
          </w:p>
        </w:tc>
        <w:tc>
          <w:tcPr>
            <w:tcW w:w="772"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sz w:val="18"/>
                <w:szCs w:val="18"/>
                <w:highlight w:val="none"/>
              </w:rPr>
            </w:pPr>
          </w:p>
        </w:tc>
        <w:tc>
          <w:tcPr>
            <w:tcW w:w="2667" w:type="dxa"/>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兰陵500千伏变电站扩建、山东境内500千伏线路</w:t>
            </w:r>
          </w:p>
        </w:tc>
        <w:tc>
          <w:tcPr>
            <w:tcW w:w="826"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cs="方正仿宋_GBK"/>
                <w:kern w:val="2"/>
                <w:sz w:val="18"/>
                <w:szCs w:val="18"/>
                <w:highlight w:val="none"/>
                <w:vertAlign w:val="baseline"/>
                <w:lang w:val="en-US" w:eastAsia="zh-CN" w:bidi="ar-SA"/>
              </w:rPr>
            </w:pPr>
          </w:p>
        </w:tc>
        <w:tc>
          <w:tcPr>
            <w:tcW w:w="893"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eastAsia" w:ascii="方正仿宋_GBK" w:hAnsi="方正仿宋_GBK" w:cs="方正仿宋_GBK"/>
                <w:kern w:val="2"/>
                <w:sz w:val="18"/>
                <w:szCs w:val="18"/>
                <w:highlight w:val="none"/>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8" w:hRule="atLeast"/>
        </w:trPr>
        <w:tc>
          <w:tcPr>
            <w:tcW w:w="442"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411"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772"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2667" w:type="dxa"/>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0" w:rightChars="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姚湖500千伏变电站扩建、江苏境内500千伏线路</w:t>
            </w:r>
          </w:p>
        </w:tc>
        <w:tc>
          <w:tcPr>
            <w:tcW w:w="826"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cs="方正仿宋_GBK"/>
                <w:kern w:val="2"/>
                <w:sz w:val="18"/>
                <w:szCs w:val="18"/>
                <w:highlight w:val="none"/>
                <w:vertAlign w:val="baseline"/>
                <w:lang w:val="en-US" w:eastAsia="zh-CN" w:bidi="ar-SA"/>
              </w:rPr>
            </w:pPr>
          </w:p>
        </w:tc>
        <w:tc>
          <w:tcPr>
            <w:tcW w:w="893"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eastAsia" w:ascii="方正仿宋_GBK" w:hAnsi="方正仿宋_GBK" w:cs="方正仿宋_GBK"/>
                <w:kern w:val="2"/>
                <w:sz w:val="18"/>
                <w:szCs w:val="18"/>
                <w:highlight w:val="none"/>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9" w:hRule="atLeast"/>
        </w:trPr>
        <w:tc>
          <w:tcPr>
            <w:tcW w:w="1626"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方正仿宋_GBK" w:cs="方正仿宋_GBK"/>
                <w:b/>
                <w:bCs/>
                <w:kern w:val="2"/>
                <w:sz w:val="18"/>
                <w:szCs w:val="18"/>
                <w:highlight w:val="none"/>
                <w:vertAlign w:val="baseline"/>
                <w:lang w:val="en-US" w:eastAsia="zh-CN" w:bidi="ar-SA"/>
              </w:rPr>
            </w:pPr>
            <w:r>
              <w:rPr>
                <w:rFonts w:hint="eastAsia" w:ascii="方正仿宋_GBK" w:hAnsi="方正仿宋_GBK" w:cs="方正仿宋_GBK"/>
                <w:b/>
                <w:bCs/>
                <w:kern w:val="2"/>
                <w:sz w:val="18"/>
                <w:szCs w:val="18"/>
                <w:highlight w:val="none"/>
                <w:vertAlign w:val="baseline"/>
                <w:lang w:val="en-US" w:eastAsia="zh-CN" w:bidi="ar-SA"/>
              </w:rPr>
              <w:t>合计</w:t>
            </w:r>
          </w:p>
        </w:tc>
        <w:tc>
          <w:tcPr>
            <w:tcW w:w="165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left"/>
              <w:textAlignment w:val="auto"/>
              <w:rPr>
                <w:rFonts w:hint="eastAsia" w:ascii="方正仿宋_GBK" w:hAnsi="方正仿宋_GBK" w:cs="方正仿宋_GBK"/>
                <w:b/>
                <w:bCs/>
                <w:kern w:val="2"/>
                <w:sz w:val="18"/>
                <w:szCs w:val="18"/>
                <w:highlight w:val="none"/>
                <w:vertAlign w:val="baseline"/>
                <w:lang w:val="en-US" w:eastAsia="zh-CN" w:bidi="ar-SA"/>
              </w:rPr>
            </w:pPr>
          </w:p>
        </w:tc>
        <w:tc>
          <w:tcPr>
            <w:tcW w:w="826" w:type="pc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rPr>
                <w:rFonts w:hint="default" w:ascii="方正仿宋_GBK" w:hAnsi="方正仿宋_GBK" w:eastAsia="方正仿宋_GBK" w:cs="方正仿宋_GBK"/>
                <w:b/>
                <w:bCs/>
                <w:kern w:val="2"/>
                <w:sz w:val="18"/>
                <w:szCs w:val="18"/>
                <w:highlight w:val="none"/>
                <w:vertAlign w:val="baseline"/>
                <w:lang w:val="en-US" w:eastAsia="zh-CN" w:bidi="ar-SA"/>
              </w:rPr>
            </w:pPr>
          </w:p>
        </w:tc>
        <w:tc>
          <w:tcPr>
            <w:tcW w:w="8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rPr>
                <w:rFonts w:hint="default" w:ascii="方正仿宋_GBK" w:hAnsi="方正仿宋_GBK" w:eastAsia="方正仿宋_GBK" w:cs="方正仿宋_GBK"/>
                <w:b/>
                <w:bCs/>
                <w:kern w:val="2"/>
                <w:sz w:val="18"/>
                <w:szCs w:val="18"/>
                <w:highlight w:val="none"/>
                <w:vertAlign w:val="baseline"/>
                <w:lang w:val="en-US" w:eastAsia="zh-CN" w:bidi="ar-SA"/>
              </w:rPr>
            </w:pPr>
          </w:p>
        </w:tc>
      </w:tr>
    </w:tbl>
    <w:p>
      <w:pPr>
        <w:pStyle w:val="2"/>
        <w:jc w:val="both"/>
        <w:rPr>
          <w:rFonts w:hint="eastAsia" w:ascii="Times New Roman" w:hAnsi="Times New Roman" w:eastAsia="黑体" w:cs="Times New Roman"/>
          <w:b/>
          <w:bCs/>
          <w:color w:val="000000"/>
          <w:kern w:val="2"/>
          <w:sz w:val="28"/>
          <w:szCs w:val="32"/>
          <w:highlight w:val="none"/>
          <w:lang w:val="en-US" w:eastAsia="zh-CN"/>
        </w:rPr>
      </w:pPr>
      <w:r>
        <w:rPr>
          <w:rFonts w:hint="eastAsia" w:ascii="Times New Roman" w:hAnsi="Times New Roman" w:cs="Times New Roman"/>
          <w:b/>
          <w:bCs/>
          <w:color w:val="000000"/>
          <w:kern w:val="2"/>
          <w:sz w:val="28"/>
          <w:szCs w:val="32"/>
          <w:highlight w:val="none"/>
          <w:lang w:val="en-US" w:eastAsia="zh-CN"/>
        </w:rPr>
        <w:t>决算审核</w:t>
      </w:r>
    </w:p>
    <w:tbl>
      <w:tblPr>
        <w:tblStyle w:val="19"/>
        <w:tblpPr w:leftFromText="180" w:rightFromText="180" w:vertAnchor="text" w:horzAnchor="page" w:tblpX="2087" w:tblpY="344"/>
        <w:tblOverlap w:val="never"/>
        <w:tblW w:w="483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14"/>
        <w:gridCol w:w="663"/>
        <w:gridCol w:w="1245"/>
        <w:gridCol w:w="2667"/>
        <w:gridCol w:w="1333"/>
        <w:gridCol w:w="1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5" w:hRule="atLeast"/>
        </w:trPr>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outlineLvl w:val="9"/>
              <w:rPr>
                <w:rFonts w:hint="eastAsia" w:ascii="方正仿宋_GBK" w:hAnsi="方正仿宋_GBK" w:eastAsia="宋体" w:cs="方正仿宋_GBK"/>
                <w:b/>
                <w:bCs/>
                <w:i w:val="0"/>
                <w:sz w:val="18"/>
                <w:szCs w:val="18"/>
                <w:highlight w:val="none"/>
                <w:u w:val="none"/>
                <w:lang w:bidi="ar"/>
              </w:rPr>
            </w:pPr>
            <w:r>
              <w:rPr>
                <w:rFonts w:hint="eastAsia" w:ascii="方正仿宋_GBK" w:hAnsi="方正仿宋_GBK" w:eastAsia="宋体" w:cs="方正仿宋_GBK"/>
                <w:b/>
                <w:bCs/>
                <w:sz w:val="18"/>
                <w:szCs w:val="18"/>
                <w:highlight w:val="none"/>
                <w:u w:val="none"/>
                <w:lang w:val="en-US" w:eastAsia="zh-CN" w:bidi="ar"/>
              </w:rPr>
              <w:br w:type="page"/>
            </w:r>
            <w:r>
              <w:rPr>
                <w:rFonts w:hint="eastAsia" w:ascii="方正仿宋_GBK" w:hAnsi="方正仿宋_GBK" w:eastAsia="宋体" w:cs="方正仿宋_GBK"/>
                <w:b/>
                <w:bCs/>
                <w:i w:val="0"/>
                <w:kern w:val="2"/>
                <w:sz w:val="18"/>
                <w:szCs w:val="18"/>
                <w:highlight w:val="none"/>
                <w:u w:val="none"/>
                <w:lang w:val="en-US" w:eastAsia="zh-CN" w:bidi="ar"/>
              </w:rPr>
              <w:t>包号</w:t>
            </w:r>
          </w:p>
        </w:tc>
        <w:tc>
          <w:tcPr>
            <w:tcW w:w="41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kern w:val="2"/>
                <w:sz w:val="18"/>
                <w:szCs w:val="18"/>
                <w:highlight w:val="none"/>
                <w:u w:val="none"/>
                <w:lang w:val="en-US" w:eastAsia="zh-CN" w:bidi="ar"/>
              </w:rPr>
            </w:pPr>
            <w:r>
              <w:rPr>
                <w:rFonts w:hint="eastAsia" w:ascii="方正仿宋_GBK" w:hAnsi="方正仿宋_GBK" w:eastAsia="宋体" w:cs="方正仿宋_GBK"/>
                <w:b/>
                <w:bCs/>
                <w:i w:val="0"/>
                <w:kern w:val="2"/>
                <w:sz w:val="18"/>
                <w:szCs w:val="18"/>
                <w:highlight w:val="none"/>
                <w:u w:val="none"/>
                <w:lang w:val="en-US" w:eastAsia="zh-CN" w:bidi="ar"/>
              </w:rPr>
              <w:t>包名称</w:t>
            </w:r>
          </w:p>
        </w:tc>
        <w:tc>
          <w:tcPr>
            <w:tcW w:w="77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kern w:val="2"/>
                <w:sz w:val="18"/>
                <w:szCs w:val="18"/>
                <w:highlight w:val="none"/>
                <w:u w:val="none"/>
                <w:lang w:val="en-US" w:eastAsia="zh-CN" w:bidi="ar"/>
              </w:rPr>
            </w:pPr>
            <w:r>
              <w:rPr>
                <w:rFonts w:hint="eastAsia" w:ascii="方正仿宋_GBK" w:hAnsi="方正仿宋_GBK" w:eastAsia="宋体" w:cs="方正仿宋_GBK"/>
                <w:b/>
                <w:bCs/>
                <w:i w:val="0"/>
                <w:kern w:val="2"/>
                <w:sz w:val="18"/>
                <w:szCs w:val="18"/>
                <w:highlight w:val="none"/>
                <w:u w:val="none"/>
                <w:lang w:val="en-US" w:eastAsia="zh-CN" w:bidi="ar"/>
              </w:rPr>
              <w:t>工程名称</w:t>
            </w:r>
          </w:p>
        </w:tc>
        <w:tc>
          <w:tcPr>
            <w:tcW w:w="1654" w:type="pc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kern w:val="2"/>
                <w:sz w:val="18"/>
                <w:szCs w:val="18"/>
                <w:highlight w:val="none"/>
                <w:u w:val="none"/>
                <w:lang w:val="en-US" w:eastAsia="zh-CN" w:bidi="ar"/>
              </w:rPr>
            </w:pPr>
            <w:r>
              <w:rPr>
                <w:rFonts w:hint="eastAsia" w:ascii="方正仿宋_GBK" w:hAnsi="方正仿宋_GBK" w:eastAsia="宋体" w:cs="方正仿宋_GBK"/>
                <w:b/>
                <w:bCs/>
                <w:i w:val="0"/>
                <w:kern w:val="2"/>
                <w:sz w:val="18"/>
                <w:szCs w:val="18"/>
                <w:highlight w:val="none"/>
                <w:u w:val="none"/>
                <w:lang w:val="en-US" w:eastAsia="zh-CN" w:bidi="ar"/>
              </w:rPr>
              <w:t>单项工程</w:t>
            </w:r>
          </w:p>
        </w:tc>
        <w:tc>
          <w:tcPr>
            <w:tcW w:w="826" w:type="pc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sz w:val="18"/>
                <w:szCs w:val="18"/>
                <w:highlight w:val="none"/>
                <w:u w:val="none"/>
                <w:lang w:eastAsia="zh-CN" w:bidi="ar"/>
              </w:rPr>
            </w:pPr>
            <w:r>
              <w:rPr>
                <w:rFonts w:hint="eastAsia" w:ascii="方正仿宋_GBK" w:hAnsi="方正仿宋_GBK" w:eastAsia="宋体" w:cs="方正仿宋_GBK"/>
                <w:b/>
                <w:bCs/>
                <w:i w:val="0"/>
                <w:sz w:val="18"/>
                <w:szCs w:val="18"/>
                <w:highlight w:val="none"/>
                <w:u w:val="none"/>
                <w:lang w:eastAsia="zh-CN" w:bidi="ar"/>
              </w:rPr>
              <w:t>分项报价</w:t>
            </w:r>
          </w:p>
        </w:tc>
        <w:tc>
          <w:tcPr>
            <w:tcW w:w="8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宋体" w:cs="方正仿宋_GBK"/>
                <w:b/>
                <w:bCs/>
                <w:i w:val="0"/>
                <w:sz w:val="18"/>
                <w:szCs w:val="18"/>
                <w:highlight w:val="none"/>
                <w:u w:val="none"/>
                <w:lang w:eastAsia="zh-CN" w:bidi="ar"/>
              </w:rPr>
            </w:pPr>
            <w:r>
              <w:rPr>
                <w:rFonts w:hint="eastAsia" w:ascii="方正仿宋_GBK" w:hAnsi="方正仿宋_GBK" w:eastAsia="宋体" w:cs="方正仿宋_GBK"/>
                <w:b/>
                <w:bCs/>
                <w:i w:val="0"/>
                <w:sz w:val="18"/>
                <w:szCs w:val="18"/>
                <w:highlight w:val="none"/>
                <w:u w:val="none"/>
                <w:lang w:eastAsia="zh-CN" w:bidi="ar"/>
              </w:rPr>
              <w:t>报价合计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4" w:hRule="atLeast"/>
        </w:trPr>
        <w:tc>
          <w:tcPr>
            <w:tcW w:w="442"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vertAlign w:val="baseline"/>
                <w:lang w:val="en-US" w:eastAsia="zh-CN"/>
              </w:rPr>
            </w:pPr>
            <w:r>
              <w:rPr>
                <w:rFonts w:hint="eastAsia" w:ascii="方正仿宋_GBK" w:hAnsi="方正仿宋_GBK" w:eastAsia="宋体" w:cs="方正仿宋_GBK"/>
                <w:sz w:val="18"/>
                <w:szCs w:val="18"/>
                <w:highlight w:val="none"/>
                <w:vertAlign w:val="baseline"/>
                <w:lang w:eastAsia="zh-CN"/>
              </w:rPr>
              <w:t>包</w:t>
            </w:r>
            <w:r>
              <w:rPr>
                <w:rFonts w:hint="eastAsia" w:ascii="方正仿宋_GBK" w:hAnsi="方正仿宋_GBK" w:eastAsia="宋体" w:cs="方正仿宋_GBK"/>
                <w:sz w:val="18"/>
                <w:szCs w:val="18"/>
                <w:highlight w:val="none"/>
                <w:vertAlign w:val="baseline"/>
                <w:lang w:val="en-US" w:eastAsia="zh-CN"/>
              </w:rPr>
              <w:t>1</w:t>
            </w:r>
          </w:p>
        </w:tc>
        <w:tc>
          <w:tcPr>
            <w:tcW w:w="66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vertAlign w:val="baseline"/>
                <w:lang w:eastAsia="zh-CN"/>
              </w:rPr>
            </w:pPr>
            <w:r>
              <w:rPr>
                <w:rFonts w:hint="eastAsia" w:ascii="方正仿宋_GBK" w:hAnsi="方正仿宋_GBK" w:eastAsia="宋体" w:cs="方正仿宋_GBK"/>
                <w:kern w:val="2"/>
                <w:sz w:val="18"/>
                <w:szCs w:val="18"/>
                <w:highlight w:val="none"/>
                <w:vertAlign w:val="baseline"/>
                <w:lang w:val="en-US" w:eastAsia="zh-CN" w:bidi="ar-SA"/>
              </w:rPr>
              <w:t>陕西-河南工程决算审核</w:t>
            </w:r>
          </w:p>
        </w:tc>
        <w:tc>
          <w:tcPr>
            <w:tcW w:w="1245"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left="0" w:leftChars="0" w:right="105" w:rightChars="50" w:firstLine="0" w:firstLineChars="0"/>
              <w:jc w:val="both"/>
              <w:textAlignment w:val="auto"/>
              <w:outlineLvl w:val="9"/>
              <w:rPr>
                <w:rFonts w:hint="eastAsia" w:ascii="方正仿宋_GBK" w:hAnsi="方正仿宋_GBK" w:eastAsia="宋体" w:cs="方正仿宋_GBK"/>
                <w:sz w:val="18"/>
                <w:szCs w:val="18"/>
                <w:highlight w:val="none"/>
                <w:vertAlign w:val="baseline"/>
                <w:lang w:eastAsia="zh-CN"/>
              </w:rPr>
            </w:pPr>
            <w:r>
              <w:rPr>
                <w:rFonts w:hint="eastAsia" w:ascii="方正仿宋_GBK" w:hAnsi="方正仿宋_GBK" w:eastAsia="宋体" w:cs="方正仿宋_GBK"/>
                <w:kern w:val="2"/>
                <w:sz w:val="18"/>
                <w:szCs w:val="18"/>
                <w:highlight w:val="none"/>
                <w:vertAlign w:val="baseline"/>
                <w:lang w:val="en-US" w:eastAsia="zh-CN" w:bidi="ar-SA"/>
              </w:rPr>
              <w:t>陕西-河南±800千伏直流输电工程</w:t>
            </w:r>
          </w:p>
        </w:tc>
        <w:tc>
          <w:tcPr>
            <w:tcW w:w="165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vertAlign w:val="baseline"/>
                <w:lang w:val="en-US" w:eastAsia="zh-CN"/>
              </w:rPr>
            </w:pPr>
            <w:r>
              <w:rPr>
                <w:rFonts w:hint="eastAsia" w:ascii="方正仿宋_GBK" w:hAnsi="方正仿宋_GBK" w:eastAsia="宋体" w:cs="方正仿宋_GBK"/>
                <w:sz w:val="18"/>
                <w:szCs w:val="18"/>
                <w:highlight w:val="none"/>
                <w:vertAlign w:val="baseline"/>
                <w:lang w:val="en-US" w:eastAsia="zh-CN"/>
              </w:rPr>
              <w:t>送端换流站、送端接地极和接地极线路、全段直流线路以及相关通信、二次系统工程</w:t>
            </w:r>
          </w:p>
        </w:tc>
        <w:tc>
          <w:tcPr>
            <w:tcW w:w="826"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left="0" w:leftChars="0" w:firstLine="540" w:firstLineChars="300"/>
              <w:jc w:val="both"/>
              <w:textAlignment w:val="auto"/>
              <w:outlineLvl w:val="9"/>
              <w:rPr>
                <w:rFonts w:hint="default" w:ascii="方正仿宋_GBK" w:hAnsi="方正仿宋_GBK" w:cs="方正仿宋_GBK"/>
                <w:sz w:val="18"/>
                <w:szCs w:val="18"/>
                <w:highlight w:val="none"/>
                <w:vertAlign w:val="baseline"/>
                <w:lang w:val="en-US" w:eastAsia="zh-CN"/>
              </w:rPr>
            </w:pPr>
          </w:p>
        </w:tc>
        <w:tc>
          <w:tcPr>
            <w:tcW w:w="893" w:type="pct"/>
            <w:vMerge w:val="restart"/>
            <w:tcBorders>
              <w:top w:val="single" w:color="000000" w:sz="4" w:space="0"/>
              <w:left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cs="方正仿宋_GBK"/>
                <w:sz w:val="18"/>
                <w:szCs w:val="18"/>
                <w:highlight w:val="none"/>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4" w:hRule="atLeast"/>
        </w:trPr>
        <w:tc>
          <w:tcPr>
            <w:tcW w:w="442"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rPr>
            </w:pPr>
          </w:p>
        </w:tc>
        <w:tc>
          <w:tcPr>
            <w:tcW w:w="411"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rPr>
            </w:pPr>
          </w:p>
        </w:tc>
        <w:tc>
          <w:tcPr>
            <w:tcW w:w="772"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rPr>
            </w:pPr>
          </w:p>
        </w:tc>
        <w:tc>
          <w:tcPr>
            <w:tcW w:w="165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b w:val="0"/>
                <w:bCs w:val="0"/>
                <w:sz w:val="18"/>
                <w:szCs w:val="18"/>
                <w:highlight w:val="none"/>
                <w:vertAlign w:val="baseline"/>
                <w:lang w:val="en-US" w:eastAsia="zh-CN"/>
              </w:rPr>
            </w:pPr>
            <w:r>
              <w:rPr>
                <w:rFonts w:hint="eastAsia" w:ascii="方正仿宋_GBK" w:hAnsi="方正仿宋_GBK" w:eastAsia="宋体" w:cs="方正仿宋_GBK"/>
                <w:b w:val="0"/>
                <w:bCs w:val="0"/>
                <w:sz w:val="18"/>
                <w:szCs w:val="18"/>
                <w:highlight w:val="none"/>
                <w:vertAlign w:val="baseline"/>
                <w:lang w:val="en-US" w:eastAsia="zh-CN"/>
              </w:rPr>
              <w:t>受端换流站、受端</w:t>
            </w:r>
            <w:r>
              <w:rPr>
                <w:rFonts w:hint="eastAsia" w:ascii="方正仿宋_GBK" w:hAnsi="方正仿宋_GBK" w:eastAsia="宋体" w:cs="方正仿宋_GBK"/>
                <w:sz w:val="18"/>
                <w:szCs w:val="18"/>
                <w:highlight w:val="none"/>
                <w:vertAlign w:val="baseline"/>
                <w:lang w:val="en-US" w:eastAsia="zh-CN"/>
              </w:rPr>
              <w:t>接地极和接地极线路以及相关通信、二次系统工程</w:t>
            </w:r>
          </w:p>
        </w:tc>
        <w:tc>
          <w:tcPr>
            <w:tcW w:w="826"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cs="方正仿宋_GBK"/>
                <w:b/>
                <w:bCs/>
                <w:sz w:val="18"/>
                <w:szCs w:val="18"/>
                <w:highlight w:val="none"/>
                <w:vertAlign w:val="baseline"/>
                <w:lang w:val="en-US" w:eastAsia="zh-CN"/>
              </w:rPr>
            </w:pPr>
          </w:p>
        </w:tc>
        <w:tc>
          <w:tcPr>
            <w:tcW w:w="893" w:type="pct"/>
            <w:vMerge w:val="continue"/>
            <w:tcBorders>
              <w:left w:val="single" w:color="auto"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outlineLvl w:val="9"/>
              <w:rPr>
                <w:rFonts w:hint="eastAsia" w:ascii="方正仿宋_GBK" w:hAnsi="方正仿宋_GBK" w:cs="方正仿宋_GBK"/>
                <w:b/>
                <w:bCs/>
                <w:sz w:val="18"/>
                <w:szCs w:val="18"/>
                <w:highlight w:val="none"/>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8" w:hRule="atLeast"/>
        </w:trPr>
        <w:tc>
          <w:tcPr>
            <w:tcW w:w="442"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包2</w:t>
            </w:r>
          </w:p>
        </w:tc>
        <w:tc>
          <w:tcPr>
            <w:tcW w:w="66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left="0" w:leftChars="0"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鲁苏背靠背工程决算审核</w:t>
            </w:r>
          </w:p>
        </w:tc>
        <w:tc>
          <w:tcPr>
            <w:tcW w:w="1245"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line="240" w:lineRule="exact"/>
              <w:ind w:left="0" w:leftChars="0"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鲁苏背靠背联网工程</w:t>
            </w:r>
          </w:p>
        </w:tc>
        <w:tc>
          <w:tcPr>
            <w:tcW w:w="1654" w:type="pc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背靠背换流站</w:t>
            </w:r>
            <w:r>
              <w:rPr>
                <w:rFonts w:hint="eastAsia" w:ascii="方正仿宋_GBK" w:hAnsi="方正仿宋_GBK" w:eastAsia="宋体" w:cs="方正仿宋_GBK"/>
                <w:sz w:val="18"/>
                <w:szCs w:val="18"/>
                <w:highlight w:val="none"/>
                <w:vertAlign w:val="baseline"/>
                <w:lang w:val="en-US" w:eastAsia="zh-CN"/>
              </w:rPr>
              <w:t>以及相关通信、二次系统工程</w:t>
            </w:r>
          </w:p>
        </w:tc>
        <w:tc>
          <w:tcPr>
            <w:tcW w:w="826"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eastAsia="方正仿宋_GBK" w:cs="方正仿宋_GBK"/>
                <w:kern w:val="2"/>
                <w:sz w:val="18"/>
                <w:szCs w:val="18"/>
                <w:highlight w:val="none"/>
                <w:vertAlign w:val="baseline"/>
                <w:lang w:val="en-US" w:eastAsia="zh-CN" w:bidi="ar-SA"/>
              </w:rPr>
            </w:pPr>
          </w:p>
        </w:tc>
        <w:tc>
          <w:tcPr>
            <w:tcW w:w="893"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eastAsia="方正仿宋_GBK" w:cs="方正仿宋_GBK"/>
                <w:kern w:val="2"/>
                <w:sz w:val="18"/>
                <w:szCs w:val="18"/>
                <w:highlight w:val="none"/>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8" w:hRule="atLeast"/>
        </w:trPr>
        <w:tc>
          <w:tcPr>
            <w:tcW w:w="442"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rPr>
            </w:pPr>
          </w:p>
        </w:tc>
        <w:tc>
          <w:tcPr>
            <w:tcW w:w="411"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rPr>
            </w:pPr>
          </w:p>
        </w:tc>
        <w:tc>
          <w:tcPr>
            <w:tcW w:w="772"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sz w:val="18"/>
                <w:szCs w:val="18"/>
                <w:highlight w:val="none"/>
              </w:rPr>
            </w:pPr>
          </w:p>
        </w:tc>
        <w:tc>
          <w:tcPr>
            <w:tcW w:w="1654" w:type="pc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兰陵500千伏变电站扩建、山东境内500千伏线路</w:t>
            </w:r>
            <w:r>
              <w:rPr>
                <w:rFonts w:hint="eastAsia" w:ascii="方正仿宋_GBK" w:hAnsi="方正仿宋_GBK" w:eastAsia="宋体" w:cs="方正仿宋_GBK"/>
                <w:sz w:val="18"/>
                <w:szCs w:val="18"/>
                <w:highlight w:val="none"/>
                <w:vertAlign w:val="baseline"/>
                <w:lang w:val="en-US" w:eastAsia="zh-CN"/>
              </w:rPr>
              <w:t>以及相关通信、二次系统工程</w:t>
            </w:r>
          </w:p>
        </w:tc>
        <w:tc>
          <w:tcPr>
            <w:tcW w:w="826"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cs="方正仿宋_GBK"/>
                <w:kern w:val="2"/>
                <w:sz w:val="18"/>
                <w:szCs w:val="18"/>
                <w:highlight w:val="none"/>
                <w:vertAlign w:val="baseline"/>
                <w:lang w:val="en-US" w:eastAsia="zh-CN" w:bidi="ar-SA"/>
              </w:rPr>
            </w:pPr>
          </w:p>
        </w:tc>
        <w:tc>
          <w:tcPr>
            <w:tcW w:w="893" w:type="pct"/>
            <w:vMerge w:val="continue"/>
            <w:tcBorders>
              <w:left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eastAsia" w:ascii="方正仿宋_GBK" w:hAnsi="方正仿宋_GBK" w:cs="方正仿宋_GBK"/>
                <w:kern w:val="2"/>
                <w:sz w:val="18"/>
                <w:szCs w:val="18"/>
                <w:highlight w:val="none"/>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8" w:hRule="atLeast"/>
        </w:trPr>
        <w:tc>
          <w:tcPr>
            <w:tcW w:w="442"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411"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772"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1654" w:type="pc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both"/>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姚湖500千伏变电站扩建、江苏境内500千伏线路</w:t>
            </w:r>
            <w:r>
              <w:rPr>
                <w:rFonts w:hint="eastAsia" w:ascii="方正仿宋_GBK" w:hAnsi="方正仿宋_GBK" w:eastAsia="宋体" w:cs="方正仿宋_GBK"/>
                <w:sz w:val="18"/>
                <w:szCs w:val="18"/>
                <w:highlight w:val="none"/>
                <w:vertAlign w:val="baseline"/>
                <w:lang w:val="en-US" w:eastAsia="zh-CN"/>
              </w:rPr>
              <w:t>以及相关通信、二次系统工程</w:t>
            </w:r>
          </w:p>
        </w:tc>
        <w:tc>
          <w:tcPr>
            <w:tcW w:w="826"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default" w:ascii="方正仿宋_GBK" w:hAnsi="方正仿宋_GBK" w:cs="方正仿宋_GBK"/>
                <w:kern w:val="2"/>
                <w:sz w:val="18"/>
                <w:szCs w:val="18"/>
                <w:highlight w:val="none"/>
                <w:vertAlign w:val="baseline"/>
                <w:lang w:val="en-US" w:eastAsia="zh-CN" w:bidi="ar-SA"/>
              </w:rPr>
            </w:pPr>
          </w:p>
        </w:tc>
        <w:tc>
          <w:tcPr>
            <w:tcW w:w="893"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outlineLvl w:val="9"/>
              <w:rPr>
                <w:rFonts w:hint="eastAsia" w:ascii="方正仿宋_GBK" w:hAnsi="方正仿宋_GBK" w:cs="方正仿宋_GBK"/>
                <w:kern w:val="2"/>
                <w:sz w:val="18"/>
                <w:szCs w:val="18"/>
                <w:highlight w:val="none"/>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9" w:hRule="atLeast"/>
        </w:trPr>
        <w:tc>
          <w:tcPr>
            <w:tcW w:w="1626"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方正仿宋_GBK" w:hAnsi="方正仿宋_GBK" w:eastAsia="方正仿宋_GBK" w:cs="方正仿宋_GBK"/>
                <w:b/>
                <w:bCs/>
                <w:kern w:val="2"/>
                <w:sz w:val="18"/>
                <w:szCs w:val="18"/>
                <w:highlight w:val="none"/>
                <w:vertAlign w:val="baseline"/>
                <w:lang w:val="en-US" w:eastAsia="zh-CN" w:bidi="ar-SA"/>
              </w:rPr>
            </w:pPr>
            <w:r>
              <w:rPr>
                <w:rFonts w:hint="eastAsia" w:ascii="方正仿宋_GBK" w:hAnsi="方正仿宋_GBK" w:cs="方正仿宋_GBK"/>
                <w:b/>
                <w:bCs/>
                <w:kern w:val="2"/>
                <w:sz w:val="18"/>
                <w:szCs w:val="18"/>
                <w:highlight w:val="none"/>
                <w:vertAlign w:val="baseline"/>
                <w:lang w:val="en-US" w:eastAsia="zh-CN" w:bidi="ar-SA"/>
              </w:rPr>
              <w:t>合计</w:t>
            </w:r>
          </w:p>
        </w:tc>
        <w:tc>
          <w:tcPr>
            <w:tcW w:w="165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left"/>
              <w:textAlignment w:val="auto"/>
              <w:rPr>
                <w:rFonts w:hint="eastAsia" w:ascii="方正仿宋_GBK" w:hAnsi="方正仿宋_GBK" w:cs="方正仿宋_GBK"/>
                <w:b/>
                <w:bCs/>
                <w:kern w:val="2"/>
                <w:sz w:val="18"/>
                <w:szCs w:val="18"/>
                <w:highlight w:val="none"/>
                <w:vertAlign w:val="baseline"/>
                <w:lang w:val="en-US" w:eastAsia="zh-CN" w:bidi="ar-SA"/>
              </w:rPr>
            </w:pPr>
          </w:p>
        </w:tc>
        <w:tc>
          <w:tcPr>
            <w:tcW w:w="826" w:type="pc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rPr>
                <w:rFonts w:hint="default" w:ascii="方正仿宋_GBK" w:hAnsi="方正仿宋_GBK" w:eastAsia="方正仿宋_GBK" w:cs="方正仿宋_GBK"/>
                <w:b/>
                <w:bCs/>
                <w:kern w:val="2"/>
                <w:sz w:val="18"/>
                <w:szCs w:val="18"/>
                <w:highlight w:val="none"/>
                <w:vertAlign w:val="baseline"/>
                <w:lang w:val="en-US" w:eastAsia="zh-CN" w:bidi="ar-SA"/>
              </w:rPr>
            </w:pPr>
          </w:p>
        </w:tc>
        <w:tc>
          <w:tcPr>
            <w:tcW w:w="8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right="105" w:rightChars="50" w:firstLine="0" w:firstLineChars="0"/>
              <w:jc w:val="center"/>
              <w:textAlignment w:val="auto"/>
              <w:rPr>
                <w:rFonts w:hint="default" w:ascii="方正仿宋_GBK" w:hAnsi="方正仿宋_GBK" w:eastAsia="方正仿宋_GBK" w:cs="方正仿宋_GBK"/>
                <w:b/>
                <w:bCs/>
                <w:kern w:val="2"/>
                <w:sz w:val="18"/>
                <w:szCs w:val="18"/>
                <w:highlight w:val="none"/>
                <w:vertAlign w:val="baseline"/>
                <w:lang w:val="en-US" w:eastAsia="zh-CN" w:bidi="ar-SA"/>
              </w:rPr>
            </w:pPr>
          </w:p>
        </w:tc>
      </w:tr>
    </w:tbl>
    <w:p>
      <w:pPr>
        <w:widowControl/>
        <w:jc w:val="left"/>
        <w:outlineLvl w:val="9"/>
        <w:rPr>
          <w:rFonts w:hint="eastAsia"/>
          <w:b/>
          <w:color w:val="auto"/>
          <w:sz w:val="24"/>
          <w:highlight w:val="none"/>
          <w:lang w:val="en-US" w:eastAsia="zh-CN"/>
        </w:rPr>
      </w:pPr>
    </w:p>
    <w:p>
      <w:pPr>
        <w:rPr>
          <w:rFonts w:hint="eastAsia"/>
          <w:b/>
          <w:color w:val="auto"/>
          <w:sz w:val="24"/>
          <w:highlight w:val="none"/>
          <w:lang w:val="en-US" w:eastAsia="zh-CN"/>
        </w:rPr>
      </w:pPr>
      <w:r>
        <w:rPr>
          <w:rFonts w:hint="eastAsia"/>
          <w:b/>
          <w:color w:val="auto"/>
          <w:sz w:val="24"/>
          <w:highlight w:val="none"/>
          <w:lang w:val="en-US" w:eastAsia="zh-CN"/>
        </w:rPr>
        <w:br w:type="page"/>
      </w:r>
    </w:p>
    <w:p>
      <w:pPr>
        <w:widowControl/>
        <w:jc w:val="left"/>
        <w:outlineLvl w:val="1"/>
        <w:rPr>
          <w:rFonts w:hint="eastAsia"/>
          <w:b/>
          <w:color w:val="auto"/>
          <w:sz w:val="24"/>
          <w:highlight w:val="none"/>
          <w:lang w:val="en-US" w:eastAsia="zh-CN"/>
        </w:rPr>
      </w:pPr>
      <w:r>
        <w:rPr>
          <w:rFonts w:hint="eastAsia"/>
          <w:b/>
          <w:color w:val="auto"/>
          <w:sz w:val="24"/>
          <w:highlight w:val="none"/>
          <w:lang w:val="en-US" w:eastAsia="zh-CN"/>
        </w:rPr>
        <w:t>（三）商务指引文件</w:t>
      </w:r>
    </w:p>
    <w:p>
      <w:pPr>
        <w:jc w:val="center"/>
        <w:rPr>
          <w:rFonts w:ascii="方正仿宋_GBK" w:hAnsi="方正仿宋_GBK" w:eastAsia="方正仿宋_GBK" w:cs="方正仿宋_GBK"/>
          <w:b/>
          <w:bCs/>
          <w:color w:val="auto"/>
          <w:sz w:val="22"/>
          <w:highlight w:val="none"/>
        </w:rPr>
      </w:pPr>
      <w:r>
        <w:rPr>
          <w:rFonts w:hint="eastAsia" w:ascii="方正仿宋_GBK" w:hAnsi="方正仿宋_GBK" w:eastAsia="方正仿宋_GBK" w:cs="方正仿宋_GBK"/>
          <w:b/>
          <w:bCs/>
          <w:color w:val="auto"/>
          <w:sz w:val="22"/>
          <w:highlight w:val="none"/>
        </w:rPr>
        <w:t>目录</w:t>
      </w:r>
    </w:p>
    <w:p>
      <w:pPr>
        <w:ind w:firstLine="420" w:firstLineChars="200"/>
        <w:rPr>
          <w:b/>
          <w:bCs/>
          <w:color w:val="auto"/>
          <w:highlight w:val="none"/>
        </w:rPr>
      </w:pPr>
      <w:r>
        <w:rPr>
          <w:rFonts w:hint="eastAsia"/>
          <w:color w:val="auto"/>
          <w:highlight w:val="none"/>
        </w:rPr>
        <w:t>按照下表中</w:t>
      </w:r>
      <w:r>
        <w:rPr>
          <w:rFonts w:hint="eastAsia" w:ascii="宋体" w:hAnsi="宋体" w:cs="宋体"/>
          <w:color w:val="auto"/>
          <w:kern w:val="0"/>
          <w:szCs w:val="21"/>
          <w:highlight w:val="none"/>
          <w:lang w:bidi="ar"/>
        </w:rPr>
        <w:t>ECP上传路径上传文件，系统自动生成商务投标文件，中标人打印纸质版投标文件注意须包括目录内的完整内容。</w:t>
      </w:r>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2780"/>
        <w:gridCol w:w="2209"/>
        <w:gridCol w:w="21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评审要素</w:t>
            </w:r>
          </w:p>
        </w:tc>
        <w:tc>
          <w:tcPr>
            <w:tcW w:w="163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投标文件响应</w:t>
            </w:r>
          </w:p>
        </w:tc>
        <w:tc>
          <w:tcPr>
            <w:tcW w:w="1296"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响应文件对应页码</w:t>
            </w:r>
          </w:p>
        </w:tc>
        <w:tc>
          <w:tcPr>
            <w:tcW w:w="1261" w:type="pct"/>
            <w:tcBorders>
              <w:tl2br w:val="nil"/>
              <w:tr2bl w:val="nil"/>
            </w:tcBorders>
            <w:vAlign w:val="center"/>
          </w:tcPr>
          <w:p>
            <w:pPr>
              <w:widowControl/>
              <w:jc w:val="center"/>
              <w:textAlignment w:val="center"/>
              <w:rPr>
                <w:rFonts w:ascii="宋体" w:hAnsi="宋体" w:cs="宋体"/>
                <w:b/>
                <w:bCs/>
                <w:color w:val="auto"/>
                <w:kern w:val="0"/>
                <w:szCs w:val="21"/>
                <w:highlight w:val="none"/>
                <w:lang w:bidi="ar"/>
              </w:rPr>
            </w:pPr>
            <w:r>
              <w:rPr>
                <w:rFonts w:hint="eastAsia" w:ascii="宋体" w:hAnsi="宋体" w:cs="宋体"/>
                <w:b/>
                <w:bCs/>
                <w:color w:val="auto"/>
                <w:kern w:val="0"/>
                <w:szCs w:val="21"/>
                <w:highlight w:val="none"/>
                <w:lang w:bidi="ar"/>
              </w:rPr>
              <w:t>ECP上传路径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商务偏差表</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1.商务偏差表</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ascii="宋体" w:hAnsi="宋体" w:cs="宋体"/>
                <w:color w:val="auto"/>
                <w:kern w:val="0"/>
                <w:sz w:val="20"/>
                <w:szCs w:val="20"/>
                <w:highlight w:val="none"/>
                <w:lang w:bidi="ar"/>
              </w:rPr>
              <w:t>批量维护商务部分-商务偏差表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sz w:val="20"/>
                <w:szCs w:val="20"/>
                <w:highlight w:val="none"/>
              </w:rPr>
              <w:t>法定代表人授权</w:t>
            </w:r>
          </w:p>
        </w:tc>
        <w:tc>
          <w:tcPr>
            <w:tcW w:w="1631" w:type="pct"/>
            <w:tcBorders>
              <w:tl2br w:val="nil"/>
              <w:tr2bl w:val="nil"/>
            </w:tcBorders>
            <w:vAlign w:val="center"/>
          </w:tcPr>
          <w:p>
            <w:pPr>
              <w:widowControl/>
              <w:jc w:val="left"/>
              <w:textAlignment w:val="center"/>
              <w:rPr>
                <w:rFonts w:ascii="宋体" w:hAnsi="宋体" w:cs="宋体"/>
                <w:color w:val="auto"/>
                <w:sz w:val="20"/>
                <w:szCs w:val="20"/>
                <w:highlight w:val="none"/>
              </w:rPr>
            </w:pPr>
            <w:r>
              <w:rPr>
                <w:rFonts w:hint="eastAsia" w:ascii="宋体" w:hAnsi="宋体" w:cs="宋体"/>
                <w:color w:val="auto"/>
                <w:sz w:val="20"/>
                <w:szCs w:val="20"/>
                <w:highlight w:val="none"/>
              </w:rPr>
              <w:t>2.法定代表人授权委托书（仅由委托代理人签署联合体协议书时适用），须附法定代表人身份证明</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tcBorders>
              <w:tl2br w:val="nil"/>
              <w:tr2bl w:val="nil"/>
            </w:tcBorders>
            <w:vAlign w:val="center"/>
          </w:tcPr>
          <w:p>
            <w:pPr>
              <w:widowControl/>
              <w:jc w:val="center"/>
              <w:textAlignment w:val="center"/>
              <w:rPr>
                <w:rFonts w:ascii="宋体" w:hAnsi="宋体" w:cs="宋体"/>
                <w:b/>
                <w:bCs/>
                <w:color w:val="auto"/>
                <w:kern w:val="0"/>
                <w:sz w:val="20"/>
                <w:szCs w:val="20"/>
                <w:highlight w:val="none"/>
                <w:lang w:bidi="ar"/>
              </w:rPr>
            </w:pPr>
            <w:r>
              <w:rPr>
                <w:rFonts w:ascii="宋体" w:hAnsi="宋体" w:cs="宋体"/>
                <w:color w:val="auto"/>
                <w:kern w:val="0"/>
                <w:sz w:val="20"/>
                <w:szCs w:val="20"/>
                <w:highlight w:val="none"/>
                <w:lang w:bidi="ar"/>
              </w:rPr>
              <w:t>批量维护商务部分-法定代表人授权委托书</w:t>
            </w:r>
            <w:r>
              <w:rPr>
                <w:rFonts w:hint="eastAsia" w:ascii="宋体" w:hAnsi="宋体" w:cs="宋体"/>
                <w:color w:val="auto"/>
                <w:kern w:val="0"/>
                <w:sz w:val="20"/>
                <w:szCs w:val="20"/>
                <w:highlight w:val="none"/>
                <w:lang w:bidi="ar"/>
              </w:rPr>
              <w:t>（如有）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联合体投标</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3.联合体协议书</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color w:val="auto"/>
                <w:kern w:val="0"/>
                <w:sz w:val="20"/>
                <w:szCs w:val="20"/>
                <w:highlight w:val="none"/>
                <w:lang w:bidi="ar"/>
              </w:rPr>
              <w:t>联合体投标批量设置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left"/>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与国家电网公司系统人员关系</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4.投标人与国家电网公司系统人员关系说明。</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color w:val="auto"/>
                <w:kern w:val="0"/>
                <w:sz w:val="20"/>
                <w:szCs w:val="20"/>
                <w:highlight w:val="none"/>
                <w:lang w:bidi="ar"/>
              </w:rPr>
              <w:t>商务部分（附加）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投标保证金</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5.投标保证金</w:t>
            </w:r>
            <w:r>
              <w:rPr>
                <w:rFonts w:hint="eastAsia" w:ascii="宋体" w:hAnsi="宋体" w:cs="宋体"/>
                <w:color w:val="auto"/>
                <w:kern w:val="0"/>
                <w:sz w:val="20"/>
                <w:szCs w:val="20"/>
                <w:highlight w:val="none"/>
                <w:lang w:bidi="ar"/>
              </w:rPr>
              <w:br w:type="textWrapping"/>
            </w:r>
            <w:r>
              <w:rPr>
                <w:rFonts w:hint="eastAsia" w:ascii="宋体" w:hAnsi="宋体" w:cs="宋体"/>
                <w:color w:val="auto"/>
                <w:kern w:val="0"/>
                <w:sz w:val="20"/>
                <w:szCs w:val="20"/>
                <w:highlight w:val="none"/>
                <w:lang w:bidi="ar"/>
              </w:rPr>
              <w:t>（1）投标保证金（年度保证金扫描件/电汇底联扫描件/保函正本扫描件/投标保证保险保单扫描件）</w:t>
            </w:r>
            <w:r>
              <w:rPr>
                <w:rFonts w:hint="eastAsia" w:ascii="宋体" w:hAnsi="宋体" w:cs="宋体"/>
                <w:color w:val="auto"/>
                <w:kern w:val="0"/>
                <w:sz w:val="20"/>
                <w:szCs w:val="20"/>
                <w:highlight w:val="none"/>
                <w:lang w:bidi="ar"/>
              </w:rPr>
              <w:br w:type="textWrapping"/>
            </w:r>
            <w:r>
              <w:rPr>
                <w:rFonts w:hint="eastAsia" w:ascii="宋体" w:hAnsi="宋体" w:cs="宋体"/>
                <w:color w:val="auto"/>
                <w:kern w:val="0"/>
                <w:sz w:val="20"/>
                <w:szCs w:val="20"/>
                <w:highlight w:val="none"/>
                <w:lang w:bidi="ar"/>
              </w:rPr>
              <w:t>（2）基本账户证明（企业基本账户开户许可证扫描件或由投标人基本账户开户银行通过账户管理系统打印的《基本存款账户信息》扫描件（如采用电汇、保险方式））</w:t>
            </w:r>
            <w:r>
              <w:rPr>
                <w:rFonts w:hint="eastAsia" w:ascii="宋体" w:hAnsi="宋体" w:cs="宋体"/>
                <w:color w:val="auto"/>
                <w:kern w:val="0"/>
                <w:sz w:val="20"/>
                <w:szCs w:val="20"/>
                <w:highlight w:val="none"/>
                <w:lang w:bidi="ar"/>
              </w:rPr>
              <w:br w:type="textWrapping"/>
            </w:r>
            <w:r>
              <w:rPr>
                <w:rFonts w:hint="eastAsia" w:ascii="宋体" w:hAnsi="宋体" w:cs="宋体"/>
                <w:color w:val="auto"/>
                <w:kern w:val="0"/>
                <w:sz w:val="20"/>
                <w:szCs w:val="20"/>
                <w:highlight w:val="none"/>
                <w:lang w:bidi="ar"/>
              </w:rPr>
              <w:t>（3）投标保证金明细表</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restar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b/>
                <w:bCs/>
                <w:color w:val="auto"/>
                <w:kern w:val="0"/>
                <w:szCs w:val="21"/>
                <w:highlight w:val="none"/>
                <w:lang w:bidi="ar"/>
              </w:rPr>
              <w:t>商务部分-补充文件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安全质量事故情况</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6.安全质量事故查询响应表</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企业资质</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7.企业资质情况</w:t>
            </w:r>
            <w:r>
              <w:rPr>
                <w:rFonts w:hint="eastAsia" w:ascii="宋体" w:hAnsi="宋体" w:cs="宋体"/>
                <w:color w:val="auto"/>
                <w:kern w:val="0"/>
                <w:sz w:val="20"/>
                <w:szCs w:val="20"/>
                <w:highlight w:val="none"/>
                <w:lang w:bidi="ar"/>
              </w:rPr>
              <w:br w:type="textWrapping"/>
            </w:r>
            <w:r>
              <w:rPr>
                <w:rFonts w:hint="eastAsia" w:ascii="宋体" w:hAnsi="宋体" w:cs="宋体"/>
                <w:color w:val="auto"/>
                <w:kern w:val="0"/>
                <w:sz w:val="20"/>
                <w:szCs w:val="20"/>
                <w:highlight w:val="none"/>
                <w:lang w:bidi="ar"/>
              </w:rPr>
              <w:t>满足招标公告“资质要求”中所列每条的证明材料，包括但不限于有效企业资质等级证书扫描件；</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项目关键人员配置承诺</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8. 项目关键人员配置承诺函</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企业信用信息公示报告</w:t>
            </w:r>
          </w:p>
        </w:tc>
        <w:tc>
          <w:tcPr>
            <w:tcW w:w="1631" w:type="pct"/>
            <w:tcBorders>
              <w:tl2br w:val="nil"/>
              <w:tr2bl w:val="nil"/>
            </w:tcBorders>
            <w:vAlign w:val="center"/>
          </w:tcPr>
          <w:p>
            <w:pPr>
              <w:widowControl/>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9.企业信用信息公示报告</w:t>
            </w:r>
          </w:p>
        </w:tc>
        <w:tc>
          <w:tcPr>
            <w:tcW w:w="1296" w:type="pct"/>
            <w:tcBorders>
              <w:tl2br w:val="nil"/>
              <w:tr2bl w:val="nil"/>
            </w:tcBorders>
            <w:vAlign w:val="center"/>
          </w:tcPr>
          <w:p>
            <w:pPr>
              <w:widowControl/>
              <w:jc w:val="center"/>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例：商务文件第一册第X页-第X页</w:t>
            </w:r>
          </w:p>
        </w:tc>
        <w:tc>
          <w:tcPr>
            <w:tcW w:w="1261"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jc w:val="center"/>
        <w:rPr>
          <w:rFonts w:hint="eastAsia" w:ascii="宋体" w:hAnsi="宋体" w:cs="宋体"/>
          <w:i w:val="0"/>
          <w:iCs w:val="0"/>
          <w:color w:val="auto"/>
          <w:kern w:val="0"/>
          <w:sz w:val="20"/>
          <w:szCs w:val="20"/>
          <w:highlight w:val="none"/>
          <w:u w:val="none"/>
          <w:lang w:val="en-US" w:eastAsia="zh-CN" w:bidi="ar"/>
        </w:rPr>
      </w:pPr>
      <w:r>
        <w:rPr>
          <w:rFonts w:hint="eastAsia" w:ascii="方正仿宋_GBK" w:hAnsi="方正仿宋_GBK" w:eastAsia="方正仿宋_GBK" w:cs="方正仿宋_GBK"/>
          <w:b/>
          <w:bCs/>
          <w:color w:val="auto"/>
          <w:kern w:val="2"/>
          <w:sz w:val="22"/>
          <w:szCs w:val="22"/>
          <w:highlight w:val="none"/>
          <w:lang w:val="en-US" w:eastAsia="zh-CN" w:bidi="ar-SA"/>
        </w:rPr>
        <w:t>格式</w:t>
      </w:r>
    </w:p>
    <w:p>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1</w:t>
      </w:r>
      <w:r>
        <w:rPr>
          <w:rFonts w:hint="eastAsia" w:ascii="宋体" w:hAnsi="宋体" w:eastAsia="宋体" w:cs="宋体"/>
          <w:i w:val="0"/>
          <w:iCs w:val="0"/>
          <w:color w:val="auto"/>
          <w:kern w:val="0"/>
          <w:sz w:val="20"/>
          <w:szCs w:val="20"/>
          <w:highlight w:val="none"/>
          <w:u w:val="none"/>
          <w:lang w:val="en-US" w:eastAsia="zh-CN" w:bidi="ar"/>
        </w:rPr>
        <w:t>.商务偏差表</w:t>
      </w:r>
    </w:p>
    <w:p>
      <w:pPr>
        <w:pStyle w:val="40"/>
        <w:spacing w:before="0"/>
        <w:rPr>
          <w:rFonts w:ascii="Times New Roman"/>
          <w:color w:val="auto"/>
          <w:highlight w:val="none"/>
        </w:rPr>
      </w:pPr>
      <w:r>
        <w:rPr>
          <w:rFonts w:ascii="Times New Roman"/>
          <w:color w:val="auto"/>
          <w:highlight w:val="none"/>
        </w:rPr>
        <w:t>商务偏差表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983"/>
        <w:gridCol w:w="2567"/>
        <w:gridCol w:w="2138"/>
        <w:gridCol w:w="2567"/>
        <w:gridCol w:w="1156"/>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序号</w:t>
            </w:r>
          </w:p>
        </w:tc>
        <w:tc>
          <w:tcPr>
            <w:tcW w:w="2567"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招标文件页号和条款号</w:t>
            </w:r>
          </w:p>
        </w:tc>
        <w:tc>
          <w:tcPr>
            <w:tcW w:w="2138"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招标文件的规定</w:t>
            </w:r>
          </w:p>
        </w:tc>
        <w:tc>
          <w:tcPr>
            <w:tcW w:w="2567"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投标文件与招标文件规定</w:t>
            </w:r>
            <w:r>
              <w:rPr>
                <w:rFonts w:eastAsia="黑体"/>
                <w:color w:val="auto"/>
                <w:sz w:val="18"/>
                <w:highlight w:val="none"/>
              </w:rPr>
              <w:br w:type="textWrapping"/>
            </w:r>
            <w:r>
              <w:rPr>
                <w:rFonts w:eastAsia="黑体"/>
                <w:color w:val="auto"/>
                <w:sz w:val="18"/>
                <w:highlight w:val="none"/>
              </w:rPr>
              <w:t>的偏差描述</w:t>
            </w:r>
          </w:p>
        </w:tc>
        <w:tc>
          <w:tcPr>
            <w:tcW w:w="1156"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备注</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adjustRightInd w:val="0"/>
              <w:snapToGrid w:val="0"/>
              <w:jc w:val="center"/>
              <w:rPr>
                <w:color w:val="auto"/>
                <w:sz w:val="18"/>
                <w:highlight w:val="none"/>
              </w:rPr>
            </w:pPr>
            <w:r>
              <w:rPr>
                <w:color w:val="auto"/>
                <w:sz w:val="18"/>
                <w:highlight w:val="none"/>
              </w:rPr>
              <w:t>1</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adjustRightInd w:val="0"/>
              <w:snapToGrid w:val="0"/>
              <w:ind w:firstLine="360" w:firstLineChars="200"/>
              <w:rPr>
                <w:color w:val="auto"/>
                <w:sz w:val="18"/>
                <w:highlight w:val="none"/>
              </w:rPr>
            </w:pPr>
            <w:r>
              <w:rPr>
                <w:color w:val="auto"/>
                <w:sz w:val="18"/>
                <w:highlight w:val="none"/>
              </w:rPr>
              <w:t>2</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tcBorders>
              <w:bottom w:val="single" w:color="auto" w:sz="8" w:space="0"/>
            </w:tcBorders>
            <w:noWrap w:val="0"/>
            <w:vAlign w:val="center"/>
          </w:tcPr>
          <w:p>
            <w:pPr>
              <w:adjustRightInd w:val="0"/>
              <w:snapToGrid w:val="0"/>
              <w:ind w:firstLine="360" w:firstLineChars="200"/>
              <w:jc w:val="center"/>
              <w:rPr>
                <w:color w:val="auto"/>
                <w:sz w:val="18"/>
                <w:highlight w:val="none"/>
              </w:rPr>
            </w:pPr>
            <w:r>
              <w:rPr>
                <w:color w:val="auto"/>
                <w:sz w:val="18"/>
                <w:highlight w:val="none"/>
              </w:rPr>
              <w:t>…</w:t>
            </w:r>
          </w:p>
        </w:tc>
        <w:tc>
          <w:tcPr>
            <w:tcW w:w="2567" w:type="dxa"/>
            <w:tcBorders>
              <w:bottom w:val="single" w:color="auto" w:sz="8" w:space="0"/>
            </w:tcBorders>
            <w:noWrap w:val="0"/>
            <w:vAlign w:val="center"/>
          </w:tcPr>
          <w:p>
            <w:pPr>
              <w:adjustRightInd w:val="0"/>
              <w:snapToGrid w:val="0"/>
              <w:jc w:val="center"/>
              <w:rPr>
                <w:color w:val="auto"/>
                <w:sz w:val="18"/>
                <w:highlight w:val="none"/>
              </w:rPr>
            </w:pPr>
          </w:p>
        </w:tc>
        <w:tc>
          <w:tcPr>
            <w:tcW w:w="2138" w:type="dxa"/>
            <w:tcBorders>
              <w:bottom w:val="single" w:color="auto" w:sz="8" w:space="0"/>
            </w:tcBorders>
            <w:noWrap w:val="0"/>
            <w:vAlign w:val="center"/>
          </w:tcPr>
          <w:p>
            <w:pPr>
              <w:adjustRightInd w:val="0"/>
              <w:snapToGrid w:val="0"/>
              <w:jc w:val="center"/>
              <w:rPr>
                <w:color w:val="auto"/>
                <w:sz w:val="18"/>
                <w:highlight w:val="none"/>
              </w:rPr>
            </w:pPr>
          </w:p>
        </w:tc>
        <w:tc>
          <w:tcPr>
            <w:tcW w:w="2567" w:type="dxa"/>
            <w:tcBorders>
              <w:bottom w:val="single" w:color="auto" w:sz="8" w:space="0"/>
            </w:tcBorders>
            <w:noWrap w:val="0"/>
            <w:vAlign w:val="center"/>
          </w:tcPr>
          <w:p>
            <w:pPr>
              <w:adjustRightInd w:val="0"/>
              <w:snapToGrid w:val="0"/>
              <w:jc w:val="center"/>
              <w:rPr>
                <w:color w:val="auto"/>
                <w:sz w:val="18"/>
                <w:highlight w:val="none"/>
              </w:rPr>
            </w:pPr>
          </w:p>
        </w:tc>
        <w:tc>
          <w:tcPr>
            <w:tcW w:w="1156" w:type="dxa"/>
            <w:tcBorders>
              <w:bottom w:val="single" w:color="auto" w:sz="8" w:space="0"/>
            </w:tcBorders>
            <w:noWrap w:val="0"/>
            <w:vAlign w:val="center"/>
          </w:tcPr>
          <w:p>
            <w:pPr>
              <w:adjustRightInd w:val="0"/>
              <w:snapToGrid w:val="0"/>
              <w:jc w:val="center"/>
              <w:rPr>
                <w:color w:val="auto"/>
                <w:sz w:val="18"/>
                <w:highlight w:val="none"/>
              </w:rPr>
            </w:pPr>
          </w:p>
        </w:tc>
      </w:tr>
    </w:tbl>
    <w:p>
      <w:pPr>
        <w:pStyle w:val="17"/>
        <w:jc w:val="left"/>
        <w:rPr>
          <w:rFonts w:hint="eastAsia"/>
          <w:color w:val="auto"/>
          <w:highlight w:val="none"/>
          <w:lang w:val="en-US" w:eastAsia="zh-CN"/>
        </w:rPr>
      </w:pPr>
    </w:p>
    <w:p>
      <w:pPr>
        <w:rPr>
          <w:rFonts w:hint="eastAsia"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br w:type="page"/>
      </w:r>
    </w:p>
    <w:p>
      <w:pPr>
        <w:keepNext w:val="0"/>
        <w:keepLines w:val="0"/>
        <w:widowControl/>
        <w:numPr>
          <w:ilvl w:val="0"/>
          <w:numId w:val="0"/>
        </w:numPr>
        <w:suppressLineNumbers w:val="0"/>
        <w:ind w:leftChars="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sz w:val="20"/>
          <w:szCs w:val="20"/>
          <w:highlight w:val="none"/>
          <w:u w:val="none"/>
          <w:lang w:val="en-US" w:eastAsia="zh-CN"/>
        </w:rPr>
        <w:t>2.</w:t>
      </w:r>
      <w:r>
        <w:rPr>
          <w:rFonts w:hint="eastAsia" w:ascii="宋体" w:hAnsi="宋体" w:eastAsia="宋体" w:cs="宋体"/>
          <w:i w:val="0"/>
          <w:iCs w:val="0"/>
          <w:color w:val="auto"/>
          <w:sz w:val="20"/>
          <w:szCs w:val="20"/>
          <w:highlight w:val="none"/>
          <w:u w:val="none"/>
        </w:rPr>
        <w:t>法定代表人授权委托书（仅由委托代理人签署联合体协议书时适用）</w:t>
      </w:r>
      <w:r>
        <w:rPr>
          <w:rFonts w:hint="eastAsia" w:ascii="宋体" w:hAnsi="宋体" w:eastAsia="宋体" w:cs="宋体"/>
          <w:i w:val="0"/>
          <w:iCs w:val="0"/>
          <w:color w:val="auto"/>
          <w:sz w:val="20"/>
          <w:szCs w:val="20"/>
          <w:highlight w:val="none"/>
          <w:u w:val="none"/>
          <w:lang w:eastAsia="zh-CN"/>
        </w:rPr>
        <w:t>，</w:t>
      </w:r>
      <w:r>
        <w:rPr>
          <w:rFonts w:hint="eastAsia" w:ascii="宋体" w:hAnsi="宋体" w:eastAsia="宋体" w:cs="宋体"/>
          <w:i w:val="0"/>
          <w:iCs w:val="0"/>
          <w:color w:val="auto"/>
          <w:sz w:val="20"/>
          <w:szCs w:val="20"/>
          <w:highlight w:val="none"/>
          <w:u w:val="none"/>
          <w:lang w:val="en-US" w:eastAsia="zh-CN"/>
        </w:rPr>
        <w:t>须附</w:t>
      </w:r>
      <w:r>
        <w:rPr>
          <w:rFonts w:hint="eastAsia" w:ascii="宋体" w:hAnsi="宋体" w:eastAsia="宋体" w:cs="宋体"/>
          <w:i w:val="0"/>
          <w:iCs w:val="0"/>
          <w:color w:val="auto"/>
          <w:sz w:val="20"/>
          <w:szCs w:val="20"/>
          <w:highlight w:val="none"/>
          <w:u w:val="none"/>
        </w:rPr>
        <w:t>法定代表人身份证明</w:t>
      </w:r>
    </w:p>
    <w:p>
      <w:pPr>
        <w:widowControl/>
        <w:jc w:val="center"/>
        <w:rPr>
          <w:color w:val="auto"/>
          <w:szCs w:val="21"/>
          <w:highlight w:val="none"/>
        </w:rPr>
      </w:pPr>
    </w:p>
    <w:p>
      <w:pPr>
        <w:widowControl/>
        <w:jc w:val="center"/>
        <w:rPr>
          <w:color w:val="auto"/>
          <w:szCs w:val="21"/>
          <w:highlight w:val="none"/>
        </w:rPr>
      </w:pPr>
    </w:p>
    <w:p>
      <w:pPr>
        <w:widowControl/>
        <w:jc w:val="center"/>
        <w:rPr>
          <w:rFonts w:eastAsia="黑体"/>
          <w:b/>
          <w:color w:val="auto"/>
          <w:szCs w:val="21"/>
          <w:highlight w:val="none"/>
        </w:rPr>
      </w:pPr>
      <w:r>
        <w:rPr>
          <w:rFonts w:eastAsia="黑体"/>
          <w:b/>
          <w:color w:val="auto"/>
          <w:sz w:val="32"/>
          <w:szCs w:val="32"/>
          <w:highlight w:val="none"/>
        </w:rPr>
        <w:t>法定代表人身份证明</w:t>
      </w:r>
    </w:p>
    <w:p>
      <w:pPr>
        <w:pStyle w:val="6"/>
        <w:rPr>
          <w:b/>
          <w:color w:val="auto"/>
          <w:sz w:val="32"/>
          <w:highlight w:val="none"/>
        </w:rPr>
      </w:pPr>
    </w:p>
    <w:p>
      <w:pPr>
        <w:pStyle w:val="6"/>
        <w:spacing w:before="3"/>
        <w:rPr>
          <w:b/>
          <w:color w:val="auto"/>
          <w:sz w:val="18"/>
          <w:highlight w:val="none"/>
        </w:rPr>
      </w:pPr>
    </w:p>
    <w:p>
      <w:pPr>
        <w:pStyle w:val="6"/>
        <w:tabs>
          <w:tab w:val="left" w:pos="4068"/>
        </w:tabs>
        <w:ind w:left="240"/>
        <w:rPr>
          <w:rFonts w:eastAsia="Times New Roman"/>
          <w:color w:val="auto"/>
          <w:highlight w:val="none"/>
        </w:rPr>
      </w:pPr>
      <w:r>
        <w:rPr>
          <w:color w:val="auto"/>
          <w:spacing w:val="-1"/>
          <w:highlight w:val="none"/>
        </w:rPr>
        <w:t>投</w:t>
      </w:r>
      <w:r>
        <w:rPr>
          <w:color w:val="auto"/>
          <w:highlight w:val="none"/>
        </w:rPr>
        <w:t>标</w:t>
      </w:r>
      <w:r>
        <w:rPr>
          <w:color w:val="auto"/>
          <w:spacing w:val="-3"/>
          <w:highlight w:val="none"/>
        </w:rPr>
        <w:t>人</w:t>
      </w:r>
      <w:r>
        <w:rPr>
          <w:color w:val="auto"/>
          <w:highlight w:val="none"/>
        </w:rPr>
        <w:t>名</w:t>
      </w:r>
      <w:r>
        <w:rPr>
          <w:color w:val="auto"/>
          <w:spacing w:val="-3"/>
          <w:highlight w:val="none"/>
        </w:rPr>
        <w:t>称</w:t>
      </w:r>
      <w:r>
        <w:rPr>
          <w:color w:val="auto"/>
          <w:highlight w:val="none"/>
        </w:rPr>
        <w:t>：</w:t>
      </w:r>
      <w:r>
        <w:rPr>
          <w:rFonts w:eastAsia="Times New Roman"/>
          <w:color w:val="auto"/>
          <w:highlight w:val="none"/>
          <w:u w:val="single"/>
        </w:rPr>
        <w:tab/>
      </w:r>
    </w:p>
    <w:p>
      <w:pPr>
        <w:pStyle w:val="6"/>
        <w:tabs>
          <w:tab w:val="left" w:pos="2552"/>
          <w:tab w:val="left" w:pos="4023"/>
          <w:tab w:val="left" w:pos="5492"/>
          <w:tab w:val="left" w:pos="7009"/>
        </w:tabs>
        <w:spacing w:before="170"/>
        <w:ind w:left="240"/>
        <w:rPr>
          <w:rFonts w:hint="eastAsia" w:eastAsia="宋体"/>
          <w:color w:val="auto"/>
          <w:highlight w:val="none"/>
          <w:lang w:val="en-US" w:eastAsia="zh-CN"/>
        </w:rPr>
      </w:pPr>
      <w:r>
        <w:rPr>
          <w:color w:val="auto"/>
          <w:highlight w:val="none"/>
        </w:rPr>
        <w:t>姓名</w:t>
      </w:r>
      <w:r>
        <w:rPr>
          <w:color w:val="auto"/>
          <w:spacing w:val="-3"/>
          <w:highlight w:val="none"/>
        </w:rPr>
        <w:t>：</w:t>
      </w:r>
      <w:r>
        <w:rPr>
          <w:color w:val="auto"/>
          <w:spacing w:val="-3"/>
          <w:highlight w:val="none"/>
          <w:u w:val="single"/>
        </w:rPr>
        <w:tab/>
      </w:r>
      <w:r>
        <w:rPr>
          <w:color w:val="auto"/>
          <w:highlight w:val="none"/>
        </w:rPr>
        <w:t>性别</w:t>
      </w:r>
      <w:r>
        <w:rPr>
          <w:color w:val="auto"/>
          <w:spacing w:val="-3"/>
          <w:highlight w:val="none"/>
        </w:rPr>
        <w:t>：</w:t>
      </w:r>
      <w:r>
        <w:rPr>
          <w:color w:val="auto"/>
          <w:spacing w:val="-3"/>
          <w:highlight w:val="none"/>
          <w:u w:val="single"/>
        </w:rPr>
        <w:tab/>
      </w:r>
      <w:r>
        <w:rPr>
          <w:color w:val="auto"/>
          <w:highlight w:val="none"/>
        </w:rPr>
        <w:t>年</w:t>
      </w:r>
      <w:r>
        <w:rPr>
          <w:color w:val="auto"/>
          <w:spacing w:val="-3"/>
          <w:highlight w:val="none"/>
        </w:rPr>
        <w:t>龄</w:t>
      </w:r>
      <w:r>
        <w:rPr>
          <w:color w:val="auto"/>
          <w:highlight w:val="none"/>
        </w:rPr>
        <w:t>：</w:t>
      </w:r>
      <w:r>
        <w:rPr>
          <w:color w:val="auto"/>
          <w:highlight w:val="none"/>
          <w:u w:val="single"/>
        </w:rPr>
        <w:tab/>
      </w:r>
      <w:r>
        <w:rPr>
          <w:color w:val="auto"/>
          <w:spacing w:val="-1"/>
          <w:highlight w:val="none"/>
        </w:rPr>
        <w:t>职</w:t>
      </w:r>
      <w:r>
        <w:rPr>
          <w:color w:val="auto"/>
          <w:spacing w:val="-3"/>
          <w:highlight w:val="none"/>
        </w:rPr>
        <w:t>务</w:t>
      </w:r>
      <w:r>
        <w:rPr>
          <w:color w:val="auto"/>
          <w:highlight w:val="none"/>
        </w:rPr>
        <w:t>：</w:t>
      </w:r>
      <w:r>
        <w:rPr>
          <w:rFonts w:eastAsia="Times New Roman"/>
          <w:color w:val="auto"/>
          <w:highlight w:val="none"/>
          <w:u w:val="single"/>
        </w:rPr>
        <w:tab/>
      </w:r>
      <w:r>
        <w:rPr>
          <w:rFonts w:hint="eastAsia"/>
          <w:color w:val="auto"/>
          <w:highlight w:val="none"/>
          <w:u w:val="none"/>
          <w:lang w:val="en-US" w:eastAsia="zh-CN"/>
        </w:rPr>
        <w:t>手机：</w:t>
      </w:r>
      <w:r>
        <w:rPr>
          <w:rFonts w:eastAsia="Times New Roman"/>
          <w:color w:val="auto"/>
          <w:highlight w:val="none"/>
          <w:u w:val="single"/>
        </w:rPr>
        <w:tab/>
      </w:r>
      <w:r>
        <w:rPr>
          <w:rFonts w:hint="eastAsia"/>
          <w:color w:val="auto"/>
          <w:highlight w:val="none"/>
          <w:u w:val="single"/>
          <w:lang w:val="en-US" w:eastAsia="zh-CN"/>
        </w:rPr>
        <w:t xml:space="preserve">      </w:t>
      </w:r>
    </w:p>
    <w:p>
      <w:pPr>
        <w:pStyle w:val="6"/>
        <w:tabs>
          <w:tab w:val="left" w:pos="2972"/>
        </w:tabs>
        <w:spacing w:before="173"/>
        <w:ind w:left="240"/>
        <w:rPr>
          <w:color w:val="auto"/>
          <w:highlight w:val="none"/>
        </w:rPr>
      </w:pPr>
      <w:r>
        <w:rPr>
          <w:color w:val="auto"/>
          <w:highlight w:val="none"/>
        </w:rPr>
        <w:t>系</w:t>
      </w:r>
      <w:r>
        <w:rPr>
          <w:color w:val="auto"/>
          <w:highlight w:val="none"/>
          <w:u w:val="single"/>
        </w:rPr>
        <w:tab/>
      </w:r>
      <w:r>
        <w:rPr>
          <w:color w:val="auto"/>
          <w:spacing w:val="-3"/>
          <w:highlight w:val="none"/>
        </w:rPr>
        <w:t>（</w:t>
      </w:r>
      <w:r>
        <w:rPr>
          <w:color w:val="auto"/>
          <w:highlight w:val="none"/>
        </w:rPr>
        <w:t>投</w:t>
      </w:r>
      <w:r>
        <w:rPr>
          <w:color w:val="auto"/>
          <w:spacing w:val="-3"/>
          <w:highlight w:val="none"/>
        </w:rPr>
        <w:t>标</w:t>
      </w:r>
      <w:r>
        <w:rPr>
          <w:color w:val="auto"/>
          <w:highlight w:val="none"/>
        </w:rPr>
        <w:t>人</w:t>
      </w:r>
      <w:r>
        <w:rPr>
          <w:color w:val="auto"/>
          <w:spacing w:val="-3"/>
          <w:highlight w:val="none"/>
        </w:rPr>
        <w:t>名</w:t>
      </w:r>
      <w:r>
        <w:rPr>
          <w:color w:val="auto"/>
          <w:highlight w:val="none"/>
        </w:rPr>
        <w:t>称</w:t>
      </w:r>
      <w:r>
        <w:rPr>
          <w:color w:val="auto"/>
          <w:spacing w:val="-3"/>
          <w:highlight w:val="none"/>
        </w:rPr>
        <w:t>）</w:t>
      </w:r>
      <w:r>
        <w:rPr>
          <w:color w:val="auto"/>
          <w:highlight w:val="none"/>
        </w:rPr>
        <w:t>的</w:t>
      </w:r>
      <w:r>
        <w:rPr>
          <w:color w:val="auto"/>
          <w:spacing w:val="-3"/>
          <w:highlight w:val="none"/>
        </w:rPr>
        <w:t>法定</w:t>
      </w:r>
      <w:r>
        <w:rPr>
          <w:color w:val="auto"/>
          <w:highlight w:val="none"/>
        </w:rPr>
        <w:t>代表</w:t>
      </w:r>
      <w:r>
        <w:rPr>
          <w:color w:val="auto"/>
          <w:spacing w:val="-3"/>
          <w:highlight w:val="none"/>
        </w:rPr>
        <w:t>人</w:t>
      </w:r>
      <w:r>
        <w:rPr>
          <w:color w:val="auto"/>
          <w:highlight w:val="none"/>
        </w:rPr>
        <w:t>。</w:t>
      </w:r>
    </w:p>
    <w:p>
      <w:pPr>
        <w:pStyle w:val="6"/>
        <w:spacing w:before="170"/>
        <w:ind w:left="660"/>
        <w:rPr>
          <w:color w:val="auto"/>
          <w:highlight w:val="none"/>
        </w:rPr>
      </w:pPr>
      <w:r>
        <w:rPr>
          <w:color w:val="auto"/>
          <w:highlight w:val="none"/>
        </w:rPr>
        <w:t>特此证明。</w:t>
      </w:r>
    </w:p>
    <w:p>
      <w:pPr>
        <w:pStyle w:val="6"/>
        <w:rPr>
          <w:color w:val="auto"/>
          <w:sz w:val="20"/>
          <w:highlight w:val="none"/>
        </w:rPr>
      </w:pPr>
    </w:p>
    <w:p>
      <w:pPr>
        <w:pStyle w:val="6"/>
        <w:spacing w:before="10"/>
        <w:rPr>
          <w:color w:val="auto"/>
          <w:sz w:val="27"/>
          <w:highlight w:val="none"/>
        </w:rPr>
      </w:pPr>
    </w:p>
    <w:p>
      <w:pPr>
        <w:pStyle w:val="6"/>
        <w:ind w:left="240"/>
        <w:rPr>
          <w:color w:val="auto"/>
          <w:highlight w:val="none"/>
        </w:rPr>
      </w:pPr>
      <w:r>
        <w:rPr>
          <w:color w:val="auto"/>
          <w:highlight w:val="none"/>
        </w:rPr>
        <w:t>附：法定代表人身份证扫描件。</w:t>
      </w:r>
    </w:p>
    <w:p>
      <w:pPr>
        <w:pStyle w:val="6"/>
        <w:rPr>
          <w:color w:val="auto"/>
          <w:sz w:val="20"/>
          <w:highlight w:val="none"/>
        </w:rPr>
      </w:pPr>
    </w:p>
    <w:p>
      <w:pPr>
        <w:pStyle w:val="6"/>
        <w:spacing w:before="7"/>
        <w:rPr>
          <w:color w:val="auto"/>
          <w:sz w:val="27"/>
          <w:highlight w:val="none"/>
        </w:rPr>
      </w:pPr>
    </w:p>
    <w:p>
      <w:pPr>
        <w:pStyle w:val="6"/>
        <w:rPr>
          <w:color w:val="auto"/>
          <w:sz w:val="20"/>
          <w:highlight w:val="none"/>
        </w:rPr>
      </w:pPr>
    </w:p>
    <w:p>
      <w:pPr>
        <w:rPr>
          <w:color w:val="auto"/>
          <w:highlight w:val="none"/>
        </w:rPr>
      </w:pPr>
    </w:p>
    <w:p>
      <w:pPr>
        <w:pStyle w:val="6"/>
        <w:rPr>
          <w:color w:val="auto"/>
          <w:sz w:val="20"/>
          <w:highlight w:val="none"/>
        </w:rPr>
      </w:pPr>
    </w:p>
    <w:p>
      <w:pPr>
        <w:pStyle w:val="6"/>
        <w:rPr>
          <w:color w:val="auto"/>
          <w:sz w:val="20"/>
          <w:highlight w:val="none"/>
        </w:rPr>
      </w:pPr>
    </w:p>
    <w:p>
      <w:pPr>
        <w:pStyle w:val="6"/>
        <w:spacing w:before="12"/>
        <w:rPr>
          <w:color w:val="auto"/>
          <w:sz w:val="15"/>
          <w:highlight w:val="none"/>
        </w:rPr>
      </w:pPr>
    </w:p>
    <w:p>
      <w:pPr>
        <w:pStyle w:val="6"/>
        <w:tabs>
          <w:tab w:val="left" w:pos="6661"/>
        </w:tabs>
        <w:spacing w:before="79"/>
        <w:ind w:left="4352"/>
        <w:rPr>
          <w:color w:val="auto"/>
          <w:highlight w:val="none"/>
        </w:rPr>
      </w:pPr>
      <w:r>
        <w:rPr>
          <w:color w:val="auto"/>
          <w:spacing w:val="-3"/>
          <w:highlight w:val="none"/>
        </w:rPr>
        <w:t>投</w:t>
      </w:r>
      <w:r>
        <w:rPr>
          <w:color w:val="auto"/>
          <w:highlight w:val="none"/>
        </w:rPr>
        <w:t>标</w:t>
      </w:r>
      <w:r>
        <w:rPr>
          <w:color w:val="auto"/>
          <w:spacing w:val="-3"/>
          <w:highlight w:val="none"/>
        </w:rPr>
        <w:t>人</w:t>
      </w:r>
      <w:r>
        <w:rPr>
          <w:color w:val="auto"/>
          <w:highlight w:val="none"/>
        </w:rPr>
        <w:t>：</w:t>
      </w:r>
      <w:r>
        <w:rPr>
          <w:color w:val="auto"/>
          <w:highlight w:val="none"/>
          <w:u w:val="single"/>
        </w:rPr>
        <w:tab/>
      </w:r>
      <w:r>
        <w:rPr>
          <w:color w:val="auto"/>
          <w:highlight w:val="none"/>
        </w:rPr>
        <w:t>（盖</w:t>
      </w:r>
      <w:r>
        <w:rPr>
          <w:color w:val="auto"/>
          <w:spacing w:val="-3"/>
          <w:highlight w:val="none"/>
        </w:rPr>
        <w:t>单</w:t>
      </w:r>
      <w:r>
        <w:rPr>
          <w:color w:val="auto"/>
          <w:highlight w:val="none"/>
        </w:rPr>
        <w:t>位</w:t>
      </w:r>
      <w:r>
        <w:rPr>
          <w:color w:val="auto"/>
          <w:spacing w:val="-3"/>
          <w:highlight w:val="none"/>
        </w:rPr>
        <w:t>章</w:t>
      </w:r>
      <w:r>
        <w:rPr>
          <w:color w:val="auto"/>
          <w:highlight w:val="none"/>
        </w:rPr>
        <w:t>）</w:t>
      </w:r>
    </w:p>
    <w:p>
      <w:pPr>
        <w:pStyle w:val="6"/>
        <w:rPr>
          <w:color w:val="auto"/>
          <w:sz w:val="20"/>
          <w:highlight w:val="none"/>
        </w:rPr>
      </w:pPr>
    </w:p>
    <w:p>
      <w:pPr>
        <w:pStyle w:val="6"/>
        <w:spacing w:before="1"/>
        <w:rPr>
          <w:color w:val="auto"/>
          <w:sz w:val="22"/>
          <w:highlight w:val="none"/>
        </w:rPr>
      </w:pPr>
    </w:p>
    <w:p>
      <w:pPr>
        <w:pStyle w:val="6"/>
        <w:tabs>
          <w:tab w:val="left" w:pos="5492"/>
          <w:tab w:val="left" w:pos="6332"/>
          <w:tab w:val="left" w:pos="7172"/>
        </w:tabs>
        <w:spacing w:before="72"/>
        <w:ind w:left="4861"/>
        <w:rPr>
          <w:color w:val="auto"/>
          <w:highlight w:val="none"/>
        </w:rPr>
      </w:pPr>
      <w:r>
        <w:rPr>
          <w:rFonts w:eastAsia="Times New Roman"/>
          <w:color w:val="auto"/>
          <w:highlight w:val="none"/>
          <w:u w:val="single"/>
        </w:rPr>
        <w:tab/>
      </w:r>
      <w:r>
        <w:rPr>
          <w:color w:val="auto"/>
          <w:highlight w:val="none"/>
        </w:rPr>
        <w:t>年</w:t>
      </w:r>
      <w:r>
        <w:rPr>
          <w:color w:val="auto"/>
          <w:highlight w:val="none"/>
          <w:u w:val="single"/>
        </w:rPr>
        <w:tab/>
      </w:r>
      <w:r>
        <w:rPr>
          <w:color w:val="auto"/>
          <w:highlight w:val="none"/>
        </w:rPr>
        <w:t>月</w:t>
      </w:r>
      <w:r>
        <w:rPr>
          <w:color w:val="auto"/>
          <w:highlight w:val="none"/>
          <w:u w:val="single"/>
        </w:rPr>
        <w:tab/>
      </w:r>
      <w:r>
        <w:rPr>
          <w:color w:val="auto"/>
          <w:highlight w:val="none"/>
        </w:rPr>
        <w:t>日</w:t>
      </w:r>
    </w:p>
    <w:p>
      <w:pPr>
        <w:widowControl/>
        <w:jc w:val="left"/>
        <w:rPr>
          <w:color w:val="auto"/>
          <w:highlight w:val="none"/>
        </w:rPr>
      </w:pPr>
      <w:r>
        <w:rPr>
          <w:color w:val="auto"/>
          <w:highlight w:val="none"/>
        </w:rPr>
        <w:br w:type="page"/>
      </w:r>
    </w:p>
    <w:p>
      <w:pPr>
        <w:pStyle w:val="6"/>
        <w:tabs>
          <w:tab w:val="left" w:pos="5492"/>
          <w:tab w:val="left" w:pos="6332"/>
          <w:tab w:val="left" w:pos="7172"/>
        </w:tabs>
        <w:spacing w:before="72"/>
        <w:jc w:val="left"/>
        <w:rPr>
          <w:color w:val="auto"/>
          <w:highlight w:val="none"/>
        </w:rPr>
      </w:pPr>
    </w:p>
    <w:p>
      <w:pPr>
        <w:widowControl/>
        <w:jc w:val="center"/>
        <w:rPr>
          <w:rFonts w:eastAsia="黑体"/>
          <w:b/>
          <w:color w:val="auto"/>
          <w:sz w:val="32"/>
          <w:szCs w:val="32"/>
          <w:highlight w:val="none"/>
        </w:rPr>
      </w:pPr>
      <w:r>
        <w:rPr>
          <w:rFonts w:eastAsia="黑体"/>
          <w:b/>
          <w:color w:val="auto"/>
          <w:sz w:val="32"/>
          <w:szCs w:val="32"/>
          <w:highlight w:val="none"/>
        </w:rPr>
        <w:t>授权委托书</w:t>
      </w:r>
      <w:r>
        <w:rPr>
          <w:rFonts w:eastAsia="黑体"/>
          <w:b/>
          <w:color w:val="auto"/>
          <w:sz w:val="24"/>
          <w:highlight w:val="none"/>
        </w:rPr>
        <w:t>（</w:t>
      </w:r>
      <w:r>
        <w:rPr>
          <w:rFonts w:hint="eastAsia"/>
          <w:b/>
          <w:bCs/>
          <w:color w:val="auto"/>
          <w:sz w:val="18"/>
          <w:highlight w:val="none"/>
          <w:lang w:val="en-US" w:eastAsia="zh-CN"/>
        </w:rPr>
        <w:t>仅由委托代理人签署联合体协议书时适用</w:t>
      </w:r>
      <w:r>
        <w:rPr>
          <w:rFonts w:eastAsia="黑体"/>
          <w:b/>
          <w:color w:val="auto"/>
          <w:sz w:val="24"/>
          <w:highlight w:val="none"/>
        </w:rPr>
        <w:t>）</w:t>
      </w:r>
    </w:p>
    <w:p>
      <w:pPr>
        <w:widowControl/>
        <w:jc w:val="center"/>
        <w:rPr>
          <w:rFonts w:eastAsia="黑体"/>
          <w:b/>
          <w:color w:val="auto"/>
          <w:sz w:val="32"/>
          <w:szCs w:val="32"/>
          <w:highlight w:val="none"/>
        </w:rPr>
      </w:pPr>
    </w:p>
    <w:p>
      <w:pPr>
        <w:widowControl/>
        <w:spacing w:line="360" w:lineRule="auto"/>
        <w:ind w:firstLine="416" w:firstLineChars="200"/>
        <w:jc w:val="left"/>
        <w:rPr>
          <w:color w:val="auto"/>
          <w:spacing w:val="-1"/>
          <w:highlight w:val="none"/>
        </w:rPr>
      </w:pPr>
    </w:p>
    <w:p>
      <w:pPr>
        <w:widowControl/>
        <w:spacing w:line="360" w:lineRule="auto"/>
        <w:ind w:firstLine="416" w:firstLineChars="200"/>
        <w:jc w:val="left"/>
        <w:rPr>
          <w:color w:val="auto"/>
          <w:spacing w:val="-1"/>
          <w:highlight w:val="none"/>
        </w:rPr>
      </w:pPr>
      <w:r>
        <w:rPr>
          <w:color w:val="auto"/>
          <w:spacing w:val="-1"/>
          <w:highlight w:val="none"/>
        </w:rPr>
        <w:t>本人（姓名）系（投标人名称）的法定代表人，现委托（姓名）为我方代理人。代理人根据授权，以我方名义签署、澄清确认、递交、撤回、修改招标项目投标文件、</w:t>
      </w:r>
      <w:r>
        <w:rPr>
          <w:rFonts w:hint="eastAsia"/>
          <w:color w:val="auto"/>
          <w:spacing w:val="-1"/>
          <w:highlight w:val="none"/>
        </w:rPr>
        <w:t>签署联合体协议</w:t>
      </w:r>
      <w:r>
        <w:rPr>
          <w:rFonts w:hint="eastAsia"/>
          <w:color w:val="auto"/>
          <w:spacing w:val="-1"/>
          <w:highlight w:val="none"/>
          <w:lang w:eastAsia="zh-CN"/>
        </w:rPr>
        <w:t>、</w:t>
      </w:r>
      <w:r>
        <w:rPr>
          <w:color w:val="auto"/>
          <w:spacing w:val="-1"/>
          <w:highlight w:val="none"/>
        </w:rPr>
        <w:t>签订合同和处理有关事宜，其法律后果由我方承担。</w:t>
      </w:r>
    </w:p>
    <w:p>
      <w:pPr>
        <w:widowControl/>
        <w:spacing w:line="360" w:lineRule="auto"/>
        <w:ind w:firstLine="832" w:firstLineChars="400"/>
        <w:jc w:val="left"/>
        <w:rPr>
          <w:color w:val="auto"/>
          <w:spacing w:val="-1"/>
          <w:highlight w:val="none"/>
        </w:rPr>
      </w:pPr>
      <w:r>
        <w:rPr>
          <w:color w:val="auto"/>
          <w:spacing w:val="-1"/>
          <w:highlight w:val="none"/>
        </w:rPr>
        <w:t>代理人无转委托权。</w:t>
      </w:r>
    </w:p>
    <w:p>
      <w:pPr>
        <w:pStyle w:val="6"/>
        <w:tabs>
          <w:tab w:val="left" w:pos="4068"/>
        </w:tabs>
        <w:ind w:left="240"/>
        <w:rPr>
          <w:color w:val="auto"/>
          <w:spacing w:val="-1"/>
          <w:highlight w:val="none"/>
        </w:rPr>
      </w:pPr>
    </w:p>
    <w:p>
      <w:pPr>
        <w:pStyle w:val="6"/>
        <w:tabs>
          <w:tab w:val="left" w:pos="4068"/>
        </w:tabs>
        <w:ind w:left="240"/>
        <w:rPr>
          <w:color w:val="auto"/>
          <w:spacing w:val="-1"/>
          <w:highlight w:val="none"/>
        </w:rPr>
      </w:pPr>
      <w:r>
        <w:rPr>
          <w:color w:val="auto"/>
          <w:spacing w:val="-1"/>
          <w:highlight w:val="none"/>
        </w:rPr>
        <w:t>附：法定代表人身份证扫描件及委托代理人身份证扫描件</w:t>
      </w:r>
    </w:p>
    <w:p>
      <w:pPr>
        <w:pStyle w:val="6"/>
        <w:tabs>
          <w:tab w:val="left" w:pos="4068"/>
        </w:tabs>
        <w:ind w:left="240"/>
        <w:rPr>
          <w:color w:val="auto"/>
          <w:spacing w:val="-1"/>
          <w:highlight w:val="none"/>
        </w:rPr>
      </w:pPr>
    </w:p>
    <w:p>
      <w:pPr>
        <w:pStyle w:val="6"/>
        <w:tabs>
          <w:tab w:val="left" w:pos="4068"/>
        </w:tabs>
        <w:ind w:left="240"/>
        <w:rPr>
          <w:color w:val="auto"/>
          <w:spacing w:val="-1"/>
          <w:highlight w:val="none"/>
        </w:rPr>
      </w:pPr>
    </w:p>
    <w:p>
      <w:pPr>
        <w:pStyle w:val="6"/>
        <w:tabs>
          <w:tab w:val="left" w:pos="4068"/>
        </w:tabs>
        <w:ind w:left="240"/>
        <w:rPr>
          <w:color w:val="auto"/>
          <w:spacing w:val="-1"/>
          <w:highlight w:val="none"/>
        </w:rPr>
      </w:pPr>
      <w:r>
        <w:rPr>
          <w:color w:val="auto"/>
          <w:spacing w:val="-1"/>
          <w:highlight w:val="none"/>
        </w:rPr>
        <w:t>注：本授权委托书需由投标人加盖单位公章并由其法定代表人和委托代理人签字。</w:t>
      </w:r>
    </w:p>
    <w:p>
      <w:pPr>
        <w:pStyle w:val="6"/>
        <w:tabs>
          <w:tab w:val="left" w:pos="4068"/>
        </w:tabs>
        <w:ind w:left="240"/>
        <w:rPr>
          <w:color w:val="auto"/>
          <w:spacing w:val="-1"/>
          <w:highlight w:val="none"/>
        </w:rPr>
      </w:pPr>
    </w:p>
    <w:p>
      <w:pPr>
        <w:pStyle w:val="6"/>
        <w:spacing w:before="10"/>
        <w:rPr>
          <w:color w:val="auto"/>
          <w:sz w:val="27"/>
          <w:highlight w:val="none"/>
        </w:rPr>
      </w:pPr>
    </w:p>
    <w:p>
      <w:pPr>
        <w:pStyle w:val="6"/>
        <w:tabs>
          <w:tab w:val="left" w:pos="3356"/>
          <w:tab w:val="left" w:pos="3776"/>
          <w:tab w:val="left" w:pos="7381"/>
        </w:tabs>
        <w:ind w:left="2411" w:leftChars="1148" w:firstLine="525" w:firstLineChars="250"/>
        <w:rPr>
          <w:color w:val="auto"/>
          <w:highlight w:val="none"/>
        </w:rPr>
      </w:pPr>
      <w:r>
        <w:rPr>
          <w:color w:val="auto"/>
          <w:highlight w:val="none"/>
        </w:rPr>
        <w:t>投标人</w:t>
      </w:r>
      <w:r>
        <w:rPr>
          <w:color w:val="auto"/>
          <w:spacing w:val="-3"/>
          <w:highlight w:val="none"/>
        </w:rPr>
        <w:t>：</w:t>
      </w:r>
      <w:r>
        <w:rPr>
          <w:color w:val="auto"/>
          <w:highlight w:val="none"/>
        </w:rPr>
        <w:t>（盖</w:t>
      </w:r>
      <w:r>
        <w:rPr>
          <w:color w:val="auto"/>
          <w:spacing w:val="-3"/>
          <w:highlight w:val="none"/>
        </w:rPr>
        <w:t>单</w:t>
      </w:r>
      <w:r>
        <w:rPr>
          <w:color w:val="auto"/>
          <w:highlight w:val="none"/>
        </w:rPr>
        <w:t>位</w:t>
      </w:r>
      <w:r>
        <w:rPr>
          <w:color w:val="auto"/>
          <w:spacing w:val="-3"/>
          <w:highlight w:val="none"/>
        </w:rPr>
        <w:t>章</w:t>
      </w:r>
      <w:r>
        <w:rPr>
          <w:color w:val="auto"/>
          <w:highlight w:val="none"/>
        </w:rPr>
        <w:t>）</w:t>
      </w:r>
    </w:p>
    <w:p>
      <w:pPr>
        <w:pStyle w:val="6"/>
        <w:spacing w:before="8"/>
        <w:rPr>
          <w:color w:val="auto"/>
          <w:highlight w:val="none"/>
        </w:rPr>
      </w:pPr>
    </w:p>
    <w:p>
      <w:pPr>
        <w:pStyle w:val="6"/>
        <w:tabs>
          <w:tab w:val="left" w:pos="6541"/>
        </w:tabs>
        <w:spacing w:before="79"/>
        <w:ind w:left="2931"/>
        <w:rPr>
          <w:color w:val="auto"/>
          <w:highlight w:val="none"/>
        </w:rPr>
      </w:pPr>
      <w:r>
        <w:rPr>
          <w:color w:val="auto"/>
          <w:highlight w:val="none"/>
        </w:rPr>
        <w:t>法定</w:t>
      </w:r>
      <w:r>
        <w:rPr>
          <w:color w:val="auto"/>
          <w:spacing w:val="-3"/>
          <w:highlight w:val="none"/>
        </w:rPr>
        <w:t>代</w:t>
      </w:r>
      <w:r>
        <w:rPr>
          <w:color w:val="auto"/>
          <w:highlight w:val="none"/>
        </w:rPr>
        <w:t>表</w:t>
      </w:r>
      <w:r>
        <w:rPr>
          <w:color w:val="auto"/>
          <w:spacing w:val="-3"/>
          <w:highlight w:val="none"/>
        </w:rPr>
        <w:t>人：</w:t>
      </w:r>
      <w:r>
        <w:rPr>
          <w:color w:val="auto"/>
          <w:spacing w:val="-3"/>
          <w:highlight w:val="none"/>
          <w:u w:val="single"/>
        </w:rPr>
        <w:tab/>
      </w:r>
      <w:r>
        <w:rPr>
          <w:color w:val="auto"/>
          <w:highlight w:val="none"/>
        </w:rPr>
        <w:t>（签</w:t>
      </w:r>
      <w:r>
        <w:rPr>
          <w:color w:val="auto"/>
          <w:spacing w:val="-3"/>
          <w:highlight w:val="none"/>
        </w:rPr>
        <w:t>字</w:t>
      </w:r>
      <w:r>
        <w:rPr>
          <w:color w:val="auto"/>
          <w:highlight w:val="none"/>
        </w:rPr>
        <w:t>）</w:t>
      </w:r>
    </w:p>
    <w:p>
      <w:pPr>
        <w:pStyle w:val="6"/>
        <w:spacing w:before="5"/>
        <w:rPr>
          <w:color w:val="auto"/>
          <w:highlight w:val="none"/>
        </w:rPr>
      </w:pPr>
    </w:p>
    <w:p>
      <w:pPr>
        <w:pStyle w:val="6"/>
        <w:tabs>
          <w:tab w:val="left" w:pos="8689"/>
        </w:tabs>
        <w:spacing w:before="79"/>
        <w:ind w:left="2933"/>
        <w:rPr>
          <w:color w:val="auto"/>
          <w:highlight w:val="none"/>
        </w:rPr>
      </w:pPr>
      <w:r>
        <w:rPr>
          <w:color w:val="auto"/>
          <w:highlight w:val="none"/>
        </w:rPr>
        <w:t>身份</w:t>
      </w:r>
      <w:r>
        <w:rPr>
          <w:color w:val="auto"/>
          <w:spacing w:val="-3"/>
          <w:highlight w:val="none"/>
        </w:rPr>
        <w:t>证</w:t>
      </w:r>
      <w:r>
        <w:rPr>
          <w:color w:val="auto"/>
          <w:highlight w:val="none"/>
        </w:rPr>
        <w:t>号</w:t>
      </w:r>
      <w:r>
        <w:rPr>
          <w:color w:val="auto"/>
          <w:spacing w:val="-3"/>
          <w:highlight w:val="none"/>
        </w:rPr>
        <w:t>码：</w:t>
      </w:r>
    </w:p>
    <w:p>
      <w:pPr>
        <w:pStyle w:val="6"/>
        <w:spacing w:before="4"/>
        <w:rPr>
          <w:color w:val="auto"/>
          <w:sz w:val="26"/>
          <w:highlight w:val="none"/>
        </w:rPr>
      </w:pPr>
    </w:p>
    <w:p>
      <w:pPr>
        <w:pStyle w:val="6"/>
        <w:tabs>
          <w:tab w:val="left" w:pos="7590"/>
        </w:tabs>
        <w:spacing w:before="79"/>
        <w:ind w:left="2933"/>
        <w:rPr>
          <w:color w:val="auto"/>
          <w:highlight w:val="none"/>
        </w:rPr>
      </w:pPr>
      <w:r>
        <w:rPr>
          <w:color w:val="auto"/>
          <w:highlight w:val="none"/>
        </w:rPr>
        <w:t>委托</w:t>
      </w:r>
      <w:r>
        <w:rPr>
          <w:color w:val="auto"/>
          <w:spacing w:val="-3"/>
          <w:highlight w:val="none"/>
        </w:rPr>
        <w:t>代</w:t>
      </w:r>
      <w:r>
        <w:rPr>
          <w:color w:val="auto"/>
          <w:highlight w:val="none"/>
        </w:rPr>
        <w:t>理</w:t>
      </w:r>
      <w:r>
        <w:rPr>
          <w:color w:val="auto"/>
          <w:spacing w:val="-3"/>
          <w:highlight w:val="none"/>
        </w:rPr>
        <w:t>人：</w:t>
      </w:r>
      <w:r>
        <w:rPr>
          <w:color w:val="auto"/>
          <w:highlight w:val="none"/>
        </w:rPr>
        <w:t>（签</w:t>
      </w:r>
      <w:r>
        <w:rPr>
          <w:color w:val="auto"/>
          <w:spacing w:val="-3"/>
          <w:highlight w:val="none"/>
        </w:rPr>
        <w:t>字</w:t>
      </w:r>
      <w:r>
        <w:rPr>
          <w:color w:val="auto"/>
          <w:highlight w:val="none"/>
        </w:rPr>
        <w:t>）</w:t>
      </w:r>
    </w:p>
    <w:p>
      <w:pPr>
        <w:pStyle w:val="6"/>
        <w:spacing w:before="8"/>
        <w:rPr>
          <w:color w:val="auto"/>
          <w:highlight w:val="none"/>
        </w:rPr>
      </w:pPr>
    </w:p>
    <w:p>
      <w:pPr>
        <w:pStyle w:val="6"/>
        <w:tabs>
          <w:tab w:val="left" w:pos="8689"/>
        </w:tabs>
        <w:spacing w:before="79"/>
        <w:ind w:left="2933"/>
        <w:rPr>
          <w:color w:val="auto"/>
          <w:highlight w:val="none"/>
        </w:rPr>
      </w:pPr>
      <w:r>
        <w:rPr>
          <w:color w:val="auto"/>
          <w:highlight w:val="none"/>
        </w:rPr>
        <w:t>身份</w:t>
      </w:r>
      <w:r>
        <w:rPr>
          <w:color w:val="auto"/>
          <w:spacing w:val="-3"/>
          <w:highlight w:val="none"/>
        </w:rPr>
        <w:t>证</w:t>
      </w:r>
      <w:r>
        <w:rPr>
          <w:color w:val="auto"/>
          <w:highlight w:val="none"/>
        </w:rPr>
        <w:t>号</w:t>
      </w:r>
      <w:r>
        <w:rPr>
          <w:color w:val="auto"/>
          <w:spacing w:val="-3"/>
          <w:highlight w:val="none"/>
        </w:rPr>
        <w:t>码：</w:t>
      </w:r>
    </w:p>
    <w:p>
      <w:pPr>
        <w:pStyle w:val="6"/>
        <w:rPr>
          <w:color w:val="auto"/>
          <w:sz w:val="20"/>
          <w:highlight w:val="none"/>
        </w:rPr>
      </w:pPr>
    </w:p>
    <w:p>
      <w:pPr>
        <w:pStyle w:val="6"/>
        <w:spacing w:before="1"/>
        <w:rPr>
          <w:color w:val="auto"/>
          <w:sz w:val="25"/>
          <w:highlight w:val="none"/>
        </w:rPr>
      </w:pPr>
    </w:p>
    <w:p>
      <w:pPr>
        <w:widowControl/>
        <w:wordWrap w:val="0"/>
        <w:jc w:val="right"/>
        <w:rPr>
          <w:b/>
          <w:color w:val="auto"/>
          <w:sz w:val="26"/>
          <w:highlight w:val="none"/>
        </w:rPr>
      </w:pPr>
      <w:r>
        <w:rPr>
          <w:rFonts w:eastAsia="Times New Roman"/>
          <w:color w:val="auto"/>
          <w:highlight w:val="none"/>
          <w:u w:val="single"/>
        </w:rPr>
        <w:tab/>
      </w:r>
      <w:r>
        <w:rPr>
          <w:color w:val="auto"/>
          <w:highlight w:val="none"/>
        </w:rPr>
        <w:t>年</w:t>
      </w:r>
      <w:r>
        <w:rPr>
          <w:color w:val="auto"/>
          <w:highlight w:val="none"/>
          <w:u w:val="single"/>
        </w:rPr>
        <w:tab/>
      </w:r>
      <w:r>
        <w:rPr>
          <w:color w:val="auto"/>
          <w:spacing w:val="-3"/>
          <w:highlight w:val="none"/>
        </w:rPr>
        <w:t>月</w:t>
      </w:r>
      <w:r>
        <w:rPr>
          <w:color w:val="auto"/>
          <w:spacing w:val="-3"/>
          <w:highlight w:val="none"/>
          <w:u w:val="single"/>
        </w:rPr>
        <w:tab/>
      </w:r>
      <w:r>
        <w:rPr>
          <w:color w:val="auto"/>
          <w:highlight w:val="none"/>
        </w:rPr>
        <w:t>日</w:t>
      </w:r>
    </w:p>
    <w:p>
      <w:pPr>
        <w:pStyle w:val="17"/>
        <w:numPr>
          <w:ilvl w:val="0"/>
          <w:numId w:val="0"/>
        </w:numPr>
        <w:ind w:leftChars="0"/>
        <w:rPr>
          <w:rFonts w:hint="eastAsia"/>
          <w:color w:val="auto"/>
          <w:highlight w:val="none"/>
          <w:lang w:val="en-US" w:eastAsia="zh-CN"/>
        </w:rPr>
      </w:pPr>
    </w:p>
    <w:p>
      <w:pP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br w:type="page"/>
      </w:r>
    </w:p>
    <w:p>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3.联合体协议书</w:t>
      </w:r>
    </w:p>
    <w:p>
      <w:pPr>
        <w:widowControl/>
        <w:jc w:val="center"/>
        <w:rPr>
          <w:rFonts w:eastAsia="黑体"/>
          <w:b/>
          <w:color w:val="auto"/>
          <w:sz w:val="32"/>
          <w:szCs w:val="32"/>
          <w:highlight w:val="none"/>
        </w:rPr>
      </w:pPr>
      <w:r>
        <w:rPr>
          <w:rFonts w:eastAsia="黑体"/>
          <w:b/>
          <w:color w:val="auto"/>
          <w:sz w:val="32"/>
          <w:szCs w:val="32"/>
          <w:highlight w:val="none"/>
        </w:rPr>
        <w:t>联合体协议书</w:t>
      </w:r>
    </w:p>
    <w:p>
      <w:pPr>
        <w:pStyle w:val="6"/>
        <w:tabs>
          <w:tab w:val="left" w:pos="2445"/>
        </w:tabs>
        <w:spacing w:before="172" w:line="276" w:lineRule="auto"/>
        <w:ind w:firstLine="659" w:firstLineChars="314"/>
        <w:rPr>
          <w:color w:val="auto"/>
          <w:highlight w:val="none"/>
        </w:rPr>
      </w:pPr>
      <w:r>
        <w:rPr>
          <w:rFonts w:eastAsia="Times New Roman"/>
          <w:color w:val="auto"/>
          <w:highlight w:val="none"/>
          <w:u w:val="single"/>
        </w:rPr>
        <w:tab/>
      </w:r>
      <w:r>
        <w:rPr>
          <w:color w:val="auto"/>
          <w:highlight w:val="none"/>
        </w:rPr>
        <w:t>（所</w:t>
      </w:r>
      <w:r>
        <w:rPr>
          <w:color w:val="auto"/>
          <w:spacing w:val="-3"/>
          <w:highlight w:val="none"/>
        </w:rPr>
        <w:t>有</w:t>
      </w:r>
      <w:r>
        <w:rPr>
          <w:color w:val="auto"/>
          <w:highlight w:val="none"/>
        </w:rPr>
        <w:t>成员单位名称）自愿组成</w:t>
      </w:r>
      <w:r>
        <w:rPr>
          <w:rFonts w:hint="eastAsia"/>
          <w:color w:val="auto"/>
          <w:highlight w:val="none"/>
          <w:lang w:val="en-US" w:eastAsia="zh-CN"/>
        </w:rPr>
        <w:t xml:space="preserve">    </w:t>
      </w:r>
      <w:r>
        <w:rPr>
          <w:color w:val="auto"/>
          <w:highlight w:val="none"/>
          <w:u w:val="single"/>
        </w:rPr>
        <w:tab/>
      </w:r>
      <w:r>
        <w:rPr>
          <w:color w:val="auto"/>
          <w:highlight w:val="none"/>
        </w:rPr>
        <w:t>（联合体名称）联合体，共同参加</w:t>
      </w:r>
      <w:r>
        <w:rPr>
          <w:color w:val="auto"/>
          <w:highlight w:val="none"/>
          <w:u w:val="single"/>
        </w:rPr>
        <w:tab/>
      </w:r>
      <w:r>
        <w:rPr>
          <w:color w:val="auto"/>
          <w:spacing w:val="-3"/>
          <w:highlight w:val="none"/>
        </w:rPr>
        <w:t>（</w:t>
      </w:r>
      <w:r>
        <w:rPr>
          <w:color w:val="auto"/>
          <w:highlight w:val="none"/>
        </w:rPr>
        <w:t>项目</w:t>
      </w:r>
      <w:r>
        <w:rPr>
          <w:color w:val="auto"/>
          <w:spacing w:val="-3"/>
          <w:highlight w:val="none"/>
        </w:rPr>
        <w:t>名</w:t>
      </w:r>
      <w:r>
        <w:rPr>
          <w:color w:val="auto"/>
          <w:highlight w:val="none"/>
        </w:rPr>
        <w:t>称）招</w:t>
      </w:r>
      <w:r>
        <w:rPr>
          <w:color w:val="auto"/>
          <w:spacing w:val="-3"/>
          <w:highlight w:val="none"/>
        </w:rPr>
        <w:t>标</w:t>
      </w:r>
      <w:r>
        <w:rPr>
          <w:color w:val="auto"/>
          <w:highlight w:val="none"/>
        </w:rPr>
        <w:t>项</w:t>
      </w:r>
      <w:r>
        <w:rPr>
          <w:color w:val="auto"/>
          <w:spacing w:val="-3"/>
          <w:highlight w:val="none"/>
        </w:rPr>
        <w:t>目</w:t>
      </w:r>
      <w:r>
        <w:rPr>
          <w:color w:val="auto"/>
          <w:highlight w:val="none"/>
        </w:rPr>
        <w:t>投标</w:t>
      </w:r>
      <w:r>
        <w:rPr>
          <w:color w:val="auto"/>
          <w:spacing w:val="-3"/>
          <w:highlight w:val="none"/>
        </w:rPr>
        <w:t>。</w:t>
      </w:r>
      <w:r>
        <w:rPr>
          <w:color w:val="auto"/>
          <w:highlight w:val="none"/>
        </w:rPr>
        <w:t>现</w:t>
      </w:r>
      <w:r>
        <w:rPr>
          <w:color w:val="auto"/>
          <w:spacing w:val="-3"/>
          <w:highlight w:val="none"/>
        </w:rPr>
        <w:t>就</w:t>
      </w:r>
      <w:r>
        <w:rPr>
          <w:color w:val="auto"/>
          <w:highlight w:val="none"/>
        </w:rPr>
        <w:t>联</w:t>
      </w:r>
      <w:r>
        <w:rPr>
          <w:color w:val="auto"/>
          <w:spacing w:val="-3"/>
          <w:highlight w:val="none"/>
        </w:rPr>
        <w:t>合</w:t>
      </w:r>
      <w:r>
        <w:rPr>
          <w:color w:val="auto"/>
          <w:highlight w:val="none"/>
        </w:rPr>
        <w:t>体投标事宜订立如下协议。</w:t>
      </w:r>
    </w:p>
    <w:p>
      <w:pPr>
        <w:pStyle w:val="6"/>
        <w:tabs>
          <w:tab w:val="left" w:pos="2445"/>
        </w:tabs>
        <w:spacing w:before="172" w:line="276" w:lineRule="auto"/>
        <w:ind w:firstLine="420" w:firstLineChars="200"/>
        <w:rPr>
          <w:color w:val="auto"/>
          <w:highlight w:val="none"/>
        </w:rPr>
      </w:pPr>
      <w:r>
        <w:rPr>
          <w:color w:val="auto"/>
          <w:highlight w:val="none"/>
        </w:rPr>
        <w:t xml:space="preserve">1. </w:t>
      </w:r>
      <w:r>
        <w:rPr>
          <w:rFonts w:eastAsia="Times New Roman"/>
          <w:color w:val="auto"/>
          <w:highlight w:val="none"/>
          <w:u w:val="single"/>
        </w:rPr>
        <w:tab/>
      </w:r>
      <w:r>
        <w:rPr>
          <w:color w:val="auto"/>
          <w:spacing w:val="-3"/>
          <w:highlight w:val="none"/>
        </w:rPr>
        <w:t>（</w:t>
      </w:r>
      <w:r>
        <w:rPr>
          <w:color w:val="auto"/>
          <w:highlight w:val="none"/>
        </w:rPr>
        <w:t>某成</w:t>
      </w:r>
      <w:r>
        <w:rPr>
          <w:color w:val="auto"/>
          <w:spacing w:val="-3"/>
          <w:highlight w:val="none"/>
        </w:rPr>
        <w:t>员</w:t>
      </w:r>
      <w:r>
        <w:rPr>
          <w:color w:val="auto"/>
          <w:highlight w:val="none"/>
        </w:rPr>
        <w:t>单</w:t>
      </w:r>
      <w:r>
        <w:rPr>
          <w:color w:val="auto"/>
          <w:spacing w:val="-3"/>
          <w:highlight w:val="none"/>
        </w:rPr>
        <w:t>位</w:t>
      </w:r>
      <w:r>
        <w:rPr>
          <w:color w:val="auto"/>
          <w:highlight w:val="none"/>
        </w:rPr>
        <w:t>名</w:t>
      </w:r>
      <w:r>
        <w:rPr>
          <w:color w:val="auto"/>
          <w:spacing w:val="-3"/>
          <w:highlight w:val="none"/>
        </w:rPr>
        <w:t>称</w:t>
      </w:r>
      <w:r>
        <w:rPr>
          <w:color w:val="auto"/>
          <w:highlight w:val="none"/>
        </w:rPr>
        <w:t>）</w:t>
      </w:r>
      <w:r>
        <w:rPr>
          <w:color w:val="auto"/>
          <w:spacing w:val="-3"/>
          <w:highlight w:val="none"/>
        </w:rPr>
        <w:t>为</w:t>
      </w:r>
      <w:r>
        <w:rPr>
          <w:color w:val="auto"/>
          <w:spacing w:val="-3"/>
          <w:highlight w:val="none"/>
          <w:u w:val="single"/>
        </w:rPr>
        <w:tab/>
      </w:r>
      <w:r>
        <w:rPr>
          <w:rFonts w:hint="eastAsia"/>
          <w:color w:val="auto"/>
          <w:spacing w:val="-3"/>
          <w:highlight w:val="none"/>
          <w:u w:val="single"/>
          <w:lang w:val="en-US" w:eastAsia="zh-CN"/>
        </w:rPr>
        <w:t xml:space="preserve">    </w:t>
      </w:r>
      <w:r>
        <w:rPr>
          <w:color w:val="auto"/>
          <w:spacing w:val="-3"/>
          <w:highlight w:val="none"/>
        </w:rPr>
        <w:t>（</w:t>
      </w:r>
      <w:r>
        <w:rPr>
          <w:color w:val="auto"/>
          <w:highlight w:val="none"/>
        </w:rPr>
        <w:t>联</w:t>
      </w:r>
      <w:r>
        <w:rPr>
          <w:color w:val="auto"/>
          <w:spacing w:val="-3"/>
          <w:highlight w:val="none"/>
        </w:rPr>
        <w:t>合</w:t>
      </w:r>
      <w:r>
        <w:rPr>
          <w:color w:val="auto"/>
          <w:highlight w:val="none"/>
        </w:rPr>
        <w:t>体</w:t>
      </w:r>
      <w:r>
        <w:rPr>
          <w:color w:val="auto"/>
          <w:spacing w:val="-3"/>
          <w:highlight w:val="none"/>
        </w:rPr>
        <w:t>名</w:t>
      </w:r>
      <w:r>
        <w:rPr>
          <w:color w:val="auto"/>
          <w:highlight w:val="none"/>
        </w:rPr>
        <w:t>称</w:t>
      </w:r>
      <w:r>
        <w:rPr>
          <w:color w:val="auto"/>
          <w:spacing w:val="-3"/>
          <w:highlight w:val="none"/>
        </w:rPr>
        <w:t>）</w:t>
      </w:r>
      <w:r>
        <w:rPr>
          <w:color w:val="auto"/>
          <w:highlight w:val="none"/>
        </w:rPr>
        <w:t>牵</w:t>
      </w:r>
      <w:r>
        <w:rPr>
          <w:color w:val="auto"/>
          <w:spacing w:val="-3"/>
          <w:highlight w:val="none"/>
        </w:rPr>
        <w:t>头人</w:t>
      </w:r>
      <w:r>
        <w:rPr>
          <w:color w:val="auto"/>
          <w:highlight w:val="none"/>
        </w:rPr>
        <w:t>。</w:t>
      </w:r>
    </w:p>
    <w:p>
      <w:pPr>
        <w:tabs>
          <w:tab w:val="left" w:pos="1770"/>
          <w:tab w:val="left" w:pos="2813"/>
          <w:tab w:val="left" w:pos="5754"/>
        </w:tabs>
        <w:autoSpaceDE w:val="0"/>
        <w:autoSpaceDN w:val="0"/>
        <w:spacing w:before="171" w:line="276" w:lineRule="auto"/>
        <w:ind w:firstLine="420" w:firstLineChars="200"/>
        <w:rPr>
          <w:color w:val="auto"/>
          <w:szCs w:val="22"/>
          <w:highlight w:val="none"/>
        </w:rPr>
      </w:pPr>
      <w:r>
        <w:rPr>
          <w:color w:val="auto"/>
          <w:szCs w:val="22"/>
          <w:highlight w:val="none"/>
        </w:rPr>
        <w:t>2. 联合体各成员授权牵头人代表联合体参加投标活动，签署文件，提交和接收相关的资料、信息及指示，进行合同谈判活动，负责合同实施阶段的组织和协调工作，以及处理与本招标项目有关的一切事宜。</w:t>
      </w:r>
      <w:r>
        <w:rPr>
          <w:rFonts w:hint="eastAsia" w:ascii="Times New Roman" w:hAnsi="Times New Roman"/>
          <w:color w:val="auto"/>
          <w:highlight w:val="none"/>
        </w:rPr>
        <w:t>联合体牵头人除承担项目组织、协调工作外，还应承担项目主体性工作内容。</w:t>
      </w:r>
    </w:p>
    <w:p>
      <w:pPr>
        <w:tabs>
          <w:tab w:val="left" w:pos="1770"/>
          <w:tab w:val="left" w:pos="2813"/>
          <w:tab w:val="left" w:pos="5754"/>
        </w:tabs>
        <w:autoSpaceDE w:val="0"/>
        <w:autoSpaceDN w:val="0"/>
        <w:spacing w:before="171" w:line="276" w:lineRule="auto"/>
        <w:ind w:firstLine="420" w:firstLineChars="200"/>
        <w:rPr>
          <w:color w:val="auto"/>
          <w:spacing w:val="-3"/>
          <w:highlight w:val="none"/>
        </w:rPr>
      </w:pPr>
      <w:r>
        <w:rPr>
          <w:color w:val="auto"/>
          <w:szCs w:val="22"/>
          <w:highlight w:val="none"/>
        </w:rPr>
        <w:t>3. 联合体牵头人在本项目中签署的一切文件和处理的一切事宜，联合体各成员均予以承认。联合体</w:t>
      </w:r>
      <w:r>
        <w:rPr>
          <w:color w:val="auto"/>
          <w:spacing w:val="-4"/>
          <w:highlight w:val="none"/>
        </w:rPr>
        <w:t>各成员将严格按照招标文件、投标文件和合同的要求全面履行义务，并向招标人承担连</w:t>
      </w:r>
      <w:r>
        <w:rPr>
          <w:color w:val="auto"/>
          <w:spacing w:val="-3"/>
          <w:highlight w:val="none"/>
        </w:rPr>
        <w:t>带责任。</w:t>
      </w:r>
    </w:p>
    <w:p>
      <w:pPr>
        <w:tabs>
          <w:tab w:val="left" w:pos="925"/>
          <w:tab w:val="left" w:pos="8881"/>
        </w:tabs>
        <w:autoSpaceDE w:val="0"/>
        <w:autoSpaceDN w:val="0"/>
        <w:spacing w:line="276" w:lineRule="auto"/>
        <w:ind w:firstLine="408" w:firstLineChars="200"/>
        <w:rPr>
          <w:color w:val="auto"/>
          <w:spacing w:val="-25"/>
          <w:highlight w:val="none"/>
        </w:rPr>
      </w:pPr>
      <w:r>
        <w:rPr>
          <w:color w:val="auto"/>
          <w:spacing w:val="-3"/>
          <w:highlight w:val="none"/>
        </w:rPr>
        <w:t>4. 联</w:t>
      </w:r>
      <w:r>
        <w:rPr>
          <w:color w:val="auto"/>
          <w:highlight w:val="none"/>
        </w:rPr>
        <w:t>合</w:t>
      </w:r>
      <w:r>
        <w:rPr>
          <w:color w:val="auto"/>
          <w:spacing w:val="-3"/>
          <w:highlight w:val="none"/>
        </w:rPr>
        <w:t>体</w:t>
      </w:r>
      <w:r>
        <w:rPr>
          <w:color w:val="auto"/>
          <w:highlight w:val="none"/>
        </w:rPr>
        <w:t>各</w:t>
      </w:r>
      <w:r>
        <w:rPr>
          <w:color w:val="auto"/>
          <w:spacing w:val="-3"/>
          <w:highlight w:val="none"/>
        </w:rPr>
        <w:t>成</w:t>
      </w:r>
      <w:r>
        <w:rPr>
          <w:color w:val="auto"/>
          <w:highlight w:val="none"/>
        </w:rPr>
        <w:t>员</w:t>
      </w:r>
      <w:r>
        <w:rPr>
          <w:color w:val="auto"/>
          <w:spacing w:val="-3"/>
          <w:highlight w:val="none"/>
        </w:rPr>
        <w:t>单</w:t>
      </w:r>
      <w:r>
        <w:rPr>
          <w:color w:val="auto"/>
          <w:highlight w:val="none"/>
        </w:rPr>
        <w:t>位</w:t>
      </w:r>
      <w:r>
        <w:rPr>
          <w:color w:val="auto"/>
          <w:spacing w:val="-3"/>
          <w:highlight w:val="none"/>
        </w:rPr>
        <w:t>内部</w:t>
      </w:r>
      <w:r>
        <w:rPr>
          <w:color w:val="auto"/>
          <w:highlight w:val="none"/>
        </w:rPr>
        <w:t>的职</w:t>
      </w:r>
      <w:r>
        <w:rPr>
          <w:color w:val="auto"/>
          <w:spacing w:val="-3"/>
          <w:highlight w:val="none"/>
        </w:rPr>
        <w:t>责</w:t>
      </w:r>
      <w:r>
        <w:rPr>
          <w:color w:val="auto"/>
          <w:highlight w:val="none"/>
        </w:rPr>
        <w:t>分</w:t>
      </w:r>
      <w:r>
        <w:rPr>
          <w:color w:val="auto"/>
          <w:spacing w:val="-3"/>
          <w:highlight w:val="none"/>
        </w:rPr>
        <w:t>工</w:t>
      </w:r>
      <w:r>
        <w:rPr>
          <w:color w:val="auto"/>
          <w:highlight w:val="none"/>
        </w:rPr>
        <w:t>如</w:t>
      </w:r>
      <w:r>
        <w:rPr>
          <w:color w:val="auto"/>
          <w:spacing w:val="-3"/>
          <w:highlight w:val="none"/>
        </w:rPr>
        <w:t>下</w:t>
      </w:r>
      <w:r>
        <w:rPr>
          <w:color w:val="auto"/>
          <w:spacing w:val="-25"/>
          <w:highlight w:val="none"/>
        </w:rPr>
        <w:t>：</w:t>
      </w:r>
    </w:p>
    <w:p>
      <w:pPr>
        <w:tabs>
          <w:tab w:val="left" w:pos="925"/>
          <w:tab w:val="left" w:pos="8881"/>
        </w:tabs>
        <w:autoSpaceDE w:val="0"/>
        <w:autoSpaceDN w:val="0"/>
        <w:spacing w:line="276" w:lineRule="auto"/>
        <w:ind w:firstLine="422" w:firstLineChars="200"/>
        <w:rPr>
          <w:rFonts w:hint="eastAsia"/>
          <w:b/>
          <w:bCs/>
          <w:color w:val="auto"/>
          <w:highlight w:val="none"/>
        </w:rPr>
      </w:pPr>
      <w:r>
        <w:rPr>
          <w:rFonts w:hint="eastAsia"/>
          <w:b/>
          <w:bCs/>
          <w:color w:val="auto"/>
          <w:highlight w:val="none"/>
        </w:rPr>
        <w:t>（请详细写明各成员职责分工，工程范围分工及界面分割，支付及履约等事项，特别注意招标公告资质，承担相应职责的成员单位应具备招标公告中要求的对应资质）</w:t>
      </w:r>
    </w:p>
    <w:p>
      <w:pPr>
        <w:tabs>
          <w:tab w:val="left" w:pos="925"/>
          <w:tab w:val="left" w:pos="8881"/>
        </w:tabs>
        <w:autoSpaceDE w:val="0"/>
        <w:autoSpaceDN w:val="0"/>
        <w:spacing w:line="276" w:lineRule="auto"/>
        <w:ind w:firstLine="420" w:firstLineChars="200"/>
        <w:rPr>
          <w:color w:val="auto"/>
          <w:spacing w:val="-3"/>
          <w:highlight w:val="none"/>
        </w:rPr>
      </w:pPr>
      <w:r>
        <w:rPr>
          <w:color w:val="auto"/>
          <w:highlight w:val="none"/>
        </w:rPr>
        <w:t xml:space="preserve">5. </w:t>
      </w:r>
      <w:r>
        <w:rPr>
          <w:color w:val="auto"/>
          <w:spacing w:val="-4"/>
          <w:highlight w:val="none"/>
        </w:rPr>
        <w:t>本协议书自所有成员单位法定代表人或其委托代理人签字或盖单位章之日起生效，合同</w:t>
      </w:r>
      <w:r>
        <w:rPr>
          <w:color w:val="auto"/>
          <w:spacing w:val="-3"/>
          <w:highlight w:val="none"/>
        </w:rPr>
        <w:t>履行完毕后自动失效。</w:t>
      </w:r>
    </w:p>
    <w:p>
      <w:pPr>
        <w:tabs>
          <w:tab w:val="left" w:pos="925"/>
          <w:tab w:val="left" w:pos="8881"/>
        </w:tabs>
        <w:autoSpaceDE w:val="0"/>
        <w:autoSpaceDN w:val="0"/>
        <w:spacing w:line="276" w:lineRule="auto"/>
        <w:ind w:firstLine="408" w:firstLineChars="200"/>
        <w:rPr>
          <w:color w:val="auto"/>
          <w:highlight w:val="none"/>
        </w:rPr>
      </w:pPr>
      <w:r>
        <w:rPr>
          <w:color w:val="auto"/>
          <w:spacing w:val="-3"/>
          <w:highlight w:val="none"/>
        </w:rPr>
        <w:t>6. 本</w:t>
      </w:r>
      <w:r>
        <w:rPr>
          <w:color w:val="auto"/>
          <w:highlight w:val="none"/>
        </w:rPr>
        <w:t>协</w:t>
      </w:r>
      <w:r>
        <w:rPr>
          <w:color w:val="auto"/>
          <w:spacing w:val="-3"/>
          <w:highlight w:val="none"/>
        </w:rPr>
        <w:t>议</w:t>
      </w:r>
      <w:r>
        <w:rPr>
          <w:color w:val="auto"/>
          <w:highlight w:val="none"/>
        </w:rPr>
        <w:t>一式</w:t>
      </w:r>
      <w:r>
        <w:rPr>
          <w:color w:val="auto"/>
          <w:spacing w:val="-3"/>
          <w:highlight w:val="none"/>
        </w:rPr>
        <w:t>份，</w:t>
      </w:r>
      <w:r>
        <w:rPr>
          <w:color w:val="auto"/>
          <w:highlight w:val="none"/>
        </w:rPr>
        <w:t>联合</w:t>
      </w:r>
      <w:r>
        <w:rPr>
          <w:color w:val="auto"/>
          <w:spacing w:val="-3"/>
          <w:highlight w:val="none"/>
        </w:rPr>
        <w:t>体</w:t>
      </w:r>
      <w:r>
        <w:rPr>
          <w:color w:val="auto"/>
          <w:highlight w:val="none"/>
        </w:rPr>
        <w:t>成</w:t>
      </w:r>
      <w:r>
        <w:rPr>
          <w:color w:val="auto"/>
          <w:spacing w:val="-3"/>
          <w:highlight w:val="none"/>
        </w:rPr>
        <w:t>员</w:t>
      </w:r>
      <w:r>
        <w:rPr>
          <w:color w:val="auto"/>
          <w:highlight w:val="none"/>
        </w:rPr>
        <w:t>和</w:t>
      </w:r>
      <w:r>
        <w:rPr>
          <w:color w:val="auto"/>
          <w:spacing w:val="-3"/>
          <w:highlight w:val="none"/>
        </w:rPr>
        <w:t>招</w:t>
      </w:r>
      <w:r>
        <w:rPr>
          <w:color w:val="auto"/>
          <w:highlight w:val="none"/>
        </w:rPr>
        <w:t>标</w:t>
      </w:r>
      <w:r>
        <w:rPr>
          <w:color w:val="auto"/>
          <w:spacing w:val="-3"/>
          <w:highlight w:val="none"/>
        </w:rPr>
        <w:t>人</w:t>
      </w:r>
      <w:r>
        <w:rPr>
          <w:color w:val="auto"/>
          <w:highlight w:val="none"/>
        </w:rPr>
        <w:t>各</w:t>
      </w:r>
      <w:r>
        <w:rPr>
          <w:color w:val="auto"/>
          <w:spacing w:val="-3"/>
          <w:highlight w:val="none"/>
        </w:rPr>
        <w:t>执</w:t>
      </w:r>
      <w:r>
        <w:rPr>
          <w:color w:val="auto"/>
          <w:highlight w:val="none"/>
        </w:rPr>
        <w:t>一份。</w:t>
      </w:r>
    </w:p>
    <w:p>
      <w:pPr>
        <w:tabs>
          <w:tab w:val="left" w:pos="925"/>
          <w:tab w:val="left" w:pos="8881"/>
        </w:tabs>
        <w:autoSpaceDE w:val="0"/>
        <w:autoSpaceDN w:val="0"/>
        <w:spacing w:line="276" w:lineRule="auto"/>
        <w:rPr>
          <w:color w:val="auto"/>
          <w:highlight w:val="none"/>
        </w:rPr>
      </w:pPr>
    </w:p>
    <w:p>
      <w:pPr>
        <w:tabs>
          <w:tab w:val="left" w:pos="925"/>
          <w:tab w:val="left" w:pos="8881"/>
        </w:tabs>
        <w:autoSpaceDE w:val="0"/>
        <w:autoSpaceDN w:val="0"/>
        <w:spacing w:line="276" w:lineRule="auto"/>
        <w:ind w:firstLine="420" w:firstLineChars="200"/>
        <w:rPr>
          <w:color w:val="auto"/>
          <w:highlight w:val="none"/>
        </w:rPr>
      </w:pPr>
      <w:r>
        <w:rPr>
          <w:color w:val="auto"/>
          <w:highlight w:val="none"/>
        </w:rPr>
        <w:t>注：本协议书由法定代表人签字的，应附法定代表人身份证明；由委托代理人签字的，应附授权委托书。</w:t>
      </w:r>
    </w:p>
    <w:p>
      <w:pPr>
        <w:pStyle w:val="6"/>
        <w:spacing w:before="7"/>
        <w:rPr>
          <w:color w:val="auto"/>
          <w:sz w:val="14"/>
          <w:highlight w:val="none"/>
        </w:rPr>
      </w:pPr>
    </w:p>
    <w:p>
      <w:pPr>
        <w:pStyle w:val="6"/>
        <w:tabs>
          <w:tab w:val="left" w:pos="7170"/>
        </w:tabs>
        <w:spacing w:before="1"/>
        <w:ind w:firstLine="659" w:firstLineChars="314"/>
        <w:jc w:val="right"/>
        <w:rPr>
          <w:color w:val="auto"/>
          <w:highlight w:val="none"/>
        </w:rPr>
      </w:pPr>
      <w:r>
        <w:rPr>
          <w:color w:val="auto"/>
          <w:highlight w:val="none"/>
        </w:rPr>
        <w:t>联合</w:t>
      </w:r>
      <w:r>
        <w:rPr>
          <w:color w:val="auto"/>
          <w:spacing w:val="-3"/>
          <w:highlight w:val="none"/>
        </w:rPr>
        <w:t>体</w:t>
      </w:r>
      <w:r>
        <w:rPr>
          <w:color w:val="auto"/>
          <w:highlight w:val="none"/>
        </w:rPr>
        <w:t>牵</w:t>
      </w:r>
      <w:r>
        <w:rPr>
          <w:color w:val="auto"/>
          <w:spacing w:val="-3"/>
          <w:highlight w:val="none"/>
        </w:rPr>
        <w:t>头</w:t>
      </w:r>
      <w:r>
        <w:rPr>
          <w:color w:val="auto"/>
          <w:highlight w:val="none"/>
        </w:rPr>
        <w:t>人</w:t>
      </w:r>
      <w:r>
        <w:rPr>
          <w:color w:val="auto"/>
          <w:spacing w:val="-3"/>
          <w:highlight w:val="none"/>
        </w:rPr>
        <w:t>名</w:t>
      </w:r>
      <w:r>
        <w:rPr>
          <w:color w:val="auto"/>
          <w:highlight w:val="none"/>
        </w:rPr>
        <w:t>称</w:t>
      </w:r>
      <w:r>
        <w:rPr>
          <w:color w:val="auto"/>
          <w:spacing w:val="-3"/>
          <w:highlight w:val="none"/>
        </w:rPr>
        <w:t>：</w:t>
      </w:r>
      <w:r>
        <w:rPr>
          <w:color w:val="auto"/>
          <w:highlight w:val="none"/>
        </w:rPr>
        <w:t>（盖</w:t>
      </w:r>
      <w:r>
        <w:rPr>
          <w:color w:val="auto"/>
          <w:spacing w:val="-3"/>
          <w:highlight w:val="none"/>
        </w:rPr>
        <w:t>单</w:t>
      </w:r>
      <w:r>
        <w:rPr>
          <w:color w:val="auto"/>
          <w:highlight w:val="none"/>
        </w:rPr>
        <w:t>位</w:t>
      </w:r>
      <w:r>
        <w:rPr>
          <w:color w:val="auto"/>
          <w:spacing w:val="-3"/>
          <w:highlight w:val="none"/>
        </w:rPr>
        <w:t>章</w:t>
      </w:r>
      <w:r>
        <w:rPr>
          <w:color w:val="auto"/>
          <w:highlight w:val="none"/>
        </w:rPr>
        <w:t>）</w:t>
      </w:r>
    </w:p>
    <w:p>
      <w:pPr>
        <w:pStyle w:val="6"/>
        <w:tabs>
          <w:tab w:val="left" w:pos="6541"/>
        </w:tabs>
        <w:spacing w:before="170"/>
        <w:ind w:right="210" w:firstLine="659" w:firstLineChars="314"/>
        <w:jc w:val="right"/>
        <w:rPr>
          <w:color w:val="auto"/>
          <w:highlight w:val="none"/>
        </w:rPr>
      </w:pPr>
      <w:r>
        <w:rPr>
          <w:color w:val="auto"/>
          <w:highlight w:val="none"/>
        </w:rPr>
        <w:t>法定</w:t>
      </w:r>
      <w:r>
        <w:rPr>
          <w:color w:val="auto"/>
          <w:spacing w:val="-3"/>
          <w:highlight w:val="none"/>
        </w:rPr>
        <w:t>代</w:t>
      </w:r>
      <w:r>
        <w:rPr>
          <w:color w:val="auto"/>
          <w:highlight w:val="none"/>
        </w:rPr>
        <w:t>表</w:t>
      </w:r>
      <w:r>
        <w:rPr>
          <w:color w:val="auto"/>
          <w:spacing w:val="-3"/>
          <w:highlight w:val="none"/>
        </w:rPr>
        <w:t>人</w:t>
      </w:r>
      <w:r>
        <w:rPr>
          <w:color w:val="auto"/>
          <w:highlight w:val="none"/>
        </w:rPr>
        <w:t>或</w:t>
      </w:r>
      <w:r>
        <w:rPr>
          <w:color w:val="auto"/>
          <w:spacing w:val="-3"/>
          <w:highlight w:val="none"/>
        </w:rPr>
        <w:t>其</w:t>
      </w:r>
      <w:r>
        <w:rPr>
          <w:color w:val="auto"/>
          <w:highlight w:val="none"/>
        </w:rPr>
        <w:t>委</w:t>
      </w:r>
      <w:r>
        <w:rPr>
          <w:color w:val="auto"/>
          <w:spacing w:val="-3"/>
          <w:highlight w:val="none"/>
        </w:rPr>
        <w:t>托</w:t>
      </w:r>
      <w:r>
        <w:rPr>
          <w:color w:val="auto"/>
          <w:highlight w:val="none"/>
        </w:rPr>
        <w:t>代</w:t>
      </w:r>
      <w:r>
        <w:rPr>
          <w:color w:val="auto"/>
          <w:spacing w:val="-3"/>
          <w:highlight w:val="none"/>
        </w:rPr>
        <w:t>理</w:t>
      </w:r>
      <w:r>
        <w:rPr>
          <w:color w:val="auto"/>
          <w:highlight w:val="none"/>
        </w:rPr>
        <w:t>人：（签</w:t>
      </w:r>
      <w:r>
        <w:rPr>
          <w:color w:val="auto"/>
          <w:spacing w:val="-3"/>
          <w:highlight w:val="none"/>
        </w:rPr>
        <w:t>字</w:t>
      </w:r>
      <w:r>
        <w:rPr>
          <w:color w:val="auto"/>
          <w:highlight w:val="none"/>
        </w:rPr>
        <w:t>）</w:t>
      </w:r>
    </w:p>
    <w:p>
      <w:pPr>
        <w:pStyle w:val="6"/>
        <w:spacing w:before="8"/>
        <w:ind w:firstLine="659" w:firstLineChars="314"/>
        <w:jc w:val="right"/>
        <w:rPr>
          <w:color w:val="auto"/>
          <w:highlight w:val="none"/>
        </w:rPr>
      </w:pPr>
    </w:p>
    <w:p>
      <w:pPr>
        <w:pStyle w:val="6"/>
        <w:tabs>
          <w:tab w:val="left" w:pos="7170"/>
        </w:tabs>
        <w:spacing w:before="79"/>
        <w:ind w:firstLine="659" w:firstLineChars="314"/>
        <w:jc w:val="right"/>
        <w:rPr>
          <w:color w:val="auto"/>
          <w:highlight w:val="none"/>
        </w:rPr>
      </w:pPr>
      <w:r>
        <w:rPr>
          <w:color w:val="auto"/>
          <w:highlight w:val="none"/>
        </w:rPr>
        <w:t>联合</w:t>
      </w:r>
      <w:r>
        <w:rPr>
          <w:color w:val="auto"/>
          <w:spacing w:val="-3"/>
          <w:highlight w:val="none"/>
        </w:rPr>
        <w:t>体</w:t>
      </w:r>
      <w:r>
        <w:rPr>
          <w:color w:val="auto"/>
          <w:highlight w:val="none"/>
        </w:rPr>
        <w:t>成</w:t>
      </w:r>
      <w:r>
        <w:rPr>
          <w:color w:val="auto"/>
          <w:spacing w:val="-3"/>
          <w:highlight w:val="none"/>
        </w:rPr>
        <w:t>员</w:t>
      </w:r>
      <w:r>
        <w:rPr>
          <w:color w:val="auto"/>
          <w:highlight w:val="none"/>
        </w:rPr>
        <w:t>名</w:t>
      </w:r>
      <w:r>
        <w:rPr>
          <w:color w:val="auto"/>
          <w:spacing w:val="-3"/>
          <w:highlight w:val="none"/>
        </w:rPr>
        <w:t>称</w:t>
      </w:r>
      <w:r>
        <w:rPr>
          <w:color w:val="auto"/>
          <w:highlight w:val="none"/>
        </w:rPr>
        <w:t>：（盖</w:t>
      </w:r>
      <w:r>
        <w:rPr>
          <w:color w:val="auto"/>
          <w:spacing w:val="-3"/>
          <w:highlight w:val="none"/>
        </w:rPr>
        <w:t>单</w:t>
      </w:r>
      <w:r>
        <w:rPr>
          <w:color w:val="auto"/>
          <w:highlight w:val="none"/>
        </w:rPr>
        <w:t>位</w:t>
      </w:r>
      <w:r>
        <w:rPr>
          <w:color w:val="auto"/>
          <w:spacing w:val="-3"/>
          <w:highlight w:val="none"/>
        </w:rPr>
        <w:t>章</w:t>
      </w:r>
      <w:r>
        <w:rPr>
          <w:color w:val="auto"/>
          <w:highlight w:val="none"/>
        </w:rPr>
        <w:t>）</w:t>
      </w:r>
    </w:p>
    <w:p>
      <w:pPr>
        <w:pStyle w:val="6"/>
        <w:tabs>
          <w:tab w:val="left" w:pos="6327"/>
        </w:tabs>
        <w:spacing w:before="170"/>
        <w:ind w:right="210" w:firstLine="659" w:firstLineChars="314"/>
        <w:jc w:val="right"/>
        <w:rPr>
          <w:color w:val="auto"/>
          <w:highlight w:val="none"/>
        </w:rPr>
      </w:pPr>
      <w:r>
        <w:rPr>
          <w:color w:val="auto"/>
          <w:highlight w:val="none"/>
        </w:rPr>
        <w:t>法定</w:t>
      </w:r>
      <w:r>
        <w:rPr>
          <w:color w:val="auto"/>
          <w:spacing w:val="-3"/>
          <w:highlight w:val="none"/>
        </w:rPr>
        <w:t>代</w:t>
      </w:r>
      <w:r>
        <w:rPr>
          <w:color w:val="auto"/>
          <w:highlight w:val="none"/>
        </w:rPr>
        <w:t>表</w:t>
      </w:r>
      <w:r>
        <w:rPr>
          <w:color w:val="auto"/>
          <w:spacing w:val="-3"/>
          <w:highlight w:val="none"/>
        </w:rPr>
        <w:t>人</w:t>
      </w:r>
      <w:r>
        <w:rPr>
          <w:color w:val="auto"/>
          <w:highlight w:val="none"/>
        </w:rPr>
        <w:t>或</w:t>
      </w:r>
      <w:r>
        <w:rPr>
          <w:color w:val="auto"/>
          <w:spacing w:val="-3"/>
          <w:highlight w:val="none"/>
        </w:rPr>
        <w:t>其</w:t>
      </w:r>
      <w:r>
        <w:rPr>
          <w:color w:val="auto"/>
          <w:highlight w:val="none"/>
        </w:rPr>
        <w:t>委</w:t>
      </w:r>
      <w:r>
        <w:rPr>
          <w:color w:val="auto"/>
          <w:spacing w:val="-3"/>
          <w:highlight w:val="none"/>
        </w:rPr>
        <w:t>托</w:t>
      </w:r>
      <w:r>
        <w:rPr>
          <w:color w:val="auto"/>
          <w:highlight w:val="none"/>
        </w:rPr>
        <w:t>代</w:t>
      </w:r>
      <w:r>
        <w:rPr>
          <w:color w:val="auto"/>
          <w:spacing w:val="-3"/>
          <w:highlight w:val="none"/>
        </w:rPr>
        <w:t>理</w:t>
      </w:r>
      <w:r>
        <w:rPr>
          <w:color w:val="auto"/>
          <w:highlight w:val="none"/>
        </w:rPr>
        <w:t>人：（</w:t>
      </w:r>
      <w:r>
        <w:rPr>
          <w:color w:val="auto"/>
          <w:spacing w:val="-3"/>
          <w:highlight w:val="none"/>
        </w:rPr>
        <w:t>签</w:t>
      </w:r>
      <w:r>
        <w:rPr>
          <w:color w:val="auto"/>
          <w:highlight w:val="none"/>
        </w:rPr>
        <w:t>字）</w:t>
      </w:r>
    </w:p>
    <w:p>
      <w:pPr>
        <w:pStyle w:val="6"/>
        <w:spacing w:before="8"/>
        <w:ind w:firstLine="659" w:firstLineChars="314"/>
        <w:jc w:val="right"/>
        <w:rPr>
          <w:color w:val="auto"/>
          <w:highlight w:val="none"/>
        </w:rPr>
      </w:pPr>
    </w:p>
    <w:p>
      <w:pPr>
        <w:pStyle w:val="6"/>
        <w:spacing w:before="187"/>
        <w:ind w:firstLine="3486" w:firstLineChars="1660"/>
        <w:rPr>
          <w:color w:val="auto"/>
          <w:highlight w:val="none"/>
        </w:rPr>
      </w:pPr>
    </w:p>
    <w:p>
      <w:pPr>
        <w:widowControl/>
        <w:jc w:val="right"/>
        <w:rPr>
          <w:color w:val="auto"/>
          <w:highlight w:val="none"/>
        </w:rPr>
      </w:pPr>
      <w:r>
        <w:rPr>
          <w:color w:val="auto"/>
          <w:highlight w:val="none"/>
        </w:rPr>
        <w:t>年     月     日</w:t>
      </w:r>
    </w:p>
    <w:p>
      <w:pPr>
        <w:pStyle w:val="17"/>
        <w:rPr>
          <w:rFonts w:hint="eastAsia"/>
          <w:color w:val="auto"/>
          <w:highlight w:val="none"/>
        </w:rPr>
      </w:pPr>
    </w:p>
    <w:p>
      <w:pP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br w:type="page"/>
      </w:r>
    </w:p>
    <w:p>
      <w:pPr>
        <w:widowControl/>
        <w:jc w:val="left"/>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4.投标人与国家电网公司系统人员关系说明</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szCs w:val="21"/>
          <w:highlight w:val="none"/>
        </w:rPr>
      </w:pPr>
      <w:r>
        <w:rPr>
          <w:rFonts w:eastAsiaTheme="minorEastAsia" w:cstheme="minorBidi"/>
          <w:color w:val="auto"/>
          <w:spacing w:val="-4"/>
          <w:szCs w:val="21"/>
          <w:highlight w:val="none"/>
        </w:rPr>
        <w:t>【1.不存在相关情形的适用】</w:t>
      </w:r>
      <w:r>
        <w:rPr>
          <w:rFonts w:asciiTheme="minorHAnsi" w:hAnsiTheme="minorHAnsi" w:eastAsiaTheme="minorEastAsia" w:cstheme="minorBidi"/>
          <w:color w:val="auto"/>
          <w:spacing w:val="-4"/>
          <w:szCs w:val="21"/>
          <w:highlight w:val="none"/>
        </w:rPr>
        <w:t>截至投标截止日，本企业法人、出资人、高管中，不存在国家电网公司系统在职、离职、退休人员及</w:t>
      </w:r>
      <w:r>
        <w:rPr>
          <w:rFonts w:eastAsiaTheme="minorEastAsia" w:cstheme="minorBidi"/>
          <w:color w:val="auto"/>
          <w:spacing w:val="-4"/>
          <w:szCs w:val="21"/>
          <w:highlight w:val="none"/>
        </w:rPr>
        <w:t>其</w:t>
      </w:r>
      <w:r>
        <w:rPr>
          <w:rFonts w:asciiTheme="minorHAnsi" w:hAnsiTheme="minorHAnsi" w:eastAsiaTheme="minorEastAsia" w:cstheme="minorBidi"/>
          <w:color w:val="auto"/>
          <w:spacing w:val="-4"/>
          <w:szCs w:val="21"/>
          <w:highlight w:val="none"/>
        </w:rPr>
        <w:t>亲属（配偶、子女及其配偶）担任职务、投资入股，或者从事、代理与原任职企业经营业务相关的经营活动。</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szCs w:val="21"/>
          <w:highlight w:val="none"/>
        </w:rPr>
      </w:pPr>
      <w:r>
        <w:rPr>
          <w:rFonts w:eastAsiaTheme="minorEastAsia" w:cstheme="minorBidi"/>
          <w:color w:val="auto"/>
          <w:spacing w:val="-4"/>
          <w:szCs w:val="21"/>
          <w:highlight w:val="none"/>
        </w:rPr>
        <w:t>（1）</w:t>
      </w:r>
      <w:r>
        <w:rPr>
          <w:rFonts w:asciiTheme="minorHAnsi" w:hAnsiTheme="minorHAnsi" w:eastAsiaTheme="minorEastAsia" w:cstheme="minorBidi"/>
          <w:color w:val="auto"/>
          <w:spacing w:val="-4"/>
          <w:szCs w:val="21"/>
          <w:highlight w:val="none"/>
        </w:rPr>
        <w:t>上传路径：投标工具-商务文件-选择分标-按钮“编辑”-页签“商务部分（附加）”-按钮“维护”</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szCs w:val="21"/>
          <w:highlight w:val="none"/>
        </w:rPr>
      </w:pPr>
      <w:r>
        <w:rPr>
          <w:rFonts w:eastAsiaTheme="minorEastAsia" w:cstheme="minorBidi"/>
          <w:color w:val="auto"/>
          <w:spacing w:val="-4"/>
          <w:szCs w:val="21"/>
          <w:highlight w:val="none"/>
        </w:rPr>
        <w:t>（2）</w:t>
      </w:r>
      <w:r>
        <w:rPr>
          <w:rFonts w:asciiTheme="minorHAnsi" w:hAnsiTheme="minorHAnsi" w:eastAsiaTheme="minorEastAsia" w:cstheme="minorBidi"/>
          <w:color w:val="auto"/>
          <w:spacing w:val="-4"/>
          <w:szCs w:val="21"/>
          <w:highlight w:val="none"/>
        </w:rPr>
        <w:t>格式要求：</w:t>
      </w:r>
      <w:r>
        <w:rPr>
          <w:rFonts w:eastAsiaTheme="minorEastAsia" w:cstheme="minorBidi"/>
          <w:color w:val="auto"/>
          <w:spacing w:val="-4"/>
          <w:szCs w:val="21"/>
          <w:highlight w:val="none"/>
        </w:rPr>
        <w:t>选择“不存在”，并上传说明，格式如上。</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szCs w:val="21"/>
          <w:highlight w:val="none"/>
        </w:rPr>
      </w:pPr>
      <w:r>
        <w:rPr>
          <w:rFonts w:eastAsiaTheme="minorEastAsia" w:cstheme="minorBidi"/>
          <w:color w:val="auto"/>
          <w:spacing w:val="-4"/>
          <w:szCs w:val="21"/>
          <w:highlight w:val="none"/>
        </w:rPr>
        <w:t>【2.存在相关情形的适用】</w:t>
      </w:r>
      <w:r>
        <w:rPr>
          <w:rFonts w:asciiTheme="minorHAnsi" w:hAnsiTheme="minorHAnsi" w:eastAsiaTheme="minorEastAsia" w:cstheme="minorBidi"/>
          <w:color w:val="auto"/>
          <w:spacing w:val="-4"/>
          <w:szCs w:val="21"/>
          <w:highlight w:val="none"/>
        </w:rPr>
        <w:t>截至投标截止日，本企业法人、出资人、高管中，存在国家电网公司系统在职、离职、退休人员及</w:t>
      </w:r>
      <w:r>
        <w:rPr>
          <w:rFonts w:eastAsiaTheme="minorEastAsia" w:cstheme="minorBidi"/>
          <w:color w:val="auto"/>
          <w:spacing w:val="-4"/>
          <w:szCs w:val="21"/>
          <w:highlight w:val="none"/>
        </w:rPr>
        <w:t>其</w:t>
      </w:r>
      <w:r>
        <w:rPr>
          <w:rFonts w:asciiTheme="minorHAnsi" w:hAnsiTheme="minorHAnsi" w:eastAsiaTheme="minorEastAsia" w:cstheme="minorBidi"/>
          <w:color w:val="auto"/>
          <w:spacing w:val="-4"/>
          <w:szCs w:val="21"/>
          <w:highlight w:val="none"/>
        </w:rPr>
        <w:t>亲属（配偶、子女及其配偶）担任职务、投资入股，或者从事、代理与原任职企业经营业务相关的经营活动。</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szCs w:val="21"/>
          <w:highlight w:val="none"/>
        </w:rPr>
      </w:pPr>
      <w:r>
        <w:rPr>
          <w:rFonts w:eastAsiaTheme="minorEastAsia" w:cstheme="minorBidi"/>
          <w:color w:val="auto"/>
          <w:spacing w:val="-4"/>
          <w:szCs w:val="21"/>
          <w:highlight w:val="none"/>
        </w:rPr>
        <w:t>（1）</w:t>
      </w:r>
      <w:r>
        <w:rPr>
          <w:rFonts w:asciiTheme="minorHAnsi" w:hAnsiTheme="minorHAnsi" w:eastAsiaTheme="minorEastAsia" w:cstheme="minorBidi"/>
          <w:color w:val="auto"/>
          <w:spacing w:val="-4"/>
          <w:szCs w:val="21"/>
          <w:highlight w:val="none"/>
        </w:rPr>
        <w:t>上传路径：投标工具-商务文件-选择分标-按钮“编辑”-页签“商务部分（附加）”-按钮“维护”</w:t>
      </w:r>
    </w:p>
    <w:p>
      <w:pPr>
        <w:tabs>
          <w:tab w:val="left" w:pos="925"/>
          <w:tab w:val="left" w:pos="8881"/>
        </w:tabs>
        <w:autoSpaceDE w:val="0"/>
        <w:autoSpaceDN w:val="0"/>
        <w:adjustRightInd w:val="0"/>
        <w:snapToGrid w:val="0"/>
        <w:spacing w:line="276" w:lineRule="auto"/>
        <w:ind w:firstLine="404" w:firstLineChars="200"/>
        <w:rPr>
          <w:rFonts w:asciiTheme="minorHAnsi" w:hAnsiTheme="minorHAnsi" w:eastAsiaTheme="minorEastAsia" w:cstheme="minorBidi"/>
          <w:color w:val="auto"/>
          <w:spacing w:val="-4"/>
          <w:szCs w:val="21"/>
          <w:highlight w:val="none"/>
        </w:rPr>
      </w:pPr>
      <w:r>
        <w:rPr>
          <w:rFonts w:eastAsiaTheme="minorEastAsia" w:cstheme="minorBidi"/>
          <w:color w:val="auto"/>
          <w:spacing w:val="-4"/>
          <w:szCs w:val="21"/>
          <w:highlight w:val="none"/>
        </w:rPr>
        <w:t>（2）</w:t>
      </w:r>
      <w:r>
        <w:rPr>
          <w:rFonts w:asciiTheme="minorHAnsi" w:hAnsiTheme="minorHAnsi" w:eastAsiaTheme="minorEastAsia" w:cstheme="minorBidi"/>
          <w:color w:val="auto"/>
          <w:spacing w:val="-4"/>
          <w:szCs w:val="21"/>
          <w:highlight w:val="none"/>
        </w:rPr>
        <w:t>格式要求：选择</w:t>
      </w:r>
      <w:r>
        <w:rPr>
          <w:rFonts w:eastAsiaTheme="minorEastAsia" w:cstheme="minorBidi"/>
          <w:color w:val="auto"/>
          <w:spacing w:val="-4"/>
          <w:szCs w:val="21"/>
          <w:highlight w:val="none"/>
        </w:rPr>
        <w:t>“</w:t>
      </w:r>
      <w:r>
        <w:rPr>
          <w:rFonts w:asciiTheme="minorHAnsi" w:hAnsiTheme="minorHAnsi" w:eastAsiaTheme="minorEastAsia" w:cstheme="minorBidi"/>
          <w:color w:val="auto"/>
          <w:spacing w:val="-4"/>
          <w:szCs w:val="21"/>
          <w:highlight w:val="none"/>
        </w:rPr>
        <w:t>存在</w:t>
      </w:r>
      <w:r>
        <w:rPr>
          <w:rFonts w:eastAsiaTheme="minorEastAsia" w:cstheme="minorBidi"/>
          <w:color w:val="auto"/>
          <w:spacing w:val="-4"/>
          <w:szCs w:val="21"/>
          <w:highlight w:val="none"/>
        </w:rPr>
        <w:t>”</w:t>
      </w:r>
      <w:r>
        <w:rPr>
          <w:rFonts w:asciiTheme="minorHAnsi" w:hAnsiTheme="minorHAnsi" w:eastAsiaTheme="minorEastAsia" w:cstheme="minorBidi"/>
          <w:color w:val="auto"/>
          <w:spacing w:val="-4"/>
          <w:szCs w:val="21"/>
          <w:highlight w:val="none"/>
        </w:rPr>
        <w:t>，并填写上传</w:t>
      </w:r>
      <w:r>
        <w:rPr>
          <w:rFonts w:eastAsiaTheme="minorEastAsia" w:cstheme="minorBidi"/>
          <w:color w:val="auto"/>
          <w:spacing w:val="-4"/>
          <w:szCs w:val="21"/>
          <w:highlight w:val="none"/>
        </w:rPr>
        <w:t>可编辑版EXCEL</w:t>
      </w:r>
      <w:r>
        <w:rPr>
          <w:rFonts w:asciiTheme="minorHAnsi" w:hAnsiTheme="minorHAnsi" w:eastAsiaTheme="minorEastAsia" w:cstheme="minorBidi"/>
          <w:color w:val="auto"/>
          <w:spacing w:val="-4"/>
          <w:szCs w:val="21"/>
          <w:highlight w:val="none"/>
        </w:rPr>
        <w:t>说明表</w:t>
      </w:r>
      <w:r>
        <w:rPr>
          <w:rFonts w:eastAsiaTheme="minorEastAsia" w:cstheme="minorBidi"/>
          <w:color w:val="auto"/>
          <w:spacing w:val="-4"/>
          <w:szCs w:val="21"/>
          <w:highlight w:val="none"/>
        </w:rPr>
        <w:t>（请勿保护工作表）</w:t>
      </w:r>
      <w:r>
        <w:rPr>
          <w:rFonts w:asciiTheme="minorHAnsi" w:hAnsiTheme="minorHAnsi" w:eastAsiaTheme="minorEastAsia" w:cstheme="minorBidi"/>
          <w:color w:val="auto"/>
          <w:spacing w:val="-4"/>
          <w:szCs w:val="21"/>
          <w:highlight w:val="none"/>
        </w:rPr>
        <w:t>，格式</w:t>
      </w:r>
      <w:r>
        <w:rPr>
          <w:rFonts w:eastAsiaTheme="minorEastAsia" w:cstheme="minorBidi"/>
          <w:color w:val="auto"/>
          <w:spacing w:val="-4"/>
          <w:szCs w:val="21"/>
          <w:highlight w:val="none"/>
        </w:rPr>
        <w:t>见</w:t>
      </w:r>
      <w:r>
        <w:rPr>
          <w:rFonts w:asciiTheme="minorHAnsi" w:hAnsiTheme="minorHAnsi" w:eastAsiaTheme="minorEastAsia" w:cstheme="minorBidi"/>
          <w:color w:val="auto"/>
          <w:spacing w:val="-4"/>
          <w:szCs w:val="21"/>
          <w:highlight w:val="none"/>
        </w:rPr>
        <w:t>如下</w:t>
      </w:r>
      <w:r>
        <w:rPr>
          <w:rFonts w:eastAsiaTheme="minorEastAsia" w:cstheme="minorBidi"/>
          <w:color w:val="auto"/>
          <w:spacing w:val="-4"/>
          <w:szCs w:val="21"/>
          <w:highlight w:val="none"/>
        </w:rPr>
        <w:t>压缩包文件</w:t>
      </w:r>
      <w:r>
        <w:rPr>
          <w:rFonts w:asciiTheme="minorHAnsi" w:hAnsiTheme="minorHAnsi" w:eastAsiaTheme="minorEastAsia" w:cstheme="minorBidi"/>
          <w:color w:val="auto"/>
          <w:spacing w:val="-4"/>
          <w:szCs w:val="21"/>
          <w:highlight w:val="none"/>
        </w:rPr>
        <w:t>：</w:t>
      </w:r>
    </w:p>
    <w:p>
      <w:pPr>
        <w:pStyle w:val="34"/>
        <w:widowControl w:val="0"/>
        <w:adjustRightInd w:val="0"/>
        <w:snapToGrid w:val="0"/>
        <w:spacing w:line="580" w:lineRule="atLeast"/>
        <w:ind w:firstLine="560" w:firstLineChars="200"/>
        <w:rPr>
          <w:rFonts w:ascii="Times New Roman" w:hAnsi="Times New Roman" w:eastAsia="仿宋_GB2312"/>
          <w:snapToGrid w:val="0"/>
          <w:color w:val="auto"/>
          <w:sz w:val="28"/>
          <w:szCs w:val="28"/>
          <w:highlight w:val="none"/>
        </w:rPr>
      </w:pPr>
      <w:r>
        <w:rPr>
          <w:rFonts w:hint="eastAsia" w:ascii="Times New Roman" w:hAnsi="Times New Roman" w:eastAsia="仿宋_GB2312"/>
          <w:snapToGrid w:val="0"/>
          <w:color w:val="auto"/>
          <w:sz w:val="28"/>
          <w:szCs w:val="28"/>
          <w:highlight w:val="none"/>
        </w:rPr>
        <w:object>
          <v:shape id="_x0000_i1026" o:spt="75" type="#_x0000_t75" style="height:25.25pt;width:127.45pt;" o:ole="t" filled="f" o:preferrelative="t" stroked="f" coordsize="21600,21600">
            <v:path/>
            <v:fill on="f" focussize="0,0"/>
            <v:stroke on="f"/>
            <v:imagedata r:id="rId19" o:title=""/>
            <o:lock v:ext="edit" aspectratio="t"/>
            <w10:wrap type="none"/>
            <w10:anchorlock/>
          </v:shape>
          <o:OLEObject Type="Embed" ProgID="Package" ShapeID="_x0000_i1026" DrawAspect="Content" ObjectID="_1468075726" r:id="rId18">
            <o:LockedField>false</o:LockedField>
          </o:OLEObject>
        </w:object>
      </w:r>
    </w:p>
    <w:p>
      <w:pPr>
        <w:pStyle w:val="34"/>
        <w:widowControl w:val="0"/>
        <w:adjustRightInd w:val="0"/>
        <w:snapToGrid w:val="0"/>
        <w:spacing w:line="580" w:lineRule="exact"/>
        <w:ind w:firstLine="606" w:firstLineChars="300"/>
        <w:rPr>
          <w:rFonts w:asciiTheme="minorHAnsi" w:hAnsiTheme="minorHAnsi" w:eastAsiaTheme="minorEastAsia" w:cstheme="minorBidi"/>
          <w:color w:val="auto"/>
          <w:spacing w:val="-4"/>
          <w:kern w:val="2"/>
          <w:szCs w:val="24"/>
          <w:highlight w:val="none"/>
        </w:rPr>
      </w:pPr>
      <w:r>
        <w:rPr>
          <w:rFonts w:eastAsiaTheme="minorEastAsia" w:cstheme="minorBidi"/>
          <w:color w:val="auto"/>
          <w:spacing w:val="-4"/>
          <w:kern w:val="2"/>
          <w:szCs w:val="24"/>
          <w:highlight w:val="none"/>
        </w:rPr>
        <w:t>（3）填写示例：</w:t>
      </w:r>
    </w:p>
    <w:tbl>
      <w:tblPr>
        <w:tblStyle w:val="19"/>
        <w:tblW w:w="4998" w:type="pct"/>
        <w:tblInd w:w="0" w:type="dxa"/>
        <w:tblLayout w:type="autofit"/>
        <w:tblCellMar>
          <w:top w:w="0" w:type="dxa"/>
          <w:left w:w="108" w:type="dxa"/>
          <w:bottom w:w="0" w:type="dxa"/>
          <w:right w:w="108" w:type="dxa"/>
        </w:tblCellMar>
      </w:tblPr>
      <w:tblGrid>
        <w:gridCol w:w="530"/>
        <w:gridCol w:w="530"/>
        <w:gridCol w:w="373"/>
        <w:gridCol w:w="530"/>
        <w:gridCol w:w="373"/>
        <w:gridCol w:w="530"/>
        <w:gridCol w:w="1080"/>
        <w:gridCol w:w="530"/>
        <w:gridCol w:w="373"/>
        <w:gridCol w:w="530"/>
        <w:gridCol w:w="923"/>
        <w:gridCol w:w="373"/>
        <w:gridCol w:w="1119"/>
        <w:gridCol w:w="728"/>
      </w:tblGrid>
      <w:tr>
        <w:tblPrEx>
          <w:tblCellMar>
            <w:top w:w="0" w:type="dxa"/>
            <w:left w:w="108" w:type="dxa"/>
            <w:bottom w:w="0" w:type="dxa"/>
            <w:right w:w="108" w:type="dxa"/>
          </w:tblCellMar>
        </w:tblPrEx>
        <w:trPr>
          <w:trHeight w:val="290" w:hRule="atLeast"/>
        </w:trPr>
        <w:tc>
          <w:tcPr>
            <w:tcW w:w="342" w:type="pct"/>
            <w:vMerge w:val="restar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企业名称</w:t>
            </w:r>
          </w:p>
        </w:tc>
        <w:tc>
          <w:tcPr>
            <w:tcW w:w="2306"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本企业人员基本信息</w:t>
            </w:r>
          </w:p>
        </w:tc>
        <w:tc>
          <w:tcPr>
            <w:tcW w:w="2351"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国家电网公司系统人员基本信息</w:t>
            </w:r>
          </w:p>
        </w:tc>
      </w:tr>
      <w:tr>
        <w:tblPrEx>
          <w:tblCellMar>
            <w:top w:w="0" w:type="dxa"/>
            <w:left w:w="108" w:type="dxa"/>
            <w:bottom w:w="0" w:type="dxa"/>
            <w:right w:w="108" w:type="dxa"/>
          </w:tblCellMar>
        </w:tblPrEx>
        <w:trPr>
          <w:trHeight w:val="1134" w:hRule="atLeast"/>
        </w:trPr>
        <w:tc>
          <w:tcPr>
            <w:tcW w:w="342"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cs="宋体"/>
                <w:color w:val="auto"/>
                <w:kern w:val="0"/>
                <w:sz w:val="18"/>
                <w:szCs w:val="18"/>
                <w:highlight w:val="none"/>
              </w:rPr>
            </w:pPr>
          </w:p>
        </w:tc>
        <w:tc>
          <w:tcPr>
            <w:tcW w:w="29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人员姓名</w:t>
            </w:r>
          </w:p>
        </w:tc>
        <w:tc>
          <w:tcPr>
            <w:tcW w:w="29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性别</w:t>
            </w:r>
          </w:p>
        </w:tc>
        <w:tc>
          <w:tcPr>
            <w:tcW w:w="40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身份证号</w:t>
            </w:r>
          </w:p>
        </w:tc>
        <w:tc>
          <w:tcPr>
            <w:tcW w:w="34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职务</w:t>
            </w:r>
          </w:p>
        </w:tc>
        <w:tc>
          <w:tcPr>
            <w:tcW w:w="453"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任职时间</w:t>
            </w:r>
          </w:p>
        </w:tc>
        <w:tc>
          <w:tcPr>
            <w:tcW w:w="50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与国网公司系统人员关系</w:t>
            </w:r>
          </w:p>
        </w:tc>
        <w:tc>
          <w:tcPr>
            <w:tcW w:w="243"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人员姓名</w:t>
            </w:r>
          </w:p>
        </w:tc>
        <w:tc>
          <w:tcPr>
            <w:tcW w:w="23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性别</w:t>
            </w:r>
          </w:p>
        </w:tc>
        <w:tc>
          <w:tcPr>
            <w:tcW w:w="30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身份证号</w:t>
            </w:r>
          </w:p>
        </w:tc>
        <w:tc>
          <w:tcPr>
            <w:tcW w:w="36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（曾）任职单位名称</w:t>
            </w:r>
          </w:p>
        </w:tc>
        <w:tc>
          <w:tcPr>
            <w:tcW w:w="34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职务</w:t>
            </w:r>
          </w:p>
        </w:tc>
        <w:tc>
          <w:tcPr>
            <w:tcW w:w="46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任职状态（在职/非在职）</w:t>
            </w:r>
          </w:p>
        </w:tc>
        <w:tc>
          <w:tcPr>
            <w:tcW w:w="38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离职/退休时间</w:t>
            </w:r>
          </w:p>
        </w:tc>
      </w:tr>
      <w:tr>
        <w:tblPrEx>
          <w:tblCellMar>
            <w:top w:w="0" w:type="dxa"/>
            <w:left w:w="108" w:type="dxa"/>
            <w:bottom w:w="0" w:type="dxa"/>
            <w:right w:w="108" w:type="dxa"/>
          </w:tblCellMar>
        </w:tblPrEx>
        <w:trPr>
          <w:trHeight w:val="585" w:hRule="atLeast"/>
        </w:trPr>
        <w:tc>
          <w:tcPr>
            <w:tcW w:w="34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xxx公司</w:t>
            </w:r>
          </w:p>
        </w:tc>
        <w:tc>
          <w:tcPr>
            <w:tcW w:w="29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张三</w:t>
            </w:r>
          </w:p>
        </w:tc>
        <w:tc>
          <w:tcPr>
            <w:tcW w:w="29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男</w:t>
            </w:r>
          </w:p>
        </w:tc>
        <w:tc>
          <w:tcPr>
            <w:tcW w:w="401"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xxxxxxx</w:t>
            </w:r>
          </w:p>
        </w:tc>
        <w:tc>
          <w:tcPr>
            <w:tcW w:w="34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董事长</w:t>
            </w:r>
          </w:p>
        </w:tc>
        <w:tc>
          <w:tcPr>
            <w:tcW w:w="453"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202x.x.x至今</w:t>
            </w:r>
          </w:p>
        </w:tc>
        <w:tc>
          <w:tcPr>
            <w:tcW w:w="50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本人</w:t>
            </w:r>
          </w:p>
        </w:tc>
        <w:tc>
          <w:tcPr>
            <w:tcW w:w="2351" w:type="pct"/>
            <w:gridSpan w:val="7"/>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国家电网公司组织批准和委派行为</w:t>
            </w:r>
          </w:p>
        </w:tc>
      </w:tr>
      <w:tr>
        <w:tblPrEx>
          <w:tblCellMar>
            <w:top w:w="0" w:type="dxa"/>
            <w:left w:w="108" w:type="dxa"/>
            <w:bottom w:w="0" w:type="dxa"/>
            <w:right w:w="108" w:type="dxa"/>
          </w:tblCellMar>
        </w:tblPrEx>
        <w:trPr>
          <w:trHeight w:val="788" w:hRule="atLeast"/>
        </w:trPr>
        <w:tc>
          <w:tcPr>
            <w:tcW w:w="34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xxx公司</w:t>
            </w:r>
          </w:p>
        </w:tc>
        <w:tc>
          <w:tcPr>
            <w:tcW w:w="29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李四</w:t>
            </w:r>
          </w:p>
        </w:tc>
        <w:tc>
          <w:tcPr>
            <w:tcW w:w="29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女</w:t>
            </w:r>
          </w:p>
        </w:tc>
        <w:tc>
          <w:tcPr>
            <w:tcW w:w="401"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xxxxxxx</w:t>
            </w:r>
          </w:p>
        </w:tc>
        <w:tc>
          <w:tcPr>
            <w:tcW w:w="342"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法人</w:t>
            </w:r>
          </w:p>
        </w:tc>
        <w:tc>
          <w:tcPr>
            <w:tcW w:w="453"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202x.x.x至今</w:t>
            </w:r>
          </w:p>
        </w:tc>
        <w:tc>
          <w:tcPr>
            <w:tcW w:w="509"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配偶</w:t>
            </w:r>
          </w:p>
        </w:tc>
        <w:tc>
          <w:tcPr>
            <w:tcW w:w="243"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王五</w:t>
            </w:r>
          </w:p>
        </w:tc>
        <w:tc>
          <w:tcPr>
            <w:tcW w:w="238"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男</w:t>
            </w:r>
          </w:p>
        </w:tc>
        <w:tc>
          <w:tcPr>
            <w:tcW w:w="305"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xxxxxxx</w:t>
            </w:r>
          </w:p>
        </w:tc>
        <w:tc>
          <w:tcPr>
            <w:tcW w:w="365"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国网xxxx公司</w:t>
            </w:r>
          </w:p>
        </w:tc>
        <w:tc>
          <w:tcPr>
            <w:tcW w:w="345"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xx部门主任</w:t>
            </w:r>
          </w:p>
        </w:tc>
        <w:tc>
          <w:tcPr>
            <w:tcW w:w="467"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非在职</w:t>
            </w:r>
          </w:p>
        </w:tc>
        <w:tc>
          <w:tcPr>
            <w:tcW w:w="386"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i/>
                <w:iCs/>
                <w:color w:val="auto"/>
                <w:kern w:val="0"/>
                <w:sz w:val="18"/>
                <w:szCs w:val="18"/>
                <w:highlight w:val="none"/>
              </w:rPr>
            </w:pPr>
            <w:r>
              <w:rPr>
                <w:rFonts w:hint="eastAsia" w:ascii="宋体" w:hAnsi="宋体" w:cs="宋体"/>
                <w:i/>
                <w:iCs/>
                <w:color w:val="auto"/>
                <w:kern w:val="0"/>
                <w:sz w:val="18"/>
                <w:szCs w:val="18"/>
                <w:highlight w:val="none"/>
              </w:rPr>
              <w:t>2022.6.30退休</w:t>
            </w:r>
          </w:p>
        </w:tc>
      </w:tr>
      <w:tr>
        <w:tblPrEx>
          <w:tblCellMar>
            <w:top w:w="0" w:type="dxa"/>
            <w:left w:w="108" w:type="dxa"/>
            <w:bottom w:w="0" w:type="dxa"/>
            <w:right w:w="108" w:type="dxa"/>
          </w:tblCellMar>
        </w:tblPrEx>
        <w:trPr>
          <w:trHeight w:val="232" w:hRule="atLeast"/>
        </w:trPr>
        <w:tc>
          <w:tcPr>
            <w:tcW w:w="34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cs="宋体"/>
                <w:color w:val="auto"/>
                <w:kern w:val="0"/>
                <w:sz w:val="18"/>
                <w:szCs w:val="18"/>
                <w:highlight w:val="none"/>
              </w:rPr>
            </w:pPr>
          </w:p>
        </w:tc>
        <w:tc>
          <w:tcPr>
            <w:tcW w:w="29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29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40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4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453"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50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243"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23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0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6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45"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46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c>
          <w:tcPr>
            <w:tcW w:w="38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cs="宋体"/>
                <w:color w:val="auto"/>
                <w:kern w:val="0"/>
                <w:sz w:val="18"/>
                <w:szCs w:val="18"/>
                <w:highlight w:val="none"/>
              </w:rPr>
            </w:pPr>
          </w:p>
        </w:tc>
      </w:tr>
      <w:tr>
        <w:tblPrEx>
          <w:tblCellMar>
            <w:top w:w="0" w:type="dxa"/>
            <w:left w:w="108" w:type="dxa"/>
            <w:bottom w:w="0" w:type="dxa"/>
            <w:right w:w="108" w:type="dxa"/>
          </w:tblCellMar>
        </w:tblPrEx>
        <w:trPr>
          <w:trHeight w:val="1763" w:hRule="atLeast"/>
        </w:trPr>
        <w:tc>
          <w:tcPr>
            <w:tcW w:w="5000" w:type="pct"/>
            <w:gridSpan w:val="14"/>
            <w:tcBorders>
              <w:top w:val="single" w:color="000000" w:sz="4" w:space="0"/>
              <w:left w:val="single" w:color="000000" w:sz="4" w:space="0"/>
              <w:bottom w:val="single" w:color="000000" w:sz="4" w:space="0"/>
              <w:right w:val="single" w:color="000000" w:sz="4" w:space="0"/>
            </w:tcBorders>
          </w:tcPr>
          <w:p>
            <w:pPr>
              <w:widowControl/>
              <w:rPr>
                <w:rFonts w:ascii="宋体" w:hAnsi="宋体" w:cs="宋体"/>
                <w:color w:val="auto"/>
                <w:kern w:val="0"/>
                <w:sz w:val="18"/>
                <w:szCs w:val="18"/>
                <w:highlight w:val="none"/>
              </w:rPr>
            </w:pPr>
            <w:r>
              <w:rPr>
                <w:rFonts w:hint="eastAsia" w:ascii="宋体" w:hAnsi="宋体" w:cs="宋体"/>
                <w:color w:val="auto"/>
                <w:kern w:val="0"/>
                <w:sz w:val="18"/>
                <w:szCs w:val="18"/>
                <w:highlight w:val="none"/>
              </w:rPr>
              <w:t>1.本表的人员只统计企业法人、出资人、高管涉及的具体情形。高管指公司的经理、副经理、财务负责人，上市公司董事会秘书等人员。</w:t>
            </w:r>
            <w:r>
              <w:rPr>
                <w:rFonts w:hint="eastAsia" w:ascii="宋体" w:hAnsi="宋体" w:cs="宋体"/>
                <w:color w:val="auto"/>
                <w:kern w:val="0"/>
                <w:sz w:val="18"/>
                <w:szCs w:val="18"/>
                <w:highlight w:val="none"/>
              </w:rPr>
              <w:br w:type="textWrapping"/>
            </w:r>
            <w:r>
              <w:rPr>
                <w:rFonts w:hint="eastAsia" w:ascii="宋体" w:hAnsi="宋体" w:cs="宋体"/>
                <w:color w:val="auto"/>
                <w:kern w:val="0"/>
                <w:sz w:val="18"/>
                <w:szCs w:val="18"/>
                <w:highlight w:val="none"/>
              </w:rPr>
              <w:t>2.与国网公司系统人员关系，应具体填写“本人”、“配偶”、“子女”、“子女配偶”。</w:t>
            </w:r>
            <w:r>
              <w:rPr>
                <w:rFonts w:hint="eastAsia" w:ascii="宋体" w:hAnsi="宋体" w:cs="宋体"/>
                <w:color w:val="auto"/>
                <w:kern w:val="0"/>
                <w:sz w:val="18"/>
                <w:szCs w:val="18"/>
                <w:highlight w:val="none"/>
              </w:rPr>
              <w:br w:type="textWrapping"/>
            </w:r>
            <w:r>
              <w:rPr>
                <w:rFonts w:hint="eastAsia" w:ascii="宋体" w:hAnsi="宋体" w:cs="宋体"/>
                <w:color w:val="auto"/>
                <w:kern w:val="0"/>
                <w:sz w:val="18"/>
                <w:szCs w:val="18"/>
                <w:highlight w:val="none"/>
              </w:rPr>
              <w:t>3.国家电网公司系统：包含国家电网有限公司及其所属单位。</w:t>
            </w:r>
            <w:r>
              <w:rPr>
                <w:rFonts w:hint="eastAsia" w:ascii="宋体" w:hAnsi="宋体" w:cs="宋体"/>
                <w:color w:val="auto"/>
                <w:kern w:val="0"/>
                <w:sz w:val="18"/>
                <w:szCs w:val="18"/>
                <w:highlight w:val="none"/>
              </w:rPr>
              <w:br w:type="textWrapping"/>
            </w:r>
            <w:r>
              <w:rPr>
                <w:rFonts w:hint="eastAsia" w:ascii="宋体" w:hAnsi="宋体" w:cs="宋体"/>
                <w:color w:val="auto"/>
                <w:kern w:val="0"/>
                <w:sz w:val="18"/>
                <w:szCs w:val="18"/>
                <w:highlight w:val="none"/>
              </w:rPr>
              <w:t>4.任职状态为非在职的，应填写离职或退休的具体时间。</w:t>
            </w:r>
            <w:r>
              <w:rPr>
                <w:rFonts w:hint="eastAsia" w:ascii="宋体" w:hAnsi="宋体" w:cs="宋体"/>
                <w:color w:val="auto"/>
                <w:kern w:val="0"/>
                <w:sz w:val="18"/>
                <w:szCs w:val="18"/>
                <w:highlight w:val="none"/>
              </w:rPr>
              <w:br w:type="textWrapping"/>
            </w:r>
            <w:r>
              <w:rPr>
                <w:rFonts w:hint="eastAsia" w:ascii="宋体" w:hAnsi="宋体" w:cs="宋体"/>
                <w:color w:val="auto"/>
                <w:kern w:val="0"/>
                <w:sz w:val="18"/>
                <w:szCs w:val="18"/>
                <w:highlight w:val="none"/>
              </w:rPr>
              <w:t>5.若属于“国家电网公司组织批准和委派行为”的情形，参考示例填写。其他情形正常填写。</w:t>
            </w:r>
          </w:p>
        </w:tc>
      </w:tr>
    </w:tbl>
    <w:p>
      <w:pPr>
        <w:pStyle w:val="17"/>
        <w:numPr>
          <w:ilvl w:val="0"/>
          <w:numId w:val="0"/>
        </w:numPr>
        <w:ind w:leftChars="0"/>
        <w:rPr>
          <w:rFonts w:hint="eastAsia"/>
          <w:color w:val="auto"/>
          <w:highlight w:val="none"/>
          <w:lang w:val="en-US" w:eastAsia="zh-CN"/>
        </w:rPr>
      </w:pPr>
    </w:p>
    <w:p>
      <w:pP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br w:type="page"/>
      </w:r>
    </w:p>
    <w:p>
      <w:pPr>
        <w:keepNext w:val="0"/>
        <w:keepLines w:val="0"/>
        <w:widowControl/>
        <w:numPr>
          <w:ilvl w:val="0"/>
          <w:numId w:val="0"/>
        </w:numPr>
        <w:suppressLineNumbers w:val="0"/>
        <w:ind w:leftChars="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5.投标保证金</w:t>
      </w:r>
      <w:r>
        <w:rPr>
          <w:rFonts w:hint="eastAsia" w:ascii="宋体" w:hAnsi="宋体" w:eastAsia="宋体" w:cs="宋体"/>
          <w:i w:val="0"/>
          <w:iCs w:val="0"/>
          <w:color w:val="auto"/>
          <w:kern w:val="0"/>
          <w:sz w:val="20"/>
          <w:szCs w:val="20"/>
          <w:highlight w:val="none"/>
          <w:u w:val="none"/>
          <w:lang w:val="en-US" w:eastAsia="zh-CN" w:bidi="ar"/>
        </w:rPr>
        <w:br w:type="textWrapping"/>
      </w:r>
    </w:p>
    <w:p>
      <w:pPr>
        <w:widowControl/>
        <w:spacing w:line="480" w:lineRule="auto"/>
        <w:jc w:val="center"/>
        <w:rPr>
          <w:rFonts w:eastAsia="黑体"/>
          <w:color w:val="auto"/>
          <w:sz w:val="24"/>
          <w:highlight w:val="none"/>
        </w:rPr>
      </w:pPr>
      <w:r>
        <w:rPr>
          <w:rFonts w:hint="eastAsia" w:eastAsia="黑体"/>
          <w:color w:val="auto"/>
          <w:sz w:val="24"/>
          <w:highlight w:val="none"/>
        </w:rPr>
        <w:t>投标保证金银行保函</w:t>
      </w:r>
    </w:p>
    <w:p>
      <w:pPr>
        <w:widowControl/>
        <w:ind w:firstLine="420"/>
        <w:jc w:val="right"/>
        <w:rPr>
          <w:color w:val="auto"/>
          <w:highlight w:val="none"/>
        </w:rPr>
      </w:pPr>
      <w:r>
        <w:rPr>
          <w:color w:val="auto"/>
          <w:highlight w:val="none"/>
        </w:rPr>
        <w:t>开具日期：__________________</w:t>
      </w:r>
    </w:p>
    <w:p>
      <w:pPr>
        <w:widowControl/>
        <w:spacing w:line="360" w:lineRule="exact"/>
        <w:rPr>
          <w:color w:val="auto"/>
          <w:highlight w:val="none"/>
        </w:rPr>
      </w:pPr>
      <w:r>
        <w:rPr>
          <w:color w:val="auto"/>
          <w:highlight w:val="none"/>
        </w:rPr>
        <w:t>致：______________［招标代理机构］</w:t>
      </w:r>
    </w:p>
    <w:p>
      <w:pPr>
        <w:widowControl/>
        <w:spacing w:line="360" w:lineRule="exact"/>
        <w:ind w:firstLine="420"/>
        <w:rPr>
          <w:color w:val="auto"/>
          <w:highlight w:val="none"/>
        </w:rPr>
      </w:pPr>
      <w:r>
        <w:rPr>
          <w:color w:val="auto"/>
          <w:highlight w:val="none"/>
        </w:rPr>
        <w:t>本保函作为_______________［投标人名称］［以下简称“投标人”］对_______________［招标代理机构］［招标编号］的投标邀请提供_______________［工程名称］的</w:t>
      </w:r>
      <w:r>
        <w:rPr>
          <w:rFonts w:hint="eastAsia"/>
          <w:color w:val="auto"/>
          <w:highlight w:val="none"/>
        </w:rPr>
        <w:t>投标保证金银行保函</w:t>
      </w:r>
      <w:r>
        <w:rPr>
          <w:color w:val="auto"/>
          <w:highlight w:val="none"/>
        </w:rPr>
        <w:t>。</w:t>
      </w:r>
    </w:p>
    <w:p>
      <w:pPr>
        <w:widowControl/>
        <w:spacing w:line="360" w:lineRule="exact"/>
        <w:ind w:firstLine="420"/>
        <w:rPr>
          <w:color w:val="auto"/>
          <w:spacing w:val="-6"/>
          <w:highlight w:val="none"/>
        </w:rPr>
      </w:pPr>
      <w:r>
        <w:rPr>
          <w:color w:val="auto"/>
          <w:spacing w:val="-6"/>
          <w:highlight w:val="none"/>
        </w:rPr>
        <w:t>_______________［保函开具银行名称］无条件地、不可撤销地具结保证本行、其继承人和受让人，一旦收到贵方提出的就下述任何一种事实的书面通知，立即无追索地向贵方支付金额为［金额数和币种］保证金：</w:t>
      </w:r>
    </w:p>
    <w:p>
      <w:pPr>
        <w:pStyle w:val="16"/>
        <w:tabs>
          <w:tab w:val="left" w:pos="0"/>
        </w:tabs>
        <w:spacing w:before="0" w:beforeAutospacing="0" w:after="0" w:afterAutospacing="0" w:line="360" w:lineRule="exact"/>
        <w:ind w:firstLine="420"/>
        <w:jc w:val="both"/>
        <w:rPr>
          <w:rFonts w:hint="eastAsia" w:ascii="Times New Roman" w:hAnsi="Times New Roman"/>
          <w:color w:val="auto"/>
          <w:kern w:val="2"/>
          <w:sz w:val="21"/>
          <w:highlight w:val="none"/>
        </w:rPr>
      </w:pPr>
      <w:r>
        <w:rPr>
          <w:rFonts w:hint="eastAsia" w:ascii="Times New Roman" w:hAnsi="Times New Roman"/>
          <w:color w:val="auto"/>
          <w:kern w:val="2"/>
          <w:sz w:val="21"/>
          <w:highlight w:val="none"/>
        </w:rPr>
        <w:t>（1）在提交投标文件截止时间后投标人撤销其投标文件的；</w:t>
      </w:r>
    </w:p>
    <w:p>
      <w:pPr>
        <w:pStyle w:val="16"/>
        <w:tabs>
          <w:tab w:val="left" w:pos="0"/>
        </w:tabs>
        <w:spacing w:before="0" w:beforeAutospacing="0" w:after="0" w:afterAutospacing="0" w:line="360" w:lineRule="exact"/>
        <w:ind w:firstLine="420"/>
        <w:jc w:val="both"/>
        <w:rPr>
          <w:rFonts w:hint="eastAsia" w:ascii="Times New Roman" w:hAnsi="Times New Roman"/>
          <w:color w:val="auto"/>
          <w:kern w:val="2"/>
          <w:sz w:val="21"/>
          <w:highlight w:val="none"/>
        </w:rPr>
      </w:pPr>
      <w:r>
        <w:rPr>
          <w:rFonts w:hint="eastAsia" w:ascii="Times New Roman" w:hAnsi="Times New Roman"/>
          <w:color w:val="auto"/>
          <w:kern w:val="2"/>
          <w:sz w:val="21"/>
          <w:highlight w:val="none"/>
        </w:rPr>
        <w:t>（2）中标人拒绝按招标文件的规定和投标文件的承诺签订合同的；</w:t>
      </w:r>
    </w:p>
    <w:p>
      <w:pPr>
        <w:pStyle w:val="16"/>
        <w:tabs>
          <w:tab w:val="left" w:pos="0"/>
        </w:tabs>
        <w:spacing w:before="0" w:beforeAutospacing="0" w:after="0" w:afterAutospacing="0" w:line="360" w:lineRule="exact"/>
        <w:ind w:firstLine="420"/>
        <w:jc w:val="both"/>
        <w:rPr>
          <w:rFonts w:hint="eastAsia" w:ascii="Times New Roman" w:hAnsi="Times New Roman"/>
          <w:color w:val="auto"/>
          <w:kern w:val="2"/>
          <w:sz w:val="21"/>
          <w:highlight w:val="none"/>
        </w:rPr>
      </w:pPr>
      <w:r>
        <w:rPr>
          <w:rFonts w:hint="eastAsia" w:ascii="Times New Roman" w:hAnsi="Times New Roman"/>
          <w:color w:val="auto"/>
          <w:kern w:val="2"/>
          <w:sz w:val="21"/>
          <w:highlight w:val="none"/>
        </w:rPr>
        <w:t>（3）中标人未按招标文件规定提交履约保证金的；</w:t>
      </w:r>
    </w:p>
    <w:p>
      <w:pPr>
        <w:pStyle w:val="16"/>
        <w:tabs>
          <w:tab w:val="left" w:pos="0"/>
        </w:tabs>
        <w:spacing w:before="0" w:beforeAutospacing="0" w:after="0" w:afterAutospacing="0" w:line="360" w:lineRule="exact"/>
        <w:ind w:firstLine="420"/>
        <w:jc w:val="both"/>
        <w:rPr>
          <w:rFonts w:hint="eastAsia" w:ascii="Times New Roman" w:hAnsi="Times New Roman"/>
          <w:color w:val="auto"/>
          <w:kern w:val="2"/>
          <w:sz w:val="21"/>
          <w:highlight w:val="none"/>
        </w:rPr>
      </w:pPr>
      <w:r>
        <w:rPr>
          <w:rFonts w:hint="eastAsia" w:ascii="Times New Roman" w:hAnsi="Times New Roman"/>
          <w:color w:val="auto"/>
          <w:kern w:val="2"/>
          <w:sz w:val="21"/>
          <w:highlight w:val="none"/>
        </w:rPr>
        <w:t>（4）在提交投标文件截止时间后主动对投标文件提出实质性修改的；</w:t>
      </w:r>
    </w:p>
    <w:p>
      <w:pPr>
        <w:pStyle w:val="16"/>
        <w:tabs>
          <w:tab w:val="left" w:pos="0"/>
        </w:tabs>
        <w:spacing w:before="0" w:beforeAutospacing="0" w:after="0" w:afterAutospacing="0" w:line="360" w:lineRule="exact"/>
        <w:ind w:firstLine="420"/>
        <w:jc w:val="both"/>
        <w:rPr>
          <w:rFonts w:hint="eastAsia" w:ascii="Times New Roman" w:hAnsi="Times New Roman" w:eastAsia="宋体"/>
          <w:color w:val="auto"/>
          <w:kern w:val="2"/>
          <w:sz w:val="21"/>
          <w:highlight w:val="none"/>
          <w:lang w:eastAsia="zh-CN"/>
        </w:rPr>
      </w:pPr>
      <w:r>
        <w:rPr>
          <w:rFonts w:hint="eastAsia" w:ascii="Times New Roman" w:hAnsi="Times New Roman"/>
          <w:color w:val="auto"/>
          <w:kern w:val="2"/>
          <w:sz w:val="21"/>
          <w:highlight w:val="none"/>
        </w:rPr>
        <w:t>（5）投标人串通投标或有其他违法行为的</w:t>
      </w:r>
      <w:r>
        <w:rPr>
          <w:rFonts w:hint="eastAsia" w:ascii="Times New Roman" w:hAnsi="Times New Roman"/>
          <w:color w:val="auto"/>
          <w:kern w:val="2"/>
          <w:sz w:val="21"/>
          <w:highlight w:val="none"/>
          <w:lang w:eastAsia="zh-CN"/>
        </w:rPr>
        <w:t>；</w:t>
      </w:r>
    </w:p>
    <w:p>
      <w:pPr>
        <w:spacing w:line="360" w:lineRule="exact"/>
        <w:ind w:firstLine="420"/>
        <w:rPr>
          <w:rFonts w:hint="eastAsia" w:eastAsia="宋体"/>
          <w:color w:val="auto"/>
          <w:highlight w:val="none"/>
          <w:lang w:eastAsia="zh-CN"/>
        </w:rPr>
      </w:pPr>
      <w:r>
        <w:rPr>
          <w:rFonts w:hint="eastAsia"/>
          <w:color w:val="auto"/>
          <w:highlight w:val="none"/>
        </w:rPr>
        <w:t>（6）法律法规及招标文件规定的其他应当不予退还投标保证金情形的</w:t>
      </w:r>
      <w:r>
        <w:rPr>
          <w:rFonts w:hint="eastAsia"/>
          <w:color w:val="auto"/>
          <w:highlight w:val="none"/>
          <w:lang w:eastAsia="zh-CN"/>
        </w:rPr>
        <w:t>。</w:t>
      </w:r>
    </w:p>
    <w:p>
      <w:pPr>
        <w:spacing w:line="360" w:lineRule="exact"/>
        <w:ind w:firstLine="420"/>
        <w:rPr>
          <w:color w:val="auto"/>
          <w:highlight w:val="none"/>
        </w:rPr>
      </w:pPr>
      <w:r>
        <w:rPr>
          <w:color w:val="auto"/>
          <w:highlight w:val="none"/>
        </w:rPr>
        <w:t>我行同时无条件、不可撤销地具结保证本行及其继承人和受让人，一旦收到贵方提出的中标人未在规定的期限内支付招标服务费的书面通知，我行立即无追索的、按实际应支付招标服务费金额向贵方支付保证金，最多不超过［本保函确定的金额数和币种］。</w:t>
      </w:r>
    </w:p>
    <w:p>
      <w:pPr>
        <w:widowControl/>
        <w:spacing w:line="360" w:lineRule="exact"/>
        <w:ind w:firstLine="420"/>
        <w:rPr>
          <w:color w:val="auto"/>
          <w:highlight w:val="none"/>
        </w:rPr>
      </w:pPr>
      <w:r>
        <w:rPr>
          <w:color w:val="auto"/>
          <w:highlight w:val="none"/>
        </w:rPr>
        <w:t>本保函自开标之日起</w:t>
      </w:r>
      <w:r>
        <w:rPr>
          <w:color w:val="auto"/>
          <w:highlight w:val="none"/>
          <w:u w:val="single"/>
        </w:rPr>
        <w:t>［］</w:t>
      </w:r>
      <w:r>
        <w:rPr>
          <w:color w:val="auto"/>
          <w:highlight w:val="none"/>
        </w:rPr>
        <w:t>日（日历日）内有效，并在贵方和投标人</w:t>
      </w:r>
      <w:r>
        <w:rPr>
          <w:rFonts w:hint="eastAsia"/>
          <w:color w:val="auto"/>
          <w:highlight w:val="none"/>
        </w:rPr>
        <w:t>书面</w:t>
      </w:r>
      <w:r>
        <w:rPr>
          <w:color w:val="auto"/>
          <w:highlight w:val="none"/>
        </w:rPr>
        <w:t>同意延长的有效期内保持有效。延长的有效期只需</w:t>
      </w:r>
      <w:r>
        <w:rPr>
          <w:rFonts w:hint="eastAsia"/>
          <w:color w:val="auto"/>
          <w:highlight w:val="none"/>
        </w:rPr>
        <w:t>书面</w:t>
      </w:r>
      <w:r>
        <w:rPr>
          <w:color w:val="auto"/>
          <w:highlight w:val="none"/>
        </w:rPr>
        <w:t>通知本行即可。</w:t>
      </w:r>
    </w:p>
    <w:p>
      <w:pPr>
        <w:widowControl/>
        <w:spacing w:line="360" w:lineRule="exact"/>
        <w:ind w:firstLine="420"/>
        <w:rPr>
          <w:color w:val="auto"/>
          <w:highlight w:val="none"/>
        </w:rPr>
      </w:pPr>
    </w:p>
    <w:p>
      <w:pPr>
        <w:tabs>
          <w:tab w:val="left" w:pos="7200"/>
        </w:tabs>
        <w:autoSpaceDE w:val="0"/>
        <w:autoSpaceDN w:val="0"/>
        <w:adjustRightInd w:val="0"/>
        <w:spacing w:line="360" w:lineRule="exact"/>
        <w:ind w:left="3060" w:leftChars="1457"/>
        <w:jc w:val="right"/>
        <w:rPr>
          <w:color w:val="auto"/>
          <w:highlight w:val="none"/>
          <w:u w:val="single"/>
        </w:rPr>
      </w:pPr>
      <w:r>
        <w:rPr>
          <w:color w:val="auto"/>
          <w:highlight w:val="none"/>
        </w:rPr>
        <w:t>出函银行名称（盖章）：</w:t>
      </w:r>
      <w:r>
        <w:rPr>
          <w:color w:val="auto"/>
          <w:highlight w:val="none"/>
          <w:u w:val="single"/>
        </w:rPr>
        <w:tab/>
      </w:r>
    </w:p>
    <w:p>
      <w:pPr>
        <w:tabs>
          <w:tab w:val="left" w:pos="7200"/>
        </w:tabs>
        <w:autoSpaceDE w:val="0"/>
        <w:autoSpaceDN w:val="0"/>
        <w:adjustRightInd w:val="0"/>
        <w:spacing w:line="360" w:lineRule="exact"/>
        <w:ind w:left="3060" w:leftChars="1457"/>
        <w:jc w:val="right"/>
        <w:rPr>
          <w:color w:val="auto"/>
          <w:highlight w:val="none"/>
          <w:u w:val="single"/>
        </w:rPr>
      </w:pPr>
      <w:r>
        <w:rPr>
          <w:color w:val="auto"/>
          <w:highlight w:val="none"/>
        </w:rPr>
        <w:t>负责人签字：</w:t>
      </w:r>
      <w:r>
        <w:rPr>
          <w:color w:val="auto"/>
          <w:highlight w:val="none"/>
          <w:u w:val="single"/>
        </w:rPr>
        <w:tab/>
      </w:r>
    </w:p>
    <w:p>
      <w:pPr>
        <w:spacing w:line="360" w:lineRule="exact"/>
        <w:ind w:right="420" w:firstLine="4935" w:firstLineChars="2350"/>
        <w:rPr>
          <w:color w:val="auto"/>
          <w:highlight w:val="none"/>
        </w:rPr>
      </w:pPr>
      <w:r>
        <w:rPr>
          <w:color w:val="auto"/>
          <w:highlight w:val="none"/>
        </w:rPr>
        <w:t>签发日期：</w:t>
      </w:r>
    </w:p>
    <w:p>
      <w:pPr>
        <w:widowControl/>
        <w:jc w:val="left"/>
        <w:rPr>
          <w:color w:val="auto"/>
          <w:highlight w:val="none"/>
        </w:rPr>
      </w:pPr>
      <w:r>
        <w:rPr>
          <w:color w:val="auto"/>
          <w:highlight w:val="none"/>
        </w:rPr>
        <w:br w:type="page"/>
      </w:r>
    </w:p>
    <w:p>
      <w:pPr>
        <w:widowControl/>
        <w:spacing w:line="480" w:lineRule="auto"/>
        <w:jc w:val="center"/>
        <w:rPr>
          <w:color w:val="auto"/>
          <w:highlight w:val="none"/>
        </w:rPr>
      </w:pPr>
    </w:p>
    <w:p>
      <w:pPr>
        <w:widowControl/>
        <w:spacing w:line="480" w:lineRule="auto"/>
        <w:jc w:val="center"/>
        <w:rPr>
          <w:rFonts w:eastAsia="黑体"/>
          <w:color w:val="auto"/>
          <w:sz w:val="24"/>
          <w:highlight w:val="none"/>
        </w:rPr>
      </w:pPr>
      <w:r>
        <w:rPr>
          <w:rFonts w:eastAsia="黑体"/>
          <w:color w:val="auto"/>
          <w:sz w:val="24"/>
          <w:highlight w:val="none"/>
        </w:rPr>
        <w:t>投标保证保险（责任要求）</w:t>
      </w:r>
    </w:p>
    <w:p>
      <w:pPr>
        <w:jc w:val="center"/>
        <w:rPr>
          <w:b/>
          <w:color w:val="auto"/>
          <w:sz w:val="24"/>
          <w:highlight w:val="none"/>
        </w:rPr>
      </w:pPr>
    </w:p>
    <w:p>
      <w:pPr>
        <w:ind w:firstLine="420" w:firstLineChars="200"/>
        <w:rPr>
          <w:color w:val="auto"/>
          <w:szCs w:val="21"/>
          <w:highlight w:val="none"/>
        </w:rPr>
      </w:pPr>
      <w:r>
        <w:rPr>
          <w:color w:val="auto"/>
          <w:szCs w:val="21"/>
          <w:highlight w:val="none"/>
          <w:lang w:bidi="ar"/>
        </w:rPr>
        <w:t>投标人自行选择保险公司投保，约定由保险公司承担所承保投标人投标违约行为的赔偿。投标人须将</w:t>
      </w:r>
      <w:r>
        <w:rPr>
          <w:rFonts w:hint="eastAsia"/>
          <w:color w:val="auto"/>
          <w:szCs w:val="21"/>
          <w:highlight w:val="none"/>
          <w:lang w:val="en-US" w:eastAsia="zh-CN" w:bidi="ar"/>
        </w:rPr>
        <w:t>保单</w:t>
      </w:r>
      <w:r>
        <w:rPr>
          <w:color w:val="auto"/>
          <w:szCs w:val="21"/>
          <w:highlight w:val="none"/>
          <w:lang w:bidi="ar"/>
        </w:rPr>
        <w:t>，递交给招标人，保单须包含以下内容或约定：</w:t>
      </w:r>
    </w:p>
    <w:p>
      <w:pPr>
        <w:rPr>
          <w:color w:val="auto"/>
          <w:szCs w:val="21"/>
          <w:highlight w:val="none"/>
        </w:rPr>
      </w:pPr>
      <w:r>
        <w:rPr>
          <w:b/>
          <w:color w:val="auto"/>
          <w:szCs w:val="21"/>
          <w:highlight w:val="none"/>
          <w:lang w:bidi="ar"/>
        </w:rPr>
        <w:t>一、保险险种：</w:t>
      </w:r>
      <w:r>
        <w:rPr>
          <w:color w:val="auto"/>
          <w:szCs w:val="21"/>
          <w:highlight w:val="none"/>
          <w:lang w:bidi="ar"/>
        </w:rPr>
        <w:t>投标保证保险</w:t>
      </w:r>
    </w:p>
    <w:p>
      <w:pPr>
        <w:rPr>
          <w:color w:val="auto"/>
          <w:szCs w:val="21"/>
          <w:highlight w:val="none"/>
        </w:rPr>
      </w:pPr>
      <w:r>
        <w:rPr>
          <w:b/>
          <w:color w:val="auto"/>
          <w:szCs w:val="21"/>
          <w:highlight w:val="none"/>
          <w:lang w:bidi="ar"/>
        </w:rPr>
        <w:t>二、被保险人</w:t>
      </w:r>
      <w:r>
        <w:rPr>
          <w:color w:val="auto"/>
          <w:szCs w:val="21"/>
          <w:highlight w:val="none"/>
          <w:lang w:bidi="ar"/>
        </w:rPr>
        <w:t>：国网物资有限公司</w:t>
      </w:r>
    </w:p>
    <w:p>
      <w:pPr>
        <w:rPr>
          <w:color w:val="auto"/>
          <w:szCs w:val="21"/>
          <w:highlight w:val="none"/>
        </w:rPr>
      </w:pPr>
      <w:r>
        <w:rPr>
          <w:b/>
          <w:color w:val="auto"/>
          <w:szCs w:val="21"/>
          <w:highlight w:val="none"/>
          <w:lang w:bidi="ar"/>
        </w:rPr>
        <w:t>三、保险金额</w:t>
      </w:r>
      <w:r>
        <w:rPr>
          <w:color w:val="auto"/>
          <w:szCs w:val="21"/>
          <w:highlight w:val="none"/>
          <w:lang w:bidi="ar"/>
        </w:rPr>
        <w:t>：应缴纳的投标保证金金额</w:t>
      </w:r>
    </w:p>
    <w:p>
      <w:pPr>
        <w:rPr>
          <w:color w:val="auto"/>
          <w:szCs w:val="21"/>
          <w:highlight w:val="none"/>
        </w:rPr>
      </w:pPr>
      <w:r>
        <w:rPr>
          <w:b/>
          <w:color w:val="auto"/>
          <w:szCs w:val="21"/>
          <w:highlight w:val="none"/>
          <w:lang w:bidi="ar"/>
        </w:rPr>
        <w:t>四、绝对免赔额：</w:t>
      </w:r>
      <w:r>
        <w:rPr>
          <w:color w:val="auto"/>
          <w:szCs w:val="21"/>
          <w:highlight w:val="none"/>
          <w:lang w:bidi="ar"/>
        </w:rPr>
        <w:t xml:space="preserve"> 0元</w:t>
      </w:r>
    </w:p>
    <w:p>
      <w:pPr>
        <w:rPr>
          <w:b/>
          <w:color w:val="auto"/>
          <w:szCs w:val="21"/>
          <w:highlight w:val="none"/>
        </w:rPr>
      </w:pPr>
      <w:r>
        <w:rPr>
          <w:b/>
          <w:color w:val="auto"/>
          <w:szCs w:val="21"/>
          <w:highlight w:val="none"/>
          <w:lang w:bidi="ar"/>
        </w:rPr>
        <w:t>五、保险期间：</w:t>
      </w:r>
    </w:p>
    <w:p>
      <w:pPr>
        <w:ind w:firstLine="420" w:firstLineChars="200"/>
        <w:rPr>
          <w:color w:val="auto"/>
          <w:szCs w:val="21"/>
          <w:highlight w:val="none"/>
        </w:rPr>
      </w:pPr>
      <w:r>
        <w:rPr>
          <w:color w:val="auto"/>
          <w:szCs w:val="21"/>
          <w:highlight w:val="none"/>
          <w:lang w:bidi="ar"/>
        </w:rPr>
        <w:t>【说明】保险期间须满足招标文件要求的投标有效期要求。</w:t>
      </w:r>
    </w:p>
    <w:p>
      <w:pPr>
        <w:keepNext w:val="0"/>
        <w:keepLines w:val="0"/>
        <w:widowControl/>
        <w:suppressLineNumbers w:val="0"/>
        <w:spacing w:before="0" w:beforeAutospacing="0" w:after="0" w:afterAutospacing="0"/>
        <w:ind w:right="0"/>
        <w:jc w:val="both"/>
        <w:rPr>
          <w:color w:val="auto"/>
          <w:highlight w:val="none"/>
          <w:lang w:val="en-US"/>
        </w:rPr>
      </w:pPr>
      <w:r>
        <w:rPr>
          <w:rFonts w:hint="eastAsia"/>
          <w:b/>
          <w:color w:val="auto"/>
          <w:szCs w:val="21"/>
          <w:highlight w:val="none"/>
          <w:lang w:val="en-US" w:eastAsia="zh-CN" w:bidi="ar"/>
        </w:rPr>
        <w:t>六、保单保费来源：</w:t>
      </w:r>
      <w:r>
        <w:rPr>
          <w:rFonts w:hint="eastAsia" w:ascii="Calibri" w:hAnsi="Calibri" w:eastAsia="宋体" w:cs="宋体"/>
          <w:color w:val="auto"/>
          <w:kern w:val="2"/>
          <w:sz w:val="21"/>
          <w:szCs w:val="24"/>
          <w:highlight w:val="none"/>
          <w:lang w:val="en-US" w:eastAsia="zh-CN" w:bidi="ar"/>
        </w:rPr>
        <w:t>保险公司必须核实保单保费是否从企业基本账户转出，请注明保单保费是否从投标人企业基本账户支付，未注明相关信息或注明保费未从投标人企业基本账户支付，视为提交的投标保证金无效。</w:t>
      </w:r>
    </w:p>
    <w:p>
      <w:pPr>
        <w:widowControl/>
        <w:jc w:val="left"/>
        <w:rPr>
          <w:b/>
          <w:color w:val="auto"/>
          <w:szCs w:val="21"/>
          <w:highlight w:val="none"/>
          <w:lang w:bidi="ar"/>
        </w:rPr>
      </w:pPr>
      <w:r>
        <w:rPr>
          <w:rFonts w:hint="eastAsia" w:ascii="Calibri" w:hAnsi="Calibri" w:eastAsia="宋体" w:cs="Times New Roman"/>
          <w:color w:val="auto"/>
          <w:kern w:val="2"/>
          <w:sz w:val="21"/>
          <w:szCs w:val="24"/>
          <w:highlight w:val="none"/>
          <w:lang w:val="en-US" w:eastAsia="zh-CN" w:bidi="ar"/>
        </w:rPr>
        <w:t>（样例：本保单保费是从投标人企业基本账户支付。）</w:t>
      </w:r>
    </w:p>
    <w:p>
      <w:pPr>
        <w:rPr>
          <w:color w:val="auto"/>
          <w:szCs w:val="21"/>
          <w:highlight w:val="none"/>
        </w:rPr>
      </w:pPr>
      <w:r>
        <w:rPr>
          <w:b/>
          <w:color w:val="auto"/>
          <w:szCs w:val="21"/>
          <w:highlight w:val="none"/>
          <w:lang w:bidi="ar"/>
        </w:rPr>
        <w:t>七、其他：</w:t>
      </w:r>
      <w:r>
        <w:rPr>
          <w:color w:val="auto"/>
          <w:szCs w:val="21"/>
          <w:highlight w:val="none"/>
          <w:lang w:bidi="ar"/>
        </w:rPr>
        <w:t>保单上必须注明招标项目名称和招标项目编号（年度保单除外）。</w:t>
      </w:r>
    </w:p>
    <w:p>
      <w:pPr>
        <w:rPr>
          <w:b/>
          <w:color w:val="auto"/>
          <w:szCs w:val="21"/>
          <w:highlight w:val="none"/>
        </w:rPr>
      </w:pPr>
      <w:r>
        <w:rPr>
          <w:rFonts w:hint="eastAsia"/>
          <w:b/>
          <w:color w:val="auto"/>
          <w:szCs w:val="21"/>
          <w:highlight w:val="none"/>
          <w:lang w:val="en-US" w:eastAsia="zh-CN" w:bidi="ar"/>
        </w:rPr>
        <w:t>八</w:t>
      </w:r>
      <w:r>
        <w:rPr>
          <w:b/>
          <w:color w:val="auto"/>
          <w:szCs w:val="21"/>
          <w:highlight w:val="none"/>
          <w:lang w:bidi="ar"/>
        </w:rPr>
        <w:t>、特别约定：</w:t>
      </w:r>
    </w:p>
    <w:p>
      <w:pPr>
        <w:ind w:firstLine="420" w:firstLineChars="200"/>
        <w:rPr>
          <w:color w:val="auto"/>
          <w:szCs w:val="21"/>
          <w:highlight w:val="none"/>
        </w:rPr>
      </w:pPr>
      <w:r>
        <w:rPr>
          <w:color w:val="auto"/>
          <w:szCs w:val="21"/>
          <w:highlight w:val="none"/>
          <w:lang w:bidi="ar"/>
        </w:rPr>
        <w:t>（一）按照招标文件的规定，下列情形也属于本保单承保范围：</w:t>
      </w:r>
    </w:p>
    <w:p>
      <w:pPr>
        <w:ind w:firstLine="420" w:firstLineChars="200"/>
        <w:rPr>
          <w:color w:val="auto"/>
          <w:szCs w:val="21"/>
          <w:highlight w:val="none"/>
        </w:rPr>
      </w:pPr>
      <w:r>
        <w:rPr>
          <w:color w:val="auto"/>
          <w:szCs w:val="21"/>
          <w:highlight w:val="none"/>
          <w:lang w:bidi="ar"/>
        </w:rPr>
        <w:t>1.投保人在投标截止时间后撤销其投标文件、或主动对投标文件提出实质性修改；</w:t>
      </w:r>
    </w:p>
    <w:p>
      <w:pPr>
        <w:ind w:firstLine="420" w:firstLineChars="200"/>
        <w:rPr>
          <w:color w:val="auto"/>
          <w:szCs w:val="21"/>
          <w:highlight w:val="none"/>
        </w:rPr>
      </w:pPr>
      <w:r>
        <w:rPr>
          <w:color w:val="auto"/>
          <w:szCs w:val="21"/>
          <w:highlight w:val="none"/>
          <w:lang w:bidi="ar"/>
        </w:rPr>
        <w:t>2.投保人接到中标通知后，拒绝按招标文件的规定和投标文件的承诺签订合同；</w:t>
      </w:r>
    </w:p>
    <w:p>
      <w:pPr>
        <w:ind w:firstLine="420" w:firstLineChars="200"/>
        <w:rPr>
          <w:color w:val="auto"/>
          <w:szCs w:val="21"/>
          <w:highlight w:val="none"/>
        </w:rPr>
      </w:pPr>
      <w:r>
        <w:rPr>
          <w:color w:val="auto"/>
          <w:szCs w:val="21"/>
          <w:highlight w:val="none"/>
          <w:lang w:bidi="ar"/>
        </w:rPr>
        <w:t>3.投保人中标后不按照招标文件要求交纳履约保证金；</w:t>
      </w:r>
    </w:p>
    <w:p>
      <w:pPr>
        <w:ind w:firstLine="420" w:firstLineChars="200"/>
        <w:rPr>
          <w:color w:val="auto"/>
          <w:szCs w:val="21"/>
          <w:highlight w:val="none"/>
        </w:rPr>
      </w:pPr>
      <w:r>
        <w:rPr>
          <w:color w:val="auto"/>
          <w:szCs w:val="21"/>
          <w:highlight w:val="none"/>
          <w:lang w:bidi="ar"/>
        </w:rPr>
        <w:t>4.投保人与其他投标人相互串通投标、投保人有弄虚作假或其他投标违法行为的；</w:t>
      </w:r>
    </w:p>
    <w:p>
      <w:pPr>
        <w:ind w:firstLine="420" w:firstLineChars="200"/>
        <w:rPr>
          <w:color w:val="auto"/>
          <w:szCs w:val="21"/>
          <w:highlight w:val="none"/>
        </w:rPr>
      </w:pPr>
      <w:r>
        <w:rPr>
          <w:color w:val="auto"/>
          <w:szCs w:val="21"/>
          <w:highlight w:val="none"/>
          <w:lang w:bidi="ar"/>
        </w:rPr>
        <w:t>5.法律法规及招标文件规定的其他应当不予退还投标保证金情形的；</w:t>
      </w:r>
    </w:p>
    <w:p>
      <w:pPr>
        <w:ind w:firstLine="420" w:firstLineChars="200"/>
        <w:rPr>
          <w:color w:val="auto"/>
          <w:szCs w:val="21"/>
          <w:highlight w:val="none"/>
        </w:rPr>
      </w:pPr>
      <w:r>
        <w:rPr>
          <w:color w:val="auto"/>
          <w:szCs w:val="21"/>
          <w:highlight w:val="none"/>
          <w:lang w:bidi="ar"/>
        </w:rPr>
        <w:t>6.投保人未按招标文件约定及规定时限向被保险人支付招标代理服务费的。</w:t>
      </w:r>
    </w:p>
    <w:p>
      <w:pPr>
        <w:ind w:firstLine="420" w:firstLineChars="200"/>
        <w:rPr>
          <w:color w:val="auto"/>
          <w:szCs w:val="21"/>
          <w:highlight w:val="none"/>
        </w:rPr>
      </w:pPr>
      <w:r>
        <w:rPr>
          <w:color w:val="auto"/>
          <w:szCs w:val="21"/>
          <w:highlight w:val="none"/>
          <w:lang w:bidi="ar"/>
        </w:rPr>
        <w:t>（二）按年度投保投标保证保险的，提交投标文件的截止日期在保险期间内的属于保险人承保范围；提交投标文件的截止日期不在保险期限内的，不属于保险人承保范围。</w:t>
      </w:r>
    </w:p>
    <w:p>
      <w:pPr>
        <w:ind w:firstLine="420" w:firstLineChars="200"/>
        <w:rPr>
          <w:color w:val="auto"/>
          <w:szCs w:val="21"/>
          <w:highlight w:val="none"/>
        </w:rPr>
      </w:pPr>
      <w:r>
        <w:rPr>
          <w:color w:val="auto"/>
          <w:szCs w:val="21"/>
          <w:highlight w:val="none"/>
          <w:lang w:bidi="ar"/>
        </w:rPr>
        <w:t>（三）保险起保日前，投保人可自行办理批改或退保；保险起保日后，投保人须提交经被保险人书面盖章同意的证明材料后，保险公司方能办理批改或退保，如保险公司未按本条规定办理批改或退保的，保险公司承担由此带来的一切赔偿责任。</w:t>
      </w:r>
    </w:p>
    <w:p>
      <w:pPr>
        <w:ind w:firstLine="420" w:firstLineChars="200"/>
        <w:rPr>
          <w:color w:val="auto"/>
          <w:szCs w:val="21"/>
          <w:highlight w:val="none"/>
        </w:rPr>
      </w:pPr>
      <w:r>
        <w:rPr>
          <w:color w:val="auto"/>
          <w:szCs w:val="21"/>
          <w:highlight w:val="none"/>
          <w:lang w:bidi="ar"/>
        </w:rPr>
        <w:t>（四）发生保险事故时，由被保险人向保险公司报案并提供索赔材料，保险公司应在一个月内、无条件的向被保险人支付赔款，赔款金额为出险标包的保险金额总额；当年发生的索赔案件，保险人须在本自然年度内赔付至被保险人并结案；若投保人未缴纳保费，保险公司不得以投保人未缴纳保费拒绝支付赔款。</w:t>
      </w:r>
    </w:p>
    <w:p>
      <w:pPr>
        <w:widowControl/>
        <w:jc w:val="left"/>
        <w:rPr>
          <w:color w:val="auto"/>
          <w:highlight w:val="none"/>
        </w:rPr>
      </w:pPr>
      <w:r>
        <w:rPr>
          <w:color w:val="auto"/>
          <w:szCs w:val="21"/>
          <w:highlight w:val="none"/>
          <w:lang w:bidi="ar"/>
        </w:rPr>
        <w:t xml:space="preserve">   （五）发生保险事故后，被保险人索赔时，仅需提供以下材料：1.《保险单》；2.《索赔申请书》；3.招标文件（仅需提供与保险索赔相关的部分）；4.投标文件（仅需提供与保险索赔相关的部分）；5.被保险人出具的保险事故发生的证明文件。</w:t>
      </w:r>
    </w:p>
    <w:p>
      <w:pPr>
        <w:widowControl/>
        <w:topLinePunct w:val="0"/>
        <w:jc w:val="center"/>
        <w:rPr>
          <w:color w:val="auto"/>
          <w:highlight w:val="none"/>
        </w:rPr>
      </w:pPr>
      <w:r>
        <w:rPr>
          <w:color w:val="auto"/>
          <w:highlight w:val="none"/>
        </w:rPr>
        <w:br w:type="page"/>
      </w:r>
    </w:p>
    <w:p>
      <w:pPr>
        <w:widowControl/>
        <w:topLinePunct w:val="0"/>
        <w:jc w:val="center"/>
        <w:rPr>
          <w:color w:val="auto"/>
          <w:highlight w:val="none"/>
        </w:rPr>
      </w:pPr>
    </w:p>
    <w:p>
      <w:pPr>
        <w:widowControl/>
        <w:topLinePunct w:val="0"/>
        <w:jc w:val="center"/>
        <w:rPr>
          <w:rFonts w:eastAsia="黑体"/>
          <w:color w:val="auto"/>
          <w:sz w:val="24"/>
          <w:highlight w:val="none"/>
        </w:rPr>
      </w:pPr>
      <w:r>
        <w:rPr>
          <w:rFonts w:eastAsia="黑体"/>
          <w:color w:val="auto"/>
          <w:sz w:val="24"/>
          <w:highlight w:val="none"/>
        </w:rPr>
        <w:t>基本账户证明</w:t>
      </w:r>
    </w:p>
    <w:p>
      <w:pPr>
        <w:spacing w:line="360" w:lineRule="exact"/>
        <w:jc w:val="center"/>
        <w:rPr>
          <w:b/>
          <w:color w:val="auto"/>
          <w:highlight w:val="none"/>
        </w:rPr>
      </w:pPr>
    </w:p>
    <w:p>
      <w:pPr>
        <w:jc w:val="center"/>
        <w:rPr>
          <w:color w:val="auto"/>
          <w:highlight w:val="none"/>
        </w:rPr>
      </w:pPr>
      <w:r>
        <w:rPr>
          <w:color w:val="auto"/>
          <w:highlight w:val="none"/>
        </w:rPr>
        <w:t>（此处粘帖企业基本账户开户许可证扫描件或由投标人基本账户开户银行通过账户管理系统打印的《基本存款账户信息》扫描件）</w:t>
      </w:r>
    </w:p>
    <w:p>
      <w:pPr>
        <w:jc w:val="center"/>
        <w:rPr>
          <w:color w:val="auto"/>
          <w:highlight w:val="none"/>
        </w:rPr>
      </w:pPr>
    </w:p>
    <w:p>
      <w:pPr>
        <w:jc w:val="center"/>
        <w:rPr>
          <w:color w:val="auto"/>
          <w:highlight w:val="none"/>
        </w:rPr>
      </w:pPr>
    </w:p>
    <w:p>
      <w:pPr>
        <w:adjustRightInd w:val="0"/>
        <w:snapToGrid w:val="0"/>
        <w:spacing w:line="400" w:lineRule="exact"/>
        <w:ind w:firstLine="420" w:firstLineChars="200"/>
        <w:rPr>
          <w:color w:val="auto"/>
          <w:szCs w:val="21"/>
          <w:highlight w:val="none"/>
        </w:rPr>
      </w:pPr>
    </w:p>
    <w:p>
      <w:pPr>
        <w:snapToGrid w:val="0"/>
        <w:spacing w:line="400" w:lineRule="exact"/>
        <w:ind w:firstLine="562" w:firstLineChars="200"/>
        <w:rPr>
          <w:rFonts w:eastAsia="黑体"/>
          <w:b/>
          <w:color w:val="auto"/>
          <w:sz w:val="28"/>
          <w:szCs w:val="28"/>
          <w:highlight w:val="none"/>
        </w:rPr>
      </w:pPr>
    </w:p>
    <w:p>
      <w:pPr>
        <w:widowControl/>
        <w:topLinePunct w:val="0"/>
        <w:jc w:val="left"/>
        <w:rPr>
          <w:color w:val="auto"/>
          <w:highlight w:val="none"/>
        </w:rPr>
      </w:pPr>
      <w:r>
        <w:rPr>
          <w:color w:val="auto"/>
          <w:highlight w:val="none"/>
        </w:rPr>
        <w:br w:type="page"/>
      </w:r>
    </w:p>
    <w:p>
      <w:pPr>
        <w:widowControl/>
        <w:jc w:val="left"/>
        <w:rPr>
          <w:color w:val="auto"/>
          <w:highlight w:val="none"/>
        </w:rPr>
      </w:pPr>
    </w:p>
    <w:p>
      <w:pPr>
        <w:widowControl/>
        <w:spacing w:line="480" w:lineRule="auto"/>
        <w:jc w:val="center"/>
        <w:rPr>
          <w:rFonts w:eastAsia="黑体"/>
          <w:color w:val="auto"/>
          <w:sz w:val="24"/>
          <w:highlight w:val="none"/>
        </w:rPr>
      </w:pPr>
      <w:r>
        <w:rPr>
          <w:rFonts w:eastAsia="黑体"/>
          <w:color w:val="auto"/>
          <w:sz w:val="24"/>
          <w:highlight w:val="none"/>
        </w:rPr>
        <w:t>投标保证金明细表（格式）</w:t>
      </w:r>
    </w:p>
    <w:p>
      <w:pPr>
        <w:rPr>
          <w:color w:val="auto"/>
          <w:highlight w:val="none"/>
        </w:rPr>
      </w:pPr>
    </w:p>
    <w:tbl>
      <w:tblPr>
        <w:tblStyle w:val="1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8"/>
        <w:gridCol w:w="1669"/>
        <w:gridCol w:w="1164"/>
        <w:gridCol w:w="2126"/>
        <w:gridCol w:w="2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top w:val="double" w:color="auto" w:sz="4" w:space="0"/>
              <w:left w:val="nil"/>
            </w:tcBorders>
            <w:noWrap w:val="0"/>
            <w:vAlign w:val="center"/>
          </w:tcPr>
          <w:p>
            <w:pPr>
              <w:widowControl/>
              <w:adjustRightInd w:val="0"/>
              <w:snapToGrid w:val="0"/>
              <w:jc w:val="center"/>
              <w:rPr>
                <w:b/>
                <w:color w:val="auto"/>
                <w:highlight w:val="none"/>
              </w:rPr>
            </w:pPr>
            <w:r>
              <w:rPr>
                <w:b/>
                <w:color w:val="auto"/>
                <w:highlight w:val="none"/>
              </w:rPr>
              <w:t>招标编号</w:t>
            </w:r>
          </w:p>
        </w:tc>
        <w:tc>
          <w:tcPr>
            <w:tcW w:w="1669" w:type="dxa"/>
            <w:tcBorders>
              <w:top w:val="double" w:color="auto" w:sz="4" w:space="0"/>
            </w:tcBorders>
            <w:noWrap w:val="0"/>
            <w:vAlign w:val="center"/>
          </w:tcPr>
          <w:p>
            <w:pPr>
              <w:widowControl/>
              <w:adjustRightInd w:val="0"/>
              <w:snapToGrid w:val="0"/>
              <w:jc w:val="center"/>
              <w:rPr>
                <w:b/>
                <w:color w:val="auto"/>
                <w:highlight w:val="none"/>
              </w:rPr>
            </w:pPr>
            <w:r>
              <w:rPr>
                <w:b/>
                <w:color w:val="auto"/>
                <w:highlight w:val="none"/>
              </w:rPr>
              <w:t>分标编号</w:t>
            </w:r>
          </w:p>
        </w:tc>
        <w:tc>
          <w:tcPr>
            <w:tcW w:w="1164" w:type="dxa"/>
            <w:tcBorders>
              <w:top w:val="double" w:color="auto" w:sz="4" w:space="0"/>
            </w:tcBorders>
            <w:noWrap w:val="0"/>
            <w:vAlign w:val="center"/>
          </w:tcPr>
          <w:p>
            <w:pPr>
              <w:widowControl/>
              <w:adjustRightInd w:val="0"/>
              <w:snapToGrid w:val="0"/>
              <w:jc w:val="center"/>
              <w:rPr>
                <w:b/>
                <w:color w:val="auto"/>
                <w:highlight w:val="none"/>
              </w:rPr>
            </w:pPr>
            <w:r>
              <w:rPr>
                <w:b/>
                <w:color w:val="auto"/>
                <w:highlight w:val="none"/>
              </w:rPr>
              <w:t>包号</w:t>
            </w:r>
          </w:p>
        </w:tc>
        <w:tc>
          <w:tcPr>
            <w:tcW w:w="2126" w:type="dxa"/>
            <w:tcBorders>
              <w:top w:val="double" w:color="auto" w:sz="4" w:space="0"/>
              <w:right w:val="nil"/>
            </w:tcBorders>
            <w:noWrap w:val="0"/>
            <w:vAlign w:val="center"/>
          </w:tcPr>
          <w:p>
            <w:pPr>
              <w:widowControl/>
              <w:adjustRightInd w:val="0"/>
              <w:snapToGrid w:val="0"/>
              <w:jc w:val="center"/>
              <w:rPr>
                <w:b/>
                <w:color w:val="auto"/>
                <w:highlight w:val="none"/>
              </w:rPr>
            </w:pPr>
            <w:r>
              <w:rPr>
                <w:b/>
                <w:color w:val="auto"/>
                <w:highlight w:val="none"/>
              </w:rPr>
              <w:t>保证金金额/保单承诺赔付金额</w:t>
            </w:r>
          </w:p>
          <w:p>
            <w:pPr>
              <w:widowControl/>
              <w:adjustRightInd w:val="0"/>
              <w:snapToGrid w:val="0"/>
              <w:jc w:val="center"/>
              <w:rPr>
                <w:b/>
                <w:color w:val="auto"/>
                <w:highlight w:val="none"/>
              </w:rPr>
            </w:pPr>
            <w:r>
              <w:rPr>
                <w:b/>
                <w:color w:val="auto"/>
                <w:highlight w:val="none"/>
              </w:rPr>
              <w:t>（万元）</w:t>
            </w:r>
          </w:p>
        </w:tc>
        <w:tc>
          <w:tcPr>
            <w:tcW w:w="2193" w:type="dxa"/>
            <w:tcBorders>
              <w:top w:val="double" w:color="auto" w:sz="4" w:space="0"/>
              <w:right w:val="nil"/>
            </w:tcBorders>
            <w:noWrap w:val="0"/>
            <w:vAlign w:val="center"/>
          </w:tcPr>
          <w:p>
            <w:pPr>
              <w:widowControl/>
              <w:adjustRightInd w:val="0"/>
              <w:snapToGrid w:val="0"/>
              <w:jc w:val="center"/>
              <w:rPr>
                <w:b/>
                <w:color w:val="auto"/>
                <w:highlight w:val="none"/>
              </w:rPr>
            </w:pPr>
            <w:r>
              <w:rPr>
                <w:b/>
                <w:color w:val="auto"/>
                <w:highlight w:val="none"/>
              </w:rPr>
              <w:t>汇款流水号/保函编号/保单号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tcBorders>
            <w:noWrap w:val="0"/>
            <w:vAlign w:val="top"/>
          </w:tcPr>
          <w:p>
            <w:pPr>
              <w:adjustRightInd w:val="0"/>
              <w:snapToGrid w:val="0"/>
              <w:jc w:val="center"/>
              <w:rPr>
                <w:color w:val="auto"/>
                <w:highlight w:val="none"/>
              </w:rPr>
            </w:pPr>
          </w:p>
        </w:tc>
        <w:tc>
          <w:tcPr>
            <w:tcW w:w="1669" w:type="dxa"/>
            <w:noWrap w:val="0"/>
            <w:vAlign w:val="top"/>
          </w:tcPr>
          <w:p>
            <w:pPr>
              <w:adjustRightInd w:val="0"/>
              <w:snapToGrid w:val="0"/>
              <w:jc w:val="center"/>
              <w:rPr>
                <w:color w:val="auto"/>
                <w:highlight w:val="none"/>
              </w:rPr>
            </w:pPr>
          </w:p>
        </w:tc>
        <w:tc>
          <w:tcPr>
            <w:tcW w:w="1164" w:type="dxa"/>
            <w:noWrap w:val="0"/>
            <w:vAlign w:val="top"/>
          </w:tcPr>
          <w:p>
            <w:pPr>
              <w:adjustRightInd w:val="0"/>
              <w:snapToGrid w:val="0"/>
              <w:jc w:val="center"/>
              <w:rPr>
                <w:color w:val="auto"/>
                <w:highlight w:val="none"/>
              </w:rPr>
            </w:pPr>
          </w:p>
        </w:tc>
        <w:tc>
          <w:tcPr>
            <w:tcW w:w="2126" w:type="dxa"/>
            <w:tcBorders>
              <w:right w:val="nil"/>
            </w:tcBorders>
            <w:noWrap w:val="0"/>
            <w:vAlign w:val="top"/>
          </w:tcPr>
          <w:p>
            <w:pPr>
              <w:adjustRightInd w:val="0"/>
              <w:snapToGrid w:val="0"/>
              <w:jc w:val="center"/>
              <w:rPr>
                <w:color w:val="auto"/>
                <w:highlight w:val="none"/>
              </w:rPr>
            </w:pPr>
          </w:p>
        </w:tc>
        <w:tc>
          <w:tcPr>
            <w:tcW w:w="2193" w:type="dxa"/>
            <w:tcBorders>
              <w:right w:val="nil"/>
            </w:tcBorders>
            <w:noWrap w:val="0"/>
            <w:vAlign w:val="top"/>
          </w:tcPr>
          <w:p>
            <w:pPr>
              <w:adjustRightInd w:val="0"/>
              <w:snapToGrid w:val="0"/>
              <w:jc w:val="center"/>
              <w:rPr>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tcBorders>
            <w:noWrap w:val="0"/>
            <w:vAlign w:val="top"/>
          </w:tcPr>
          <w:p>
            <w:pPr>
              <w:adjustRightInd w:val="0"/>
              <w:snapToGrid w:val="0"/>
              <w:jc w:val="center"/>
              <w:rPr>
                <w:color w:val="auto"/>
                <w:highlight w:val="none"/>
              </w:rPr>
            </w:pPr>
          </w:p>
        </w:tc>
        <w:tc>
          <w:tcPr>
            <w:tcW w:w="1669" w:type="dxa"/>
            <w:noWrap w:val="0"/>
            <w:vAlign w:val="top"/>
          </w:tcPr>
          <w:p>
            <w:pPr>
              <w:adjustRightInd w:val="0"/>
              <w:snapToGrid w:val="0"/>
              <w:jc w:val="center"/>
              <w:rPr>
                <w:color w:val="auto"/>
                <w:highlight w:val="none"/>
              </w:rPr>
            </w:pPr>
          </w:p>
        </w:tc>
        <w:tc>
          <w:tcPr>
            <w:tcW w:w="1164" w:type="dxa"/>
            <w:noWrap w:val="0"/>
            <w:vAlign w:val="top"/>
          </w:tcPr>
          <w:p>
            <w:pPr>
              <w:adjustRightInd w:val="0"/>
              <w:snapToGrid w:val="0"/>
              <w:jc w:val="center"/>
              <w:rPr>
                <w:color w:val="auto"/>
                <w:highlight w:val="none"/>
              </w:rPr>
            </w:pPr>
          </w:p>
        </w:tc>
        <w:tc>
          <w:tcPr>
            <w:tcW w:w="2126" w:type="dxa"/>
            <w:tcBorders>
              <w:right w:val="nil"/>
            </w:tcBorders>
            <w:noWrap w:val="0"/>
            <w:vAlign w:val="top"/>
          </w:tcPr>
          <w:p>
            <w:pPr>
              <w:adjustRightInd w:val="0"/>
              <w:snapToGrid w:val="0"/>
              <w:jc w:val="center"/>
              <w:rPr>
                <w:color w:val="auto"/>
                <w:highlight w:val="none"/>
              </w:rPr>
            </w:pPr>
          </w:p>
        </w:tc>
        <w:tc>
          <w:tcPr>
            <w:tcW w:w="2193" w:type="dxa"/>
            <w:tcBorders>
              <w:right w:val="nil"/>
            </w:tcBorders>
            <w:noWrap w:val="0"/>
            <w:vAlign w:val="top"/>
          </w:tcPr>
          <w:p>
            <w:pPr>
              <w:adjustRightInd w:val="0"/>
              <w:snapToGrid w:val="0"/>
              <w:jc w:val="center"/>
              <w:rPr>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tcBorders>
            <w:noWrap w:val="0"/>
            <w:vAlign w:val="top"/>
          </w:tcPr>
          <w:p>
            <w:pPr>
              <w:adjustRightInd w:val="0"/>
              <w:snapToGrid w:val="0"/>
              <w:jc w:val="center"/>
              <w:rPr>
                <w:color w:val="auto"/>
                <w:highlight w:val="none"/>
              </w:rPr>
            </w:pPr>
          </w:p>
        </w:tc>
        <w:tc>
          <w:tcPr>
            <w:tcW w:w="1669" w:type="dxa"/>
            <w:noWrap w:val="0"/>
            <w:vAlign w:val="top"/>
          </w:tcPr>
          <w:p>
            <w:pPr>
              <w:adjustRightInd w:val="0"/>
              <w:snapToGrid w:val="0"/>
              <w:jc w:val="center"/>
              <w:rPr>
                <w:color w:val="auto"/>
                <w:highlight w:val="none"/>
              </w:rPr>
            </w:pPr>
          </w:p>
        </w:tc>
        <w:tc>
          <w:tcPr>
            <w:tcW w:w="1164" w:type="dxa"/>
            <w:noWrap w:val="0"/>
            <w:vAlign w:val="top"/>
          </w:tcPr>
          <w:p>
            <w:pPr>
              <w:adjustRightInd w:val="0"/>
              <w:snapToGrid w:val="0"/>
              <w:jc w:val="center"/>
              <w:rPr>
                <w:color w:val="auto"/>
                <w:highlight w:val="none"/>
              </w:rPr>
            </w:pPr>
          </w:p>
        </w:tc>
        <w:tc>
          <w:tcPr>
            <w:tcW w:w="2126" w:type="dxa"/>
            <w:tcBorders>
              <w:right w:val="nil"/>
            </w:tcBorders>
            <w:noWrap w:val="0"/>
            <w:vAlign w:val="top"/>
          </w:tcPr>
          <w:p>
            <w:pPr>
              <w:adjustRightInd w:val="0"/>
              <w:snapToGrid w:val="0"/>
              <w:jc w:val="center"/>
              <w:rPr>
                <w:color w:val="auto"/>
                <w:highlight w:val="none"/>
              </w:rPr>
            </w:pPr>
          </w:p>
        </w:tc>
        <w:tc>
          <w:tcPr>
            <w:tcW w:w="2193" w:type="dxa"/>
            <w:tcBorders>
              <w:right w:val="nil"/>
            </w:tcBorders>
            <w:noWrap w:val="0"/>
            <w:vAlign w:val="top"/>
          </w:tcPr>
          <w:p>
            <w:pPr>
              <w:adjustRightInd w:val="0"/>
              <w:snapToGrid w:val="0"/>
              <w:jc w:val="center"/>
              <w:rPr>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bottom w:val="single" w:color="auto" w:sz="4" w:space="0"/>
            </w:tcBorders>
            <w:noWrap w:val="0"/>
            <w:vAlign w:val="top"/>
          </w:tcPr>
          <w:p>
            <w:pPr>
              <w:adjustRightInd w:val="0"/>
              <w:snapToGrid w:val="0"/>
              <w:jc w:val="center"/>
              <w:rPr>
                <w:color w:val="auto"/>
                <w:highlight w:val="none"/>
              </w:rPr>
            </w:pPr>
          </w:p>
        </w:tc>
        <w:tc>
          <w:tcPr>
            <w:tcW w:w="1669" w:type="dxa"/>
            <w:tcBorders>
              <w:bottom w:val="single" w:color="auto" w:sz="4" w:space="0"/>
            </w:tcBorders>
            <w:noWrap w:val="0"/>
            <w:vAlign w:val="top"/>
          </w:tcPr>
          <w:p>
            <w:pPr>
              <w:adjustRightInd w:val="0"/>
              <w:snapToGrid w:val="0"/>
              <w:jc w:val="center"/>
              <w:rPr>
                <w:color w:val="auto"/>
                <w:highlight w:val="none"/>
              </w:rPr>
            </w:pPr>
          </w:p>
        </w:tc>
        <w:tc>
          <w:tcPr>
            <w:tcW w:w="1164" w:type="dxa"/>
            <w:tcBorders>
              <w:bottom w:val="single" w:color="auto" w:sz="4" w:space="0"/>
            </w:tcBorders>
            <w:noWrap w:val="0"/>
            <w:vAlign w:val="top"/>
          </w:tcPr>
          <w:p>
            <w:pPr>
              <w:adjustRightInd w:val="0"/>
              <w:snapToGrid w:val="0"/>
              <w:jc w:val="center"/>
              <w:rPr>
                <w:color w:val="auto"/>
                <w:highlight w:val="none"/>
              </w:rPr>
            </w:pPr>
          </w:p>
        </w:tc>
        <w:tc>
          <w:tcPr>
            <w:tcW w:w="2126" w:type="dxa"/>
            <w:tcBorders>
              <w:bottom w:val="single" w:color="auto" w:sz="4" w:space="0"/>
              <w:right w:val="nil"/>
            </w:tcBorders>
            <w:noWrap w:val="0"/>
            <w:vAlign w:val="top"/>
          </w:tcPr>
          <w:p>
            <w:pPr>
              <w:adjustRightInd w:val="0"/>
              <w:snapToGrid w:val="0"/>
              <w:jc w:val="center"/>
              <w:rPr>
                <w:color w:val="auto"/>
                <w:highlight w:val="none"/>
              </w:rPr>
            </w:pPr>
          </w:p>
        </w:tc>
        <w:tc>
          <w:tcPr>
            <w:tcW w:w="2193" w:type="dxa"/>
            <w:tcBorders>
              <w:bottom w:val="single" w:color="auto" w:sz="4" w:space="0"/>
              <w:right w:val="nil"/>
            </w:tcBorders>
            <w:noWrap w:val="0"/>
            <w:vAlign w:val="top"/>
          </w:tcPr>
          <w:p>
            <w:pPr>
              <w:adjustRightInd w:val="0"/>
              <w:snapToGrid w:val="0"/>
              <w:jc w:val="center"/>
              <w:rPr>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left w:val="nil"/>
              <w:bottom w:val="double" w:color="auto" w:sz="4" w:space="0"/>
            </w:tcBorders>
            <w:noWrap w:val="0"/>
            <w:vAlign w:val="top"/>
          </w:tcPr>
          <w:p>
            <w:pPr>
              <w:adjustRightInd w:val="0"/>
              <w:snapToGrid w:val="0"/>
              <w:jc w:val="center"/>
              <w:rPr>
                <w:color w:val="auto"/>
                <w:highlight w:val="none"/>
              </w:rPr>
            </w:pPr>
          </w:p>
        </w:tc>
        <w:tc>
          <w:tcPr>
            <w:tcW w:w="1669" w:type="dxa"/>
            <w:tcBorders>
              <w:bottom w:val="double" w:color="auto" w:sz="4" w:space="0"/>
            </w:tcBorders>
            <w:noWrap w:val="0"/>
            <w:vAlign w:val="top"/>
          </w:tcPr>
          <w:p>
            <w:pPr>
              <w:adjustRightInd w:val="0"/>
              <w:snapToGrid w:val="0"/>
              <w:jc w:val="center"/>
              <w:rPr>
                <w:color w:val="auto"/>
                <w:highlight w:val="none"/>
              </w:rPr>
            </w:pPr>
          </w:p>
        </w:tc>
        <w:tc>
          <w:tcPr>
            <w:tcW w:w="1164" w:type="dxa"/>
            <w:tcBorders>
              <w:bottom w:val="double" w:color="auto" w:sz="4" w:space="0"/>
            </w:tcBorders>
            <w:noWrap w:val="0"/>
            <w:vAlign w:val="top"/>
          </w:tcPr>
          <w:p>
            <w:pPr>
              <w:adjustRightInd w:val="0"/>
              <w:snapToGrid w:val="0"/>
              <w:jc w:val="center"/>
              <w:rPr>
                <w:color w:val="auto"/>
                <w:highlight w:val="none"/>
              </w:rPr>
            </w:pPr>
          </w:p>
        </w:tc>
        <w:tc>
          <w:tcPr>
            <w:tcW w:w="2126" w:type="dxa"/>
            <w:tcBorders>
              <w:bottom w:val="double" w:color="auto" w:sz="4" w:space="0"/>
              <w:right w:val="nil"/>
            </w:tcBorders>
            <w:noWrap w:val="0"/>
            <w:vAlign w:val="top"/>
          </w:tcPr>
          <w:p>
            <w:pPr>
              <w:adjustRightInd w:val="0"/>
              <w:snapToGrid w:val="0"/>
              <w:jc w:val="center"/>
              <w:rPr>
                <w:color w:val="auto"/>
                <w:highlight w:val="none"/>
              </w:rPr>
            </w:pPr>
          </w:p>
        </w:tc>
        <w:tc>
          <w:tcPr>
            <w:tcW w:w="2193" w:type="dxa"/>
            <w:tcBorders>
              <w:bottom w:val="double" w:color="auto" w:sz="4" w:space="0"/>
              <w:right w:val="nil"/>
            </w:tcBorders>
            <w:noWrap w:val="0"/>
            <w:vAlign w:val="top"/>
          </w:tcPr>
          <w:p>
            <w:pPr>
              <w:adjustRightInd w:val="0"/>
              <w:snapToGrid w:val="0"/>
              <w:jc w:val="center"/>
              <w:rPr>
                <w:color w:val="auto"/>
                <w:highlight w:val="none"/>
              </w:rPr>
            </w:pPr>
          </w:p>
        </w:tc>
      </w:tr>
    </w:tbl>
    <w:p>
      <w:pPr>
        <w:adjustRightInd w:val="0"/>
        <w:snapToGrid w:val="0"/>
        <w:ind w:firstLine="420" w:firstLineChars="200"/>
        <w:rPr>
          <w:color w:val="auto"/>
          <w:highlight w:val="none"/>
        </w:rPr>
      </w:pPr>
      <w:r>
        <w:rPr>
          <w:color w:val="auto"/>
          <w:highlight w:val="none"/>
        </w:rPr>
        <w:t>1.未按招标文件要求提交投标保证金的，</w:t>
      </w:r>
      <w:r>
        <w:rPr>
          <w:color w:val="auto"/>
          <w:szCs w:val="21"/>
          <w:highlight w:val="none"/>
        </w:rPr>
        <w:t>其投标作否决投标的处理</w:t>
      </w:r>
      <w:r>
        <w:rPr>
          <w:color w:val="auto"/>
          <w:highlight w:val="none"/>
        </w:rPr>
        <w:t>。</w:t>
      </w:r>
    </w:p>
    <w:p>
      <w:pPr>
        <w:adjustRightInd w:val="0"/>
        <w:snapToGrid w:val="0"/>
        <w:ind w:firstLine="420" w:firstLineChars="200"/>
        <w:rPr>
          <w:b/>
          <w:color w:val="auto"/>
          <w:highlight w:val="none"/>
        </w:rPr>
      </w:pPr>
      <w:r>
        <w:rPr>
          <w:color w:val="auto"/>
          <w:highlight w:val="none"/>
        </w:rPr>
        <w:t>2.</w:t>
      </w:r>
      <w:r>
        <w:rPr>
          <w:b/>
          <w:color w:val="auto"/>
          <w:szCs w:val="21"/>
          <w:highlight w:val="none"/>
        </w:rPr>
        <w:t>对于提交电汇、银行保函、投标保证保险的投标人，</w:t>
      </w:r>
      <w:r>
        <w:rPr>
          <w:color w:val="auto"/>
          <w:szCs w:val="21"/>
          <w:highlight w:val="none"/>
        </w:rPr>
        <w:t>按以上格式编制投标保证金明细表。</w:t>
      </w:r>
      <w:r>
        <w:rPr>
          <w:b/>
          <w:color w:val="auto"/>
          <w:highlight w:val="none"/>
        </w:rPr>
        <w:t>对于未提供保证金明细表或所提供的明细表内容不全的、所提供的明细表内容表达描述模糊不清的，招标人将按照项目招标编号、分标编号、包号顺序核定。</w:t>
      </w:r>
    </w:p>
    <w:p>
      <w:pPr>
        <w:pStyle w:val="38"/>
        <w:ind w:firstLine="413" w:firstLineChars="196"/>
        <w:rPr>
          <w:rFonts w:ascii="Times New Roman" w:hAnsi="Times New Roman"/>
          <w:b/>
          <w:color w:val="auto"/>
          <w:sz w:val="24"/>
          <w:highlight w:val="none"/>
        </w:rPr>
      </w:pPr>
      <w:r>
        <w:rPr>
          <w:rFonts w:ascii="Times New Roman" w:hAnsi="Times New Roman"/>
          <w:b/>
          <w:color w:val="auto"/>
          <w:highlight w:val="none"/>
        </w:rPr>
        <w:t>3.提供国家电网有限公司集中招标采购年度投标保证金的，无需提供此表格。</w:t>
      </w:r>
    </w:p>
    <w:p>
      <w:pPr>
        <w:pStyle w:val="17"/>
        <w:numPr>
          <w:ilvl w:val="0"/>
          <w:numId w:val="0"/>
        </w:numPr>
        <w:ind w:leftChars="0"/>
        <w:rPr>
          <w:rFonts w:hint="eastAsia"/>
          <w:color w:val="auto"/>
          <w:highlight w:val="none"/>
        </w:rPr>
      </w:pPr>
    </w:p>
    <w:p>
      <w:pPr>
        <w:rPr>
          <w:rFonts w:hint="eastAsia"/>
          <w:color w:val="auto"/>
          <w:highlight w:val="none"/>
        </w:rPr>
      </w:pPr>
      <w:r>
        <w:rPr>
          <w:rFonts w:hint="eastAsia"/>
          <w:color w:val="auto"/>
          <w:highlight w:val="none"/>
        </w:rPr>
        <w:br w:type="page"/>
      </w:r>
    </w:p>
    <w:p>
      <w:pPr>
        <w:rPr>
          <w:rFonts w:hint="eastAsia"/>
          <w:color w:val="auto"/>
          <w:highlight w:val="none"/>
        </w:rPr>
      </w:pPr>
    </w:p>
    <w:p>
      <w:pPr>
        <w:keepNext w:val="0"/>
        <w:keepLines w:val="0"/>
        <w:widowControl/>
        <w:suppressLineNumbers w:val="0"/>
        <w:jc w:val="left"/>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6</w:t>
      </w:r>
      <w:r>
        <w:rPr>
          <w:rFonts w:hint="eastAsia" w:ascii="宋体" w:hAnsi="宋体" w:eastAsia="宋体" w:cs="宋体"/>
          <w:i w:val="0"/>
          <w:iCs w:val="0"/>
          <w:color w:val="auto"/>
          <w:kern w:val="0"/>
          <w:sz w:val="20"/>
          <w:szCs w:val="20"/>
          <w:highlight w:val="none"/>
          <w:u w:val="none"/>
          <w:lang w:val="en-US" w:eastAsia="zh-CN" w:bidi="ar"/>
        </w:rPr>
        <w:t>.安全质量事故查询响应表（适用于设计、监理类）</w:t>
      </w:r>
    </w:p>
    <w:p>
      <w:pPr>
        <w:spacing w:line="400" w:lineRule="exact"/>
        <w:ind w:firstLine="420" w:firstLineChars="200"/>
        <w:rPr>
          <w:rFonts w:hint="eastAsia" w:eastAsia="宋体"/>
          <w:color w:val="auto"/>
          <w:szCs w:val="21"/>
          <w:highlight w:val="none"/>
          <w:lang w:eastAsia="zh-CN"/>
        </w:rPr>
      </w:pPr>
      <w:r>
        <w:rPr>
          <w:rFonts w:hint="eastAsia"/>
          <w:color w:val="auto"/>
          <w:szCs w:val="21"/>
          <w:highlight w:val="none"/>
        </w:rPr>
        <w:t>请投标人根据招标公告安全质量要求填写下表并承诺内容真实，若此处提供虚假信息且经查证属实的，根据招标文件规定的否决情形处理</w:t>
      </w:r>
      <w:r>
        <w:rPr>
          <w:rFonts w:hint="eastAsia"/>
          <w:color w:val="auto"/>
          <w:szCs w:val="21"/>
          <w:highlight w:val="none"/>
          <w:lang w:eastAsia="zh-CN"/>
        </w:rPr>
        <w:t>。</w:t>
      </w:r>
    </w:p>
    <w:p>
      <w:pPr>
        <w:spacing w:line="360" w:lineRule="exact"/>
        <w:ind w:firstLine="420"/>
        <w:rPr>
          <w:color w:val="auto"/>
          <w:highlight w:val="none"/>
        </w:rPr>
      </w:pPr>
    </w:p>
    <w:p>
      <w:pPr>
        <w:spacing w:line="360" w:lineRule="exact"/>
        <w:ind w:firstLine="420" w:firstLineChars="200"/>
        <w:jc w:val="center"/>
        <w:rPr>
          <w:color w:val="auto"/>
          <w:highlight w:val="none"/>
        </w:rPr>
      </w:pPr>
      <w:r>
        <w:rPr>
          <w:color w:val="auto"/>
          <w:highlight w:val="none"/>
        </w:rPr>
        <w:t>开标日前三年内投标人安全事故情况统计表</w:t>
      </w:r>
    </w:p>
    <w:tbl>
      <w:tblPr>
        <w:tblStyle w:val="19"/>
        <w:tblW w:w="4997" w:type="pct"/>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autofit"/>
        <w:tblCellMar>
          <w:top w:w="0" w:type="dxa"/>
          <w:left w:w="108" w:type="dxa"/>
          <w:bottom w:w="0" w:type="dxa"/>
          <w:right w:w="108" w:type="dxa"/>
        </w:tblCellMar>
      </w:tblPr>
      <w:tblGrid>
        <w:gridCol w:w="595"/>
        <w:gridCol w:w="1140"/>
        <w:gridCol w:w="2122"/>
        <w:gridCol w:w="1193"/>
        <w:gridCol w:w="1733"/>
        <w:gridCol w:w="1734"/>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tcBorders>
              <w:top w:val="single" w:color="auto" w:sz="8" w:space="0"/>
            </w:tcBorders>
            <w:noWrap w:val="0"/>
            <w:vAlign w:val="center"/>
          </w:tcPr>
          <w:p>
            <w:pPr>
              <w:pStyle w:val="41"/>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序号</w:t>
            </w:r>
          </w:p>
        </w:tc>
        <w:tc>
          <w:tcPr>
            <w:tcW w:w="669" w:type="pct"/>
            <w:tcBorders>
              <w:top w:val="single" w:color="auto" w:sz="8" w:space="0"/>
            </w:tcBorders>
            <w:noWrap w:val="0"/>
            <w:vAlign w:val="center"/>
          </w:tcPr>
          <w:p>
            <w:pPr>
              <w:pStyle w:val="41"/>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发生时间</w:t>
            </w:r>
          </w:p>
          <w:p>
            <w:pPr>
              <w:pStyle w:val="41"/>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（年月日）</w:t>
            </w:r>
          </w:p>
        </w:tc>
        <w:tc>
          <w:tcPr>
            <w:tcW w:w="1245" w:type="pct"/>
            <w:tcBorders>
              <w:top w:val="single" w:color="auto" w:sz="8" w:space="0"/>
              <w:right w:val="single" w:color="auto" w:sz="4" w:space="0"/>
            </w:tcBorders>
            <w:noWrap w:val="0"/>
            <w:vAlign w:val="center"/>
          </w:tcPr>
          <w:p>
            <w:pPr>
              <w:pStyle w:val="41"/>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事故概况</w:t>
            </w:r>
          </w:p>
        </w:tc>
        <w:tc>
          <w:tcPr>
            <w:tcW w:w="700" w:type="pct"/>
            <w:tcBorders>
              <w:top w:val="single" w:color="auto" w:sz="8" w:space="0"/>
              <w:right w:val="single" w:color="auto" w:sz="4" w:space="0"/>
            </w:tcBorders>
            <w:noWrap w:val="0"/>
            <w:vAlign w:val="center"/>
          </w:tcPr>
          <w:p>
            <w:pPr>
              <w:pStyle w:val="41"/>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死伤情况</w:t>
            </w:r>
          </w:p>
        </w:tc>
        <w:tc>
          <w:tcPr>
            <w:tcW w:w="1017" w:type="pct"/>
            <w:tcBorders>
              <w:top w:val="single" w:color="auto" w:sz="8" w:space="0"/>
              <w:right w:val="single" w:color="auto" w:sz="4" w:space="0"/>
            </w:tcBorders>
            <w:noWrap w:val="0"/>
            <w:vAlign w:val="top"/>
          </w:tcPr>
          <w:p>
            <w:pPr>
              <w:pStyle w:val="41"/>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招标人事故快报/舆情通报文号</w:t>
            </w:r>
          </w:p>
        </w:tc>
        <w:tc>
          <w:tcPr>
            <w:tcW w:w="1017" w:type="pct"/>
            <w:tcBorders>
              <w:top w:val="single" w:color="auto" w:sz="8" w:space="0"/>
              <w:left w:val="single" w:color="auto" w:sz="4" w:space="0"/>
            </w:tcBorders>
            <w:noWrap w:val="0"/>
            <w:vAlign w:val="center"/>
          </w:tcPr>
          <w:p>
            <w:pPr>
              <w:pStyle w:val="41"/>
              <w:snapToGrid w:val="0"/>
              <w:spacing w:before="50" w:after="50"/>
              <w:jc w:val="center"/>
              <w:rPr>
                <w:rFonts w:ascii="Times New Roman" w:hAnsi="Times New Roman" w:eastAsia="黑体"/>
                <w:color w:val="auto"/>
                <w:sz w:val="18"/>
                <w:highlight w:val="none"/>
                <w:lang w:eastAsia="zh-CN"/>
              </w:rPr>
            </w:pPr>
            <w:r>
              <w:rPr>
                <w:rFonts w:ascii="Times New Roman" w:hAnsi="Times New Roman" w:eastAsia="黑体"/>
                <w:color w:val="auto"/>
                <w:sz w:val="18"/>
                <w:highlight w:val="none"/>
                <w:lang w:eastAsia="zh-CN"/>
              </w:rPr>
              <w:t>政府调查报告或招标人调查结果通报文号</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noWrap w:val="0"/>
            <w:vAlign w:val="center"/>
          </w:tcPr>
          <w:p>
            <w:pPr>
              <w:pStyle w:val="41"/>
              <w:snapToGrid w:val="0"/>
              <w:spacing w:before="50" w:after="50"/>
              <w:jc w:val="center"/>
              <w:rPr>
                <w:rFonts w:ascii="Times New Roman" w:hAnsi="Times New Roman"/>
                <w:color w:val="auto"/>
                <w:sz w:val="18"/>
                <w:highlight w:val="none"/>
              </w:rPr>
            </w:pPr>
            <w:r>
              <w:rPr>
                <w:rFonts w:ascii="Times New Roman" w:hAnsi="Times New Roman"/>
                <w:color w:val="auto"/>
                <w:sz w:val="18"/>
                <w:highlight w:val="none"/>
              </w:rPr>
              <w:t>1</w:t>
            </w:r>
          </w:p>
        </w:tc>
        <w:tc>
          <w:tcPr>
            <w:tcW w:w="669" w:type="pct"/>
            <w:noWrap w:val="0"/>
            <w:vAlign w:val="center"/>
          </w:tcPr>
          <w:p>
            <w:pPr>
              <w:pStyle w:val="41"/>
              <w:snapToGrid w:val="0"/>
              <w:spacing w:before="50" w:after="50"/>
              <w:jc w:val="center"/>
              <w:rPr>
                <w:rFonts w:ascii="Times New Roman" w:hAnsi="Times New Roman"/>
                <w:color w:val="auto"/>
                <w:sz w:val="18"/>
                <w:highlight w:val="none"/>
              </w:rPr>
            </w:pPr>
          </w:p>
        </w:tc>
        <w:tc>
          <w:tcPr>
            <w:tcW w:w="1245" w:type="pct"/>
            <w:tcBorders>
              <w:right w:val="single" w:color="auto" w:sz="4" w:space="0"/>
            </w:tcBorders>
            <w:noWrap w:val="0"/>
            <w:vAlign w:val="center"/>
          </w:tcPr>
          <w:p>
            <w:pPr>
              <w:pStyle w:val="41"/>
              <w:snapToGrid w:val="0"/>
              <w:spacing w:before="50" w:after="50"/>
              <w:jc w:val="center"/>
              <w:rPr>
                <w:rFonts w:ascii="Times New Roman" w:hAnsi="Times New Roman"/>
                <w:color w:val="auto"/>
                <w:sz w:val="18"/>
                <w:highlight w:val="none"/>
                <w:lang w:eastAsia="zh-CN"/>
              </w:rPr>
            </w:pPr>
          </w:p>
        </w:tc>
        <w:tc>
          <w:tcPr>
            <w:tcW w:w="700" w:type="pct"/>
            <w:tcBorders>
              <w:right w:val="single" w:color="auto" w:sz="4" w:space="0"/>
            </w:tcBorders>
            <w:noWrap w:val="0"/>
            <w:vAlign w:val="top"/>
          </w:tcPr>
          <w:p>
            <w:pPr>
              <w:pStyle w:val="41"/>
              <w:snapToGrid w:val="0"/>
              <w:spacing w:before="50" w:after="50"/>
              <w:jc w:val="center"/>
              <w:rPr>
                <w:rFonts w:ascii="Times New Roman" w:hAnsi="Times New Roman"/>
                <w:color w:val="auto"/>
                <w:sz w:val="18"/>
                <w:highlight w:val="none"/>
              </w:rPr>
            </w:pPr>
          </w:p>
        </w:tc>
        <w:tc>
          <w:tcPr>
            <w:tcW w:w="1017" w:type="pct"/>
            <w:tcBorders>
              <w:right w:val="single" w:color="auto" w:sz="4" w:space="0"/>
            </w:tcBorders>
            <w:noWrap w:val="0"/>
            <w:vAlign w:val="top"/>
          </w:tcPr>
          <w:p>
            <w:pPr>
              <w:pStyle w:val="41"/>
              <w:snapToGrid w:val="0"/>
              <w:spacing w:before="50" w:after="50"/>
              <w:jc w:val="center"/>
              <w:rPr>
                <w:rFonts w:ascii="Times New Roman" w:hAnsi="Times New Roman"/>
                <w:color w:val="auto"/>
                <w:sz w:val="18"/>
                <w:highlight w:val="none"/>
              </w:rPr>
            </w:pPr>
          </w:p>
        </w:tc>
        <w:tc>
          <w:tcPr>
            <w:tcW w:w="1017" w:type="pct"/>
            <w:tcBorders>
              <w:left w:val="single" w:color="auto" w:sz="4" w:space="0"/>
            </w:tcBorders>
            <w:noWrap w:val="0"/>
            <w:vAlign w:val="center"/>
          </w:tcPr>
          <w:p>
            <w:pPr>
              <w:pStyle w:val="41"/>
              <w:snapToGrid w:val="0"/>
              <w:spacing w:before="50" w:after="50"/>
              <w:jc w:val="cente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noWrap w:val="0"/>
            <w:vAlign w:val="center"/>
          </w:tcPr>
          <w:p>
            <w:pPr>
              <w:pStyle w:val="41"/>
              <w:keepNext/>
              <w:keepLines/>
              <w:adjustRightInd w:val="0"/>
              <w:snapToGrid w:val="0"/>
              <w:spacing w:before="50" w:after="50" w:line="312" w:lineRule="atLeast"/>
              <w:jc w:val="center"/>
              <w:textAlignment w:val="baseline"/>
              <w:rPr>
                <w:rFonts w:ascii="Times New Roman" w:hAnsi="Times New Roman"/>
                <w:color w:val="auto"/>
                <w:sz w:val="18"/>
                <w:highlight w:val="none"/>
              </w:rPr>
            </w:pPr>
            <w:r>
              <w:rPr>
                <w:rFonts w:ascii="Times New Roman" w:hAnsi="Times New Roman"/>
                <w:color w:val="auto"/>
                <w:sz w:val="18"/>
                <w:highlight w:val="none"/>
              </w:rPr>
              <w:t>2</w:t>
            </w:r>
          </w:p>
        </w:tc>
        <w:tc>
          <w:tcPr>
            <w:tcW w:w="669" w:type="pct"/>
            <w:noWrap w:val="0"/>
            <w:vAlign w:val="center"/>
          </w:tcPr>
          <w:p>
            <w:pPr>
              <w:pStyle w:val="41"/>
              <w:snapToGrid w:val="0"/>
              <w:spacing w:before="50" w:after="50"/>
              <w:jc w:val="center"/>
              <w:rPr>
                <w:rFonts w:ascii="Times New Roman" w:hAnsi="Times New Roman"/>
                <w:color w:val="auto"/>
                <w:sz w:val="18"/>
                <w:highlight w:val="none"/>
              </w:rPr>
            </w:pPr>
          </w:p>
        </w:tc>
        <w:tc>
          <w:tcPr>
            <w:tcW w:w="1245" w:type="pct"/>
            <w:tcBorders>
              <w:right w:val="single" w:color="auto" w:sz="4" w:space="0"/>
            </w:tcBorders>
            <w:noWrap w:val="0"/>
            <w:vAlign w:val="center"/>
          </w:tcPr>
          <w:p>
            <w:pPr>
              <w:pStyle w:val="41"/>
              <w:snapToGrid w:val="0"/>
              <w:spacing w:before="50" w:after="50"/>
              <w:jc w:val="center"/>
              <w:rPr>
                <w:rFonts w:ascii="Times New Roman" w:hAnsi="Times New Roman"/>
                <w:color w:val="auto"/>
                <w:sz w:val="18"/>
                <w:highlight w:val="none"/>
                <w:lang w:eastAsia="zh-CN"/>
              </w:rPr>
            </w:pPr>
          </w:p>
        </w:tc>
        <w:tc>
          <w:tcPr>
            <w:tcW w:w="700" w:type="pct"/>
            <w:tcBorders>
              <w:right w:val="single" w:color="auto" w:sz="4" w:space="0"/>
            </w:tcBorders>
            <w:noWrap w:val="0"/>
            <w:vAlign w:val="top"/>
          </w:tcPr>
          <w:p>
            <w:pPr>
              <w:pStyle w:val="41"/>
              <w:snapToGrid w:val="0"/>
              <w:spacing w:before="50" w:after="50"/>
              <w:jc w:val="center"/>
              <w:rPr>
                <w:rFonts w:ascii="Times New Roman" w:hAnsi="Times New Roman"/>
                <w:color w:val="auto"/>
                <w:sz w:val="18"/>
                <w:highlight w:val="none"/>
              </w:rPr>
            </w:pPr>
          </w:p>
        </w:tc>
        <w:tc>
          <w:tcPr>
            <w:tcW w:w="1017" w:type="pct"/>
            <w:tcBorders>
              <w:right w:val="single" w:color="auto" w:sz="4" w:space="0"/>
            </w:tcBorders>
            <w:noWrap w:val="0"/>
            <w:vAlign w:val="top"/>
          </w:tcPr>
          <w:p>
            <w:pPr>
              <w:pStyle w:val="41"/>
              <w:snapToGrid w:val="0"/>
              <w:spacing w:before="50" w:after="50"/>
              <w:jc w:val="center"/>
              <w:rPr>
                <w:rFonts w:ascii="Times New Roman" w:hAnsi="Times New Roman"/>
                <w:color w:val="auto"/>
                <w:sz w:val="18"/>
                <w:highlight w:val="none"/>
              </w:rPr>
            </w:pPr>
          </w:p>
        </w:tc>
        <w:tc>
          <w:tcPr>
            <w:tcW w:w="1017" w:type="pct"/>
            <w:tcBorders>
              <w:left w:val="single" w:color="auto" w:sz="4" w:space="0"/>
            </w:tcBorders>
            <w:noWrap w:val="0"/>
            <w:vAlign w:val="center"/>
          </w:tcPr>
          <w:p>
            <w:pPr>
              <w:pStyle w:val="41"/>
              <w:snapToGrid w:val="0"/>
              <w:spacing w:before="50" w:after="50"/>
              <w:jc w:val="cente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noWrap w:val="0"/>
            <w:vAlign w:val="center"/>
          </w:tcPr>
          <w:p>
            <w:pPr>
              <w:pStyle w:val="41"/>
              <w:keepNext/>
              <w:keepLines/>
              <w:adjustRightInd w:val="0"/>
              <w:snapToGrid w:val="0"/>
              <w:spacing w:before="50" w:after="50" w:line="312" w:lineRule="atLeast"/>
              <w:jc w:val="center"/>
              <w:textAlignment w:val="baseline"/>
              <w:rPr>
                <w:rFonts w:ascii="Times New Roman" w:hAnsi="Times New Roman"/>
                <w:color w:val="auto"/>
                <w:sz w:val="18"/>
                <w:highlight w:val="none"/>
              </w:rPr>
            </w:pPr>
            <w:r>
              <w:rPr>
                <w:rFonts w:ascii="Times New Roman" w:hAnsi="Times New Roman"/>
                <w:color w:val="auto"/>
                <w:sz w:val="18"/>
                <w:highlight w:val="none"/>
              </w:rPr>
              <w:t>3</w:t>
            </w:r>
          </w:p>
        </w:tc>
        <w:tc>
          <w:tcPr>
            <w:tcW w:w="669" w:type="pct"/>
            <w:noWrap w:val="0"/>
            <w:vAlign w:val="center"/>
          </w:tcPr>
          <w:p>
            <w:pPr>
              <w:pStyle w:val="41"/>
              <w:snapToGrid w:val="0"/>
              <w:spacing w:before="50" w:after="50"/>
              <w:jc w:val="center"/>
              <w:rPr>
                <w:rFonts w:ascii="Times New Roman" w:hAnsi="Times New Roman"/>
                <w:color w:val="auto"/>
                <w:sz w:val="18"/>
                <w:highlight w:val="none"/>
              </w:rPr>
            </w:pPr>
          </w:p>
        </w:tc>
        <w:tc>
          <w:tcPr>
            <w:tcW w:w="1245" w:type="pct"/>
            <w:tcBorders>
              <w:right w:val="single" w:color="auto" w:sz="4" w:space="0"/>
            </w:tcBorders>
            <w:noWrap w:val="0"/>
            <w:vAlign w:val="center"/>
          </w:tcPr>
          <w:p>
            <w:pPr>
              <w:pStyle w:val="41"/>
              <w:snapToGrid w:val="0"/>
              <w:spacing w:before="50" w:after="50"/>
              <w:jc w:val="center"/>
              <w:rPr>
                <w:rFonts w:ascii="Times New Roman" w:hAnsi="Times New Roman"/>
                <w:color w:val="auto"/>
                <w:sz w:val="18"/>
                <w:highlight w:val="none"/>
                <w:lang w:eastAsia="zh-CN"/>
              </w:rPr>
            </w:pPr>
          </w:p>
        </w:tc>
        <w:tc>
          <w:tcPr>
            <w:tcW w:w="700" w:type="pct"/>
            <w:tcBorders>
              <w:right w:val="single" w:color="auto" w:sz="4" w:space="0"/>
            </w:tcBorders>
            <w:noWrap w:val="0"/>
            <w:vAlign w:val="top"/>
          </w:tcPr>
          <w:p>
            <w:pPr>
              <w:pStyle w:val="41"/>
              <w:snapToGrid w:val="0"/>
              <w:spacing w:before="50" w:after="50"/>
              <w:jc w:val="center"/>
              <w:rPr>
                <w:rFonts w:ascii="Times New Roman" w:hAnsi="Times New Roman"/>
                <w:color w:val="auto"/>
                <w:sz w:val="18"/>
                <w:highlight w:val="none"/>
              </w:rPr>
            </w:pPr>
          </w:p>
        </w:tc>
        <w:tc>
          <w:tcPr>
            <w:tcW w:w="1017" w:type="pct"/>
            <w:tcBorders>
              <w:right w:val="single" w:color="auto" w:sz="4" w:space="0"/>
            </w:tcBorders>
            <w:noWrap w:val="0"/>
            <w:vAlign w:val="top"/>
          </w:tcPr>
          <w:p>
            <w:pPr>
              <w:pStyle w:val="41"/>
              <w:snapToGrid w:val="0"/>
              <w:spacing w:before="50" w:after="50"/>
              <w:jc w:val="center"/>
              <w:rPr>
                <w:rFonts w:ascii="Times New Roman" w:hAnsi="Times New Roman"/>
                <w:color w:val="auto"/>
                <w:sz w:val="18"/>
                <w:highlight w:val="none"/>
              </w:rPr>
            </w:pPr>
          </w:p>
        </w:tc>
        <w:tc>
          <w:tcPr>
            <w:tcW w:w="1017" w:type="pct"/>
            <w:tcBorders>
              <w:left w:val="single" w:color="auto" w:sz="4" w:space="0"/>
            </w:tcBorders>
            <w:noWrap w:val="0"/>
            <w:vAlign w:val="center"/>
          </w:tcPr>
          <w:p>
            <w:pPr>
              <w:pStyle w:val="41"/>
              <w:snapToGrid w:val="0"/>
              <w:spacing w:before="50" w:after="50"/>
              <w:jc w:val="cente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49" w:type="pct"/>
            <w:noWrap w:val="0"/>
            <w:vAlign w:val="center"/>
          </w:tcPr>
          <w:p>
            <w:pPr>
              <w:pStyle w:val="41"/>
              <w:keepNext/>
              <w:keepLines/>
              <w:adjustRightInd w:val="0"/>
              <w:snapToGrid w:val="0"/>
              <w:spacing w:before="50" w:after="50" w:line="312" w:lineRule="atLeast"/>
              <w:jc w:val="center"/>
              <w:textAlignment w:val="baseline"/>
              <w:rPr>
                <w:rFonts w:ascii="Times New Roman" w:hAnsi="Times New Roman"/>
                <w:color w:val="auto"/>
                <w:sz w:val="18"/>
                <w:highlight w:val="none"/>
              </w:rPr>
            </w:pPr>
            <w:r>
              <w:rPr>
                <w:rFonts w:ascii="Times New Roman" w:hAnsi="Times New Roman"/>
                <w:color w:val="auto"/>
                <w:sz w:val="18"/>
                <w:highlight w:val="none"/>
              </w:rPr>
              <w:t>…</w:t>
            </w:r>
          </w:p>
        </w:tc>
        <w:tc>
          <w:tcPr>
            <w:tcW w:w="669" w:type="pct"/>
            <w:noWrap w:val="0"/>
            <w:vAlign w:val="center"/>
          </w:tcPr>
          <w:p>
            <w:pPr>
              <w:pStyle w:val="41"/>
              <w:snapToGrid w:val="0"/>
              <w:spacing w:before="50" w:after="50"/>
              <w:jc w:val="center"/>
              <w:rPr>
                <w:rFonts w:ascii="Times New Roman" w:hAnsi="Times New Roman"/>
                <w:color w:val="auto"/>
                <w:sz w:val="18"/>
                <w:highlight w:val="none"/>
              </w:rPr>
            </w:pPr>
          </w:p>
        </w:tc>
        <w:tc>
          <w:tcPr>
            <w:tcW w:w="1245" w:type="pct"/>
            <w:tcBorders>
              <w:right w:val="single" w:color="auto" w:sz="4" w:space="0"/>
            </w:tcBorders>
            <w:noWrap w:val="0"/>
            <w:vAlign w:val="center"/>
          </w:tcPr>
          <w:p>
            <w:pPr>
              <w:pStyle w:val="41"/>
              <w:snapToGrid w:val="0"/>
              <w:spacing w:before="50" w:after="50"/>
              <w:jc w:val="center"/>
              <w:rPr>
                <w:rFonts w:ascii="Times New Roman" w:hAnsi="Times New Roman"/>
                <w:color w:val="auto"/>
                <w:sz w:val="18"/>
                <w:highlight w:val="none"/>
                <w:lang w:eastAsia="zh-CN"/>
              </w:rPr>
            </w:pPr>
          </w:p>
        </w:tc>
        <w:tc>
          <w:tcPr>
            <w:tcW w:w="700" w:type="pct"/>
            <w:tcBorders>
              <w:right w:val="single" w:color="auto" w:sz="4" w:space="0"/>
            </w:tcBorders>
            <w:noWrap w:val="0"/>
            <w:vAlign w:val="top"/>
          </w:tcPr>
          <w:p>
            <w:pPr>
              <w:pStyle w:val="41"/>
              <w:snapToGrid w:val="0"/>
              <w:spacing w:before="50" w:after="50"/>
              <w:jc w:val="center"/>
              <w:rPr>
                <w:rFonts w:ascii="Times New Roman" w:hAnsi="Times New Roman"/>
                <w:color w:val="auto"/>
                <w:sz w:val="18"/>
                <w:highlight w:val="none"/>
              </w:rPr>
            </w:pPr>
          </w:p>
        </w:tc>
        <w:tc>
          <w:tcPr>
            <w:tcW w:w="1017" w:type="pct"/>
            <w:tcBorders>
              <w:right w:val="single" w:color="auto" w:sz="4" w:space="0"/>
            </w:tcBorders>
            <w:noWrap w:val="0"/>
            <w:vAlign w:val="top"/>
          </w:tcPr>
          <w:p>
            <w:pPr>
              <w:pStyle w:val="41"/>
              <w:snapToGrid w:val="0"/>
              <w:spacing w:before="50" w:after="50"/>
              <w:jc w:val="center"/>
              <w:rPr>
                <w:rFonts w:ascii="Times New Roman" w:hAnsi="Times New Roman"/>
                <w:color w:val="auto"/>
                <w:sz w:val="18"/>
                <w:highlight w:val="none"/>
              </w:rPr>
            </w:pPr>
          </w:p>
        </w:tc>
        <w:tc>
          <w:tcPr>
            <w:tcW w:w="1017" w:type="pct"/>
            <w:tcBorders>
              <w:left w:val="single" w:color="auto" w:sz="4" w:space="0"/>
            </w:tcBorders>
            <w:noWrap w:val="0"/>
            <w:vAlign w:val="center"/>
          </w:tcPr>
          <w:p>
            <w:pPr>
              <w:pStyle w:val="41"/>
              <w:snapToGrid w:val="0"/>
              <w:spacing w:before="50" w:after="50"/>
              <w:jc w:val="center"/>
              <w:rPr>
                <w:rFonts w:ascii="Times New Roman" w:hAnsi="Times New Roman"/>
                <w:color w:val="auto"/>
                <w:sz w:val="18"/>
                <w:highlight w:val="none"/>
              </w:rPr>
            </w:pPr>
          </w:p>
        </w:tc>
      </w:tr>
    </w:tbl>
    <w:p>
      <w:pPr>
        <w:rPr>
          <w:color w:val="auto"/>
          <w:kern w:val="1"/>
          <w:sz w:val="20"/>
          <w:szCs w:val="18"/>
          <w:highlight w:val="none"/>
          <w:lang w:eastAsia="ar-SA"/>
        </w:rPr>
      </w:pPr>
      <w:r>
        <w:rPr>
          <w:color w:val="auto"/>
          <w:kern w:val="1"/>
          <w:sz w:val="20"/>
          <w:szCs w:val="18"/>
          <w:highlight w:val="none"/>
          <w:lang w:eastAsia="ar-SA"/>
        </w:rPr>
        <w:t>备注：1.投标人应如实填报安全事故情况；</w:t>
      </w:r>
    </w:p>
    <w:p>
      <w:pPr>
        <w:ind w:firstLine="600" w:firstLineChars="300"/>
        <w:rPr>
          <w:color w:val="auto"/>
          <w:kern w:val="1"/>
          <w:sz w:val="20"/>
          <w:szCs w:val="18"/>
          <w:highlight w:val="none"/>
        </w:rPr>
      </w:pPr>
      <w:r>
        <w:rPr>
          <w:color w:val="auto"/>
          <w:kern w:val="1"/>
          <w:sz w:val="20"/>
          <w:szCs w:val="18"/>
          <w:highlight w:val="none"/>
          <w:lang w:eastAsia="ar-SA"/>
        </w:rPr>
        <w:t>2.对每一起安全事故，应附招标人事故快报/舆情通报及政府或招标人调查结果报告/通报全文，事故还未产生调查结果的，调查结果文号列可填写“暂无”。</w:t>
      </w:r>
    </w:p>
    <w:p>
      <w:pPr>
        <w:widowControl/>
        <w:topLinePunct w:val="0"/>
        <w:ind w:firstLine="540" w:firstLineChars="269"/>
        <w:jc w:val="left"/>
        <w:rPr>
          <w:color w:val="auto"/>
          <w:highlight w:val="none"/>
        </w:rPr>
      </w:pPr>
      <w:r>
        <w:rPr>
          <w:b/>
          <w:color w:val="auto"/>
          <w:kern w:val="1"/>
          <w:sz w:val="20"/>
          <w:szCs w:val="18"/>
          <w:highlight w:val="none"/>
          <w:lang w:eastAsia="ar-SA"/>
        </w:rPr>
        <w:t>3.</w:t>
      </w:r>
      <w:r>
        <w:rPr>
          <w:b/>
          <w:color w:val="auto"/>
          <w:kern w:val="1"/>
          <w:sz w:val="20"/>
          <w:szCs w:val="18"/>
          <w:highlight w:val="none"/>
        </w:rPr>
        <w:t>如近三年无事故，可不提供上表，仅提供近三年无伤亡事故年报及工程质量情况年报或季报</w:t>
      </w:r>
      <w:r>
        <w:rPr>
          <w:rFonts w:hint="eastAsia"/>
          <w:b/>
          <w:color w:val="auto"/>
          <w:kern w:val="1"/>
          <w:sz w:val="20"/>
          <w:szCs w:val="18"/>
          <w:highlight w:val="none"/>
          <w:lang w:eastAsia="zh-CN"/>
        </w:rPr>
        <w:t>，或本单位或上级部门提供的无事故和质量情况证明文件</w:t>
      </w:r>
      <w:r>
        <w:rPr>
          <w:b/>
          <w:color w:val="auto"/>
          <w:kern w:val="1"/>
          <w:sz w:val="20"/>
          <w:szCs w:val="18"/>
          <w:highlight w:val="none"/>
        </w:rPr>
        <w:t>。</w:t>
      </w:r>
    </w:p>
    <w:p>
      <w:pPr>
        <w:pStyle w:val="17"/>
        <w:rPr>
          <w:rFonts w:hint="eastAsia"/>
          <w:color w:val="auto"/>
          <w:highlight w:val="none"/>
          <w:lang w:val="en-US" w:eastAsia="zh-CN"/>
        </w:rPr>
      </w:pPr>
    </w:p>
    <w:p>
      <w:pPr>
        <w:rPr>
          <w:rFonts w:hint="eastAsia"/>
          <w:color w:val="auto"/>
          <w:highlight w:val="none"/>
        </w:rPr>
      </w:pPr>
      <w:r>
        <w:rPr>
          <w:rFonts w:hint="eastAsia"/>
          <w:color w:val="auto"/>
          <w:highlight w:val="none"/>
        </w:rPr>
        <w:br w:type="page"/>
      </w:r>
    </w:p>
    <w:p>
      <w:pPr>
        <w:pStyle w:val="18"/>
        <w:rPr>
          <w:rFonts w:hint="eastAsia"/>
          <w:color w:val="auto"/>
          <w:highlight w:val="none"/>
        </w:rPr>
      </w:pPr>
    </w:p>
    <w:p>
      <w:pPr>
        <w:keepNext w:val="0"/>
        <w:keepLines w:val="0"/>
        <w:widowControl/>
        <w:suppressLineNumbers w:val="0"/>
        <w:jc w:val="left"/>
        <w:textAlignment w:val="center"/>
        <w:rPr>
          <w:color w:val="auto"/>
          <w:szCs w:val="21"/>
          <w:highlight w:val="none"/>
        </w:rPr>
      </w:pPr>
      <w:r>
        <w:rPr>
          <w:rFonts w:hint="eastAsia" w:ascii="宋体" w:hAnsi="宋体" w:cs="宋体"/>
          <w:i w:val="0"/>
          <w:iCs w:val="0"/>
          <w:color w:val="auto"/>
          <w:kern w:val="0"/>
          <w:sz w:val="20"/>
          <w:szCs w:val="20"/>
          <w:highlight w:val="none"/>
          <w:u w:val="none"/>
          <w:lang w:val="en-US" w:eastAsia="zh-CN" w:bidi="ar"/>
        </w:rPr>
        <w:t>7.</w:t>
      </w:r>
      <w:r>
        <w:rPr>
          <w:rFonts w:hint="eastAsia" w:ascii="宋体" w:hAnsi="宋体" w:eastAsia="宋体" w:cs="宋体"/>
          <w:i w:val="0"/>
          <w:iCs w:val="0"/>
          <w:color w:val="auto"/>
          <w:kern w:val="0"/>
          <w:sz w:val="20"/>
          <w:szCs w:val="20"/>
          <w:highlight w:val="none"/>
          <w:u w:val="none"/>
          <w:lang w:val="en-US" w:eastAsia="zh-CN" w:bidi="ar"/>
        </w:rPr>
        <w:t>企业资质情况</w:t>
      </w:r>
      <w:r>
        <w:rPr>
          <w:rFonts w:hint="eastAsia" w:ascii="宋体" w:hAnsi="宋体" w:eastAsia="宋体" w:cs="宋体"/>
          <w:i w:val="0"/>
          <w:iCs w:val="0"/>
          <w:color w:val="auto"/>
          <w:kern w:val="0"/>
          <w:sz w:val="20"/>
          <w:szCs w:val="20"/>
          <w:highlight w:val="none"/>
          <w:u w:val="none"/>
          <w:lang w:val="en-US" w:eastAsia="zh-CN" w:bidi="ar"/>
        </w:rPr>
        <w:br w:type="textWrapping"/>
      </w:r>
      <w:r>
        <w:rPr>
          <w:color w:val="auto"/>
          <w:szCs w:val="21"/>
          <w:highlight w:val="none"/>
        </w:rPr>
        <w:t>本页应附以下材料：</w:t>
      </w:r>
    </w:p>
    <w:p>
      <w:pPr>
        <w:spacing w:line="360" w:lineRule="exact"/>
        <w:ind w:firstLine="420" w:firstLineChars="200"/>
        <w:jc w:val="left"/>
        <w:rPr>
          <w:color w:val="auto"/>
          <w:szCs w:val="22"/>
          <w:highlight w:val="none"/>
        </w:rPr>
      </w:pPr>
      <w:r>
        <w:rPr>
          <w:rFonts w:hint="eastAsia" w:ascii="宋体" w:hAnsi="宋体" w:cs="宋体"/>
          <w:color w:val="auto"/>
          <w:szCs w:val="22"/>
          <w:highlight w:val="none"/>
        </w:rPr>
        <w:t>①</w:t>
      </w:r>
      <w:r>
        <w:rPr>
          <w:color w:val="auto"/>
          <w:szCs w:val="22"/>
          <w:highlight w:val="none"/>
        </w:rPr>
        <w:t>有效的企业营业执照（副本）和组织机构代码证扫描件（按照“三证合一”或“五证合一“登记制度进行登记的，可仅提供营业执照扫描件）；</w:t>
      </w:r>
    </w:p>
    <w:p>
      <w:pPr>
        <w:spacing w:line="360" w:lineRule="exact"/>
        <w:ind w:firstLine="420" w:firstLineChars="200"/>
        <w:jc w:val="left"/>
        <w:rPr>
          <w:color w:val="auto"/>
          <w:szCs w:val="22"/>
          <w:highlight w:val="none"/>
        </w:rPr>
      </w:pPr>
      <w:r>
        <w:rPr>
          <w:rFonts w:hint="eastAsia" w:ascii="宋体" w:hAnsi="宋体" w:cs="宋体"/>
          <w:color w:val="auto"/>
          <w:szCs w:val="22"/>
          <w:highlight w:val="none"/>
        </w:rPr>
        <w:t>②</w:t>
      </w:r>
      <w:r>
        <w:rPr>
          <w:rFonts w:hint="eastAsia"/>
          <w:color w:val="auto"/>
          <w:highlight w:val="none"/>
        </w:rPr>
        <w:t>满足招标公告“资质要求”中所列每条的证明材料，包括但不限于有效企业资质等级证书扫描件</w:t>
      </w:r>
      <w:r>
        <w:rPr>
          <w:color w:val="auto"/>
          <w:szCs w:val="22"/>
          <w:highlight w:val="none"/>
        </w:rPr>
        <w:t>；</w:t>
      </w:r>
    </w:p>
    <w:p>
      <w:pPr>
        <w:pStyle w:val="17"/>
        <w:rPr>
          <w:rFonts w:hint="eastAsia"/>
          <w:color w:val="auto"/>
          <w:highlight w:val="none"/>
        </w:rPr>
      </w:pPr>
    </w:p>
    <w:p>
      <w:pPr>
        <w:rPr>
          <w:rFonts w:hint="eastAsia"/>
          <w:color w:val="auto"/>
          <w:highlight w:val="none"/>
        </w:rPr>
      </w:pPr>
    </w:p>
    <w:p>
      <w:pPr>
        <w:widowControl/>
        <w:spacing w:before="156" w:beforeLines="50"/>
        <w:rPr>
          <w:color w:val="auto"/>
          <w:highlight w:val="none"/>
        </w:rPr>
      </w:pPr>
      <w:r>
        <w:rPr>
          <w:color w:val="auto"/>
          <w:highlight w:val="none"/>
        </w:rPr>
        <w:br w:type="page"/>
      </w:r>
    </w:p>
    <w:p>
      <w:pPr>
        <w:widowControl/>
        <w:jc w:val="left"/>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8. 项目关键人员配置承诺函（</w:t>
      </w:r>
      <w:r>
        <w:rPr>
          <w:rFonts w:hint="eastAsia" w:ascii="宋体" w:hAnsi="宋体" w:cs="宋体"/>
          <w:b/>
          <w:bCs/>
          <w:color w:val="auto"/>
          <w:kern w:val="0"/>
          <w:sz w:val="20"/>
          <w:szCs w:val="20"/>
          <w:highlight w:val="none"/>
          <w:lang w:bidi="ar"/>
        </w:rPr>
        <w:t>招标公告要求专职不得兼任均需提供</w:t>
      </w:r>
      <w:r>
        <w:rPr>
          <w:rFonts w:hint="eastAsia" w:ascii="宋体" w:hAnsi="宋体" w:cs="宋体"/>
          <w:color w:val="auto"/>
          <w:kern w:val="0"/>
          <w:sz w:val="20"/>
          <w:szCs w:val="20"/>
          <w:highlight w:val="none"/>
          <w:lang w:bidi="ar"/>
        </w:rPr>
        <w:t>）</w:t>
      </w:r>
    </w:p>
    <w:p>
      <w:pPr>
        <w:widowControl/>
        <w:jc w:val="center"/>
        <w:rPr>
          <w:rFonts w:eastAsiaTheme="minorEastAsia"/>
          <w:b/>
          <w:bCs/>
          <w:color w:val="auto"/>
          <w:sz w:val="22"/>
          <w:szCs w:val="21"/>
          <w:highlight w:val="none"/>
        </w:rPr>
      </w:pPr>
    </w:p>
    <w:p>
      <w:pPr>
        <w:widowControl/>
        <w:jc w:val="center"/>
        <w:rPr>
          <w:color w:val="auto"/>
          <w:sz w:val="28"/>
          <w:szCs w:val="28"/>
          <w:highlight w:val="none"/>
        </w:rPr>
      </w:pPr>
      <w:r>
        <w:rPr>
          <w:rFonts w:hint="eastAsia" w:eastAsiaTheme="minorEastAsia"/>
          <w:b/>
          <w:bCs/>
          <w:color w:val="auto"/>
          <w:sz w:val="22"/>
          <w:szCs w:val="21"/>
          <w:highlight w:val="none"/>
        </w:rPr>
        <w:t>项目关键人员配置承诺函</w:t>
      </w:r>
      <w:r>
        <w:rPr>
          <w:rFonts w:hint="eastAsia"/>
          <w:b/>
          <w:bCs/>
          <w:color w:val="auto"/>
          <w:sz w:val="22"/>
          <w:szCs w:val="21"/>
          <w:highlight w:val="none"/>
        </w:rPr>
        <w:t>（适用于监理类）</w:t>
      </w:r>
    </w:p>
    <w:p>
      <w:pPr>
        <w:spacing w:before="156" w:beforeLines="50" w:after="156" w:afterLines="50" w:line="360" w:lineRule="auto"/>
        <w:ind w:firstLine="420" w:firstLineChars="200"/>
        <w:rPr>
          <w:color w:val="auto"/>
          <w:szCs w:val="21"/>
          <w:highlight w:val="none"/>
        </w:rPr>
      </w:pPr>
      <w:r>
        <w:rPr>
          <w:color w:val="auto"/>
          <w:szCs w:val="21"/>
          <w:highlight w:val="none"/>
        </w:rPr>
        <w:t>本公司在国家电网有限公司</w:t>
      </w:r>
      <w:r>
        <w:rPr>
          <w:color w:val="auto"/>
          <w:szCs w:val="21"/>
          <w:highlight w:val="none"/>
          <w:u w:val="single"/>
        </w:rPr>
        <w:t xml:space="preserve">              （公告中的招标项目名称）</w:t>
      </w:r>
      <w:r>
        <w:rPr>
          <w:color w:val="auto"/>
          <w:szCs w:val="21"/>
          <w:highlight w:val="none"/>
        </w:rPr>
        <w:t>投标中承诺：</w:t>
      </w:r>
    </w:p>
    <w:p>
      <w:pPr>
        <w:spacing w:before="156" w:beforeLines="50" w:after="156" w:afterLines="50" w:line="360" w:lineRule="auto"/>
        <w:ind w:firstLine="420" w:firstLineChars="200"/>
        <w:rPr>
          <w:color w:val="auto"/>
          <w:szCs w:val="21"/>
          <w:highlight w:val="none"/>
        </w:rPr>
      </w:pPr>
      <w:r>
        <w:rPr>
          <w:color w:val="auto"/>
          <w:szCs w:val="21"/>
          <w:highlight w:val="none"/>
        </w:rPr>
        <w:t>本公司投标中拟任项目总监未在其他在建工程担任项目总监，也未在已确定中标但未开始实施的工程项目上担任项目总监。</w:t>
      </w:r>
    </w:p>
    <w:p>
      <w:pPr>
        <w:spacing w:before="156" w:beforeLines="50" w:after="156" w:afterLines="50" w:line="360" w:lineRule="auto"/>
        <w:ind w:firstLine="420" w:firstLineChars="200"/>
        <w:rPr>
          <w:color w:val="auto"/>
          <w:szCs w:val="21"/>
          <w:highlight w:val="none"/>
        </w:rPr>
      </w:pPr>
      <w:r>
        <w:rPr>
          <w:color w:val="auto"/>
          <w:szCs w:val="21"/>
          <w:highlight w:val="none"/>
        </w:rPr>
        <w:t>同时承诺如我公司中标，拟任项目总监及其他招标资格条件中不允许兼任的其他人员，在项目执行期间专职，不在其他项目兼任。若有虚假，一经查实，愿意承担由此引起的一切责任。</w:t>
      </w:r>
    </w:p>
    <w:p>
      <w:pPr>
        <w:pStyle w:val="5"/>
        <w:rPr>
          <w:color w:val="auto"/>
          <w:highlight w:val="none"/>
        </w:rPr>
      </w:pPr>
    </w:p>
    <w:p>
      <w:pPr>
        <w:widowControl/>
        <w:jc w:val="center"/>
        <w:rPr>
          <w:rFonts w:eastAsiaTheme="minorEastAsia"/>
          <w:color w:val="auto"/>
          <w:szCs w:val="21"/>
          <w:highlight w:val="none"/>
        </w:rPr>
      </w:pPr>
      <w:r>
        <w:rPr>
          <w:rFonts w:hint="eastAsia" w:eastAsiaTheme="minorEastAsia"/>
          <w:b/>
          <w:bCs/>
          <w:color w:val="auto"/>
          <w:sz w:val="22"/>
          <w:szCs w:val="21"/>
          <w:highlight w:val="none"/>
        </w:rPr>
        <w:t>项目关键人员配置承诺函（适用于其他服务）</w:t>
      </w:r>
    </w:p>
    <w:p>
      <w:pPr>
        <w:spacing w:before="156" w:beforeLines="50" w:after="156" w:afterLines="50" w:line="360" w:lineRule="auto"/>
        <w:ind w:firstLine="420" w:firstLineChars="200"/>
        <w:rPr>
          <w:color w:val="auto"/>
          <w:szCs w:val="21"/>
          <w:highlight w:val="none"/>
        </w:rPr>
      </w:pPr>
      <w:r>
        <w:rPr>
          <w:rFonts w:hint="eastAsia"/>
          <w:color w:val="auto"/>
          <w:szCs w:val="21"/>
          <w:highlight w:val="none"/>
        </w:rPr>
        <w:t>本公司在国家电网有限公司</w:t>
      </w:r>
      <w:r>
        <w:rPr>
          <w:color w:val="auto"/>
          <w:szCs w:val="21"/>
          <w:highlight w:val="none"/>
          <w:u w:val="single"/>
        </w:rPr>
        <w:t xml:space="preserve">              （公告中的招标项目名称）</w:t>
      </w:r>
      <w:r>
        <w:rPr>
          <w:rFonts w:hint="eastAsia"/>
          <w:color w:val="auto"/>
          <w:szCs w:val="21"/>
          <w:highlight w:val="none"/>
        </w:rPr>
        <w:t>投标中承诺：</w:t>
      </w:r>
    </w:p>
    <w:p>
      <w:pPr>
        <w:spacing w:before="156" w:beforeLines="50" w:after="156" w:afterLines="50" w:line="360" w:lineRule="auto"/>
        <w:ind w:firstLine="420" w:firstLineChars="200"/>
        <w:rPr>
          <w:color w:val="auto"/>
          <w:szCs w:val="21"/>
          <w:highlight w:val="none"/>
        </w:rPr>
      </w:pPr>
      <w:r>
        <w:rPr>
          <w:rFonts w:hint="eastAsia"/>
          <w:color w:val="auto"/>
          <w:szCs w:val="21"/>
          <w:highlight w:val="none"/>
        </w:rPr>
        <w:t>本公司投标中拟任XX人员未在其他在建工程担任XX人员，也未在已确定中标但未开始实施的工程项目上担任XX人员。</w:t>
      </w:r>
    </w:p>
    <w:p>
      <w:pPr>
        <w:ind w:firstLine="420" w:firstLineChars="200"/>
        <w:rPr>
          <w:color w:val="auto"/>
          <w:szCs w:val="21"/>
          <w:highlight w:val="none"/>
        </w:rPr>
      </w:pPr>
      <w:r>
        <w:rPr>
          <w:rFonts w:hint="eastAsia"/>
          <w:color w:val="auto"/>
          <w:szCs w:val="21"/>
          <w:highlight w:val="none"/>
        </w:rPr>
        <w:t>同时承诺如我公司中标，拟任XX人员及其他招标资格条件中不允许兼任的其他人员，在项目执行期间专职，不在其他项目兼任。若有虚假，一经查实，愿意承担由此引起的一切责任。</w:t>
      </w:r>
    </w:p>
    <w:p>
      <w:pP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br w:type="page"/>
      </w:r>
    </w:p>
    <w:p>
      <w:pPr>
        <w:numPr>
          <w:ilvl w:val="0"/>
          <w:numId w:val="11"/>
        </w:numPr>
        <w:jc w:val="left"/>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企业信用信息公示报告</w:t>
      </w:r>
    </w:p>
    <w:p>
      <w:pPr>
        <w:spacing w:line="360" w:lineRule="exact"/>
        <w:ind w:firstLine="525" w:firstLineChars="250"/>
        <w:jc w:val="left"/>
        <w:rPr>
          <w:color w:val="auto"/>
          <w:highlight w:val="none"/>
        </w:rPr>
      </w:pPr>
    </w:p>
    <w:p>
      <w:pPr>
        <w:spacing w:line="360" w:lineRule="exact"/>
        <w:ind w:firstLine="525" w:firstLineChars="250"/>
        <w:jc w:val="left"/>
        <w:rPr>
          <w:color w:val="auto"/>
          <w:highlight w:val="none"/>
        </w:rPr>
      </w:pPr>
      <w:r>
        <w:rPr>
          <w:color w:val="auto"/>
          <w:highlight w:val="none"/>
        </w:rPr>
        <w:t>投标人需提供在国家企业信用信息公示系统（www.gsxt.gov.cn）查询的，包含 “列入严重违法失信企业名单（黑名单）”、“列入经营异常名录信息”的查询结果，查询结果应为网站自动生成的PDF报告的打印版，报告首页的“报告生成日期”为开标日前一个月内。联合体投标的，联合体所有成员方应分别出具。</w:t>
      </w:r>
    </w:p>
    <w:p>
      <w:pPr>
        <w:keepNext w:val="0"/>
        <w:keepLines w:val="0"/>
        <w:widowControl/>
        <w:numPr>
          <w:ilvl w:val="0"/>
          <w:numId w:val="12"/>
        </w:numPr>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b/>
          <w:color w:val="auto"/>
          <w:sz w:val="24"/>
          <w:highlight w:val="none"/>
        </w:rPr>
        <w:br w:type="page"/>
      </w:r>
    </w:p>
    <w:p>
      <w:pPr>
        <w:pStyle w:val="18"/>
        <w:numPr>
          <w:ilvl w:val="0"/>
          <w:numId w:val="12"/>
        </w:numPr>
        <w:ind w:left="0" w:leftChars="0" w:firstLine="0" w:firstLineChars="0"/>
        <w:jc w:val="left"/>
        <w:outlineLvl w:val="2"/>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t>商务文件第二册</w:t>
      </w:r>
    </w:p>
    <w:p>
      <w:pPr>
        <w:jc w:val="center"/>
        <w:rPr>
          <w:color w:val="auto"/>
          <w:highlight w:val="none"/>
        </w:rPr>
      </w:pPr>
      <w:r>
        <w:rPr>
          <w:rFonts w:hint="eastAsia" w:ascii="方正仿宋_GBK" w:hAnsi="方正仿宋_GBK" w:eastAsia="方正仿宋_GBK" w:cs="方正仿宋_GBK"/>
          <w:b/>
          <w:bCs/>
          <w:color w:val="auto"/>
          <w:sz w:val="22"/>
          <w:highlight w:val="none"/>
        </w:rPr>
        <w:t>目录</w:t>
      </w:r>
    </w:p>
    <w:p>
      <w:pPr>
        <w:pStyle w:val="18"/>
        <w:ind w:left="198" w:firstLine="420" w:firstLineChars="200"/>
        <w:jc w:val="left"/>
        <w:rPr>
          <w:color w:val="auto"/>
          <w:highlight w:val="none"/>
        </w:rPr>
      </w:pPr>
      <w:r>
        <w:rPr>
          <w:rFonts w:hint="eastAsia" w:ascii="宋体" w:hAnsi="宋体" w:cs="宋体"/>
          <w:color w:val="auto"/>
          <w:kern w:val="0"/>
          <w:szCs w:val="21"/>
          <w:highlight w:val="none"/>
          <w:lang w:bidi="ar"/>
        </w:rPr>
        <w:t>ECP上传路径为：与报价文件打包为zip文件在工程量清单模块按包上传。</w:t>
      </w:r>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2367"/>
        <w:gridCol w:w="2385"/>
        <w:gridCol w:w="2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评审要素</w:t>
            </w:r>
          </w:p>
        </w:tc>
        <w:tc>
          <w:tcPr>
            <w:tcW w:w="1389"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投标文件响应</w:t>
            </w:r>
          </w:p>
        </w:tc>
        <w:tc>
          <w:tcPr>
            <w:tcW w:w="1399"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响应文件对应页码</w:t>
            </w:r>
          </w:p>
        </w:tc>
        <w:tc>
          <w:tcPr>
            <w:tcW w:w="1399" w:type="pct"/>
            <w:tcBorders>
              <w:tl2br w:val="nil"/>
              <w:tr2bl w:val="nil"/>
            </w:tcBorders>
            <w:vAlign w:val="center"/>
          </w:tcPr>
          <w:p>
            <w:pPr>
              <w:widowControl/>
              <w:jc w:val="center"/>
              <w:textAlignment w:val="center"/>
              <w:rPr>
                <w:rFonts w:ascii="宋体" w:hAnsi="宋体" w:cs="宋体"/>
                <w:b/>
                <w:bCs/>
                <w:color w:val="auto"/>
                <w:kern w:val="0"/>
                <w:szCs w:val="21"/>
                <w:highlight w:val="none"/>
                <w:lang w:bidi="ar"/>
              </w:rPr>
            </w:pPr>
            <w:r>
              <w:rPr>
                <w:rFonts w:hint="eastAsia" w:ascii="宋体" w:hAnsi="宋体" w:cs="宋体"/>
                <w:b/>
                <w:bCs/>
                <w:color w:val="auto"/>
                <w:kern w:val="0"/>
                <w:szCs w:val="21"/>
                <w:highlight w:val="none"/>
                <w:lang w:bidi="ar"/>
              </w:rPr>
              <w:t>ECP上传路径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商务评分细则逐条逐项应答</w:t>
            </w:r>
          </w:p>
        </w:tc>
        <w:tc>
          <w:tcPr>
            <w:tcW w:w="1389" w:type="pct"/>
            <w:tcBorders>
              <w:tl2br w:val="nil"/>
              <w:tr2bl w:val="nil"/>
            </w:tcBorders>
            <w:vAlign w:val="center"/>
          </w:tcPr>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1.企业获奖</w:t>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（1）优质工程</w:t>
            </w:r>
            <w:r>
              <w:rPr>
                <w:rFonts w:ascii="宋体" w:hAnsi="宋体" w:cs="宋体"/>
                <w:color w:val="auto"/>
                <w:kern w:val="0"/>
                <w:sz w:val="20"/>
                <w:szCs w:val="20"/>
                <w:highlight w:val="none"/>
                <w:lang w:bidi="ar"/>
              </w:rPr>
              <w:t>获奖</w:t>
            </w:r>
            <w:r>
              <w:rPr>
                <w:rFonts w:hint="eastAsia" w:ascii="宋体" w:hAnsi="宋体" w:cs="宋体"/>
                <w:color w:val="auto"/>
                <w:kern w:val="0"/>
                <w:sz w:val="20"/>
                <w:szCs w:val="20"/>
                <w:highlight w:val="none"/>
                <w:lang w:bidi="ar"/>
              </w:rPr>
              <w:t>情况</w:t>
            </w:r>
          </w:p>
          <w:p>
            <w:pPr>
              <w:widowControl/>
              <w:textAlignment w:val="center"/>
              <w:rPr>
                <w:color w:val="auto"/>
                <w:highlight w:val="none"/>
              </w:rPr>
            </w:pPr>
            <w:r>
              <w:rPr>
                <w:rFonts w:hint="eastAsia" w:ascii="宋体" w:hAnsi="宋体" w:cs="宋体"/>
                <w:color w:val="auto"/>
                <w:kern w:val="0"/>
                <w:sz w:val="20"/>
                <w:szCs w:val="20"/>
                <w:highlight w:val="none"/>
                <w:lang w:bidi="ar"/>
              </w:rPr>
              <w:t>（2）</w:t>
            </w:r>
            <w:r>
              <w:rPr>
                <w:rFonts w:ascii="宋体" w:hAnsi="宋体" w:cs="宋体"/>
                <w:color w:val="auto"/>
                <w:kern w:val="0"/>
                <w:sz w:val="20"/>
                <w:szCs w:val="20"/>
                <w:highlight w:val="none"/>
                <w:lang w:bidi="ar"/>
              </w:rPr>
              <w:t>企业创新获奖情况</w:t>
            </w:r>
          </w:p>
        </w:tc>
        <w:tc>
          <w:tcPr>
            <w:tcW w:w="1399"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例：商务文件第二册第X页-第X页</w:t>
            </w:r>
          </w:p>
        </w:tc>
        <w:tc>
          <w:tcPr>
            <w:tcW w:w="1399" w:type="pct"/>
            <w:vMerge w:val="restar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b/>
                <w:bCs/>
                <w:color w:val="auto"/>
                <w:kern w:val="0"/>
                <w:szCs w:val="21"/>
                <w:highlight w:val="none"/>
                <w:lang w:bidi="ar"/>
              </w:rPr>
              <w:t>工程量清单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1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商务评分细则逐条逐项应答</w:t>
            </w:r>
          </w:p>
        </w:tc>
        <w:tc>
          <w:tcPr>
            <w:tcW w:w="1389" w:type="pct"/>
            <w:tcBorders>
              <w:tl2br w:val="nil"/>
              <w:tr2bl w:val="nil"/>
            </w:tcBorders>
            <w:vAlign w:val="center"/>
          </w:tcPr>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2.绿色发展规划应答</w:t>
            </w:r>
          </w:p>
        </w:tc>
        <w:tc>
          <w:tcPr>
            <w:tcW w:w="1399"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例：商务文件第二册第X页-第X页</w:t>
            </w:r>
          </w:p>
        </w:tc>
        <w:tc>
          <w:tcPr>
            <w:tcW w:w="1399"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商务评分细则逐条逐项应答</w:t>
            </w:r>
          </w:p>
        </w:tc>
        <w:tc>
          <w:tcPr>
            <w:tcW w:w="1389" w:type="pct"/>
            <w:tcBorders>
              <w:tl2br w:val="nil"/>
              <w:tr2bl w:val="nil"/>
            </w:tcBorders>
            <w:vAlign w:val="center"/>
          </w:tcPr>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3.绿色管理应答</w:t>
            </w:r>
          </w:p>
        </w:tc>
        <w:tc>
          <w:tcPr>
            <w:tcW w:w="1399"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例：商务文件第二册第X页-第X页</w:t>
            </w:r>
          </w:p>
        </w:tc>
        <w:tc>
          <w:tcPr>
            <w:tcW w:w="1399"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1"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其他</w:t>
            </w:r>
          </w:p>
        </w:tc>
        <w:tc>
          <w:tcPr>
            <w:tcW w:w="1389" w:type="pct"/>
            <w:tcBorders>
              <w:tl2br w:val="nil"/>
              <w:tr2bl w:val="nil"/>
            </w:tcBorders>
            <w:vAlign w:val="center"/>
          </w:tcPr>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4.其他文件</w:t>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（1）基本情况表；</w:t>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（2）近年财务状况；</w:t>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（3）近年发生的诉讼及仲裁情况；</w:t>
            </w:r>
          </w:p>
          <w:p>
            <w:pPr>
              <w:widowControl/>
              <w:textAlignment w:val="center"/>
              <w:rPr>
                <w:color w:val="auto"/>
                <w:highlight w:val="none"/>
              </w:rPr>
            </w:pPr>
            <w:r>
              <w:rPr>
                <w:rFonts w:hint="eastAsia" w:ascii="宋体" w:hAnsi="宋体" w:cs="宋体"/>
                <w:color w:val="auto"/>
                <w:kern w:val="0"/>
                <w:sz w:val="20"/>
                <w:szCs w:val="20"/>
                <w:highlight w:val="none"/>
                <w:lang w:bidi="ar"/>
              </w:rPr>
              <w:t>（4）投标人认为需要加以说明的其他商务内容；</w:t>
            </w:r>
          </w:p>
        </w:tc>
        <w:tc>
          <w:tcPr>
            <w:tcW w:w="1399"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例：商务文件第二册第X页-第X页</w:t>
            </w:r>
          </w:p>
        </w:tc>
        <w:tc>
          <w:tcPr>
            <w:tcW w:w="1399" w:type="pct"/>
            <w:vMerge w:val="continue"/>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jc w:val="center"/>
        <w:rPr>
          <w:rFonts w:hint="default"/>
          <w:color w:val="auto"/>
          <w:highlight w:val="none"/>
          <w:lang w:val="en-US" w:eastAsia="zh-CN"/>
        </w:rPr>
      </w:pPr>
      <w:r>
        <w:rPr>
          <w:rFonts w:hint="eastAsia" w:ascii="方正仿宋_GBK" w:hAnsi="方正仿宋_GBK" w:eastAsia="方正仿宋_GBK" w:cs="方正仿宋_GBK"/>
          <w:b/>
          <w:bCs/>
          <w:color w:val="auto"/>
          <w:kern w:val="2"/>
          <w:sz w:val="22"/>
          <w:szCs w:val="22"/>
          <w:highlight w:val="none"/>
          <w:lang w:val="en-US" w:eastAsia="zh-CN" w:bidi="ar-SA"/>
        </w:rPr>
        <w:t>格式</w:t>
      </w:r>
    </w:p>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1.企业获奖</w:t>
      </w:r>
    </w:p>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（1）优质工程</w:t>
      </w:r>
      <w:r>
        <w:rPr>
          <w:rFonts w:hint="default" w:ascii="宋体" w:hAnsi="宋体" w:cs="宋体"/>
          <w:i w:val="0"/>
          <w:iCs w:val="0"/>
          <w:color w:val="auto"/>
          <w:kern w:val="0"/>
          <w:sz w:val="20"/>
          <w:szCs w:val="20"/>
          <w:highlight w:val="none"/>
          <w:u w:val="none"/>
          <w:lang w:val="en-US" w:eastAsia="zh-CN" w:bidi="ar"/>
        </w:rPr>
        <w:t>获奖</w:t>
      </w:r>
      <w:r>
        <w:rPr>
          <w:rFonts w:hint="eastAsia" w:ascii="宋体" w:hAnsi="宋体" w:cs="宋体"/>
          <w:i w:val="0"/>
          <w:iCs w:val="0"/>
          <w:color w:val="auto"/>
          <w:kern w:val="0"/>
          <w:sz w:val="20"/>
          <w:szCs w:val="20"/>
          <w:highlight w:val="none"/>
          <w:u w:val="none"/>
          <w:lang w:val="en-US" w:eastAsia="zh-CN" w:bidi="ar"/>
        </w:rPr>
        <w:t>情况</w:t>
      </w:r>
    </w:p>
    <w:p>
      <w:pPr>
        <w:pStyle w:val="40"/>
        <w:rPr>
          <w:color w:val="auto"/>
          <w:highlight w:val="none"/>
        </w:rPr>
      </w:pPr>
      <w:r>
        <w:rPr>
          <w:color w:val="auto"/>
          <w:highlight w:val="none"/>
        </w:rPr>
        <w:t>优质工程获奖情况表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3137"/>
        <w:gridCol w:w="3137"/>
        <w:gridCol w:w="1670"/>
        <w:gridCol w:w="1467"/>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tcBorders>
              <w:top w:val="single" w:color="auto" w:sz="8" w:space="0"/>
            </w:tcBorders>
            <w:noWrap w:val="0"/>
            <w:vAlign w:val="center"/>
          </w:tcPr>
          <w:p>
            <w:pPr>
              <w:pStyle w:val="41"/>
              <w:snapToGrid w:val="0"/>
              <w:spacing w:before="50" w:after="50"/>
              <w:jc w:val="center"/>
              <w:rPr>
                <w:color w:val="auto"/>
                <w:highlight w:val="none"/>
              </w:rPr>
            </w:pPr>
            <w:r>
              <w:rPr>
                <w:color w:val="auto"/>
                <w:highlight w:val="none"/>
              </w:rPr>
              <w:t>获奖项目名称</w:t>
            </w:r>
          </w:p>
        </w:tc>
        <w:tc>
          <w:tcPr>
            <w:tcW w:w="3137" w:type="dxa"/>
            <w:tcBorders>
              <w:top w:val="single" w:color="auto" w:sz="8" w:space="0"/>
            </w:tcBorders>
            <w:noWrap w:val="0"/>
            <w:vAlign w:val="center"/>
          </w:tcPr>
          <w:p>
            <w:pPr>
              <w:pStyle w:val="41"/>
              <w:snapToGrid w:val="0"/>
              <w:spacing w:before="50" w:after="50"/>
              <w:jc w:val="center"/>
              <w:rPr>
                <w:color w:val="auto"/>
                <w:highlight w:val="none"/>
              </w:rPr>
            </w:pPr>
            <w:r>
              <w:rPr>
                <w:color w:val="auto"/>
                <w:highlight w:val="none"/>
              </w:rPr>
              <w:t>等  级</w:t>
            </w:r>
          </w:p>
        </w:tc>
        <w:tc>
          <w:tcPr>
            <w:tcW w:w="1670" w:type="dxa"/>
            <w:tcBorders>
              <w:top w:val="single" w:color="auto" w:sz="8" w:space="0"/>
              <w:right w:val="single" w:color="auto" w:sz="4" w:space="0"/>
            </w:tcBorders>
            <w:noWrap w:val="0"/>
            <w:vAlign w:val="center"/>
          </w:tcPr>
          <w:p>
            <w:pPr>
              <w:pStyle w:val="41"/>
              <w:snapToGrid w:val="0"/>
              <w:spacing w:before="50" w:after="50"/>
              <w:jc w:val="center"/>
              <w:rPr>
                <w:color w:val="auto"/>
                <w:highlight w:val="none"/>
              </w:rPr>
            </w:pPr>
            <w:r>
              <w:rPr>
                <w:color w:val="auto"/>
                <w:highlight w:val="none"/>
              </w:rPr>
              <w:t>颁发机构</w:t>
            </w:r>
          </w:p>
        </w:tc>
        <w:tc>
          <w:tcPr>
            <w:tcW w:w="1467" w:type="dxa"/>
            <w:tcBorders>
              <w:top w:val="single" w:color="auto" w:sz="8" w:space="0"/>
              <w:left w:val="single" w:color="auto" w:sz="4" w:space="0"/>
            </w:tcBorders>
            <w:noWrap w:val="0"/>
            <w:vAlign w:val="center"/>
          </w:tcPr>
          <w:p>
            <w:pPr>
              <w:pStyle w:val="41"/>
              <w:snapToGrid w:val="0"/>
              <w:spacing w:before="50" w:after="50"/>
              <w:jc w:val="center"/>
              <w:rPr>
                <w:color w:val="auto"/>
                <w:highlight w:val="none"/>
              </w:rPr>
            </w:pPr>
            <w:r>
              <w:rPr>
                <w:color w:val="auto"/>
                <w:highlight w:val="none"/>
              </w:rPr>
              <w:t>颁发时间</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noWrap w:val="0"/>
            <w:vAlign w:val="center"/>
          </w:tcPr>
          <w:p>
            <w:pPr>
              <w:pStyle w:val="41"/>
              <w:snapToGrid w:val="0"/>
              <w:spacing w:before="50" w:after="50"/>
              <w:jc w:val="center"/>
              <w:rPr>
                <w:color w:val="auto"/>
                <w:highlight w:val="none"/>
              </w:rPr>
            </w:pPr>
          </w:p>
        </w:tc>
        <w:tc>
          <w:tcPr>
            <w:tcW w:w="3137" w:type="dxa"/>
            <w:noWrap w:val="0"/>
            <w:vAlign w:val="center"/>
          </w:tcPr>
          <w:p>
            <w:pPr>
              <w:pStyle w:val="41"/>
              <w:snapToGrid w:val="0"/>
              <w:spacing w:before="50" w:after="50"/>
              <w:jc w:val="center"/>
              <w:rPr>
                <w:color w:val="auto"/>
                <w:highlight w:val="none"/>
              </w:rPr>
            </w:pPr>
          </w:p>
        </w:tc>
        <w:tc>
          <w:tcPr>
            <w:tcW w:w="1670" w:type="dxa"/>
            <w:tcBorders>
              <w:right w:val="single" w:color="auto" w:sz="4" w:space="0"/>
            </w:tcBorders>
            <w:noWrap w:val="0"/>
            <w:vAlign w:val="center"/>
          </w:tcPr>
          <w:p>
            <w:pPr>
              <w:pStyle w:val="41"/>
              <w:snapToGrid w:val="0"/>
              <w:spacing w:before="50" w:after="50"/>
              <w:jc w:val="center"/>
              <w:rPr>
                <w:color w:val="auto"/>
                <w:highlight w:val="none"/>
              </w:rPr>
            </w:pPr>
          </w:p>
        </w:tc>
        <w:tc>
          <w:tcPr>
            <w:tcW w:w="1467" w:type="dxa"/>
            <w:tcBorders>
              <w:left w:val="single" w:color="auto" w:sz="4" w:space="0"/>
            </w:tcBorders>
            <w:noWrap w:val="0"/>
            <w:vAlign w:val="center"/>
          </w:tcPr>
          <w:p>
            <w:pPr>
              <w:pStyle w:val="41"/>
              <w:snapToGrid w:val="0"/>
              <w:spacing w:before="50" w:after="50"/>
              <w:jc w:val="center"/>
              <w:rPr>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noWrap w:val="0"/>
            <w:vAlign w:val="center"/>
          </w:tcPr>
          <w:p>
            <w:pPr>
              <w:pStyle w:val="41"/>
              <w:snapToGrid w:val="0"/>
              <w:spacing w:before="50" w:after="50"/>
              <w:jc w:val="center"/>
              <w:rPr>
                <w:color w:val="auto"/>
                <w:highlight w:val="none"/>
              </w:rPr>
            </w:pPr>
          </w:p>
        </w:tc>
        <w:tc>
          <w:tcPr>
            <w:tcW w:w="3137" w:type="dxa"/>
            <w:noWrap w:val="0"/>
            <w:vAlign w:val="center"/>
          </w:tcPr>
          <w:p>
            <w:pPr>
              <w:pStyle w:val="41"/>
              <w:snapToGrid w:val="0"/>
              <w:spacing w:before="50" w:after="50"/>
              <w:jc w:val="center"/>
              <w:rPr>
                <w:color w:val="auto"/>
                <w:highlight w:val="none"/>
              </w:rPr>
            </w:pPr>
          </w:p>
        </w:tc>
        <w:tc>
          <w:tcPr>
            <w:tcW w:w="1670" w:type="dxa"/>
            <w:tcBorders>
              <w:right w:val="single" w:color="auto" w:sz="4" w:space="0"/>
            </w:tcBorders>
            <w:noWrap w:val="0"/>
            <w:vAlign w:val="center"/>
          </w:tcPr>
          <w:p>
            <w:pPr>
              <w:pStyle w:val="41"/>
              <w:snapToGrid w:val="0"/>
              <w:spacing w:before="50" w:after="50"/>
              <w:jc w:val="center"/>
              <w:rPr>
                <w:color w:val="auto"/>
                <w:highlight w:val="none"/>
              </w:rPr>
            </w:pPr>
          </w:p>
        </w:tc>
        <w:tc>
          <w:tcPr>
            <w:tcW w:w="1467" w:type="dxa"/>
            <w:tcBorders>
              <w:left w:val="single" w:color="auto" w:sz="4" w:space="0"/>
            </w:tcBorders>
            <w:noWrap w:val="0"/>
            <w:vAlign w:val="center"/>
          </w:tcPr>
          <w:p>
            <w:pPr>
              <w:pStyle w:val="41"/>
              <w:snapToGrid w:val="0"/>
              <w:spacing w:before="50" w:after="50"/>
              <w:jc w:val="center"/>
              <w:rPr>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tcBorders>
              <w:bottom w:val="single" w:color="auto" w:sz="8" w:space="0"/>
            </w:tcBorders>
            <w:noWrap w:val="0"/>
            <w:vAlign w:val="center"/>
          </w:tcPr>
          <w:p>
            <w:pPr>
              <w:pStyle w:val="41"/>
              <w:snapToGrid w:val="0"/>
              <w:spacing w:before="50" w:after="50"/>
              <w:jc w:val="center"/>
              <w:rPr>
                <w:color w:val="auto"/>
                <w:highlight w:val="none"/>
              </w:rPr>
            </w:pPr>
          </w:p>
        </w:tc>
        <w:tc>
          <w:tcPr>
            <w:tcW w:w="3137" w:type="dxa"/>
            <w:tcBorders>
              <w:bottom w:val="single" w:color="auto" w:sz="8" w:space="0"/>
            </w:tcBorders>
            <w:noWrap w:val="0"/>
            <w:vAlign w:val="center"/>
          </w:tcPr>
          <w:p>
            <w:pPr>
              <w:pStyle w:val="41"/>
              <w:snapToGrid w:val="0"/>
              <w:spacing w:before="50" w:after="50"/>
              <w:jc w:val="center"/>
              <w:rPr>
                <w:color w:val="auto"/>
                <w:highlight w:val="none"/>
              </w:rPr>
            </w:pPr>
          </w:p>
        </w:tc>
        <w:tc>
          <w:tcPr>
            <w:tcW w:w="1670" w:type="dxa"/>
            <w:tcBorders>
              <w:bottom w:val="single" w:color="auto" w:sz="8" w:space="0"/>
              <w:right w:val="single" w:color="auto" w:sz="4" w:space="0"/>
            </w:tcBorders>
            <w:noWrap w:val="0"/>
            <w:vAlign w:val="center"/>
          </w:tcPr>
          <w:p>
            <w:pPr>
              <w:pStyle w:val="41"/>
              <w:snapToGrid w:val="0"/>
              <w:spacing w:before="50" w:after="50"/>
              <w:jc w:val="center"/>
              <w:rPr>
                <w:color w:val="auto"/>
                <w:highlight w:val="none"/>
              </w:rPr>
            </w:pPr>
          </w:p>
        </w:tc>
        <w:tc>
          <w:tcPr>
            <w:tcW w:w="1467" w:type="dxa"/>
            <w:tcBorders>
              <w:left w:val="single" w:color="auto" w:sz="4" w:space="0"/>
              <w:bottom w:val="single" w:color="auto" w:sz="8" w:space="0"/>
            </w:tcBorders>
            <w:noWrap w:val="0"/>
            <w:vAlign w:val="center"/>
          </w:tcPr>
          <w:p>
            <w:pPr>
              <w:pStyle w:val="41"/>
              <w:snapToGrid w:val="0"/>
              <w:spacing w:before="50" w:after="50"/>
              <w:jc w:val="center"/>
              <w:rPr>
                <w:color w:val="auto"/>
                <w:highlight w:val="none"/>
              </w:rPr>
            </w:pPr>
          </w:p>
        </w:tc>
      </w:tr>
    </w:tbl>
    <w:p>
      <w:pPr>
        <w:pStyle w:val="17"/>
        <w:rPr>
          <w:rFonts w:hint="default"/>
          <w:color w:val="auto"/>
          <w:highlight w:val="none"/>
          <w:lang w:val="en-US" w:eastAsia="zh-CN"/>
        </w:rPr>
      </w:pPr>
    </w:p>
    <w:p>
      <w:pPr>
        <w:keepNext w:val="0"/>
        <w:keepLines w:val="0"/>
        <w:widowControl/>
        <w:suppressLineNumbers w:val="0"/>
        <w:jc w:val="both"/>
        <w:textAlignment w:val="center"/>
        <w:rPr>
          <w:rFonts w:hint="default"/>
          <w:color w:val="auto"/>
          <w:highlight w:val="none"/>
          <w:lang w:val="en-US" w:eastAsia="zh-CN"/>
        </w:rPr>
      </w:pPr>
      <w:r>
        <w:rPr>
          <w:rFonts w:hint="eastAsia" w:ascii="宋体" w:hAnsi="宋体" w:cs="宋体"/>
          <w:i w:val="0"/>
          <w:iCs w:val="0"/>
          <w:color w:val="auto"/>
          <w:kern w:val="0"/>
          <w:sz w:val="20"/>
          <w:szCs w:val="20"/>
          <w:highlight w:val="none"/>
          <w:u w:val="none"/>
          <w:lang w:val="en-US" w:eastAsia="zh-CN" w:bidi="ar"/>
        </w:rPr>
        <w:t>（2）</w:t>
      </w:r>
      <w:r>
        <w:rPr>
          <w:rFonts w:hint="default" w:ascii="宋体" w:hAnsi="宋体" w:cs="宋体"/>
          <w:i w:val="0"/>
          <w:iCs w:val="0"/>
          <w:color w:val="auto"/>
          <w:kern w:val="0"/>
          <w:sz w:val="20"/>
          <w:szCs w:val="20"/>
          <w:highlight w:val="none"/>
          <w:u w:val="none"/>
          <w:lang w:val="en-US" w:eastAsia="zh-CN" w:bidi="ar"/>
        </w:rPr>
        <w:t>企业创新获奖情况</w:t>
      </w:r>
    </w:p>
    <w:p>
      <w:pPr>
        <w:pStyle w:val="40"/>
        <w:rPr>
          <w:color w:val="auto"/>
          <w:highlight w:val="none"/>
        </w:rPr>
      </w:pPr>
      <w:r>
        <w:rPr>
          <w:rFonts w:hint="eastAsia"/>
          <w:color w:val="auto"/>
          <w:highlight w:val="none"/>
          <w:lang w:val="en-US" w:eastAsia="zh-CN"/>
        </w:rPr>
        <w:t>企业创新</w:t>
      </w:r>
      <w:r>
        <w:rPr>
          <w:color w:val="auto"/>
          <w:highlight w:val="none"/>
        </w:rPr>
        <w:t>获奖情况表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3137"/>
        <w:gridCol w:w="3137"/>
        <w:gridCol w:w="1670"/>
        <w:gridCol w:w="1467"/>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tcBorders>
              <w:top w:val="single" w:color="auto" w:sz="8" w:space="0"/>
            </w:tcBorders>
            <w:noWrap w:val="0"/>
            <w:vAlign w:val="center"/>
          </w:tcPr>
          <w:p>
            <w:pPr>
              <w:pStyle w:val="41"/>
              <w:snapToGrid w:val="0"/>
              <w:spacing w:before="50" w:after="50"/>
              <w:jc w:val="center"/>
              <w:rPr>
                <w:color w:val="auto"/>
                <w:highlight w:val="none"/>
              </w:rPr>
            </w:pPr>
            <w:r>
              <w:rPr>
                <w:color w:val="auto"/>
                <w:highlight w:val="none"/>
              </w:rPr>
              <w:t>获奖项目名称</w:t>
            </w:r>
          </w:p>
        </w:tc>
        <w:tc>
          <w:tcPr>
            <w:tcW w:w="3137" w:type="dxa"/>
            <w:tcBorders>
              <w:top w:val="single" w:color="auto" w:sz="8" w:space="0"/>
            </w:tcBorders>
            <w:noWrap w:val="0"/>
            <w:vAlign w:val="center"/>
          </w:tcPr>
          <w:p>
            <w:pPr>
              <w:pStyle w:val="41"/>
              <w:snapToGrid w:val="0"/>
              <w:spacing w:before="50" w:after="50"/>
              <w:jc w:val="center"/>
              <w:rPr>
                <w:rFonts w:hint="default" w:eastAsia="宋体"/>
                <w:color w:val="auto"/>
                <w:highlight w:val="none"/>
                <w:lang w:val="en-US" w:eastAsia="zh-CN"/>
              </w:rPr>
            </w:pPr>
            <w:r>
              <w:rPr>
                <w:rFonts w:hint="eastAsia"/>
                <w:color w:val="auto"/>
                <w:highlight w:val="none"/>
                <w:lang w:val="en-US" w:eastAsia="zh-CN"/>
              </w:rPr>
              <w:t>奖项名称</w:t>
            </w:r>
          </w:p>
        </w:tc>
        <w:tc>
          <w:tcPr>
            <w:tcW w:w="1670" w:type="dxa"/>
            <w:tcBorders>
              <w:top w:val="single" w:color="auto" w:sz="8" w:space="0"/>
              <w:right w:val="single" w:color="auto" w:sz="4" w:space="0"/>
            </w:tcBorders>
            <w:noWrap w:val="0"/>
            <w:vAlign w:val="center"/>
          </w:tcPr>
          <w:p>
            <w:pPr>
              <w:pStyle w:val="41"/>
              <w:snapToGrid w:val="0"/>
              <w:spacing w:before="50" w:after="50"/>
              <w:jc w:val="center"/>
              <w:rPr>
                <w:color w:val="auto"/>
                <w:highlight w:val="none"/>
              </w:rPr>
            </w:pPr>
            <w:r>
              <w:rPr>
                <w:color w:val="auto"/>
                <w:highlight w:val="none"/>
              </w:rPr>
              <w:t>颁发机构</w:t>
            </w:r>
          </w:p>
        </w:tc>
        <w:tc>
          <w:tcPr>
            <w:tcW w:w="1467" w:type="dxa"/>
            <w:tcBorders>
              <w:top w:val="single" w:color="auto" w:sz="8" w:space="0"/>
              <w:left w:val="single" w:color="auto" w:sz="4" w:space="0"/>
            </w:tcBorders>
            <w:noWrap w:val="0"/>
            <w:vAlign w:val="center"/>
          </w:tcPr>
          <w:p>
            <w:pPr>
              <w:pStyle w:val="41"/>
              <w:snapToGrid w:val="0"/>
              <w:spacing w:before="50" w:after="50"/>
              <w:jc w:val="center"/>
              <w:rPr>
                <w:color w:val="auto"/>
                <w:highlight w:val="none"/>
              </w:rPr>
            </w:pPr>
            <w:r>
              <w:rPr>
                <w:color w:val="auto"/>
                <w:highlight w:val="none"/>
              </w:rPr>
              <w:t>颁发时间</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noWrap w:val="0"/>
            <w:vAlign w:val="center"/>
          </w:tcPr>
          <w:p>
            <w:pPr>
              <w:pStyle w:val="41"/>
              <w:snapToGrid w:val="0"/>
              <w:spacing w:before="50" w:after="50"/>
              <w:jc w:val="center"/>
              <w:rPr>
                <w:color w:val="auto"/>
                <w:highlight w:val="none"/>
              </w:rPr>
            </w:pPr>
          </w:p>
        </w:tc>
        <w:tc>
          <w:tcPr>
            <w:tcW w:w="3137" w:type="dxa"/>
            <w:noWrap w:val="0"/>
            <w:vAlign w:val="center"/>
          </w:tcPr>
          <w:p>
            <w:pPr>
              <w:pStyle w:val="41"/>
              <w:snapToGrid w:val="0"/>
              <w:spacing w:before="50" w:after="50"/>
              <w:jc w:val="center"/>
              <w:rPr>
                <w:color w:val="auto"/>
                <w:highlight w:val="none"/>
              </w:rPr>
            </w:pPr>
          </w:p>
        </w:tc>
        <w:tc>
          <w:tcPr>
            <w:tcW w:w="1670" w:type="dxa"/>
            <w:tcBorders>
              <w:right w:val="single" w:color="auto" w:sz="4" w:space="0"/>
            </w:tcBorders>
            <w:noWrap w:val="0"/>
            <w:vAlign w:val="center"/>
          </w:tcPr>
          <w:p>
            <w:pPr>
              <w:pStyle w:val="41"/>
              <w:snapToGrid w:val="0"/>
              <w:spacing w:before="50" w:after="50"/>
              <w:jc w:val="center"/>
              <w:rPr>
                <w:color w:val="auto"/>
                <w:highlight w:val="none"/>
              </w:rPr>
            </w:pPr>
          </w:p>
        </w:tc>
        <w:tc>
          <w:tcPr>
            <w:tcW w:w="1467" w:type="dxa"/>
            <w:tcBorders>
              <w:left w:val="single" w:color="auto" w:sz="4" w:space="0"/>
            </w:tcBorders>
            <w:noWrap w:val="0"/>
            <w:vAlign w:val="center"/>
          </w:tcPr>
          <w:p>
            <w:pPr>
              <w:pStyle w:val="41"/>
              <w:snapToGrid w:val="0"/>
              <w:spacing w:before="50" w:after="50"/>
              <w:jc w:val="center"/>
              <w:rPr>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noWrap w:val="0"/>
            <w:vAlign w:val="center"/>
          </w:tcPr>
          <w:p>
            <w:pPr>
              <w:pStyle w:val="41"/>
              <w:snapToGrid w:val="0"/>
              <w:spacing w:before="50" w:after="50"/>
              <w:jc w:val="center"/>
              <w:rPr>
                <w:color w:val="auto"/>
                <w:highlight w:val="none"/>
              </w:rPr>
            </w:pPr>
          </w:p>
        </w:tc>
        <w:tc>
          <w:tcPr>
            <w:tcW w:w="3137" w:type="dxa"/>
            <w:noWrap w:val="0"/>
            <w:vAlign w:val="center"/>
          </w:tcPr>
          <w:p>
            <w:pPr>
              <w:pStyle w:val="41"/>
              <w:snapToGrid w:val="0"/>
              <w:spacing w:before="50" w:after="50"/>
              <w:jc w:val="center"/>
              <w:rPr>
                <w:color w:val="auto"/>
                <w:highlight w:val="none"/>
              </w:rPr>
            </w:pPr>
          </w:p>
        </w:tc>
        <w:tc>
          <w:tcPr>
            <w:tcW w:w="1670" w:type="dxa"/>
            <w:tcBorders>
              <w:right w:val="single" w:color="auto" w:sz="4" w:space="0"/>
            </w:tcBorders>
            <w:noWrap w:val="0"/>
            <w:vAlign w:val="center"/>
          </w:tcPr>
          <w:p>
            <w:pPr>
              <w:pStyle w:val="41"/>
              <w:snapToGrid w:val="0"/>
              <w:spacing w:before="50" w:after="50"/>
              <w:jc w:val="center"/>
              <w:rPr>
                <w:color w:val="auto"/>
                <w:highlight w:val="none"/>
              </w:rPr>
            </w:pPr>
          </w:p>
        </w:tc>
        <w:tc>
          <w:tcPr>
            <w:tcW w:w="1467" w:type="dxa"/>
            <w:tcBorders>
              <w:left w:val="single" w:color="auto" w:sz="4" w:space="0"/>
            </w:tcBorders>
            <w:noWrap w:val="0"/>
            <w:vAlign w:val="center"/>
          </w:tcPr>
          <w:p>
            <w:pPr>
              <w:pStyle w:val="41"/>
              <w:snapToGrid w:val="0"/>
              <w:spacing w:before="50" w:after="50"/>
              <w:jc w:val="center"/>
              <w:rPr>
                <w:color w:val="auto"/>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3137" w:type="dxa"/>
            <w:tcBorders>
              <w:bottom w:val="single" w:color="auto" w:sz="8" w:space="0"/>
            </w:tcBorders>
            <w:noWrap w:val="0"/>
            <w:vAlign w:val="center"/>
          </w:tcPr>
          <w:p>
            <w:pPr>
              <w:pStyle w:val="41"/>
              <w:snapToGrid w:val="0"/>
              <w:spacing w:before="50" w:after="50"/>
              <w:jc w:val="center"/>
              <w:rPr>
                <w:color w:val="auto"/>
                <w:highlight w:val="none"/>
              </w:rPr>
            </w:pPr>
          </w:p>
        </w:tc>
        <w:tc>
          <w:tcPr>
            <w:tcW w:w="3137" w:type="dxa"/>
            <w:tcBorders>
              <w:bottom w:val="single" w:color="auto" w:sz="8" w:space="0"/>
            </w:tcBorders>
            <w:noWrap w:val="0"/>
            <w:vAlign w:val="center"/>
          </w:tcPr>
          <w:p>
            <w:pPr>
              <w:pStyle w:val="41"/>
              <w:snapToGrid w:val="0"/>
              <w:spacing w:before="50" w:after="50"/>
              <w:jc w:val="center"/>
              <w:rPr>
                <w:color w:val="auto"/>
                <w:highlight w:val="none"/>
              </w:rPr>
            </w:pPr>
          </w:p>
        </w:tc>
        <w:tc>
          <w:tcPr>
            <w:tcW w:w="1670" w:type="dxa"/>
            <w:tcBorders>
              <w:bottom w:val="single" w:color="auto" w:sz="8" w:space="0"/>
              <w:right w:val="single" w:color="auto" w:sz="4" w:space="0"/>
            </w:tcBorders>
            <w:noWrap w:val="0"/>
            <w:vAlign w:val="center"/>
          </w:tcPr>
          <w:p>
            <w:pPr>
              <w:pStyle w:val="41"/>
              <w:snapToGrid w:val="0"/>
              <w:spacing w:before="50" w:after="50"/>
              <w:jc w:val="center"/>
              <w:rPr>
                <w:color w:val="auto"/>
                <w:highlight w:val="none"/>
              </w:rPr>
            </w:pPr>
          </w:p>
        </w:tc>
        <w:tc>
          <w:tcPr>
            <w:tcW w:w="1467" w:type="dxa"/>
            <w:tcBorders>
              <w:left w:val="single" w:color="auto" w:sz="4" w:space="0"/>
              <w:bottom w:val="single" w:color="auto" w:sz="8" w:space="0"/>
            </w:tcBorders>
            <w:noWrap w:val="0"/>
            <w:vAlign w:val="center"/>
          </w:tcPr>
          <w:p>
            <w:pPr>
              <w:pStyle w:val="41"/>
              <w:snapToGrid w:val="0"/>
              <w:spacing w:before="50" w:after="50"/>
              <w:jc w:val="center"/>
              <w:rPr>
                <w:color w:val="auto"/>
                <w:highlight w:val="none"/>
              </w:rPr>
            </w:pPr>
          </w:p>
        </w:tc>
      </w:tr>
    </w:tbl>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p>
    <w:p>
      <w:pPr>
        <w:rPr>
          <w:rFonts w:hint="eastAsia" w:ascii="宋体" w:hAnsi="宋体" w:cs="宋体"/>
          <w:i w:val="0"/>
          <w:iCs w:val="0"/>
          <w:color w:val="auto"/>
          <w:kern w:val="0"/>
          <w:sz w:val="20"/>
          <w:szCs w:val="20"/>
          <w:highlight w:val="none"/>
          <w:u w:val="none"/>
          <w:lang w:val="en-US" w:eastAsia="zh-CN" w:bidi="ar"/>
        </w:rPr>
      </w:pPr>
    </w:p>
    <w:p>
      <w:pPr>
        <w:keepNext w:val="0"/>
        <w:keepLines w:val="0"/>
        <w:widowControl/>
        <w:suppressLineNumbers w:val="0"/>
        <w:jc w:val="both"/>
        <w:textAlignment w:val="center"/>
        <w:rPr>
          <w:rFonts w:hint="default"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2.绿色发展规划应答</w:t>
      </w:r>
    </w:p>
    <w:p>
      <w:pPr>
        <w:rPr>
          <w:color w:val="auto"/>
          <w:highlight w:val="none"/>
        </w:rPr>
      </w:pPr>
      <w:r>
        <w:rPr>
          <w:rFonts w:hint="eastAsia" w:ascii="宋体" w:hAnsi="宋体" w:eastAsia="宋体" w:cs="宋体"/>
          <w:b w:val="0"/>
          <w:bCs w:val="0"/>
          <w:color w:val="auto"/>
          <w:sz w:val="21"/>
          <w:szCs w:val="21"/>
          <w:highlight w:val="none"/>
          <w:lang w:val="en-US" w:eastAsia="zh-CN"/>
        </w:rPr>
        <w:t>投标人应</w:t>
      </w:r>
      <w:r>
        <w:rPr>
          <w:color w:val="auto"/>
          <w:highlight w:val="none"/>
        </w:rPr>
        <w:t>对于“商务评分标准”中</w:t>
      </w:r>
      <w:r>
        <w:rPr>
          <w:rFonts w:hint="eastAsia"/>
          <w:color w:val="auto"/>
          <w:highlight w:val="none"/>
          <w:lang w:eastAsia="zh-CN"/>
        </w:rPr>
        <w:t>“</w:t>
      </w:r>
      <w:r>
        <w:rPr>
          <w:rFonts w:hint="eastAsia"/>
          <w:color w:val="auto"/>
          <w:highlight w:val="none"/>
          <w:lang w:val="en-US" w:eastAsia="zh-CN"/>
        </w:rPr>
        <w:t>绿色发展规划”评审项进行响应，</w:t>
      </w:r>
      <w:r>
        <w:rPr>
          <w:color w:val="auto"/>
          <w:highlight w:val="none"/>
        </w:rPr>
        <w:t>并提供相关证明材料。</w:t>
      </w:r>
      <w:r>
        <w:rPr>
          <w:rFonts w:hint="eastAsia"/>
          <w:color w:val="auto"/>
          <w:highlight w:val="none"/>
          <w:lang w:val="en-US" w:eastAsia="zh-CN"/>
        </w:rPr>
        <w:t>包括但不限于企业的绿色发展顶层规划。</w:t>
      </w:r>
    </w:p>
    <w:p>
      <w:pPr>
        <w:keepNext w:val="0"/>
        <w:keepLines w:val="0"/>
        <w:widowControl/>
        <w:suppressLineNumbers w:val="0"/>
        <w:spacing w:line="360" w:lineRule="exact"/>
        <w:ind w:firstLine="400" w:firstLineChars="200"/>
        <w:jc w:val="left"/>
        <w:textAlignment w:val="auto"/>
        <w:rPr>
          <w:rFonts w:hint="eastAsia" w:ascii="宋体" w:hAnsi="宋体" w:cs="宋体"/>
          <w:i w:val="0"/>
          <w:iCs w:val="0"/>
          <w:color w:val="auto"/>
          <w:kern w:val="0"/>
          <w:sz w:val="20"/>
          <w:szCs w:val="20"/>
          <w:highlight w:val="none"/>
          <w:u w:val="none"/>
          <w:lang w:val="en-US" w:eastAsia="zh-CN" w:bidi="ar"/>
        </w:rPr>
      </w:pPr>
    </w:p>
    <w:p>
      <w:pPr>
        <w:keepNext w:val="0"/>
        <w:keepLines w:val="0"/>
        <w:widowControl/>
        <w:suppressLineNumbers w:val="0"/>
        <w:spacing w:line="360" w:lineRule="exact"/>
        <w:ind w:firstLine="400" w:firstLineChars="200"/>
        <w:jc w:val="left"/>
        <w:textAlignment w:val="auto"/>
        <w:rPr>
          <w:rFonts w:hint="eastAsia" w:ascii="宋体" w:hAnsi="宋体" w:cs="宋体"/>
          <w:i w:val="0"/>
          <w:iCs w:val="0"/>
          <w:color w:val="auto"/>
          <w:kern w:val="0"/>
          <w:sz w:val="20"/>
          <w:szCs w:val="20"/>
          <w:highlight w:val="none"/>
          <w:u w:val="none"/>
          <w:lang w:val="en-US" w:eastAsia="zh-CN" w:bidi="ar"/>
        </w:rPr>
      </w:pPr>
    </w:p>
    <w:p>
      <w:pPr>
        <w:keepNext w:val="0"/>
        <w:keepLines w:val="0"/>
        <w:widowControl/>
        <w:suppressLineNumbers w:val="0"/>
        <w:jc w:val="both"/>
        <w:textAlignment w:val="center"/>
        <w:rPr>
          <w:rFonts w:hint="default"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3.绿色管理应答</w:t>
      </w:r>
    </w:p>
    <w:p>
      <w:pPr>
        <w:rPr>
          <w:rFonts w:hint="eastAsia" w:ascii="宋体" w:hAnsi="宋体" w:cs="宋体"/>
          <w:i w:val="0"/>
          <w:iCs w:val="0"/>
          <w:color w:val="auto"/>
          <w:kern w:val="0"/>
          <w:sz w:val="20"/>
          <w:szCs w:val="20"/>
          <w:highlight w:val="none"/>
          <w:u w:val="none"/>
          <w:lang w:val="en-US" w:eastAsia="zh-CN" w:bidi="ar"/>
        </w:rPr>
      </w:pPr>
      <w:r>
        <w:rPr>
          <w:rFonts w:hint="eastAsia" w:ascii="宋体" w:hAnsi="宋体" w:eastAsia="宋体" w:cs="宋体"/>
          <w:b w:val="0"/>
          <w:bCs w:val="0"/>
          <w:color w:val="auto"/>
          <w:sz w:val="21"/>
          <w:szCs w:val="21"/>
          <w:highlight w:val="none"/>
          <w:lang w:val="en-US" w:eastAsia="zh-CN"/>
        </w:rPr>
        <w:t>投标人应</w:t>
      </w:r>
      <w:r>
        <w:rPr>
          <w:color w:val="auto"/>
          <w:highlight w:val="none"/>
        </w:rPr>
        <w:t>对于“商务评分标准”中</w:t>
      </w:r>
      <w:r>
        <w:rPr>
          <w:rFonts w:hint="eastAsia"/>
          <w:color w:val="auto"/>
          <w:highlight w:val="none"/>
          <w:lang w:eastAsia="zh-CN"/>
        </w:rPr>
        <w:t>“</w:t>
      </w:r>
      <w:r>
        <w:rPr>
          <w:rFonts w:hint="eastAsia"/>
          <w:color w:val="auto"/>
          <w:highlight w:val="none"/>
          <w:lang w:val="en-US" w:eastAsia="zh-CN"/>
        </w:rPr>
        <w:t>绿色管理”评审项进行响应，</w:t>
      </w:r>
      <w:r>
        <w:rPr>
          <w:color w:val="auto"/>
          <w:highlight w:val="none"/>
        </w:rPr>
        <w:t>并提供相关证明材料。</w:t>
      </w:r>
      <w:r>
        <w:rPr>
          <w:rFonts w:hint="eastAsia"/>
          <w:color w:val="auto"/>
          <w:highlight w:val="none"/>
          <w:lang w:val="en-US" w:eastAsia="zh-CN"/>
        </w:rPr>
        <w:t>包括但不限于企业响应国家“双碳”战略目标，节能减排、</w:t>
      </w:r>
      <w:r>
        <w:rPr>
          <w:rFonts w:hint="eastAsia"/>
          <w:color w:val="auto"/>
          <w:highlight w:val="none"/>
        </w:rPr>
        <w:t>绿色管理等方面</w:t>
      </w:r>
      <w:r>
        <w:rPr>
          <w:rFonts w:hint="eastAsia"/>
          <w:color w:val="auto"/>
          <w:highlight w:val="none"/>
          <w:lang w:val="en-US" w:eastAsia="zh-CN"/>
        </w:rPr>
        <w:t>开展的工作举措，</w:t>
      </w:r>
      <w:r>
        <w:rPr>
          <w:rFonts w:hint="eastAsia"/>
          <w:color w:val="auto"/>
          <w:highlight w:val="none"/>
        </w:rPr>
        <w:t>取得政府绿色技术认证，质量、环境、能源、健康安全等体系</w:t>
      </w:r>
      <w:r>
        <w:rPr>
          <w:rFonts w:hint="eastAsia"/>
          <w:color w:val="auto"/>
          <w:highlight w:val="none"/>
          <w:lang w:val="en-US" w:eastAsia="zh-CN"/>
        </w:rPr>
        <w:t>的证明文件、企业发布ESG报告。</w:t>
      </w:r>
      <w:r>
        <w:rPr>
          <w:rFonts w:hint="eastAsia" w:ascii="宋体" w:hAnsi="宋体" w:cs="宋体"/>
          <w:i w:val="0"/>
          <w:iCs w:val="0"/>
          <w:color w:val="auto"/>
          <w:kern w:val="0"/>
          <w:sz w:val="20"/>
          <w:szCs w:val="20"/>
          <w:highlight w:val="none"/>
          <w:u w:val="none"/>
          <w:lang w:val="en-US" w:eastAsia="zh-CN" w:bidi="ar"/>
        </w:rPr>
        <w:br w:type="page"/>
      </w:r>
    </w:p>
    <w:p>
      <w:pPr>
        <w:keepNext w:val="0"/>
        <w:keepLines w:val="0"/>
        <w:widowControl/>
        <w:suppressLineNumbers w:val="0"/>
        <w:jc w:val="both"/>
        <w:textAlignment w:val="center"/>
        <w:rPr>
          <w:rFonts w:hint="default"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4.其他文件</w:t>
      </w:r>
    </w:p>
    <w:p>
      <w:pPr>
        <w:keepNext w:val="0"/>
        <w:keepLines w:val="0"/>
        <w:widowControl/>
        <w:suppressLineNumbers w:val="0"/>
        <w:jc w:val="both"/>
        <w:textAlignment w:val="cente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t>（1）基本情况表</w:t>
      </w:r>
    </w:p>
    <w:tbl>
      <w:tblPr>
        <w:tblStyle w:val="19"/>
        <w:tblpPr w:leftFromText="180" w:rightFromText="180" w:vertAnchor="text" w:horzAnchor="page" w:tblpX="1474" w:tblpY="308"/>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5"/>
        <w:gridCol w:w="898"/>
        <w:gridCol w:w="1027"/>
        <w:gridCol w:w="1287"/>
        <w:gridCol w:w="584"/>
        <w:gridCol w:w="702"/>
        <w:gridCol w:w="989"/>
        <w:gridCol w:w="125"/>
        <w:gridCol w:w="12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投标人名称</w:t>
            </w:r>
          </w:p>
        </w:tc>
        <w:tc>
          <w:tcPr>
            <w:tcW w:w="6842" w:type="dxa"/>
            <w:gridSpan w:val="8"/>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注册地址</w:t>
            </w:r>
          </w:p>
        </w:tc>
        <w:tc>
          <w:tcPr>
            <w:tcW w:w="3212" w:type="dxa"/>
            <w:gridSpan w:val="3"/>
            <w:noWrap w:val="0"/>
            <w:vAlign w:val="center"/>
          </w:tcPr>
          <w:p>
            <w:pPr>
              <w:jc w:val="center"/>
              <w:rPr>
                <w:color w:val="auto"/>
                <w:highlight w:val="none"/>
                <w:lang w:bidi="zh-CN"/>
              </w:rPr>
            </w:pPr>
          </w:p>
        </w:tc>
        <w:tc>
          <w:tcPr>
            <w:tcW w:w="1286" w:type="dxa"/>
            <w:gridSpan w:val="2"/>
            <w:noWrap w:val="0"/>
            <w:vAlign w:val="center"/>
          </w:tcPr>
          <w:p>
            <w:pPr>
              <w:jc w:val="center"/>
              <w:rPr>
                <w:color w:val="auto"/>
                <w:highlight w:val="none"/>
                <w:lang w:bidi="zh-CN"/>
              </w:rPr>
            </w:pPr>
            <w:r>
              <w:rPr>
                <w:color w:val="auto"/>
                <w:highlight w:val="none"/>
                <w:lang w:bidi="zh-CN"/>
              </w:rPr>
              <w:t>邮政编码</w:t>
            </w:r>
          </w:p>
        </w:tc>
        <w:tc>
          <w:tcPr>
            <w:tcW w:w="2344" w:type="dxa"/>
            <w:gridSpan w:val="3"/>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vMerge w:val="restart"/>
            <w:noWrap w:val="0"/>
            <w:vAlign w:val="center"/>
          </w:tcPr>
          <w:p>
            <w:pPr>
              <w:jc w:val="center"/>
              <w:rPr>
                <w:color w:val="auto"/>
                <w:highlight w:val="none"/>
                <w:lang w:bidi="zh-CN"/>
              </w:rPr>
            </w:pPr>
          </w:p>
          <w:p>
            <w:pPr>
              <w:jc w:val="center"/>
              <w:rPr>
                <w:color w:val="auto"/>
                <w:highlight w:val="none"/>
                <w:lang w:bidi="zh-CN"/>
              </w:rPr>
            </w:pPr>
            <w:r>
              <w:rPr>
                <w:color w:val="auto"/>
                <w:highlight w:val="none"/>
                <w:lang w:bidi="zh-CN"/>
              </w:rPr>
              <w:t>联系方式</w:t>
            </w:r>
          </w:p>
        </w:tc>
        <w:tc>
          <w:tcPr>
            <w:tcW w:w="898" w:type="dxa"/>
            <w:noWrap w:val="0"/>
            <w:vAlign w:val="center"/>
          </w:tcPr>
          <w:p>
            <w:pPr>
              <w:jc w:val="center"/>
              <w:rPr>
                <w:color w:val="auto"/>
                <w:highlight w:val="none"/>
                <w:lang w:bidi="zh-CN"/>
              </w:rPr>
            </w:pPr>
            <w:r>
              <w:rPr>
                <w:color w:val="auto"/>
                <w:highlight w:val="none"/>
                <w:lang w:bidi="zh-CN"/>
              </w:rPr>
              <w:t>联系人</w:t>
            </w:r>
          </w:p>
        </w:tc>
        <w:tc>
          <w:tcPr>
            <w:tcW w:w="2314" w:type="dxa"/>
            <w:gridSpan w:val="2"/>
            <w:noWrap w:val="0"/>
            <w:vAlign w:val="center"/>
          </w:tcPr>
          <w:p>
            <w:pPr>
              <w:jc w:val="center"/>
              <w:rPr>
                <w:color w:val="auto"/>
                <w:highlight w:val="none"/>
                <w:lang w:bidi="zh-CN"/>
              </w:rPr>
            </w:pPr>
          </w:p>
        </w:tc>
        <w:tc>
          <w:tcPr>
            <w:tcW w:w="1286" w:type="dxa"/>
            <w:gridSpan w:val="2"/>
            <w:noWrap w:val="0"/>
            <w:vAlign w:val="center"/>
          </w:tcPr>
          <w:p>
            <w:pPr>
              <w:jc w:val="center"/>
              <w:rPr>
                <w:color w:val="auto"/>
                <w:highlight w:val="none"/>
                <w:lang w:bidi="zh-CN"/>
              </w:rPr>
            </w:pPr>
            <w:r>
              <w:rPr>
                <w:color w:val="auto"/>
                <w:highlight w:val="none"/>
                <w:lang w:bidi="zh-CN"/>
              </w:rPr>
              <w:t>电 话</w:t>
            </w:r>
          </w:p>
        </w:tc>
        <w:tc>
          <w:tcPr>
            <w:tcW w:w="2344" w:type="dxa"/>
            <w:gridSpan w:val="3"/>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2045" w:type="dxa"/>
            <w:vMerge w:val="continue"/>
            <w:tcBorders>
              <w:top w:val="nil"/>
            </w:tcBorders>
            <w:noWrap w:val="0"/>
            <w:vAlign w:val="center"/>
          </w:tcPr>
          <w:p>
            <w:pPr>
              <w:jc w:val="center"/>
              <w:rPr>
                <w:color w:val="auto"/>
                <w:highlight w:val="none"/>
              </w:rPr>
            </w:pPr>
          </w:p>
        </w:tc>
        <w:tc>
          <w:tcPr>
            <w:tcW w:w="898" w:type="dxa"/>
            <w:noWrap w:val="0"/>
            <w:vAlign w:val="center"/>
          </w:tcPr>
          <w:p>
            <w:pPr>
              <w:jc w:val="center"/>
              <w:rPr>
                <w:color w:val="auto"/>
                <w:highlight w:val="none"/>
                <w:lang w:bidi="zh-CN"/>
              </w:rPr>
            </w:pPr>
            <w:r>
              <w:rPr>
                <w:color w:val="auto"/>
                <w:highlight w:val="none"/>
                <w:lang w:bidi="zh-CN"/>
              </w:rPr>
              <w:t>传</w:t>
            </w:r>
            <w:r>
              <w:rPr>
                <w:color w:val="auto"/>
                <w:highlight w:val="none"/>
                <w:lang w:bidi="zh-CN"/>
              </w:rPr>
              <w:tab/>
            </w:r>
            <w:r>
              <w:rPr>
                <w:color w:val="auto"/>
                <w:highlight w:val="none"/>
                <w:lang w:bidi="zh-CN"/>
              </w:rPr>
              <w:t>真</w:t>
            </w:r>
          </w:p>
        </w:tc>
        <w:tc>
          <w:tcPr>
            <w:tcW w:w="2314" w:type="dxa"/>
            <w:gridSpan w:val="2"/>
            <w:noWrap w:val="0"/>
            <w:vAlign w:val="center"/>
          </w:tcPr>
          <w:p>
            <w:pPr>
              <w:jc w:val="center"/>
              <w:rPr>
                <w:color w:val="auto"/>
                <w:highlight w:val="none"/>
                <w:lang w:bidi="zh-CN"/>
              </w:rPr>
            </w:pPr>
          </w:p>
        </w:tc>
        <w:tc>
          <w:tcPr>
            <w:tcW w:w="1286" w:type="dxa"/>
            <w:gridSpan w:val="2"/>
            <w:noWrap w:val="0"/>
            <w:vAlign w:val="center"/>
          </w:tcPr>
          <w:p>
            <w:pPr>
              <w:jc w:val="center"/>
              <w:rPr>
                <w:color w:val="auto"/>
                <w:highlight w:val="none"/>
                <w:lang w:bidi="zh-CN"/>
              </w:rPr>
            </w:pPr>
            <w:r>
              <w:rPr>
                <w:color w:val="auto"/>
                <w:highlight w:val="none"/>
                <w:lang w:bidi="zh-CN"/>
              </w:rPr>
              <w:t>网 址</w:t>
            </w:r>
          </w:p>
        </w:tc>
        <w:tc>
          <w:tcPr>
            <w:tcW w:w="2344" w:type="dxa"/>
            <w:gridSpan w:val="3"/>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法定代表人</w:t>
            </w:r>
          </w:p>
        </w:tc>
        <w:tc>
          <w:tcPr>
            <w:tcW w:w="898" w:type="dxa"/>
            <w:noWrap w:val="0"/>
            <w:vAlign w:val="center"/>
          </w:tcPr>
          <w:p>
            <w:pPr>
              <w:jc w:val="center"/>
              <w:rPr>
                <w:color w:val="auto"/>
                <w:highlight w:val="none"/>
                <w:lang w:bidi="zh-CN"/>
              </w:rPr>
            </w:pPr>
            <w:r>
              <w:rPr>
                <w:color w:val="auto"/>
                <w:highlight w:val="none"/>
                <w:lang w:bidi="zh-CN"/>
              </w:rPr>
              <w:t>姓名</w:t>
            </w:r>
          </w:p>
        </w:tc>
        <w:tc>
          <w:tcPr>
            <w:tcW w:w="1027" w:type="dxa"/>
            <w:noWrap w:val="0"/>
            <w:vAlign w:val="center"/>
          </w:tcPr>
          <w:p>
            <w:pPr>
              <w:jc w:val="center"/>
              <w:rPr>
                <w:color w:val="auto"/>
                <w:highlight w:val="none"/>
                <w:lang w:bidi="zh-CN"/>
              </w:rPr>
            </w:pPr>
          </w:p>
        </w:tc>
        <w:tc>
          <w:tcPr>
            <w:tcW w:w="1287" w:type="dxa"/>
            <w:noWrap w:val="0"/>
            <w:vAlign w:val="center"/>
          </w:tcPr>
          <w:p>
            <w:pPr>
              <w:jc w:val="center"/>
              <w:rPr>
                <w:color w:val="auto"/>
                <w:highlight w:val="none"/>
                <w:lang w:bidi="zh-CN"/>
              </w:rPr>
            </w:pPr>
            <w:r>
              <w:rPr>
                <w:color w:val="auto"/>
                <w:highlight w:val="none"/>
                <w:lang w:bidi="zh-CN"/>
              </w:rPr>
              <w:t>技术职称</w:t>
            </w:r>
          </w:p>
        </w:tc>
        <w:tc>
          <w:tcPr>
            <w:tcW w:w="1286" w:type="dxa"/>
            <w:gridSpan w:val="2"/>
            <w:noWrap w:val="0"/>
            <w:vAlign w:val="center"/>
          </w:tcPr>
          <w:p>
            <w:pPr>
              <w:jc w:val="center"/>
              <w:rPr>
                <w:color w:val="auto"/>
                <w:highlight w:val="none"/>
                <w:lang w:bidi="zh-CN"/>
              </w:rPr>
            </w:pPr>
          </w:p>
        </w:tc>
        <w:tc>
          <w:tcPr>
            <w:tcW w:w="1114" w:type="dxa"/>
            <w:gridSpan w:val="2"/>
            <w:noWrap w:val="0"/>
            <w:vAlign w:val="center"/>
          </w:tcPr>
          <w:p>
            <w:pPr>
              <w:jc w:val="center"/>
              <w:rPr>
                <w:color w:val="auto"/>
                <w:highlight w:val="none"/>
                <w:lang w:bidi="zh-CN"/>
              </w:rPr>
            </w:pPr>
            <w:r>
              <w:rPr>
                <w:color w:val="auto"/>
                <w:highlight w:val="none"/>
                <w:lang w:bidi="zh-CN"/>
              </w:rPr>
              <w:t>电话</w:t>
            </w:r>
          </w:p>
        </w:tc>
        <w:tc>
          <w:tcPr>
            <w:tcW w:w="1230" w:type="dxa"/>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技术负责人</w:t>
            </w:r>
          </w:p>
        </w:tc>
        <w:tc>
          <w:tcPr>
            <w:tcW w:w="898" w:type="dxa"/>
            <w:noWrap w:val="0"/>
            <w:vAlign w:val="center"/>
          </w:tcPr>
          <w:p>
            <w:pPr>
              <w:jc w:val="center"/>
              <w:rPr>
                <w:color w:val="auto"/>
                <w:highlight w:val="none"/>
                <w:lang w:bidi="zh-CN"/>
              </w:rPr>
            </w:pPr>
            <w:r>
              <w:rPr>
                <w:color w:val="auto"/>
                <w:highlight w:val="none"/>
                <w:lang w:bidi="zh-CN"/>
              </w:rPr>
              <w:t>姓名</w:t>
            </w:r>
          </w:p>
        </w:tc>
        <w:tc>
          <w:tcPr>
            <w:tcW w:w="1027" w:type="dxa"/>
            <w:noWrap w:val="0"/>
            <w:vAlign w:val="center"/>
          </w:tcPr>
          <w:p>
            <w:pPr>
              <w:jc w:val="center"/>
              <w:rPr>
                <w:color w:val="auto"/>
                <w:highlight w:val="none"/>
                <w:lang w:bidi="zh-CN"/>
              </w:rPr>
            </w:pPr>
          </w:p>
        </w:tc>
        <w:tc>
          <w:tcPr>
            <w:tcW w:w="1287" w:type="dxa"/>
            <w:noWrap w:val="0"/>
            <w:vAlign w:val="center"/>
          </w:tcPr>
          <w:p>
            <w:pPr>
              <w:jc w:val="center"/>
              <w:rPr>
                <w:color w:val="auto"/>
                <w:highlight w:val="none"/>
                <w:lang w:bidi="zh-CN"/>
              </w:rPr>
            </w:pPr>
            <w:r>
              <w:rPr>
                <w:color w:val="auto"/>
                <w:highlight w:val="none"/>
                <w:lang w:bidi="zh-CN"/>
              </w:rPr>
              <w:t>技术职称</w:t>
            </w:r>
          </w:p>
        </w:tc>
        <w:tc>
          <w:tcPr>
            <w:tcW w:w="1286" w:type="dxa"/>
            <w:gridSpan w:val="2"/>
            <w:noWrap w:val="0"/>
            <w:vAlign w:val="center"/>
          </w:tcPr>
          <w:p>
            <w:pPr>
              <w:jc w:val="center"/>
              <w:rPr>
                <w:color w:val="auto"/>
                <w:highlight w:val="none"/>
                <w:lang w:bidi="zh-CN"/>
              </w:rPr>
            </w:pPr>
          </w:p>
        </w:tc>
        <w:tc>
          <w:tcPr>
            <w:tcW w:w="1114" w:type="dxa"/>
            <w:gridSpan w:val="2"/>
            <w:noWrap w:val="0"/>
            <w:vAlign w:val="center"/>
          </w:tcPr>
          <w:p>
            <w:pPr>
              <w:jc w:val="center"/>
              <w:rPr>
                <w:color w:val="auto"/>
                <w:highlight w:val="none"/>
                <w:lang w:bidi="zh-CN"/>
              </w:rPr>
            </w:pPr>
            <w:r>
              <w:rPr>
                <w:color w:val="auto"/>
                <w:highlight w:val="none"/>
                <w:lang w:bidi="zh-CN"/>
              </w:rPr>
              <w:t>电话</w:t>
            </w:r>
          </w:p>
        </w:tc>
        <w:tc>
          <w:tcPr>
            <w:tcW w:w="1230" w:type="dxa"/>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2045" w:type="dxa"/>
            <w:noWrap w:val="0"/>
            <w:vAlign w:val="center"/>
          </w:tcPr>
          <w:p>
            <w:pPr>
              <w:jc w:val="center"/>
              <w:rPr>
                <w:color w:val="auto"/>
                <w:highlight w:val="none"/>
                <w:lang w:bidi="zh-CN"/>
              </w:rPr>
            </w:pPr>
            <w:r>
              <w:rPr>
                <w:color w:val="auto"/>
                <w:highlight w:val="none"/>
                <w:lang w:bidi="zh-CN"/>
              </w:rPr>
              <w:t>营业执照号</w:t>
            </w:r>
          </w:p>
        </w:tc>
        <w:tc>
          <w:tcPr>
            <w:tcW w:w="3212" w:type="dxa"/>
            <w:gridSpan w:val="3"/>
            <w:noWrap w:val="0"/>
            <w:vAlign w:val="center"/>
          </w:tcPr>
          <w:p>
            <w:pPr>
              <w:jc w:val="center"/>
              <w:rPr>
                <w:color w:val="auto"/>
                <w:highlight w:val="none"/>
                <w:lang w:bidi="zh-CN"/>
              </w:rPr>
            </w:pPr>
          </w:p>
        </w:tc>
        <w:tc>
          <w:tcPr>
            <w:tcW w:w="3630" w:type="dxa"/>
            <w:gridSpan w:val="5"/>
            <w:noWrap w:val="0"/>
            <w:vAlign w:val="center"/>
          </w:tcPr>
          <w:p>
            <w:pPr>
              <w:jc w:val="center"/>
              <w:rPr>
                <w:color w:val="auto"/>
                <w:highlight w:val="none"/>
                <w:lang w:bidi="zh-CN"/>
              </w:rPr>
            </w:pPr>
            <w:r>
              <w:rPr>
                <w:color w:val="auto"/>
                <w:highlight w:val="none"/>
                <w:lang w:bidi="zh-CN"/>
              </w:rPr>
              <w:t>员工总人数：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注册资本</w:t>
            </w:r>
          </w:p>
        </w:tc>
        <w:tc>
          <w:tcPr>
            <w:tcW w:w="3212" w:type="dxa"/>
            <w:gridSpan w:val="3"/>
            <w:noWrap w:val="0"/>
            <w:vAlign w:val="center"/>
          </w:tcPr>
          <w:p>
            <w:pPr>
              <w:jc w:val="center"/>
              <w:rPr>
                <w:color w:val="auto"/>
                <w:highlight w:val="none"/>
                <w:lang w:bidi="zh-CN"/>
              </w:rPr>
            </w:pPr>
          </w:p>
        </w:tc>
        <w:tc>
          <w:tcPr>
            <w:tcW w:w="584" w:type="dxa"/>
            <w:vMerge w:val="restart"/>
            <w:noWrap w:val="0"/>
            <w:vAlign w:val="center"/>
          </w:tcPr>
          <w:p>
            <w:pPr>
              <w:jc w:val="center"/>
              <w:rPr>
                <w:color w:val="auto"/>
                <w:highlight w:val="none"/>
                <w:lang w:bidi="zh-CN"/>
              </w:rPr>
            </w:pPr>
            <w:r>
              <w:rPr>
                <w:color w:val="auto"/>
                <w:highlight w:val="none"/>
                <w:lang w:bidi="zh-CN"/>
              </w:rPr>
              <w:t>其中</w:t>
            </w:r>
          </w:p>
        </w:tc>
        <w:tc>
          <w:tcPr>
            <w:tcW w:w="1691" w:type="dxa"/>
            <w:gridSpan w:val="2"/>
            <w:noWrap w:val="0"/>
            <w:vAlign w:val="center"/>
          </w:tcPr>
          <w:p>
            <w:pPr>
              <w:jc w:val="center"/>
              <w:rPr>
                <w:color w:val="auto"/>
                <w:highlight w:val="none"/>
                <w:lang w:bidi="zh-CN"/>
              </w:rPr>
            </w:pPr>
            <w:r>
              <w:rPr>
                <w:color w:val="auto"/>
                <w:highlight w:val="none"/>
                <w:lang w:bidi="zh-CN"/>
              </w:rPr>
              <w:t>高级职称人员</w:t>
            </w:r>
          </w:p>
        </w:tc>
        <w:tc>
          <w:tcPr>
            <w:tcW w:w="1355" w:type="dxa"/>
            <w:gridSpan w:val="2"/>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成立日期</w:t>
            </w:r>
          </w:p>
        </w:tc>
        <w:tc>
          <w:tcPr>
            <w:tcW w:w="3212" w:type="dxa"/>
            <w:gridSpan w:val="3"/>
            <w:noWrap w:val="0"/>
            <w:vAlign w:val="center"/>
          </w:tcPr>
          <w:p>
            <w:pPr>
              <w:jc w:val="center"/>
              <w:rPr>
                <w:color w:val="auto"/>
                <w:highlight w:val="none"/>
                <w:lang w:bidi="zh-CN"/>
              </w:rPr>
            </w:pPr>
          </w:p>
        </w:tc>
        <w:tc>
          <w:tcPr>
            <w:tcW w:w="584" w:type="dxa"/>
            <w:vMerge w:val="continue"/>
            <w:tcBorders>
              <w:top w:val="nil"/>
            </w:tcBorders>
            <w:noWrap w:val="0"/>
            <w:vAlign w:val="center"/>
          </w:tcPr>
          <w:p>
            <w:pPr>
              <w:jc w:val="center"/>
              <w:rPr>
                <w:color w:val="auto"/>
                <w:highlight w:val="none"/>
              </w:rPr>
            </w:pPr>
          </w:p>
        </w:tc>
        <w:tc>
          <w:tcPr>
            <w:tcW w:w="1691" w:type="dxa"/>
            <w:gridSpan w:val="2"/>
            <w:noWrap w:val="0"/>
            <w:vAlign w:val="center"/>
          </w:tcPr>
          <w:p>
            <w:pPr>
              <w:jc w:val="center"/>
              <w:rPr>
                <w:color w:val="auto"/>
                <w:highlight w:val="none"/>
                <w:lang w:bidi="zh-CN"/>
              </w:rPr>
            </w:pPr>
            <w:r>
              <w:rPr>
                <w:color w:val="auto"/>
                <w:highlight w:val="none"/>
                <w:lang w:bidi="zh-CN"/>
              </w:rPr>
              <w:t>中级职称人员</w:t>
            </w:r>
          </w:p>
        </w:tc>
        <w:tc>
          <w:tcPr>
            <w:tcW w:w="1355" w:type="dxa"/>
            <w:gridSpan w:val="2"/>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基本账户开户银行</w:t>
            </w:r>
          </w:p>
        </w:tc>
        <w:tc>
          <w:tcPr>
            <w:tcW w:w="3212" w:type="dxa"/>
            <w:gridSpan w:val="3"/>
            <w:noWrap w:val="0"/>
            <w:vAlign w:val="center"/>
          </w:tcPr>
          <w:p>
            <w:pPr>
              <w:jc w:val="center"/>
              <w:rPr>
                <w:color w:val="auto"/>
                <w:highlight w:val="none"/>
                <w:lang w:bidi="zh-CN"/>
              </w:rPr>
            </w:pPr>
          </w:p>
        </w:tc>
        <w:tc>
          <w:tcPr>
            <w:tcW w:w="584" w:type="dxa"/>
            <w:vMerge w:val="continue"/>
            <w:tcBorders>
              <w:top w:val="nil"/>
            </w:tcBorders>
            <w:noWrap w:val="0"/>
            <w:vAlign w:val="center"/>
          </w:tcPr>
          <w:p>
            <w:pPr>
              <w:jc w:val="center"/>
              <w:rPr>
                <w:color w:val="auto"/>
                <w:highlight w:val="none"/>
              </w:rPr>
            </w:pPr>
          </w:p>
        </w:tc>
        <w:tc>
          <w:tcPr>
            <w:tcW w:w="1691" w:type="dxa"/>
            <w:gridSpan w:val="2"/>
            <w:noWrap w:val="0"/>
            <w:vAlign w:val="center"/>
          </w:tcPr>
          <w:p>
            <w:pPr>
              <w:jc w:val="center"/>
              <w:rPr>
                <w:color w:val="auto"/>
                <w:highlight w:val="none"/>
                <w:lang w:bidi="zh-CN"/>
              </w:rPr>
            </w:pPr>
            <w:r>
              <w:rPr>
                <w:color w:val="auto"/>
                <w:highlight w:val="none"/>
                <w:lang w:bidi="zh-CN"/>
              </w:rPr>
              <w:t>技术人员数量</w:t>
            </w:r>
          </w:p>
        </w:tc>
        <w:tc>
          <w:tcPr>
            <w:tcW w:w="1355" w:type="dxa"/>
            <w:gridSpan w:val="2"/>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基本账户银行账号</w:t>
            </w:r>
          </w:p>
        </w:tc>
        <w:tc>
          <w:tcPr>
            <w:tcW w:w="3212" w:type="dxa"/>
            <w:gridSpan w:val="3"/>
            <w:noWrap w:val="0"/>
            <w:vAlign w:val="center"/>
          </w:tcPr>
          <w:p>
            <w:pPr>
              <w:jc w:val="center"/>
              <w:rPr>
                <w:color w:val="auto"/>
                <w:highlight w:val="none"/>
                <w:lang w:bidi="zh-CN"/>
              </w:rPr>
            </w:pPr>
          </w:p>
        </w:tc>
        <w:tc>
          <w:tcPr>
            <w:tcW w:w="584" w:type="dxa"/>
            <w:vMerge w:val="continue"/>
            <w:tcBorders>
              <w:top w:val="nil"/>
            </w:tcBorders>
            <w:noWrap w:val="0"/>
            <w:vAlign w:val="center"/>
          </w:tcPr>
          <w:p>
            <w:pPr>
              <w:jc w:val="center"/>
              <w:rPr>
                <w:color w:val="auto"/>
                <w:highlight w:val="none"/>
              </w:rPr>
            </w:pPr>
          </w:p>
        </w:tc>
        <w:tc>
          <w:tcPr>
            <w:tcW w:w="1691" w:type="dxa"/>
            <w:gridSpan w:val="2"/>
            <w:noWrap w:val="0"/>
            <w:vAlign w:val="center"/>
          </w:tcPr>
          <w:p>
            <w:pPr>
              <w:jc w:val="center"/>
              <w:rPr>
                <w:color w:val="auto"/>
                <w:highlight w:val="none"/>
                <w:lang w:bidi="zh-CN"/>
              </w:rPr>
            </w:pPr>
            <w:r>
              <w:rPr>
                <w:color w:val="auto"/>
                <w:highlight w:val="none"/>
                <w:lang w:bidi="zh-CN"/>
              </w:rPr>
              <w:t>各类注册人员</w:t>
            </w:r>
          </w:p>
        </w:tc>
        <w:tc>
          <w:tcPr>
            <w:tcW w:w="1355" w:type="dxa"/>
            <w:gridSpan w:val="2"/>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45" w:type="dxa"/>
            <w:noWrap w:val="0"/>
            <w:vAlign w:val="center"/>
          </w:tcPr>
          <w:p>
            <w:pPr>
              <w:jc w:val="center"/>
              <w:rPr>
                <w:color w:val="auto"/>
                <w:highlight w:val="none"/>
                <w:lang w:bidi="zh-CN"/>
              </w:rPr>
            </w:pPr>
            <w:r>
              <w:rPr>
                <w:color w:val="auto"/>
                <w:highlight w:val="none"/>
                <w:lang w:bidi="zh-CN"/>
              </w:rPr>
              <w:t>经营范围</w:t>
            </w:r>
          </w:p>
        </w:tc>
        <w:tc>
          <w:tcPr>
            <w:tcW w:w="6842" w:type="dxa"/>
            <w:gridSpan w:val="8"/>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0" w:hRule="atLeast"/>
        </w:trPr>
        <w:tc>
          <w:tcPr>
            <w:tcW w:w="2045" w:type="dxa"/>
            <w:noWrap w:val="0"/>
            <w:vAlign w:val="center"/>
          </w:tcPr>
          <w:p>
            <w:pPr>
              <w:jc w:val="center"/>
              <w:rPr>
                <w:color w:val="auto"/>
                <w:highlight w:val="none"/>
                <w:lang w:bidi="zh-CN"/>
              </w:rPr>
            </w:pPr>
            <w:r>
              <w:rPr>
                <w:color w:val="auto"/>
                <w:highlight w:val="none"/>
                <w:lang w:bidi="zh-CN"/>
              </w:rPr>
              <w:t>投标人关联企业情况（包括但不限于与投标人法定代表人为同一人或者存在控股、管理关系的不</w:t>
            </w:r>
          </w:p>
          <w:p>
            <w:pPr>
              <w:jc w:val="center"/>
              <w:rPr>
                <w:color w:val="auto"/>
                <w:highlight w:val="none"/>
                <w:lang w:bidi="zh-CN"/>
              </w:rPr>
            </w:pPr>
            <w:r>
              <w:rPr>
                <w:color w:val="auto"/>
                <w:highlight w:val="none"/>
                <w:lang w:bidi="zh-CN"/>
              </w:rPr>
              <w:t>同单位）</w:t>
            </w:r>
          </w:p>
        </w:tc>
        <w:tc>
          <w:tcPr>
            <w:tcW w:w="6842" w:type="dxa"/>
            <w:gridSpan w:val="8"/>
            <w:noWrap w:val="0"/>
            <w:vAlign w:val="center"/>
          </w:tcPr>
          <w:p>
            <w:pPr>
              <w:jc w:val="center"/>
              <w:rPr>
                <w:color w:val="auto"/>
                <w:highlight w:val="none"/>
                <w:lang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045" w:type="dxa"/>
            <w:noWrap w:val="0"/>
            <w:vAlign w:val="center"/>
          </w:tcPr>
          <w:p>
            <w:pPr>
              <w:jc w:val="center"/>
              <w:rPr>
                <w:color w:val="auto"/>
                <w:highlight w:val="none"/>
                <w:lang w:bidi="zh-CN"/>
              </w:rPr>
            </w:pPr>
            <w:r>
              <w:rPr>
                <w:color w:val="auto"/>
                <w:highlight w:val="none"/>
                <w:lang w:bidi="zh-CN"/>
              </w:rPr>
              <w:t>备注</w:t>
            </w:r>
          </w:p>
        </w:tc>
        <w:tc>
          <w:tcPr>
            <w:tcW w:w="6842" w:type="dxa"/>
            <w:gridSpan w:val="8"/>
            <w:noWrap w:val="0"/>
            <w:vAlign w:val="center"/>
          </w:tcPr>
          <w:p>
            <w:pPr>
              <w:jc w:val="center"/>
              <w:rPr>
                <w:color w:val="auto"/>
                <w:highlight w:val="none"/>
                <w:lang w:bidi="zh-CN"/>
              </w:rPr>
            </w:pPr>
          </w:p>
        </w:tc>
      </w:tr>
    </w:tbl>
    <w:p>
      <w:pPr>
        <w:pStyle w:val="17"/>
        <w:rPr>
          <w:rFonts w:hint="eastAsia"/>
          <w:color w:val="auto"/>
          <w:highlight w:val="none"/>
          <w:lang w:val="en-US" w:eastAsia="zh-CN"/>
        </w:rPr>
      </w:pPr>
    </w:p>
    <w:p>
      <w:pPr>
        <w:rPr>
          <w:rFonts w:hint="eastAsia" w:ascii="宋体" w:hAnsi="宋体" w:cs="宋体"/>
          <w:i w:val="0"/>
          <w:iCs w:val="0"/>
          <w:color w:val="auto"/>
          <w:kern w:val="0"/>
          <w:sz w:val="20"/>
          <w:szCs w:val="20"/>
          <w:highlight w:val="none"/>
          <w:u w:val="none"/>
          <w:lang w:val="en-US" w:eastAsia="zh-CN" w:bidi="ar"/>
        </w:rPr>
      </w:pPr>
      <w:r>
        <w:rPr>
          <w:rFonts w:hint="eastAsia" w:ascii="宋体" w:hAnsi="宋体" w:cs="宋体"/>
          <w:i w:val="0"/>
          <w:iCs w:val="0"/>
          <w:color w:val="auto"/>
          <w:kern w:val="0"/>
          <w:sz w:val="20"/>
          <w:szCs w:val="20"/>
          <w:highlight w:val="none"/>
          <w:u w:val="none"/>
          <w:lang w:val="en-US" w:eastAsia="zh-CN" w:bidi="ar"/>
        </w:rPr>
        <w:br w:type="page"/>
      </w: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（2）近年财务状况</w:t>
      </w:r>
    </w:p>
    <w:p>
      <w:pPr>
        <w:tabs>
          <w:tab w:val="right" w:pos="7200"/>
        </w:tabs>
        <w:spacing w:line="360" w:lineRule="auto"/>
        <w:ind w:firstLine="420" w:firstLineChars="200"/>
        <w:rPr>
          <w:color w:val="auto"/>
          <w:highlight w:val="none"/>
        </w:rPr>
      </w:pPr>
      <w:r>
        <w:rPr>
          <w:color w:val="auto"/>
          <w:szCs w:val="21"/>
          <w:highlight w:val="none"/>
        </w:rPr>
        <w:t>投标人需提供第二章投标人须知前附表第3.5.2条规定年份的财务会计报表</w:t>
      </w:r>
      <w:r>
        <w:rPr>
          <w:b/>
          <w:color w:val="auto"/>
          <w:szCs w:val="21"/>
          <w:highlight w:val="none"/>
        </w:rPr>
        <w:t>审计报告</w:t>
      </w:r>
      <w:r>
        <w:rPr>
          <w:b/>
          <w:color w:val="auto"/>
          <w:highlight w:val="none"/>
        </w:rPr>
        <w:t>、资产负债表、利润表及现金流量表，其他报表无需提供</w:t>
      </w:r>
      <w:r>
        <w:rPr>
          <w:color w:val="auto"/>
          <w:highlight w:val="none"/>
        </w:rPr>
        <w:t>。</w:t>
      </w:r>
    </w:p>
    <w:p>
      <w:pPr>
        <w:tabs>
          <w:tab w:val="right" w:pos="7200"/>
        </w:tabs>
        <w:spacing w:line="360" w:lineRule="auto"/>
        <w:ind w:firstLine="420" w:firstLineChars="200"/>
        <w:rPr>
          <w:color w:val="auto"/>
          <w:szCs w:val="21"/>
          <w:highlight w:val="none"/>
        </w:rPr>
      </w:pPr>
      <w:r>
        <w:rPr>
          <w:color w:val="auto"/>
          <w:szCs w:val="21"/>
          <w:highlight w:val="none"/>
        </w:rPr>
        <w:t>如因国家重大政策（机构）调整造成无法提供的，可提供上级单位出具的关于投标人财务状况的证明文件，并附国家相关政策文件。投标人的成立时间少于投标人须知前附表规定年份的，应提供成立以来的财务状况。</w:t>
      </w:r>
    </w:p>
    <w:p>
      <w:pPr>
        <w:spacing w:line="360" w:lineRule="exact"/>
        <w:ind w:firstLine="525" w:firstLineChars="250"/>
        <w:jc w:val="left"/>
        <w:rPr>
          <w:color w:val="auto"/>
          <w:highlight w:val="none"/>
        </w:rPr>
      </w:pPr>
      <w:r>
        <w:rPr>
          <w:color w:val="auto"/>
          <w:szCs w:val="21"/>
          <w:highlight w:val="none"/>
        </w:rPr>
        <w:t>注：</w:t>
      </w:r>
      <w:r>
        <w:rPr>
          <w:b/>
          <w:bCs/>
          <w:color w:val="auto"/>
          <w:szCs w:val="21"/>
          <w:highlight w:val="none"/>
        </w:rPr>
        <w:t>对于出具财务会计报表的</w:t>
      </w:r>
      <w:r>
        <w:rPr>
          <w:b/>
          <w:bCs/>
          <w:color w:val="auto"/>
          <w:szCs w:val="21"/>
          <w:highlight w:val="none"/>
          <w:lang w:val="zh-CN"/>
        </w:rPr>
        <w:t>会计师事务所或审计机构，仅需提供该机构的资质证书，不需提供该机构其他无关文件。</w:t>
      </w:r>
    </w:p>
    <w:p>
      <w:pPr>
        <w:pStyle w:val="17"/>
        <w:rPr>
          <w:color w:val="auto"/>
          <w:highlight w:val="none"/>
        </w:rPr>
      </w:pPr>
    </w:p>
    <w:p>
      <w:pPr>
        <w:pStyle w:val="18"/>
        <w:rPr>
          <w:color w:val="auto"/>
          <w:highlight w:val="none"/>
        </w:rPr>
      </w:pPr>
    </w:p>
    <w:p>
      <w:pPr>
        <w:rPr>
          <w:color w:val="auto"/>
          <w:highlight w:val="none"/>
        </w:rPr>
      </w:pPr>
    </w:p>
    <w:p>
      <w:pPr>
        <w:pStyle w:val="13"/>
        <w:rPr>
          <w:color w:val="auto"/>
          <w:highlight w:val="none"/>
        </w:rPr>
      </w:pPr>
    </w:p>
    <w:p>
      <w:pPr>
        <w:rPr>
          <w:rFonts w:ascii="宋体" w:hAnsi="宋体" w:cs="宋体"/>
          <w:color w:val="auto"/>
          <w:kern w:val="0"/>
          <w:sz w:val="20"/>
          <w:szCs w:val="20"/>
          <w:highlight w:val="none"/>
          <w:lang w:bidi="ar"/>
        </w:rPr>
      </w:pPr>
    </w:p>
    <w:p>
      <w:pPr>
        <w:widowControl/>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（3）近年发生的诉讼及仲裁情况</w:t>
      </w:r>
    </w:p>
    <w:p>
      <w:pPr>
        <w:spacing w:before="156" w:beforeLines="50" w:line="360" w:lineRule="exact"/>
        <w:ind w:firstLine="525" w:firstLineChars="250"/>
        <w:rPr>
          <w:color w:val="auto"/>
          <w:highlight w:val="none"/>
        </w:rPr>
      </w:pPr>
      <w:r>
        <w:rPr>
          <w:color w:val="auto"/>
          <w:highlight w:val="none"/>
        </w:rPr>
        <w:t>本页应说明投标人败诉的相关情况，并附法院或仲裁机构作出的判决、裁决等有关法律文书扫描件，具体时间要求见投标人须知前附表。</w:t>
      </w:r>
    </w:p>
    <w:p>
      <w:pPr>
        <w:rPr>
          <w:b/>
          <w:color w:val="auto"/>
          <w:sz w:val="24"/>
          <w:highlight w:val="none"/>
        </w:rPr>
        <w:sectPr>
          <w:headerReference r:id="rId11" w:type="default"/>
          <w:footerReference r:id="rId12"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jc w:val="left"/>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（4）投标人认为需要加以说明的其他商务内容</w:t>
      </w:r>
    </w:p>
    <w:p>
      <w:pPr>
        <w:rPr>
          <w:rFonts w:hint="eastAsia" w:eastAsia="宋体"/>
          <w:b/>
          <w:color w:val="auto"/>
          <w:sz w:val="24"/>
          <w:highlight w:val="none"/>
          <w:lang w:eastAsia="zh-CN"/>
        </w:rPr>
      </w:pPr>
      <w:r>
        <w:rPr>
          <w:rFonts w:hint="eastAsia"/>
          <w:b/>
          <w:color w:val="auto"/>
          <w:sz w:val="24"/>
          <w:highlight w:val="none"/>
        </w:rPr>
        <w:t>工程保险分标</w:t>
      </w:r>
    </w:p>
    <w:p>
      <w:pPr>
        <w:pStyle w:val="31"/>
        <w:widowControl/>
        <w:snapToGrid w:val="0"/>
        <w:ind w:firstLine="0" w:firstLineChars="0"/>
        <w:jc w:val="left"/>
        <w:rPr>
          <w:b/>
          <w:color w:val="auto"/>
          <w:highlight w:val="none"/>
        </w:rPr>
      </w:pPr>
      <w:r>
        <w:rPr>
          <w:b/>
          <w:color w:val="auto"/>
          <w:highlight w:val="none"/>
        </w:rPr>
        <w:t>（1）承保能力情况</w:t>
      </w:r>
    </w:p>
    <w:p>
      <w:pPr>
        <w:pStyle w:val="31"/>
        <w:widowControl/>
        <w:wordWrap w:val="0"/>
        <w:ind w:left="420" w:right="105" w:firstLine="0" w:firstLineChars="0"/>
        <w:jc w:val="right"/>
        <w:rPr>
          <w:color w:val="auto"/>
          <w:kern w:val="0"/>
          <w:highlight w:val="none"/>
        </w:rPr>
      </w:pPr>
      <w:r>
        <w:rPr>
          <w:color w:val="auto"/>
          <w:kern w:val="0"/>
          <w:highlight w:val="none"/>
        </w:rPr>
        <w:t xml:space="preserve">截止日期：      </w:t>
      </w:r>
    </w:p>
    <w:tbl>
      <w:tblPr>
        <w:tblStyle w:val="19"/>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3604"/>
        <w:gridCol w:w="2629"/>
        <w:gridCol w:w="229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607" w:hRule="atLeast"/>
          <w:jc w:val="center"/>
        </w:trPr>
        <w:tc>
          <w:tcPr>
            <w:tcW w:w="3604" w:type="dxa"/>
            <w:vAlign w:val="center"/>
          </w:tcPr>
          <w:p>
            <w:pPr>
              <w:widowControl/>
              <w:jc w:val="center"/>
              <w:rPr>
                <w:color w:val="auto"/>
                <w:kern w:val="0"/>
                <w:szCs w:val="21"/>
                <w:highlight w:val="none"/>
              </w:rPr>
            </w:pPr>
            <w:r>
              <w:rPr>
                <w:color w:val="auto"/>
                <w:kern w:val="0"/>
                <w:szCs w:val="21"/>
                <w:highlight w:val="none"/>
              </w:rPr>
              <w:t>项目</w:t>
            </w:r>
          </w:p>
        </w:tc>
        <w:tc>
          <w:tcPr>
            <w:tcW w:w="2629" w:type="dxa"/>
            <w:vAlign w:val="center"/>
          </w:tcPr>
          <w:p>
            <w:pPr>
              <w:widowControl/>
              <w:jc w:val="center"/>
              <w:rPr>
                <w:color w:val="auto"/>
                <w:kern w:val="0"/>
                <w:szCs w:val="21"/>
                <w:highlight w:val="none"/>
              </w:rPr>
            </w:pPr>
            <w:r>
              <w:rPr>
                <w:color w:val="auto"/>
                <w:kern w:val="0"/>
                <w:szCs w:val="21"/>
                <w:highlight w:val="none"/>
              </w:rPr>
              <w:t>金额（万元）</w:t>
            </w:r>
          </w:p>
        </w:tc>
        <w:tc>
          <w:tcPr>
            <w:tcW w:w="2295" w:type="dxa"/>
            <w:vAlign w:val="center"/>
          </w:tcPr>
          <w:p>
            <w:pPr>
              <w:widowControl/>
              <w:jc w:val="center"/>
              <w:rPr>
                <w:color w:val="auto"/>
                <w:kern w:val="0"/>
                <w:szCs w:val="21"/>
                <w:highlight w:val="none"/>
              </w:rPr>
            </w:pPr>
            <w:r>
              <w:rPr>
                <w:color w:val="auto"/>
                <w:kern w:val="0"/>
                <w:szCs w:val="21"/>
                <w:highlight w:val="none"/>
              </w:rPr>
              <w:t>备注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66" w:hRule="atLeast"/>
          <w:jc w:val="center"/>
        </w:trPr>
        <w:tc>
          <w:tcPr>
            <w:tcW w:w="3604" w:type="dxa"/>
            <w:vAlign w:val="center"/>
          </w:tcPr>
          <w:p>
            <w:pPr>
              <w:widowControl/>
              <w:rPr>
                <w:color w:val="auto"/>
                <w:kern w:val="0"/>
                <w:szCs w:val="21"/>
                <w:highlight w:val="none"/>
              </w:rPr>
            </w:pPr>
            <w:r>
              <w:rPr>
                <w:color w:val="auto"/>
                <w:kern w:val="0"/>
                <w:szCs w:val="21"/>
                <w:highlight w:val="none"/>
              </w:rPr>
              <w:t>注册资本金</w:t>
            </w:r>
          </w:p>
        </w:tc>
        <w:tc>
          <w:tcPr>
            <w:tcW w:w="2629" w:type="dxa"/>
            <w:vAlign w:val="center"/>
          </w:tcPr>
          <w:p>
            <w:pPr>
              <w:widowControl/>
              <w:jc w:val="center"/>
              <w:rPr>
                <w:color w:val="auto"/>
                <w:kern w:val="0"/>
                <w:szCs w:val="21"/>
                <w:highlight w:val="none"/>
              </w:rPr>
            </w:pPr>
          </w:p>
        </w:tc>
        <w:tc>
          <w:tcPr>
            <w:tcW w:w="2295" w:type="dxa"/>
            <w:vAlign w:val="center"/>
          </w:tcPr>
          <w:p>
            <w:pPr>
              <w:widowControl/>
              <w:jc w:val="center"/>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2" w:hRule="atLeast"/>
          <w:jc w:val="center"/>
        </w:trPr>
        <w:tc>
          <w:tcPr>
            <w:tcW w:w="3604" w:type="dxa"/>
            <w:vAlign w:val="center"/>
          </w:tcPr>
          <w:p>
            <w:pPr>
              <w:widowControl/>
              <w:rPr>
                <w:color w:val="auto"/>
                <w:kern w:val="0"/>
                <w:szCs w:val="21"/>
                <w:highlight w:val="none"/>
              </w:rPr>
            </w:pPr>
            <w:r>
              <w:rPr>
                <w:color w:val="auto"/>
                <w:kern w:val="0"/>
                <w:szCs w:val="21"/>
                <w:highlight w:val="none"/>
              </w:rPr>
              <w:t>公积金</w:t>
            </w:r>
          </w:p>
        </w:tc>
        <w:tc>
          <w:tcPr>
            <w:tcW w:w="2629" w:type="dxa"/>
            <w:vAlign w:val="center"/>
          </w:tcPr>
          <w:p>
            <w:pPr>
              <w:widowControl/>
              <w:jc w:val="center"/>
              <w:rPr>
                <w:color w:val="auto"/>
                <w:kern w:val="0"/>
                <w:szCs w:val="21"/>
                <w:highlight w:val="none"/>
              </w:rPr>
            </w:pPr>
          </w:p>
        </w:tc>
        <w:tc>
          <w:tcPr>
            <w:tcW w:w="2295" w:type="dxa"/>
            <w:vAlign w:val="center"/>
          </w:tcPr>
          <w:p>
            <w:pPr>
              <w:widowControl/>
              <w:jc w:val="center"/>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52" w:hRule="atLeast"/>
          <w:jc w:val="center"/>
        </w:trPr>
        <w:tc>
          <w:tcPr>
            <w:tcW w:w="3604" w:type="dxa"/>
            <w:vAlign w:val="center"/>
          </w:tcPr>
          <w:p>
            <w:pPr>
              <w:widowControl/>
              <w:rPr>
                <w:color w:val="auto"/>
                <w:kern w:val="0"/>
                <w:szCs w:val="21"/>
                <w:highlight w:val="none"/>
              </w:rPr>
            </w:pPr>
            <w:r>
              <w:rPr>
                <w:color w:val="auto"/>
                <w:kern w:val="0"/>
                <w:szCs w:val="21"/>
                <w:highlight w:val="none"/>
              </w:rPr>
              <w:t>注册资本金与公积金之和</w:t>
            </w:r>
          </w:p>
        </w:tc>
        <w:tc>
          <w:tcPr>
            <w:tcW w:w="2629" w:type="dxa"/>
            <w:vAlign w:val="center"/>
          </w:tcPr>
          <w:p>
            <w:pPr>
              <w:widowControl/>
              <w:jc w:val="center"/>
              <w:rPr>
                <w:color w:val="auto"/>
                <w:kern w:val="0"/>
                <w:szCs w:val="21"/>
                <w:highlight w:val="none"/>
              </w:rPr>
            </w:pPr>
          </w:p>
        </w:tc>
        <w:tc>
          <w:tcPr>
            <w:tcW w:w="2295" w:type="dxa"/>
            <w:vAlign w:val="center"/>
          </w:tcPr>
          <w:p>
            <w:pPr>
              <w:widowControl/>
              <w:jc w:val="center"/>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52" w:hRule="atLeast"/>
          <w:jc w:val="center"/>
        </w:trPr>
        <w:tc>
          <w:tcPr>
            <w:tcW w:w="3604" w:type="dxa"/>
            <w:vAlign w:val="center"/>
          </w:tcPr>
          <w:p>
            <w:pPr>
              <w:widowControl/>
              <w:rPr>
                <w:color w:val="auto"/>
                <w:kern w:val="0"/>
                <w:szCs w:val="21"/>
                <w:highlight w:val="none"/>
              </w:rPr>
            </w:pPr>
            <w:r>
              <w:rPr>
                <w:color w:val="auto"/>
                <w:kern w:val="0"/>
                <w:szCs w:val="21"/>
                <w:highlight w:val="none"/>
              </w:rPr>
              <w:t>电网项目工程险的最大承保能力</w:t>
            </w:r>
          </w:p>
        </w:tc>
        <w:tc>
          <w:tcPr>
            <w:tcW w:w="2629" w:type="dxa"/>
            <w:vAlign w:val="center"/>
          </w:tcPr>
          <w:p>
            <w:pPr>
              <w:widowControl/>
              <w:jc w:val="center"/>
              <w:rPr>
                <w:color w:val="auto"/>
                <w:kern w:val="0"/>
                <w:szCs w:val="21"/>
                <w:highlight w:val="none"/>
              </w:rPr>
            </w:pPr>
          </w:p>
        </w:tc>
        <w:tc>
          <w:tcPr>
            <w:tcW w:w="2295" w:type="dxa"/>
            <w:vAlign w:val="center"/>
          </w:tcPr>
          <w:p>
            <w:pPr>
              <w:widowControl/>
              <w:jc w:val="center"/>
              <w:rPr>
                <w:color w:val="auto"/>
                <w:kern w:val="0"/>
                <w:szCs w:val="21"/>
                <w:highlight w:val="none"/>
              </w:rPr>
            </w:pPr>
            <w:r>
              <w:rPr>
                <w:color w:val="auto"/>
                <w:kern w:val="0"/>
                <w:szCs w:val="21"/>
                <w:highlight w:val="none"/>
              </w:rPr>
              <w:t>（需说明计算方法）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52" w:hRule="atLeast"/>
          <w:jc w:val="center"/>
        </w:trPr>
        <w:tc>
          <w:tcPr>
            <w:tcW w:w="3604" w:type="dxa"/>
            <w:vAlign w:val="center"/>
          </w:tcPr>
          <w:p>
            <w:pPr>
              <w:widowControl/>
              <w:rPr>
                <w:color w:val="auto"/>
                <w:kern w:val="0"/>
                <w:szCs w:val="21"/>
                <w:highlight w:val="none"/>
              </w:rPr>
            </w:pPr>
            <w:r>
              <w:rPr>
                <w:color w:val="auto"/>
                <w:kern w:val="0"/>
                <w:szCs w:val="21"/>
                <w:highlight w:val="none"/>
              </w:rPr>
              <w:t>能够承接本项目的最高份额</w:t>
            </w:r>
          </w:p>
        </w:tc>
        <w:tc>
          <w:tcPr>
            <w:tcW w:w="2629" w:type="dxa"/>
            <w:vAlign w:val="center"/>
          </w:tcPr>
          <w:p>
            <w:pPr>
              <w:widowControl/>
              <w:rPr>
                <w:color w:val="auto"/>
                <w:kern w:val="0"/>
                <w:szCs w:val="21"/>
                <w:highlight w:val="none"/>
              </w:rPr>
            </w:pPr>
          </w:p>
        </w:tc>
        <w:tc>
          <w:tcPr>
            <w:tcW w:w="2295" w:type="dxa"/>
            <w:vAlign w:val="center"/>
          </w:tcPr>
          <w:p>
            <w:pPr>
              <w:widowControl/>
              <w:jc w:val="center"/>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52" w:hRule="atLeast"/>
          <w:jc w:val="center"/>
        </w:trPr>
        <w:tc>
          <w:tcPr>
            <w:tcW w:w="3604" w:type="dxa"/>
            <w:vAlign w:val="center"/>
          </w:tcPr>
          <w:p>
            <w:pPr>
              <w:widowControl/>
              <w:rPr>
                <w:color w:val="auto"/>
                <w:kern w:val="0"/>
                <w:szCs w:val="21"/>
                <w:highlight w:val="none"/>
              </w:rPr>
            </w:pPr>
            <w:r>
              <w:rPr>
                <w:color w:val="auto"/>
                <w:kern w:val="0"/>
                <w:szCs w:val="21"/>
                <w:highlight w:val="none"/>
              </w:rPr>
              <w:t>其它需说明事项</w:t>
            </w:r>
          </w:p>
        </w:tc>
        <w:tc>
          <w:tcPr>
            <w:tcW w:w="2629" w:type="dxa"/>
            <w:vAlign w:val="center"/>
          </w:tcPr>
          <w:p>
            <w:pPr>
              <w:widowControl/>
              <w:jc w:val="center"/>
              <w:rPr>
                <w:color w:val="auto"/>
                <w:kern w:val="0"/>
                <w:szCs w:val="21"/>
                <w:highlight w:val="none"/>
              </w:rPr>
            </w:pPr>
          </w:p>
        </w:tc>
        <w:tc>
          <w:tcPr>
            <w:tcW w:w="2295" w:type="dxa"/>
            <w:vAlign w:val="center"/>
          </w:tcPr>
          <w:p>
            <w:pPr>
              <w:widowControl/>
              <w:jc w:val="center"/>
              <w:rPr>
                <w:color w:val="auto"/>
                <w:kern w:val="0"/>
                <w:szCs w:val="21"/>
                <w:highlight w:val="none"/>
              </w:rPr>
            </w:pPr>
          </w:p>
        </w:tc>
      </w:tr>
    </w:tbl>
    <w:p>
      <w:pPr>
        <w:widowControl/>
        <w:ind w:firstLine="210" w:firstLineChars="100"/>
        <w:rPr>
          <w:color w:val="auto"/>
          <w:kern w:val="0"/>
          <w:szCs w:val="21"/>
          <w:highlight w:val="none"/>
        </w:rPr>
      </w:pPr>
      <w:r>
        <w:rPr>
          <w:color w:val="auto"/>
          <w:kern w:val="0"/>
          <w:szCs w:val="21"/>
          <w:highlight w:val="none"/>
        </w:rPr>
        <w:t>说明：表中所填数据均为截止应答前一个月的最新数据。</w:t>
      </w:r>
    </w:p>
    <w:p>
      <w:pPr>
        <w:widowControl/>
        <w:rPr>
          <w:color w:val="auto"/>
          <w:kern w:val="0"/>
          <w:szCs w:val="21"/>
          <w:highlight w:val="none"/>
        </w:rPr>
      </w:pPr>
    </w:p>
    <w:p>
      <w:pPr>
        <w:pStyle w:val="31"/>
        <w:widowControl/>
        <w:snapToGrid w:val="0"/>
        <w:ind w:firstLine="0" w:firstLineChars="0"/>
        <w:jc w:val="left"/>
        <w:rPr>
          <w:b/>
          <w:color w:val="auto"/>
          <w:highlight w:val="none"/>
        </w:rPr>
      </w:pPr>
      <w:r>
        <w:rPr>
          <w:b/>
          <w:color w:val="auto"/>
          <w:highlight w:val="none"/>
        </w:rPr>
        <w:t>（2）偿付能力情况</w:t>
      </w:r>
    </w:p>
    <w:tbl>
      <w:tblPr>
        <w:tblStyle w:val="19"/>
        <w:tblpPr w:leftFromText="180" w:rightFromText="180" w:vertAnchor="text" w:horzAnchor="page" w:tblpX="1796" w:tblpY="293"/>
        <w:tblOverlap w:val="never"/>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3638"/>
        <w:gridCol w:w="2591"/>
        <w:gridCol w:w="229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57" w:hRule="atLeast"/>
        </w:trPr>
        <w:tc>
          <w:tcPr>
            <w:tcW w:w="3638" w:type="dxa"/>
            <w:vAlign w:val="center"/>
          </w:tcPr>
          <w:p>
            <w:pPr>
              <w:widowControl/>
              <w:jc w:val="center"/>
              <w:rPr>
                <w:color w:val="auto"/>
                <w:kern w:val="0"/>
                <w:szCs w:val="21"/>
                <w:highlight w:val="none"/>
              </w:rPr>
            </w:pPr>
            <w:r>
              <w:rPr>
                <w:color w:val="auto"/>
                <w:kern w:val="0"/>
                <w:szCs w:val="21"/>
                <w:highlight w:val="none"/>
              </w:rPr>
              <w:t>项目</w:t>
            </w:r>
          </w:p>
        </w:tc>
        <w:tc>
          <w:tcPr>
            <w:tcW w:w="2591" w:type="dxa"/>
            <w:vAlign w:val="center"/>
          </w:tcPr>
          <w:p>
            <w:pPr>
              <w:widowControl/>
              <w:jc w:val="center"/>
              <w:rPr>
                <w:color w:val="auto"/>
                <w:kern w:val="0"/>
                <w:szCs w:val="21"/>
                <w:highlight w:val="none"/>
              </w:rPr>
            </w:pPr>
            <w:r>
              <w:rPr>
                <w:color w:val="auto"/>
                <w:kern w:val="0"/>
                <w:szCs w:val="21"/>
                <w:highlight w:val="none"/>
              </w:rPr>
              <w:t>金额（万元）</w:t>
            </w:r>
          </w:p>
        </w:tc>
        <w:tc>
          <w:tcPr>
            <w:tcW w:w="2293" w:type="dxa"/>
            <w:vAlign w:val="center"/>
          </w:tcPr>
          <w:p>
            <w:pPr>
              <w:widowControl/>
              <w:jc w:val="center"/>
              <w:rPr>
                <w:color w:val="auto"/>
                <w:kern w:val="0"/>
                <w:szCs w:val="21"/>
                <w:highlight w:val="none"/>
              </w:rPr>
            </w:pPr>
            <w:r>
              <w:rPr>
                <w:color w:val="auto"/>
                <w:kern w:val="0"/>
                <w:szCs w:val="21"/>
                <w:highlight w:val="none"/>
              </w:rPr>
              <w:t>备注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39" w:hRule="atLeast"/>
        </w:trPr>
        <w:tc>
          <w:tcPr>
            <w:tcW w:w="3638" w:type="dxa"/>
            <w:vAlign w:val="center"/>
          </w:tcPr>
          <w:p>
            <w:pPr>
              <w:widowControl/>
              <w:rPr>
                <w:color w:val="auto"/>
                <w:kern w:val="0"/>
                <w:szCs w:val="21"/>
                <w:highlight w:val="none"/>
              </w:rPr>
            </w:pPr>
            <w:r>
              <w:rPr>
                <w:color w:val="auto"/>
                <w:kern w:val="0"/>
                <w:szCs w:val="21"/>
                <w:highlight w:val="none"/>
              </w:rPr>
              <w:t>认可资产总额</w:t>
            </w:r>
          </w:p>
        </w:tc>
        <w:tc>
          <w:tcPr>
            <w:tcW w:w="2591" w:type="dxa"/>
            <w:vAlign w:val="center"/>
          </w:tcPr>
          <w:p>
            <w:pPr>
              <w:widowControl/>
              <w:jc w:val="center"/>
              <w:rPr>
                <w:color w:val="auto"/>
                <w:kern w:val="0"/>
                <w:szCs w:val="21"/>
                <w:highlight w:val="none"/>
              </w:rPr>
            </w:pPr>
          </w:p>
        </w:tc>
        <w:tc>
          <w:tcPr>
            <w:tcW w:w="2293" w:type="dxa"/>
            <w:vAlign w:val="center"/>
          </w:tcPr>
          <w:p>
            <w:pPr>
              <w:widowControl/>
              <w:jc w:val="center"/>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70" w:hRule="atLeast"/>
        </w:trPr>
        <w:tc>
          <w:tcPr>
            <w:tcW w:w="3638" w:type="dxa"/>
            <w:vAlign w:val="center"/>
          </w:tcPr>
          <w:p>
            <w:pPr>
              <w:widowControl/>
              <w:rPr>
                <w:color w:val="auto"/>
                <w:kern w:val="0"/>
                <w:szCs w:val="21"/>
                <w:highlight w:val="none"/>
              </w:rPr>
            </w:pPr>
            <w:r>
              <w:rPr>
                <w:color w:val="auto"/>
                <w:kern w:val="0"/>
                <w:szCs w:val="21"/>
                <w:highlight w:val="none"/>
              </w:rPr>
              <w:t>认可负债总额</w:t>
            </w:r>
          </w:p>
        </w:tc>
        <w:tc>
          <w:tcPr>
            <w:tcW w:w="2591" w:type="dxa"/>
            <w:vAlign w:val="center"/>
          </w:tcPr>
          <w:p>
            <w:pPr>
              <w:widowControl/>
              <w:jc w:val="center"/>
              <w:rPr>
                <w:color w:val="auto"/>
                <w:kern w:val="0"/>
                <w:szCs w:val="21"/>
                <w:highlight w:val="none"/>
              </w:rPr>
            </w:pPr>
          </w:p>
        </w:tc>
        <w:tc>
          <w:tcPr>
            <w:tcW w:w="2293" w:type="dxa"/>
            <w:vAlign w:val="center"/>
          </w:tcPr>
          <w:p>
            <w:pPr>
              <w:widowControl/>
              <w:jc w:val="center"/>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39" w:hRule="atLeast"/>
        </w:trPr>
        <w:tc>
          <w:tcPr>
            <w:tcW w:w="3638" w:type="dxa"/>
            <w:vAlign w:val="center"/>
          </w:tcPr>
          <w:p>
            <w:pPr>
              <w:widowControl/>
              <w:rPr>
                <w:color w:val="auto"/>
                <w:kern w:val="0"/>
                <w:szCs w:val="21"/>
                <w:highlight w:val="none"/>
              </w:rPr>
            </w:pPr>
            <w:r>
              <w:rPr>
                <w:color w:val="auto"/>
                <w:kern w:val="0"/>
                <w:szCs w:val="21"/>
                <w:highlight w:val="none"/>
              </w:rPr>
              <w:t>保监会要求的最低资本</w:t>
            </w:r>
          </w:p>
        </w:tc>
        <w:tc>
          <w:tcPr>
            <w:tcW w:w="2591" w:type="dxa"/>
            <w:vAlign w:val="center"/>
          </w:tcPr>
          <w:p>
            <w:pPr>
              <w:widowControl/>
              <w:jc w:val="center"/>
              <w:rPr>
                <w:color w:val="auto"/>
                <w:kern w:val="0"/>
                <w:szCs w:val="21"/>
                <w:highlight w:val="none"/>
              </w:rPr>
            </w:pPr>
          </w:p>
        </w:tc>
        <w:tc>
          <w:tcPr>
            <w:tcW w:w="2293" w:type="dxa"/>
            <w:vAlign w:val="center"/>
          </w:tcPr>
          <w:p>
            <w:pPr>
              <w:widowControl/>
              <w:jc w:val="center"/>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922" w:hRule="atLeast"/>
        </w:trPr>
        <w:tc>
          <w:tcPr>
            <w:tcW w:w="3638" w:type="dxa"/>
            <w:vAlign w:val="center"/>
          </w:tcPr>
          <w:p>
            <w:pPr>
              <w:widowControl/>
              <w:rPr>
                <w:color w:val="auto"/>
                <w:kern w:val="0"/>
                <w:szCs w:val="21"/>
                <w:highlight w:val="none"/>
              </w:rPr>
            </w:pPr>
            <w:r>
              <w:rPr>
                <w:color w:val="auto"/>
                <w:kern w:val="0"/>
                <w:szCs w:val="21"/>
                <w:highlight w:val="none"/>
              </w:rPr>
              <w:t>综合偿付能力充足率</w:t>
            </w:r>
          </w:p>
          <w:p>
            <w:pPr>
              <w:widowControl/>
              <w:rPr>
                <w:color w:val="auto"/>
                <w:kern w:val="0"/>
                <w:szCs w:val="21"/>
                <w:highlight w:val="none"/>
              </w:rPr>
            </w:pPr>
            <w:r>
              <w:rPr>
                <w:color w:val="auto"/>
                <w:kern w:val="0"/>
                <w:szCs w:val="21"/>
                <w:highlight w:val="none"/>
              </w:rPr>
              <w:t>=（认可资产-认可负债）/最低资本</w:t>
            </w:r>
          </w:p>
        </w:tc>
        <w:tc>
          <w:tcPr>
            <w:tcW w:w="2591" w:type="dxa"/>
            <w:vAlign w:val="center"/>
          </w:tcPr>
          <w:p>
            <w:pPr>
              <w:widowControl/>
              <w:jc w:val="center"/>
              <w:rPr>
                <w:color w:val="auto"/>
                <w:kern w:val="0"/>
                <w:szCs w:val="21"/>
                <w:highlight w:val="none"/>
              </w:rPr>
            </w:pPr>
          </w:p>
        </w:tc>
        <w:tc>
          <w:tcPr>
            <w:tcW w:w="2293" w:type="dxa"/>
            <w:vAlign w:val="center"/>
          </w:tcPr>
          <w:p>
            <w:pPr>
              <w:widowControl/>
              <w:jc w:val="center"/>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32" w:hRule="atLeast"/>
        </w:trPr>
        <w:tc>
          <w:tcPr>
            <w:tcW w:w="3638" w:type="dxa"/>
            <w:vAlign w:val="center"/>
          </w:tcPr>
          <w:p>
            <w:pPr>
              <w:widowControl/>
              <w:rPr>
                <w:color w:val="auto"/>
                <w:kern w:val="0"/>
                <w:szCs w:val="21"/>
                <w:highlight w:val="none"/>
              </w:rPr>
            </w:pPr>
            <w:r>
              <w:rPr>
                <w:color w:val="auto"/>
                <w:kern w:val="0"/>
                <w:szCs w:val="21"/>
                <w:highlight w:val="none"/>
              </w:rPr>
              <w:t>其它需说明事项</w:t>
            </w:r>
          </w:p>
        </w:tc>
        <w:tc>
          <w:tcPr>
            <w:tcW w:w="2591" w:type="dxa"/>
            <w:vAlign w:val="center"/>
          </w:tcPr>
          <w:p>
            <w:pPr>
              <w:widowControl/>
              <w:jc w:val="center"/>
              <w:rPr>
                <w:color w:val="auto"/>
                <w:kern w:val="0"/>
                <w:szCs w:val="21"/>
                <w:highlight w:val="none"/>
              </w:rPr>
            </w:pPr>
          </w:p>
        </w:tc>
        <w:tc>
          <w:tcPr>
            <w:tcW w:w="2293" w:type="dxa"/>
            <w:vAlign w:val="center"/>
          </w:tcPr>
          <w:p>
            <w:pPr>
              <w:widowControl/>
              <w:jc w:val="center"/>
              <w:rPr>
                <w:color w:val="auto"/>
                <w:kern w:val="0"/>
                <w:szCs w:val="21"/>
                <w:highlight w:val="none"/>
              </w:rPr>
            </w:pPr>
          </w:p>
        </w:tc>
      </w:tr>
    </w:tbl>
    <w:p>
      <w:pPr>
        <w:widowControl/>
        <w:ind w:firstLine="210" w:firstLineChars="100"/>
        <w:rPr>
          <w:color w:val="auto"/>
          <w:kern w:val="0"/>
          <w:szCs w:val="21"/>
          <w:highlight w:val="none"/>
        </w:rPr>
      </w:pPr>
      <w:r>
        <w:rPr>
          <w:color w:val="auto"/>
          <w:kern w:val="0"/>
          <w:szCs w:val="21"/>
          <w:highlight w:val="none"/>
        </w:rPr>
        <w:t>说明：表中所填数据均为截止应答前一个月的最新数据。</w:t>
      </w:r>
    </w:p>
    <w:p>
      <w:pPr>
        <w:widowControl/>
        <w:rPr>
          <w:color w:val="auto"/>
          <w:kern w:val="0"/>
          <w:szCs w:val="21"/>
          <w:highlight w:val="none"/>
        </w:rPr>
      </w:pPr>
    </w:p>
    <w:p>
      <w:pPr>
        <w:snapToGrid w:val="0"/>
        <w:rPr>
          <w:color w:val="auto"/>
          <w:szCs w:val="21"/>
          <w:highlight w:val="none"/>
        </w:rPr>
      </w:pPr>
      <w:r>
        <w:rPr>
          <w:b/>
          <w:bCs/>
          <w:color w:val="auto"/>
          <w:kern w:val="0"/>
          <w:szCs w:val="21"/>
          <w:highlight w:val="none"/>
        </w:rPr>
        <w:t>（3）出单机构经营保险业务许可证、服务机构经营保险业务许可证</w:t>
      </w:r>
    </w:p>
    <w:p>
      <w:pPr>
        <w:widowControl/>
        <w:spacing w:line="288" w:lineRule="auto"/>
        <w:ind w:firstLine="420" w:firstLineChars="200"/>
        <w:jc w:val="left"/>
        <w:textAlignment w:val="baseline"/>
        <w:rPr>
          <w:color w:val="auto"/>
          <w:szCs w:val="21"/>
          <w:highlight w:val="none"/>
        </w:rPr>
      </w:pPr>
      <w:r>
        <w:rPr>
          <w:color w:val="auto"/>
          <w:szCs w:val="21"/>
          <w:highlight w:val="none"/>
        </w:rPr>
        <w:t>每家保险公司指定一家出单机构负责为本项目办理出具保单与批单、收取保费、支付经纪佣金相关工作。</w:t>
      </w:r>
    </w:p>
    <w:p>
      <w:pPr>
        <w:rPr>
          <w:color w:val="auto"/>
          <w:highlight w:val="none"/>
        </w:rPr>
      </w:pPr>
    </w:p>
    <w:p>
      <w:pPr>
        <w:snapToGrid w:val="0"/>
        <w:rPr>
          <w:color w:val="auto"/>
          <w:szCs w:val="21"/>
          <w:highlight w:val="none"/>
        </w:rPr>
      </w:pPr>
      <w:r>
        <w:rPr>
          <w:b/>
          <w:bCs/>
          <w:color w:val="auto"/>
          <w:kern w:val="0"/>
          <w:szCs w:val="21"/>
          <w:highlight w:val="none"/>
        </w:rPr>
        <w:t>（4）履约评价情况</w:t>
      </w:r>
    </w:p>
    <w:p>
      <w:pPr>
        <w:widowControl/>
        <w:spacing w:line="288" w:lineRule="auto"/>
        <w:ind w:firstLine="420" w:firstLineChars="200"/>
        <w:jc w:val="left"/>
        <w:textAlignment w:val="baseline"/>
        <w:rPr>
          <w:color w:val="auto"/>
          <w:szCs w:val="21"/>
          <w:highlight w:val="none"/>
        </w:rPr>
      </w:pPr>
      <w:r>
        <w:rPr>
          <w:color w:val="auto"/>
          <w:szCs w:val="21"/>
          <w:highlight w:val="none"/>
        </w:rPr>
        <w:t>以往投标、履约情况，是否存在用户投诉情况，可附业主评价证明材料。</w:t>
      </w:r>
    </w:p>
    <w:p>
      <w:pPr>
        <w:widowControl/>
        <w:spacing w:line="360" w:lineRule="auto"/>
        <w:ind w:right="960"/>
        <w:jc w:val="left"/>
        <w:outlineLvl w:val="1"/>
        <w:rPr>
          <w:b/>
          <w:bCs/>
          <w:color w:val="auto"/>
          <w:kern w:val="0"/>
          <w:sz w:val="22"/>
          <w:highlight w:val="none"/>
        </w:rPr>
      </w:pPr>
    </w:p>
    <w:p>
      <w:pPr>
        <w:rPr>
          <w:b/>
          <w:bCs/>
          <w:color w:val="auto"/>
          <w:kern w:val="0"/>
          <w:sz w:val="22"/>
          <w:highlight w:val="none"/>
        </w:rPr>
      </w:pPr>
      <w:r>
        <w:rPr>
          <w:b/>
          <w:bCs/>
          <w:color w:val="auto"/>
          <w:kern w:val="0"/>
          <w:sz w:val="22"/>
          <w:highlight w:val="none"/>
        </w:rPr>
        <w:br w:type="page"/>
      </w:r>
    </w:p>
    <w:p>
      <w:pPr>
        <w:widowControl/>
        <w:jc w:val="left"/>
        <w:outlineLvl w:val="1"/>
        <w:rPr>
          <w:rFonts w:hint="eastAsia"/>
          <w:b/>
          <w:color w:val="auto"/>
          <w:sz w:val="24"/>
          <w:highlight w:val="none"/>
          <w:lang w:val="en-US" w:eastAsia="zh-CN"/>
        </w:rPr>
      </w:pPr>
      <w:r>
        <w:rPr>
          <w:rFonts w:hint="eastAsia"/>
          <w:b/>
          <w:color w:val="auto"/>
          <w:sz w:val="24"/>
          <w:highlight w:val="none"/>
          <w:lang w:val="en-US" w:eastAsia="zh-CN"/>
        </w:rPr>
        <w:t>（四）技术指引文件</w:t>
      </w:r>
    </w:p>
    <w:p>
      <w:pPr>
        <w:pStyle w:val="18"/>
        <w:numPr>
          <w:ilvl w:val="0"/>
          <w:numId w:val="13"/>
        </w:numPr>
        <w:ind w:leftChars="0"/>
        <w:jc w:val="left"/>
        <w:outlineLvl w:val="2"/>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t>技术文件第一册</w:t>
      </w:r>
    </w:p>
    <w:p>
      <w:pPr>
        <w:jc w:val="center"/>
        <w:rPr>
          <w:color w:val="auto"/>
          <w:highlight w:val="none"/>
        </w:rPr>
      </w:pPr>
      <w:r>
        <w:rPr>
          <w:rFonts w:hint="eastAsia" w:ascii="方正仿宋_GBK" w:hAnsi="方正仿宋_GBK" w:eastAsia="方正仿宋_GBK" w:cs="方正仿宋_GBK"/>
          <w:b/>
          <w:bCs/>
          <w:color w:val="auto"/>
          <w:sz w:val="22"/>
          <w:highlight w:val="none"/>
        </w:rPr>
        <w:t>目录</w:t>
      </w:r>
    </w:p>
    <w:tbl>
      <w:tblPr>
        <w:tblStyle w:val="19"/>
        <w:tblW w:w="4995"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46"/>
        <w:gridCol w:w="2437"/>
        <w:gridCol w:w="2165"/>
        <w:gridCol w:w="21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025"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评审要素</w:t>
            </w:r>
          </w:p>
        </w:tc>
        <w:tc>
          <w:tcPr>
            <w:tcW w:w="143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投标文件响应</w:t>
            </w:r>
          </w:p>
        </w:tc>
        <w:tc>
          <w:tcPr>
            <w:tcW w:w="1271"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响应文件对应页码</w:t>
            </w:r>
          </w:p>
        </w:tc>
        <w:tc>
          <w:tcPr>
            <w:tcW w:w="1271" w:type="pct"/>
            <w:tcBorders>
              <w:tl2br w:val="nil"/>
              <w:tr2bl w:val="nil"/>
            </w:tcBorders>
            <w:vAlign w:val="center"/>
          </w:tcPr>
          <w:p>
            <w:pPr>
              <w:widowControl/>
              <w:jc w:val="center"/>
              <w:textAlignment w:val="center"/>
              <w:rPr>
                <w:rFonts w:ascii="宋体" w:hAnsi="宋体" w:cs="宋体"/>
                <w:b/>
                <w:bCs/>
                <w:color w:val="auto"/>
                <w:kern w:val="0"/>
                <w:szCs w:val="21"/>
                <w:highlight w:val="none"/>
                <w:lang w:bidi="ar"/>
              </w:rPr>
            </w:pPr>
            <w:r>
              <w:rPr>
                <w:rFonts w:hint="eastAsia" w:ascii="宋体" w:hAnsi="宋体" w:cs="宋体"/>
                <w:b/>
                <w:bCs/>
                <w:color w:val="auto"/>
                <w:kern w:val="0"/>
                <w:szCs w:val="21"/>
                <w:highlight w:val="none"/>
                <w:lang w:bidi="ar"/>
              </w:rPr>
              <w:t>ECP上传路径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9" w:hRule="atLeast"/>
        </w:trPr>
        <w:tc>
          <w:tcPr>
            <w:tcW w:w="1025"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技术偏差表</w:t>
            </w:r>
          </w:p>
        </w:tc>
        <w:tc>
          <w:tcPr>
            <w:tcW w:w="1431" w:type="pct"/>
            <w:tcBorders>
              <w:tl2br w:val="nil"/>
              <w:tr2bl w:val="nil"/>
            </w:tcBorders>
            <w:vAlign w:val="center"/>
          </w:tcPr>
          <w:p>
            <w:pPr>
              <w:widowControl/>
              <w:jc w:val="left"/>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1.技术偏差表</w:t>
            </w:r>
          </w:p>
        </w:tc>
        <w:tc>
          <w:tcPr>
            <w:tcW w:w="1271"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例：技术文件第一册 第X页-第X页</w:t>
            </w:r>
          </w:p>
        </w:tc>
        <w:tc>
          <w:tcPr>
            <w:tcW w:w="1271"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技术偏差表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6" w:hRule="atLeast"/>
        </w:trPr>
        <w:tc>
          <w:tcPr>
            <w:tcW w:w="1025" w:type="pc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投标人业绩及关键人员要求</w:t>
            </w:r>
          </w:p>
        </w:tc>
        <w:tc>
          <w:tcPr>
            <w:tcW w:w="1431" w:type="pct"/>
            <w:tcBorders>
              <w:tl2br w:val="nil"/>
              <w:tr2bl w:val="nil"/>
            </w:tcBorders>
            <w:vAlign w:val="center"/>
          </w:tcPr>
          <w:p>
            <w:pPr>
              <w:widowControl/>
              <w:jc w:val="left"/>
              <w:textAlignment w:val="center"/>
              <w:rPr>
                <w:rFonts w:ascii="宋体" w:hAnsi="宋体" w:cs="宋体"/>
                <w:color w:val="auto"/>
                <w:sz w:val="20"/>
                <w:szCs w:val="20"/>
                <w:highlight w:val="none"/>
              </w:rPr>
            </w:pPr>
            <w:r>
              <w:rPr>
                <w:rFonts w:hint="eastAsia" w:ascii="宋体" w:hAnsi="宋体" w:cs="宋体"/>
                <w:color w:val="auto"/>
                <w:kern w:val="0"/>
                <w:sz w:val="20"/>
                <w:szCs w:val="20"/>
                <w:highlight w:val="none"/>
                <w:lang w:bidi="ar"/>
              </w:rPr>
              <w:t>2.资质业绩技术评审清单</w:t>
            </w:r>
          </w:p>
        </w:tc>
        <w:tc>
          <w:tcPr>
            <w:tcW w:w="1271"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例：技术文件第一册 第X页-第X页</w:t>
            </w:r>
          </w:p>
        </w:tc>
        <w:tc>
          <w:tcPr>
            <w:tcW w:w="1271" w:type="pc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专用技术规范要求的图纸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6" w:hRule="atLeast"/>
        </w:trPr>
        <w:tc>
          <w:tcPr>
            <w:tcW w:w="1025"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企业业绩情况</w:t>
            </w:r>
          </w:p>
        </w:tc>
        <w:tc>
          <w:tcPr>
            <w:tcW w:w="1431" w:type="pct"/>
            <w:tcBorders>
              <w:tl2br w:val="nil"/>
              <w:tr2bl w:val="nil"/>
            </w:tcBorders>
            <w:vAlign w:val="center"/>
          </w:tcPr>
          <w:p>
            <w:pPr>
              <w:widowControl/>
              <w:jc w:val="left"/>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3.企业业绩情况</w:t>
            </w:r>
          </w:p>
          <w:p>
            <w:pPr>
              <w:widowControl/>
              <w:jc w:val="left"/>
              <w:textAlignment w:val="center"/>
              <w:rPr>
                <w:rFonts w:ascii="宋体" w:hAnsi="宋体" w:cs="宋体"/>
                <w:color w:val="auto"/>
                <w:kern w:val="0"/>
                <w:sz w:val="20"/>
                <w:szCs w:val="20"/>
                <w:highlight w:val="none"/>
                <w:lang w:bidi="ar"/>
              </w:rPr>
            </w:pPr>
            <w:r>
              <w:rPr>
                <w:rFonts w:hint="eastAsia"/>
                <w:color w:val="auto"/>
                <w:highlight w:val="none"/>
              </w:rPr>
              <w:t>（</w:t>
            </w:r>
            <w:r>
              <w:rPr>
                <w:rFonts w:hint="eastAsia" w:ascii="宋体" w:hAnsi="宋体" w:cs="宋体"/>
                <w:color w:val="auto"/>
                <w:kern w:val="0"/>
                <w:sz w:val="20"/>
                <w:szCs w:val="20"/>
                <w:highlight w:val="none"/>
                <w:lang w:bidi="ar"/>
              </w:rPr>
              <w:t>1）近年完成的类似项目情况</w:t>
            </w:r>
          </w:p>
          <w:p>
            <w:pPr>
              <w:widowControl/>
              <w:jc w:val="left"/>
              <w:textAlignment w:val="center"/>
              <w:rPr>
                <w:color w:val="auto"/>
                <w:highlight w:val="none"/>
              </w:rPr>
            </w:pPr>
            <w:r>
              <w:rPr>
                <w:rFonts w:hint="eastAsia" w:ascii="宋体" w:hAnsi="宋体" w:cs="宋体"/>
                <w:color w:val="auto"/>
                <w:kern w:val="0"/>
                <w:sz w:val="20"/>
                <w:szCs w:val="20"/>
                <w:highlight w:val="none"/>
                <w:lang w:bidi="ar"/>
              </w:rPr>
              <w:t>（2）正在设计和新承接的项目情况</w:t>
            </w:r>
          </w:p>
        </w:tc>
        <w:tc>
          <w:tcPr>
            <w:tcW w:w="1271" w:type="pct"/>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例：技术文件第一册 第X页-第X页</w:t>
            </w:r>
          </w:p>
        </w:tc>
        <w:tc>
          <w:tcPr>
            <w:tcW w:w="1271" w:type="pct"/>
            <w:tcBorders>
              <w:tl2br w:val="nil"/>
              <w:tr2bl w:val="nil"/>
            </w:tcBorders>
            <w:vAlign w:val="center"/>
          </w:tcPr>
          <w:p>
            <w:pPr>
              <w:widowControl/>
              <w:jc w:val="center"/>
              <w:textAlignment w:val="center"/>
              <w:rPr>
                <w:rFonts w:ascii="宋体" w:hAnsi="宋体" w:cs="宋体"/>
                <w:color w:val="auto"/>
                <w:kern w:val="0"/>
                <w:sz w:val="18"/>
                <w:szCs w:val="18"/>
                <w:highlight w:val="none"/>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专用技术规范要求的图纸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80" w:hRule="atLeast"/>
        </w:trPr>
        <w:tc>
          <w:tcPr>
            <w:tcW w:w="1025"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项目关键人员简历及证明材料</w:t>
            </w:r>
          </w:p>
        </w:tc>
        <w:tc>
          <w:tcPr>
            <w:tcW w:w="1431" w:type="pct"/>
            <w:tcBorders>
              <w:tl2br w:val="nil"/>
              <w:tr2bl w:val="nil"/>
            </w:tcBorders>
            <w:vAlign w:val="center"/>
          </w:tcPr>
          <w:p>
            <w:pPr>
              <w:widowControl/>
              <w:jc w:val="left"/>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4.项目关键人员简历及证明材料</w:t>
            </w:r>
          </w:p>
        </w:tc>
        <w:tc>
          <w:tcPr>
            <w:tcW w:w="1271" w:type="pct"/>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例：技术文件第一册 第X页-第X页</w:t>
            </w:r>
          </w:p>
        </w:tc>
        <w:tc>
          <w:tcPr>
            <w:tcW w:w="1271" w:type="pct"/>
            <w:tcBorders>
              <w:tl2br w:val="nil"/>
              <w:tr2bl w:val="nil"/>
            </w:tcBorders>
            <w:vAlign w:val="center"/>
          </w:tcPr>
          <w:p>
            <w:pPr>
              <w:widowControl/>
              <w:jc w:val="center"/>
              <w:textAlignment w:val="center"/>
              <w:rPr>
                <w:rFonts w:ascii="宋体" w:hAnsi="宋体" w:cs="宋体"/>
                <w:color w:val="auto"/>
                <w:kern w:val="0"/>
                <w:sz w:val="18"/>
                <w:szCs w:val="18"/>
                <w:highlight w:val="none"/>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专用技术规范要求的图纸</w:t>
            </w: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jc w:val="center"/>
        <w:rPr>
          <w:rFonts w:hint="default"/>
          <w:color w:val="auto"/>
          <w:highlight w:val="none"/>
          <w:lang w:val="en-US" w:eastAsia="zh-CN"/>
        </w:rPr>
      </w:pPr>
      <w:r>
        <w:rPr>
          <w:rFonts w:hint="eastAsia" w:ascii="方正仿宋_GBK" w:hAnsi="方正仿宋_GBK" w:eastAsia="方正仿宋_GBK" w:cs="方正仿宋_GBK"/>
          <w:b/>
          <w:bCs/>
          <w:color w:val="auto"/>
          <w:kern w:val="2"/>
          <w:sz w:val="22"/>
          <w:szCs w:val="22"/>
          <w:highlight w:val="none"/>
          <w:lang w:val="en-US" w:eastAsia="zh-CN" w:bidi="ar-SA"/>
        </w:rPr>
        <w:t>格式</w:t>
      </w:r>
    </w:p>
    <w:p>
      <w:pPr>
        <w:keepNext w:val="0"/>
        <w:keepLines w:val="0"/>
        <w:widowControl/>
        <w:numPr>
          <w:ilvl w:val="0"/>
          <w:numId w:val="0"/>
        </w:numPr>
        <w:suppressLineNumbers w:val="0"/>
        <w:jc w:val="left"/>
        <w:textAlignment w:val="center"/>
        <w:outlineLvl w:val="3"/>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1.技术偏差表</w:t>
      </w:r>
    </w:p>
    <w:p>
      <w:pPr>
        <w:pStyle w:val="40"/>
        <w:spacing w:before="0"/>
        <w:rPr>
          <w:color w:val="auto"/>
          <w:highlight w:val="none"/>
        </w:rPr>
      </w:pPr>
      <w:r>
        <w:rPr>
          <w:color w:val="auto"/>
          <w:highlight w:val="none"/>
        </w:rPr>
        <w:t>技术偏差表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983"/>
        <w:gridCol w:w="2567"/>
        <w:gridCol w:w="2138"/>
        <w:gridCol w:w="2567"/>
        <w:gridCol w:w="1156"/>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tcBorders>
              <w:top w:val="single" w:color="auto" w:sz="8" w:space="0"/>
            </w:tcBorders>
            <w:noWrap w:val="0"/>
            <w:vAlign w:val="center"/>
          </w:tcPr>
          <w:p>
            <w:pPr>
              <w:adjustRightInd w:val="0"/>
              <w:snapToGrid w:val="0"/>
              <w:jc w:val="center"/>
              <w:rPr>
                <w:color w:val="auto"/>
                <w:highlight w:val="none"/>
              </w:rPr>
            </w:pPr>
            <w:r>
              <w:rPr>
                <w:color w:val="auto"/>
                <w:highlight w:val="none"/>
              </w:rPr>
              <w:t>序号</w:t>
            </w:r>
          </w:p>
        </w:tc>
        <w:tc>
          <w:tcPr>
            <w:tcW w:w="2567" w:type="dxa"/>
            <w:tcBorders>
              <w:top w:val="single" w:color="auto" w:sz="8" w:space="0"/>
            </w:tcBorders>
            <w:noWrap w:val="0"/>
            <w:vAlign w:val="center"/>
          </w:tcPr>
          <w:p>
            <w:pPr>
              <w:adjustRightInd w:val="0"/>
              <w:snapToGrid w:val="0"/>
              <w:jc w:val="center"/>
              <w:rPr>
                <w:color w:val="auto"/>
                <w:highlight w:val="none"/>
              </w:rPr>
            </w:pPr>
            <w:r>
              <w:rPr>
                <w:color w:val="auto"/>
                <w:highlight w:val="none"/>
              </w:rPr>
              <w:t>招标文件页号和条款号</w:t>
            </w:r>
          </w:p>
        </w:tc>
        <w:tc>
          <w:tcPr>
            <w:tcW w:w="2138" w:type="dxa"/>
            <w:tcBorders>
              <w:top w:val="single" w:color="auto" w:sz="8" w:space="0"/>
            </w:tcBorders>
            <w:noWrap w:val="0"/>
            <w:vAlign w:val="center"/>
          </w:tcPr>
          <w:p>
            <w:pPr>
              <w:adjustRightInd w:val="0"/>
              <w:snapToGrid w:val="0"/>
              <w:jc w:val="center"/>
              <w:rPr>
                <w:color w:val="auto"/>
                <w:highlight w:val="none"/>
              </w:rPr>
            </w:pPr>
            <w:r>
              <w:rPr>
                <w:color w:val="auto"/>
                <w:highlight w:val="none"/>
              </w:rPr>
              <w:t>招标文件的规定</w:t>
            </w:r>
          </w:p>
        </w:tc>
        <w:tc>
          <w:tcPr>
            <w:tcW w:w="2567" w:type="dxa"/>
            <w:tcBorders>
              <w:top w:val="single" w:color="auto" w:sz="8" w:space="0"/>
            </w:tcBorders>
            <w:noWrap w:val="0"/>
            <w:vAlign w:val="center"/>
          </w:tcPr>
          <w:p>
            <w:pPr>
              <w:adjustRightInd w:val="0"/>
              <w:snapToGrid w:val="0"/>
              <w:jc w:val="center"/>
              <w:rPr>
                <w:color w:val="auto"/>
                <w:highlight w:val="none"/>
              </w:rPr>
            </w:pPr>
            <w:r>
              <w:rPr>
                <w:color w:val="auto"/>
                <w:highlight w:val="none"/>
              </w:rPr>
              <w:t>投标文件与招标文件规定</w:t>
            </w:r>
            <w:r>
              <w:rPr>
                <w:color w:val="auto"/>
                <w:highlight w:val="none"/>
              </w:rPr>
              <w:br w:type="textWrapping"/>
            </w:r>
            <w:r>
              <w:rPr>
                <w:color w:val="auto"/>
                <w:highlight w:val="none"/>
              </w:rPr>
              <w:t>的偏差描述</w:t>
            </w:r>
          </w:p>
        </w:tc>
        <w:tc>
          <w:tcPr>
            <w:tcW w:w="1156" w:type="dxa"/>
            <w:tcBorders>
              <w:top w:val="single" w:color="auto" w:sz="8" w:space="0"/>
            </w:tcBorders>
            <w:noWrap w:val="0"/>
            <w:vAlign w:val="center"/>
          </w:tcPr>
          <w:p>
            <w:pPr>
              <w:adjustRightInd w:val="0"/>
              <w:snapToGrid w:val="0"/>
              <w:jc w:val="center"/>
              <w:rPr>
                <w:rFonts w:eastAsia="黑体"/>
                <w:color w:val="auto"/>
                <w:sz w:val="18"/>
                <w:highlight w:val="none"/>
              </w:rPr>
            </w:pPr>
            <w:r>
              <w:rPr>
                <w:rFonts w:eastAsia="黑体"/>
                <w:color w:val="auto"/>
                <w:sz w:val="18"/>
                <w:highlight w:val="none"/>
              </w:rPr>
              <w:t>备注</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adjustRightInd w:val="0"/>
              <w:snapToGrid w:val="0"/>
              <w:jc w:val="center"/>
              <w:rPr>
                <w:color w:val="auto"/>
                <w:sz w:val="18"/>
                <w:highlight w:val="none"/>
              </w:rPr>
            </w:pPr>
            <w:r>
              <w:rPr>
                <w:color w:val="auto"/>
                <w:sz w:val="18"/>
                <w:highlight w:val="none"/>
              </w:rPr>
              <w:t>1</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keepNext/>
              <w:keepLines/>
              <w:adjustRightInd w:val="0"/>
              <w:snapToGrid w:val="0"/>
              <w:spacing w:line="480" w:lineRule="auto"/>
              <w:jc w:val="center"/>
              <w:rPr>
                <w:color w:val="auto"/>
                <w:sz w:val="18"/>
                <w:highlight w:val="none"/>
              </w:rPr>
            </w:pPr>
            <w:r>
              <w:rPr>
                <w:color w:val="auto"/>
                <w:sz w:val="18"/>
                <w:highlight w:val="none"/>
              </w:rPr>
              <w:t>2</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noWrap w:val="0"/>
            <w:vAlign w:val="center"/>
          </w:tcPr>
          <w:p>
            <w:pPr>
              <w:keepNext/>
              <w:keepLines/>
              <w:adjustRightInd w:val="0"/>
              <w:snapToGrid w:val="0"/>
              <w:spacing w:line="480" w:lineRule="auto"/>
              <w:jc w:val="center"/>
              <w:rPr>
                <w:color w:val="auto"/>
                <w:sz w:val="18"/>
                <w:highlight w:val="none"/>
              </w:rPr>
            </w:pPr>
            <w:r>
              <w:rPr>
                <w:color w:val="auto"/>
                <w:sz w:val="18"/>
                <w:highlight w:val="none"/>
              </w:rPr>
              <w:t>3</w:t>
            </w:r>
          </w:p>
        </w:tc>
        <w:tc>
          <w:tcPr>
            <w:tcW w:w="2567" w:type="dxa"/>
            <w:noWrap w:val="0"/>
            <w:vAlign w:val="center"/>
          </w:tcPr>
          <w:p>
            <w:pPr>
              <w:adjustRightInd w:val="0"/>
              <w:snapToGrid w:val="0"/>
              <w:jc w:val="center"/>
              <w:rPr>
                <w:color w:val="auto"/>
                <w:sz w:val="18"/>
                <w:highlight w:val="none"/>
              </w:rPr>
            </w:pPr>
          </w:p>
        </w:tc>
        <w:tc>
          <w:tcPr>
            <w:tcW w:w="2138" w:type="dxa"/>
            <w:noWrap w:val="0"/>
            <w:vAlign w:val="center"/>
          </w:tcPr>
          <w:p>
            <w:pPr>
              <w:adjustRightInd w:val="0"/>
              <w:snapToGrid w:val="0"/>
              <w:jc w:val="center"/>
              <w:rPr>
                <w:color w:val="auto"/>
                <w:sz w:val="18"/>
                <w:highlight w:val="none"/>
              </w:rPr>
            </w:pPr>
          </w:p>
        </w:tc>
        <w:tc>
          <w:tcPr>
            <w:tcW w:w="2567" w:type="dxa"/>
            <w:noWrap w:val="0"/>
            <w:vAlign w:val="center"/>
          </w:tcPr>
          <w:p>
            <w:pPr>
              <w:adjustRightInd w:val="0"/>
              <w:snapToGrid w:val="0"/>
              <w:jc w:val="center"/>
              <w:rPr>
                <w:color w:val="auto"/>
                <w:sz w:val="18"/>
                <w:highlight w:val="none"/>
              </w:rPr>
            </w:pPr>
          </w:p>
        </w:tc>
        <w:tc>
          <w:tcPr>
            <w:tcW w:w="1156" w:type="dxa"/>
            <w:noWrap w:val="0"/>
            <w:vAlign w:val="center"/>
          </w:tcPr>
          <w:p>
            <w:pPr>
              <w:adjustRightInd w:val="0"/>
              <w:snapToGrid w:val="0"/>
              <w:jc w:val="center"/>
              <w:rPr>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983" w:type="dxa"/>
            <w:tcBorders>
              <w:bottom w:val="single" w:color="auto" w:sz="8" w:space="0"/>
            </w:tcBorders>
            <w:noWrap w:val="0"/>
            <w:vAlign w:val="center"/>
          </w:tcPr>
          <w:p>
            <w:pPr>
              <w:keepNext/>
              <w:keepLines/>
              <w:adjustRightInd w:val="0"/>
              <w:snapToGrid w:val="0"/>
              <w:spacing w:line="480" w:lineRule="auto"/>
              <w:jc w:val="center"/>
              <w:rPr>
                <w:color w:val="auto"/>
                <w:sz w:val="18"/>
                <w:highlight w:val="none"/>
              </w:rPr>
            </w:pPr>
            <w:r>
              <w:rPr>
                <w:color w:val="auto"/>
                <w:sz w:val="18"/>
                <w:highlight w:val="none"/>
              </w:rPr>
              <w:t>…</w:t>
            </w:r>
          </w:p>
        </w:tc>
        <w:tc>
          <w:tcPr>
            <w:tcW w:w="2567" w:type="dxa"/>
            <w:tcBorders>
              <w:bottom w:val="single" w:color="auto" w:sz="8" w:space="0"/>
            </w:tcBorders>
            <w:noWrap w:val="0"/>
            <w:vAlign w:val="center"/>
          </w:tcPr>
          <w:p>
            <w:pPr>
              <w:adjustRightInd w:val="0"/>
              <w:snapToGrid w:val="0"/>
              <w:jc w:val="center"/>
              <w:rPr>
                <w:color w:val="auto"/>
                <w:sz w:val="18"/>
                <w:highlight w:val="none"/>
              </w:rPr>
            </w:pPr>
          </w:p>
        </w:tc>
        <w:tc>
          <w:tcPr>
            <w:tcW w:w="2138" w:type="dxa"/>
            <w:tcBorders>
              <w:bottom w:val="single" w:color="auto" w:sz="8" w:space="0"/>
            </w:tcBorders>
            <w:noWrap w:val="0"/>
            <w:vAlign w:val="center"/>
          </w:tcPr>
          <w:p>
            <w:pPr>
              <w:adjustRightInd w:val="0"/>
              <w:snapToGrid w:val="0"/>
              <w:jc w:val="center"/>
              <w:rPr>
                <w:color w:val="auto"/>
                <w:sz w:val="18"/>
                <w:highlight w:val="none"/>
              </w:rPr>
            </w:pPr>
          </w:p>
        </w:tc>
        <w:tc>
          <w:tcPr>
            <w:tcW w:w="2567" w:type="dxa"/>
            <w:tcBorders>
              <w:bottom w:val="single" w:color="auto" w:sz="8" w:space="0"/>
            </w:tcBorders>
            <w:noWrap w:val="0"/>
            <w:vAlign w:val="center"/>
          </w:tcPr>
          <w:p>
            <w:pPr>
              <w:adjustRightInd w:val="0"/>
              <w:snapToGrid w:val="0"/>
              <w:jc w:val="center"/>
              <w:rPr>
                <w:color w:val="auto"/>
                <w:sz w:val="18"/>
                <w:highlight w:val="none"/>
              </w:rPr>
            </w:pPr>
          </w:p>
        </w:tc>
        <w:tc>
          <w:tcPr>
            <w:tcW w:w="1156" w:type="dxa"/>
            <w:tcBorders>
              <w:bottom w:val="single" w:color="auto" w:sz="8" w:space="0"/>
            </w:tcBorders>
            <w:noWrap w:val="0"/>
            <w:vAlign w:val="center"/>
          </w:tcPr>
          <w:p>
            <w:pPr>
              <w:adjustRightInd w:val="0"/>
              <w:snapToGrid w:val="0"/>
              <w:jc w:val="center"/>
              <w:rPr>
                <w:color w:val="auto"/>
                <w:sz w:val="18"/>
                <w:highlight w:val="none"/>
              </w:rPr>
            </w:pPr>
          </w:p>
        </w:tc>
      </w:tr>
    </w:tbl>
    <w:p>
      <w:pPr>
        <w:pStyle w:val="17"/>
        <w:numPr>
          <w:ilvl w:val="0"/>
          <w:numId w:val="0"/>
        </w:numPr>
        <w:ind w:left="840" w:leftChars="0"/>
        <w:rPr>
          <w:rFonts w:hint="eastAsia"/>
          <w:color w:val="auto"/>
          <w:highlight w:val="none"/>
          <w:lang w:val="en-US" w:eastAsia="zh-CN"/>
        </w:rPr>
      </w:pPr>
    </w:p>
    <w:p>
      <w:pPr>
        <w:pStyle w:val="18"/>
        <w:rPr>
          <w:rFonts w:hint="eastAsia"/>
          <w:color w:val="auto"/>
          <w:highlight w:val="none"/>
          <w:lang w:val="en-US" w:eastAsia="zh-CN"/>
        </w:rPr>
      </w:pPr>
    </w:p>
    <w:p>
      <w:pPr>
        <w:widowControl/>
        <w:numPr>
          <w:ilvl w:val="0"/>
          <w:numId w:val="0"/>
        </w:numPr>
        <w:jc w:val="left"/>
        <w:textAlignment w:val="center"/>
        <w:outlineLvl w:val="3"/>
        <w:rPr>
          <w:rFonts w:hint="eastAsia" w:ascii="宋体" w:hAnsi="宋体" w:eastAsia="宋体" w:cs="宋体"/>
          <w:b w:val="0"/>
          <w:color w:val="auto"/>
          <w:kern w:val="0"/>
          <w:szCs w:val="21"/>
          <w:highlight w:val="none"/>
          <w:u w:val="none"/>
          <w:lang w:bidi="ar"/>
        </w:rPr>
      </w:pPr>
      <w:r>
        <w:rPr>
          <w:rFonts w:hint="eastAsia" w:ascii="宋体" w:hAnsi="宋体" w:eastAsia="宋体" w:cs="宋体"/>
          <w:color w:val="auto"/>
          <w:kern w:val="0"/>
          <w:szCs w:val="21"/>
          <w:highlight w:val="none"/>
          <w:u w:val="none"/>
          <w:lang w:bidi="ar"/>
        </w:rPr>
        <w:t>2.资质业绩技术评审清单及证明材料</w:t>
      </w:r>
      <w:r>
        <w:rPr>
          <w:rFonts w:hint="eastAsia" w:ascii="宋体" w:hAnsi="宋体" w:eastAsia="宋体" w:cs="宋体"/>
          <w:b/>
          <w:bCs/>
          <w:color w:val="auto"/>
          <w:kern w:val="0"/>
          <w:szCs w:val="21"/>
          <w:highlight w:val="none"/>
          <w:u w:val="none"/>
          <w:lang w:bidi="ar"/>
        </w:rPr>
        <w:t>（工程保险不适用）</w:t>
      </w:r>
    </w:p>
    <w:p>
      <w:pPr>
        <w:widowControl/>
        <w:spacing w:before="156" w:beforeLines="50"/>
        <w:ind w:firstLine="210" w:firstLineChars="100"/>
        <w:jc w:val="left"/>
        <w:rPr>
          <w:rFonts w:ascii="Times New Roman" w:hAnsi="Times New Roman"/>
          <w:bCs/>
          <w:color w:val="auto"/>
          <w:szCs w:val="21"/>
          <w:highlight w:val="none"/>
          <w:lang w:bidi="ar"/>
        </w:rPr>
      </w:pPr>
      <w:r>
        <w:rPr>
          <w:rFonts w:hint="eastAsia" w:ascii="Times New Roman" w:hAnsi="Times New Roman"/>
          <w:bCs/>
          <w:color w:val="auto"/>
          <w:szCs w:val="21"/>
          <w:highlight w:val="none"/>
          <w:lang w:bidi="ar"/>
        </w:rPr>
        <w:t>（1）资质业绩技术评审清单包括企业业绩评审、关键人员资质业绩评审，业绩评审包括近年完成的类似项目情况及正在开展和新承接的项目情况，</w:t>
      </w:r>
      <w:r>
        <w:rPr>
          <w:rFonts w:hint="eastAsia" w:ascii="Times New Roman" w:hAnsi="Times New Roman"/>
          <w:b/>
          <w:color w:val="auto"/>
          <w:szCs w:val="21"/>
          <w:highlight w:val="none"/>
          <w:lang w:bidi="ar"/>
        </w:rPr>
        <w:t>业绩需满足招标公告业绩的基本要求。</w:t>
      </w:r>
    </w:p>
    <w:p>
      <w:pPr>
        <w:widowControl/>
        <w:spacing w:before="156" w:beforeLines="50"/>
        <w:ind w:firstLine="210" w:firstLineChars="100"/>
        <w:rPr>
          <w:rFonts w:ascii="Times New Roman" w:hAnsi="Times New Roman"/>
          <w:bCs/>
          <w:color w:val="auto"/>
          <w:szCs w:val="21"/>
          <w:highlight w:val="none"/>
          <w:lang w:bidi="ar"/>
        </w:rPr>
      </w:pPr>
      <w:r>
        <w:rPr>
          <w:rFonts w:hint="eastAsia" w:ascii="Times New Roman" w:hAnsi="Times New Roman"/>
          <w:bCs/>
          <w:color w:val="auto"/>
          <w:szCs w:val="21"/>
          <w:highlight w:val="none"/>
          <w:lang w:bidi="ar"/>
        </w:rPr>
        <w:t>为进一步减少各位投标人在编制投标文件过程中，错附、漏附招标文件关键响应要求材料的情况，本项目特编制各类分标的招标文件清单（格式如下），以指导各位依序完成投标文件编制，并保证响应材料的完备性。</w:t>
      </w:r>
    </w:p>
    <w:p>
      <w:pPr>
        <w:widowControl/>
        <w:spacing w:before="156" w:beforeLines="50"/>
        <w:ind w:firstLine="210" w:firstLineChars="100"/>
        <w:rPr>
          <w:rFonts w:ascii="Times New Roman" w:hAnsi="Times New Roman"/>
          <w:bCs/>
          <w:color w:val="auto"/>
          <w:szCs w:val="21"/>
          <w:highlight w:val="none"/>
          <w:lang w:bidi="ar"/>
        </w:rPr>
      </w:pPr>
      <w:r>
        <w:rPr>
          <w:rFonts w:hint="eastAsia" w:ascii="Times New Roman" w:hAnsi="Times New Roman"/>
          <w:bCs/>
          <w:color w:val="auto"/>
          <w:szCs w:val="21"/>
          <w:highlight w:val="none"/>
          <w:lang w:bidi="ar"/>
        </w:rPr>
        <w:t>本表格仅填写符合招标公告专用资格要求的资质业绩，要求完整填报各项业绩的工程名称、关键时间、电压等级等关键信息，并与正文中的证明材料相匹配。若投标人因表中内容与证明材料不一致产生的否决，责任自负。</w:t>
      </w:r>
    </w:p>
    <w:p>
      <w:pPr>
        <w:ind w:firstLine="422" w:firstLineChars="200"/>
        <w:rPr>
          <w:rFonts w:hint="eastAsia"/>
          <w:b/>
          <w:color w:val="auto"/>
          <w:highlight w:val="none"/>
          <w:lang w:eastAsia="zh-CN"/>
        </w:rPr>
      </w:pPr>
    </w:p>
    <w:p>
      <w:pPr>
        <w:ind w:firstLine="422" w:firstLineChars="200"/>
        <w:rPr>
          <w:rFonts w:hint="eastAsia" w:eastAsia="宋体"/>
          <w:b/>
          <w:color w:val="auto"/>
          <w:highlight w:val="none"/>
          <w:lang w:eastAsia="zh-CN"/>
        </w:rPr>
      </w:pPr>
      <w:r>
        <w:rPr>
          <w:rFonts w:hint="eastAsia"/>
          <w:b/>
          <w:color w:val="auto"/>
          <w:highlight w:val="none"/>
          <w:lang w:eastAsia="zh-CN"/>
        </w:rPr>
        <w:object>
          <v:shape id="_x0000_i1027" o:spt="75" type="#_x0000_t75" style="height:66pt;width:72.75pt;" o:ole="t" filled="f" o:preferrelative="t" stroked="f" coordsize="21600,21600">
            <v:path/>
            <v:fill on="f" focussize="0,0"/>
            <v:stroke on="f"/>
            <v:imagedata r:id="rId21" o:title=""/>
            <o:lock v:ext="edit" aspectratio="t"/>
            <w10:wrap type="none"/>
            <w10:anchorlock/>
          </v:shape>
          <o:OLEObject Type="Embed" ProgID="Package" ShapeID="_x0000_i1027" DrawAspect="Icon" ObjectID="_1468075727" r:id="rId20">
            <o:LockedField>false</o:LockedField>
          </o:OLEObject>
        </w:object>
      </w:r>
      <w:r>
        <w:rPr>
          <w:rFonts w:hint="eastAsia"/>
          <w:b/>
          <w:color w:val="auto"/>
          <w:highlight w:val="none"/>
          <w:lang w:eastAsia="zh-CN"/>
        </w:rPr>
        <w:t>（</w:t>
      </w:r>
      <w:r>
        <w:rPr>
          <w:rFonts w:hint="eastAsia"/>
          <w:b/>
          <w:color w:val="auto"/>
          <w:highlight w:val="none"/>
          <w:lang w:val="en-US" w:eastAsia="zh-CN"/>
        </w:rPr>
        <w:t>监理及其他服务</w:t>
      </w:r>
      <w:r>
        <w:rPr>
          <w:rFonts w:hint="eastAsia"/>
          <w:b/>
          <w:color w:val="auto"/>
          <w:highlight w:val="none"/>
          <w:lang w:eastAsia="zh-CN"/>
        </w:rPr>
        <w:t>）</w:t>
      </w:r>
    </w:p>
    <w:p>
      <w:pPr>
        <w:pStyle w:val="17"/>
        <w:ind w:firstLine="0"/>
        <w:rPr>
          <w:rFonts w:ascii="Times New Roman" w:hAnsi="Times New Roman"/>
          <w:bCs/>
          <w:color w:val="auto"/>
          <w:sz w:val="21"/>
          <w:szCs w:val="21"/>
          <w:highlight w:val="none"/>
          <w:lang w:bidi="ar"/>
        </w:rPr>
      </w:pPr>
      <w:r>
        <w:rPr>
          <w:rFonts w:hint="eastAsia" w:ascii="Times New Roman" w:hAnsi="Times New Roman"/>
          <w:bCs/>
          <w:color w:val="auto"/>
          <w:sz w:val="21"/>
          <w:szCs w:val="21"/>
          <w:highlight w:val="none"/>
          <w:lang w:bidi="ar"/>
        </w:rPr>
        <w:t>（注：勿删除、改动表头内容、格式，</w:t>
      </w:r>
      <w:r>
        <w:rPr>
          <w:rFonts w:hint="eastAsia" w:ascii="Times New Roman" w:hAnsi="Times New Roman"/>
          <w:b/>
          <w:color w:val="auto"/>
          <w:szCs w:val="21"/>
          <w:highlight w:val="none"/>
          <w:u w:val="single"/>
          <w:lang w:bidi="ar"/>
        </w:rPr>
        <w:t>递交Excel可编辑版</w:t>
      </w:r>
      <w:r>
        <w:rPr>
          <w:rFonts w:hint="eastAsia" w:ascii="Times New Roman" w:hAnsi="Times New Roman"/>
          <w:bCs/>
          <w:color w:val="auto"/>
          <w:sz w:val="21"/>
          <w:szCs w:val="21"/>
          <w:highlight w:val="none"/>
          <w:lang w:bidi="ar"/>
        </w:rPr>
        <w:t>）</w:t>
      </w:r>
    </w:p>
    <w:p>
      <w:pPr>
        <w:numPr>
          <w:ilvl w:val="255"/>
          <w:numId w:val="0"/>
        </w:numPr>
        <w:rPr>
          <w:rFonts w:ascii="Times New Roman" w:hAnsi="Times New Roman"/>
          <w:bCs/>
          <w:color w:val="auto"/>
          <w:szCs w:val="21"/>
          <w:highlight w:val="none"/>
          <w:lang w:bidi="ar"/>
        </w:rPr>
      </w:pPr>
      <w:r>
        <w:rPr>
          <w:rFonts w:hint="eastAsia" w:ascii="Times New Roman" w:hAnsi="Times New Roman"/>
          <w:bCs/>
          <w:color w:val="auto"/>
          <w:szCs w:val="21"/>
          <w:highlight w:val="none"/>
          <w:lang w:bidi="ar"/>
        </w:rPr>
        <w:t>（2）资质业绩证明材料</w:t>
      </w:r>
    </w:p>
    <w:p>
      <w:pPr>
        <w:numPr>
          <w:ilvl w:val="-1"/>
          <w:numId w:val="0"/>
        </w:numPr>
        <w:ind w:left="0" w:firstLine="420" w:firstLineChars="200"/>
        <w:rPr>
          <w:b/>
          <w:color w:val="auto"/>
          <w:sz w:val="24"/>
          <w:highlight w:val="none"/>
        </w:rPr>
      </w:pPr>
      <w:r>
        <w:rPr>
          <w:rFonts w:hint="eastAsia" w:ascii="Times New Roman" w:hAnsi="Times New Roman"/>
          <w:bCs/>
          <w:color w:val="auto"/>
          <w:szCs w:val="21"/>
          <w:highlight w:val="none"/>
          <w:lang w:bidi="ar"/>
        </w:rPr>
        <w:t>近年完成的类似项目以竣工验收证书（送变电工程启动竣工验收证书、或交接证书、或验收证书等材料）签发时间为依据，正在开展和新承接的项目以合同签订时间为依据。</w:t>
      </w:r>
      <w:r>
        <w:rPr>
          <w:color w:val="auto"/>
          <w:szCs w:val="21"/>
          <w:highlight w:val="none"/>
        </w:rPr>
        <w:t>应附</w:t>
      </w:r>
      <w:r>
        <w:rPr>
          <w:b/>
          <w:color w:val="auto"/>
          <w:szCs w:val="21"/>
          <w:highlight w:val="none"/>
        </w:rPr>
        <w:t>所有列出项目</w:t>
      </w:r>
      <w:r>
        <w:rPr>
          <w:color w:val="auto"/>
          <w:szCs w:val="21"/>
          <w:highlight w:val="none"/>
        </w:rPr>
        <w:t>的合同原件的关键部分的扫描件（包括封面、合同协议书、签署页（含签署日期）等），必要时将要求投标人提供合同原件。</w:t>
      </w:r>
      <w:r>
        <w:rPr>
          <w:rFonts w:asciiTheme="minorHAnsi" w:hAnsiTheme="minorHAnsi" w:eastAsiaTheme="minorEastAsia" w:cstheme="minorBidi"/>
          <w:color w:val="auto"/>
          <w:szCs w:val="21"/>
          <w:highlight w:val="none"/>
          <w:lang w:bidi="ar"/>
        </w:rPr>
        <w:t>完成的类似项目</w:t>
      </w:r>
      <w:r>
        <w:rPr>
          <w:color w:val="auto"/>
          <w:szCs w:val="21"/>
          <w:highlight w:val="none"/>
        </w:rPr>
        <w:t>同时提供工程验收证明文件（送变电工程启动竣工验收证书，或交接证书，或验收证书，或业主证明等）扫描件。</w:t>
      </w:r>
      <w:r>
        <w:rPr>
          <w:b/>
          <w:color w:val="auto"/>
          <w:sz w:val="24"/>
          <w:highlight w:val="none"/>
        </w:rPr>
        <w:br w:type="page"/>
      </w:r>
    </w:p>
    <w:p>
      <w:pPr>
        <w:widowControl/>
        <w:numPr>
          <w:ilvl w:val="255"/>
          <w:numId w:val="0"/>
        </w:numPr>
        <w:jc w:val="left"/>
        <w:textAlignment w:val="center"/>
        <w:rPr>
          <w:rFonts w:ascii="宋体" w:hAnsi="宋体" w:cs="宋体"/>
          <w:color w:val="auto"/>
          <w:kern w:val="0"/>
          <w:szCs w:val="21"/>
          <w:highlight w:val="none"/>
          <w:lang w:bidi="ar"/>
        </w:rPr>
      </w:pPr>
      <w:r>
        <w:rPr>
          <w:rFonts w:hint="eastAsia" w:ascii="宋体" w:hAnsi="宋体" w:cs="宋体"/>
          <w:color w:val="auto"/>
          <w:szCs w:val="21"/>
          <w:highlight w:val="none"/>
        </w:rPr>
        <w:t>3.</w:t>
      </w:r>
      <w:r>
        <w:rPr>
          <w:rFonts w:hint="eastAsia" w:ascii="宋体" w:hAnsi="宋体" w:cs="宋体"/>
          <w:color w:val="auto"/>
          <w:kern w:val="0"/>
          <w:szCs w:val="21"/>
          <w:highlight w:val="none"/>
          <w:lang w:bidi="ar"/>
        </w:rPr>
        <w:t>企业业绩情况</w:t>
      </w:r>
    </w:p>
    <w:p>
      <w:pPr>
        <w:widowControl/>
        <w:numPr>
          <w:ilvl w:val="255"/>
          <w:numId w:val="0"/>
        </w:numPr>
        <w:jc w:val="left"/>
        <w:textAlignment w:val="center"/>
        <w:rPr>
          <w:rFonts w:ascii="Times New Roman" w:hAnsi="Times New Roman"/>
          <w:b/>
          <w:color w:val="auto"/>
          <w:szCs w:val="21"/>
          <w:highlight w:val="none"/>
          <w:lang w:bidi="ar"/>
        </w:rPr>
      </w:pPr>
      <w:r>
        <w:rPr>
          <w:rFonts w:hint="eastAsia" w:ascii="宋体" w:hAnsi="宋体" w:cs="宋体"/>
          <w:color w:val="auto"/>
          <w:kern w:val="0"/>
          <w:szCs w:val="21"/>
          <w:highlight w:val="none"/>
          <w:lang w:bidi="ar"/>
        </w:rPr>
        <w:t xml:space="preserve">    </w:t>
      </w:r>
      <w:r>
        <w:rPr>
          <w:rFonts w:hint="eastAsia" w:ascii="Times New Roman" w:hAnsi="Times New Roman"/>
          <w:b/>
          <w:color w:val="auto"/>
          <w:szCs w:val="21"/>
          <w:highlight w:val="none"/>
          <w:lang w:bidi="ar"/>
        </w:rPr>
        <w:t>企业业绩情况仅填写符合第三章评标办法中技术评分标准的业绩，资质业绩技术评审清单及证明材料符合技术评分标准的业绩需填写在项目情况表，已提供证明材料的无需重复提供证明材料。</w:t>
      </w:r>
    </w:p>
    <w:p>
      <w:pPr>
        <w:widowControl/>
        <w:jc w:val="left"/>
        <w:rPr>
          <w:color w:val="auto"/>
          <w:highlight w:val="none"/>
        </w:rPr>
      </w:pPr>
    </w:p>
    <w:p>
      <w:pPr>
        <w:pStyle w:val="18"/>
        <w:ind w:left="0"/>
        <w:jc w:val="left"/>
        <w:outlineLvl w:val="4"/>
        <w:rPr>
          <w:b/>
          <w:bCs/>
          <w:color w:val="auto"/>
          <w:sz w:val="24"/>
          <w:szCs w:val="22"/>
          <w:highlight w:val="none"/>
        </w:rPr>
      </w:pPr>
      <w:r>
        <w:rPr>
          <w:rFonts w:hint="eastAsia"/>
          <w:b/>
          <w:bCs/>
          <w:color w:val="auto"/>
          <w:sz w:val="24"/>
          <w:szCs w:val="22"/>
          <w:highlight w:val="none"/>
        </w:rPr>
        <w:t>【监理类】</w:t>
      </w:r>
    </w:p>
    <w:p>
      <w:pPr>
        <w:widowControl/>
        <w:spacing w:before="156" w:beforeLines="50"/>
        <w:ind w:firstLine="211" w:firstLineChars="100"/>
        <w:rPr>
          <w:b/>
          <w:color w:val="auto"/>
          <w:szCs w:val="21"/>
          <w:highlight w:val="none"/>
        </w:rPr>
      </w:pPr>
      <w:r>
        <w:rPr>
          <w:b/>
          <w:color w:val="auto"/>
          <w:szCs w:val="21"/>
          <w:highlight w:val="none"/>
        </w:rPr>
        <w:t>（</w:t>
      </w:r>
      <w:r>
        <w:rPr>
          <w:rFonts w:hint="eastAsia"/>
          <w:b/>
          <w:color w:val="auto"/>
          <w:szCs w:val="21"/>
          <w:highlight w:val="none"/>
        </w:rPr>
        <w:t>1</w:t>
      </w:r>
      <w:r>
        <w:rPr>
          <w:b/>
          <w:color w:val="auto"/>
          <w:szCs w:val="21"/>
          <w:highlight w:val="none"/>
        </w:rPr>
        <w:t xml:space="preserve">）近年完成的类似项目情况 </w:t>
      </w:r>
    </w:p>
    <w:p>
      <w:pPr>
        <w:spacing w:line="360" w:lineRule="exact"/>
        <w:ind w:firstLine="422" w:firstLineChars="200"/>
        <w:rPr>
          <w:b/>
          <w:color w:val="auto"/>
          <w:szCs w:val="21"/>
          <w:highlight w:val="none"/>
        </w:rPr>
      </w:pPr>
      <w:r>
        <w:rPr>
          <w:b/>
          <w:color w:val="auto"/>
          <w:szCs w:val="21"/>
          <w:highlight w:val="none"/>
        </w:rPr>
        <w:t>1）近年完成的类似项目情况表</w:t>
      </w:r>
    </w:p>
    <w:p>
      <w:pPr>
        <w:topLinePunct/>
        <w:spacing w:line="360" w:lineRule="exact"/>
        <w:ind w:firstLine="420" w:firstLineChars="200"/>
        <w:rPr>
          <w:color w:val="auto"/>
          <w:szCs w:val="21"/>
          <w:highlight w:val="none"/>
        </w:rPr>
      </w:pPr>
      <w:r>
        <w:rPr>
          <w:color w:val="auto"/>
          <w:szCs w:val="21"/>
          <w:highlight w:val="none"/>
        </w:rPr>
        <w:t>（本页应按下表填报投产工程的业绩情况，投产工程业绩以竣工验收证书（送变电工程启动竣工验收证书、或交接证书、或验收证书等材料）签发时间为依据，工程业绩涵盖评分办法内容。）</w:t>
      </w:r>
    </w:p>
    <w:p>
      <w:pPr>
        <w:topLinePunct/>
        <w:adjustRightInd w:val="0"/>
        <w:spacing w:before="160" w:after="60" w:line="312" w:lineRule="exact"/>
        <w:jc w:val="center"/>
        <w:textAlignment w:val="baseline"/>
        <w:rPr>
          <w:rFonts w:eastAsia="黑体"/>
          <w:color w:val="auto"/>
          <w:szCs w:val="21"/>
          <w:highlight w:val="none"/>
        </w:rPr>
      </w:pPr>
    </w:p>
    <w:p>
      <w:pPr>
        <w:topLinePunct/>
        <w:adjustRightInd w:val="0"/>
        <w:spacing w:before="160" w:after="60" w:line="312" w:lineRule="exact"/>
        <w:jc w:val="center"/>
        <w:textAlignment w:val="baseline"/>
        <w:rPr>
          <w:rFonts w:eastAsia="黑体"/>
          <w:color w:val="auto"/>
          <w:szCs w:val="21"/>
          <w:highlight w:val="none"/>
        </w:rPr>
      </w:pPr>
      <w:r>
        <w:rPr>
          <w:rFonts w:eastAsia="黑体"/>
          <w:color w:val="auto"/>
          <w:szCs w:val="21"/>
          <w:highlight w:val="none"/>
        </w:rPr>
        <w:t>近年完成的类似项目情况表</w:t>
      </w:r>
    </w:p>
    <w:tbl>
      <w:tblPr>
        <w:tblStyle w:val="19"/>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468"/>
        <w:gridCol w:w="2327"/>
        <w:gridCol w:w="1004"/>
        <w:gridCol w:w="745"/>
        <w:gridCol w:w="1262"/>
        <w:gridCol w:w="717"/>
        <w:gridCol w:w="747"/>
        <w:gridCol w:w="1066"/>
        <w:gridCol w:w="839"/>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1" w:hRule="atLeast"/>
          <w:jc w:val="center"/>
        </w:trPr>
        <w:tc>
          <w:tcPr>
            <w:tcW w:w="468"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序号</w:t>
            </w:r>
          </w:p>
        </w:tc>
        <w:tc>
          <w:tcPr>
            <w:tcW w:w="2327"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工程名称</w:t>
            </w:r>
          </w:p>
        </w:tc>
        <w:tc>
          <w:tcPr>
            <w:tcW w:w="1004"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工程电压等级</w:t>
            </w:r>
          </w:p>
        </w:tc>
        <w:tc>
          <w:tcPr>
            <w:tcW w:w="2007" w:type="dxa"/>
            <w:gridSpan w:val="2"/>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工程规模</w:t>
            </w:r>
          </w:p>
        </w:tc>
        <w:tc>
          <w:tcPr>
            <w:tcW w:w="717"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竣工</w:t>
            </w:r>
          </w:p>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时间</w:t>
            </w:r>
          </w:p>
        </w:tc>
        <w:tc>
          <w:tcPr>
            <w:tcW w:w="747"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承包范围</w:t>
            </w:r>
          </w:p>
        </w:tc>
        <w:tc>
          <w:tcPr>
            <w:tcW w:w="1066"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业主单位</w:t>
            </w:r>
          </w:p>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（项目法人）</w:t>
            </w:r>
          </w:p>
        </w:tc>
        <w:tc>
          <w:tcPr>
            <w:tcW w:w="839"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业主单位联系方式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0" w:hRule="atLeast"/>
          <w:jc w:val="center"/>
        </w:trPr>
        <w:tc>
          <w:tcPr>
            <w:tcW w:w="468"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2327"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004" w:type="dxa"/>
            <w:vMerge w:val="continue"/>
          </w:tcPr>
          <w:p>
            <w:pPr>
              <w:adjustRightInd w:val="0"/>
              <w:snapToGrid w:val="0"/>
              <w:spacing w:before="70" w:after="70"/>
              <w:jc w:val="center"/>
              <w:rPr>
                <w:rFonts w:ascii="Times New Roman" w:hAnsi="Times New Roman" w:eastAsia="黑体"/>
                <w:color w:val="auto"/>
                <w:sz w:val="18"/>
                <w:highlight w:val="none"/>
              </w:rPr>
            </w:pPr>
          </w:p>
        </w:tc>
        <w:tc>
          <w:tcPr>
            <w:tcW w:w="745" w:type="dxa"/>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变电站座数</w:t>
            </w:r>
          </w:p>
        </w:tc>
        <w:tc>
          <w:tcPr>
            <w:tcW w:w="1262" w:type="dxa"/>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线路建设规模（折单公里）</w:t>
            </w:r>
          </w:p>
        </w:tc>
        <w:tc>
          <w:tcPr>
            <w:tcW w:w="717"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747"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066"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839"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71"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71"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71"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71" w:hRule="atLeast"/>
          <w:jc w:val="center"/>
        </w:trPr>
        <w:tc>
          <w:tcPr>
            <w:tcW w:w="468" w:type="dxa"/>
            <w:vAlign w:val="center"/>
          </w:tcPr>
          <w:p>
            <w:pPr>
              <w:adjustRightInd w:val="0"/>
              <w:snapToGrid w:val="0"/>
              <w:spacing w:before="70" w:after="70"/>
              <w:jc w:val="center"/>
              <w:rPr>
                <w:rFonts w:ascii="Times New Roman" w:hAnsi="Times New Roman"/>
                <w:color w:val="auto"/>
                <w:sz w:val="18"/>
                <w:highlight w:val="none"/>
              </w:rPr>
            </w:pPr>
          </w:p>
        </w:tc>
        <w:tc>
          <w:tcPr>
            <w:tcW w:w="2327" w:type="dxa"/>
            <w:vAlign w:val="center"/>
          </w:tcPr>
          <w:p>
            <w:pPr>
              <w:adjustRightInd w:val="0"/>
              <w:snapToGrid w:val="0"/>
              <w:spacing w:before="70" w:after="70"/>
              <w:jc w:val="center"/>
              <w:rPr>
                <w:rFonts w:ascii="Times New Roman" w:hAnsi="Times New Roman"/>
                <w:color w:val="auto"/>
                <w:sz w:val="18"/>
                <w:highlight w:val="none"/>
              </w:rPr>
            </w:pP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1" w:hRule="atLeast"/>
          <w:jc w:val="center"/>
        </w:trPr>
        <w:tc>
          <w:tcPr>
            <w:tcW w:w="2795" w:type="dxa"/>
            <w:gridSpan w:val="2"/>
            <w:vAlign w:val="center"/>
          </w:tcPr>
          <w:p>
            <w:pPr>
              <w:adjustRightInd w:val="0"/>
              <w:snapToGrid w:val="0"/>
              <w:spacing w:before="70" w:after="70"/>
              <w:ind w:firstLine="360" w:firstLineChars="200"/>
              <w:jc w:val="center"/>
              <w:rPr>
                <w:rFonts w:ascii="Times New Roman" w:hAnsi="Times New Roman"/>
                <w:color w:val="auto"/>
                <w:sz w:val="18"/>
                <w:highlight w:val="none"/>
              </w:rPr>
            </w:pPr>
            <w:r>
              <w:rPr>
                <w:rFonts w:ascii="Times New Roman" w:hAnsi="Times New Roman"/>
                <w:color w:val="auto"/>
                <w:sz w:val="18"/>
                <w:highlight w:val="none"/>
              </w:rPr>
              <w:t>规模合计</w:t>
            </w:r>
          </w:p>
        </w:tc>
        <w:tc>
          <w:tcPr>
            <w:tcW w:w="1004" w:type="dxa"/>
          </w:tcPr>
          <w:p>
            <w:pPr>
              <w:adjustRightInd w:val="0"/>
              <w:snapToGrid w:val="0"/>
              <w:spacing w:before="70" w:after="70"/>
              <w:jc w:val="center"/>
              <w:rPr>
                <w:rFonts w:ascii="Times New Roman" w:hAnsi="Times New Roman"/>
                <w:color w:val="auto"/>
                <w:sz w:val="18"/>
                <w:highlight w:val="none"/>
              </w:rPr>
            </w:pPr>
          </w:p>
        </w:tc>
        <w:tc>
          <w:tcPr>
            <w:tcW w:w="745" w:type="dxa"/>
            <w:vAlign w:val="center"/>
          </w:tcPr>
          <w:p>
            <w:pPr>
              <w:adjustRightInd w:val="0"/>
              <w:snapToGrid w:val="0"/>
              <w:spacing w:before="70" w:after="70"/>
              <w:jc w:val="center"/>
              <w:rPr>
                <w:rFonts w:ascii="Times New Roman" w:hAnsi="Times New Roman"/>
                <w:color w:val="auto"/>
                <w:sz w:val="18"/>
                <w:highlight w:val="none"/>
              </w:rPr>
            </w:pPr>
          </w:p>
        </w:tc>
        <w:tc>
          <w:tcPr>
            <w:tcW w:w="1262" w:type="dxa"/>
          </w:tcPr>
          <w:p>
            <w:pPr>
              <w:adjustRightInd w:val="0"/>
              <w:snapToGrid w:val="0"/>
              <w:spacing w:before="70" w:after="70"/>
              <w:jc w:val="center"/>
              <w:rPr>
                <w:rFonts w:ascii="Times New Roman" w:hAnsi="Times New Roman"/>
                <w:color w:val="auto"/>
                <w:sz w:val="18"/>
                <w:highlight w:val="none"/>
              </w:rPr>
            </w:pPr>
          </w:p>
        </w:tc>
        <w:tc>
          <w:tcPr>
            <w:tcW w:w="717" w:type="dxa"/>
            <w:vAlign w:val="center"/>
          </w:tcPr>
          <w:p>
            <w:pPr>
              <w:adjustRightInd w:val="0"/>
              <w:snapToGrid w:val="0"/>
              <w:spacing w:before="70" w:after="70"/>
              <w:jc w:val="center"/>
              <w:rPr>
                <w:rFonts w:ascii="Times New Roman" w:hAnsi="Times New Roman"/>
                <w:color w:val="auto"/>
                <w:sz w:val="18"/>
                <w:highlight w:val="none"/>
              </w:rPr>
            </w:pPr>
          </w:p>
        </w:tc>
        <w:tc>
          <w:tcPr>
            <w:tcW w:w="747" w:type="dxa"/>
            <w:vAlign w:val="center"/>
          </w:tcPr>
          <w:p>
            <w:pPr>
              <w:adjustRightInd w:val="0"/>
              <w:snapToGrid w:val="0"/>
              <w:spacing w:before="70" w:after="70"/>
              <w:jc w:val="center"/>
              <w:rPr>
                <w:rFonts w:ascii="Times New Roman" w:hAnsi="Times New Roman"/>
                <w:color w:val="auto"/>
                <w:sz w:val="18"/>
                <w:highlight w:val="none"/>
              </w:rPr>
            </w:pPr>
          </w:p>
        </w:tc>
        <w:tc>
          <w:tcPr>
            <w:tcW w:w="1066" w:type="dxa"/>
            <w:vAlign w:val="center"/>
          </w:tcPr>
          <w:p>
            <w:pPr>
              <w:adjustRightInd w:val="0"/>
              <w:snapToGrid w:val="0"/>
              <w:spacing w:before="70" w:after="70"/>
              <w:jc w:val="center"/>
              <w:rPr>
                <w:rFonts w:ascii="Times New Roman" w:hAnsi="Times New Roman"/>
                <w:color w:val="auto"/>
                <w:sz w:val="18"/>
                <w:highlight w:val="none"/>
              </w:rPr>
            </w:pPr>
          </w:p>
        </w:tc>
        <w:tc>
          <w:tcPr>
            <w:tcW w:w="839" w:type="dxa"/>
            <w:vAlign w:val="center"/>
          </w:tcPr>
          <w:p>
            <w:pPr>
              <w:adjustRightInd w:val="0"/>
              <w:snapToGrid w:val="0"/>
              <w:spacing w:before="70" w:after="70"/>
              <w:jc w:val="center"/>
              <w:rPr>
                <w:rFonts w:ascii="Times New Roman" w:hAnsi="Times New Roman"/>
                <w:color w:val="auto"/>
                <w:sz w:val="18"/>
                <w:highlight w:val="none"/>
              </w:rPr>
            </w:pPr>
          </w:p>
        </w:tc>
      </w:tr>
    </w:tbl>
    <w:p>
      <w:pPr>
        <w:spacing w:line="360" w:lineRule="exact"/>
        <w:rPr>
          <w:color w:val="auto"/>
          <w:highlight w:val="none"/>
        </w:rPr>
      </w:pPr>
    </w:p>
    <w:p>
      <w:pPr>
        <w:widowControl/>
        <w:jc w:val="left"/>
        <w:rPr>
          <w:color w:val="auto"/>
          <w:szCs w:val="20"/>
          <w:highlight w:val="none"/>
        </w:rPr>
      </w:pPr>
    </w:p>
    <w:p>
      <w:pPr>
        <w:spacing w:line="360" w:lineRule="exact"/>
        <w:ind w:firstLine="422" w:firstLineChars="200"/>
        <w:rPr>
          <w:b/>
          <w:color w:val="auto"/>
          <w:szCs w:val="20"/>
          <w:highlight w:val="none"/>
        </w:rPr>
      </w:pPr>
      <w:r>
        <w:rPr>
          <w:b/>
          <w:color w:val="auto"/>
          <w:szCs w:val="20"/>
          <w:highlight w:val="none"/>
        </w:rPr>
        <w:t>2）证明材料</w:t>
      </w:r>
    </w:p>
    <w:p>
      <w:pPr>
        <w:spacing w:line="360" w:lineRule="exact"/>
        <w:ind w:firstLine="420" w:firstLineChars="200"/>
        <w:rPr>
          <w:color w:val="auto"/>
          <w:highlight w:val="none"/>
        </w:rPr>
      </w:pPr>
      <w:r>
        <w:rPr>
          <w:color w:val="auto"/>
          <w:highlight w:val="none"/>
        </w:rPr>
        <w:t>（本页应附</w:t>
      </w:r>
      <w:r>
        <w:rPr>
          <w:b/>
          <w:color w:val="auto"/>
          <w:highlight w:val="none"/>
        </w:rPr>
        <w:t>所有列出项目</w:t>
      </w:r>
      <w:r>
        <w:rPr>
          <w:color w:val="auto"/>
          <w:highlight w:val="none"/>
        </w:rPr>
        <w:t>的中标通知书、合同原件的关键部分（包括封面、合同协议书、签署页、关键条款等）的扫描件及其他证明材料，必要时将要求投标人提供合同原件，同时提供工程验收签证证明文件（送变电工程启动竣工验收证书、或交接证书、或验收证书等）扫描件）</w:t>
      </w:r>
    </w:p>
    <w:p>
      <w:pPr>
        <w:rPr>
          <w:color w:val="auto"/>
          <w:highlight w:val="none"/>
        </w:rPr>
      </w:pPr>
    </w:p>
    <w:p>
      <w:pPr>
        <w:widowControl/>
        <w:jc w:val="left"/>
        <w:rPr>
          <w:color w:val="auto"/>
          <w:sz w:val="24"/>
          <w:szCs w:val="21"/>
          <w:highlight w:val="none"/>
        </w:rPr>
      </w:pPr>
      <w:r>
        <w:rPr>
          <w:color w:val="auto"/>
          <w:sz w:val="24"/>
          <w:szCs w:val="21"/>
          <w:highlight w:val="none"/>
        </w:rPr>
        <w:br w:type="page"/>
      </w:r>
    </w:p>
    <w:p>
      <w:pPr>
        <w:widowControl/>
        <w:ind w:firstLine="422" w:firstLineChars="200"/>
        <w:jc w:val="left"/>
        <w:rPr>
          <w:b/>
          <w:color w:val="auto"/>
          <w:szCs w:val="21"/>
          <w:highlight w:val="none"/>
        </w:rPr>
      </w:pPr>
      <w:r>
        <w:rPr>
          <w:b/>
          <w:color w:val="auto"/>
          <w:szCs w:val="21"/>
          <w:highlight w:val="none"/>
        </w:rPr>
        <w:t>（</w:t>
      </w:r>
      <w:r>
        <w:rPr>
          <w:rFonts w:hint="eastAsia"/>
          <w:b/>
          <w:color w:val="auto"/>
          <w:szCs w:val="21"/>
          <w:highlight w:val="none"/>
        </w:rPr>
        <w:t>2</w:t>
      </w:r>
      <w:r>
        <w:rPr>
          <w:b/>
          <w:color w:val="auto"/>
          <w:szCs w:val="21"/>
          <w:highlight w:val="none"/>
        </w:rPr>
        <w:t xml:space="preserve">）正在监理和新承接的项目情况 </w:t>
      </w:r>
    </w:p>
    <w:p>
      <w:pPr>
        <w:widowControl/>
        <w:spacing w:before="156" w:beforeLines="50"/>
        <w:ind w:firstLine="422" w:firstLineChars="200"/>
        <w:jc w:val="left"/>
        <w:rPr>
          <w:b/>
          <w:color w:val="auto"/>
          <w:szCs w:val="21"/>
          <w:highlight w:val="none"/>
        </w:rPr>
      </w:pPr>
      <w:r>
        <w:rPr>
          <w:b/>
          <w:color w:val="auto"/>
          <w:szCs w:val="21"/>
          <w:highlight w:val="none"/>
        </w:rPr>
        <w:t xml:space="preserve"> 1）正在监理和新承接的项目情况表</w:t>
      </w:r>
    </w:p>
    <w:p>
      <w:pPr>
        <w:widowControl/>
        <w:spacing w:before="156" w:beforeLines="50" w:line="360" w:lineRule="exact"/>
        <w:ind w:firstLine="420" w:firstLineChars="200"/>
        <w:jc w:val="left"/>
        <w:rPr>
          <w:color w:val="auto"/>
          <w:szCs w:val="21"/>
          <w:highlight w:val="none"/>
        </w:rPr>
      </w:pPr>
      <w:r>
        <w:rPr>
          <w:color w:val="auto"/>
          <w:szCs w:val="21"/>
          <w:highlight w:val="none"/>
        </w:rPr>
        <w:t>（本页应按下表填报在建工程的业绩情况，在建工程业绩以合同签订时间为依据，工程业绩涵盖评分办法内容。）</w:t>
      </w:r>
    </w:p>
    <w:p>
      <w:pPr>
        <w:topLinePunct/>
        <w:adjustRightInd w:val="0"/>
        <w:spacing w:before="160" w:after="60" w:line="312" w:lineRule="exact"/>
        <w:ind w:left="360"/>
        <w:jc w:val="center"/>
        <w:textAlignment w:val="baseline"/>
        <w:rPr>
          <w:rFonts w:eastAsia="黑体"/>
          <w:color w:val="auto"/>
          <w:highlight w:val="none"/>
        </w:rPr>
      </w:pPr>
      <w:r>
        <w:rPr>
          <w:rFonts w:eastAsia="黑体"/>
          <w:color w:val="auto"/>
          <w:highlight w:val="none"/>
        </w:rPr>
        <w:t>正在监理和新承接的项目情况表</w:t>
      </w:r>
    </w:p>
    <w:tbl>
      <w:tblPr>
        <w:tblStyle w:val="19"/>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448"/>
        <w:gridCol w:w="2510"/>
        <w:gridCol w:w="1027"/>
        <w:gridCol w:w="730"/>
        <w:gridCol w:w="1012"/>
        <w:gridCol w:w="639"/>
        <w:gridCol w:w="1022"/>
        <w:gridCol w:w="1033"/>
        <w:gridCol w:w="81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3" w:hRule="atLeast"/>
          <w:jc w:val="center"/>
        </w:trPr>
        <w:tc>
          <w:tcPr>
            <w:tcW w:w="448"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序号</w:t>
            </w:r>
          </w:p>
        </w:tc>
        <w:tc>
          <w:tcPr>
            <w:tcW w:w="2510"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工程名称</w:t>
            </w:r>
          </w:p>
        </w:tc>
        <w:tc>
          <w:tcPr>
            <w:tcW w:w="1027"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工程电压等级</w:t>
            </w:r>
          </w:p>
        </w:tc>
        <w:tc>
          <w:tcPr>
            <w:tcW w:w="1742" w:type="dxa"/>
            <w:gridSpan w:val="2"/>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工程规模</w:t>
            </w:r>
          </w:p>
        </w:tc>
        <w:tc>
          <w:tcPr>
            <w:tcW w:w="639"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合同签订时间</w:t>
            </w:r>
          </w:p>
        </w:tc>
        <w:tc>
          <w:tcPr>
            <w:tcW w:w="1022"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承包范围</w:t>
            </w:r>
          </w:p>
        </w:tc>
        <w:tc>
          <w:tcPr>
            <w:tcW w:w="1033"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业主单位</w:t>
            </w:r>
          </w:p>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（项目法人）</w:t>
            </w:r>
          </w:p>
        </w:tc>
        <w:tc>
          <w:tcPr>
            <w:tcW w:w="817"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业主单位联系方式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2" w:hRule="atLeast"/>
          <w:jc w:val="center"/>
        </w:trPr>
        <w:tc>
          <w:tcPr>
            <w:tcW w:w="448"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2510"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027" w:type="dxa"/>
            <w:vMerge w:val="continue"/>
          </w:tcPr>
          <w:p>
            <w:pPr>
              <w:adjustRightInd w:val="0"/>
              <w:snapToGrid w:val="0"/>
              <w:spacing w:before="70" w:after="70"/>
              <w:jc w:val="center"/>
              <w:rPr>
                <w:rFonts w:ascii="Times New Roman" w:hAnsi="Times New Roman" w:eastAsia="黑体"/>
                <w:color w:val="auto"/>
                <w:sz w:val="18"/>
                <w:highlight w:val="none"/>
              </w:rPr>
            </w:pPr>
          </w:p>
        </w:tc>
        <w:tc>
          <w:tcPr>
            <w:tcW w:w="730" w:type="dxa"/>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变电站座数</w:t>
            </w:r>
          </w:p>
        </w:tc>
        <w:tc>
          <w:tcPr>
            <w:tcW w:w="1012" w:type="dxa"/>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线路建设规模（折单公里）</w:t>
            </w:r>
          </w:p>
        </w:tc>
        <w:tc>
          <w:tcPr>
            <w:tcW w:w="639"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022"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033"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817"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37" w:hRule="atLeast"/>
          <w:jc w:val="center"/>
        </w:trPr>
        <w:tc>
          <w:tcPr>
            <w:tcW w:w="448" w:type="dxa"/>
            <w:vAlign w:val="center"/>
          </w:tcPr>
          <w:p>
            <w:pPr>
              <w:adjustRightInd w:val="0"/>
              <w:snapToGrid w:val="0"/>
              <w:spacing w:before="70" w:after="70"/>
              <w:jc w:val="center"/>
              <w:rPr>
                <w:rFonts w:ascii="Times New Roman" w:hAnsi="Times New Roman"/>
                <w:color w:val="auto"/>
                <w:sz w:val="18"/>
                <w:highlight w:val="none"/>
              </w:rPr>
            </w:pPr>
          </w:p>
        </w:tc>
        <w:tc>
          <w:tcPr>
            <w:tcW w:w="2510" w:type="dxa"/>
            <w:vAlign w:val="center"/>
          </w:tcPr>
          <w:p>
            <w:pPr>
              <w:adjustRightInd w:val="0"/>
              <w:snapToGrid w:val="0"/>
              <w:spacing w:before="70" w:after="70"/>
              <w:jc w:val="center"/>
              <w:rPr>
                <w:rFonts w:ascii="Times New Roman" w:hAnsi="Times New Roman"/>
                <w:color w:val="auto"/>
                <w:sz w:val="18"/>
                <w:highlight w:val="none"/>
              </w:rPr>
            </w:pPr>
          </w:p>
        </w:tc>
        <w:tc>
          <w:tcPr>
            <w:tcW w:w="1027" w:type="dxa"/>
          </w:tcPr>
          <w:p>
            <w:pPr>
              <w:adjustRightInd w:val="0"/>
              <w:snapToGrid w:val="0"/>
              <w:spacing w:before="70" w:after="70"/>
              <w:jc w:val="center"/>
              <w:rPr>
                <w:rFonts w:ascii="Times New Roman" w:hAnsi="Times New Roman"/>
                <w:color w:val="auto"/>
                <w:sz w:val="18"/>
                <w:highlight w:val="none"/>
              </w:rPr>
            </w:pPr>
          </w:p>
        </w:tc>
        <w:tc>
          <w:tcPr>
            <w:tcW w:w="730" w:type="dxa"/>
            <w:vAlign w:val="center"/>
          </w:tcPr>
          <w:p>
            <w:pPr>
              <w:adjustRightInd w:val="0"/>
              <w:snapToGrid w:val="0"/>
              <w:spacing w:before="70" w:after="70"/>
              <w:jc w:val="center"/>
              <w:rPr>
                <w:rFonts w:ascii="Times New Roman" w:hAnsi="Times New Roman"/>
                <w:color w:val="auto"/>
                <w:sz w:val="18"/>
                <w:highlight w:val="none"/>
              </w:rPr>
            </w:pPr>
          </w:p>
        </w:tc>
        <w:tc>
          <w:tcPr>
            <w:tcW w:w="1012" w:type="dxa"/>
          </w:tcPr>
          <w:p>
            <w:pPr>
              <w:adjustRightInd w:val="0"/>
              <w:snapToGrid w:val="0"/>
              <w:spacing w:before="70" w:after="70"/>
              <w:jc w:val="center"/>
              <w:rPr>
                <w:rFonts w:ascii="Times New Roman" w:hAnsi="Times New Roman"/>
                <w:color w:val="auto"/>
                <w:sz w:val="18"/>
                <w:highlight w:val="none"/>
              </w:rPr>
            </w:pPr>
          </w:p>
        </w:tc>
        <w:tc>
          <w:tcPr>
            <w:tcW w:w="639" w:type="dxa"/>
          </w:tcPr>
          <w:p>
            <w:pPr>
              <w:adjustRightInd w:val="0"/>
              <w:snapToGrid w:val="0"/>
              <w:spacing w:before="70" w:after="70"/>
              <w:jc w:val="center"/>
              <w:rPr>
                <w:rFonts w:ascii="Times New Roman" w:hAnsi="Times New Roman"/>
                <w:color w:val="auto"/>
                <w:sz w:val="18"/>
                <w:highlight w:val="none"/>
              </w:rPr>
            </w:pPr>
          </w:p>
        </w:tc>
        <w:tc>
          <w:tcPr>
            <w:tcW w:w="1022" w:type="dxa"/>
            <w:vAlign w:val="center"/>
          </w:tcPr>
          <w:p>
            <w:pPr>
              <w:adjustRightInd w:val="0"/>
              <w:snapToGrid w:val="0"/>
              <w:spacing w:before="70" w:after="70"/>
              <w:jc w:val="center"/>
              <w:rPr>
                <w:rFonts w:ascii="Times New Roman" w:hAnsi="Times New Roman"/>
                <w:color w:val="auto"/>
                <w:sz w:val="18"/>
                <w:highlight w:val="none"/>
              </w:rPr>
            </w:pPr>
          </w:p>
        </w:tc>
        <w:tc>
          <w:tcPr>
            <w:tcW w:w="1033" w:type="dxa"/>
            <w:vAlign w:val="center"/>
          </w:tcPr>
          <w:p>
            <w:pPr>
              <w:adjustRightInd w:val="0"/>
              <w:snapToGrid w:val="0"/>
              <w:spacing w:before="70" w:after="70"/>
              <w:jc w:val="center"/>
              <w:rPr>
                <w:rFonts w:ascii="Times New Roman" w:hAnsi="Times New Roman"/>
                <w:color w:val="auto"/>
                <w:sz w:val="18"/>
                <w:highlight w:val="none"/>
              </w:rPr>
            </w:pPr>
          </w:p>
        </w:tc>
        <w:tc>
          <w:tcPr>
            <w:tcW w:w="817"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6" w:hRule="atLeast"/>
          <w:jc w:val="center"/>
        </w:trPr>
        <w:tc>
          <w:tcPr>
            <w:tcW w:w="448" w:type="dxa"/>
            <w:vAlign w:val="center"/>
          </w:tcPr>
          <w:p>
            <w:pPr>
              <w:adjustRightInd w:val="0"/>
              <w:snapToGrid w:val="0"/>
              <w:spacing w:before="70" w:after="70"/>
              <w:jc w:val="center"/>
              <w:rPr>
                <w:rFonts w:ascii="Times New Roman" w:hAnsi="Times New Roman"/>
                <w:color w:val="auto"/>
                <w:sz w:val="18"/>
                <w:highlight w:val="none"/>
              </w:rPr>
            </w:pPr>
          </w:p>
        </w:tc>
        <w:tc>
          <w:tcPr>
            <w:tcW w:w="2510" w:type="dxa"/>
            <w:vAlign w:val="center"/>
          </w:tcPr>
          <w:p>
            <w:pPr>
              <w:adjustRightInd w:val="0"/>
              <w:snapToGrid w:val="0"/>
              <w:spacing w:before="70" w:after="70"/>
              <w:jc w:val="center"/>
              <w:rPr>
                <w:rFonts w:ascii="Times New Roman" w:hAnsi="Times New Roman"/>
                <w:color w:val="auto"/>
                <w:sz w:val="18"/>
                <w:highlight w:val="none"/>
              </w:rPr>
            </w:pPr>
          </w:p>
        </w:tc>
        <w:tc>
          <w:tcPr>
            <w:tcW w:w="1027" w:type="dxa"/>
          </w:tcPr>
          <w:p>
            <w:pPr>
              <w:adjustRightInd w:val="0"/>
              <w:snapToGrid w:val="0"/>
              <w:spacing w:before="70" w:after="70"/>
              <w:jc w:val="center"/>
              <w:rPr>
                <w:rFonts w:ascii="Times New Roman" w:hAnsi="Times New Roman"/>
                <w:color w:val="auto"/>
                <w:sz w:val="18"/>
                <w:highlight w:val="none"/>
              </w:rPr>
            </w:pPr>
          </w:p>
        </w:tc>
        <w:tc>
          <w:tcPr>
            <w:tcW w:w="730" w:type="dxa"/>
            <w:vAlign w:val="center"/>
          </w:tcPr>
          <w:p>
            <w:pPr>
              <w:adjustRightInd w:val="0"/>
              <w:snapToGrid w:val="0"/>
              <w:spacing w:before="70" w:after="70"/>
              <w:jc w:val="center"/>
              <w:rPr>
                <w:rFonts w:ascii="Times New Roman" w:hAnsi="Times New Roman"/>
                <w:color w:val="auto"/>
                <w:sz w:val="18"/>
                <w:highlight w:val="none"/>
              </w:rPr>
            </w:pPr>
          </w:p>
        </w:tc>
        <w:tc>
          <w:tcPr>
            <w:tcW w:w="1012" w:type="dxa"/>
          </w:tcPr>
          <w:p>
            <w:pPr>
              <w:adjustRightInd w:val="0"/>
              <w:snapToGrid w:val="0"/>
              <w:spacing w:before="70" w:after="70"/>
              <w:jc w:val="center"/>
              <w:rPr>
                <w:rFonts w:ascii="Times New Roman" w:hAnsi="Times New Roman"/>
                <w:color w:val="auto"/>
                <w:sz w:val="18"/>
                <w:highlight w:val="none"/>
              </w:rPr>
            </w:pPr>
          </w:p>
        </w:tc>
        <w:tc>
          <w:tcPr>
            <w:tcW w:w="639" w:type="dxa"/>
          </w:tcPr>
          <w:p>
            <w:pPr>
              <w:adjustRightInd w:val="0"/>
              <w:snapToGrid w:val="0"/>
              <w:spacing w:before="70" w:after="70"/>
              <w:jc w:val="center"/>
              <w:rPr>
                <w:rFonts w:ascii="Times New Roman" w:hAnsi="Times New Roman"/>
                <w:color w:val="auto"/>
                <w:sz w:val="18"/>
                <w:highlight w:val="none"/>
              </w:rPr>
            </w:pPr>
          </w:p>
        </w:tc>
        <w:tc>
          <w:tcPr>
            <w:tcW w:w="1022" w:type="dxa"/>
            <w:vAlign w:val="center"/>
          </w:tcPr>
          <w:p>
            <w:pPr>
              <w:adjustRightInd w:val="0"/>
              <w:snapToGrid w:val="0"/>
              <w:spacing w:before="70" w:after="70"/>
              <w:jc w:val="center"/>
              <w:rPr>
                <w:rFonts w:ascii="Times New Roman" w:hAnsi="Times New Roman"/>
                <w:color w:val="auto"/>
                <w:sz w:val="18"/>
                <w:highlight w:val="none"/>
              </w:rPr>
            </w:pPr>
          </w:p>
        </w:tc>
        <w:tc>
          <w:tcPr>
            <w:tcW w:w="1033" w:type="dxa"/>
            <w:vAlign w:val="center"/>
          </w:tcPr>
          <w:p>
            <w:pPr>
              <w:adjustRightInd w:val="0"/>
              <w:snapToGrid w:val="0"/>
              <w:spacing w:before="70" w:after="70"/>
              <w:jc w:val="center"/>
              <w:rPr>
                <w:rFonts w:ascii="Times New Roman" w:hAnsi="Times New Roman"/>
                <w:color w:val="auto"/>
                <w:sz w:val="18"/>
                <w:highlight w:val="none"/>
              </w:rPr>
            </w:pPr>
          </w:p>
        </w:tc>
        <w:tc>
          <w:tcPr>
            <w:tcW w:w="817"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37" w:hRule="atLeast"/>
          <w:jc w:val="center"/>
        </w:trPr>
        <w:tc>
          <w:tcPr>
            <w:tcW w:w="448" w:type="dxa"/>
            <w:vAlign w:val="center"/>
          </w:tcPr>
          <w:p>
            <w:pPr>
              <w:adjustRightInd w:val="0"/>
              <w:snapToGrid w:val="0"/>
              <w:spacing w:before="70" w:after="70"/>
              <w:jc w:val="center"/>
              <w:rPr>
                <w:rFonts w:ascii="Times New Roman" w:hAnsi="Times New Roman"/>
                <w:color w:val="auto"/>
                <w:sz w:val="18"/>
                <w:highlight w:val="none"/>
              </w:rPr>
            </w:pPr>
          </w:p>
        </w:tc>
        <w:tc>
          <w:tcPr>
            <w:tcW w:w="2510" w:type="dxa"/>
            <w:vAlign w:val="center"/>
          </w:tcPr>
          <w:p>
            <w:pPr>
              <w:adjustRightInd w:val="0"/>
              <w:snapToGrid w:val="0"/>
              <w:spacing w:before="70" w:after="70"/>
              <w:jc w:val="center"/>
              <w:rPr>
                <w:rFonts w:ascii="Times New Roman" w:hAnsi="Times New Roman"/>
                <w:color w:val="auto"/>
                <w:sz w:val="18"/>
                <w:highlight w:val="none"/>
              </w:rPr>
            </w:pPr>
          </w:p>
        </w:tc>
        <w:tc>
          <w:tcPr>
            <w:tcW w:w="1027" w:type="dxa"/>
          </w:tcPr>
          <w:p>
            <w:pPr>
              <w:adjustRightInd w:val="0"/>
              <w:snapToGrid w:val="0"/>
              <w:spacing w:before="70" w:after="70"/>
              <w:jc w:val="center"/>
              <w:rPr>
                <w:rFonts w:ascii="Times New Roman" w:hAnsi="Times New Roman"/>
                <w:color w:val="auto"/>
                <w:sz w:val="18"/>
                <w:highlight w:val="none"/>
              </w:rPr>
            </w:pPr>
          </w:p>
        </w:tc>
        <w:tc>
          <w:tcPr>
            <w:tcW w:w="730" w:type="dxa"/>
            <w:vAlign w:val="center"/>
          </w:tcPr>
          <w:p>
            <w:pPr>
              <w:adjustRightInd w:val="0"/>
              <w:snapToGrid w:val="0"/>
              <w:spacing w:before="70" w:after="70"/>
              <w:jc w:val="center"/>
              <w:rPr>
                <w:rFonts w:ascii="Times New Roman" w:hAnsi="Times New Roman"/>
                <w:color w:val="auto"/>
                <w:sz w:val="18"/>
                <w:highlight w:val="none"/>
              </w:rPr>
            </w:pPr>
          </w:p>
        </w:tc>
        <w:tc>
          <w:tcPr>
            <w:tcW w:w="1012" w:type="dxa"/>
          </w:tcPr>
          <w:p>
            <w:pPr>
              <w:adjustRightInd w:val="0"/>
              <w:snapToGrid w:val="0"/>
              <w:spacing w:before="70" w:after="70"/>
              <w:jc w:val="center"/>
              <w:rPr>
                <w:rFonts w:ascii="Times New Roman" w:hAnsi="Times New Roman"/>
                <w:color w:val="auto"/>
                <w:sz w:val="18"/>
                <w:highlight w:val="none"/>
              </w:rPr>
            </w:pPr>
          </w:p>
        </w:tc>
        <w:tc>
          <w:tcPr>
            <w:tcW w:w="639" w:type="dxa"/>
          </w:tcPr>
          <w:p>
            <w:pPr>
              <w:adjustRightInd w:val="0"/>
              <w:snapToGrid w:val="0"/>
              <w:spacing w:before="70" w:after="70"/>
              <w:jc w:val="center"/>
              <w:rPr>
                <w:rFonts w:ascii="Times New Roman" w:hAnsi="Times New Roman"/>
                <w:color w:val="auto"/>
                <w:sz w:val="18"/>
                <w:highlight w:val="none"/>
              </w:rPr>
            </w:pPr>
          </w:p>
        </w:tc>
        <w:tc>
          <w:tcPr>
            <w:tcW w:w="1022" w:type="dxa"/>
            <w:vAlign w:val="center"/>
          </w:tcPr>
          <w:p>
            <w:pPr>
              <w:adjustRightInd w:val="0"/>
              <w:snapToGrid w:val="0"/>
              <w:spacing w:before="70" w:after="70"/>
              <w:jc w:val="center"/>
              <w:rPr>
                <w:rFonts w:ascii="Times New Roman" w:hAnsi="Times New Roman"/>
                <w:color w:val="auto"/>
                <w:sz w:val="18"/>
                <w:highlight w:val="none"/>
              </w:rPr>
            </w:pPr>
          </w:p>
        </w:tc>
        <w:tc>
          <w:tcPr>
            <w:tcW w:w="1033" w:type="dxa"/>
            <w:vAlign w:val="center"/>
          </w:tcPr>
          <w:p>
            <w:pPr>
              <w:adjustRightInd w:val="0"/>
              <w:snapToGrid w:val="0"/>
              <w:spacing w:before="70" w:after="70"/>
              <w:jc w:val="center"/>
              <w:rPr>
                <w:rFonts w:ascii="Times New Roman" w:hAnsi="Times New Roman"/>
                <w:color w:val="auto"/>
                <w:sz w:val="18"/>
                <w:highlight w:val="none"/>
              </w:rPr>
            </w:pPr>
          </w:p>
        </w:tc>
        <w:tc>
          <w:tcPr>
            <w:tcW w:w="817"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6" w:hRule="atLeast"/>
          <w:jc w:val="center"/>
        </w:trPr>
        <w:tc>
          <w:tcPr>
            <w:tcW w:w="448" w:type="dxa"/>
            <w:vAlign w:val="center"/>
          </w:tcPr>
          <w:p>
            <w:pPr>
              <w:adjustRightInd w:val="0"/>
              <w:snapToGrid w:val="0"/>
              <w:spacing w:before="70" w:after="70"/>
              <w:jc w:val="center"/>
              <w:rPr>
                <w:rFonts w:ascii="Times New Roman" w:hAnsi="Times New Roman"/>
                <w:color w:val="auto"/>
                <w:sz w:val="18"/>
                <w:highlight w:val="none"/>
              </w:rPr>
            </w:pPr>
          </w:p>
        </w:tc>
        <w:tc>
          <w:tcPr>
            <w:tcW w:w="2510" w:type="dxa"/>
            <w:vAlign w:val="center"/>
          </w:tcPr>
          <w:p>
            <w:pPr>
              <w:adjustRightInd w:val="0"/>
              <w:snapToGrid w:val="0"/>
              <w:spacing w:before="70" w:after="70"/>
              <w:jc w:val="center"/>
              <w:rPr>
                <w:rFonts w:ascii="Times New Roman" w:hAnsi="Times New Roman"/>
                <w:color w:val="auto"/>
                <w:sz w:val="18"/>
                <w:highlight w:val="none"/>
              </w:rPr>
            </w:pPr>
          </w:p>
        </w:tc>
        <w:tc>
          <w:tcPr>
            <w:tcW w:w="1027" w:type="dxa"/>
          </w:tcPr>
          <w:p>
            <w:pPr>
              <w:adjustRightInd w:val="0"/>
              <w:snapToGrid w:val="0"/>
              <w:spacing w:before="70" w:after="70"/>
              <w:jc w:val="center"/>
              <w:rPr>
                <w:rFonts w:ascii="Times New Roman" w:hAnsi="Times New Roman"/>
                <w:color w:val="auto"/>
                <w:sz w:val="18"/>
                <w:highlight w:val="none"/>
              </w:rPr>
            </w:pPr>
          </w:p>
        </w:tc>
        <w:tc>
          <w:tcPr>
            <w:tcW w:w="730" w:type="dxa"/>
            <w:vAlign w:val="center"/>
          </w:tcPr>
          <w:p>
            <w:pPr>
              <w:adjustRightInd w:val="0"/>
              <w:snapToGrid w:val="0"/>
              <w:spacing w:before="70" w:after="70"/>
              <w:jc w:val="center"/>
              <w:rPr>
                <w:rFonts w:ascii="Times New Roman" w:hAnsi="Times New Roman"/>
                <w:color w:val="auto"/>
                <w:sz w:val="18"/>
                <w:highlight w:val="none"/>
              </w:rPr>
            </w:pPr>
          </w:p>
        </w:tc>
        <w:tc>
          <w:tcPr>
            <w:tcW w:w="1012" w:type="dxa"/>
          </w:tcPr>
          <w:p>
            <w:pPr>
              <w:adjustRightInd w:val="0"/>
              <w:snapToGrid w:val="0"/>
              <w:spacing w:before="70" w:after="70"/>
              <w:jc w:val="center"/>
              <w:rPr>
                <w:rFonts w:ascii="Times New Roman" w:hAnsi="Times New Roman"/>
                <w:color w:val="auto"/>
                <w:sz w:val="18"/>
                <w:highlight w:val="none"/>
              </w:rPr>
            </w:pPr>
          </w:p>
        </w:tc>
        <w:tc>
          <w:tcPr>
            <w:tcW w:w="639" w:type="dxa"/>
          </w:tcPr>
          <w:p>
            <w:pPr>
              <w:adjustRightInd w:val="0"/>
              <w:snapToGrid w:val="0"/>
              <w:spacing w:before="70" w:after="70"/>
              <w:jc w:val="center"/>
              <w:rPr>
                <w:rFonts w:ascii="Times New Roman" w:hAnsi="Times New Roman"/>
                <w:color w:val="auto"/>
                <w:sz w:val="18"/>
                <w:highlight w:val="none"/>
              </w:rPr>
            </w:pPr>
          </w:p>
        </w:tc>
        <w:tc>
          <w:tcPr>
            <w:tcW w:w="1022" w:type="dxa"/>
            <w:vAlign w:val="center"/>
          </w:tcPr>
          <w:p>
            <w:pPr>
              <w:adjustRightInd w:val="0"/>
              <w:snapToGrid w:val="0"/>
              <w:spacing w:before="70" w:after="70"/>
              <w:jc w:val="center"/>
              <w:rPr>
                <w:rFonts w:ascii="Times New Roman" w:hAnsi="Times New Roman"/>
                <w:color w:val="auto"/>
                <w:sz w:val="18"/>
                <w:highlight w:val="none"/>
              </w:rPr>
            </w:pPr>
          </w:p>
        </w:tc>
        <w:tc>
          <w:tcPr>
            <w:tcW w:w="1033" w:type="dxa"/>
            <w:vAlign w:val="center"/>
          </w:tcPr>
          <w:p>
            <w:pPr>
              <w:adjustRightInd w:val="0"/>
              <w:snapToGrid w:val="0"/>
              <w:spacing w:before="70" w:after="70"/>
              <w:jc w:val="center"/>
              <w:rPr>
                <w:rFonts w:ascii="Times New Roman" w:hAnsi="Times New Roman"/>
                <w:color w:val="auto"/>
                <w:sz w:val="18"/>
                <w:highlight w:val="none"/>
              </w:rPr>
            </w:pPr>
          </w:p>
        </w:tc>
        <w:tc>
          <w:tcPr>
            <w:tcW w:w="817"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60" w:hRule="atLeast"/>
          <w:jc w:val="center"/>
        </w:trPr>
        <w:tc>
          <w:tcPr>
            <w:tcW w:w="2958" w:type="dxa"/>
            <w:gridSpan w:val="2"/>
            <w:vAlign w:val="center"/>
          </w:tcPr>
          <w:p>
            <w:pPr>
              <w:adjustRightInd w:val="0"/>
              <w:snapToGrid w:val="0"/>
              <w:spacing w:before="70" w:after="70"/>
              <w:ind w:firstLine="360" w:firstLineChars="200"/>
              <w:jc w:val="center"/>
              <w:rPr>
                <w:rFonts w:ascii="Times New Roman" w:hAnsi="Times New Roman"/>
                <w:color w:val="auto"/>
                <w:sz w:val="18"/>
                <w:highlight w:val="none"/>
              </w:rPr>
            </w:pPr>
            <w:r>
              <w:rPr>
                <w:rFonts w:ascii="Times New Roman" w:hAnsi="Times New Roman"/>
                <w:color w:val="auto"/>
                <w:sz w:val="18"/>
                <w:highlight w:val="none"/>
              </w:rPr>
              <w:t>规模合计</w:t>
            </w:r>
          </w:p>
        </w:tc>
        <w:tc>
          <w:tcPr>
            <w:tcW w:w="1027" w:type="dxa"/>
          </w:tcPr>
          <w:p>
            <w:pPr>
              <w:adjustRightInd w:val="0"/>
              <w:snapToGrid w:val="0"/>
              <w:spacing w:before="70" w:after="70"/>
              <w:jc w:val="center"/>
              <w:rPr>
                <w:rFonts w:ascii="Times New Roman" w:hAnsi="Times New Roman"/>
                <w:color w:val="auto"/>
                <w:sz w:val="18"/>
                <w:highlight w:val="none"/>
              </w:rPr>
            </w:pPr>
          </w:p>
        </w:tc>
        <w:tc>
          <w:tcPr>
            <w:tcW w:w="730" w:type="dxa"/>
            <w:vAlign w:val="center"/>
          </w:tcPr>
          <w:p>
            <w:pPr>
              <w:adjustRightInd w:val="0"/>
              <w:snapToGrid w:val="0"/>
              <w:spacing w:before="70" w:after="70"/>
              <w:jc w:val="center"/>
              <w:rPr>
                <w:rFonts w:ascii="Times New Roman" w:hAnsi="Times New Roman"/>
                <w:color w:val="auto"/>
                <w:sz w:val="18"/>
                <w:highlight w:val="none"/>
              </w:rPr>
            </w:pPr>
          </w:p>
        </w:tc>
        <w:tc>
          <w:tcPr>
            <w:tcW w:w="1012" w:type="dxa"/>
          </w:tcPr>
          <w:p>
            <w:pPr>
              <w:adjustRightInd w:val="0"/>
              <w:snapToGrid w:val="0"/>
              <w:spacing w:before="70" w:after="70"/>
              <w:jc w:val="center"/>
              <w:rPr>
                <w:rFonts w:ascii="Times New Roman" w:hAnsi="Times New Roman"/>
                <w:color w:val="auto"/>
                <w:sz w:val="18"/>
                <w:highlight w:val="none"/>
              </w:rPr>
            </w:pPr>
          </w:p>
        </w:tc>
        <w:tc>
          <w:tcPr>
            <w:tcW w:w="639" w:type="dxa"/>
          </w:tcPr>
          <w:p>
            <w:pPr>
              <w:adjustRightInd w:val="0"/>
              <w:snapToGrid w:val="0"/>
              <w:spacing w:before="70" w:after="70"/>
              <w:jc w:val="center"/>
              <w:rPr>
                <w:rFonts w:ascii="Times New Roman" w:hAnsi="Times New Roman"/>
                <w:color w:val="auto"/>
                <w:sz w:val="18"/>
                <w:highlight w:val="none"/>
              </w:rPr>
            </w:pPr>
          </w:p>
        </w:tc>
        <w:tc>
          <w:tcPr>
            <w:tcW w:w="1022" w:type="dxa"/>
            <w:vAlign w:val="center"/>
          </w:tcPr>
          <w:p>
            <w:pPr>
              <w:adjustRightInd w:val="0"/>
              <w:snapToGrid w:val="0"/>
              <w:spacing w:before="70" w:after="70"/>
              <w:jc w:val="center"/>
              <w:rPr>
                <w:rFonts w:ascii="Times New Roman" w:hAnsi="Times New Roman"/>
                <w:color w:val="auto"/>
                <w:sz w:val="18"/>
                <w:highlight w:val="none"/>
              </w:rPr>
            </w:pPr>
          </w:p>
        </w:tc>
        <w:tc>
          <w:tcPr>
            <w:tcW w:w="1033" w:type="dxa"/>
            <w:vAlign w:val="center"/>
          </w:tcPr>
          <w:p>
            <w:pPr>
              <w:adjustRightInd w:val="0"/>
              <w:snapToGrid w:val="0"/>
              <w:spacing w:before="70" w:after="70"/>
              <w:jc w:val="center"/>
              <w:rPr>
                <w:rFonts w:ascii="Times New Roman" w:hAnsi="Times New Roman"/>
                <w:color w:val="auto"/>
                <w:sz w:val="18"/>
                <w:highlight w:val="none"/>
              </w:rPr>
            </w:pPr>
          </w:p>
        </w:tc>
        <w:tc>
          <w:tcPr>
            <w:tcW w:w="817" w:type="dxa"/>
            <w:vAlign w:val="center"/>
          </w:tcPr>
          <w:p>
            <w:pPr>
              <w:adjustRightInd w:val="0"/>
              <w:snapToGrid w:val="0"/>
              <w:spacing w:before="70" w:after="70"/>
              <w:jc w:val="center"/>
              <w:rPr>
                <w:rFonts w:ascii="Times New Roman" w:hAnsi="Times New Roman"/>
                <w:color w:val="auto"/>
                <w:sz w:val="18"/>
                <w:highlight w:val="none"/>
              </w:rPr>
            </w:pPr>
          </w:p>
        </w:tc>
      </w:tr>
    </w:tbl>
    <w:p>
      <w:pPr>
        <w:widowControl/>
        <w:jc w:val="left"/>
        <w:rPr>
          <w:color w:val="auto"/>
          <w:highlight w:val="none"/>
        </w:rPr>
      </w:pPr>
    </w:p>
    <w:p>
      <w:pPr>
        <w:topLinePunct/>
        <w:spacing w:before="120" w:line="360" w:lineRule="exact"/>
        <w:ind w:firstLine="422" w:firstLineChars="200"/>
        <w:rPr>
          <w:b/>
          <w:color w:val="auto"/>
          <w:szCs w:val="20"/>
          <w:highlight w:val="none"/>
        </w:rPr>
      </w:pPr>
      <w:r>
        <w:rPr>
          <w:b/>
          <w:color w:val="auto"/>
          <w:szCs w:val="20"/>
          <w:highlight w:val="none"/>
        </w:rPr>
        <w:t>2）证明材料</w:t>
      </w:r>
    </w:p>
    <w:p>
      <w:pPr>
        <w:spacing w:line="360" w:lineRule="exact"/>
        <w:ind w:firstLine="420" w:firstLineChars="200"/>
        <w:rPr>
          <w:color w:val="auto"/>
          <w:highlight w:val="none"/>
        </w:rPr>
      </w:pPr>
      <w:r>
        <w:rPr>
          <w:color w:val="auto"/>
          <w:highlight w:val="none"/>
        </w:rPr>
        <w:t>（本页应附</w:t>
      </w:r>
      <w:r>
        <w:rPr>
          <w:b/>
          <w:color w:val="auto"/>
          <w:highlight w:val="none"/>
        </w:rPr>
        <w:t>所有列出项目</w:t>
      </w:r>
      <w:r>
        <w:rPr>
          <w:color w:val="auto"/>
          <w:highlight w:val="none"/>
        </w:rPr>
        <w:t>的中标通知书、合同原件的关键部分的扫描件（包括封面、合同协议书、签署页（含签署日期）等），必要时将要求投标人提供合同原件。）</w:t>
      </w:r>
    </w:p>
    <w:p>
      <w:pPr>
        <w:pStyle w:val="17"/>
        <w:ind w:firstLine="0"/>
        <w:rPr>
          <w:rFonts w:ascii="宋体" w:hAnsi="宋体" w:cs="宋体"/>
          <w:color w:val="auto"/>
          <w:kern w:val="0"/>
          <w:sz w:val="20"/>
          <w:szCs w:val="20"/>
          <w:highlight w:val="none"/>
          <w:lang w:bidi="ar"/>
        </w:rPr>
      </w:pPr>
    </w:p>
    <w:p>
      <w:pPr>
        <w:pStyle w:val="17"/>
        <w:ind w:firstLine="0"/>
        <w:rPr>
          <w:rFonts w:ascii="宋体" w:hAnsi="宋体" w:cs="宋体"/>
          <w:color w:val="auto"/>
          <w:kern w:val="0"/>
          <w:sz w:val="20"/>
          <w:szCs w:val="20"/>
          <w:highlight w:val="none"/>
          <w:lang w:bidi="ar"/>
        </w:rPr>
      </w:pPr>
    </w:p>
    <w:p>
      <w:pPr>
        <w:jc w:val="left"/>
        <w:outlineLvl w:val="4"/>
        <w:rPr>
          <w:b/>
          <w:bCs/>
          <w:color w:val="auto"/>
          <w:sz w:val="24"/>
          <w:highlight w:val="none"/>
        </w:rPr>
      </w:pPr>
      <w:r>
        <w:rPr>
          <w:rFonts w:hint="eastAsia"/>
          <w:b/>
          <w:bCs/>
          <w:color w:val="auto"/>
          <w:sz w:val="24"/>
          <w:highlight w:val="none"/>
        </w:rPr>
        <w:br w:type="page"/>
      </w:r>
    </w:p>
    <w:p>
      <w:pPr>
        <w:pStyle w:val="18"/>
        <w:ind w:left="0"/>
        <w:jc w:val="left"/>
        <w:outlineLvl w:val="4"/>
        <w:rPr>
          <w:b/>
          <w:bCs/>
          <w:color w:val="auto"/>
          <w:sz w:val="24"/>
          <w:szCs w:val="22"/>
          <w:highlight w:val="none"/>
        </w:rPr>
      </w:pPr>
      <w:r>
        <w:rPr>
          <w:rFonts w:hint="eastAsia"/>
          <w:b/>
          <w:bCs/>
          <w:color w:val="auto"/>
          <w:sz w:val="24"/>
          <w:szCs w:val="22"/>
          <w:highlight w:val="none"/>
        </w:rPr>
        <w:t>【其他服务类】</w:t>
      </w:r>
    </w:p>
    <w:p>
      <w:pPr>
        <w:widowControl/>
        <w:numPr>
          <w:ilvl w:val="255"/>
          <w:numId w:val="0"/>
        </w:numPr>
        <w:spacing w:line="288" w:lineRule="auto"/>
        <w:ind w:firstLine="422" w:firstLineChars="200"/>
        <w:jc w:val="left"/>
        <w:textAlignment w:val="baseline"/>
        <w:rPr>
          <w:b/>
          <w:color w:val="auto"/>
          <w:highlight w:val="none"/>
        </w:rPr>
      </w:pPr>
      <w:r>
        <w:rPr>
          <w:rFonts w:hint="eastAsia"/>
          <w:b/>
          <w:color w:val="auto"/>
          <w:highlight w:val="none"/>
        </w:rPr>
        <w:t>1、除工程保险外其他服务类</w:t>
      </w:r>
    </w:p>
    <w:p>
      <w:pPr>
        <w:widowControl/>
        <w:numPr>
          <w:ilvl w:val="255"/>
          <w:numId w:val="0"/>
        </w:numPr>
        <w:spacing w:line="288" w:lineRule="auto"/>
        <w:ind w:firstLine="422" w:firstLineChars="200"/>
        <w:jc w:val="left"/>
        <w:textAlignment w:val="baseline"/>
        <w:rPr>
          <w:b/>
          <w:color w:val="auto"/>
          <w:highlight w:val="none"/>
        </w:rPr>
      </w:pPr>
      <w:r>
        <w:rPr>
          <w:rFonts w:hint="eastAsia"/>
          <w:b/>
          <w:color w:val="auto"/>
          <w:highlight w:val="none"/>
        </w:rPr>
        <w:t>（1）</w:t>
      </w:r>
      <w:r>
        <w:rPr>
          <w:b/>
          <w:color w:val="auto"/>
          <w:highlight w:val="none"/>
        </w:rPr>
        <w:t>企业业绩情况表</w:t>
      </w:r>
    </w:p>
    <w:p>
      <w:pPr>
        <w:widowControl/>
        <w:numPr>
          <w:ilvl w:val="255"/>
          <w:numId w:val="0"/>
        </w:numPr>
        <w:spacing w:line="288" w:lineRule="auto"/>
        <w:ind w:firstLine="420" w:firstLineChars="200"/>
        <w:jc w:val="left"/>
        <w:textAlignment w:val="baseline"/>
        <w:rPr>
          <w:color w:val="auto"/>
          <w:highlight w:val="none"/>
        </w:rPr>
      </w:pPr>
      <w:r>
        <w:rPr>
          <w:color w:val="auto"/>
          <w:szCs w:val="21"/>
          <w:highlight w:val="none"/>
        </w:rPr>
        <w:t>本页应按下表填报业绩情况，</w:t>
      </w:r>
      <w:r>
        <w:rPr>
          <w:b/>
          <w:color w:val="auto"/>
          <w:highlight w:val="none"/>
        </w:rPr>
        <w:t>完工工程业绩以验收证书（送变电工程启动竣工验收证书、或交接证书、或验收证书等材料）签发时间为依据；在建工程业绩以合同签订时间为依据。</w:t>
      </w:r>
    </w:p>
    <w:p>
      <w:pPr>
        <w:widowControl/>
        <w:jc w:val="center"/>
        <w:rPr>
          <w:color w:val="auto"/>
          <w:highlight w:val="none"/>
        </w:rPr>
      </w:pPr>
      <w:r>
        <w:rPr>
          <w:color w:val="auto"/>
          <w:highlight w:val="none"/>
        </w:rPr>
        <w:t>近年完成的及正在承接的企业业绩情况表</w:t>
      </w:r>
    </w:p>
    <w:tbl>
      <w:tblPr>
        <w:tblStyle w:val="19"/>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507"/>
        <w:gridCol w:w="2182"/>
        <w:gridCol w:w="1006"/>
        <w:gridCol w:w="995"/>
        <w:gridCol w:w="1551"/>
        <w:gridCol w:w="1276"/>
        <w:gridCol w:w="1005"/>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2" w:hRule="atLeast"/>
          <w:jc w:val="center"/>
        </w:trPr>
        <w:tc>
          <w:tcPr>
            <w:tcW w:w="507"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序号</w:t>
            </w:r>
          </w:p>
        </w:tc>
        <w:tc>
          <w:tcPr>
            <w:tcW w:w="2182"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合同名称</w:t>
            </w:r>
          </w:p>
        </w:tc>
        <w:tc>
          <w:tcPr>
            <w:tcW w:w="1006"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签订</w:t>
            </w:r>
          </w:p>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时间</w:t>
            </w:r>
          </w:p>
        </w:tc>
        <w:tc>
          <w:tcPr>
            <w:tcW w:w="995"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完工</w:t>
            </w:r>
          </w:p>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时间</w:t>
            </w:r>
          </w:p>
        </w:tc>
        <w:tc>
          <w:tcPr>
            <w:tcW w:w="1551"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承包范围</w:t>
            </w:r>
          </w:p>
        </w:tc>
        <w:tc>
          <w:tcPr>
            <w:tcW w:w="1276"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业主单位</w:t>
            </w:r>
          </w:p>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（项目法人）</w:t>
            </w:r>
          </w:p>
        </w:tc>
        <w:tc>
          <w:tcPr>
            <w:tcW w:w="1005" w:type="dxa"/>
            <w:vMerge w:val="restart"/>
            <w:vAlign w:val="center"/>
          </w:tcPr>
          <w:p>
            <w:pPr>
              <w:adjustRightInd w:val="0"/>
              <w:snapToGrid w:val="0"/>
              <w:spacing w:before="70" w:after="70"/>
              <w:jc w:val="center"/>
              <w:rPr>
                <w:rFonts w:ascii="Times New Roman" w:hAnsi="Times New Roman" w:eastAsia="黑体"/>
                <w:color w:val="auto"/>
                <w:sz w:val="18"/>
                <w:highlight w:val="none"/>
              </w:rPr>
            </w:pPr>
            <w:r>
              <w:rPr>
                <w:rFonts w:ascii="Times New Roman" w:hAnsi="Times New Roman" w:eastAsia="黑体"/>
                <w:color w:val="auto"/>
                <w:sz w:val="18"/>
                <w:highlight w:val="none"/>
              </w:rPr>
              <w:t>业主单位联系方式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3" w:hRule="atLeast"/>
          <w:jc w:val="center"/>
        </w:trPr>
        <w:tc>
          <w:tcPr>
            <w:tcW w:w="507"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2182"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006" w:type="dxa"/>
            <w:vMerge w:val="continue"/>
          </w:tcPr>
          <w:p>
            <w:pPr>
              <w:adjustRightInd w:val="0"/>
              <w:snapToGrid w:val="0"/>
              <w:spacing w:before="70" w:after="70"/>
              <w:jc w:val="center"/>
              <w:rPr>
                <w:rFonts w:ascii="Times New Roman" w:hAnsi="Times New Roman" w:eastAsia="黑体"/>
                <w:color w:val="auto"/>
                <w:sz w:val="18"/>
                <w:highlight w:val="none"/>
              </w:rPr>
            </w:pPr>
          </w:p>
        </w:tc>
        <w:tc>
          <w:tcPr>
            <w:tcW w:w="995"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551"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276"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c>
          <w:tcPr>
            <w:tcW w:w="1005" w:type="dxa"/>
            <w:vMerge w:val="continue"/>
            <w:vAlign w:val="center"/>
          </w:tcPr>
          <w:p>
            <w:pPr>
              <w:adjustRightInd w:val="0"/>
              <w:snapToGrid w:val="0"/>
              <w:spacing w:before="70" w:after="70"/>
              <w:jc w:val="center"/>
              <w:rPr>
                <w:rFonts w:ascii="Times New Roman" w:hAnsi="Times New Roman" w:eastAsia="黑体"/>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9" w:hRule="atLeast"/>
          <w:jc w:val="center"/>
        </w:trPr>
        <w:tc>
          <w:tcPr>
            <w:tcW w:w="507" w:type="dxa"/>
            <w:vAlign w:val="center"/>
          </w:tcPr>
          <w:p>
            <w:pPr>
              <w:adjustRightInd w:val="0"/>
              <w:snapToGrid w:val="0"/>
              <w:spacing w:before="70" w:after="70"/>
              <w:jc w:val="center"/>
              <w:rPr>
                <w:rFonts w:ascii="Times New Roman" w:hAnsi="Times New Roman"/>
                <w:color w:val="auto"/>
                <w:sz w:val="18"/>
                <w:highlight w:val="none"/>
              </w:rPr>
            </w:pPr>
          </w:p>
        </w:tc>
        <w:tc>
          <w:tcPr>
            <w:tcW w:w="2182" w:type="dxa"/>
            <w:vAlign w:val="center"/>
          </w:tcPr>
          <w:p>
            <w:pPr>
              <w:adjustRightInd w:val="0"/>
              <w:snapToGrid w:val="0"/>
              <w:spacing w:before="70" w:after="70"/>
              <w:jc w:val="center"/>
              <w:rPr>
                <w:rFonts w:ascii="Times New Roman" w:hAnsi="Times New Roman"/>
                <w:color w:val="auto"/>
                <w:sz w:val="18"/>
                <w:highlight w:val="none"/>
              </w:rPr>
            </w:pPr>
          </w:p>
        </w:tc>
        <w:tc>
          <w:tcPr>
            <w:tcW w:w="1006" w:type="dxa"/>
          </w:tcPr>
          <w:p>
            <w:pPr>
              <w:adjustRightInd w:val="0"/>
              <w:snapToGrid w:val="0"/>
              <w:spacing w:before="70" w:after="70"/>
              <w:jc w:val="center"/>
              <w:rPr>
                <w:rFonts w:ascii="Times New Roman" w:hAnsi="Times New Roman"/>
                <w:color w:val="auto"/>
                <w:sz w:val="18"/>
                <w:highlight w:val="none"/>
              </w:rPr>
            </w:pPr>
          </w:p>
        </w:tc>
        <w:tc>
          <w:tcPr>
            <w:tcW w:w="995" w:type="dxa"/>
            <w:vAlign w:val="center"/>
          </w:tcPr>
          <w:p>
            <w:pPr>
              <w:adjustRightInd w:val="0"/>
              <w:snapToGrid w:val="0"/>
              <w:spacing w:before="70" w:after="70"/>
              <w:jc w:val="center"/>
              <w:rPr>
                <w:rFonts w:ascii="Times New Roman" w:hAnsi="Times New Roman"/>
                <w:color w:val="auto"/>
                <w:sz w:val="18"/>
                <w:highlight w:val="none"/>
              </w:rPr>
            </w:pPr>
          </w:p>
        </w:tc>
        <w:tc>
          <w:tcPr>
            <w:tcW w:w="1551" w:type="dxa"/>
            <w:vAlign w:val="center"/>
          </w:tcPr>
          <w:p>
            <w:pPr>
              <w:adjustRightInd w:val="0"/>
              <w:snapToGrid w:val="0"/>
              <w:spacing w:before="70" w:after="70"/>
              <w:jc w:val="center"/>
              <w:rPr>
                <w:rFonts w:ascii="Times New Roman" w:hAnsi="Times New Roman"/>
                <w:color w:val="auto"/>
                <w:sz w:val="18"/>
                <w:highlight w:val="none"/>
              </w:rPr>
            </w:pPr>
          </w:p>
        </w:tc>
        <w:tc>
          <w:tcPr>
            <w:tcW w:w="1276" w:type="dxa"/>
            <w:vAlign w:val="center"/>
          </w:tcPr>
          <w:p>
            <w:pPr>
              <w:adjustRightInd w:val="0"/>
              <w:snapToGrid w:val="0"/>
              <w:spacing w:before="70" w:after="70"/>
              <w:jc w:val="center"/>
              <w:rPr>
                <w:rFonts w:ascii="Times New Roman" w:hAnsi="Times New Roman"/>
                <w:color w:val="auto"/>
                <w:sz w:val="18"/>
                <w:highlight w:val="none"/>
              </w:rPr>
            </w:pPr>
          </w:p>
        </w:tc>
        <w:tc>
          <w:tcPr>
            <w:tcW w:w="1005"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07" w:hRule="atLeast"/>
          <w:jc w:val="center"/>
        </w:trPr>
        <w:tc>
          <w:tcPr>
            <w:tcW w:w="507" w:type="dxa"/>
            <w:vAlign w:val="center"/>
          </w:tcPr>
          <w:p>
            <w:pPr>
              <w:adjustRightInd w:val="0"/>
              <w:snapToGrid w:val="0"/>
              <w:spacing w:before="70" w:after="70"/>
              <w:jc w:val="center"/>
              <w:rPr>
                <w:rFonts w:ascii="Times New Roman" w:hAnsi="Times New Roman"/>
                <w:color w:val="auto"/>
                <w:sz w:val="18"/>
                <w:highlight w:val="none"/>
              </w:rPr>
            </w:pPr>
          </w:p>
        </w:tc>
        <w:tc>
          <w:tcPr>
            <w:tcW w:w="2182" w:type="dxa"/>
            <w:vAlign w:val="center"/>
          </w:tcPr>
          <w:p>
            <w:pPr>
              <w:adjustRightInd w:val="0"/>
              <w:snapToGrid w:val="0"/>
              <w:spacing w:before="70" w:after="70"/>
              <w:jc w:val="center"/>
              <w:rPr>
                <w:rFonts w:ascii="Times New Roman" w:hAnsi="Times New Roman"/>
                <w:color w:val="auto"/>
                <w:sz w:val="18"/>
                <w:highlight w:val="none"/>
              </w:rPr>
            </w:pPr>
          </w:p>
        </w:tc>
        <w:tc>
          <w:tcPr>
            <w:tcW w:w="1006" w:type="dxa"/>
          </w:tcPr>
          <w:p>
            <w:pPr>
              <w:adjustRightInd w:val="0"/>
              <w:snapToGrid w:val="0"/>
              <w:spacing w:before="70" w:after="70"/>
              <w:jc w:val="center"/>
              <w:rPr>
                <w:rFonts w:ascii="Times New Roman" w:hAnsi="Times New Roman"/>
                <w:color w:val="auto"/>
                <w:sz w:val="18"/>
                <w:highlight w:val="none"/>
              </w:rPr>
            </w:pPr>
          </w:p>
        </w:tc>
        <w:tc>
          <w:tcPr>
            <w:tcW w:w="995" w:type="dxa"/>
            <w:vAlign w:val="center"/>
          </w:tcPr>
          <w:p>
            <w:pPr>
              <w:adjustRightInd w:val="0"/>
              <w:snapToGrid w:val="0"/>
              <w:spacing w:before="70" w:after="70"/>
              <w:jc w:val="center"/>
              <w:rPr>
                <w:rFonts w:ascii="Times New Roman" w:hAnsi="Times New Roman"/>
                <w:color w:val="auto"/>
                <w:sz w:val="18"/>
                <w:highlight w:val="none"/>
              </w:rPr>
            </w:pPr>
          </w:p>
        </w:tc>
        <w:tc>
          <w:tcPr>
            <w:tcW w:w="1551" w:type="dxa"/>
            <w:vAlign w:val="center"/>
          </w:tcPr>
          <w:p>
            <w:pPr>
              <w:adjustRightInd w:val="0"/>
              <w:snapToGrid w:val="0"/>
              <w:spacing w:before="70" w:after="70"/>
              <w:jc w:val="center"/>
              <w:rPr>
                <w:rFonts w:ascii="Times New Roman" w:hAnsi="Times New Roman"/>
                <w:color w:val="auto"/>
                <w:sz w:val="18"/>
                <w:highlight w:val="none"/>
              </w:rPr>
            </w:pPr>
          </w:p>
        </w:tc>
        <w:tc>
          <w:tcPr>
            <w:tcW w:w="1276" w:type="dxa"/>
            <w:vAlign w:val="center"/>
          </w:tcPr>
          <w:p>
            <w:pPr>
              <w:adjustRightInd w:val="0"/>
              <w:snapToGrid w:val="0"/>
              <w:spacing w:before="70" w:after="70"/>
              <w:jc w:val="center"/>
              <w:rPr>
                <w:rFonts w:ascii="Times New Roman" w:hAnsi="Times New Roman"/>
                <w:color w:val="auto"/>
                <w:sz w:val="18"/>
                <w:highlight w:val="none"/>
              </w:rPr>
            </w:pPr>
          </w:p>
        </w:tc>
        <w:tc>
          <w:tcPr>
            <w:tcW w:w="1005"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9" w:hRule="atLeast"/>
          <w:jc w:val="center"/>
        </w:trPr>
        <w:tc>
          <w:tcPr>
            <w:tcW w:w="507" w:type="dxa"/>
            <w:vAlign w:val="center"/>
          </w:tcPr>
          <w:p>
            <w:pPr>
              <w:adjustRightInd w:val="0"/>
              <w:snapToGrid w:val="0"/>
              <w:spacing w:before="70" w:after="70"/>
              <w:jc w:val="center"/>
              <w:rPr>
                <w:rFonts w:ascii="Times New Roman" w:hAnsi="Times New Roman"/>
                <w:color w:val="auto"/>
                <w:sz w:val="18"/>
                <w:highlight w:val="none"/>
              </w:rPr>
            </w:pPr>
          </w:p>
        </w:tc>
        <w:tc>
          <w:tcPr>
            <w:tcW w:w="2182" w:type="dxa"/>
            <w:vAlign w:val="center"/>
          </w:tcPr>
          <w:p>
            <w:pPr>
              <w:adjustRightInd w:val="0"/>
              <w:snapToGrid w:val="0"/>
              <w:spacing w:before="70" w:after="70"/>
              <w:jc w:val="center"/>
              <w:rPr>
                <w:rFonts w:ascii="Times New Roman" w:hAnsi="Times New Roman"/>
                <w:color w:val="auto"/>
                <w:sz w:val="18"/>
                <w:highlight w:val="none"/>
              </w:rPr>
            </w:pPr>
          </w:p>
        </w:tc>
        <w:tc>
          <w:tcPr>
            <w:tcW w:w="1006" w:type="dxa"/>
          </w:tcPr>
          <w:p>
            <w:pPr>
              <w:adjustRightInd w:val="0"/>
              <w:snapToGrid w:val="0"/>
              <w:spacing w:before="70" w:after="70"/>
              <w:jc w:val="center"/>
              <w:rPr>
                <w:rFonts w:ascii="Times New Roman" w:hAnsi="Times New Roman"/>
                <w:color w:val="auto"/>
                <w:sz w:val="18"/>
                <w:highlight w:val="none"/>
              </w:rPr>
            </w:pPr>
          </w:p>
        </w:tc>
        <w:tc>
          <w:tcPr>
            <w:tcW w:w="995" w:type="dxa"/>
            <w:vAlign w:val="center"/>
          </w:tcPr>
          <w:p>
            <w:pPr>
              <w:adjustRightInd w:val="0"/>
              <w:snapToGrid w:val="0"/>
              <w:spacing w:before="70" w:after="70"/>
              <w:jc w:val="center"/>
              <w:rPr>
                <w:rFonts w:ascii="Times New Roman" w:hAnsi="Times New Roman"/>
                <w:color w:val="auto"/>
                <w:sz w:val="18"/>
                <w:highlight w:val="none"/>
              </w:rPr>
            </w:pPr>
          </w:p>
        </w:tc>
        <w:tc>
          <w:tcPr>
            <w:tcW w:w="1551" w:type="dxa"/>
            <w:vAlign w:val="center"/>
          </w:tcPr>
          <w:p>
            <w:pPr>
              <w:adjustRightInd w:val="0"/>
              <w:snapToGrid w:val="0"/>
              <w:spacing w:before="70" w:after="70"/>
              <w:jc w:val="center"/>
              <w:rPr>
                <w:rFonts w:ascii="Times New Roman" w:hAnsi="Times New Roman"/>
                <w:color w:val="auto"/>
                <w:sz w:val="18"/>
                <w:highlight w:val="none"/>
              </w:rPr>
            </w:pPr>
          </w:p>
        </w:tc>
        <w:tc>
          <w:tcPr>
            <w:tcW w:w="1276" w:type="dxa"/>
            <w:vAlign w:val="center"/>
          </w:tcPr>
          <w:p>
            <w:pPr>
              <w:adjustRightInd w:val="0"/>
              <w:snapToGrid w:val="0"/>
              <w:spacing w:before="70" w:after="70"/>
              <w:jc w:val="center"/>
              <w:rPr>
                <w:rFonts w:ascii="Times New Roman" w:hAnsi="Times New Roman"/>
                <w:color w:val="auto"/>
                <w:sz w:val="18"/>
                <w:highlight w:val="none"/>
              </w:rPr>
            </w:pPr>
          </w:p>
        </w:tc>
        <w:tc>
          <w:tcPr>
            <w:tcW w:w="1005" w:type="dxa"/>
            <w:vAlign w:val="center"/>
          </w:tcPr>
          <w:p>
            <w:pPr>
              <w:adjustRightInd w:val="0"/>
              <w:snapToGrid w:val="0"/>
              <w:spacing w:before="70" w:after="70"/>
              <w:jc w:val="center"/>
              <w:rPr>
                <w:rFonts w:ascii="Times New Roman" w:hAnsi="Times New Roman"/>
                <w:color w:val="auto"/>
                <w:sz w:val="18"/>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07" w:hRule="atLeast"/>
          <w:jc w:val="center"/>
        </w:trPr>
        <w:tc>
          <w:tcPr>
            <w:tcW w:w="507" w:type="dxa"/>
            <w:vAlign w:val="center"/>
          </w:tcPr>
          <w:p>
            <w:pPr>
              <w:adjustRightInd w:val="0"/>
              <w:snapToGrid w:val="0"/>
              <w:spacing w:before="70" w:after="70"/>
              <w:jc w:val="center"/>
              <w:rPr>
                <w:rFonts w:ascii="Times New Roman" w:hAnsi="Times New Roman"/>
                <w:color w:val="auto"/>
                <w:sz w:val="18"/>
                <w:highlight w:val="none"/>
              </w:rPr>
            </w:pPr>
          </w:p>
        </w:tc>
        <w:tc>
          <w:tcPr>
            <w:tcW w:w="2182" w:type="dxa"/>
            <w:vAlign w:val="center"/>
          </w:tcPr>
          <w:p>
            <w:pPr>
              <w:adjustRightInd w:val="0"/>
              <w:snapToGrid w:val="0"/>
              <w:spacing w:before="70" w:after="70"/>
              <w:jc w:val="center"/>
              <w:rPr>
                <w:rFonts w:ascii="Times New Roman" w:hAnsi="Times New Roman"/>
                <w:color w:val="auto"/>
                <w:sz w:val="18"/>
                <w:highlight w:val="none"/>
              </w:rPr>
            </w:pPr>
          </w:p>
        </w:tc>
        <w:tc>
          <w:tcPr>
            <w:tcW w:w="1006" w:type="dxa"/>
          </w:tcPr>
          <w:p>
            <w:pPr>
              <w:adjustRightInd w:val="0"/>
              <w:snapToGrid w:val="0"/>
              <w:spacing w:before="70" w:after="70"/>
              <w:jc w:val="center"/>
              <w:rPr>
                <w:rFonts w:ascii="Times New Roman" w:hAnsi="Times New Roman"/>
                <w:color w:val="auto"/>
                <w:sz w:val="18"/>
                <w:highlight w:val="none"/>
              </w:rPr>
            </w:pPr>
          </w:p>
        </w:tc>
        <w:tc>
          <w:tcPr>
            <w:tcW w:w="995" w:type="dxa"/>
            <w:vAlign w:val="center"/>
          </w:tcPr>
          <w:p>
            <w:pPr>
              <w:adjustRightInd w:val="0"/>
              <w:snapToGrid w:val="0"/>
              <w:spacing w:before="70" w:after="70"/>
              <w:jc w:val="center"/>
              <w:rPr>
                <w:rFonts w:ascii="Times New Roman" w:hAnsi="Times New Roman"/>
                <w:color w:val="auto"/>
                <w:sz w:val="18"/>
                <w:highlight w:val="none"/>
              </w:rPr>
            </w:pPr>
          </w:p>
        </w:tc>
        <w:tc>
          <w:tcPr>
            <w:tcW w:w="1551" w:type="dxa"/>
            <w:vAlign w:val="center"/>
          </w:tcPr>
          <w:p>
            <w:pPr>
              <w:adjustRightInd w:val="0"/>
              <w:snapToGrid w:val="0"/>
              <w:spacing w:before="70" w:after="70"/>
              <w:jc w:val="center"/>
              <w:rPr>
                <w:rFonts w:ascii="Times New Roman" w:hAnsi="Times New Roman"/>
                <w:color w:val="auto"/>
                <w:sz w:val="18"/>
                <w:highlight w:val="none"/>
              </w:rPr>
            </w:pPr>
          </w:p>
        </w:tc>
        <w:tc>
          <w:tcPr>
            <w:tcW w:w="1276" w:type="dxa"/>
            <w:vAlign w:val="center"/>
          </w:tcPr>
          <w:p>
            <w:pPr>
              <w:adjustRightInd w:val="0"/>
              <w:snapToGrid w:val="0"/>
              <w:spacing w:before="70" w:after="70"/>
              <w:jc w:val="center"/>
              <w:rPr>
                <w:rFonts w:ascii="Times New Roman" w:hAnsi="Times New Roman"/>
                <w:color w:val="auto"/>
                <w:sz w:val="18"/>
                <w:highlight w:val="none"/>
              </w:rPr>
            </w:pPr>
          </w:p>
        </w:tc>
        <w:tc>
          <w:tcPr>
            <w:tcW w:w="1005" w:type="dxa"/>
            <w:vAlign w:val="center"/>
          </w:tcPr>
          <w:p>
            <w:pPr>
              <w:adjustRightInd w:val="0"/>
              <w:snapToGrid w:val="0"/>
              <w:spacing w:before="70" w:after="70"/>
              <w:jc w:val="center"/>
              <w:rPr>
                <w:rFonts w:ascii="Times New Roman" w:hAnsi="Times New Roman"/>
                <w:color w:val="auto"/>
                <w:sz w:val="18"/>
                <w:highlight w:val="none"/>
              </w:rPr>
            </w:pPr>
          </w:p>
        </w:tc>
      </w:tr>
    </w:tbl>
    <w:p>
      <w:pPr>
        <w:pStyle w:val="5"/>
        <w:ind w:firstLine="210" w:firstLineChars="100"/>
        <w:rPr>
          <w:color w:val="auto"/>
          <w:szCs w:val="21"/>
          <w:highlight w:val="none"/>
        </w:rPr>
      </w:pPr>
      <w:r>
        <w:rPr>
          <w:color w:val="auto"/>
          <w:szCs w:val="21"/>
          <w:highlight w:val="none"/>
        </w:rPr>
        <w:t>备注：未完工工程，可不填写完工时间。</w:t>
      </w:r>
    </w:p>
    <w:p>
      <w:pPr>
        <w:pStyle w:val="17"/>
        <w:rPr>
          <w:color w:val="auto"/>
          <w:highlight w:val="none"/>
        </w:rPr>
      </w:pPr>
    </w:p>
    <w:p>
      <w:pPr>
        <w:autoSpaceDE w:val="0"/>
        <w:autoSpaceDN w:val="0"/>
        <w:adjustRightInd w:val="0"/>
        <w:snapToGrid w:val="0"/>
        <w:ind w:firstLine="422" w:firstLineChars="200"/>
        <w:rPr>
          <w:b/>
          <w:color w:val="auto"/>
          <w:szCs w:val="21"/>
          <w:highlight w:val="none"/>
        </w:rPr>
      </w:pPr>
      <w:r>
        <w:rPr>
          <w:rFonts w:hint="eastAsia"/>
          <w:b/>
          <w:color w:val="auto"/>
          <w:szCs w:val="21"/>
          <w:highlight w:val="none"/>
        </w:rPr>
        <w:t>（2）</w:t>
      </w:r>
      <w:r>
        <w:rPr>
          <w:b/>
          <w:color w:val="auto"/>
          <w:szCs w:val="21"/>
          <w:highlight w:val="none"/>
        </w:rPr>
        <w:t>证明材料</w:t>
      </w:r>
    </w:p>
    <w:p>
      <w:pPr>
        <w:spacing w:line="360" w:lineRule="exact"/>
        <w:ind w:firstLine="420" w:firstLineChars="200"/>
        <w:rPr>
          <w:color w:val="auto"/>
          <w:szCs w:val="21"/>
          <w:highlight w:val="none"/>
        </w:rPr>
      </w:pPr>
      <w:r>
        <w:rPr>
          <w:color w:val="auto"/>
          <w:szCs w:val="21"/>
          <w:highlight w:val="none"/>
        </w:rPr>
        <w:t>本页应附</w:t>
      </w:r>
      <w:r>
        <w:rPr>
          <w:b/>
          <w:color w:val="auto"/>
          <w:szCs w:val="21"/>
          <w:highlight w:val="none"/>
        </w:rPr>
        <w:t>完工工程</w:t>
      </w:r>
      <w:r>
        <w:rPr>
          <w:color w:val="auto"/>
          <w:szCs w:val="21"/>
          <w:highlight w:val="none"/>
        </w:rPr>
        <w:t>的合同原件的关键部分的扫描件（包括封面、合同协议书、签署页（含签署日期）等），必要时将要求投标人提供合同原件。同时提供工程验收证明文件（送变电工程启动竣工验收证书，或交接证书，或验收证书，或业主证明等）扫描件。</w:t>
      </w:r>
    </w:p>
    <w:p>
      <w:pPr>
        <w:adjustRightInd w:val="0"/>
        <w:snapToGrid w:val="0"/>
        <w:ind w:firstLine="422" w:firstLineChars="200"/>
        <w:rPr>
          <w:rFonts w:eastAsia="黑体"/>
          <w:b/>
          <w:color w:val="auto"/>
          <w:szCs w:val="21"/>
          <w:highlight w:val="none"/>
        </w:rPr>
      </w:pPr>
      <w:r>
        <w:rPr>
          <w:b/>
          <w:color w:val="auto"/>
          <w:szCs w:val="21"/>
          <w:highlight w:val="none"/>
        </w:rPr>
        <w:t>在建工程的项目</w:t>
      </w:r>
      <w:r>
        <w:rPr>
          <w:color w:val="auto"/>
          <w:szCs w:val="21"/>
          <w:highlight w:val="none"/>
        </w:rPr>
        <w:t>的中标通知书或合同原件的关键部分的扫描件（包括封面、合同协议书、签署页（含签署日期）等），必要时将要求投标人提供合同原件。</w:t>
      </w:r>
    </w:p>
    <w:p>
      <w:pPr>
        <w:pStyle w:val="17"/>
        <w:ind w:firstLine="0"/>
        <w:rPr>
          <w:rFonts w:ascii="宋体" w:hAnsi="宋体" w:cs="宋体"/>
          <w:color w:val="auto"/>
          <w:kern w:val="0"/>
          <w:sz w:val="20"/>
          <w:szCs w:val="20"/>
          <w:highlight w:val="none"/>
          <w:lang w:bidi="ar"/>
        </w:rPr>
      </w:pPr>
    </w:p>
    <w:p>
      <w:pPr>
        <w:widowControl/>
        <w:numPr>
          <w:ilvl w:val="255"/>
          <w:numId w:val="0"/>
        </w:numPr>
        <w:spacing w:line="288" w:lineRule="auto"/>
        <w:jc w:val="left"/>
        <w:textAlignment w:val="baseline"/>
        <w:rPr>
          <w:rFonts w:hint="eastAsia" w:eastAsia="宋体"/>
          <w:b/>
          <w:color w:val="auto"/>
          <w:highlight w:val="none"/>
          <w:lang w:eastAsia="zh-CN"/>
        </w:rPr>
      </w:pPr>
      <w:r>
        <w:rPr>
          <w:rFonts w:hint="eastAsia"/>
          <w:b/>
          <w:color w:val="auto"/>
          <w:highlight w:val="none"/>
        </w:rPr>
        <w:t>2、工程保险分标</w:t>
      </w:r>
    </w:p>
    <w:p>
      <w:pPr>
        <w:spacing w:line="360" w:lineRule="exact"/>
        <w:ind w:firstLine="422" w:firstLineChars="200"/>
        <w:rPr>
          <w:b/>
          <w:color w:val="auto"/>
          <w:highlight w:val="none"/>
        </w:rPr>
      </w:pPr>
      <w:r>
        <w:rPr>
          <w:b/>
          <w:color w:val="auto"/>
          <w:highlight w:val="none"/>
        </w:rPr>
        <w:t>（1）</w:t>
      </w:r>
      <w:r>
        <w:rPr>
          <w:rFonts w:hint="eastAsia"/>
          <w:b/>
          <w:color w:val="auto"/>
          <w:highlight w:val="none"/>
        </w:rPr>
        <w:t>工程</w:t>
      </w:r>
      <w:r>
        <w:rPr>
          <w:b/>
          <w:color w:val="auto"/>
          <w:highlight w:val="none"/>
        </w:rPr>
        <w:t>承保经验</w:t>
      </w:r>
    </w:p>
    <w:p>
      <w:pPr>
        <w:spacing w:line="360" w:lineRule="exact"/>
        <w:ind w:firstLine="422" w:firstLineChars="200"/>
        <w:rPr>
          <w:b/>
          <w:color w:val="auto"/>
          <w:highlight w:val="none"/>
        </w:rPr>
      </w:pPr>
      <w:r>
        <w:rPr>
          <w:b/>
          <w:color w:val="auto"/>
          <w:highlight w:val="none"/>
        </w:rPr>
        <w:t>（工程保险）</w:t>
      </w:r>
    </w:p>
    <w:p>
      <w:pPr>
        <w:widowControl/>
        <w:spacing w:line="360" w:lineRule="auto"/>
        <w:ind w:firstLine="420"/>
        <w:rPr>
          <w:color w:val="auto"/>
          <w:kern w:val="0"/>
          <w:szCs w:val="21"/>
          <w:highlight w:val="none"/>
        </w:rPr>
      </w:pPr>
      <w:r>
        <w:rPr>
          <w:rFonts w:hint="eastAsia"/>
          <w:color w:val="auto"/>
          <w:kern w:val="0"/>
          <w:szCs w:val="21"/>
          <w:highlight w:val="none"/>
        </w:rPr>
        <w:t>列示</w:t>
      </w:r>
      <w:r>
        <w:rPr>
          <w:color w:val="auto"/>
          <w:szCs w:val="21"/>
          <w:highlight w:val="none"/>
        </w:rPr>
        <w:t>电力</w:t>
      </w:r>
      <w:r>
        <w:rPr>
          <w:rFonts w:hint="eastAsia"/>
          <w:color w:val="auto"/>
          <w:kern w:val="0"/>
          <w:szCs w:val="21"/>
          <w:highlight w:val="none"/>
        </w:rPr>
        <w:t>工程保险项目承保经验，格式见下表，包括但不限于以下内容</w:t>
      </w:r>
      <w:r>
        <w:rPr>
          <w:color w:val="auto"/>
          <w:kern w:val="0"/>
          <w:szCs w:val="21"/>
          <w:highlight w:val="none"/>
        </w:rPr>
        <w:t>。</w:t>
      </w:r>
    </w:p>
    <w:p>
      <w:pPr>
        <w:widowControl/>
        <w:jc w:val="right"/>
        <w:rPr>
          <w:b/>
          <w:bCs/>
          <w:color w:val="auto"/>
          <w:kern w:val="0"/>
          <w:szCs w:val="21"/>
          <w:highlight w:val="none"/>
        </w:rPr>
      </w:pPr>
      <w:r>
        <w:rPr>
          <w:rFonts w:hint="eastAsia"/>
          <w:color w:val="auto"/>
          <w:kern w:val="0"/>
          <w:szCs w:val="21"/>
          <w:highlight w:val="none"/>
        </w:rPr>
        <w:t xml:space="preserve"> 货币单位：亿元</w:t>
      </w:r>
    </w:p>
    <w:tbl>
      <w:tblPr>
        <w:tblStyle w:val="19"/>
        <w:tblpPr w:leftFromText="180" w:rightFromText="180" w:vertAnchor="text" w:horzAnchor="page" w:tblpX="1194" w:tblpY="3"/>
        <w:tblW w:w="9750" w:type="dxa"/>
        <w:tblInd w:w="0" w:type="dxa"/>
        <w:tblLayout w:type="fixed"/>
        <w:tblCellMar>
          <w:top w:w="0" w:type="dxa"/>
          <w:left w:w="108" w:type="dxa"/>
          <w:bottom w:w="0" w:type="dxa"/>
          <w:right w:w="108" w:type="dxa"/>
        </w:tblCellMar>
      </w:tblPr>
      <w:tblGrid>
        <w:gridCol w:w="769"/>
        <w:gridCol w:w="1201"/>
        <w:gridCol w:w="1515"/>
        <w:gridCol w:w="1740"/>
        <w:gridCol w:w="1400"/>
        <w:gridCol w:w="1475"/>
        <w:gridCol w:w="1650"/>
      </w:tblGrid>
      <w:tr>
        <w:tblPrEx>
          <w:tblCellMar>
            <w:top w:w="0" w:type="dxa"/>
            <w:left w:w="108" w:type="dxa"/>
            <w:bottom w:w="0" w:type="dxa"/>
            <w:right w:w="108" w:type="dxa"/>
          </w:tblCellMar>
        </w:tblPrEx>
        <w:trPr>
          <w:trHeight w:val="233" w:hRule="atLeast"/>
        </w:trPr>
        <w:tc>
          <w:tcPr>
            <w:tcW w:w="9750" w:type="dxa"/>
            <w:gridSpan w:val="7"/>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rFonts w:hint="eastAsia"/>
                <w:color w:val="auto"/>
                <w:szCs w:val="21"/>
                <w:highlight w:val="none"/>
              </w:rPr>
              <w:t>电力</w:t>
            </w:r>
            <w:r>
              <w:rPr>
                <w:color w:val="auto"/>
                <w:szCs w:val="21"/>
                <w:highlight w:val="none"/>
              </w:rPr>
              <w:t>工程承保经验</w:t>
            </w:r>
          </w:p>
        </w:tc>
      </w:tr>
      <w:tr>
        <w:tblPrEx>
          <w:tblCellMar>
            <w:top w:w="0" w:type="dxa"/>
            <w:left w:w="108" w:type="dxa"/>
            <w:bottom w:w="0" w:type="dxa"/>
            <w:right w:w="108" w:type="dxa"/>
          </w:tblCellMar>
        </w:tblPrEx>
        <w:trPr>
          <w:trHeight w:val="184" w:hRule="atLeast"/>
        </w:trPr>
        <w:tc>
          <w:tcPr>
            <w:tcW w:w="76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rFonts w:hint="eastAsia"/>
                <w:color w:val="auto"/>
                <w:kern w:val="0"/>
                <w:szCs w:val="21"/>
                <w:highlight w:val="none"/>
              </w:rPr>
              <w:t>序号</w:t>
            </w:r>
          </w:p>
        </w:tc>
        <w:tc>
          <w:tcPr>
            <w:tcW w:w="120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项目名称</w:t>
            </w:r>
          </w:p>
        </w:tc>
        <w:tc>
          <w:tcPr>
            <w:tcW w:w="1515"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投保人</w:t>
            </w:r>
          </w:p>
        </w:tc>
        <w:tc>
          <w:tcPr>
            <w:tcW w:w="17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保险期限</w:t>
            </w:r>
          </w:p>
        </w:tc>
        <w:tc>
          <w:tcPr>
            <w:tcW w:w="140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保险金额</w:t>
            </w:r>
            <w:r>
              <w:rPr>
                <w:rFonts w:hint="eastAsia"/>
                <w:color w:val="auto"/>
                <w:kern w:val="0"/>
                <w:szCs w:val="21"/>
                <w:highlight w:val="none"/>
              </w:rPr>
              <w:t xml:space="preserve">  </w:t>
            </w:r>
            <w:r>
              <w:rPr>
                <w:color w:val="auto"/>
                <w:kern w:val="0"/>
                <w:szCs w:val="21"/>
                <w:highlight w:val="none"/>
              </w:rPr>
              <w:t>A</w:t>
            </w:r>
          </w:p>
        </w:tc>
        <w:tc>
          <w:tcPr>
            <w:tcW w:w="1475"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承保份额</w:t>
            </w:r>
            <w:r>
              <w:rPr>
                <w:rFonts w:hint="eastAsia"/>
                <w:color w:val="auto"/>
                <w:kern w:val="0"/>
                <w:szCs w:val="21"/>
                <w:highlight w:val="none"/>
              </w:rPr>
              <w:t xml:space="preserve">  </w:t>
            </w:r>
            <w:r>
              <w:rPr>
                <w:color w:val="auto"/>
                <w:kern w:val="0"/>
                <w:szCs w:val="21"/>
                <w:highlight w:val="none"/>
              </w:rPr>
              <w:t>B</w:t>
            </w:r>
          </w:p>
        </w:tc>
        <w:tc>
          <w:tcPr>
            <w:tcW w:w="165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承保保额C=A*B</w:t>
            </w:r>
          </w:p>
        </w:tc>
      </w:tr>
      <w:tr>
        <w:tblPrEx>
          <w:tblCellMar>
            <w:top w:w="0" w:type="dxa"/>
            <w:left w:w="108" w:type="dxa"/>
            <w:bottom w:w="0" w:type="dxa"/>
            <w:right w:w="108" w:type="dxa"/>
          </w:tblCellMar>
        </w:tblPrEx>
        <w:trPr>
          <w:trHeight w:val="309" w:hRule="atLeast"/>
        </w:trPr>
        <w:tc>
          <w:tcPr>
            <w:tcW w:w="769"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rPr>
                <w:color w:val="auto"/>
                <w:kern w:val="0"/>
                <w:szCs w:val="21"/>
                <w:highlight w:val="none"/>
              </w:rPr>
            </w:pPr>
            <w:r>
              <w:rPr>
                <w:rFonts w:hint="eastAsia"/>
                <w:color w:val="auto"/>
                <w:kern w:val="0"/>
                <w:szCs w:val="21"/>
                <w:highlight w:val="none"/>
              </w:rPr>
              <w:t>1</w:t>
            </w:r>
          </w:p>
        </w:tc>
        <w:tc>
          <w:tcPr>
            <w:tcW w:w="1201"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515"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74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40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475"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65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r>
      <w:tr>
        <w:tblPrEx>
          <w:tblCellMar>
            <w:top w:w="0" w:type="dxa"/>
            <w:left w:w="108" w:type="dxa"/>
            <w:bottom w:w="0" w:type="dxa"/>
            <w:right w:w="108" w:type="dxa"/>
          </w:tblCellMar>
        </w:tblPrEx>
        <w:trPr>
          <w:trHeight w:val="134" w:hRule="atLeast"/>
        </w:trPr>
        <w:tc>
          <w:tcPr>
            <w:tcW w:w="769"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rPr>
                <w:color w:val="auto"/>
                <w:kern w:val="0"/>
                <w:szCs w:val="21"/>
                <w:highlight w:val="none"/>
              </w:rPr>
            </w:pPr>
            <w:r>
              <w:rPr>
                <w:rFonts w:hint="eastAsia"/>
                <w:color w:val="auto"/>
                <w:kern w:val="0"/>
                <w:szCs w:val="21"/>
                <w:highlight w:val="none"/>
              </w:rPr>
              <w:t>2</w:t>
            </w:r>
          </w:p>
        </w:tc>
        <w:tc>
          <w:tcPr>
            <w:tcW w:w="1201"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515"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74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40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475"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65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r>
      <w:tr>
        <w:tblPrEx>
          <w:tblCellMar>
            <w:top w:w="0" w:type="dxa"/>
            <w:left w:w="108" w:type="dxa"/>
            <w:bottom w:w="0" w:type="dxa"/>
            <w:right w:w="108" w:type="dxa"/>
          </w:tblCellMar>
        </w:tblPrEx>
        <w:trPr>
          <w:trHeight w:val="146" w:hRule="atLeast"/>
        </w:trPr>
        <w:tc>
          <w:tcPr>
            <w:tcW w:w="769"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rPr>
                <w:color w:val="auto"/>
                <w:kern w:val="0"/>
                <w:szCs w:val="21"/>
                <w:highlight w:val="none"/>
              </w:rPr>
            </w:pPr>
            <w:r>
              <w:rPr>
                <w:rFonts w:hint="eastAsia"/>
                <w:color w:val="auto"/>
                <w:kern w:val="0"/>
                <w:szCs w:val="21"/>
                <w:highlight w:val="none"/>
              </w:rPr>
              <w:t>3</w:t>
            </w:r>
          </w:p>
        </w:tc>
        <w:tc>
          <w:tcPr>
            <w:tcW w:w="1201"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515"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74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40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475"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65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r>
      <w:tr>
        <w:tblPrEx>
          <w:tblCellMar>
            <w:top w:w="0" w:type="dxa"/>
            <w:left w:w="108" w:type="dxa"/>
            <w:bottom w:w="0" w:type="dxa"/>
            <w:right w:w="108" w:type="dxa"/>
          </w:tblCellMar>
        </w:tblPrEx>
        <w:trPr>
          <w:trHeight w:val="144" w:hRule="atLeast"/>
        </w:trPr>
        <w:tc>
          <w:tcPr>
            <w:tcW w:w="769"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c>
          <w:tcPr>
            <w:tcW w:w="1201"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rPr>
                <w:color w:val="auto"/>
                <w:kern w:val="0"/>
                <w:szCs w:val="21"/>
                <w:highlight w:val="none"/>
              </w:rPr>
            </w:pPr>
            <w:r>
              <w:rPr>
                <w:color w:val="auto"/>
                <w:kern w:val="0"/>
                <w:szCs w:val="21"/>
                <w:highlight w:val="none"/>
              </w:rPr>
              <w:t>...</w:t>
            </w:r>
          </w:p>
        </w:tc>
        <w:tc>
          <w:tcPr>
            <w:tcW w:w="1515"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r>
              <w:rPr>
                <w:color w:val="auto"/>
                <w:kern w:val="0"/>
                <w:szCs w:val="21"/>
                <w:highlight w:val="none"/>
              </w:rPr>
              <w:t>...</w:t>
            </w:r>
          </w:p>
        </w:tc>
        <w:tc>
          <w:tcPr>
            <w:tcW w:w="174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r>
              <w:rPr>
                <w:color w:val="auto"/>
                <w:kern w:val="0"/>
                <w:szCs w:val="21"/>
                <w:highlight w:val="none"/>
              </w:rPr>
              <w:t>...</w:t>
            </w:r>
          </w:p>
        </w:tc>
        <w:tc>
          <w:tcPr>
            <w:tcW w:w="140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r>
              <w:rPr>
                <w:color w:val="auto"/>
                <w:kern w:val="0"/>
                <w:szCs w:val="21"/>
                <w:highlight w:val="none"/>
              </w:rPr>
              <w:t>...</w:t>
            </w:r>
          </w:p>
        </w:tc>
        <w:tc>
          <w:tcPr>
            <w:tcW w:w="1475"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r>
              <w:rPr>
                <w:color w:val="auto"/>
                <w:kern w:val="0"/>
                <w:szCs w:val="21"/>
                <w:highlight w:val="none"/>
              </w:rPr>
              <w:t>...</w:t>
            </w:r>
          </w:p>
        </w:tc>
        <w:tc>
          <w:tcPr>
            <w:tcW w:w="1650" w:type="dxa"/>
            <w:tcBorders>
              <w:top w:val="single" w:color="000000" w:sz="4" w:space="0"/>
              <w:left w:val="nil"/>
              <w:bottom w:val="single" w:color="000000" w:sz="4" w:space="0"/>
              <w:right w:val="single" w:color="000000" w:sz="4" w:space="0"/>
            </w:tcBorders>
            <w:vAlign w:val="center"/>
          </w:tcPr>
          <w:p>
            <w:pPr>
              <w:widowControl/>
              <w:spacing w:line="360" w:lineRule="auto"/>
              <w:jc w:val="center"/>
              <w:rPr>
                <w:color w:val="auto"/>
                <w:kern w:val="0"/>
                <w:szCs w:val="21"/>
                <w:highlight w:val="none"/>
              </w:rPr>
            </w:pPr>
          </w:p>
        </w:tc>
      </w:tr>
    </w:tbl>
    <w:p>
      <w:pPr>
        <w:widowControl/>
        <w:ind w:firstLine="420"/>
        <w:rPr>
          <w:b/>
          <w:bCs/>
          <w:color w:val="auto"/>
          <w:kern w:val="0"/>
          <w:szCs w:val="21"/>
          <w:highlight w:val="none"/>
        </w:rPr>
      </w:pPr>
      <w:r>
        <w:rPr>
          <w:b/>
          <w:bCs/>
          <w:color w:val="auto"/>
          <w:kern w:val="0"/>
          <w:szCs w:val="21"/>
          <w:highlight w:val="none"/>
        </w:rPr>
        <w:t>注：1.对于业绩统计，应出具保险合同原件（包括封面、签章页和包含保险金额和承保份额的合同页）的扫描件件及其他证明材料（合同内容只含有招标公告要求提供的部分内容时，需提供的其他证明材料）。</w:t>
      </w:r>
    </w:p>
    <w:p>
      <w:pPr>
        <w:pStyle w:val="5"/>
        <w:ind w:firstLine="843" w:firstLineChars="400"/>
        <w:jc w:val="left"/>
        <w:rPr>
          <w:b/>
          <w:bCs/>
          <w:color w:val="auto"/>
          <w:kern w:val="0"/>
          <w:szCs w:val="21"/>
          <w:highlight w:val="none"/>
        </w:rPr>
      </w:pPr>
      <w:r>
        <w:rPr>
          <w:b/>
          <w:bCs/>
          <w:color w:val="auto"/>
          <w:kern w:val="0"/>
          <w:szCs w:val="21"/>
          <w:highlight w:val="none"/>
        </w:rPr>
        <w:t>2.按照承保保额从高到低列示。</w:t>
      </w:r>
    </w:p>
    <w:p>
      <w:pPr>
        <w:pStyle w:val="5"/>
        <w:ind w:firstLine="843" w:firstLineChars="400"/>
        <w:jc w:val="left"/>
        <w:rPr>
          <w:b/>
          <w:bCs/>
          <w:color w:val="auto"/>
          <w:kern w:val="0"/>
          <w:szCs w:val="21"/>
          <w:highlight w:val="none"/>
        </w:rPr>
      </w:pPr>
      <w:r>
        <w:rPr>
          <w:rFonts w:hint="eastAsia"/>
          <w:b/>
          <w:bCs/>
          <w:color w:val="auto"/>
          <w:kern w:val="0"/>
          <w:szCs w:val="21"/>
          <w:highlight w:val="none"/>
        </w:rPr>
        <w:t>3.项目数量不超过30个。</w:t>
      </w:r>
    </w:p>
    <w:p>
      <w:pPr>
        <w:widowControl/>
        <w:ind w:left="105" w:leftChars="50" w:firstLine="312" w:firstLineChars="149"/>
        <w:rPr>
          <w:b/>
          <w:color w:val="auto"/>
          <w:highlight w:val="none"/>
        </w:rPr>
      </w:pPr>
      <w:r>
        <w:rPr>
          <w:color w:val="auto"/>
          <w:szCs w:val="21"/>
          <w:highlight w:val="none"/>
        </w:rPr>
        <w:br w:type="page"/>
      </w:r>
      <w:r>
        <w:rPr>
          <w:b/>
          <w:color w:val="auto"/>
          <w:highlight w:val="none"/>
        </w:rPr>
        <w:t>（2）</w:t>
      </w:r>
      <w:r>
        <w:rPr>
          <w:rFonts w:hint="eastAsia"/>
          <w:b/>
          <w:color w:val="auto"/>
          <w:highlight w:val="none"/>
        </w:rPr>
        <w:t>工程</w:t>
      </w:r>
      <w:r>
        <w:rPr>
          <w:b/>
          <w:color w:val="auto"/>
          <w:highlight w:val="none"/>
        </w:rPr>
        <w:t>理赔经验</w:t>
      </w:r>
    </w:p>
    <w:p>
      <w:pPr>
        <w:adjustRightInd w:val="0"/>
        <w:snapToGrid w:val="0"/>
        <w:ind w:firstLine="315" w:firstLineChars="150"/>
        <w:rPr>
          <w:color w:val="auto"/>
          <w:szCs w:val="21"/>
          <w:highlight w:val="none"/>
        </w:rPr>
      </w:pPr>
      <w:r>
        <w:rPr>
          <w:rFonts w:hint="eastAsia"/>
          <w:color w:val="auto"/>
          <w:szCs w:val="21"/>
          <w:highlight w:val="none"/>
        </w:rPr>
        <w:t>列示电力工程保险理赔经验，格式见下表，包括但不限于以下内容。</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7"/>
        <w:gridCol w:w="1020"/>
        <w:gridCol w:w="1093"/>
        <w:gridCol w:w="1200"/>
        <w:gridCol w:w="948"/>
        <w:gridCol w:w="858"/>
        <w:gridCol w:w="1098"/>
        <w:gridCol w:w="765"/>
        <w:gridCol w:w="1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8867" w:type="dxa"/>
            <w:gridSpan w:val="9"/>
            <w:vAlign w:val="center"/>
          </w:tcPr>
          <w:p>
            <w:pPr>
              <w:spacing w:line="360" w:lineRule="auto"/>
              <w:jc w:val="center"/>
              <w:rPr>
                <w:color w:val="auto"/>
                <w:szCs w:val="21"/>
                <w:highlight w:val="none"/>
              </w:rPr>
            </w:pPr>
            <w:r>
              <w:rPr>
                <w:rFonts w:hint="eastAsia"/>
                <w:color w:val="auto"/>
                <w:szCs w:val="21"/>
                <w:highlight w:val="none"/>
              </w:rPr>
              <w:t>电力</w:t>
            </w:r>
            <w:r>
              <w:rPr>
                <w:color w:val="auto"/>
                <w:szCs w:val="21"/>
                <w:highlight w:val="none"/>
              </w:rPr>
              <w:t>工程理赔经验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777" w:type="dxa"/>
            <w:vAlign w:val="center"/>
          </w:tcPr>
          <w:p>
            <w:pPr>
              <w:jc w:val="center"/>
              <w:rPr>
                <w:color w:val="auto"/>
                <w:szCs w:val="21"/>
                <w:highlight w:val="none"/>
              </w:rPr>
            </w:pPr>
            <w:r>
              <w:rPr>
                <w:color w:val="auto"/>
                <w:szCs w:val="21"/>
                <w:highlight w:val="none"/>
              </w:rPr>
              <w:t>序号</w:t>
            </w:r>
          </w:p>
        </w:tc>
        <w:tc>
          <w:tcPr>
            <w:tcW w:w="1020" w:type="dxa"/>
            <w:vAlign w:val="center"/>
          </w:tcPr>
          <w:p>
            <w:pPr>
              <w:jc w:val="center"/>
              <w:rPr>
                <w:color w:val="auto"/>
                <w:szCs w:val="21"/>
                <w:highlight w:val="none"/>
              </w:rPr>
            </w:pPr>
            <w:r>
              <w:rPr>
                <w:color w:val="auto"/>
                <w:szCs w:val="21"/>
                <w:highlight w:val="none"/>
              </w:rPr>
              <w:t>项目名称</w:t>
            </w:r>
          </w:p>
        </w:tc>
        <w:tc>
          <w:tcPr>
            <w:tcW w:w="1093" w:type="dxa"/>
            <w:vAlign w:val="center"/>
          </w:tcPr>
          <w:p>
            <w:pPr>
              <w:jc w:val="center"/>
              <w:rPr>
                <w:color w:val="auto"/>
                <w:szCs w:val="21"/>
                <w:highlight w:val="none"/>
              </w:rPr>
            </w:pPr>
            <w:r>
              <w:rPr>
                <w:color w:val="auto"/>
                <w:szCs w:val="21"/>
                <w:highlight w:val="none"/>
              </w:rPr>
              <w:t>被保险人</w:t>
            </w:r>
          </w:p>
        </w:tc>
        <w:tc>
          <w:tcPr>
            <w:tcW w:w="1200" w:type="dxa"/>
            <w:vAlign w:val="center"/>
          </w:tcPr>
          <w:p>
            <w:pPr>
              <w:jc w:val="center"/>
              <w:rPr>
                <w:color w:val="auto"/>
                <w:szCs w:val="21"/>
                <w:highlight w:val="none"/>
              </w:rPr>
            </w:pPr>
            <w:r>
              <w:rPr>
                <w:color w:val="auto"/>
                <w:szCs w:val="21"/>
                <w:highlight w:val="none"/>
              </w:rPr>
              <w:t>索赔金额</w:t>
            </w:r>
            <w:r>
              <w:rPr>
                <w:rFonts w:hint="eastAsia"/>
                <w:color w:val="auto"/>
                <w:szCs w:val="21"/>
                <w:highlight w:val="none"/>
              </w:rPr>
              <w:t>（万元）</w:t>
            </w:r>
          </w:p>
        </w:tc>
        <w:tc>
          <w:tcPr>
            <w:tcW w:w="948" w:type="dxa"/>
            <w:vAlign w:val="center"/>
          </w:tcPr>
          <w:p>
            <w:pPr>
              <w:jc w:val="center"/>
              <w:rPr>
                <w:color w:val="auto"/>
                <w:szCs w:val="21"/>
                <w:highlight w:val="none"/>
              </w:rPr>
            </w:pPr>
            <w:r>
              <w:rPr>
                <w:color w:val="auto"/>
                <w:szCs w:val="21"/>
                <w:highlight w:val="none"/>
              </w:rPr>
              <w:t>出险原因</w:t>
            </w:r>
          </w:p>
        </w:tc>
        <w:tc>
          <w:tcPr>
            <w:tcW w:w="858" w:type="dxa"/>
            <w:vAlign w:val="center"/>
          </w:tcPr>
          <w:p>
            <w:pPr>
              <w:jc w:val="center"/>
              <w:rPr>
                <w:color w:val="auto"/>
                <w:szCs w:val="21"/>
                <w:highlight w:val="none"/>
              </w:rPr>
            </w:pPr>
            <w:r>
              <w:rPr>
                <w:color w:val="auto"/>
                <w:szCs w:val="21"/>
                <w:highlight w:val="none"/>
              </w:rPr>
              <w:t>报案时间</w:t>
            </w:r>
          </w:p>
        </w:tc>
        <w:tc>
          <w:tcPr>
            <w:tcW w:w="1098" w:type="dxa"/>
            <w:vAlign w:val="center"/>
          </w:tcPr>
          <w:p>
            <w:pPr>
              <w:jc w:val="center"/>
              <w:rPr>
                <w:color w:val="auto"/>
                <w:szCs w:val="21"/>
                <w:highlight w:val="none"/>
              </w:rPr>
            </w:pPr>
            <w:r>
              <w:rPr>
                <w:color w:val="auto"/>
                <w:szCs w:val="21"/>
                <w:highlight w:val="none"/>
              </w:rPr>
              <w:t>赔付金额</w:t>
            </w:r>
            <w:r>
              <w:rPr>
                <w:rFonts w:hint="eastAsia"/>
                <w:color w:val="auto"/>
                <w:szCs w:val="21"/>
                <w:highlight w:val="none"/>
              </w:rPr>
              <w:t>（万元）</w:t>
            </w:r>
          </w:p>
        </w:tc>
        <w:tc>
          <w:tcPr>
            <w:tcW w:w="765" w:type="dxa"/>
            <w:vAlign w:val="center"/>
          </w:tcPr>
          <w:p>
            <w:pPr>
              <w:jc w:val="center"/>
              <w:rPr>
                <w:color w:val="auto"/>
                <w:szCs w:val="21"/>
                <w:highlight w:val="none"/>
              </w:rPr>
            </w:pPr>
            <w:r>
              <w:rPr>
                <w:color w:val="auto"/>
                <w:szCs w:val="21"/>
                <w:highlight w:val="none"/>
              </w:rPr>
              <w:t>赔付时间</w:t>
            </w:r>
          </w:p>
        </w:tc>
        <w:tc>
          <w:tcPr>
            <w:tcW w:w="1108" w:type="dxa"/>
            <w:vAlign w:val="center"/>
          </w:tcPr>
          <w:p>
            <w:pPr>
              <w:jc w:val="center"/>
              <w:rPr>
                <w:color w:val="auto"/>
                <w:szCs w:val="21"/>
                <w:highlight w:val="none"/>
              </w:rPr>
            </w:pPr>
            <w:r>
              <w:rPr>
                <w:color w:val="auto"/>
                <w:szCs w:val="21"/>
                <w:highlight w:val="none"/>
              </w:rPr>
              <w:t>主承保/共保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777" w:type="dxa"/>
            <w:vAlign w:val="center"/>
          </w:tcPr>
          <w:p>
            <w:pPr>
              <w:jc w:val="center"/>
              <w:rPr>
                <w:color w:val="auto"/>
                <w:szCs w:val="21"/>
                <w:highlight w:val="none"/>
              </w:rPr>
            </w:pPr>
            <w:r>
              <w:rPr>
                <w:color w:val="auto"/>
                <w:szCs w:val="21"/>
                <w:highlight w:val="none"/>
              </w:rPr>
              <w:t>1</w:t>
            </w:r>
          </w:p>
        </w:tc>
        <w:tc>
          <w:tcPr>
            <w:tcW w:w="1020" w:type="dxa"/>
            <w:vAlign w:val="center"/>
          </w:tcPr>
          <w:p>
            <w:pPr>
              <w:jc w:val="center"/>
              <w:rPr>
                <w:color w:val="auto"/>
                <w:szCs w:val="21"/>
                <w:highlight w:val="none"/>
              </w:rPr>
            </w:pPr>
          </w:p>
        </w:tc>
        <w:tc>
          <w:tcPr>
            <w:tcW w:w="1093" w:type="dxa"/>
            <w:vAlign w:val="center"/>
          </w:tcPr>
          <w:p>
            <w:pPr>
              <w:jc w:val="center"/>
              <w:rPr>
                <w:color w:val="auto"/>
                <w:szCs w:val="21"/>
                <w:highlight w:val="none"/>
              </w:rPr>
            </w:pPr>
          </w:p>
        </w:tc>
        <w:tc>
          <w:tcPr>
            <w:tcW w:w="1200" w:type="dxa"/>
            <w:vAlign w:val="center"/>
          </w:tcPr>
          <w:p>
            <w:pPr>
              <w:jc w:val="center"/>
              <w:rPr>
                <w:color w:val="auto"/>
                <w:szCs w:val="21"/>
                <w:highlight w:val="none"/>
              </w:rPr>
            </w:pPr>
          </w:p>
        </w:tc>
        <w:tc>
          <w:tcPr>
            <w:tcW w:w="948" w:type="dxa"/>
            <w:vAlign w:val="center"/>
          </w:tcPr>
          <w:p>
            <w:pPr>
              <w:jc w:val="center"/>
              <w:rPr>
                <w:color w:val="auto"/>
                <w:szCs w:val="21"/>
                <w:highlight w:val="none"/>
              </w:rPr>
            </w:pPr>
          </w:p>
        </w:tc>
        <w:tc>
          <w:tcPr>
            <w:tcW w:w="858" w:type="dxa"/>
            <w:vAlign w:val="center"/>
          </w:tcPr>
          <w:p>
            <w:pPr>
              <w:jc w:val="center"/>
              <w:rPr>
                <w:color w:val="auto"/>
                <w:szCs w:val="21"/>
                <w:highlight w:val="none"/>
              </w:rPr>
            </w:pPr>
          </w:p>
        </w:tc>
        <w:tc>
          <w:tcPr>
            <w:tcW w:w="1098" w:type="dxa"/>
            <w:vAlign w:val="center"/>
          </w:tcPr>
          <w:p>
            <w:pPr>
              <w:jc w:val="center"/>
              <w:rPr>
                <w:color w:val="auto"/>
                <w:szCs w:val="21"/>
                <w:highlight w:val="none"/>
              </w:rPr>
            </w:pPr>
          </w:p>
        </w:tc>
        <w:tc>
          <w:tcPr>
            <w:tcW w:w="765" w:type="dxa"/>
            <w:vAlign w:val="center"/>
          </w:tcPr>
          <w:p>
            <w:pPr>
              <w:jc w:val="center"/>
              <w:rPr>
                <w:color w:val="auto"/>
                <w:szCs w:val="21"/>
                <w:highlight w:val="none"/>
              </w:rPr>
            </w:pPr>
          </w:p>
        </w:tc>
        <w:tc>
          <w:tcPr>
            <w:tcW w:w="1108" w:type="dxa"/>
            <w:vAlign w:val="center"/>
          </w:tcPr>
          <w:p>
            <w:pPr>
              <w:jc w:val="center"/>
              <w:rPr>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777" w:type="dxa"/>
            <w:vAlign w:val="center"/>
          </w:tcPr>
          <w:p>
            <w:pPr>
              <w:jc w:val="center"/>
              <w:rPr>
                <w:color w:val="auto"/>
                <w:szCs w:val="21"/>
                <w:highlight w:val="none"/>
              </w:rPr>
            </w:pPr>
            <w:r>
              <w:rPr>
                <w:rFonts w:hint="eastAsia"/>
                <w:color w:val="auto"/>
                <w:szCs w:val="21"/>
                <w:highlight w:val="none"/>
              </w:rPr>
              <w:t>2</w:t>
            </w:r>
          </w:p>
        </w:tc>
        <w:tc>
          <w:tcPr>
            <w:tcW w:w="1020" w:type="dxa"/>
            <w:vAlign w:val="center"/>
          </w:tcPr>
          <w:p>
            <w:pPr>
              <w:jc w:val="center"/>
              <w:rPr>
                <w:color w:val="auto"/>
                <w:szCs w:val="21"/>
                <w:highlight w:val="none"/>
              </w:rPr>
            </w:pPr>
          </w:p>
        </w:tc>
        <w:tc>
          <w:tcPr>
            <w:tcW w:w="1093" w:type="dxa"/>
            <w:vAlign w:val="center"/>
          </w:tcPr>
          <w:p>
            <w:pPr>
              <w:jc w:val="center"/>
              <w:rPr>
                <w:color w:val="auto"/>
                <w:szCs w:val="21"/>
                <w:highlight w:val="none"/>
              </w:rPr>
            </w:pPr>
          </w:p>
        </w:tc>
        <w:tc>
          <w:tcPr>
            <w:tcW w:w="1200" w:type="dxa"/>
            <w:vAlign w:val="center"/>
          </w:tcPr>
          <w:p>
            <w:pPr>
              <w:jc w:val="center"/>
              <w:rPr>
                <w:color w:val="auto"/>
                <w:szCs w:val="21"/>
                <w:highlight w:val="none"/>
              </w:rPr>
            </w:pPr>
          </w:p>
        </w:tc>
        <w:tc>
          <w:tcPr>
            <w:tcW w:w="948" w:type="dxa"/>
            <w:vAlign w:val="center"/>
          </w:tcPr>
          <w:p>
            <w:pPr>
              <w:jc w:val="center"/>
              <w:rPr>
                <w:color w:val="auto"/>
                <w:szCs w:val="21"/>
                <w:highlight w:val="none"/>
              </w:rPr>
            </w:pPr>
          </w:p>
        </w:tc>
        <w:tc>
          <w:tcPr>
            <w:tcW w:w="858" w:type="dxa"/>
            <w:vAlign w:val="center"/>
          </w:tcPr>
          <w:p>
            <w:pPr>
              <w:jc w:val="center"/>
              <w:rPr>
                <w:color w:val="auto"/>
                <w:szCs w:val="21"/>
                <w:highlight w:val="none"/>
              </w:rPr>
            </w:pPr>
          </w:p>
        </w:tc>
        <w:tc>
          <w:tcPr>
            <w:tcW w:w="1098" w:type="dxa"/>
            <w:vAlign w:val="center"/>
          </w:tcPr>
          <w:p>
            <w:pPr>
              <w:jc w:val="center"/>
              <w:rPr>
                <w:color w:val="auto"/>
                <w:szCs w:val="21"/>
                <w:highlight w:val="none"/>
              </w:rPr>
            </w:pPr>
          </w:p>
        </w:tc>
        <w:tc>
          <w:tcPr>
            <w:tcW w:w="765" w:type="dxa"/>
            <w:vAlign w:val="center"/>
          </w:tcPr>
          <w:p>
            <w:pPr>
              <w:jc w:val="center"/>
              <w:rPr>
                <w:color w:val="auto"/>
                <w:szCs w:val="21"/>
                <w:highlight w:val="none"/>
              </w:rPr>
            </w:pPr>
          </w:p>
        </w:tc>
        <w:tc>
          <w:tcPr>
            <w:tcW w:w="1108" w:type="dxa"/>
            <w:vAlign w:val="center"/>
          </w:tcPr>
          <w:p>
            <w:pPr>
              <w:jc w:val="center"/>
              <w:rPr>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777" w:type="dxa"/>
            <w:vAlign w:val="center"/>
          </w:tcPr>
          <w:p>
            <w:pPr>
              <w:jc w:val="center"/>
              <w:rPr>
                <w:color w:val="auto"/>
                <w:szCs w:val="21"/>
                <w:highlight w:val="none"/>
              </w:rPr>
            </w:pPr>
            <w:r>
              <w:rPr>
                <w:rFonts w:hint="eastAsia"/>
                <w:color w:val="auto"/>
                <w:szCs w:val="21"/>
                <w:highlight w:val="none"/>
              </w:rPr>
              <w:t>3</w:t>
            </w:r>
          </w:p>
        </w:tc>
        <w:tc>
          <w:tcPr>
            <w:tcW w:w="1020" w:type="dxa"/>
            <w:vAlign w:val="center"/>
          </w:tcPr>
          <w:p>
            <w:pPr>
              <w:jc w:val="center"/>
              <w:rPr>
                <w:color w:val="auto"/>
                <w:szCs w:val="21"/>
                <w:highlight w:val="none"/>
              </w:rPr>
            </w:pPr>
          </w:p>
        </w:tc>
        <w:tc>
          <w:tcPr>
            <w:tcW w:w="1093" w:type="dxa"/>
            <w:vAlign w:val="center"/>
          </w:tcPr>
          <w:p>
            <w:pPr>
              <w:jc w:val="center"/>
              <w:rPr>
                <w:color w:val="auto"/>
                <w:szCs w:val="21"/>
                <w:highlight w:val="none"/>
              </w:rPr>
            </w:pPr>
          </w:p>
        </w:tc>
        <w:tc>
          <w:tcPr>
            <w:tcW w:w="1200" w:type="dxa"/>
            <w:vAlign w:val="center"/>
          </w:tcPr>
          <w:p>
            <w:pPr>
              <w:jc w:val="center"/>
              <w:rPr>
                <w:color w:val="auto"/>
                <w:szCs w:val="21"/>
                <w:highlight w:val="none"/>
              </w:rPr>
            </w:pPr>
          </w:p>
        </w:tc>
        <w:tc>
          <w:tcPr>
            <w:tcW w:w="948" w:type="dxa"/>
            <w:vAlign w:val="center"/>
          </w:tcPr>
          <w:p>
            <w:pPr>
              <w:jc w:val="center"/>
              <w:rPr>
                <w:color w:val="auto"/>
                <w:szCs w:val="21"/>
                <w:highlight w:val="none"/>
              </w:rPr>
            </w:pPr>
          </w:p>
        </w:tc>
        <w:tc>
          <w:tcPr>
            <w:tcW w:w="858" w:type="dxa"/>
            <w:vAlign w:val="center"/>
          </w:tcPr>
          <w:p>
            <w:pPr>
              <w:jc w:val="center"/>
              <w:rPr>
                <w:color w:val="auto"/>
                <w:szCs w:val="21"/>
                <w:highlight w:val="none"/>
              </w:rPr>
            </w:pPr>
          </w:p>
        </w:tc>
        <w:tc>
          <w:tcPr>
            <w:tcW w:w="1098" w:type="dxa"/>
            <w:vAlign w:val="center"/>
          </w:tcPr>
          <w:p>
            <w:pPr>
              <w:jc w:val="center"/>
              <w:rPr>
                <w:color w:val="auto"/>
                <w:szCs w:val="21"/>
                <w:highlight w:val="none"/>
              </w:rPr>
            </w:pPr>
          </w:p>
        </w:tc>
        <w:tc>
          <w:tcPr>
            <w:tcW w:w="765" w:type="dxa"/>
            <w:vAlign w:val="center"/>
          </w:tcPr>
          <w:p>
            <w:pPr>
              <w:jc w:val="center"/>
              <w:rPr>
                <w:color w:val="auto"/>
                <w:szCs w:val="21"/>
                <w:highlight w:val="none"/>
              </w:rPr>
            </w:pPr>
          </w:p>
        </w:tc>
        <w:tc>
          <w:tcPr>
            <w:tcW w:w="1108" w:type="dxa"/>
            <w:vAlign w:val="center"/>
          </w:tcPr>
          <w:p>
            <w:pPr>
              <w:jc w:val="center"/>
              <w:rPr>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777" w:type="dxa"/>
            <w:vAlign w:val="center"/>
          </w:tcPr>
          <w:p>
            <w:pPr>
              <w:jc w:val="center"/>
              <w:rPr>
                <w:color w:val="auto"/>
                <w:szCs w:val="21"/>
                <w:highlight w:val="none"/>
              </w:rPr>
            </w:pPr>
            <w:r>
              <w:rPr>
                <w:color w:val="auto"/>
                <w:szCs w:val="21"/>
                <w:highlight w:val="none"/>
              </w:rPr>
              <w:t>...</w:t>
            </w:r>
          </w:p>
        </w:tc>
        <w:tc>
          <w:tcPr>
            <w:tcW w:w="1020" w:type="dxa"/>
            <w:vAlign w:val="center"/>
          </w:tcPr>
          <w:p>
            <w:pPr>
              <w:jc w:val="center"/>
              <w:rPr>
                <w:color w:val="auto"/>
                <w:szCs w:val="21"/>
                <w:highlight w:val="none"/>
              </w:rPr>
            </w:pPr>
            <w:r>
              <w:rPr>
                <w:color w:val="auto"/>
                <w:szCs w:val="21"/>
                <w:highlight w:val="none"/>
              </w:rPr>
              <w:t>...</w:t>
            </w:r>
          </w:p>
        </w:tc>
        <w:tc>
          <w:tcPr>
            <w:tcW w:w="1093" w:type="dxa"/>
            <w:vAlign w:val="center"/>
          </w:tcPr>
          <w:p>
            <w:pPr>
              <w:jc w:val="center"/>
              <w:rPr>
                <w:color w:val="auto"/>
                <w:szCs w:val="21"/>
                <w:highlight w:val="none"/>
              </w:rPr>
            </w:pPr>
            <w:r>
              <w:rPr>
                <w:color w:val="auto"/>
                <w:szCs w:val="21"/>
                <w:highlight w:val="none"/>
              </w:rPr>
              <w:t>...</w:t>
            </w:r>
          </w:p>
        </w:tc>
        <w:tc>
          <w:tcPr>
            <w:tcW w:w="1200" w:type="dxa"/>
            <w:vAlign w:val="center"/>
          </w:tcPr>
          <w:p>
            <w:pPr>
              <w:jc w:val="center"/>
              <w:rPr>
                <w:color w:val="auto"/>
                <w:szCs w:val="21"/>
                <w:highlight w:val="none"/>
              </w:rPr>
            </w:pPr>
            <w:r>
              <w:rPr>
                <w:color w:val="auto"/>
                <w:szCs w:val="21"/>
                <w:highlight w:val="none"/>
              </w:rPr>
              <w:t>...</w:t>
            </w:r>
          </w:p>
        </w:tc>
        <w:tc>
          <w:tcPr>
            <w:tcW w:w="948" w:type="dxa"/>
            <w:vAlign w:val="center"/>
          </w:tcPr>
          <w:p>
            <w:pPr>
              <w:jc w:val="center"/>
              <w:rPr>
                <w:color w:val="auto"/>
                <w:szCs w:val="21"/>
                <w:highlight w:val="none"/>
              </w:rPr>
            </w:pPr>
            <w:r>
              <w:rPr>
                <w:color w:val="auto"/>
                <w:szCs w:val="21"/>
                <w:highlight w:val="none"/>
              </w:rPr>
              <w:t>...</w:t>
            </w:r>
          </w:p>
        </w:tc>
        <w:tc>
          <w:tcPr>
            <w:tcW w:w="858" w:type="dxa"/>
            <w:vAlign w:val="center"/>
          </w:tcPr>
          <w:p>
            <w:pPr>
              <w:jc w:val="center"/>
              <w:rPr>
                <w:color w:val="auto"/>
                <w:szCs w:val="21"/>
                <w:highlight w:val="none"/>
              </w:rPr>
            </w:pPr>
            <w:r>
              <w:rPr>
                <w:color w:val="auto"/>
                <w:szCs w:val="21"/>
                <w:highlight w:val="none"/>
              </w:rPr>
              <w:t>...</w:t>
            </w:r>
          </w:p>
        </w:tc>
        <w:tc>
          <w:tcPr>
            <w:tcW w:w="1098" w:type="dxa"/>
            <w:vAlign w:val="center"/>
          </w:tcPr>
          <w:p>
            <w:pPr>
              <w:jc w:val="center"/>
              <w:rPr>
                <w:color w:val="auto"/>
                <w:szCs w:val="21"/>
                <w:highlight w:val="none"/>
              </w:rPr>
            </w:pPr>
            <w:r>
              <w:rPr>
                <w:color w:val="auto"/>
                <w:szCs w:val="21"/>
                <w:highlight w:val="none"/>
              </w:rPr>
              <w:t>...</w:t>
            </w:r>
          </w:p>
        </w:tc>
        <w:tc>
          <w:tcPr>
            <w:tcW w:w="765" w:type="dxa"/>
            <w:vAlign w:val="center"/>
          </w:tcPr>
          <w:p>
            <w:pPr>
              <w:jc w:val="center"/>
              <w:rPr>
                <w:color w:val="auto"/>
                <w:szCs w:val="21"/>
                <w:highlight w:val="none"/>
              </w:rPr>
            </w:pPr>
            <w:r>
              <w:rPr>
                <w:color w:val="auto"/>
                <w:szCs w:val="21"/>
                <w:highlight w:val="none"/>
              </w:rPr>
              <w:t>...</w:t>
            </w:r>
          </w:p>
        </w:tc>
        <w:tc>
          <w:tcPr>
            <w:tcW w:w="1108" w:type="dxa"/>
            <w:vAlign w:val="center"/>
          </w:tcPr>
          <w:p>
            <w:pPr>
              <w:jc w:val="center"/>
              <w:rPr>
                <w:color w:val="auto"/>
                <w:szCs w:val="21"/>
                <w:highlight w:val="none"/>
              </w:rPr>
            </w:pPr>
            <w:r>
              <w:rPr>
                <w:color w:val="auto"/>
                <w:szCs w:val="21"/>
                <w:highlight w:val="none"/>
              </w:rPr>
              <w:t>...</w:t>
            </w:r>
          </w:p>
        </w:tc>
      </w:tr>
    </w:tbl>
    <w:p>
      <w:pPr>
        <w:adjustRightInd w:val="0"/>
        <w:snapToGrid w:val="0"/>
        <w:rPr>
          <w:b/>
          <w:bCs/>
          <w:color w:val="auto"/>
          <w:szCs w:val="21"/>
          <w:highlight w:val="none"/>
        </w:rPr>
      </w:pPr>
    </w:p>
    <w:p>
      <w:pPr>
        <w:adjustRightInd w:val="0"/>
        <w:snapToGrid w:val="0"/>
        <w:ind w:firstLine="316" w:firstLineChars="150"/>
        <w:rPr>
          <w:b/>
          <w:bCs/>
          <w:color w:val="auto"/>
          <w:szCs w:val="21"/>
          <w:highlight w:val="none"/>
        </w:rPr>
      </w:pPr>
      <w:r>
        <w:rPr>
          <w:b/>
          <w:bCs/>
          <w:color w:val="auto"/>
          <w:szCs w:val="21"/>
          <w:highlight w:val="none"/>
        </w:rPr>
        <w:t>注：1.</w:t>
      </w:r>
      <w:r>
        <w:rPr>
          <w:b/>
          <w:bCs/>
          <w:color w:val="auto"/>
          <w:kern w:val="0"/>
          <w:szCs w:val="21"/>
          <w:highlight w:val="none"/>
        </w:rPr>
        <w:t>对于业绩统计，</w:t>
      </w:r>
      <w:r>
        <w:rPr>
          <w:b/>
          <w:bCs/>
          <w:color w:val="auto"/>
          <w:szCs w:val="21"/>
          <w:highlight w:val="none"/>
        </w:rPr>
        <w:t>应提供赔款计算书及支付凭证复印件等证明文件。</w:t>
      </w:r>
    </w:p>
    <w:p>
      <w:pPr>
        <w:pStyle w:val="5"/>
        <w:ind w:firstLine="422" w:firstLineChars="200"/>
        <w:rPr>
          <w:b/>
          <w:bCs/>
          <w:color w:val="auto"/>
          <w:szCs w:val="21"/>
          <w:highlight w:val="none"/>
        </w:rPr>
      </w:pPr>
      <w:r>
        <w:rPr>
          <w:b/>
          <w:bCs/>
          <w:color w:val="auto"/>
          <w:szCs w:val="21"/>
          <w:highlight w:val="none"/>
        </w:rPr>
        <w:t xml:space="preserve">   </w:t>
      </w:r>
      <w:r>
        <w:rPr>
          <w:rFonts w:hint="eastAsia" w:ascii="宋体" w:hAnsi="宋体" w:cs="宋体"/>
          <w:b/>
          <w:bCs/>
          <w:color w:val="auto"/>
          <w:szCs w:val="21"/>
          <w:highlight w:val="none"/>
        </w:rPr>
        <w:t>2.报案日期指被保险人向保险公司报案的日期，赔付日期指保险公司支付赔款的日期，赔付周期是指接到报案日期与赔付日期之间的间隔，以天为单位。</w:t>
      </w:r>
    </w:p>
    <w:p>
      <w:pPr>
        <w:pStyle w:val="5"/>
        <w:ind w:firstLine="843" w:firstLineChars="400"/>
        <w:rPr>
          <w:b/>
          <w:bCs/>
          <w:color w:val="auto"/>
          <w:szCs w:val="21"/>
          <w:highlight w:val="none"/>
        </w:rPr>
      </w:pPr>
      <w:r>
        <w:rPr>
          <w:rFonts w:hint="eastAsia"/>
          <w:b/>
          <w:bCs/>
          <w:color w:val="auto"/>
          <w:szCs w:val="21"/>
          <w:highlight w:val="none"/>
        </w:rPr>
        <w:t>3</w:t>
      </w:r>
      <w:r>
        <w:rPr>
          <w:b/>
          <w:bCs/>
          <w:color w:val="auto"/>
          <w:szCs w:val="21"/>
          <w:highlight w:val="none"/>
        </w:rPr>
        <w:t>.按照赔付金额从高到低列示。</w:t>
      </w:r>
    </w:p>
    <w:p>
      <w:pPr>
        <w:pStyle w:val="5"/>
        <w:ind w:firstLine="843" w:firstLineChars="400"/>
        <w:rPr>
          <w:color w:val="auto"/>
          <w:highlight w:val="none"/>
        </w:rPr>
      </w:pPr>
      <w:r>
        <w:rPr>
          <w:rFonts w:hint="eastAsia"/>
          <w:b/>
          <w:bCs/>
          <w:color w:val="auto"/>
          <w:szCs w:val="21"/>
          <w:highlight w:val="none"/>
        </w:rPr>
        <w:t>4</w:t>
      </w:r>
      <w:r>
        <w:rPr>
          <w:b/>
          <w:bCs/>
          <w:color w:val="auto"/>
          <w:szCs w:val="21"/>
          <w:highlight w:val="none"/>
        </w:rPr>
        <w:t>.</w:t>
      </w:r>
      <w:r>
        <w:rPr>
          <w:rFonts w:hint="eastAsia"/>
          <w:b/>
          <w:bCs/>
          <w:color w:val="auto"/>
          <w:kern w:val="0"/>
          <w:szCs w:val="21"/>
          <w:highlight w:val="none"/>
        </w:rPr>
        <w:t>项目数量不超过30个。</w:t>
      </w:r>
    </w:p>
    <w:p>
      <w:pPr>
        <w:widowControl/>
        <w:topLinePunct w:val="0"/>
        <w:spacing w:before="0" w:beforeLines="-2147483648"/>
        <w:rPr>
          <w:rFonts w:hint="eastAsia"/>
          <w:b/>
          <w:bCs/>
          <w:color w:val="auto"/>
          <w:sz w:val="24"/>
          <w:szCs w:val="21"/>
          <w:highlight w:val="none"/>
          <w:lang w:val="en-US" w:eastAsia="zh-CN"/>
        </w:rPr>
      </w:pPr>
      <w:r>
        <w:rPr>
          <w:rFonts w:hint="eastAsia"/>
          <w:b/>
          <w:bCs/>
          <w:color w:val="auto"/>
          <w:sz w:val="24"/>
          <w:szCs w:val="21"/>
          <w:highlight w:val="none"/>
          <w:lang w:val="en-US" w:eastAsia="zh-CN"/>
        </w:rPr>
        <w:br w:type="page"/>
      </w:r>
    </w:p>
    <w:p>
      <w:pPr>
        <w:widowControl/>
        <w:topLinePunct w:val="0"/>
        <w:spacing w:before="120" w:beforeLines="50"/>
        <w:rPr>
          <w:b/>
          <w:bCs/>
          <w:color w:val="auto"/>
          <w:sz w:val="21"/>
          <w:szCs w:val="21"/>
          <w:highlight w:val="none"/>
        </w:rPr>
      </w:pPr>
      <w:r>
        <w:rPr>
          <w:rFonts w:hint="eastAsia"/>
          <w:b/>
          <w:bCs/>
          <w:color w:val="auto"/>
          <w:sz w:val="21"/>
          <w:szCs w:val="21"/>
          <w:highlight w:val="none"/>
          <w:lang w:val="en-US" w:eastAsia="zh-CN"/>
        </w:rPr>
        <w:t>4</w:t>
      </w:r>
      <w:r>
        <w:rPr>
          <w:rFonts w:hint="eastAsia" w:ascii="宋体" w:hAnsi="宋体" w:eastAsia="宋体" w:cs="宋体"/>
          <w:b/>
          <w:bCs/>
          <w:color w:val="auto"/>
          <w:kern w:val="0"/>
          <w:sz w:val="21"/>
          <w:szCs w:val="21"/>
          <w:highlight w:val="none"/>
          <w:u w:val="none"/>
          <w:lang w:val="en-US" w:eastAsia="zh-CN" w:bidi="ar"/>
        </w:rPr>
        <w:t>项目关键人员</w:t>
      </w:r>
      <w:r>
        <w:rPr>
          <w:rFonts w:hint="eastAsia" w:ascii="宋体" w:hAnsi="宋体" w:eastAsia="宋体" w:cs="宋体"/>
          <w:b/>
          <w:bCs/>
          <w:color w:val="auto"/>
          <w:kern w:val="0"/>
          <w:sz w:val="21"/>
          <w:szCs w:val="21"/>
          <w:highlight w:val="none"/>
          <w:u w:val="none"/>
          <w:lang w:bidi="ar"/>
        </w:rPr>
        <w:t>简历及证明材料</w:t>
      </w:r>
    </w:p>
    <w:p>
      <w:pPr>
        <w:keepNext w:val="0"/>
        <w:keepLines w:val="0"/>
        <w:pageBreakBefore w:val="0"/>
        <w:widowControl w:val="0"/>
        <w:numPr>
          <w:ilvl w:val="0"/>
          <w:numId w:val="0"/>
        </w:numPr>
        <w:kinsoku/>
        <w:wordWrap/>
        <w:overflowPunct/>
        <w:topLinePunct w:val="0"/>
        <w:autoSpaceDE w:val="0"/>
        <w:autoSpaceDN w:val="0"/>
        <w:bidi w:val="0"/>
        <w:adjustRightInd w:val="0"/>
        <w:snapToGrid w:val="0"/>
        <w:ind w:firstLine="422" w:firstLineChars="200"/>
        <w:jc w:val="both"/>
        <w:textAlignment w:val="auto"/>
        <w:outlineLvl w:val="3"/>
        <w:rPr>
          <w:rFonts w:hint="eastAsia" w:ascii="宋体" w:hAnsi="宋体" w:eastAsia="宋体" w:cs="宋体"/>
          <w:color w:val="auto"/>
          <w:sz w:val="21"/>
          <w:szCs w:val="21"/>
          <w:highlight w:val="none"/>
          <w:lang w:val="en-US" w:eastAsia="zh-CN"/>
        </w:rPr>
      </w:pPr>
      <w:r>
        <w:rPr>
          <w:rFonts w:hint="eastAsia" w:ascii="Times New Roman" w:hAnsi="Times New Roman" w:eastAsia="宋体" w:cs="Times New Roman"/>
          <w:b/>
          <w:color w:val="auto"/>
          <w:sz w:val="21"/>
          <w:szCs w:val="21"/>
          <w:highlight w:val="none"/>
          <w:shd w:val="clear" w:color="auto" w:fill="auto"/>
          <w:lang w:bidi="ar"/>
        </w:rPr>
        <w:t>项目关键人员业绩</w:t>
      </w:r>
      <w:r>
        <w:rPr>
          <w:rFonts w:hint="eastAsia" w:ascii="Times New Roman" w:hAnsi="Times New Roman" w:eastAsia="宋体" w:cs="Times New Roman"/>
          <w:b/>
          <w:color w:val="auto"/>
          <w:sz w:val="21"/>
          <w:szCs w:val="21"/>
          <w:highlight w:val="none"/>
          <w:shd w:val="clear" w:color="auto" w:fill="auto"/>
          <w:lang w:val="en-US" w:eastAsia="zh-CN" w:bidi="ar"/>
        </w:rPr>
        <w:t>及奖项</w:t>
      </w:r>
      <w:r>
        <w:rPr>
          <w:rFonts w:hint="eastAsia" w:ascii="Times New Roman" w:hAnsi="Times New Roman" w:eastAsia="宋体" w:cs="Times New Roman"/>
          <w:b/>
          <w:color w:val="auto"/>
          <w:sz w:val="21"/>
          <w:szCs w:val="21"/>
          <w:highlight w:val="none"/>
          <w:shd w:val="clear" w:color="auto" w:fill="auto"/>
          <w:lang w:bidi="ar"/>
        </w:rPr>
        <w:t>情况</w:t>
      </w:r>
      <w:r>
        <w:rPr>
          <w:rFonts w:hint="eastAsia" w:ascii="Times New Roman" w:hAnsi="Times New Roman" w:eastAsia="宋体" w:cs="Times New Roman"/>
          <w:b/>
          <w:bCs w:val="0"/>
          <w:i w:val="0"/>
          <w:iCs w:val="0"/>
          <w:caps w:val="0"/>
          <w:color w:val="auto"/>
          <w:spacing w:val="0"/>
          <w:sz w:val="21"/>
          <w:szCs w:val="21"/>
          <w:highlight w:val="none"/>
          <w:shd w:val="clear" w:color="auto" w:fill="auto"/>
          <w:lang w:val="en-US" w:eastAsia="zh-CN" w:bidi="ar"/>
        </w:rPr>
        <w:t>仅填写符合</w:t>
      </w:r>
      <w:r>
        <w:rPr>
          <w:rFonts w:hint="eastAsia" w:ascii="Times New Roman" w:hAnsi="Times New Roman" w:eastAsia="宋体" w:cs="Times New Roman"/>
          <w:b/>
          <w:color w:val="auto"/>
          <w:sz w:val="21"/>
          <w:szCs w:val="21"/>
          <w:highlight w:val="none"/>
          <w:shd w:val="clear" w:color="auto" w:fill="auto"/>
          <w:lang w:bidi="ar"/>
        </w:rPr>
        <w:t>第三章评标办法</w:t>
      </w:r>
      <w:r>
        <w:rPr>
          <w:rFonts w:hint="eastAsia" w:ascii="Times New Roman" w:hAnsi="Times New Roman" w:eastAsia="宋体" w:cs="Times New Roman"/>
          <w:b/>
          <w:color w:val="auto"/>
          <w:sz w:val="21"/>
          <w:szCs w:val="21"/>
          <w:highlight w:val="none"/>
          <w:shd w:val="clear" w:color="auto" w:fill="auto"/>
          <w:lang w:val="en-US" w:eastAsia="zh-CN" w:bidi="ar"/>
        </w:rPr>
        <w:t>中技术评分标准的业绩</w:t>
      </w:r>
      <w:r>
        <w:rPr>
          <w:rFonts w:hint="eastAsia" w:ascii="Times New Roman" w:hAnsi="Times New Roman" w:eastAsia="宋体" w:cs="Times New Roman"/>
          <w:b/>
          <w:bCs w:val="0"/>
          <w:color w:val="auto"/>
          <w:spacing w:val="0"/>
          <w:sz w:val="21"/>
          <w:szCs w:val="21"/>
          <w:highlight w:val="none"/>
          <w:shd w:val="clear" w:color="auto" w:fill="auto"/>
          <w:lang w:val="en-US" w:eastAsia="zh-CN" w:bidi="ar"/>
        </w:rPr>
        <w:t>，</w:t>
      </w:r>
      <w:r>
        <w:rPr>
          <w:rFonts w:hint="eastAsia" w:ascii="Times New Roman" w:hAnsi="Times New Roman" w:eastAsia="宋体" w:cs="Times New Roman"/>
          <w:b/>
          <w:i w:val="0"/>
          <w:iCs w:val="0"/>
          <w:color w:val="auto"/>
          <w:kern w:val="2"/>
          <w:sz w:val="21"/>
          <w:szCs w:val="21"/>
          <w:highlight w:val="none"/>
          <w:u w:val="none"/>
          <w:shd w:val="clear" w:color="auto" w:fill="auto"/>
          <w:lang w:val="en-US" w:eastAsia="zh-CN" w:bidi="ar"/>
        </w:rPr>
        <w:t>资质业绩技术评审清单及证明材料提供的符合</w:t>
      </w:r>
      <w:r>
        <w:rPr>
          <w:rFonts w:hint="eastAsia" w:ascii="Times New Roman" w:hAnsi="Times New Roman" w:eastAsia="宋体" w:cs="Times New Roman"/>
          <w:b/>
          <w:color w:val="auto"/>
          <w:sz w:val="21"/>
          <w:szCs w:val="21"/>
          <w:highlight w:val="none"/>
          <w:shd w:val="clear" w:color="auto" w:fill="auto"/>
          <w:lang w:val="en-US" w:eastAsia="zh-CN" w:bidi="ar"/>
        </w:rPr>
        <w:t>技术评分标准的业绩需填写在</w:t>
      </w:r>
      <w:r>
        <w:rPr>
          <w:rFonts w:hint="eastAsia" w:ascii="Times New Roman" w:hAnsi="Times New Roman" w:eastAsia="宋体" w:cs="Times New Roman"/>
          <w:b/>
          <w:color w:val="auto"/>
          <w:sz w:val="21"/>
          <w:szCs w:val="21"/>
          <w:highlight w:val="none"/>
          <w:shd w:val="clear" w:color="auto" w:fill="auto"/>
          <w:lang w:bidi="ar"/>
        </w:rPr>
        <w:t>项目情况表</w:t>
      </w:r>
      <w:r>
        <w:rPr>
          <w:rFonts w:hint="eastAsia" w:ascii="Times New Roman" w:hAnsi="Times New Roman" w:eastAsia="宋体" w:cs="Times New Roman"/>
          <w:b/>
          <w:color w:val="auto"/>
          <w:sz w:val="21"/>
          <w:szCs w:val="21"/>
          <w:highlight w:val="none"/>
          <w:shd w:val="clear" w:color="auto" w:fill="auto"/>
          <w:lang w:eastAsia="zh-CN" w:bidi="ar"/>
        </w:rPr>
        <w:t>，</w:t>
      </w:r>
      <w:r>
        <w:rPr>
          <w:rFonts w:hint="eastAsia" w:ascii="Times New Roman" w:hAnsi="Times New Roman" w:eastAsia="宋体" w:cs="Times New Roman"/>
          <w:b/>
          <w:color w:val="auto"/>
          <w:sz w:val="21"/>
          <w:szCs w:val="21"/>
          <w:highlight w:val="none"/>
          <w:shd w:val="clear" w:color="auto" w:fill="auto"/>
          <w:lang w:val="en-US" w:eastAsia="zh-CN" w:bidi="ar"/>
        </w:rPr>
        <w:t>已提供证明材料的无需重复提供证明材料。</w:t>
      </w:r>
    </w:p>
    <w:p>
      <w:pPr>
        <w:spacing w:line="360" w:lineRule="exact"/>
        <w:ind w:firstLine="420" w:firstLineChars="200"/>
        <w:jc w:val="left"/>
        <w:rPr>
          <w:color w:val="auto"/>
          <w:highlight w:val="none"/>
        </w:rPr>
      </w:pPr>
    </w:p>
    <w:p>
      <w:pPr>
        <w:pStyle w:val="18"/>
        <w:numPr>
          <w:ilvl w:val="0"/>
          <w:numId w:val="0"/>
        </w:numPr>
        <w:ind w:leftChars="0"/>
        <w:jc w:val="left"/>
        <w:outlineLvl w:val="4"/>
        <w:rPr>
          <w:rFonts w:hint="eastAsia"/>
          <w:b/>
          <w:bCs/>
          <w:color w:val="auto"/>
          <w:sz w:val="21"/>
          <w:szCs w:val="21"/>
          <w:highlight w:val="none"/>
          <w:lang w:val="en-US" w:eastAsia="zh-CN"/>
        </w:rPr>
      </w:pPr>
      <w:r>
        <w:rPr>
          <w:rFonts w:hint="eastAsia"/>
          <w:b/>
          <w:bCs/>
          <w:color w:val="auto"/>
          <w:sz w:val="21"/>
          <w:szCs w:val="21"/>
          <w:highlight w:val="none"/>
          <w:lang w:val="en-US" w:eastAsia="zh-CN"/>
        </w:rPr>
        <w:t>【监理类】</w:t>
      </w:r>
    </w:p>
    <w:p>
      <w:pPr>
        <w:widowControl/>
        <w:jc w:val="left"/>
        <w:rPr>
          <w:color w:val="auto"/>
          <w:szCs w:val="22"/>
          <w:highlight w:val="none"/>
        </w:rPr>
      </w:pPr>
    </w:p>
    <w:p>
      <w:pPr>
        <w:widowControl/>
        <w:spacing w:before="156" w:beforeLines="50"/>
        <w:jc w:val="center"/>
        <w:rPr>
          <w:rFonts w:eastAsia="黑体"/>
          <w:color w:val="auto"/>
          <w:szCs w:val="20"/>
          <w:highlight w:val="none"/>
        </w:rPr>
      </w:pPr>
      <w:r>
        <w:rPr>
          <w:rFonts w:eastAsia="黑体"/>
          <w:color w:val="auto"/>
          <w:szCs w:val="20"/>
          <w:highlight w:val="none"/>
        </w:rPr>
        <w:t>项目管理机构其他人员组成表</w:t>
      </w:r>
    </w:p>
    <w:tbl>
      <w:tblPr>
        <w:tblStyle w:val="1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757"/>
        <w:gridCol w:w="755"/>
        <w:gridCol w:w="1076"/>
        <w:gridCol w:w="1076"/>
        <w:gridCol w:w="1076"/>
        <w:gridCol w:w="1076"/>
        <w:gridCol w:w="1081"/>
        <w:gridCol w:w="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98" w:type="pct"/>
            <w:vMerge w:val="restart"/>
            <w:noWrap w:val="0"/>
            <w:vAlign w:val="center"/>
          </w:tcPr>
          <w:p>
            <w:pPr>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拟任职务</w:t>
            </w:r>
          </w:p>
        </w:tc>
        <w:tc>
          <w:tcPr>
            <w:tcW w:w="444" w:type="pct"/>
            <w:vMerge w:val="restart"/>
            <w:noWrap w:val="0"/>
            <w:vAlign w:val="center"/>
          </w:tcPr>
          <w:p>
            <w:pPr>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姓名</w:t>
            </w:r>
          </w:p>
        </w:tc>
        <w:tc>
          <w:tcPr>
            <w:tcW w:w="443" w:type="pct"/>
            <w:vMerge w:val="restart"/>
            <w:noWrap w:val="0"/>
            <w:vAlign w:val="center"/>
          </w:tcPr>
          <w:p>
            <w:pPr>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职称</w:t>
            </w:r>
          </w:p>
        </w:tc>
        <w:tc>
          <w:tcPr>
            <w:tcW w:w="3158" w:type="pct"/>
            <w:gridSpan w:val="5"/>
            <w:noWrap w:val="0"/>
            <w:vAlign w:val="center"/>
          </w:tcPr>
          <w:p>
            <w:pPr>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执业或职业资格证明</w:t>
            </w:r>
          </w:p>
        </w:tc>
        <w:tc>
          <w:tcPr>
            <w:tcW w:w="555" w:type="pct"/>
            <w:vMerge w:val="restart"/>
            <w:noWrap w:val="0"/>
            <w:vAlign w:val="center"/>
          </w:tcPr>
          <w:p>
            <w:pPr>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拟任包号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98" w:type="pct"/>
            <w:vMerge w:val="continue"/>
            <w:noWrap w:val="0"/>
            <w:vAlign w:val="center"/>
          </w:tcPr>
          <w:p>
            <w:pPr>
              <w:jc w:val="center"/>
              <w:rPr>
                <w:rFonts w:ascii="Times New Roman" w:hAnsi="Times New Roman" w:eastAsia="黑体"/>
                <w:color w:val="auto"/>
                <w:sz w:val="21"/>
                <w:szCs w:val="21"/>
                <w:highlight w:val="none"/>
              </w:rPr>
            </w:pPr>
          </w:p>
        </w:tc>
        <w:tc>
          <w:tcPr>
            <w:tcW w:w="444" w:type="pct"/>
            <w:vMerge w:val="continue"/>
            <w:noWrap w:val="0"/>
            <w:vAlign w:val="center"/>
          </w:tcPr>
          <w:p>
            <w:pPr>
              <w:jc w:val="center"/>
              <w:rPr>
                <w:rFonts w:ascii="Times New Roman" w:hAnsi="Times New Roman" w:eastAsia="黑体"/>
                <w:color w:val="auto"/>
                <w:sz w:val="21"/>
                <w:szCs w:val="21"/>
                <w:highlight w:val="none"/>
              </w:rPr>
            </w:pPr>
          </w:p>
        </w:tc>
        <w:tc>
          <w:tcPr>
            <w:tcW w:w="443" w:type="pct"/>
            <w:vMerge w:val="continue"/>
            <w:noWrap w:val="0"/>
            <w:vAlign w:val="center"/>
          </w:tcPr>
          <w:p>
            <w:pPr>
              <w:jc w:val="center"/>
              <w:rPr>
                <w:rFonts w:ascii="Times New Roman" w:hAnsi="Times New Roman" w:eastAsia="黑体"/>
                <w:color w:val="auto"/>
                <w:sz w:val="21"/>
                <w:szCs w:val="21"/>
                <w:highlight w:val="none"/>
              </w:rPr>
            </w:pPr>
          </w:p>
        </w:tc>
        <w:tc>
          <w:tcPr>
            <w:tcW w:w="631" w:type="pct"/>
            <w:noWrap w:val="0"/>
            <w:vAlign w:val="center"/>
          </w:tcPr>
          <w:p>
            <w:pPr>
              <w:ind w:firstLine="0" w:firstLineChars="0"/>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证书名称</w:t>
            </w:r>
          </w:p>
        </w:tc>
        <w:tc>
          <w:tcPr>
            <w:tcW w:w="631" w:type="pct"/>
            <w:noWrap w:val="0"/>
            <w:vAlign w:val="center"/>
          </w:tcPr>
          <w:p>
            <w:pPr>
              <w:ind w:firstLine="0" w:firstLineChars="0"/>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级别</w:t>
            </w:r>
          </w:p>
        </w:tc>
        <w:tc>
          <w:tcPr>
            <w:tcW w:w="631" w:type="pct"/>
            <w:noWrap w:val="0"/>
            <w:vAlign w:val="center"/>
          </w:tcPr>
          <w:p>
            <w:pPr>
              <w:ind w:firstLine="0" w:firstLineChars="0"/>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证号</w:t>
            </w:r>
          </w:p>
        </w:tc>
        <w:tc>
          <w:tcPr>
            <w:tcW w:w="631" w:type="pct"/>
            <w:noWrap w:val="0"/>
            <w:vAlign w:val="center"/>
          </w:tcPr>
          <w:p>
            <w:pPr>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专业</w:t>
            </w:r>
          </w:p>
        </w:tc>
        <w:tc>
          <w:tcPr>
            <w:tcW w:w="632" w:type="pct"/>
            <w:noWrap w:val="0"/>
            <w:vAlign w:val="center"/>
          </w:tcPr>
          <w:p>
            <w:pPr>
              <w:jc w:val="center"/>
              <w:rPr>
                <w:rFonts w:ascii="Times New Roman" w:hAnsi="Times New Roman" w:eastAsia="黑体"/>
                <w:color w:val="auto"/>
                <w:sz w:val="21"/>
                <w:szCs w:val="21"/>
                <w:highlight w:val="none"/>
              </w:rPr>
            </w:pPr>
            <w:r>
              <w:rPr>
                <w:rFonts w:ascii="Times New Roman" w:hAnsi="Times New Roman" w:eastAsia="黑体"/>
                <w:color w:val="auto"/>
                <w:sz w:val="21"/>
                <w:szCs w:val="21"/>
                <w:highlight w:val="none"/>
              </w:rPr>
              <w:t>正式职工/社会化用工</w:t>
            </w:r>
          </w:p>
        </w:tc>
        <w:tc>
          <w:tcPr>
            <w:tcW w:w="555" w:type="pct"/>
            <w:vMerge w:val="continue"/>
            <w:noWrap w:val="0"/>
            <w:vAlign w:val="center"/>
          </w:tcPr>
          <w:p>
            <w:pPr>
              <w:jc w:val="center"/>
              <w:rPr>
                <w:rFonts w:ascii="Times New Roman" w:hAnsi="Times New Roman" w:eastAsia="黑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98" w:type="pct"/>
            <w:noWrap w:val="0"/>
            <w:vAlign w:val="center"/>
          </w:tcPr>
          <w:p>
            <w:pPr>
              <w:jc w:val="center"/>
              <w:rPr>
                <w:rFonts w:ascii="Times New Roman" w:hAnsi="Times New Roman" w:eastAsia="黑体"/>
                <w:color w:val="auto"/>
                <w:sz w:val="21"/>
                <w:szCs w:val="21"/>
                <w:highlight w:val="none"/>
              </w:rPr>
            </w:pPr>
          </w:p>
        </w:tc>
        <w:tc>
          <w:tcPr>
            <w:tcW w:w="444" w:type="pct"/>
            <w:noWrap w:val="0"/>
            <w:vAlign w:val="center"/>
          </w:tcPr>
          <w:p>
            <w:pPr>
              <w:jc w:val="center"/>
              <w:rPr>
                <w:rFonts w:ascii="Times New Roman" w:hAnsi="Times New Roman" w:eastAsia="黑体"/>
                <w:color w:val="auto"/>
                <w:sz w:val="21"/>
                <w:szCs w:val="21"/>
                <w:highlight w:val="none"/>
              </w:rPr>
            </w:pPr>
          </w:p>
        </w:tc>
        <w:tc>
          <w:tcPr>
            <w:tcW w:w="443" w:type="pct"/>
            <w:noWrap w:val="0"/>
            <w:vAlign w:val="center"/>
          </w:tcPr>
          <w:p>
            <w:pPr>
              <w:jc w:val="center"/>
              <w:rPr>
                <w:rFonts w:ascii="Times New Roman" w:hAnsi="Times New Roman" w:eastAsia="黑体"/>
                <w:color w:val="auto"/>
                <w:sz w:val="21"/>
                <w:szCs w:val="21"/>
                <w:highlight w:val="none"/>
              </w:rPr>
            </w:pPr>
          </w:p>
        </w:tc>
        <w:tc>
          <w:tcPr>
            <w:tcW w:w="631" w:type="pct"/>
            <w:noWrap w:val="0"/>
            <w:vAlign w:val="center"/>
          </w:tcPr>
          <w:p>
            <w:pPr>
              <w:jc w:val="center"/>
              <w:rPr>
                <w:rFonts w:ascii="Times New Roman" w:hAnsi="Times New Roman" w:eastAsia="黑体"/>
                <w:color w:val="auto"/>
                <w:sz w:val="21"/>
                <w:szCs w:val="21"/>
                <w:highlight w:val="none"/>
              </w:rPr>
            </w:pPr>
          </w:p>
        </w:tc>
        <w:tc>
          <w:tcPr>
            <w:tcW w:w="631" w:type="pct"/>
            <w:noWrap w:val="0"/>
            <w:vAlign w:val="center"/>
          </w:tcPr>
          <w:p>
            <w:pPr>
              <w:jc w:val="center"/>
              <w:rPr>
                <w:rFonts w:ascii="Times New Roman" w:hAnsi="Times New Roman" w:eastAsia="黑体"/>
                <w:color w:val="auto"/>
                <w:sz w:val="21"/>
                <w:szCs w:val="21"/>
                <w:highlight w:val="none"/>
              </w:rPr>
            </w:pPr>
          </w:p>
        </w:tc>
        <w:tc>
          <w:tcPr>
            <w:tcW w:w="631" w:type="pct"/>
            <w:noWrap w:val="0"/>
            <w:vAlign w:val="center"/>
          </w:tcPr>
          <w:p>
            <w:pPr>
              <w:jc w:val="center"/>
              <w:rPr>
                <w:rFonts w:ascii="Times New Roman" w:hAnsi="Times New Roman" w:eastAsia="黑体"/>
                <w:color w:val="auto"/>
                <w:sz w:val="21"/>
                <w:szCs w:val="21"/>
                <w:highlight w:val="none"/>
              </w:rPr>
            </w:pPr>
          </w:p>
        </w:tc>
        <w:tc>
          <w:tcPr>
            <w:tcW w:w="631" w:type="pct"/>
            <w:noWrap w:val="0"/>
            <w:vAlign w:val="center"/>
          </w:tcPr>
          <w:p>
            <w:pPr>
              <w:jc w:val="center"/>
              <w:rPr>
                <w:rFonts w:ascii="Times New Roman" w:hAnsi="Times New Roman" w:eastAsia="黑体"/>
                <w:color w:val="auto"/>
                <w:sz w:val="21"/>
                <w:szCs w:val="21"/>
                <w:highlight w:val="none"/>
              </w:rPr>
            </w:pPr>
          </w:p>
        </w:tc>
        <w:tc>
          <w:tcPr>
            <w:tcW w:w="632" w:type="pct"/>
            <w:noWrap w:val="0"/>
            <w:vAlign w:val="center"/>
          </w:tcPr>
          <w:p>
            <w:pPr>
              <w:jc w:val="center"/>
              <w:rPr>
                <w:rFonts w:ascii="Times New Roman" w:hAnsi="Times New Roman" w:eastAsia="黑体"/>
                <w:color w:val="auto"/>
                <w:sz w:val="21"/>
                <w:szCs w:val="21"/>
                <w:highlight w:val="none"/>
              </w:rPr>
            </w:pPr>
          </w:p>
        </w:tc>
        <w:tc>
          <w:tcPr>
            <w:tcW w:w="555" w:type="pct"/>
            <w:noWrap w:val="0"/>
            <w:vAlign w:val="center"/>
          </w:tcPr>
          <w:p>
            <w:pPr>
              <w:jc w:val="center"/>
              <w:rPr>
                <w:rFonts w:ascii="Times New Roman" w:hAnsi="Times New Roman" w:eastAsia="黑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98" w:type="pct"/>
            <w:noWrap w:val="0"/>
            <w:vAlign w:val="center"/>
          </w:tcPr>
          <w:p>
            <w:pPr>
              <w:jc w:val="center"/>
              <w:rPr>
                <w:rFonts w:ascii="Times New Roman" w:hAnsi="Times New Roman" w:eastAsia="黑体"/>
                <w:color w:val="auto"/>
                <w:sz w:val="21"/>
                <w:szCs w:val="21"/>
                <w:highlight w:val="none"/>
              </w:rPr>
            </w:pPr>
          </w:p>
        </w:tc>
        <w:tc>
          <w:tcPr>
            <w:tcW w:w="444" w:type="pct"/>
            <w:noWrap w:val="0"/>
            <w:vAlign w:val="center"/>
          </w:tcPr>
          <w:p>
            <w:pPr>
              <w:jc w:val="center"/>
              <w:rPr>
                <w:rFonts w:ascii="Times New Roman" w:hAnsi="Times New Roman"/>
                <w:color w:val="auto"/>
                <w:sz w:val="21"/>
                <w:szCs w:val="21"/>
                <w:highlight w:val="none"/>
              </w:rPr>
            </w:pPr>
          </w:p>
        </w:tc>
        <w:tc>
          <w:tcPr>
            <w:tcW w:w="443"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2" w:type="pct"/>
            <w:noWrap w:val="0"/>
            <w:vAlign w:val="center"/>
          </w:tcPr>
          <w:p>
            <w:pPr>
              <w:jc w:val="center"/>
              <w:rPr>
                <w:rFonts w:ascii="Times New Roman" w:hAnsi="Times New Roman"/>
                <w:color w:val="auto"/>
                <w:sz w:val="21"/>
                <w:szCs w:val="21"/>
                <w:highlight w:val="none"/>
              </w:rPr>
            </w:pPr>
          </w:p>
        </w:tc>
        <w:tc>
          <w:tcPr>
            <w:tcW w:w="555" w:type="pct"/>
            <w:noWrap w:val="0"/>
            <w:vAlign w:val="center"/>
          </w:tcPr>
          <w:p>
            <w:pPr>
              <w:jc w:val="center"/>
              <w:rPr>
                <w:rFonts w:ascii="Times New Roman" w:hAnsi="Times New Roman"/>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98" w:type="pct"/>
            <w:noWrap w:val="0"/>
            <w:vAlign w:val="center"/>
          </w:tcPr>
          <w:p>
            <w:pPr>
              <w:jc w:val="center"/>
              <w:rPr>
                <w:rFonts w:ascii="Times New Roman" w:hAnsi="Times New Roman"/>
                <w:color w:val="auto"/>
                <w:sz w:val="21"/>
                <w:szCs w:val="21"/>
                <w:highlight w:val="none"/>
              </w:rPr>
            </w:pPr>
          </w:p>
        </w:tc>
        <w:tc>
          <w:tcPr>
            <w:tcW w:w="444" w:type="pct"/>
            <w:noWrap w:val="0"/>
            <w:vAlign w:val="center"/>
          </w:tcPr>
          <w:p>
            <w:pPr>
              <w:jc w:val="center"/>
              <w:rPr>
                <w:rFonts w:ascii="Times New Roman" w:hAnsi="Times New Roman"/>
                <w:color w:val="auto"/>
                <w:sz w:val="21"/>
                <w:szCs w:val="21"/>
                <w:highlight w:val="none"/>
              </w:rPr>
            </w:pPr>
          </w:p>
        </w:tc>
        <w:tc>
          <w:tcPr>
            <w:tcW w:w="443"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2" w:type="pct"/>
            <w:noWrap w:val="0"/>
            <w:vAlign w:val="center"/>
          </w:tcPr>
          <w:p>
            <w:pPr>
              <w:jc w:val="center"/>
              <w:rPr>
                <w:rFonts w:ascii="Times New Roman" w:hAnsi="Times New Roman"/>
                <w:color w:val="auto"/>
                <w:sz w:val="21"/>
                <w:szCs w:val="21"/>
                <w:highlight w:val="none"/>
              </w:rPr>
            </w:pPr>
          </w:p>
        </w:tc>
        <w:tc>
          <w:tcPr>
            <w:tcW w:w="555" w:type="pct"/>
            <w:noWrap w:val="0"/>
            <w:vAlign w:val="center"/>
          </w:tcPr>
          <w:p>
            <w:pPr>
              <w:jc w:val="center"/>
              <w:rPr>
                <w:rFonts w:ascii="Times New Roman" w:hAnsi="Times New Roman"/>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98" w:type="pct"/>
            <w:noWrap w:val="0"/>
            <w:vAlign w:val="center"/>
          </w:tcPr>
          <w:p>
            <w:pPr>
              <w:jc w:val="center"/>
              <w:rPr>
                <w:rFonts w:ascii="Times New Roman" w:hAnsi="Times New Roman"/>
                <w:color w:val="auto"/>
                <w:sz w:val="21"/>
                <w:szCs w:val="21"/>
                <w:highlight w:val="none"/>
              </w:rPr>
            </w:pPr>
          </w:p>
        </w:tc>
        <w:tc>
          <w:tcPr>
            <w:tcW w:w="444" w:type="pct"/>
            <w:noWrap w:val="0"/>
            <w:vAlign w:val="center"/>
          </w:tcPr>
          <w:p>
            <w:pPr>
              <w:jc w:val="center"/>
              <w:rPr>
                <w:rFonts w:ascii="Times New Roman" w:hAnsi="Times New Roman"/>
                <w:color w:val="auto"/>
                <w:sz w:val="21"/>
                <w:szCs w:val="21"/>
                <w:highlight w:val="none"/>
              </w:rPr>
            </w:pPr>
          </w:p>
        </w:tc>
        <w:tc>
          <w:tcPr>
            <w:tcW w:w="443"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2" w:type="pct"/>
            <w:noWrap w:val="0"/>
            <w:vAlign w:val="center"/>
          </w:tcPr>
          <w:p>
            <w:pPr>
              <w:jc w:val="center"/>
              <w:rPr>
                <w:rFonts w:ascii="Times New Roman" w:hAnsi="Times New Roman"/>
                <w:color w:val="auto"/>
                <w:sz w:val="21"/>
                <w:szCs w:val="21"/>
                <w:highlight w:val="none"/>
              </w:rPr>
            </w:pPr>
          </w:p>
        </w:tc>
        <w:tc>
          <w:tcPr>
            <w:tcW w:w="555" w:type="pct"/>
            <w:noWrap w:val="0"/>
            <w:vAlign w:val="center"/>
          </w:tcPr>
          <w:p>
            <w:pPr>
              <w:jc w:val="center"/>
              <w:rPr>
                <w:rFonts w:ascii="Times New Roman" w:hAnsi="Times New Roman"/>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98" w:type="pct"/>
            <w:noWrap w:val="0"/>
            <w:vAlign w:val="center"/>
          </w:tcPr>
          <w:p>
            <w:pPr>
              <w:jc w:val="center"/>
              <w:rPr>
                <w:rFonts w:ascii="Times New Roman" w:hAnsi="Times New Roman"/>
                <w:color w:val="auto"/>
                <w:sz w:val="21"/>
                <w:szCs w:val="21"/>
                <w:highlight w:val="none"/>
              </w:rPr>
            </w:pPr>
          </w:p>
        </w:tc>
        <w:tc>
          <w:tcPr>
            <w:tcW w:w="444" w:type="pct"/>
            <w:noWrap w:val="0"/>
            <w:vAlign w:val="center"/>
          </w:tcPr>
          <w:p>
            <w:pPr>
              <w:jc w:val="center"/>
              <w:rPr>
                <w:rFonts w:ascii="Times New Roman" w:hAnsi="Times New Roman"/>
                <w:color w:val="auto"/>
                <w:sz w:val="21"/>
                <w:szCs w:val="21"/>
                <w:highlight w:val="none"/>
              </w:rPr>
            </w:pPr>
          </w:p>
        </w:tc>
        <w:tc>
          <w:tcPr>
            <w:tcW w:w="443"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1" w:type="pct"/>
            <w:noWrap w:val="0"/>
            <w:vAlign w:val="center"/>
          </w:tcPr>
          <w:p>
            <w:pPr>
              <w:jc w:val="center"/>
              <w:rPr>
                <w:rFonts w:ascii="Times New Roman" w:hAnsi="Times New Roman"/>
                <w:color w:val="auto"/>
                <w:sz w:val="21"/>
                <w:szCs w:val="21"/>
                <w:highlight w:val="none"/>
              </w:rPr>
            </w:pPr>
          </w:p>
        </w:tc>
        <w:tc>
          <w:tcPr>
            <w:tcW w:w="632" w:type="pct"/>
            <w:noWrap w:val="0"/>
            <w:vAlign w:val="center"/>
          </w:tcPr>
          <w:p>
            <w:pPr>
              <w:jc w:val="center"/>
              <w:rPr>
                <w:rFonts w:ascii="Times New Roman" w:hAnsi="Times New Roman"/>
                <w:color w:val="auto"/>
                <w:sz w:val="21"/>
                <w:szCs w:val="21"/>
                <w:highlight w:val="none"/>
              </w:rPr>
            </w:pPr>
          </w:p>
        </w:tc>
        <w:tc>
          <w:tcPr>
            <w:tcW w:w="555" w:type="pct"/>
            <w:noWrap w:val="0"/>
            <w:vAlign w:val="center"/>
          </w:tcPr>
          <w:p>
            <w:pPr>
              <w:jc w:val="center"/>
              <w:rPr>
                <w:rFonts w:ascii="Times New Roman" w:hAnsi="Times New Roman"/>
                <w:color w:val="auto"/>
                <w:sz w:val="21"/>
                <w:szCs w:val="21"/>
                <w:highlight w:val="none"/>
              </w:rPr>
            </w:pPr>
          </w:p>
        </w:tc>
      </w:tr>
    </w:tbl>
    <w:p>
      <w:pPr>
        <w:widowControl/>
        <w:jc w:val="left"/>
        <w:rPr>
          <w:color w:val="auto"/>
          <w:szCs w:val="20"/>
          <w:highlight w:val="none"/>
        </w:rPr>
      </w:pPr>
      <w:r>
        <w:rPr>
          <w:color w:val="auto"/>
          <w:szCs w:val="22"/>
          <w:highlight w:val="none"/>
        </w:rPr>
        <w:t>注：本表应包含投标人拟任的除</w:t>
      </w:r>
      <w:r>
        <w:rPr>
          <w:color w:val="auto"/>
          <w:szCs w:val="20"/>
          <w:highlight w:val="none"/>
        </w:rPr>
        <w:t>项目关键人员以外的角色配置情况。</w:t>
      </w:r>
    </w:p>
    <w:p>
      <w:pPr>
        <w:widowControl/>
        <w:spacing w:before="156" w:beforeLines="50"/>
        <w:rPr>
          <w:b/>
          <w:bCs/>
          <w:color w:val="auto"/>
          <w:sz w:val="24"/>
          <w:szCs w:val="21"/>
          <w:highlight w:val="none"/>
        </w:rPr>
      </w:pPr>
    </w:p>
    <w:p>
      <w:pPr>
        <w:widowControl/>
        <w:spacing w:before="156" w:beforeLines="50"/>
        <w:jc w:val="center"/>
        <w:rPr>
          <w:b/>
          <w:bCs/>
          <w:color w:val="auto"/>
          <w:sz w:val="21"/>
          <w:szCs w:val="21"/>
          <w:highlight w:val="none"/>
        </w:rPr>
      </w:pPr>
      <w:r>
        <w:rPr>
          <w:b/>
          <w:bCs/>
          <w:color w:val="auto"/>
          <w:sz w:val="21"/>
          <w:szCs w:val="21"/>
          <w:highlight w:val="none"/>
        </w:rPr>
        <w:t>项目关键人员简历及证明材料</w:t>
      </w:r>
    </w:p>
    <w:p>
      <w:pPr>
        <w:rPr>
          <w:color w:val="auto"/>
          <w:szCs w:val="21"/>
          <w:highlight w:val="none"/>
        </w:rPr>
      </w:pPr>
    </w:p>
    <w:p>
      <w:pPr>
        <w:rPr>
          <w:color w:val="auto"/>
          <w:szCs w:val="21"/>
          <w:highlight w:val="none"/>
        </w:rPr>
      </w:pPr>
      <w:r>
        <w:rPr>
          <w:color w:val="auto"/>
          <w:szCs w:val="21"/>
          <w:highlight w:val="none"/>
        </w:rPr>
        <w:t>1）项目总监简历及证明材料</w:t>
      </w:r>
    </w:p>
    <w:p>
      <w:pPr>
        <w:widowControl/>
        <w:spacing w:before="156" w:beforeLines="50"/>
        <w:jc w:val="center"/>
        <w:rPr>
          <w:b/>
          <w:bCs/>
          <w:color w:val="auto"/>
          <w:szCs w:val="22"/>
          <w:highlight w:val="none"/>
        </w:rPr>
      </w:pPr>
      <w:r>
        <w:rPr>
          <w:b/>
          <w:bCs/>
          <w:color w:val="auto"/>
          <w:szCs w:val="22"/>
          <w:highlight w:val="none"/>
        </w:rPr>
        <w:t>项目总监简历表</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43"/>
        <w:gridCol w:w="2011"/>
        <w:gridCol w:w="1093"/>
        <w:gridCol w:w="397"/>
        <w:gridCol w:w="1236"/>
        <w:gridCol w:w="1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000" w:type="pct"/>
            <w:gridSpan w:val="7"/>
            <w:noWrap w:val="0"/>
            <w:vAlign w:val="center"/>
          </w:tcPr>
          <w:p>
            <w:pPr>
              <w:jc w:val="center"/>
              <w:rPr>
                <w:rFonts w:ascii="Times New Roman" w:hAnsi="Times New Roman"/>
                <w:b/>
                <w:color w:val="auto"/>
                <w:szCs w:val="22"/>
                <w:highlight w:val="none"/>
              </w:rPr>
            </w:pPr>
            <w:r>
              <w:rPr>
                <w:rFonts w:ascii="Times New Roman" w:hAnsi="Times New Roman"/>
                <w:b/>
                <w:color w:val="auto"/>
                <w:szCs w:val="22"/>
                <w:highlight w:val="none"/>
              </w:rPr>
              <w:t>项目总监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姓名</w:t>
            </w:r>
          </w:p>
        </w:tc>
        <w:tc>
          <w:tcPr>
            <w:tcW w:w="729" w:type="pct"/>
            <w:noWrap w:val="0"/>
            <w:vAlign w:val="center"/>
          </w:tcPr>
          <w:p>
            <w:pPr>
              <w:jc w:val="center"/>
              <w:rPr>
                <w:rFonts w:ascii="Times New Roman" w:hAnsi="Times New Roman"/>
                <w:color w:val="auto"/>
                <w:szCs w:val="22"/>
                <w:highlight w:val="none"/>
              </w:rPr>
            </w:pPr>
          </w:p>
        </w:tc>
        <w:tc>
          <w:tcPr>
            <w:tcW w:w="1179"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身份证号</w:t>
            </w:r>
          </w:p>
        </w:tc>
        <w:tc>
          <w:tcPr>
            <w:tcW w:w="641" w:type="pct"/>
            <w:noWrap w:val="0"/>
            <w:vAlign w:val="center"/>
          </w:tcPr>
          <w:p>
            <w:pPr>
              <w:jc w:val="center"/>
              <w:rPr>
                <w:rFonts w:ascii="Times New Roman" w:hAnsi="Times New Roman"/>
                <w:color w:val="auto"/>
                <w:szCs w:val="22"/>
                <w:highlight w:val="none"/>
              </w:rPr>
            </w:pPr>
          </w:p>
        </w:tc>
        <w:tc>
          <w:tcPr>
            <w:tcW w:w="958"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学历</w:t>
            </w:r>
          </w:p>
        </w:tc>
        <w:tc>
          <w:tcPr>
            <w:tcW w:w="677" w:type="pct"/>
            <w:noWrap w:val="0"/>
            <w:vAlign w:val="center"/>
          </w:tcPr>
          <w:p>
            <w:pPr>
              <w:jc w:val="center"/>
              <w:rPr>
                <w:rFonts w:ascii="Times New Roman" w:hAnsi="Times New Roman"/>
                <w:color w:val="auto"/>
                <w:szCs w:val="2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职称</w:t>
            </w:r>
          </w:p>
        </w:tc>
        <w:tc>
          <w:tcPr>
            <w:tcW w:w="729" w:type="pct"/>
            <w:noWrap w:val="0"/>
            <w:vAlign w:val="center"/>
          </w:tcPr>
          <w:p>
            <w:pPr>
              <w:jc w:val="center"/>
              <w:rPr>
                <w:rFonts w:ascii="Times New Roman" w:hAnsi="Times New Roman"/>
                <w:color w:val="auto"/>
                <w:szCs w:val="22"/>
                <w:highlight w:val="none"/>
              </w:rPr>
            </w:pPr>
          </w:p>
        </w:tc>
        <w:tc>
          <w:tcPr>
            <w:tcW w:w="1179"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资格证书</w:t>
            </w:r>
          </w:p>
        </w:tc>
        <w:tc>
          <w:tcPr>
            <w:tcW w:w="641" w:type="pct"/>
            <w:noWrap w:val="0"/>
            <w:vAlign w:val="center"/>
          </w:tcPr>
          <w:p>
            <w:pPr>
              <w:jc w:val="center"/>
              <w:rPr>
                <w:rFonts w:ascii="Times New Roman" w:hAnsi="Times New Roman"/>
                <w:color w:val="auto"/>
                <w:szCs w:val="22"/>
                <w:highlight w:val="none"/>
              </w:rPr>
            </w:pPr>
          </w:p>
        </w:tc>
        <w:tc>
          <w:tcPr>
            <w:tcW w:w="958"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证书编号</w:t>
            </w:r>
          </w:p>
        </w:tc>
        <w:tc>
          <w:tcPr>
            <w:tcW w:w="677" w:type="pct"/>
            <w:noWrap w:val="0"/>
            <w:vAlign w:val="center"/>
          </w:tcPr>
          <w:p>
            <w:pPr>
              <w:jc w:val="center"/>
              <w:rPr>
                <w:rFonts w:ascii="Times New Roman" w:hAnsi="Times New Roman"/>
                <w:color w:val="auto"/>
                <w:szCs w:val="2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计划入场时间</w:t>
            </w:r>
          </w:p>
        </w:tc>
        <w:tc>
          <w:tcPr>
            <w:tcW w:w="729" w:type="pct"/>
            <w:noWrap w:val="0"/>
            <w:vAlign w:val="center"/>
          </w:tcPr>
          <w:p>
            <w:pPr>
              <w:jc w:val="center"/>
              <w:rPr>
                <w:rFonts w:ascii="Times New Roman" w:hAnsi="Times New Roman"/>
                <w:color w:val="auto"/>
                <w:szCs w:val="22"/>
                <w:highlight w:val="none"/>
              </w:rPr>
            </w:pPr>
          </w:p>
        </w:tc>
        <w:tc>
          <w:tcPr>
            <w:tcW w:w="1179"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计划退场时间</w:t>
            </w:r>
          </w:p>
        </w:tc>
        <w:tc>
          <w:tcPr>
            <w:tcW w:w="641" w:type="pct"/>
            <w:noWrap w:val="0"/>
            <w:vAlign w:val="center"/>
          </w:tcPr>
          <w:p>
            <w:pPr>
              <w:jc w:val="center"/>
              <w:rPr>
                <w:rFonts w:ascii="Times New Roman" w:hAnsi="Times New Roman"/>
                <w:color w:val="auto"/>
                <w:szCs w:val="22"/>
                <w:highlight w:val="none"/>
              </w:rPr>
            </w:pPr>
          </w:p>
        </w:tc>
        <w:tc>
          <w:tcPr>
            <w:tcW w:w="958" w:type="pct"/>
            <w:gridSpan w:val="2"/>
            <w:noWrap w:val="0"/>
            <w:vAlign w:val="center"/>
          </w:tcPr>
          <w:p>
            <w:pPr>
              <w:jc w:val="center"/>
              <w:rPr>
                <w:rFonts w:ascii="Times New Roman" w:hAnsi="Times New Roman"/>
                <w:color w:val="auto"/>
                <w:szCs w:val="22"/>
                <w:highlight w:val="none"/>
              </w:rPr>
            </w:pPr>
          </w:p>
        </w:tc>
        <w:tc>
          <w:tcPr>
            <w:tcW w:w="677" w:type="pct"/>
            <w:noWrap w:val="0"/>
            <w:vAlign w:val="center"/>
          </w:tcPr>
          <w:p>
            <w:pPr>
              <w:jc w:val="center"/>
              <w:rPr>
                <w:rFonts w:ascii="Times New Roman" w:hAnsi="Times New Roman"/>
                <w:color w:val="auto"/>
                <w:szCs w:val="2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p>
        </w:tc>
        <w:tc>
          <w:tcPr>
            <w:tcW w:w="4185" w:type="pct"/>
            <w:gridSpan w:val="6"/>
            <w:noWrap w:val="0"/>
            <w:vAlign w:val="center"/>
          </w:tcPr>
          <w:p>
            <w:pPr>
              <w:jc w:val="center"/>
              <w:rPr>
                <w:rFonts w:ascii="Times New Roman" w:hAnsi="Times New Roman"/>
                <w:color w:val="auto"/>
                <w:szCs w:val="2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000" w:type="pct"/>
            <w:gridSpan w:val="7"/>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主要业绩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起止时间</w:t>
            </w:r>
          </w:p>
        </w:tc>
        <w:tc>
          <w:tcPr>
            <w:tcW w:w="1909"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工程名称</w:t>
            </w:r>
          </w:p>
        </w:tc>
        <w:tc>
          <w:tcPr>
            <w:tcW w:w="874"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工程规模</w:t>
            </w:r>
          </w:p>
        </w:tc>
        <w:tc>
          <w:tcPr>
            <w:tcW w:w="725"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工作内容</w:t>
            </w:r>
          </w:p>
        </w:tc>
        <w:tc>
          <w:tcPr>
            <w:tcW w:w="677"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担任职务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p>
        </w:tc>
        <w:tc>
          <w:tcPr>
            <w:tcW w:w="1909" w:type="pct"/>
            <w:gridSpan w:val="2"/>
            <w:noWrap w:val="0"/>
            <w:vAlign w:val="center"/>
          </w:tcPr>
          <w:p>
            <w:pPr>
              <w:jc w:val="center"/>
              <w:rPr>
                <w:rFonts w:ascii="Times New Roman" w:hAnsi="Times New Roman"/>
                <w:color w:val="auto"/>
                <w:szCs w:val="22"/>
                <w:highlight w:val="none"/>
              </w:rPr>
            </w:pPr>
          </w:p>
        </w:tc>
        <w:tc>
          <w:tcPr>
            <w:tcW w:w="874" w:type="pct"/>
            <w:gridSpan w:val="2"/>
            <w:noWrap w:val="0"/>
            <w:vAlign w:val="center"/>
          </w:tcPr>
          <w:p>
            <w:pPr>
              <w:jc w:val="center"/>
              <w:rPr>
                <w:rFonts w:ascii="Times New Roman" w:hAnsi="Times New Roman"/>
                <w:color w:val="auto"/>
                <w:szCs w:val="22"/>
                <w:highlight w:val="none"/>
              </w:rPr>
            </w:pPr>
          </w:p>
        </w:tc>
        <w:tc>
          <w:tcPr>
            <w:tcW w:w="725" w:type="pct"/>
            <w:noWrap w:val="0"/>
            <w:vAlign w:val="center"/>
          </w:tcPr>
          <w:p>
            <w:pPr>
              <w:jc w:val="center"/>
              <w:rPr>
                <w:rFonts w:ascii="Times New Roman" w:hAnsi="Times New Roman"/>
                <w:color w:val="auto"/>
                <w:szCs w:val="22"/>
                <w:highlight w:val="none"/>
              </w:rPr>
            </w:pPr>
          </w:p>
        </w:tc>
        <w:tc>
          <w:tcPr>
            <w:tcW w:w="677" w:type="pct"/>
            <w:noWrap w:val="0"/>
            <w:vAlign w:val="center"/>
          </w:tcPr>
          <w:p>
            <w:pPr>
              <w:jc w:val="center"/>
              <w:rPr>
                <w:rFonts w:ascii="Times New Roman" w:hAnsi="Times New Roman"/>
                <w:color w:val="auto"/>
                <w:szCs w:val="2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p>
        </w:tc>
        <w:tc>
          <w:tcPr>
            <w:tcW w:w="1909" w:type="pct"/>
            <w:gridSpan w:val="2"/>
            <w:noWrap w:val="0"/>
            <w:vAlign w:val="center"/>
          </w:tcPr>
          <w:p>
            <w:pPr>
              <w:jc w:val="center"/>
              <w:rPr>
                <w:rFonts w:ascii="Times New Roman" w:hAnsi="Times New Roman"/>
                <w:color w:val="auto"/>
                <w:szCs w:val="22"/>
                <w:highlight w:val="none"/>
              </w:rPr>
            </w:pPr>
          </w:p>
        </w:tc>
        <w:tc>
          <w:tcPr>
            <w:tcW w:w="874" w:type="pct"/>
            <w:gridSpan w:val="2"/>
            <w:noWrap w:val="0"/>
            <w:vAlign w:val="center"/>
          </w:tcPr>
          <w:p>
            <w:pPr>
              <w:jc w:val="center"/>
              <w:rPr>
                <w:rFonts w:ascii="Times New Roman" w:hAnsi="Times New Roman"/>
                <w:color w:val="auto"/>
                <w:szCs w:val="22"/>
                <w:highlight w:val="none"/>
              </w:rPr>
            </w:pPr>
          </w:p>
        </w:tc>
        <w:tc>
          <w:tcPr>
            <w:tcW w:w="725" w:type="pct"/>
            <w:noWrap w:val="0"/>
            <w:vAlign w:val="center"/>
          </w:tcPr>
          <w:p>
            <w:pPr>
              <w:jc w:val="center"/>
              <w:rPr>
                <w:rFonts w:ascii="Times New Roman" w:hAnsi="Times New Roman"/>
                <w:color w:val="auto"/>
                <w:szCs w:val="22"/>
                <w:highlight w:val="none"/>
              </w:rPr>
            </w:pPr>
          </w:p>
        </w:tc>
        <w:tc>
          <w:tcPr>
            <w:tcW w:w="677" w:type="pct"/>
            <w:noWrap w:val="0"/>
            <w:vAlign w:val="center"/>
          </w:tcPr>
          <w:p>
            <w:pPr>
              <w:jc w:val="center"/>
              <w:rPr>
                <w:rFonts w:ascii="Times New Roman" w:hAnsi="Times New Roman"/>
                <w:color w:val="auto"/>
                <w:szCs w:val="2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p>
        </w:tc>
        <w:tc>
          <w:tcPr>
            <w:tcW w:w="1909" w:type="pct"/>
            <w:gridSpan w:val="2"/>
            <w:noWrap w:val="0"/>
            <w:vAlign w:val="center"/>
          </w:tcPr>
          <w:p>
            <w:pPr>
              <w:jc w:val="center"/>
              <w:rPr>
                <w:rFonts w:ascii="Times New Roman" w:hAnsi="Times New Roman"/>
                <w:color w:val="auto"/>
                <w:szCs w:val="22"/>
                <w:highlight w:val="none"/>
              </w:rPr>
            </w:pPr>
          </w:p>
        </w:tc>
        <w:tc>
          <w:tcPr>
            <w:tcW w:w="874" w:type="pct"/>
            <w:gridSpan w:val="2"/>
            <w:noWrap w:val="0"/>
            <w:vAlign w:val="center"/>
          </w:tcPr>
          <w:p>
            <w:pPr>
              <w:jc w:val="center"/>
              <w:rPr>
                <w:rFonts w:ascii="Times New Roman" w:hAnsi="Times New Roman"/>
                <w:color w:val="auto"/>
                <w:szCs w:val="22"/>
                <w:highlight w:val="none"/>
              </w:rPr>
            </w:pPr>
          </w:p>
        </w:tc>
        <w:tc>
          <w:tcPr>
            <w:tcW w:w="725" w:type="pct"/>
            <w:noWrap w:val="0"/>
            <w:vAlign w:val="center"/>
          </w:tcPr>
          <w:p>
            <w:pPr>
              <w:jc w:val="center"/>
              <w:rPr>
                <w:rFonts w:ascii="Times New Roman" w:hAnsi="Times New Roman"/>
                <w:color w:val="auto"/>
                <w:szCs w:val="22"/>
                <w:highlight w:val="none"/>
              </w:rPr>
            </w:pPr>
          </w:p>
        </w:tc>
        <w:tc>
          <w:tcPr>
            <w:tcW w:w="677" w:type="pct"/>
            <w:noWrap w:val="0"/>
            <w:vAlign w:val="center"/>
          </w:tcPr>
          <w:p>
            <w:pPr>
              <w:jc w:val="center"/>
              <w:rPr>
                <w:rFonts w:ascii="Times New Roman" w:hAnsi="Times New Roman"/>
                <w:color w:val="auto"/>
                <w:szCs w:val="2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4" w:type="pct"/>
            <w:noWrap w:val="0"/>
            <w:vAlign w:val="center"/>
          </w:tcPr>
          <w:p>
            <w:pPr>
              <w:jc w:val="center"/>
              <w:rPr>
                <w:rFonts w:ascii="Times New Roman" w:hAnsi="Times New Roman"/>
                <w:color w:val="auto"/>
                <w:szCs w:val="22"/>
                <w:highlight w:val="none"/>
              </w:rPr>
            </w:pPr>
          </w:p>
        </w:tc>
        <w:tc>
          <w:tcPr>
            <w:tcW w:w="1909" w:type="pct"/>
            <w:gridSpan w:val="2"/>
            <w:noWrap w:val="0"/>
            <w:vAlign w:val="center"/>
          </w:tcPr>
          <w:p>
            <w:pPr>
              <w:jc w:val="center"/>
              <w:rPr>
                <w:rFonts w:ascii="Times New Roman" w:hAnsi="Times New Roman"/>
                <w:color w:val="auto"/>
                <w:szCs w:val="22"/>
                <w:highlight w:val="none"/>
              </w:rPr>
            </w:pPr>
          </w:p>
        </w:tc>
        <w:tc>
          <w:tcPr>
            <w:tcW w:w="874" w:type="pct"/>
            <w:gridSpan w:val="2"/>
            <w:noWrap w:val="0"/>
            <w:vAlign w:val="center"/>
          </w:tcPr>
          <w:p>
            <w:pPr>
              <w:jc w:val="center"/>
              <w:rPr>
                <w:rFonts w:ascii="Times New Roman" w:hAnsi="Times New Roman"/>
                <w:color w:val="auto"/>
                <w:szCs w:val="22"/>
                <w:highlight w:val="none"/>
              </w:rPr>
            </w:pPr>
          </w:p>
        </w:tc>
        <w:tc>
          <w:tcPr>
            <w:tcW w:w="725" w:type="pct"/>
            <w:noWrap w:val="0"/>
            <w:vAlign w:val="center"/>
          </w:tcPr>
          <w:p>
            <w:pPr>
              <w:jc w:val="center"/>
              <w:rPr>
                <w:rFonts w:ascii="Times New Roman" w:hAnsi="Times New Roman"/>
                <w:color w:val="auto"/>
                <w:szCs w:val="22"/>
                <w:highlight w:val="none"/>
              </w:rPr>
            </w:pPr>
          </w:p>
        </w:tc>
        <w:tc>
          <w:tcPr>
            <w:tcW w:w="677" w:type="pct"/>
            <w:noWrap w:val="0"/>
            <w:vAlign w:val="center"/>
          </w:tcPr>
          <w:p>
            <w:pPr>
              <w:jc w:val="center"/>
              <w:rPr>
                <w:rFonts w:ascii="Times New Roman" w:hAnsi="Times New Roman"/>
                <w:color w:val="auto"/>
                <w:szCs w:val="22"/>
                <w:highlight w:val="none"/>
              </w:rPr>
            </w:pPr>
          </w:p>
        </w:tc>
      </w:tr>
    </w:tbl>
    <w:p>
      <w:pPr>
        <w:adjustRightInd w:val="0"/>
        <w:spacing w:line="360" w:lineRule="exact"/>
        <w:rPr>
          <w:b/>
          <w:color w:val="auto"/>
          <w:szCs w:val="21"/>
          <w:highlight w:val="none"/>
        </w:rPr>
      </w:pPr>
      <w:r>
        <w:rPr>
          <w:b/>
          <w:color w:val="auto"/>
          <w:szCs w:val="21"/>
          <w:highlight w:val="none"/>
        </w:rPr>
        <w:t>项目总监应附证明材料</w:t>
      </w:r>
      <w:r>
        <w:rPr>
          <w:rFonts w:hint="eastAsia"/>
          <w:b/>
          <w:color w:val="auto"/>
          <w:szCs w:val="21"/>
          <w:highlight w:val="none"/>
        </w:rPr>
        <w:t>（提交材料应包括技术评分标准要求）</w:t>
      </w:r>
      <w:r>
        <w:rPr>
          <w:b/>
          <w:color w:val="auto"/>
          <w:szCs w:val="21"/>
          <w:highlight w:val="none"/>
        </w:rPr>
        <w:t>：</w:t>
      </w:r>
    </w:p>
    <w:p>
      <w:pPr>
        <w:numPr>
          <w:ilvl w:val="0"/>
          <w:numId w:val="14"/>
        </w:numPr>
        <w:adjustRightInd w:val="0"/>
        <w:spacing w:line="360" w:lineRule="exact"/>
        <w:ind w:left="0" w:firstLine="0" w:firstLineChars="0"/>
        <w:rPr>
          <w:color w:val="auto"/>
          <w:szCs w:val="21"/>
          <w:highlight w:val="none"/>
        </w:rPr>
      </w:pPr>
      <w:r>
        <w:rPr>
          <w:b/>
          <w:color w:val="auto"/>
          <w:szCs w:val="21"/>
          <w:highlight w:val="none"/>
        </w:rPr>
        <w:t>国家注册监理工程师证书扫描件</w:t>
      </w:r>
      <w:r>
        <w:rPr>
          <w:rFonts w:hint="eastAsia"/>
          <w:b/>
          <w:color w:val="auto"/>
          <w:szCs w:val="21"/>
          <w:highlight w:val="none"/>
        </w:rPr>
        <w:t>（含证书编号页）</w:t>
      </w:r>
      <w:r>
        <w:rPr>
          <w:color w:val="auto"/>
          <w:szCs w:val="21"/>
          <w:highlight w:val="none"/>
        </w:rPr>
        <w:t>；</w:t>
      </w:r>
    </w:p>
    <w:p>
      <w:pPr>
        <w:numPr>
          <w:ilvl w:val="0"/>
          <w:numId w:val="14"/>
        </w:numPr>
        <w:adjustRightInd w:val="0"/>
        <w:spacing w:line="360" w:lineRule="exact"/>
        <w:ind w:left="0" w:firstLine="0" w:firstLineChars="0"/>
        <w:rPr>
          <w:color w:val="auto"/>
          <w:szCs w:val="21"/>
          <w:highlight w:val="none"/>
        </w:rPr>
      </w:pPr>
      <w:r>
        <w:rPr>
          <w:b/>
          <w:color w:val="auto"/>
          <w:szCs w:val="21"/>
          <w:highlight w:val="none"/>
        </w:rPr>
        <w:t>身份证</w:t>
      </w:r>
      <w:r>
        <w:rPr>
          <w:bCs/>
          <w:color w:val="auto"/>
          <w:szCs w:val="21"/>
          <w:highlight w:val="none"/>
        </w:rPr>
        <w:t>扫描件</w:t>
      </w:r>
      <w:r>
        <w:rPr>
          <w:color w:val="auto"/>
          <w:szCs w:val="21"/>
          <w:highlight w:val="none"/>
        </w:rPr>
        <w:t>；</w:t>
      </w:r>
    </w:p>
    <w:p>
      <w:pPr>
        <w:numPr>
          <w:ilvl w:val="0"/>
          <w:numId w:val="14"/>
        </w:numPr>
        <w:adjustRightInd w:val="0"/>
        <w:spacing w:line="360" w:lineRule="exact"/>
        <w:ind w:left="0" w:firstLine="0" w:firstLineChars="0"/>
        <w:rPr>
          <w:color w:val="auto"/>
          <w:szCs w:val="21"/>
          <w:highlight w:val="none"/>
        </w:rPr>
      </w:pPr>
      <w:r>
        <w:rPr>
          <w:color w:val="auto"/>
          <w:szCs w:val="21"/>
          <w:highlight w:val="none"/>
        </w:rPr>
        <w:t>投标截止日前2个月内开具的社会保险扫描件，或与投标人签署的劳动合同，或其他证明材料。社会保险由上级主管单位统一缴纳的，可提供由上级主管单位出具的统一缴纳证明，证明中应包含拟任关键人员姓名及身份证号；</w:t>
      </w:r>
    </w:p>
    <w:p>
      <w:pPr>
        <w:numPr>
          <w:ilvl w:val="0"/>
          <w:numId w:val="14"/>
        </w:numPr>
        <w:adjustRightInd w:val="0"/>
        <w:spacing w:line="360" w:lineRule="exact"/>
        <w:ind w:left="0" w:firstLine="0" w:firstLineChars="0"/>
        <w:rPr>
          <w:color w:val="auto"/>
          <w:szCs w:val="21"/>
          <w:highlight w:val="none"/>
        </w:rPr>
      </w:pPr>
      <w:r>
        <w:rPr>
          <w:color w:val="auto"/>
          <w:szCs w:val="21"/>
          <w:highlight w:val="none"/>
        </w:rPr>
        <w:t>上表所有列出每一项业绩的证明材料，包括但不限于：合同协议书，或合同正文，或任职证明，或业主证明，或其他证明材料扫描件。</w:t>
      </w:r>
      <w:r>
        <w:rPr>
          <w:b/>
          <w:bCs/>
          <w:color w:val="auto"/>
          <w:szCs w:val="21"/>
          <w:highlight w:val="none"/>
        </w:rPr>
        <w:t>每项业绩均需附业绩证明材料，证明材料中必须能够体现本人姓名以及任职项目职位等信息。</w:t>
      </w:r>
    </w:p>
    <w:p>
      <w:pPr>
        <w:adjustRightInd w:val="0"/>
        <w:spacing w:line="360" w:lineRule="exact"/>
        <w:rPr>
          <w:rFonts w:hint="eastAsia" w:eastAsia="宋体"/>
          <w:color w:val="auto"/>
          <w:szCs w:val="22"/>
          <w:highlight w:val="none"/>
          <w:lang w:eastAsia="zh-CN"/>
        </w:rPr>
      </w:pPr>
      <w:r>
        <w:rPr>
          <w:color w:val="auto"/>
          <w:szCs w:val="22"/>
          <w:highlight w:val="none"/>
        </w:rPr>
        <w:br w:type="page"/>
      </w:r>
      <w:r>
        <w:rPr>
          <w:color w:val="auto"/>
          <w:szCs w:val="22"/>
          <w:highlight w:val="none"/>
        </w:rPr>
        <w:t>2）</w:t>
      </w:r>
      <w:r>
        <w:rPr>
          <w:rFonts w:hint="eastAsia"/>
          <w:color w:val="auto"/>
          <w:szCs w:val="22"/>
          <w:highlight w:val="none"/>
        </w:rPr>
        <w:t>（</w:t>
      </w:r>
      <w:r>
        <w:rPr>
          <w:rFonts w:hint="eastAsia" w:ascii="宋体" w:hAnsi="宋体" w:cs="宋体"/>
          <w:b/>
          <w:bCs/>
          <w:color w:val="auto"/>
          <w:kern w:val="0"/>
          <w:szCs w:val="21"/>
          <w:highlight w:val="none"/>
        </w:rPr>
        <w:t>项目</w:t>
      </w:r>
      <w:r>
        <w:rPr>
          <w:rFonts w:hint="eastAsia"/>
          <w:color w:val="auto"/>
          <w:szCs w:val="22"/>
          <w:highlight w:val="none"/>
        </w:rPr>
        <w:t>）</w:t>
      </w:r>
      <w:r>
        <w:rPr>
          <w:rFonts w:hint="eastAsia" w:ascii="宋体" w:hAnsi="宋体" w:cs="宋体"/>
          <w:b/>
          <w:bCs/>
          <w:color w:val="auto"/>
          <w:kern w:val="0"/>
          <w:szCs w:val="21"/>
          <w:highlight w:val="none"/>
        </w:rPr>
        <w:t>安全总监</w:t>
      </w:r>
      <w:r>
        <w:rPr>
          <w:color w:val="auto"/>
          <w:szCs w:val="22"/>
          <w:highlight w:val="none"/>
        </w:rPr>
        <w:t>简历及证明材料</w:t>
      </w:r>
      <w:r>
        <w:rPr>
          <w:rFonts w:hint="eastAsia"/>
          <w:color w:val="auto"/>
          <w:szCs w:val="22"/>
          <w:highlight w:val="none"/>
          <w:lang w:eastAsia="zh-CN"/>
        </w:rPr>
        <w:t>（若有）</w:t>
      </w:r>
    </w:p>
    <w:p>
      <w:pPr>
        <w:widowControl/>
        <w:spacing w:before="156" w:beforeLines="50"/>
        <w:jc w:val="center"/>
        <w:rPr>
          <w:b/>
          <w:bCs/>
          <w:color w:val="auto"/>
          <w:szCs w:val="22"/>
          <w:highlight w:val="none"/>
        </w:rPr>
      </w:pPr>
      <w:r>
        <w:rPr>
          <w:rFonts w:hint="eastAsia" w:ascii="宋体" w:hAnsi="宋体" w:cs="宋体"/>
          <w:b/>
          <w:bCs/>
          <w:color w:val="auto"/>
          <w:kern w:val="0"/>
          <w:szCs w:val="21"/>
          <w:highlight w:val="none"/>
        </w:rPr>
        <w:t>项目安全总监</w:t>
      </w:r>
      <w:r>
        <w:rPr>
          <w:b/>
          <w:bCs/>
          <w:color w:val="auto"/>
          <w:szCs w:val="22"/>
          <w:highlight w:val="none"/>
        </w:rPr>
        <w:t>简历表</w:t>
      </w:r>
    </w:p>
    <w:tbl>
      <w:tblPr>
        <w:tblStyle w:val="19"/>
        <w:tblW w:w="5000" w:type="pct"/>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autofit"/>
        <w:tblCellMar>
          <w:top w:w="0" w:type="dxa"/>
          <w:left w:w="108" w:type="dxa"/>
          <w:bottom w:w="0" w:type="dxa"/>
          <w:right w:w="108" w:type="dxa"/>
        </w:tblCellMar>
      </w:tblPr>
      <w:tblGrid>
        <w:gridCol w:w="1230"/>
        <w:gridCol w:w="19"/>
        <w:gridCol w:w="1972"/>
        <w:gridCol w:w="130"/>
        <w:gridCol w:w="1299"/>
        <w:gridCol w:w="1084"/>
        <w:gridCol w:w="1774"/>
        <w:gridCol w:w="5"/>
        <w:gridCol w:w="1009"/>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9"/>
            <w:noWrap w:val="0"/>
            <w:vAlign w:val="center"/>
          </w:tcPr>
          <w:p>
            <w:pPr>
              <w:jc w:val="center"/>
              <w:rPr>
                <w:rFonts w:ascii="Times New Roman" w:hAnsi="Times New Roman"/>
                <w:b/>
                <w:color w:val="auto"/>
                <w:szCs w:val="22"/>
                <w:highlight w:val="none"/>
              </w:rPr>
            </w:pPr>
            <w:r>
              <w:rPr>
                <w:rFonts w:hint="eastAsia" w:ascii="宋体" w:hAnsi="宋体" w:cs="宋体"/>
                <w:b/>
                <w:bCs/>
                <w:color w:val="auto"/>
                <w:kern w:val="0"/>
                <w:szCs w:val="21"/>
                <w:highlight w:val="none"/>
              </w:rPr>
              <w:t>项目安全总监、安全副总监</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22"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姓名</w:t>
            </w:r>
          </w:p>
        </w:tc>
        <w:tc>
          <w:tcPr>
            <w:tcW w:w="1168" w:type="pct"/>
            <w:gridSpan w:val="2"/>
            <w:noWrap w:val="0"/>
            <w:vAlign w:val="center"/>
          </w:tcPr>
          <w:p>
            <w:pPr>
              <w:jc w:val="center"/>
              <w:rPr>
                <w:rFonts w:ascii="Times New Roman" w:hAnsi="Times New Roman"/>
                <w:color w:val="auto"/>
                <w:szCs w:val="22"/>
                <w:highlight w:val="none"/>
              </w:rPr>
            </w:pPr>
          </w:p>
        </w:tc>
        <w:tc>
          <w:tcPr>
            <w:tcW w:w="838"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身份证号</w:t>
            </w:r>
          </w:p>
        </w:tc>
        <w:tc>
          <w:tcPr>
            <w:tcW w:w="636" w:type="pct"/>
            <w:noWrap w:val="0"/>
            <w:vAlign w:val="center"/>
          </w:tcPr>
          <w:p>
            <w:pPr>
              <w:jc w:val="center"/>
              <w:rPr>
                <w:rFonts w:ascii="Times New Roman" w:hAnsi="Times New Roman"/>
                <w:color w:val="auto"/>
                <w:szCs w:val="22"/>
                <w:highlight w:val="none"/>
              </w:rPr>
            </w:pPr>
          </w:p>
        </w:tc>
        <w:tc>
          <w:tcPr>
            <w:tcW w:w="1044"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学历</w:t>
            </w:r>
          </w:p>
        </w:tc>
        <w:tc>
          <w:tcPr>
            <w:tcW w:w="589"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22"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职称</w:t>
            </w:r>
          </w:p>
        </w:tc>
        <w:tc>
          <w:tcPr>
            <w:tcW w:w="1168" w:type="pct"/>
            <w:gridSpan w:val="2"/>
            <w:noWrap w:val="0"/>
            <w:vAlign w:val="center"/>
          </w:tcPr>
          <w:p>
            <w:pPr>
              <w:jc w:val="center"/>
              <w:rPr>
                <w:rFonts w:ascii="Times New Roman" w:hAnsi="Times New Roman"/>
                <w:color w:val="auto"/>
                <w:szCs w:val="22"/>
                <w:highlight w:val="none"/>
              </w:rPr>
            </w:pPr>
          </w:p>
        </w:tc>
        <w:tc>
          <w:tcPr>
            <w:tcW w:w="838"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计划入场时间</w:t>
            </w:r>
          </w:p>
        </w:tc>
        <w:tc>
          <w:tcPr>
            <w:tcW w:w="636" w:type="pct"/>
            <w:noWrap w:val="0"/>
            <w:vAlign w:val="center"/>
          </w:tcPr>
          <w:p>
            <w:pPr>
              <w:jc w:val="center"/>
              <w:rPr>
                <w:rFonts w:ascii="Times New Roman" w:hAnsi="Times New Roman"/>
                <w:color w:val="auto"/>
                <w:szCs w:val="22"/>
                <w:highlight w:val="none"/>
              </w:rPr>
            </w:pPr>
          </w:p>
        </w:tc>
        <w:tc>
          <w:tcPr>
            <w:tcW w:w="1044"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计划退场时间</w:t>
            </w:r>
          </w:p>
        </w:tc>
        <w:tc>
          <w:tcPr>
            <w:tcW w:w="589"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9"/>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主要工作经历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3"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起止时间</w:t>
            </w:r>
          </w:p>
        </w:tc>
        <w:tc>
          <w:tcPr>
            <w:tcW w:w="1233"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工程名称</w:t>
            </w:r>
          </w:p>
        </w:tc>
        <w:tc>
          <w:tcPr>
            <w:tcW w:w="1398" w:type="pct"/>
            <w:gridSpan w:val="2"/>
            <w:tcBorders>
              <w:bottom w:val="single" w:color="auto" w:sz="4" w:space="0"/>
              <w:right w:val="single" w:color="auto" w:sz="4" w:space="0"/>
            </w:tcBorders>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工程规模</w:t>
            </w:r>
          </w:p>
        </w:tc>
        <w:tc>
          <w:tcPr>
            <w:tcW w:w="1041" w:type="pct"/>
            <w:tcBorders>
              <w:left w:val="single" w:color="auto" w:sz="4" w:space="0"/>
            </w:tcBorders>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工作内容</w:t>
            </w:r>
          </w:p>
        </w:tc>
        <w:tc>
          <w:tcPr>
            <w:tcW w:w="593"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3" w:type="pct"/>
            <w:gridSpan w:val="2"/>
            <w:noWrap w:val="0"/>
            <w:vAlign w:val="center"/>
          </w:tcPr>
          <w:p>
            <w:pPr>
              <w:jc w:val="center"/>
              <w:rPr>
                <w:rFonts w:ascii="Times New Roman" w:hAnsi="Times New Roman"/>
                <w:color w:val="auto"/>
                <w:szCs w:val="22"/>
                <w:highlight w:val="none"/>
              </w:rPr>
            </w:pPr>
          </w:p>
        </w:tc>
        <w:tc>
          <w:tcPr>
            <w:tcW w:w="1233" w:type="pct"/>
            <w:gridSpan w:val="2"/>
            <w:noWrap w:val="0"/>
            <w:vAlign w:val="center"/>
          </w:tcPr>
          <w:p>
            <w:pPr>
              <w:jc w:val="center"/>
              <w:rPr>
                <w:rFonts w:ascii="Times New Roman" w:hAnsi="Times New Roman"/>
                <w:color w:val="auto"/>
                <w:szCs w:val="22"/>
                <w:highlight w:val="none"/>
              </w:rPr>
            </w:pPr>
          </w:p>
        </w:tc>
        <w:tc>
          <w:tcPr>
            <w:tcW w:w="1398"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1041" w:type="pct"/>
            <w:tcBorders>
              <w:left w:val="single" w:color="auto" w:sz="4" w:space="0"/>
            </w:tcBorders>
            <w:noWrap w:val="0"/>
            <w:vAlign w:val="center"/>
          </w:tcPr>
          <w:p>
            <w:pPr>
              <w:jc w:val="center"/>
              <w:rPr>
                <w:rFonts w:ascii="Times New Roman" w:hAnsi="Times New Roman"/>
                <w:color w:val="auto"/>
                <w:szCs w:val="22"/>
                <w:highlight w:val="none"/>
              </w:rPr>
            </w:pPr>
          </w:p>
        </w:tc>
        <w:tc>
          <w:tcPr>
            <w:tcW w:w="593" w:type="pct"/>
            <w:gridSpan w:val="2"/>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3" w:type="pct"/>
            <w:gridSpan w:val="2"/>
            <w:noWrap w:val="0"/>
            <w:vAlign w:val="center"/>
          </w:tcPr>
          <w:p>
            <w:pPr>
              <w:jc w:val="center"/>
              <w:rPr>
                <w:rFonts w:ascii="Times New Roman" w:hAnsi="Times New Roman"/>
                <w:color w:val="auto"/>
                <w:szCs w:val="22"/>
                <w:highlight w:val="none"/>
              </w:rPr>
            </w:pPr>
          </w:p>
        </w:tc>
        <w:tc>
          <w:tcPr>
            <w:tcW w:w="1233" w:type="pct"/>
            <w:gridSpan w:val="2"/>
            <w:noWrap w:val="0"/>
            <w:vAlign w:val="center"/>
          </w:tcPr>
          <w:p>
            <w:pPr>
              <w:jc w:val="center"/>
              <w:rPr>
                <w:rFonts w:ascii="Times New Roman" w:hAnsi="Times New Roman"/>
                <w:color w:val="auto"/>
                <w:szCs w:val="22"/>
                <w:highlight w:val="none"/>
              </w:rPr>
            </w:pPr>
          </w:p>
        </w:tc>
        <w:tc>
          <w:tcPr>
            <w:tcW w:w="1398"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1041" w:type="pct"/>
            <w:tcBorders>
              <w:left w:val="single" w:color="auto" w:sz="4" w:space="0"/>
            </w:tcBorders>
            <w:noWrap w:val="0"/>
            <w:vAlign w:val="center"/>
          </w:tcPr>
          <w:p>
            <w:pPr>
              <w:jc w:val="center"/>
              <w:rPr>
                <w:rFonts w:ascii="Times New Roman" w:hAnsi="Times New Roman"/>
                <w:color w:val="auto"/>
                <w:szCs w:val="22"/>
                <w:highlight w:val="none"/>
              </w:rPr>
            </w:pPr>
          </w:p>
        </w:tc>
        <w:tc>
          <w:tcPr>
            <w:tcW w:w="593" w:type="pct"/>
            <w:gridSpan w:val="2"/>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3" w:type="pct"/>
            <w:gridSpan w:val="2"/>
            <w:noWrap w:val="0"/>
            <w:vAlign w:val="center"/>
          </w:tcPr>
          <w:p>
            <w:pPr>
              <w:jc w:val="center"/>
              <w:rPr>
                <w:rFonts w:ascii="Times New Roman" w:hAnsi="Times New Roman"/>
                <w:color w:val="auto"/>
                <w:szCs w:val="22"/>
                <w:highlight w:val="none"/>
              </w:rPr>
            </w:pPr>
          </w:p>
        </w:tc>
        <w:tc>
          <w:tcPr>
            <w:tcW w:w="1233" w:type="pct"/>
            <w:gridSpan w:val="2"/>
            <w:noWrap w:val="0"/>
            <w:vAlign w:val="center"/>
          </w:tcPr>
          <w:p>
            <w:pPr>
              <w:jc w:val="center"/>
              <w:rPr>
                <w:rFonts w:ascii="Times New Roman" w:hAnsi="Times New Roman"/>
                <w:color w:val="auto"/>
                <w:szCs w:val="22"/>
                <w:highlight w:val="none"/>
              </w:rPr>
            </w:pPr>
          </w:p>
        </w:tc>
        <w:tc>
          <w:tcPr>
            <w:tcW w:w="1398"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1041" w:type="pct"/>
            <w:tcBorders>
              <w:left w:val="single" w:color="auto" w:sz="4" w:space="0"/>
            </w:tcBorders>
            <w:noWrap w:val="0"/>
            <w:vAlign w:val="center"/>
          </w:tcPr>
          <w:p>
            <w:pPr>
              <w:jc w:val="center"/>
              <w:rPr>
                <w:rFonts w:ascii="Times New Roman" w:hAnsi="Times New Roman"/>
                <w:color w:val="auto"/>
                <w:szCs w:val="22"/>
                <w:highlight w:val="none"/>
              </w:rPr>
            </w:pPr>
          </w:p>
        </w:tc>
        <w:tc>
          <w:tcPr>
            <w:tcW w:w="593" w:type="pct"/>
            <w:gridSpan w:val="2"/>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3" w:type="pct"/>
            <w:gridSpan w:val="2"/>
            <w:noWrap w:val="0"/>
            <w:vAlign w:val="center"/>
          </w:tcPr>
          <w:p>
            <w:pPr>
              <w:jc w:val="center"/>
              <w:rPr>
                <w:rFonts w:ascii="Times New Roman" w:hAnsi="Times New Roman"/>
                <w:color w:val="auto"/>
                <w:szCs w:val="22"/>
                <w:highlight w:val="none"/>
              </w:rPr>
            </w:pPr>
          </w:p>
        </w:tc>
        <w:tc>
          <w:tcPr>
            <w:tcW w:w="1233" w:type="pct"/>
            <w:gridSpan w:val="2"/>
            <w:noWrap w:val="0"/>
            <w:vAlign w:val="center"/>
          </w:tcPr>
          <w:p>
            <w:pPr>
              <w:jc w:val="center"/>
              <w:rPr>
                <w:rFonts w:ascii="Times New Roman" w:hAnsi="Times New Roman"/>
                <w:color w:val="auto"/>
                <w:szCs w:val="22"/>
                <w:highlight w:val="none"/>
              </w:rPr>
            </w:pPr>
          </w:p>
        </w:tc>
        <w:tc>
          <w:tcPr>
            <w:tcW w:w="1398" w:type="pct"/>
            <w:gridSpan w:val="2"/>
            <w:tcBorders>
              <w:right w:val="single" w:color="auto" w:sz="4" w:space="0"/>
            </w:tcBorders>
            <w:noWrap w:val="0"/>
            <w:vAlign w:val="center"/>
          </w:tcPr>
          <w:p>
            <w:pPr>
              <w:jc w:val="center"/>
              <w:rPr>
                <w:rFonts w:ascii="Times New Roman" w:hAnsi="Times New Roman"/>
                <w:color w:val="auto"/>
                <w:szCs w:val="22"/>
                <w:highlight w:val="none"/>
              </w:rPr>
            </w:pPr>
          </w:p>
        </w:tc>
        <w:tc>
          <w:tcPr>
            <w:tcW w:w="1041" w:type="pct"/>
            <w:tcBorders>
              <w:left w:val="single" w:color="auto" w:sz="4" w:space="0"/>
            </w:tcBorders>
            <w:noWrap w:val="0"/>
            <w:vAlign w:val="center"/>
          </w:tcPr>
          <w:p>
            <w:pPr>
              <w:jc w:val="center"/>
              <w:rPr>
                <w:rFonts w:ascii="Times New Roman" w:hAnsi="Times New Roman"/>
                <w:color w:val="auto"/>
                <w:szCs w:val="22"/>
                <w:highlight w:val="none"/>
              </w:rPr>
            </w:pPr>
          </w:p>
        </w:tc>
        <w:tc>
          <w:tcPr>
            <w:tcW w:w="593" w:type="pct"/>
            <w:gridSpan w:val="2"/>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9"/>
            <w:noWrap w:val="0"/>
            <w:vAlign w:val="center"/>
          </w:tcPr>
          <w:p>
            <w:pPr>
              <w:rPr>
                <w:rFonts w:ascii="Times New Roman" w:hAnsi="Times New Roman"/>
                <w:b/>
                <w:color w:val="auto"/>
                <w:szCs w:val="22"/>
                <w:highlight w:val="none"/>
              </w:rPr>
            </w:pPr>
            <w:r>
              <w:rPr>
                <w:rFonts w:ascii="Times New Roman" w:hAnsi="Times New Roman"/>
                <w:b/>
                <w:color w:val="auto"/>
                <w:szCs w:val="22"/>
                <w:highlight w:val="none"/>
              </w:rPr>
              <w:t>注：</w:t>
            </w:r>
          </w:p>
          <w:p>
            <w:pPr>
              <w:rPr>
                <w:rFonts w:ascii="Times New Roman" w:hAnsi="Times New Roman"/>
                <w:color w:val="auto"/>
                <w:szCs w:val="22"/>
                <w:highlight w:val="none"/>
              </w:rPr>
            </w:pPr>
            <w:r>
              <w:rPr>
                <w:rFonts w:ascii="Times New Roman" w:hAnsi="Times New Roman"/>
                <w:b/>
                <w:color w:val="auto"/>
                <w:szCs w:val="22"/>
                <w:highlight w:val="none"/>
              </w:rPr>
              <w:t>应列出招标公告中要求的业绩及工作经历。</w:t>
            </w:r>
          </w:p>
        </w:tc>
      </w:tr>
    </w:tbl>
    <w:p>
      <w:pPr>
        <w:adjustRightInd w:val="0"/>
        <w:spacing w:line="360" w:lineRule="exact"/>
        <w:rPr>
          <w:b/>
          <w:color w:val="auto"/>
          <w:szCs w:val="21"/>
          <w:highlight w:val="none"/>
        </w:rPr>
      </w:pPr>
      <w:r>
        <w:rPr>
          <w:rFonts w:hint="eastAsia" w:ascii="宋体" w:hAnsi="宋体" w:cs="宋体"/>
          <w:b/>
          <w:bCs/>
          <w:color w:val="auto"/>
          <w:kern w:val="0"/>
          <w:szCs w:val="21"/>
          <w:highlight w:val="none"/>
        </w:rPr>
        <w:t>项目安全总监</w:t>
      </w:r>
      <w:r>
        <w:rPr>
          <w:b/>
          <w:color w:val="auto"/>
          <w:szCs w:val="21"/>
          <w:highlight w:val="none"/>
        </w:rPr>
        <w:t>应附证明材料</w:t>
      </w:r>
      <w:r>
        <w:rPr>
          <w:rFonts w:hint="eastAsia"/>
          <w:b/>
          <w:color w:val="auto"/>
          <w:szCs w:val="21"/>
          <w:highlight w:val="none"/>
        </w:rPr>
        <w:t>（提交材料应包括技术评分标准要求）</w:t>
      </w:r>
      <w:r>
        <w:rPr>
          <w:b/>
          <w:color w:val="auto"/>
          <w:szCs w:val="21"/>
          <w:highlight w:val="none"/>
        </w:rPr>
        <w:t>：</w:t>
      </w:r>
    </w:p>
    <w:p>
      <w:pPr>
        <w:adjustRightInd w:val="0"/>
        <w:spacing w:line="360" w:lineRule="exact"/>
        <w:rPr>
          <w:color w:val="auto"/>
          <w:szCs w:val="21"/>
          <w:highlight w:val="none"/>
        </w:rPr>
      </w:pPr>
      <w:r>
        <w:rPr>
          <w:bCs/>
          <w:color w:val="auto"/>
          <w:szCs w:val="21"/>
          <w:highlight w:val="none"/>
        </w:rPr>
        <w:t>（1）</w:t>
      </w:r>
      <w:r>
        <w:rPr>
          <w:b/>
          <w:color w:val="auto"/>
          <w:szCs w:val="21"/>
          <w:highlight w:val="none"/>
        </w:rPr>
        <w:t>身份证</w:t>
      </w:r>
      <w:r>
        <w:rPr>
          <w:bCs/>
          <w:color w:val="auto"/>
          <w:szCs w:val="21"/>
          <w:highlight w:val="none"/>
        </w:rPr>
        <w:t>扫描件</w:t>
      </w:r>
      <w:r>
        <w:rPr>
          <w:color w:val="auto"/>
          <w:szCs w:val="21"/>
          <w:highlight w:val="none"/>
        </w:rPr>
        <w:t>；</w:t>
      </w:r>
    </w:p>
    <w:p>
      <w:pPr>
        <w:rPr>
          <w:rFonts w:ascii="宋体" w:hAnsi="宋体"/>
          <w:color w:val="auto"/>
          <w:highlight w:val="none"/>
        </w:rPr>
      </w:pPr>
      <w:r>
        <w:rPr>
          <w:rFonts w:hint="eastAsia"/>
          <w:color w:val="auto"/>
          <w:szCs w:val="21"/>
          <w:highlight w:val="none"/>
        </w:rPr>
        <w:t>（2）</w:t>
      </w:r>
      <w:r>
        <w:rPr>
          <w:rFonts w:ascii="宋体" w:hAnsi="宋体"/>
          <w:color w:val="auto"/>
          <w:highlight w:val="none"/>
        </w:rPr>
        <w:t>如下资质证明其中之一：</w:t>
      </w:r>
      <w:r>
        <w:rPr>
          <w:rFonts w:ascii="宋体" w:hAnsi="宋体"/>
          <w:b/>
          <w:bCs/>
          <w:color w:val="auto"/>
          <w:highlight w:val="none"/>
        </w:rPr>
        <w:t>注册安全</w:t>
      </w:r>
      <w:r>
        <w:rPr>
          <w:rFonts w:hint="eastAsia" w:ascii="宋体" w:hAnsi="宋体"/>
          <w:b/>
          <w:bCs/>
          <w:color w:val="auto"/>
          <w:highlight w:val="none"/>
          <w:lang w:eastAsia="zh-CN"/>
        </w:rPr>
        <w:t>工程</w:t>
      </w:r>
      <w:r>
        <w:rPr>
          <w:rFonts w:ascii="宋体" w:hAnsi="宋体"/>
          <w:b/>
          <w:bCs/>
          <w:color w:val="auto"/>
          <w:highlight w:val="none"/>
        </w:rPr>
        <w:t>师或注册监理工程师证书或</w:t>
      </w:r>
      <w:r>
        <w:rPr>
          <w:rFonts w:hint="eastAsia" w:ascii="宋体" w:hAnsi="宋体" w:eastAsia="宋体" w:cs="宋体"/>
          <w:b/>
          <w:bCs/>
          <w:color w:val="auto"/>
          <w:kern w:val="0"/>
          <w:szCs w:val="21"/>
          <w:highlight w:val="none"/>
        </w:rPr>
        <w:t>中级及以上专业技术职称</w:t>
      </w:r>
      <w:r>
        <w:rPr>
          <w:rFonts w:hint="eastAsia" w:ascii="宋体" w:hAnsi="宋体"/>
          <w:b/>
          <w:bCs/>
          <w:color w:val="auto"/>
          <w:highlight w:val="none"/>
        </w:rPr>
        <w:t>证书</w:t>
      </w:r>
      <w:r>
        <w:rPr>
          <w:rFonts w:ascii="宋体" w:hAnsi="宋体"/>
          <w:color w:val="auto"/>
          <w:highlight w:val="none"/>
        </w:rPr>
        <w:t>扫描件</w:t>
      </w:r>
      <w:r>
        <w:rPr>
          <w:rFonts w:hint="eastAsia"/>
          <w:b/>
          <w:bCs/>
          <w:color w:val="auto"/>
          <w:szCs w:val="21"/>
          <w:highlight w:val="none"/>
        </w:rPr>
        <w:t>（</w:t>
      </w:r>
      <w:r>
        <w:rPr>
          <w:rFonts w:hint="eastAsia"/>
          <w:b/>
          <w:color w:val="auto"/>
          <w:szCs w:val="21"/>
          <w:highlight w:val="none"/>
        </w:rPr>
        <w:t>含证书编号页）</w:t>
      </w:r>
      <w:r>
        <w:rPr>
          <w:rFonts w:ascii="宋体" w:hAnsi="宋体"/>
          <w:color w:val="auto"/>
          <w:highlight w:val="none"/>
        </w:rPr>
        <w:t>。</w:t>
      </w:r>
    </w:p>
    <w:p>
      <w:pPr>
        <w:adjustRightInd w:val="0"/>
        <w:spacing w:line="360" w:lineRule="exact"/>
        <w:rPr>
          <w:color w:val="auto"/>
          <w:szCs w:val="21"/>
          <w:highlight w:val="none"/>
        </w:rPr>
      </w:pPr>
      <w:r>
        <w:rPr>
          <w:rFonts w:hint="eastAsia"/>
          <w:color w:val="auto"/>
          <w:szCs w:val="21"/>
          <w:highlight w:val="none"/>
        </w:rPr>
        <w:t>（3）</w:t>
      </w:r>
      <w:r>
        <w:rPr>
          <w:color w:val="auto"/>
          <w:szCs w:val="21"/>
          <w:highlight w:val="none"/>
        </w:rPr>
        <w:t>上表所有列出每一项业绩的证明材料，包括但不限于：合同协议书，或合同正文，或任职证明，或业主证明，或其他证明材料扫描件。</w:t>
      </w:r>
      <w:r>
        <w:rPr>
          <w:b/>
          <w:bCs/>
          <w:color w:val="auto"/>
          <w:szCs w:val="21"/>
          <w:highlight w:val="none"/>
        </w:rPr>
        <w:t>每项业绩均需附业绩证明材料，证明材料中必须能够体现本人姓名以及任职项目职位等信息。</w:t>
      </w:r>
    </w:p>
    <w:p>
      <w:pPr>
        <w:pStyle w:val="5"/>
        <w:rPr>
          <w:color w:val="auto"/>
          <w:highlight w:val="none"/>
        </w:rPr>
      </w:pPr>
    </w:p>
    <w:p>
      <w:pPr>
        <w:numPr>
          <w:ilvl w:val="0"/>
          <w:numId w:val="15"/>
        </w:numPr>
        <w:adjustRightInd w:val="0"/>
        <w:spacing w:line="360" w:lineRule="exact"/>
        <w:rPr>
          <w:rFonts w:hint="eastAsia"/>
          <w:color w:val="auto"/>
          <w:szCs w:val="22"/>
          <w:highlight w:val="none"/>
        </w:rPr>
      </w:pPr>
      <w:r>
        <w:rPr>
          <w:color w:val="auto"/>
          <w:szCs w:val="22"/>
          <w:highlight w:val="none"/>
        </w:rPr>
        <w:br w:type="page"/>
      </w:r>
      <w:r>
        <w:rPr>
          <w:rFonts w:hint="eastAsia" w:ascii="Times New Roman" w:hAnsi="Times New Roman"/>
          <w:b w:val="0"/>
          <w:bCs w:val="0"/>
          <w:color w:val="auto"/>
          <w:kern w:val="2"/>
          <w:szCs w:val="22"/>
          <w:highlight w:val="none"/>
        </w:rPr>
        <w:t>安全监理师</w:t>
      </w:r>
      <w:r>
        <w:rPr>
          <w:color w:val="auto"/>
          <w:szCs w:val="22"/>
          <w:highlight w:val="none"/>
        </w:rPr>
        <w:t>简历及证明材料</w:t>
      </w:r>
    </w:p>
    <w:p>
      <w:pPr>
        <w:widowControl/>
        <w:numPr>
          <w:ilvl w:val="0"/>
          <w:numId w:val="0"/>
        </w:numPr>
        <w:spacing w:before="156" w:beforeLines="50"/>
        <w:jc w:val="center"/>
        <w:rPr>
          <w:b/>
          <w:bCs/>
          <w:color w:val="auto"/>
          <w:szCs w:val="22"/>
          <w:highlight w:val="none"/>
        </w:rPr>
      </w:pPr>
      <w:r>
        <w:rPr>
          <w:rFonts w:hint="eastAsia" w:ascii="宋体" w:hAnsi="宋体" w:cs="宋体"/>
          <w:b/>
          <w:bCs/>
          <w:color w:val="auto"/>
          <w:kern w:val="0"/>
          <w:szCs w:val="21"/>
          <w:highlight w:val="none"/>
        </w:rPr>
        <w:t>安全监理师</w:t>
      </w:r>
      <w:r>
        <w:rPr>
          <w:b/>
          <w:bCs/>
          <w:color w:val="auto"/>
          <w:szCs w:val="22"/>
          <w:highlight w:val="none"/>
        </w:rPr>
        <w:t>简历表</w:t>
      </w:r>
    </w:p>
    <w:p>
      <w:pPr>
        <w:numPr>
          <w:ilvl w:val="0"/>
          <w:numId w:val="0"/>
        </w:numPr>
        <w:topLinePunct/>
        <w:ind w:left="420" w:firstLine="420"/>
        <w:rPr>
          <w:color w:val="auto"/>
          <w:szCs w:val="20"/>
          <w:highlight w:val="none"/>
        </w:rPr>
      </w:pPr>
    </w:p>
    <w:tbl>
      <w:tblPr>
        <w:tblStyle w:val="19"/>
        <w:tblW w:w="5000" w:type="pct"/>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autofit"/>
        <w:tblCellMar>
          <w:top w:w="0" w:type="dxa"/>
          <w:left w:w="108" w:type="dxa"/>
          <w:bottom w:w="0" w:type="dxa"/>
          <w:right w:w="108" w:type="dxa"/>
        </w:tblCellMar>
      </w:tblPr>
      <w:tblGrid>
        <w:gridCol w:w="1228"/>
        <w:gridCol w:w="19"/>
        <w:gridCol w:w="1972"/>
        <w:gridCol w:w="130"/>
        <w:gridCol w:w="1299"/>
        <w:gridCol w:w="1084"/>
        <w:gridCol w:w="1571"/>
        <w:gridCol w:w="1219"/>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8"/>
            <w:noWrap w:val="0"/>
            <w:vAlign w:val="center"/>
          </w:tcPr>
          <w:p>
            <w:pPr>
              <w:jc w:val="center"/>
              <w:rPr>
                <w:rFonts w:ascii="Times New Roman" w:hAnsi="Times New Roman"/>
                <w:b/>
                <w:color w:val="auto"/>
                <w:szCs w:val="22"/>
                <w:highlight w:val="none"/>
              </w:rPr>
            </w:pPr>
            <w:r>
              <w:rPr>
                <w:rFonts w:hint="eastAsia" w:ascii="宋体" w:hAnsi="宋体" w:cs="宋体"/>
                <w:b/>
                <w:bCs/>
                <w:color w:val="auto"/>
                <w:kern w:val="0"/>
                <w:szCs w:val="21"/>
                <w:highlight w:val="none"/>
              </w:rPr>
              <w:t>安全监理师</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21"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姓名</w:t>
            </w:r>
          </w:p>
        </w:tc>
        <w:tc>
          <w:tcPr>
            <w:tcW w:w="1168" w:type="pct"/>
            <w:gridSpan w:val="2"/>
            <w:noWrap w:val="0"/>
            <w:vAlign w:val="center"/>
          </w:tcPr>
          <w:p>
            <w:pPr>
              <w:jc w:val="center"/>
              <w:rPr>
                <w:rFonts w:ascii="Times New Roman" w:hAnsi="Times New Roman"/>
                <w:color w:val="auto"/>
                <w:szCs w:val="22"/>
                <w:highlight w:val="none"/>
              </w:rPr>
            </w:pPr>
          </w:p>
        </w:tc>
        <w:tc>
          <w:tcPr>
            <w:tcW w:w="838"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身份证号</w:t>
            </w:r>
          </w:p>
        </w:tc>
        <w:tc>
          <w:tcPr>
            <w:tcW w:w="636" w:type="pct"/>
            <w:noWrap w:val="0"/>
            <w:vAlign w:val="center"/>
          </w:tcPr>
          <w:p>
            <w:pPr>
              <w:jc w:val="center"/>
              <w:rPr>
                <w:rFonts w:ascii="Times New Roman" w:hAnsi="Times New Roman"/>
                <w:color w:val="auto"/>
                <w:szCs w:val="22"/>
                <w:highlight w:val="none"/>
              </w:rPr>
            </w:pPr>
          </w:p>
        </w:tc>
        <w:tc>
          <w:tcPr>
            <w:tcW w:w="922"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学历</w:t>
            </w:r>
          </w:p>
        </w:tc>
        <w:tc>
          <w:tcPr>
            <w:tcW w:w="713"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21"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职称</w:t>
            </w:r>
          </w:p>
        </w:tc>
        <w:tc>
          <w:tcPr>
            <w:tcW w:w="1168" w:type="pct"/>
            <w:gridSpan w:val="2"/>
            <w:noWrap w:val="0"/>
            <w:vAlign w:val="center"/>
          </w:tcPr>
          <w:p>
            <w:pPr>
              <w:jc w:val="center"/>
              <w:rPr>
                <w:rFonts w:ascii="Times New Roman" w:hAnsi="Times New Roman"/>
                <w:color w:val="auto"/>
                <w:szCs w:val="22"/>
                <w:highlight w:val="none"/>
              </w:rPr>
            </w:pPr>
          </w:p>
        </w:tc>
        <w:tc>
          <w:tcPr>
            <w:tcW w:w="838"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计划入场时间</w:t>
            </w:r>
          </w:p>
        </w:tc>
        <w:tc>
          <w:tcPr>
            <w:tcW w:w="636" w:type="pct"/>
            <w:noWrap w:val="0"/>
            <w:vAlign w:val="center"/>
          </w:tcPr>
          <w:p>
            <w:pPr>
              <w:jc w:val="center"/>
              <w:rPr>
                <w:rFonts w:ascii="Times New Roman" w:hAnsi="Times New Roman"/>
                <w:color w:val="auto"/>
                <w:szCs w:val="22"/>
                <w:highlight w:val="none"/>
              </w:rPr>
            </w:pPr>
          </w:p>
        </w:tc>
        <w:tc>
          <w:tcPr>
            <w:tcW w:w="922"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计划退场时间</w:t>
            </w:r>
          </w:p>
        </w:tc>
        <w:tc>
          <w:tcPr>
            <w:tcW w:w="713"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8"/>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主要工作经历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起止时间</w:t>
            </w:r>
          </w:p>
        </w:tc>
        <w:tc>
          <w:tcPr>
            <w:tcW w:w="1233"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工程名称</w:t>
            </w:r>
          </w:p>
        </w:tc>
        <w:tc>
          <w:tcPr>
            <w:tcW w:w="1398" w:type="pct"/>
            <w:gridSpan w:val="2"/>
            <w:tcBorders>
              <w:bottom w:val="single" w:color="auto" w:sz="4" w:space="0"/>
              <w:right w:val="single" w:color="auto" w:sz="4" w:space="0"/>
            </w:tcBorders>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工程规模</w:t>
            </w:r>
          </w:p>
        </w:tc>
        <w:tc>
          <w:tcPr>
            <w:tcW w:w="922" w:type="pct"/>
            <w:tcBorders>
              <w:left w:val="single" w:color="auto" w:sz="4" w:space="0"/>
            </w:tcBorders>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工作内容</w:t>
            </w:r>
          </w:p>
        </w:tc>
        <w:tc>
          <w:tcPr>
            <w:tcW w:w="713"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p>
        </w:tc>
        <w:tc>
          <w:tcPr>
            <w:tcW w:w="1233" w:type="pct"/>
            <w:gridSpan w:val="2"/>
            <w:noWrap w:val="0"/>
            <w:vAlign w:val="center"/>
          </w:tcPr>
          <w:p>
            <w:pPr>
              <w:jc w:val="center"/>
              <w:rPr>
                <w:rFonts w:ascii="Times New Roman" w:hAnsi="Times New Roman"/>
                <w:color w:val="auto"/>
                <w:szCs w:val="22"/>
                <w:highlight w:val="none"/>
              </w:rPr>
            </w:pPr>
          </w:p>
        </w:tc>
        <w:tc>
          <w:tcPr>
            <w:tcW w:w="1398"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922" w:type="pct"/>
            <w:tcBorders>
              <w:left w:val="single" w:color="auto" w:sz="4" w:space="0"/>
            </w:tcBorders>
            <w:noWrap w:val="0"/>
            <w:vAlign w:val="center"/>
          </w:tcPr>
          <w:p>
            <w:pPr>
              <w:jc w:val="center"/>
              <w:rPr>
                <w:rFonts w:ascii="Times New Roman" w:hAnsi="Times New Roman"/>
                <w:color w:val="auto"/>
                <w:szCs w:val="22"/>
                <w:highlight w:val="none"/>
              </w:rPr>
            </w:pPr>
          </w:p>
        </w:tc>
        <w:tc>
          <w:tcPr>
            <w:tcW w:w="713"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p>
        </w:tc>
        <w:tc>
          <w:tcPr>
            <w:tcW w:w="1233" w:type="pct"/>
            <w:gridSpan w:val="2"/>
            <w:noWrap w:val="0"/>
            <w:vAlign w:val="center"/>
          </w:tcPr>
          <w:p>
            <w:pPr>
              <w:jc w:val="center"/>
              <w:rPr>
                <w:rFonts w:ascii="Times New Roman" w:hAnsi="Times New Roman"/>
                <w:color w:val="auto"/>
                <w:szCs w:val="22"/>
                <w:highlight w:val="none"/>
              </w:rPr>
            </w:pPr>
          </w:p>
        </w:tc>
        <w:tc>
          <w:tcPr>
            <w:tcW w:w="1398"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922" w:type="pct"/>
            <w:tcBorders>
              <w:left w:val="single" w:color="auto" w:sz="4" w:space="0"/>
            </w:tcBorders>
            <w:noWrap w:val="0"/>
            <w:vAlign w:val="center"/>
          </w:tcPr>
          <w:p>
            <w:pPr>
              <w:jc w:val="center"/>
              <w:rPr>
                <w:rFonts w:ascii="Times New Roman" w:hAnsi="Times New Roman"/>
                <w:color w:val="auto"/>
                <w:szCs w:val="22"/>
                <w:highlight w:val="none"/>
              </w:rPr>
            </w:pPr>
          </w:p>
        </w:tc>
        <w:tc>
          <w:tcPr>
            <w:tcW w:w="713"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p>
        </w:tc>
        <w:tc>
          <w:tcPr>
            <w:tcW w:w="1233" w:type="pct"/>
            <w:gridSpan w:val="2"/>
            <w:noWrap w:val="0"/>
            <w:vAlign w:val="center"/>
          </w:tcPr>
          <w:p>
            <w:pPr>
              <w:jc w:val="center"/>
              <w:rPr>
                <w:rFonts w:ascii="Times New Roman" w:hAnsi="Times New Roman"/>
                <w:color w:val="auto"/>
                <w:szCs w:val="22"/>
                <w:highlight w:val="none"/>
              </w:rPr>
            </w:pPr>
          </w:p>
        </w:tc>
        <w:tc>
          <w:tcPr>
            <w:tcW w:w="1398"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922" w:type="pct"/>
            <w:tcBorders>
              <w:left w:val="single" w:color="auto" w:sz="4" w:space="0"/>
            </w:tcBorders>
            <w:noWrap w:val="0"/>
            <w:vAlign w:val="center"/>
          </w:tcPr>
          <w:p>
            <w:pPr>
              <w:jc w:val="center"/>
              <w:rPr>
                <w:rFonts w:ascii="Times New Roman" w:hAnsi="Times New Roman"/>
                <w:color w:val="auto"/>
                <w:szCs w:val="22"/>
                <w:highlight w:val="none"/>
              </w:rPr>
            </w:pPr>
          </w:p>
        </w:tc>
        <w:tc>
          <w:tcPr>
            <w:tcW w:w="713"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p>
        </w:tc>
        <w:tc>
          <w:tcPr>
            <w:tcW w:w="1233" w:type="pct"/>
            <w:gridSpan w:val="2"/>
            <w:noWrap w:val="0"/>
            <w:vAlign w:val="center"/>
          </w:tcPr>
          <w:p>
            <w:pPr>
              <w:jc w:val="center"/>
              <w:rPr>
                <w:rFonts w:ascii="Times New Roman" w:hAnsi="Times New Roman"/>
                <w:color w:val="auto"/>
                <w:szCs w:val="22"/>
                <w:highlight w:val="none"/>
              </w:rPr>
            </w:pPr>
          </w:p>
        </w:tc>
        <w:tc>
          <w:tcPr>
            <w:tcW w:w="1398" w:type="pct"/>
            <w:gridSpan w:val="2"/>
            <w:tcBorders>
              <w:right w:val="single" w:color="auto" w:sz="4" w:space="0"/>
            </w:tcBorders>
            <w:noWrap w:val="0"/>
            <w:vAlign w:val="center"/>
          </w:tcPr>
          <w:p>
            <w:pPr>
              <w:jc w:val="center"/>
              <w:rPr>
                <w:rFonts w:ascii="Times New Roman" w:hAnsi="Times New Roman"/>
                <w:color w:val="auto"/>
                <w:szCs w:val="22"/>
                <w:highlight w:val="none"/>
              </w:rPr>
            </w:pPr>
          </w:p>
        </w:tc>
        <w:tc>
          <w:tcPr>
            <w:tcW w:w="922" w:type="pct"/>
            <w:tcBorders>
              <w:left w:val="single" w:color="auto" w:sz="4" w:space="0"/>
            </w:tcBorders>
            <w:noWrap w:val="0"/>
            <w:vAlign w:val="center"/>
          </w:tcPr>
          <w:p>
            <w:pPr>
              <w:jc w:val="center"/>
              <w:rPr>
                <w:rFonts w:ascii="Times New Roman" w:hAnsi="Times New Roman"/>
                <w:color w:val="auto"/>
                <w:szCs w:val="22"/>
                <w:highlight w:val="none"/>
              </w:rPr>
            </w:pPr>
          </w:p>
        </w:tc>
        <w:tc>
          <w:tcPr>
            <w:tcW w:w="713"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8"/>
            <w:noWrap w:val="0"/>
            <w:vAlign w:val="center"/>
          </w:tcPr>
          <w:p>
            <w:pPr>
              <w:rPr>
                <w:rFonts w:ascii="Times New Roman" w:hAnsi="Times New Roman"/>
                <w:b/>
                <w:color w:val="auto"/>
                <w:szCs w:val="22"/>
                <w:highlight w:val="none"/>
              </w:rPr>
            </w:pPr>
            <w:r>
              <w:rPr>
                <w:rFonts w:ascii="Times New Roman" w:hAnsi="Times New Roman"/>
                <w:b/>
                <w:color w:val="auto"/>
                <w:szCs w:val="22"/>
                <w:highlight w:val="none"/>
              </w:rPr>
              <w:t>注：应列出招标公告中要求的业绩及工作经历。</w:t>
            </w:r>
          </w:p>
        </w:tc>
      </w:tr>
    </w:tbl>
    <w:p>
      <w:pPr>
        <w:numPr>
          <w:ilvl w:val="0"/>
          <w:numId w:val="0"/>
        </w:numPr>
        <w:adjustRightInd w:val="0"/>
        <w:spacing w:line="360" w:lineRule="exact"/>
        <w:rPr>
          <w:rFonts w:hint="eastAsia"/>
          <w:b/>
          <w:color w:val="auto"/>
          <w:szCs w:val="21"/>
          <w:highlight w:val="none"/>
        </w:rPr>
      </w:pPr>
      <w:r>
        <w:rPr>
          <w:rFonts w:hint="eastAsia" w:ascii="宋体" w:hAnsi="宋体" w:cs="宋体"/>
          <w:b/>
          <w:bCs/>
          <w:color w:val="auto"/>
          <w:kern w:val="0"/>
          <w:szCs w:val="21"/>
          <w:highlight w:val="none"/>
        </w:rPr>
        <w:t>安全监理师</w:t>
      </w:r>
      <w:r>
        <w:rPr>
          <w:b/>
          <w:color w:val="auto"/>
          <w:szCs w:val="21"/>
          <w:highlight w:val="none"/>
        </w:rPr>
        <w:t>应附证明材料</w:t>
      </w:r>
      <w:r>
        <w:rPr>
          <w:rFonts w:hint="eastAsia"/>
          <w:b/>
          <w:color w:val="auto"/>
          <w:szCs w:val="21"/>
          <w:highlight w:val="none"/>
        </w:rPr>
        <w:t>（提交材料应包括技术评分标准要求）</w:t>
      </w:r>
      <w:r>
        <w:rPr>
          <w:b/>
          <w:color w:val="auto"/>
          <w:szCs w:val="21"/>
          <w:highlight w:val="none"/>
        </w:rPr>
        <w:t>：</w:t>
      </w:r>
    </w:p>
    <w:p>
      <w:pPr>
        <w:adjustRightInd w:val="0"/>
        <w:spacing w:line="360" w:lineRule="exact"/>
        <w:rPr>
          <w:color w:val="auto"/>
          <w:szCs w:val="21"/>
          <w:highlight w:val="none"/>
        </w:rPr>
      </w:pPr>
      <w:r>
        <w:rPr>
          <w:bCs/>
          <w:color w:val="auto"/>
          <w:szCs w:val="21"/>
          <w:highlight w:val="none"/>
        </w:rPr>
        <w:t>（1）</w:t>
      </w:r>
      <w:r>
        <w:rPr>
          <w:b/>
          <w:color w:val="auto"/>
          <w:szCs w:val="21"/>
          <w:highlight w:val="none"/>
        </w:rPr>
        <w:t>身份证</w:t>
      </w:r>
      <w:r>
        <w:rPr>
          <w:bCs/>
          <w:color w:val="auto"/>
          <w:szCs w:val="21"/>
          <w:highlight w:val="none"/>
        </w:rPr>
        <w:t>扫描件</w:t>
      </w:r>
      <w:r>
        <w:rPr>
          <w:color w:val="auto"/>
          <w:szCs w:val="21"/>
          <w:highlight w:val="none"/>
        </w:rPr>
        <w:t>；</w:t>
      </w:r>
    </w:p>
    <w:p>
      <w:pPr>
        <w:rPr>
          <w:rFonts w:hint="eastAsia" w:ascii="宋体" w:hAnsi="宋体"/>
          <w:color w:val="auto"/>
          <w:highlight w:val="none"/>
        </w:rPr>
      </w:pPr>
      <w:r>
        <w:rPr>
          <w:rFonts w:hint="eastAsia"/>
          <w:color w:val="auto"/>
          <w:szCs w:val="21"/>
          <w:highlight w:val="none"/>
        </w:rPr>
        <w:t>（2）</w:t>
      </w:r>
      <w:r>
        <w:rPr>
          <w:rFonts w:ascii="宋体" w:hAnsi="宋体"/>
          <w:color w:val="auto"/>
          <w:highlight w:val="none"/>
        </w:rPr>
        <w:t>如下资质证明其中之一</w:t>
      </w:r>
      <w:r>
        <w:rPr>
          <w:rFonts w:hint="eastAsia" w:ascii="宋体" w:hAnsi="宋体"/>
          <w:color w:val="auto"/>
          <w:highlight w:val="none"/>
          <w:lang w:eastAsia="zh-CN"/>
        </w:rPr>
        <w:t>（举例如下，</w:t>
      </w:r>
      <w:r>
        <w:rPr>
          <w:rFonts w:hint="eastAsia" w:ascii="宋体" w:hAnsi="宋体"/>
          <w:b/>
          <w:bCs/>
          <w:color w:val="auto"/>
          <w:highlight w:val="none"/>
          <w:lang w:eastAsia="zh-CN"/>
        </w:rPr>
        <w:t>具体以招标公告资质要求为准</w:t>
      </w:r>
      <w:r>
        <w:rPr>
          <w:rFonts w:hint="eastAsia" w:ascii="宋体" w:hAnsi="宋体"/>
          <w:color w:val="auto"/>
          <w:highlight w:val="none"/>
          <w:lang w:eastAsia="zh-CN"/>
        </w:rPr>
        <w:t>）</w:t>
      </w:r>
      <w:r>
        <w:rPr>
          <w:rFonts w:ascii="宋体" w:hAnsi="宋体"/>
          <w:color w:val="auto"/>
          <w:highlight w:val="none"/>
        </w:rPr>
        <w:t>：</w:t>
      </w:r>
    </w:p>
    <w:p>
      <w:pPr>
        <w:rPr>
          <w:rFonts w:ascii="宋体" w:hAnsi="宋体"/>
          <w:color w:val="auto"/>
          <w:highlight w:val="none"/>
        </w:rPr>
      </w:pPr>
      <w:r>
        <w:rPr>
          <w:rFonts w:ascii="宋体" w:hAnsi="宋体"/>
          <w:color w:val="auto"/>
          <w:highlight w:val="none"/>
        </w:rPr>
        <w:t>注册安全师或注册监理工程师证书或</w:t>
      </w:r>
      <w:r>
        <w:rPr>
          <w:rFonts w:hint="eastAsia" w:ascii="宋体" w:hAnsi="宋体" w:eastAsia="宋体" w:cs="宋体"/>
          <w:color w:val="auto"/>
          <w:kern w:val="0"/>
          <w:szCs w:val="21"/>
          <w:highlight w:val="none"/>
          <w:lang w:val="en-US" w:eastAsia="zh-CN"/>
        </w:rPr>
        <w:t>中级及以上专业技术职称</w:t>
      </w:r>
      <w:r>
        <w:rPr>
          <w:rFonts w:hint="eastAsia" w:ascii="宋体" w:hAnsi="宋体"/>
          <w:color w:val="auto"/>
          <w:highlight w:val="none"/>
        </w:rPr>
        <w:t>证书</w:t>
      </w:r>
      <w:r>
        <w:rPr>
          <w:rFonts w:hint="eastAsia" w:ascii="宋体" w:hAnsi="宋体"/>
          <w:b/>
          <w:color w:val="auto"/>
          <w:highlight w:val="none"/>
        </w:rPr>
        <w:t>（含证书编号页）</w:t>
      </w:r>
      <w:r>
        <w:rPr>
          <w:rFonts w:ascii="宋体" w:hAnsi="宋体"/>
          <w:color w:val="auto"/>
          <w:highlight w:val="none"/>
        </w:rPr>
        <w:t>扫描件</w:t>
      </w:r>
      <w:r>
        <w:rPr>
          <w:rFonts w:hint="eastAsia" w:ascii="宋体" w:hAnsi="宋体"/>
          <w:color w:val="auto"/>
          <w:highlight w:val="none"/>
        </w:rPr>
        <w:t>。</w:t>
      </w:r>
    </w:p>
    <w:p>
      <w:pPr>
        <w:adjustRightInd w:val="0"/>
        <w:spacing w:line="360" w:lineRule="exact"/>
        <w:rPr>
          <w:color w:val="auto"/>
          <w:szCs w:val="21"/>
          <w:highlight w:val="none"/>
        </w:rPr>
      </w:pPr>
      <w:r>
        <w:rPr>
          <w:rFonts w:hint="eastAsia"/>
          <w:color w:val="auto"/>
          <w:szCs w:val="21"/>
          <w:highlight w:val="none"/>
        </w:rPr>
        <w:t>（3）</w:t>
      </w:r>
      <w:r>
        <w:rPr>
          <w:color w:val="auto"/>
          <w:szCs w:val="21"/>
          <w:highlight w:val="none"/>
        </w:rPr>
        <w:t>上表所有列出每一项业绩的证明材料，包括但不限于：合同协议书，或合同正文，或任职证明，或业主证明，或其他证明材料扫描件。</w:t>
      </w:r>
      <w:r>
        <w:rPr>
          <w:b/>
          <w:bCs/>
          <w:color w:val="auto"/>
          <w:szCs w:val="21"/>
          <w:highlight w:val="none"/>
        </w:rPr>
        <w:t>每项业绩均需附业绩证明材料，证明材料中必须能够体现本人姓名以及任职项目职位等信息。</w:t>
      </w:r>
    </w:p>
    <w:p>
      <w:pPr>
        <w:pStyle w:val="5"/>
        <w:rPr>
          <w:color w:val="auto"/>
          <w:highlight w:val="none"/>
        </w:rPr>
      </w:pPr>
    </w:p>
    <w:p>
      <w:pPr>
        <w:pStyle w:val="17"/>
        <w:rPr>
          <w:b w:val="0"/>
          <w:color w:val="auto"/>
          <w:szCs w:val="24"/>
          <w:highlight w:val="none"/>
        </w:rPr>
      </w:pPr>
    </w:p>
    <w:p>
      <w:pPr>
        <w:numPr>
          <w:ilvl w:val="0"/>
          <w:numId w:val="15"/>
        </w:numPr>
        <w:adjustRightInd w:val="0"/>
        <w:spacing w:line="360" w:lineRule="exact"/>
        <w:rPr>
          <w:rFonts w:hint="eastAsia"/>
          <w:color w:val="auto"/>
          <w:szCs w:val="22"/>
          <w:highlight w:val="none"/>
        </w:rPr>
      </w:pPr>
      <w:r>
        <w:rPr>
          <w:color w:val="auto"/>
          <w:highlight w:val="none"/>
        </w:rPr>
        <w:br w:type="page"/>
      </w:r>
      <w:r>
        <w:rPr>
          <w:color w:val="auto"/>
          <w:szCs w:val="22"/>
          <w:highlight w:val="none"/>
        </w:rPr>
        <w:t>专业监理师简历及证明材料</w:t>
      </w:r>
    </w:p>
    <w:p>
      <w:pPr>
        <w:adjustRightInd w:val="0"/>
        <w:spacing w:line="360" w:lineRule="exact"/>
        <w:jc w:val="center"/>
        <w:rPr>
          <w:b/>
          <w:bCs/>
          <w:color w:val="auto"/>
          <w:szCs w:val="22"/>
          <w:highlight w:val="none"/>
        </w:rPr>
      </w:pPr>
      <w:r>
        <w:rPr>
          <w:b/>
          <w:bCs/>
          <w:color w:val="auto"/>
          <w:szCs w:val="22"/>
          <w:highlight w:val="none"/>
        </w:rPr>
        <w:t>专业监理师简历表</w:t>
      </w:r>
    </w:p>
    <w:tbl>
      <w:tblPr>
        <w:tblStyle w:val="19"/>
        <w:tblW w:w="5000" w:type="pct"/>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autofit"/>
        <w:tblCellMar>
          <w:top w:w="0" w:type="dxa"/>
          <w:left w:w="108" w:type="dxa"/>
          <w:bottom w:w="0" w:type="dxa"/>
          <w:right w:w="108" w:type="dxa"/>
        </w:tblCellMar>
      </w:tblPr>
      <w:tblGrid>
        <w:gridCol w:w="1228"/>
        <w:gridCol w:w="19"/>
        <w:gridCol w:w="1841"/>
        <w:gridCol w:w="646"/>
        <w:gridCol w:w="912"/>
        <w:gridCol w:w="1084"/>
        <w:gridCol w:w="1674"/>
        <w:gridCol w:w="1118"/>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8"/>
            <w:tcBorders>
              <w:top w:val="single" w:color="auto" w:sz="8" w:space="0"/>
              <w:left w:val="single" w:color="auto" w:sz="8" w:space="0"/>
              <w:bottom w:val="single" w:color="000000" w:sz="4" w:space="0"/>
              <w:right w:val="single" w:color="auto" w:sz="8" w:space="0"/>
            </w:tcBorders>
            <w:noWrap w:val="0"/>
            <w:vAlign w:val="center"/>
          </w:tcPr>
          <w:p>
            <w:pPr>
              <w:jc w:val="center"/>
              <w:rPr>
                <w:rFonts w:ascii="Times New Roman" w:hAnsi="Times New Roman"/>
                <w:b/>
                <w:color w:val="auto"/>
                <w:sz w:val="18"/>
                <w:szCs w:val="22"/>
                <w:highlight w:val="none"/>
              </w:rPr>
            </w:pPr>
            <w:r>
              <w:rPr>
                <w:rFonts w:ascii="Times New Roman" w:hAnsi="Times New Roman"/>
                <w:b/>
                <w:color w:val="auto"/>
                <w:sz w:val="18"/>
                <w:szCs w:val="22"/>
                <w:highlight w:val="none"/>
              </w:rPr>
              <w:t>专业监理师（专业名称：     ）</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21" w:type="pct"/>
            <w:noWrap w:val="0"/>
            <w:vAlign w:val="center"/>
          </w:tcPr>
          <w:p>
            <w:pPr>
              <w:rPr>
                <w:rFonts w:ascii="Times New Roman" w:hAnsi="Times New Roman"/>
                <w:color w:val="auto"/>
                <w:szCs w:val="22"/>
                <w:highlight w:val="none"/>
              </w:rPr>
            </w:pPr>
            <w:r>
              <w:rPr>
                <w:rFonts w:ascii="Times New Roman" w:hAnsi="Times New Roman"/>
                <w:color w:val="auto"/>
                <w:szCs w:val="22"/>
                <w:highlight w:val="none"/>
              </w:rPr>
              <w:t>姓名</w:t>
            </w:r>
          </w:p>
        </w:tc>
        <w:tc>
          <w:tcPr>
            <w:tcW w:w="1091" w:type="pct"/>
            <w:gridSpan w:val="2"/>
            <w:noWrap w:val="0"/>
            <w:vAlign w:val="center"/>
          </w:tcPr>
          <w:p>
            <w:pPr>
              <w:jc w:val="center"/>
              <w:rPr>
                <w:rFonts w:ascii="Times New Roman" w:hAnsi="Times New Roman"/>
                <w:color w:val="auto"/>
                <w:szCs w:val="22"/>
                <w:highlight w:val="none"/>
              </w:rPr>
            </w:pPr>
          </w:p>
        </w:tc>
        <w:tc>
          <w:tcPr>
            <w:tcW w:w="914"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身份证号</w:t>
            </w:r>
          </w:p>
        </w:tc>
        <w:tc>
          <w:tcPr>
            <w:tcW w:w="636" w:type="pct"/>
            <w:noWrap w:val="0"/>
            <w:vAlign w:val="center"/>
          </w:tcPr>
          <w:p>
            <w:pPr>
              <w:jc w:val="center"/>
              <w:rPr>
                <w:rFonts w:ascii="Times New Roman" w:hAnsi="Times New Roman"/>
                <w:color w:val="auto"/>
                <w:szCs w:val="22"/>
                <w:highlight w:val="none"/>
              </w:rPr>
            </w:pPr>
          </w:p>
        </w:tc>
        <w:tc>
          <w:tcPr>
            <w:tcW w:w="982"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学历</w:t>
            </w:r>
          </w:p>
        </w:tc>
        <w:tc>
          <w:tcPr>
            <w:tcW w:w="654"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21" w:type="pct"/>
            <w:noWrap w:val="0"/>
            <w:vAlign w:val="center"/>
          </w:tcPr>
          <w:p>
            <w:pPr>
              <w:rPr>
                <w:rFonts w:ascii="Times New Roman" w:hAnsi="Times New Roman"/>
                <w:color w:val="auto"/>
                <w:szCs w:val="22"/>
                <w:highlight w:val="none"/>
              </w:rPr>
            </w:pPr>
            <w:r>
              <w:rPr>
                <w:rFonts w:ascii="Times New Roman" w:hAnsi="Times New Roman"/>
                <w:color w:val="auto"/>
                <w:szCs w:val="22"/>
                <w:highlight w:val="none"/>
              </w:rPr>
              <w:t>职称</w:t>
            </w:r>
          </w:p>
        </w:tc>
        <w:tc>
          <w:tcPr>
            <w:tcW w:w="1091" w:type="pct"/>
            <w:gridSpan w:val="2"/>
            <w:noWrap w:val="0"/>
            <w:vAlign w:val="center"/>
          </w:tcPr>
          <w:p>
            <w:pPr>
              <w:jc w:val="center"/>
              <w:rPr>
                <w:rFonts w:ascii="Times New Roman" w:hAnsi="Times New Roman"/>
                <w:color w:val="auto"/>
                <w:szCs w:val="22"/>
                <w:highlight w:val="none"/>
              </w:rPr>
            </w:pPr>
          </w:p>
        </w:tc>
        <w:tc>
          <w:tcPr>
            <w:tcW w:w="914"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计划入场时间</w:t>
            </w:r>
          </w:p>
        </w:tc>
        <w:tc>
          <w:tcPr>
            <w:tcW w:w="636" w:type="pct"/>
            <w:noWrap w:val="0"/>
            <w:vAlign w:val="center"/>
          </w:tcPr>
          <w:p>
            <w:pPr>
              <w:jc w:val="center"/>
              <w:rPr>
                <w:rFonts w:ascii="Times New Roman" w:hAnsi="Times New Roman"/>
                <w:color w:val="auto"/>
                <w:szCs w:val="22"/>
                <w:highlight w:val="none"/>
              </w:rPr>
            </w:pPr>
          </w:p>
        </w:tc>
        <w:tc>
          <w:tcPr>
            <w:tcW w:w="982"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计划退场时间</w:t>
            </w:r>
          </w:p>
        </w:tc>
        <w:tc>
          <w:tcPr>
            <w:tcW w:w="654"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8"/>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主要工作经历</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起止时间</w:t>
            </w:r>
          </w:p>
        </w:tc>
        <w:tc>
          <w:tcPr>
            <w:tcW w:w="1459" w:type="pct"/>
            <w:gridSpan w:val="2"/>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工程名称</w:t>
            </w:r>
          </w:p>
        </w:tc>
        <w:tc>
          <w:tcPr>
            <w:tcW w:w="1171" w:type="pct"/>
            <w:gridSpan w:val="2"/>
            <w:tcBorders>
              <w:bottom w:val="single" w:color="auto" w:sz="4" w:space="0"/>
              <w:right w:val="single" w:color="auto" w:sz="4" w:space="0"/>
            </w:tcBorders>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工程规模</w:t>
            </w:r>
          </w:p>
        </w:tc>
        <w:tc>
          <w:tcPr>
            <w:tcW w:w="982" w:type="pct"/>
            <w:tcBorders>
              <w:left w:val="single" w:color="auto" w:sz="4" w:space="0"/>
            </w:tcBorders>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工作内容</w:t>
            </w:r>
          </w:p>
        </w:tc>
        <w:tc>
          <w:tcPr>
            <w:tcW w:w="654" w:type="pct"/>
            <w:noWrap w:val="0"/>
            <w:vAlign w:val="center"/>
          </w:tcPr>
          <w:p>
            <w:pPr>
              <w:jc w:val="center"/>
              <w:rPr>
                <w:rFonts w:ascii="Times New Roman" w:hAnsi="Times New Roman"/>
                <w:color w:val="auto"/>
                <w:szCs w:val="22"/>
                <w:highlight w:val="none"/>
              </w:rPr>
            </w:pPr>
            <w:r>
              <w:rPr>
                <w:rFonts w:ascii="Times New Roman" w:hAnsi="Times New Roman"/>
                <w:color w:val="auto"/>
                <w:szCs w:val="22"/>
                <w:highlight w:val="none"/>
              </w:rPr>
              <w:t>担任职务</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p>
        </w:tc>
        <w:tc>
          <w:tcPr>
            <w:tcW w:w="1459" w:type="pct"/>
            <w:gridSpan w:val="2"/>
            <w:noWrap w:val="0"/>
            <w:vAlign w:val="center"/>
          </w:tcPr>
          <w:p>
            <w:pPr>
              <w:jc w:val="center"/>
              <w:rPr>
                <w:rFonts w:ascii="Times New Roman" w:hAnsi="Times New Roman"/>
                <w:color w:val="auto"/>
                <w:szCs w:val="22"/>
                <w:highlight w:val="none"/>
              </w:rPr>
            </w:pPr>
          </w:p>
        </w:tc>
        <w:tc>
          <w:tcPr>
            <w:tcW w:w="1171"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982" w:type="pct"/>
            <w:tcBorders>
              <w:left w:val="single" w:color="auto" w:sz="4" w:space="0"/>
            </w:tcBorders>
            <w:noWrap w:val="0"/>
            <w:vAlign w:val="center"/>
          </w:tcPr>
          <w:p>
            <w:pPr>
              <w:jc w:val="center"/>
              <w:rPr>
                <w:rFonts w:ascii="Times New Roman" w:hAnsi="Times New Roman"/>
                <w:color w:val="auto"/>
                <w:szCs w:val="22"/>
                <w:highlight w:val="none"/>
              </w:rPr>
            </w:pPr>
          </w:p>
        </w:tc>
        <w:tc>
          <w:tcPr>
            <w:tcW w:w="654"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p>
        </w:tc>
        <w:tc>
          <w:tcPr>
            <w:tcW w:w="1459" w:type="pct"/>
            <w:gridSpan w:val="2"/>
            <w:noWrap w:val="0"/>
            <w:vAlign w:val="center"/>
          </w:tcPr>
          <w:p>
            <w:pPr>
              <w:jc w:val="center"/>
              <w:rPr>
                <w:rFonts w:ascii="Times New Roman" w:hAnsi="Times New Roman"/>
                <w:color w:val="auto"/>
                <w:szCs w:val="22"/>
                <w:highlight w:val="none"/>
              </w:rPr>
            </w:pPr>
          </w:p>
        </w:tc>
        <w:tc>
          <w:tcPr>
            <w:tcW w:w="1171"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982" w:type="pct"/>
            <w:tcBorders>
              <w:left w:val="single" w:color="auto" w:sz="4" w:space="0"/>
            </w:tcBorders>
            <w:noWrap w:val="0"/>
            <w:vAlign w:val="center"/>
          </w:tcPr>
          <w:p>
            <w:pPr>
              <w:jc w:val="center"/>
              <w:rPr>
                <w:rFonts w:ascii="Times New Roman" w:hAnsi="Times New Roman"/>
                <w:color w:val="auto"/>
                <w:szCs w:val="22"/>
                <w:highlight w:val="none"/>
              </w:rPr>
            </w:pPr>
          </w:p>
        </w:tc>
        <w:tc>
          <w:tcPr>
            <w:tcW w:w="654"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p>
        </w:tc>
        <w:tc>
          <w:tcPr>
            <w:tcW w:w="1459" w:type="pct"/>
            <w:gridSpan w:val="2"/>
            <w:noWrap w:val="0"/>
            <w:vAlign w:val="center"/>
          </w:tcPr>
          <w:p>
            <w:pPr>
              <w:jc w:val="center"/>
              <w:rPr>
                <w:rFonts w:ascii="Times New Roman" w:hAnsi="Times New Roman"/>
                <w:color w:val="auto"/>
                <w:szCs w:val="22"/>
                <w:highlight w:val="none"/>
              </w:rPr>
            </w:pPr>
          </w:p>
        </w:tc>
        <w:tc>
          <w:tcPr>
            <w:tcW w:w="1171" w:type="pct"/>
            <w:gridSpan w:val="2"/>
            <w:tcBorders>
              <w:top w:val="single" w:color="auto" w:sz="4" w:space="0"/>
              <w:right w:val="single" w:color="auto" w:sz="4" w:space="0"/>
            </w:tcBorders>
            <w:noWrap w:val="0"/>
            <w:vAlign w:val="center"/>
          </w:tcPr>
          <w:p>
            <w:pPr>
              <w:jc w:val="center"/>
              <w:rPr>
                <w:rFonts w:ascii="Times New Roman" w:hAnsi="Times New Roman"/>
                <w:color w:val="auto"/>
                <w:szCs w:val="22"/>
                <w:highlight w:val="none"/>
              </w:rPr>
            </w:pPr>
          </w:p>
        </w:tc>
        <w:tc>
          <w:tcPr>
            <w:tcW w:w="982" w:type="pct"/>
            <w:tcBorders>
              <w:left w:val="single" w:color="auto" w:sz="4" w:space="0"/>
            </w:tcBorders>
            <w:noWrap w:val="0"/>
            <w:vAlign w:val="center"/>
          </w:tcPr>
          <w:p>
            <w:pPr>
              <w:jc w:val="center"/>
              <w:rPr>
                <w:rFonts w:ascii="Times New Roman" w:hAnsi="Times New Roman"/>
                <w:color w:val="auto"/>
                <w:szCs w:val="22"/>
                <w:highlight w:val="none"/>
              </w:rPr>
            </w:pPr>
          </w:p>
        </w:tc>
        <w:tc>
          <w:tcPr>
            <w:tcW w:w="654"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32" w:type="pct"/>
            <w:gridSpan w:val="2"/>
            <w:noWrap w:val="0"/>
            <w:vAlign w:val="center"/>
          </w:tcPr>
          <w:p>
            <w:pPr>
              <w:jc w:val="center"/>
              <w:rPr>
                <w:rFonts w:ascii="Times New Roman" w:hAnsi="Times New Roman"/>
                <w:color w:val="auto"/>
                <w:szCs w:val="22"/>
                <w:highlight w:val="none"/>
              </w:rPr>
            </w:pPr>
          </w:p>
        </w:tc>
        <w:tc>
          <w:tcPr>
            <w:tcW w:w="1459" w:type="pct"/>
            <w:gridSpan w:val="2"/>
            <w:noWrap w:val="0"/>
            <w:vAlign w:val="center"/>
          </w:tcPr>
          <w:p>
            <w:pPr>
              <w:jc w:val="center"/>
              <w:rPr>
                <w:rFonts w:ascii="Times New Roman" w:hAnsi="Times New Roman"/>
                <w:color w:val="auto"/>
                <w:szCs w:val="22"/>
                <w:highlight w:val="none"/>
              </w:rPr>
            </w:pPr>
          </w:p>
        </w:tc>
        <w:tc>
          <w:tcPr>
            <w:tcW w:w="1171" w:type="pct"/>
            <w:gridSpan w:val="2"/>
            <w:tcBorders>
              <w:right w:val="single" w:color="auto" w:sz="4" w:space="0"/>
            </w:tcBorders>
            <w:noWrap w:val="0"/>
            <w:vAlign w:val="center"/>
          </w:tcPr>
          <w:p>
            <w:pPr>
              <w:jc w:val="center"/>
              <w:rPr>
                <w:rFonts w:ascii="Times New Roman" w:hAnsi="Times New Roman"/>
                <w:color w:val="auto"/>
                <w:szCs w:val="22"/>
                <w:highlight w:val="none"/>
              </w:rPr>
            </w:pPr>
          </w:p>
        </w:tc>
        <w:tc>
          <w:tcPr>
            <w:tcW w:w="982" w:type="pct"/>
            <w:tcBorders>
              <w:left w:val="single" w:color="auto" w:sz="4" w:space="0"/>
            </w:tcBorders>
            <w:noWrap w:val="0"/>
            <w:vAlign w:val="center"/>
          </w:tcPr>
          <w:p>
            <w:pPr>
              <w:jc w:val="center"/>
              <w:rPr>
                <w:rFonts w:ascii="Times New Roman" w:hAnsi="Times New Roman"/>
                <w:color w:val="auto"/>
                <w:szCs w:val="22"/>
                <w:highlight w:val="none"/>
              </w:rPr>
            </w:pPr>
          </w:p>
        </w:tc>
        <w:tc>
          <w:tcPr>
            <w:tcW w:w="654" w:type="pct"/>
            <w:noWrap w:val="0"/>
            <w:vAlign w:val="center"/>
          </w:tcPr>
          <w:p>
            <w:pPr>
              <w:jc w:val="center"/>
              <w:rPr>
                <w:rFonts w:ascii="Times New Roman" w:hAnsi="Times New Roman"/>
                <w:color w:val="auto"/>
                <w:szCs w:val="22"/>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8"/>
            <w:noWrap w:val="0"/>
            <w:vAlign w:val="center"/>
          </w:tcPr>
          <w:p>
            <w:pPr>
              <w:rPr>
                <w:rFonts w:ascii="Times New Roman" w:hAnsi="Times New Roman"/>
                <w:b/>
                <w:color w:val="auto"/>
                <w:szCs w:val="22"/>
                <w:highlight w:val="none"/>
              </w:rPr>
            </w:pPr>
            <w:r>
              <w:rPr>
                <w:rFonts w:ascii="Times New Roman" w:hAnsi="Times New Roman"/>
                <w:b/>
                <w:color w:val="auto"/>
                <w:szCs w:val="22"/>
                <w:highlight w:val="none"/>
              </w:rPr>
              <w:t>注：</w:t>
            </w:r>
          </w:p>
          <w:p>
            <w:pPr>
              <w:rPr>
                <w:rFonts w:ascii="Times New Roman" w:hAnsi="Times New Roman"/>
                <w:color w:val="auto"/>
                <w:szCs w:val="22"/>
                <w:highlight w:val="none"/>
              </w:rPr>
            </w:pPr>
            <w:r>
              <w:rPr>
                <w:rFonts w:ascii="Times New Roman" w:hAnsi="Times New Roman"/>
                <w:b/>
                <w:color w:val="auto"/>
                <w:szCs w:val="22"/>
                <w:highlight w:val="none"/>
              </w:rPr>
              <w:t>应列出招标公告中要求的业绩及工作经历。</w:t>
            </w:r>
          </w:p>
        </w:tc>
      </w:tr>
    </w:tbl>
    <w:p>
      <w:pPr>
        <w:adjustRightInd w:val="0"/>
        <w:spacing w:line="360" w:lineRule="exact"/>
        <w:rPr>
          <w:b/>
          <w:color w:val="auto"/>
          <w:szCs w:val="21"/>
          <w:highlight w:val="none"/>
        </w:rPr>
      </w:pPr>
      <w:r>
        <w:rPr>
          <w:b/>
          <w:color w:val="auto"/>
          <w:szCs w:val="21"/>
          <w:highlight w:val="none"/>
        </w:rPr>
        <w:t>专业监理师应附证明材料</w:t>
      </w:r>
      <w:r>
        <w:rPr>
          <w:rFonts w:hint="eastAsia"/>
          <w:b/>
          <w:color w:val="auto"/>
          <w:szCs w:val="21"/>
          <w:highlight w:val="none"/>
        </w:rPr>
        <w:t>（提交材料应包括技术评分标准要求）</w:t>
      </w:r>
      <w:r>
        <w:rPr>
          <w:b/>
          <w:color w:val="auto"/>
          <w:szCs w:val="21"/>
          <w:highlight w:val="none"/>
        </w:rPr>
        <w:t>：</w:t>
      </w:r>
    </w:p>
    <w:p>
      <w:pPr>
        <w:numPr>
          <w:ilvl w:val="0"/>
          <w:numId w:val="16"/>
        </w:numPr>
        <w:adjustRightInd w:val="0"/>
        <w:spacing w:line="360" w:lineRule="exact"/>
        <w:ind w:firstLine="141" w:firstLineChars="67"/>
        <w:rPr>
          <w:color w:val="auto"/>
          <w:szCs w:val="21"/>
          <w:highlight w:val="none"/>
        </w:rPr>
      </w:pPr>
      <w:r>
        <w:rPr>
          <w:b/>
          <w:color w:val="auto"/>
          <w:szCs w:val="21"/>
          <w:highlight w:val="none"/>
        </w:rPr>
        <w:t>身份证</w:t>
      </w:r>
      <w:r>
        <w:rPr>
          <w:bCs/>
          <w:color w:val="auto"/>
          <w:szCs w:val="21"/>
          <w:highlight w:val="none"/>
        </w:rPr>
        <w:t>扫描件</w:t>
      </w:r>
      <w:r>
        <w:rPr>
          <w:color w:val="auto"/>
          <w:szCs w:val="21"/>
          <w:highlight w:val="none"/>
        </w:rPr>
        <w:t>；</w:t>
      </w:r>
    </w:p>
    <w:p>
      <w:pPr>
        <w:numPr>
          <w:ilvl w:val="0"/>
          <w:numId w:val="16"/>
        </w:numPr>
        <w:adjustRightInd w:val="0"/>
        <w:spacing w:line="360" w:lineRule="exact"/>
        <w:ind w:firstLine="140" w:firstLineChars="67"/>
        <w:rPr>
          <w:color w:val="auto"/>
          <w:szCs w:val="22"/>
          <w:highlight w:val="none"/>
        </w:rPr>
      </w:pPr>
      <w:r>
        <w:rPr>
          <w:bCs/>
          <w:color w:val="auto"/>
          <w:szCs w:val="21"/>
          <w:highlight w:val="none"/>
        </w:rPr>
        <w:t>如下资质证明其中之一</w:t>
      </w:r>
      <w:r>
        <w:rPr>
          <w:rFonts w:hint="eastAsia" w:ascii="宋体" w:hAnsi="宋体"/>
          <w:color w:val="auto"/>
          <w:highlight w:val="none"/>
          <w:lang w:eastAsia="zh-CN"/>
        </w:rPr>
        <w:t>（举例如下，</w:t>
      </w:r>
      <w:r>
        <w:rPr>
          <w:rFonts w:hint="eastAsia" w:ascii="宋体" w:hAnsi="宋体"/>
          <w:b/>
          <w:bCs/>
          <w:color w:val="auto"/>
          <w:highlight w:val="none"/>
          <w:lang w:eastAsia="zh-CN"/>
        </w:rPr>
        <w:t>具体以招标公告资质要求为准</w:t>
      </w:r>
      <w:r>
        <w:rPr>
          <w:rFonts w:hint="eastAsia" w:ascii="宋体" w:hAnsi="宋体"/>
          <w:color w:val="auto"/>
          <w:highlight w:val="none"/>
          <w:lang w:eastAsia="zh-CN"/>
        </w:rPr>
        <w:t>）</w:t>
      </w:r>
      <w:r>
        <w:rPr>
          <w:b/>
          <w:color w:val="auto"/>
          <w:szCs w:val="21"/>
          <w:highlight w:val="none"/>
        </w:rPr>
        <w:t>：</w:t>
      </w:r>
    </w:p>
    <w:p>
      <w:pPr>
        <w:numPr>
          <w:ilvl w:val="0"/>
          <w:numId w:val="0"/>
        </w:numPr>
        <w:adjustRightInd w:val="0"/>
        <w:spacing w:line="360" w:lineRule="exact"/>
        <w:ind w:firstLine="422" w:firstLineChars="200"/>
        <w:rPr>
          <w:color w:val="auto"/>
          <w:szCs w:val="22"/>
          <w:highlight w:val="none"/>
        </w:rPr>
      </w:pPr>
      <w:r>
        <w:rPr>
          <w:b/>
          <w:color w:val="auto"/>
          <w:szCs w:val="21"/>
          <w:highlight w:val="none"/>
        </w:rPr>
        <w:t>1）</w:t>
      </w:r>
      <w:r>
        <w:rPr>
          <w:b/>
          <w:bCs/>
          <w:color w:val="auto"/>
          <w:kern w:val="0"/>
          <w:szCs w:val="21"/>
          <w:highlight w:val="none"/>
        </w:rPr>
        <w:t>注册监理工程师资格</w:t>
      </w:r>
      <w:r>
        <w:rPr>
          <w:color w:val="auto"/>
          <w:kern w:val="0"/>
          <w:szCs w:val="21"/>
          <w:highlight w:val="none"/>
        </w:rPr>
        <w:t>证书扫描件；2）</w:t>
      </w:r>
      <w:r>
        <w:rPr>
          <w:b/>
          <w:bCs/>
          <w:color w:val="auto"/>
          <w:kern w:val="0"/>
          <w:szCs w:val="21"/>
          <w:highlight w:val="none"/>
        </w:rPr>
        <w:t>中级及以上职称证书</w:t>
      </w:r>
      <w:r>
        <w:rPr>
          <w:color w:val="auto"/>
          <w:kern w:val="0"/>
          <w:szCs w:val="21"/>
          <w:highlight w:val="none"/>
        </w:rPr>
        <w:t>扫描件</w:t>
      </w:r>
    </w:p>
    <w:p>
      <w:pPr>
        <w:numPr>
          <w:ilvl w:val="0"/>
          <w:numId w:val="16"/>
        </w:numPr>
        <w:adjustRightInd w:val="0"/>
        <w:spacing w:line="360" w:lineRule="exact"/>
        <w:ind w:firstLine="140" w:firstLineChars="67"/>
        <w:rPr>
          <w:color w:val="auto"/>
          <w:szCs w:val="22"/>
          <w:highlight w:val="none"/>
        </w:rPr>
      </w:pPr>
      <w:r>
        <w:rPr>
          <w:color w:val="auto"/>
          <w:szCs w:val="21"/>
          <w:highlight w:val="none"/>
        </w:rPr>
        <w:t>上表所有列出每一项业绩的证明材料，包括但不限于：合同协议书，或合同正文，或任职证明，或业主证明，或其他证明材料扫描件。</w:t>
      </w:r>
      <w:r>
        <w:rPr>
          <w:b/>
          <w:bCs/>
          <w:color w:val="auto"/>
          <w:szCs w:val="21"/>
          <w:highlight w:val="none"/>
        </w:rPr>
        <w:t>每项业绩均需附业绩证明材料，证明材料中必须能够体现本人姓名以及任职项目职位等信息。</w:t>
      </w:r>
    </w:p>
    <w:p>
      <w:pPr>
        <w:widowControl/>
        <w:jc w:val="left"/>
        <w:rPr>
          <w:color w:val="auto"/>
          <w:szCs w:val="22"/>
          <w:highlight w:val="none"/>
        </w:rPr>
      </w:pPr>
    </w:p>
    <w:p>
      <w:pPr>
        <w:rPr>
          <w:rFonts w:hint="eastAsia"/>
          <w:b/>
          <w:bCs/>
          <w:color w:val="auto"/>
          <w:sz w:val="24"/>
          <w:szCs w:val="22"/>
          <w:highlight w:val="none"/>
          <w:lang w:val="en-US" w:eastAsia="zh-CN"/>
        </w:rPr>
      </w:pPr>
    </w:p>
    <w:p>
      <w:pPr>
        <w:pStyle w:val="17"/>
        <w:rPr>
          <w:rFonts w:hint="eastAsia"/>
          <w:b/>
          <w:bCs/>
          <w:color w:val="auto"/>
          <w:sz w:val="24"/>
          <w:szCs w:val="22"/>
          <w:highlight w:val="none"/>
          <w:lang w:val="en-US" w:eastAsia="zh-CN"/>
        </w:rPr>
      </w:pPr>
    </w:p>
    <w:p>
      <w:pPr>
        <w:rPr>
          <w:rFonts w:hint="eastAsia"/>
          <w:b/>
          <w:bCs/>
          <w:color w:val="auto"/>
          <w:sz w:val="24"/>
          <w:szCs w:val="22"/>
          <w:highlight w:val="none"/>
          <w:lang w:val="en-US" w:eastAsia="zh-CN"/>
        </w:rPr>
      </w:pPr>
      <w:r>
        <w:rPr>
          <w:rFonts w:hint="eastAsia"/>
          <w:b/>
          <w:bCs/>
          <w:color w:val="auto"/>
          <w:sz w:val="24"/>
          <w:szCs w:val="22"/>
          <w:highlight w:val="none"/>
          <w:lang w:val="en-US" w:eastAsia="zh-CN"/>
        </w:rPr>
        <w:br w:type="page"/>
      </w:r>
    </w:p>
    <w:p>
      <w:pPr>
        <w:pStyle w:val="18"/>
        <w:ind w:left="0"/>
        <w:jc w:val="left"/>
        <w:rPr>
          <w:rFonts w:hint="eastAsia"/>
          <w:color w:val="auto"/>
          <w:highlight w:val="none"/>
          <w:lang w:val="en-US" w:eastAsia="zh-CN"/>
        </w:rPr>
      </w:pPr>
      <w:r>
        <w:rPr>
          <w:rFonts w:hint="eastAsia"/>
          <w:b/>
          <w:bCs/>
          <w:color w:val="auto"/>
          <w:sz w:val="24"/>
          <w:szCs w:val="22"/>
          <w:highlight w:val="none"/>
          <w:lang w:val="en-US" w:eastAsia="zh-CN"/>
        </w:rPr>
        <w:t>【其他服务类】</w:t>
      </w:r>
    </w:p>
    <w:p>
      <w:pPr>
        <w:adjustRightInd w:val="0"/>
        <w:snapToGrid w:val="0"/>
        <w:rPr>
          <w:rFonts w:hint="eastAsia" w:eastAsia="黑体"/>
          <w:b/>
          <w:color w:val="auto"/>
          <w:sz w:val="21"/>
          <w:szCs w:val="21"/>
          <w:highlight w:val="none"/>
          <w:lang w:eastAsia="zh-CN"/>
        </w:rPr>
      </w:pPr>
      <w:r>
        <w:rPr>
          <w:rFonts w:eastAsia="黑体"/>
          <w:b/>
          <w:color w:val="auto"/>
          <w:sz w:val="21"/>
          <w:szCs w:val="21"/>
          <w:highlight w:val="none"/>
        </w:rPr>
        <w:t>项目负责人及其他主要人员资质情况</w:t>
      </w:r>
    </w:p>
    <w:p>
      <w:pPr>
        <w:pStyle w:val="40"/>
        <w:rPr>
          <w:color w:val="auto"/>
          <w:highlight w:val="none"/>
        </w:rPr>
      </w:pPr>
      <w:r>
        <w:rPr>
          <w:color w:val="auto"/>
          <w:highlight w:val="none"/>
        </w:rPr>
        <w:t>项目负责人简历表</w:t>
      </w:r>
    </w:p>
    <w:tbl>
      <w:tblPr>
        <w:tblStyle w:val="1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940"/>
        <w:gridCol w:w="739"/>
        <w:gridCol w:w="1477"/>
        <w:gridCol w:w="1481"/>
        <w:gridCol w:w="981"/>
        <w:gridCol w:w="1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04"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姓名</w:t>
            </w:r>
          </w:p>
        </w:tc>
        <w:tc>
          <w:tcPr>
            <w:tcW w:w="986" w:type="pct"/>
            <w:gridSpan w:val="2"/>
            <w:noWrap w:val="0"/>
            <w:vAlign w:val="top"/>
          </w:tcPr>
          <w:p>
            <w:pPr>
              <w:pStyle w:val="41"/>
              <w:snapToGrid w:val="0"/>
              <w:spacing w:before="60" w:after="60"/>
              <w:jc w:val="center"/>
              <w:rPr>
                <w:rFonts w:ascii="Times New Roman" w:hAnsi="Times New Roman"/>
                <w:color w:val="auto"/>
                <w:sz w:val="18"/>
                <w:highlight w:val="none"/>
              </w:rPr>
            </w:pPr>
          </w:p>
        </w:tc>
        <w:tc>
          <w:tcPr>
            <w:tcW w:w="866"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性别</w:t>
            </w:r>
          </w:p>
        </w:tc>
        <w:tc>
          <w:tcPr>
            <w:tcW w:w="869" w:type="pct"/>
            <w:noWrap w:val="0"/>
            <w:vAlign w:val="center"/>
          </w:tcPr>
          <w:p>
            <w:pPr>
              <w:pStyle w:val="41"/>
              <w:snapToGrid w:val="0"/>
              <w:spacing w:before="60" w:after="60"/>
              <w:jc w:val="center"/>
              <w:rPr>
                <w:rFonts w:ascii="Times New Roman" w:hAnsi="Times New Roman"/>
                <w:color w:val="auto"/>
                <w:sz w:val="18"/>
                <w:highlight w:val="none"/>
              </w:rPr>
            </w:pPr>
          </w:p>
        </w:tc>
        <w:tc>
          <w:tcPr>
            <w:tcW w:w="575"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年龄</w:t>
            </w:r>
          </w:p>
        </w:tc>
        <w:tc>
          <w:tcPr>
            <w:tcW w:w="896" w:type="pct"/>
            <w:noWrap w:val="0"/>
            <w:vAlign w:val="center"/>
          </w:tcPr>
          <w:p>
            <w:pPr>
              <w:pStyle w:val="41"/>
              <w:snapToGrid w:val="0"/>
              <w:spacing w:before="60" w:after="60"/>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04"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职务</w:t>
            </w:r>
          </w:p>
        </w:tc>
        <w:tc>
          <w:tcPr>
            <w:tcW w:w="986" w:type="pct"/>
            <w:gridSpan w:val="2"/>
            <w:noWrap w:val="0"/>
            <w:vAlign w:val="top"/>
          </w:tcPr>
          <w:p>
            <w:pPr>
              <w:pStyle w:val="41"/>
              <w:snapToGrid w:val="0"/>
              <w:spacing w:before="60" w:after="60"/>
              <w:jc w:val="center"/>
              <w:rPr>
                <w:rFonts w:ascii="Times New Roman" w:hAnsi="Times New Roman"/>
                <w:color w:val="auto"/>
                <w:sz w:val="18"/>
                <w:highlight w:val="none"/>
              </w:rPr>
            </w:pPr>
          </w:p>
        </w:tc>
        <w:tc>
          <w:tcPr>
            <w:tcW w:w="866"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职称</w:t>
            </w:r>
          </w:p>
        </w:tc>
        <w:tc>
          <w:tcPr>
            <w:tcW w:w="869" w:type="pct"/>
            <w:noWrap w:val="0"/>
            <w:vAlign w:val="center"/>
          </w:tcPr>
          <w:p>
            <w:pPr>
              <w:pStyle w:val="41"/>
              <w:snapToGrid w:val="0"/>
              <w:spacing w:before="60" w:after="60"/>
              <w:jc w:val="center"/>
              <w:rPr>
                <w:rFonts w:ascii="Times New Roman" w:hAnsi="Times New Roman"/>
                <w:color w:val="auto"/>
                <w:sz w:val="18"/>
                <w:highlight w:val="none"/>
              </w:rPr>
            </w:pPr>
          </w:p>
        </w:tc>
        <w:tc>
          <w:tcPr>
            <w:tcW w:w="575"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学历</w:t>
            </w:r>
          </w:p>
        </w:tc>
        <w:tc>
          <w:tcPr>
            <w:tcW w:w="896" w:type="pct"/>
            <w:noWrap w:val="0"/>
            <w:vAlign w:val="center"/>
          </w:tcPr>
          <w:p>
            <w:pPr>
              <w:pStyle w:val="41"/>
              <w:snapToGrid w:val="0"/>
              <w:spacing w:before="60" w:after="60"/>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04"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参加工作时间</w:t>
            </w:r>
          </w:p>
        </w:tc>
        <w:tc>
          <w:tcPr>
            <w:tcW w:w="1853" w:type="pct"/>
            <w:gridSpan w:val="3"/>
            <w:noWrap w:val="0"/>
            <w:vAlign w:val="top"/>
          </w:tcPr>
          <w:p>
            <w:pPr>
              <w:pStyle w:val="41"/>
              <w:snapToGrid w:val="0"/>
              <w:spacing w:before="60" w:after="60"/>
              <w:jc w:val="center"/>
              <w:rPr>
                <w:rFonts w:ascii="Times New Roman" w:hAnsi="Times New Roman"/>
                <w:color w:val="auto"/>
                <w:sz w:val="18"/>
                <w:highlight w:val="none"/>
              </w:rPr>
            </w:pPr>
          </w:p>
        </w:tc>
        <w:tc>
          <w:tcPr>
            <w:tcW w:w="1445" w:type="pct"/>
            <w:gridSpan w:val="2"/>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从事</w:t>
            </w:r>
            <w:r>
              <w:rPr>
                <w:rFonts w:ascii="Times New Roman" w:hAnsi="Times New Roman"/>
                <w:color w:val="auto"/>
                <w:sz w:val="18"/>
                <w:highlight w:val="none"/>
                <w:lang w:eastAsia="zh-CN"/>
              </w:rPr>
              <w:t>同类</w:t>
            </w:r>
            <w:r>
              <w:rPr>
                <w:rFonts w:ascii="Times New Roman" w:hAnsi="Times New Roman"/>
                <w:color w:val="auto"/>
                <w:sz w:val="18"/>
                <w:highlight w:val="none"/>
              </w:rPr>
              <w:t>项目年限</w:t>
            </w:r>
          </w:p>
        </w:tc>
        <w:tc>
          <w:tcPr>
            <w:tcW w:w="896" w:type="pct"/>
            <w:noWrap w:val="0"/>
            <w:vAlign w:val="center"/>
          </w:tcPr>
          <w:p>
            <w:pPr>
              <w:pStyle w:val="41"/>
              <w:snapToGrid w:val="0"/>
              <w:spacing w:before="60" w:after="60"/>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00" w:type="pct"/>
            <w:gridSpan w:val="7"/>
            <w:noWrap w:val="0"/>
            <w:vAlign w:val="top"/>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已完工程项目情况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04"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项目名称</w:t>
            </w:r>
          </w:p>
        </w:tc>
        <w:tc>
          <w:tcPr>
            <w:tcW w:w="552" w:type="pct"/>
            <w:noWrap w:val="0"/>
            <w:vAlign w:val="top"/>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工程电压等级</w:t>
            </w:r>
          </w:p>
        </w:tc>
        <w:tc>
          <w:tcPr>
            <w:tcW w:w="433"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建设规模</w:t>
            </w:r>
          </w:p>
        </w:tc>
        <w:tc>
          <w:tcPr>
            <w:tcW w:w="866" w:type="pct"/>
            <w:noWrap w:val="0"/>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合同签订日期/</w:t>
            </w:r>
          </w:p>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竣工日期</w:t>
            </w:r>
          </w:p>
        </w:tc>
        <w:tc>
          <w:tcPr>
            <w:tcW w:w="869" w:type="pct"/>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担负的技术职务</w:t>
            </w:r>
          </w:p>
        </w:tc>
        <w:tc>
          <w:tcPr>
            <w:tcW w:w="1472" w:type="pct"/>
            <w:gridSpan w:val="2"/>
            <w:noWrap w:val="0"/>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获奖情况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04" w:type="pct"/>
            <w:noWrap w:val="0"/>
            <w:vAlign w:val="center"/>
          </w:tcPr>
          <w:p>
            <w:pPr>
              <w:pStyle w:val="41"/>
              <w:snapToGrid w:val="0"/>
              <w:spacing w:before="60" w:after="60"/>
              <w:jc w:val="center"/>
              <w:rPr>
                <w:rFonts w:ascii="Times New Roman" w:hAnsi="Times New Roman"/>
                <w:color w:val="auto"/>
                <w:sz w:val="18"/>
                <w:highlight w:val="none"/>
              </w:rPr>
            </w:pPr>
          </w:p>
        </w:tc>
        <w:tc>
          <w:tcPr>
            <w:tcW w:w="552" w:type="pct"/>
            <w:noWrap w:val="0"/>
            <w:vAlign w:val="top"/>
          </w:tcPr>
          <w:p>
            <w:pPr>
              <w:pStyle w:val="41"/>
              <w:snapToGrid w:val="0"/>
              <w:spacing w:before="60" w:after="60"/>
              <w:jc w:val="center"/>
              <w:rPr>
                <w:rFonts w:ascii="Times New Roman" w:hAnsi="Times New Roman"/>
                <w:color w:val="auto"/>
                <w:sz w:val="18"/>
                <w:highlight w:val="none"/>
              </w:rPr>
            </w:pPr>
          </w:p>
        </w:tc>
        <w:tc>
          <w:tcPr>
            <w:tcW w:w="433" w:type="pct"/>
            <w:noWrap w:val="0"/>
            <w:vAlign w:val="center"/>
          </w:tcPr>
          <w:p>
            <w:pPr>
              <w:pStyle w:val="41"/>
              <w:snapToGrid w:val="0"/>
              <w:spacing w:before="60" w:after="60"/>
              <w:jc w:val="center"/>
              <w:rPr>
                <w:rFonts w:ascii="Times New Roman" w:hAnsi="Times New Roman"/>
                <w:color w:val="auto"/>
                <w:sz w:val="18"/>
                <w:highlight w:val="none"/>
              </w:rPr>
            </w:pPr>
          </w:p>
        </w:tc>
        <w:tc>
          <w:tcPr>
            <w:tcW w:w="866" w:type="pct"/>
            <w:noWrap w:val="0"/>
            <w:vAlign w:val="center"/>
          </w:tcPr>
          <w:p>
            <w:pPr>
              <w:pStyle w:val="41"/>
              <w:snapToGrid w:val="0"/>
              <w:spacing w:before="60" w:after="60"/>
              <w:jc w:val="center"/>
              <w:rPr>
                <w:rFonts w:ascii="Times New Roman" w:hAnsi="Times New Roman"/>
                <w:color w:val="auto"/>
                <w:sz w:val="18"/>
                <w:highlight w:val="none"/>
              </w:rPr>
            </w:pPr>
          </w:p>
        </w:tc>
        <w:tc>
          <w:tcPr>
            <w:tcW w:w="869" w:type="pct"/>
            <w:noWrap w:val="0"/>
            <w:vAlign w:val="center"/>
          </w:tcPr>
          <w:p>
            <w:pPr>
              <w:pStyle w:val="41"/>
              <w:snapToGrid w:val="0"/>
              <w:spacing w:before="60" w:after="60"/>
              <w:jc w:val="center"/>
              <w:rPr>
                <w:rFonts w:ascii="Times New Roman" w:hAnsi="Times New Roman"/>
                <w:color w:val="auto"/>
                <w:sz w:val="18"/>
                <w:highlight w:val="none"/>
              </w:rPr>
            </w:pPr>
          </w:p>
        </w:tc>
        <w:tc>
          <w:tcPr>
            <w:tcW w:w="1472" w:type="pct"/>
            <w:gridSpan w:val="2"/>
            <w:noWrap w:val="0"/>
            <w:vAlign w:val="center"/>
          </w:tcPr>
          <w:p>
            <w:pPr>
              <w:pStyle w:val="41"/>
              <w:snapToGrid w:val="0"/>
              <w:spacing w:before="60" w:after="60"/>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04" w:type="pct"/>
            <w:noWrap w:val="0"/>
            <w:vAlign w:val="center"/>
          </w:tcPr>
          <w:p>
            <w:pPr>
              <w:pStyle w:val="41"/>
              <w:snapToGrid w:val="0"/>
              <w:spacing w:before="60" w:after="60"/>
              <w:jc w:val="center"/>
              <w:rPr>
                <w:rFonts w:ascii="Times New Roman" w:hAnsi="Times New Roman"/>
                <w:color w:val="auto"/>
                <w:sz w:val="18"/>
                <w:highlight w:val="none"/>
              </w:rPr>
            </w:pPr>
          </w:p>
        </w:tc>
        <w:tc>
          <w:tcPr>
            <w:tcW w:w="552" w:type="pct"/>
            <w:noWrap w:val="0"/>
            <w:vAlign w:val="top"/>
          </w:tcPr>
          <w:p>
            <w:pPr>
              <w:pStyle w:val="41"/>
              <w:snapToGrid w:val="0"/>
              <w:spacing w:before="60" w:after="60"/>
              <w:jc w:val="center"/>
              <w:rPr>
                <w:rFonts w:ascii="Times New Roman" w:hAnsi="Times New Roman"/>
                <w:color w:val="auto"/>
                <w:sz w:val="18"/>
                <w:highlight w:val="none"/>
              </w:rPr>
            </w:pPr>
          </w:p>
        </w:tc>
        <w:tc>
          <w:tcPr>
            <w:tcW w:w="433" w:type="pct"/>
            <w:noWrap w:val="0"/>
            <w:vAlign w:val="center"/>
          </w:tcPr>
          <w:p>
            <w:pPr>
              <w:pStyle w:val="41"/>
              <w:snapToGrid w:val="0"/>
              <w:spacing w:before="60" w:after="60"/>
              <w:jc w:val="center"/>
              <w:rPr>
                <w:rFonts w:ascii="Times New Roman" w:hAnsi="Times New Roman"/>
                <w:color w:val="auto"/>
                <w:sz w:val="18"/>
                <w:highlight w:val="none"/>
              </w:rPr>
            </w:pPr>
          </w:p>
        </w:tc>
        <w:tc>
          <w:tcPr>
            <w:tcW w:w="866" w:type="pct"/>
            <w:noWrap w:val="0"/>
            <w:vAlign w:val="center"/>
          </w:tcPr>
          <w:p>
            <w:pPr>
              <w:pStyle w:val="41"/>
              <w:snapToGrid w:val="0"/>
              <w:spacing w:before="60" w:after="60"/>
              <w:jc w:val="center"/>
              <w:rPr>
                <w:rFonts w:ascii="Times New Roman" w:hAnsi="Times New Roman"/>
                <w:color w:val="auto"/>
                <w:sz w:val="18"/>
                <w:highlight w:val="none"/>
              </w:rPr>
            </w:pPr>
          </w:p>
        </w:tc>
        <w:tc>
          <w:tcPr>
            <w:tcW w:w="869" w:type="pct"/>
            <w:noWrap w:val="0"/>
            <w:vAlign w:val="center"/>
          </w:tcPr>
          <w:p>
            <w:pPr>
              <w:pStyle w:val="41"/>
              <w:snapToGrid w:val="0"/>
              <w:spacing w:before="60" w:after="60"/>
              <w:jc w:val="center"/>
              <w:rPr>
                <w:rFonts w:ascii="Times New Roman" w:hAnsi="Times New Roman"/>
                <w:color w:val="auto"/>
                <w:sz w:val="18"/>
                <w:highlight w:val="none"/>
              </w:rPr>
            </w:pPr>
          </w:p>
        </w:tc>
        <w:tc>
          <w:tcPr>
            <w:tcW w:w="1472" w:type="pct"/>
            <w:gridSpan w:val="2"/>
            <w:noWrap w:val="0"/>
            <w:vAlign w:val="center"/>
          </w:tcPr>
          <w:p>
            <w:pPr>
              <w:pStyle w:val="41"/>
              <w:snapToGrid w:val="0"/>
              <w:spacing w:before="60" w:after="60"/>
              <w:jc w:val="center"/>
              <w:rPr>
                <w:rFonts w:ascii="Times New Roman" w:hAnsi="Times New Roman"/>
                <w:color w:val="auto"/>
                <w:sz w:val="18"/>
                <w:highlight w:val="none"/>
              </w:rPr>
            </w:pPr>
          </w:p>
        </w:tc>
      </w:tr>
    </w:tbl>
    <w:p>
      <w:pPr>
        <w:adjustRightInd w:val="0"/>
        <w:spacing w:line="360" w:lineRule="exact"/>
        <w:ind w:firstLine="207" w:firstLineChars="98"/>
        <w:rPr>
          <w:b/>
          <w:color w:val="auto"/>
          <w:szCs w:val="21"/>
          <w:highlight w:val="none"/>
        </w:rPr>
      </w:pPr>
      <w:r>
        <w:rPr>
          <w:b/>
          <w:color w:val="auto"/>
          <w:szCs w:val="21"/>
          <w:highlight w:val="none"/>
        </w:rPr>
        <w:t>项目负责人应附证明材料</w:t>
      </w:r>
      <w:r>
        <w:rPr>
          <w:rFonts w:hint="eastAsia"/>
          <w:b/>
          <w:color w:val="auto"/>
          <w:szCs w:val="21"/>
          <w:highlight w:val="none"/>
          <w:lang w:eastAsia="zh-CN"/>
        </w:rPr>
        <w:t>（</w:t>
      </w:r>
      <w:r>
        <w:rPr>
          <w:rFonts w:hint="eastAsia" w:ascii="Times New Roman" w:hAnsi="Times New Roman" w:eastAsia="宋体" w:cs="Times New Roman"/>
          <w:color w:val="auto"/>
          <w:szCs w:val="21"/>
          <w:highlight w:val="none"/>
          <w:lang w:val="en-US" w:eastAsia="zh-CN"/>
        </w:rPr>
        <w:t>所提供材料需包含</w:t>
      </w:r>
      <w:r>
        <w:rPr>
          <w:rFonts w:hint="eastAsia" w:ascii="Times New Roman" w:hAnsi="Times New Roman" w:eastAsia="宋体" w:cs="Times New Roman"/>
          <w:color w:val="auto"/>
          <w:szCs w:val="21"/>
          <w:highlight w:val="none"/>
        </w:rPr>
        <w:t>技术评分标准</w:t>
      </w:r>
      <w:r>
        <w:rPr>
          <w:rFonts w:hint="eastAsia" w:ascii="Times New Roman" w:hAnsi="Times New Roman" w:eastAsia="宋体" w:cs="Times New Roman"/>
          <w:color w:val="auto"/>
          <w:szCs w:val="21"/>
          <w:highlight w:val="none"/>
          <w:lang w:val="en-US" w:eastAsia="zh-CN"/>
        </w:rPr>
        <w:t>要求</w:t>
      </w:r>
      <w:r>
        <w:rPr>
          <w:rFonts w:hint="eastAsia"/>
          <w:b/>
          <w:color w:val="auto"/>
          <w:szCs w:val="21"/>
          <w:highlight w:val="none"/>
          <w:lang w:eastAsia="zh-CN"/>
        </w:rPr>
        <w:t>）</w:t>
      </w:r>
      <w:r>
        <w:rPr>
          <w:b/>
          <w:color w:val="auto"/>
          <w:szCs w:val="21"/>
          <w:highlight w:val="none"/>
        </w:rPr>
        <w:t>：</w:t>
      </w:r>
    </w:p>
    <w:p>
      <w:pPr>
        <w:adjustRightInd w:val="0"/>
        <w:spacing w:line="360" w:lineRule="exact"/>
        <w:ind w:left="141"/>
        <w:rPr>
          <w:rFonts w:hint="default" w:eastAsia="宋体"/>
          <w:color w:val="auto"/>
          <w:szCs w:val="21"/>
          <w:highlight w:val="none"/>
          <w:lang w:val="en-US" w:eastAsia="zh-CN"/>
        </w:rPr>
      </w:pPr>
      <w:r>
        <w:rPr>
          <w:color w:val="auto"/>
          <w:szCs w:val="21"/>
          <w:highlight w:val="none"/>
        </w:rPr>
        <w:t>（1）资质证书扫描件（含有效期页</w:t>
      </w:r>
      <w:r>
        <w:rPr>
          <w:rFonts w:hint="eastAsia"/>
          <w:color w:val="auto"/>
          <w:szCs w:val="21"/>
          <w:highlight w:val="none"/>
        </w:rPr>
        <w:t>、证书编号页</w:t>
      </w:r>
      <w:r>
        <w:rPr>
          <w:rFonts w:hint="eastAsia"/>
          <w:color w:val="auto"/>
          <w:szCs w:val="21"/>
          <w:highlight w:val="none"/>
          <w:lang w:val="en-US" w:eastAsia="zh-CN"/>
        </w:rPr>
        <w:t>等关键信息页</w:t>
      </w:r>
      <w:r>
        <w:rPr>
          <w:color w:val="auto"/>
          <w:szCs w:val="21"/>
          <w:highlight w:val="none"/>
        </w:rPr>
        <w:t>）</w:t>
      </w:r>
      <w:r>
        <w:rPr>
          <w:rFonts w:hint="eastAsia"/>
          <w:color w:val="auto"/>
          <w:szCs w:val="21"/>
          <w:highlight w:val="none"/>
          <w:lang w:eastAsia="zh-CN"/>
        </w:rPr>
        <w:t>；</w:t>
      </w:r>
      <w:r>
        <w:rPr>
          <w:rFonts w:hint="eastAsia"/>
          <w:color w:val="auto"/>
          <w:szCs w:val="21"/>
          <w:highlight w:val="none"/>
          <w:lang w:val="en-US" w:eastAsia="zh-CN"/>
        </w:rPr>
        <w:t>分标环评水保须提供环境影响评价工程师注册截图；分标科研须提供有效的资格证书，</w:t>
      </w:r>
      <w:r>
        <w:rPr>
          <w:rFonts w:hint="eastAsia" w:ascii="宋体" w:hAnsi="宋体" w:eastAsia="宋体" w:cs="宋体"/>
          <w:color w:val="auto"/>
          <w:kern w:val="0"/>
          <w:sz w:val="21"/>
          <w:szCs w:val="21"/>
          <w:highlight w:val="none"/>
          <w:lang w:val="en-US" w:eastAsia="zh-CN"/>
        </w:rPr>
        <w:t>对投标人出具的本单位任职文件不予认可</w:t>
      </w:r>
      <w:r>
        <w:rPr>
          <w:rFonts w:hint="eastAsia"/>
          <w:color w:val="auto"/>
          <w:szCs w:val="21"/>
          <w:highlight w:val="none"/>
          <w:lang w:val="en-US" w:eastAsia="zh-CN"/>
        </w:rPr>
        <w:t>。</w:t>
      </w:r>
    </w:p>
    <w:p>
      <w:pPr>
        <w:adjustRightInd w:val="0"/>
        <w:spacing w:line="360" w:lineRule="exact"/>
        <w:ind w:left="141"/>
        <w:rPr>
          <w:color w:val="auto"/>
          <w:szCs w:val="21"/>
          <w:highlight w:val="none"/>
        </w:rPr>
      </w:pPr>
      <w:r>
        <w:rPr>
          <w:color w:val="auto"/>
          <w:szCs w:val="21"/>
          <w:highlight w:val="none"/>
        </w:rPr>
        <w:t>（2）身份证扫描件</w:t>
      </w:r>
    </w:p>
    <w:p>
      <w:pPr>
        <w:adjustRightInd w:val="0"/>
        <w:spacing w:line="360" w:lineRule="exact"/>
        <w:ind w:left="141"/>
        <w:rPr>
          <w:color w:val="auto"/>
          <w:szCs w:val="21"/>
          <w:highlight w:val="none"/>
        </w:rPr>
      </w:pPr>
      <w:r>
        <w:rPr>
          <w:color w:val="auto"/>
          <w:szCs w:val="21"/>
          <w:highlight w:val="none"/>
        </w:rPr>
        <w:t>（3）劳务合同或</w:t>
      </w:r>
      <w:r>
        <w:rPr>
          <w:rFonts w:hint="eastAsia"/>
          <w:color w:val="auto"/>
          <w:szCs w:val="21"/>
          <w:highlight w:val="none"/>
        </w:rPr>
        <w:t>单位社保参保证明</w:t>
      </w:r>
      <w:r>
        <w:rPr>
          <w:color w:val="auto"/>
          <w:szCs w:val="21"/>
          <w:highlight w:val="none"/>
        </w:rPr>
        <w:t>扫描件</w:t>
      </w:r>
    </w:p>
    <w:p>
      <w:pPr>
        <w:adjustRightInd w:val="0"/>
        <w:spacing w:line="360" w:lineRule="exact"/>
        <w:ind w:left="141"/>
        <w:rPr>
          <w:color w:val="auto"/>
          <w:szCs w:val="21"/>
          <w:highlight w:val="none"/>
        </w:rPr>
      </w:pPr>
      <w:r>
        <w:rPr>
          <w:color w:val="auto"/>
          <w:szCs w:val="21"/>
          <w:highlight w:val="none"/>
        </w:rPr>
        <w:t>（</w:t>
      </w:r>
      <w:r>
        <w:rPr>
          <w:rFonts w:hint="eastAsia"/>
          <w:color w:val="auto"/>
          <w:szCs w:val="21"/>
          <w:highlight w:val="none"/>
        </w:rPr>
        <w:t>4</w:t>
      </w:r>
      <w:r>
        <w:rPr>
          <w:color w:val="auto"/>
          <w:szCs w:val="21"/>
          <w:highlight w:val="none"/>
        </w:rPr>
        <w:t>）业绩证明材料。提供合同协议书扫描件，或业主证明文件，或投标人出具的加盖公章的证明任职的其它书面材料扫描件。</w:t>
      </w:r>
    </w:p>
    <w:p>
      <w:pPr>
        <w:widowControl/>
        <w:topLinePunct w:val="0"/>
        <w:jc w:val="left"/>
        <w:rPr>
          <w:color w:val="auto"/>
          <w:highlight w:val="none"/>
        </w:rPr>
      </w:pPr>
    </w:p>
    <w:p>
      <w:pPr>
        <w:pStyle w:val="40"/>
        <w:rPr>
          <w:color w:val="auto"/>
          <w:highlight w:val="none"/>
        </w:rPr>
      </w:pPr>
      <w:r>
        <w:rPr>
          <w:color w:val="auto"/>
          <w:highlight w:val="none"/>
        </w:rPr>
        <w:t>项目其他主要人员简历表</w:t>
      </w:r>
    </w:p>
    <w:tbl>
      <w:tblPr>
        <w:tblStyle w:val="1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1234"/>
        <w:gridCol w:w="931"/>
        <w:gridCol w:w="969"/>
        <w:gridCol w:w="969"/>
        <w:gridCol w:w="2033"/>
        <w:gridCol w:w="15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76" w:type="pct"/>
            <w:noWrap w:val="0"/>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名称</w:t>
            </w:r>
          </w:p>
        </w:tc>
        <w:tc>
          <w:tcPr>
            <w:tcW w:w="724" w:type="pct"/>
            <w:noWrap w:val="0"/>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姓名</w:t>
            </w:r>
          </w:p>
        </w:tc>
        <w:tc>
          <w:tcPr>
            <w:tcW w:w="546" w:type="pct"/>
            <w:noWrap w:val="0"/>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职务</w:t>
            </w:r>
          </w:p>
        </w:tc>
        <w:tc>
          <w:tcPr>
            <w:tcW w:w="568" w:type="pct"/>
            <w:noWrap w:val="0"/>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职称</w:t>
            </w:r>
          </w:p>
        </w:tc>
        <w:tc>
          <w:tcPr>
            <w:tcW w:w="568" w:type="pct"/>
            <w:noWrap w:val="0"/>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专业</w:t>
            </w:r>
          </w:p>
        </w:tc>
        <w:tc>
          <w:tcPr>
            <w:tcW w:w="1192" w:type="pct"/>
            <w:noWrap w:val="0"/>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主要资历、经验及承担过的项目</w:t>
            </w:r>
          </w:p>
        </w:tc>
        <w:tc>
          <w:tcPr>
            <w:tcW w:w="922" w:type="pct"/>
            <w:noWrap w:val="0"/>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工作分工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76" w:type="pct"/>
            <w:vMerge w:val="restart"/>
            <w:noWrap w:val="0"/>
            <w:vAlign w:val="center"/>
          </w:tcPr>
          <w:p>
            <w:pPr>
              <w:pStyle w:val="41"/>
              <w:snapToGrid w:val="0"/>
              <w:jc w:val="center"/>
              <w:rPr>
                <w:rFonts w:ascii="Times New Roman" w:hAnsi="Times New Roman"/>
                <w:color w:val="auto"/>
                <w:sz w:val="18"/>
                <w:highlight w:val="none"/>
              </w:rPr>
            </w:pPr>
          </w:p>
        </w:tc>
        <w:tc>
          <w:tcPr>
            <w:tcW w:w="724" w:type="pct"/>
            <w:noWrap w:val="0"/>
            <w:vAlign w:val="center"/>
          </w:tcPr>
          <w:p>
            <w:pPr>
              <w:pStyle w:val="41"/>
              <w:snapToGrid w:val="0"/>
              <w:spacing w:before="62" w:after="64"/>
              <w:jc w:val="center"/>
              <w:rPr>
                <w:rFonts w:ascii="Times New Roman" w:hAnsi="Times New Roman"/>
                <w:color w:val="auto"/>
                <w:sz w:val="18"/>
                <w:highlight w:val="none"/>
              </w:rPr>
            </w:pPr>
          </w:p>
        </w:tc>
        <w:tc>
          <w:tcPr>
            <w:tcW w:w="546" w:type="pct"/>
            <w:noWrap w:val="0"/>
            <w:vAlign w:val="center"/>
          </w:tcPr>
          <w:p>
            <w:pPr>
              <w:pStyle w:val="41"/>
              <w:snapToGrid w:val="0"/>
              <w:spacing w:before="62" w:after="64"/>
              <w:jc w:val="center"/>
              <w:rPr>
                <w:rFonts w:ascii="Times New Roman" w:hAnsi="Times New Roman"/>
                <w:color w:val="auto"/>
                <w:sz w:val="18"/>
                <w:highlight w:val="none"/>
              </w:rPr>
            </w:pPr>
          </w:p>
        </w:tc>
        <w:tc>
          <w:tcPr>
            <w:tcW w:w="568" w:type="pct"/>
            <w:noWrap w:val="0"/>
            <w:vAlign w:val="center"/>
          </w:tcPr>
          <w:p>
            <w:pPr>
              <w:pStyle w:val="41"/>
              <w:snapToGrid w:val="0"/>
              <w:spacing w:before="62" w:after="64"/>
              <w:jc w:val="center"/>
              <w:rPr>
                <w:rFonts w:ascii="Times New Roman" w:hAnsi="Times New Roman"/>
                <w:color w:val="auto"/>
                <w:sz w:val="18"/>
                <w:highlight w:val="none"/>
              </w:rPr>
            </w:pPr>
          </w:p>
        </w:tc>
        <w:tc>
          <w:tcPr>
            <w:tcW w:w="568" w:type="pct"/>
            <w:noWrap w:val="0"/>
            <w:vAlign w:val="top"/>
          </w:tcPr>
          <w:p>
            <w:pPr>
              <w:pStyle w:val="41"/>
              <w:snapToGrid w:val="0"/>
              <w:spacing w:before="62" w:after="64"/>
              <w:jc w:val="center"/>
              <w:rPr>
                <w:rFonts w:ascii="Times New Roman" w:hAnsi="Times New Roman"/>
                <w:color w:val="auto"/>
                <w:sz w:val="18"/>
                <w:highlight w:val="none"/>
              </w:rPr>
            </w:pPr>
          </w:p>
        </w:tc>
        <w:tc>
          <w:tcPr>
            <w:tcW w:w="1192" w:type="pct"/>
            <w:noWrap w:val="0"/>
            <w:vAlign w:val="center"/>
          </w:tcPr>
          <w:p>
            <w:pPr>
              <w:pStyle w:val="41"/>
              <w:snapToGrid w:val="0"/>
              <w:spacing w:before="62" w:after="64"/>
              <w:jc w:val="center"/>
              <w:rPr>
                <w:rFonts w:ascii="Times New Roman" w:hAnsi="Times New Roman"/>
                <w:color w:val="auto"/>
                <w:sz w:val="18"/>
                <w:highlight w:val="none"/>
              </w:rPr>
            </w:pPr>
          </w:p>
        </w:tc>
        <w:tc>
          <w:tcPr>
            <w:tcW w:w="922" w:type="pct"/>
            <w:noWrap w:val="0"/>
            <w:vAlign w:val="top"/>
          </w:tcPr>
          <w:p>
            <w:pPr>
              <w:pStyle w:val="41"/>
              <w:snapToGrid w:val="0"/>
              <w:spacing w:before="62" w:after="64"/>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76" w:type="pct"/>
            <w:vMerge w:val="continue"/>
            <w:noWrap w:val="0"/>
            <w:vAlign w:val="center"/>
          </w:tcPr>
          <w:p>
            <w:pPr>
              <w:adjustRightInd w:val="0"/>
              <w:snapToGrid w:val="0"/>
              <w:spacing w:before="62" w:after="64"/>
              <w:jc w:val="center"/>
              <w:rPr>
                <w:rFonts w:ascii="Times New Roman" w:hAnsi="Times New Roman"/>
                <w:color w:val="auto"/>
                <w:sz w:val="18"/>
                <w:highlight w:val="none"/>
              </w:rPr>
            </w:pPr>
          </w:p>
        </w:tc>
        <w:tc>
          <w:tcPr>
            <w:tcW w:w="724" w:type="pct"/>
            <w:noWrap w:val="0"/>
            <w:vAlign w:val="center"/>
          </w:tcPr>
          <w:p>
            <w:pPr>
              <w:pStyle w:val="41"/>
              <w:snapToGrid w:val="0"/>
              <w:spacing w:before="62" w:after="64"/>
              <w:jc w:val="center"/>
              <w:rPr>
                <w:rFonts w:ascii="Times New Roman" w:hAnsi="Times New Roman"/>
                <w:color w:val="auto"/>
                <w:sz w:val="18"/>
                <w:highlight w:val="none"/>
              </w:rPr>
            </w:pPr>
          </w:p>
        </w:tc>
        <w:tc>
          <w:tcPr>
            <w:tcW w:w="546" w:type="pct"/>
            <w:noWrap w:val="0"/>
            <w:vAlign w:val="center"/>
          </w:tcPr>
          <w:p>
            <w:pPr>
              <w:pStyle w:val="41"/>
              <w:snapToGrid w:val="0"/>
              <w:spacing w:before="62" w:after="64"/>
              <w:jc w:val="center"/>
              <w:rPr>
                <w:rFonts w:ascii="Times New Roman" w:hAnsi="Times New Roman"/>
                <w:color w:val="auto"/>
                <w:sz w:val="18"/>
                <w:highlight w:val="none"/>
              </w:rPr>
            </w:pPr>
          </w:p>
        </w:tc>
        <w:tc>
          <w:tcPr>
            <w:tcW w:w="568" w:type="pct"/>
            <w:noWrap w:val="0"/>
            <w:vAlign w:val="center"/>
          </w:tcPr>
          <w:p>
            <w:pPr>
              <w:pStyle w:val="41"/>
              <w:snapToGrid w:val="0"/>
              <w:spacing w:before="62" w:after="64"/>
              <w:jc w:val="center"/>
              <w:rPr>
                <w:rFonts w:ascii="Times New Roman" w:hAnsi="Times New Roman"/>
                <w:color w:val="auto"/>
                <w:sz w:val="18"/>
                <w:highlight w:val="none"/>
              </w:rPr>
            </w:pPr>
          </w:p>
        </w:tc>
        <w:tc>
          <w:tcPr>
            <w:tcW w:w="568" w:type="pct"/>
            <w:noWrap w:val="0"/>
            <w:vAlign w:val="top"/>
          </w:tcPr>
          <w:p>
            <w:pPr>
              <w:pStyle w:val="41"/>
              <w:snapToGrid w:val="0"/>
              <w:spacing w:before="62" w:after="64"/>
              <w:jc w:val="center"/>
              <w:rPr>
                <w:rFonts w:ascii="Times New Roman" w:hAnsi="Times New Roman"/>
                <w:color w:val="auto"/>
                <w:sz w:val="18"/>
                <w:highlight w:val="none"/>
              </w:rPr>
            </w:pPr>
          </w:p>
        </w:tc>
        <w:tc>
          <w:tcPr>
            <w:tcW w:w="1192" w:type="pct"/>
            <w:noWrap w:val="0"/>
            <w:vAlign w:val="center"/>
          </w:tcPr>
          <w:p>
            <w:pPr>
              <w:pStyle w:val="41"/>
              <w:snapToGrid w:val="0"/>
              <w:spacing w:before="62" w:after="64"/>
              <w:jc w:val="center"/>
              <w:rPr>
                <w:rFonts w:ascii="Times New Roman" w:hAnsi="Times New Roman"/>
                <w:color w:val="auto"/>
                <w:sz w:val="18"/>
                <w:highlight w:val="none"/>
              </w:rPr>
            </w:pPr>
          </w:p>
        </w:tc>
        <w:tc>
          <w:tcPr>
            <w:tcW w:w="922" w:type="pct"/>
            <w:noWrap w:val="0"/>
            <w:vAlign w:val="top"/>
          </w:tcPr>
          <w:p>
            <w:pPr>
              <w:pStyle w:val="41"/>
              <w:snapToGrid w:val="0"/>
              <w:spacing w:before="62" w:after="64"/>
              <w:jc w:val="center"/>
              <w:rPr>
                <w:rFonts w:ascii="Times New Roman" w:hAnsi="Times New Roman"/>
                <w:color w:val="auto"/>
                <w:sz w:val="18"/>
                <w:highlight w:val="none"/>
              </w:rPr>
            </w:pPr>
          </w:p>
        </w:tc>
      </w:tr>
    </w:tbl>
    <w:p>
      <w:pPr>
        <w:adjustRightInd w:val="0"/>
        <w:spacing w:line="360" w:lineRule="exact"/>
        <w:ind w:firstLine="207" w:firstLineChars="98"/>
        <w:rPr>
          <w:b/>
          <w:color w:val="auto"/>
          <w:szCs w:val="21"/>
          <w:highlight w:val="none"/>
        </w:rPr>
      </w:pPr>
      <w:r>
        <w:rPr>
          <w:b/>
          <w:color w:val="auto"/>
          <w:szCs w:val="21"/>
          <w:highlight w:val="none"/>
        </w:rPr>
        <w:t>项目其他主要人员应附证明材料</w:t>
      </w:r>
      <w:r>
        <w:rPr>
          <w:rFonts w:hint="eastAsia"/>
          <w:b/>
          <w:color w:val="auto"/>
          <w:szCs w:val="21"/>
          <w:highlight w:val="none"/>
          <w:lang w:eastAsia="zh-CN"/>
        </w:rPr>
        <w:t>（</w:t>
      </w:r>
      <w:r>
        <w:rPr>
          <w:rFonts w:hint="eastAsia" w:ascii="Times New Roman" w:hAnsi="Times New Roman" w:eastAsia="宋体" w:cs="Times New Roman"/>
          <w:color w:val="auto"/>
          <w:szCs w:val="21"/>
          <w:highlight w:val="none"/>
          <w:lang w:val="en-US" w:eastAsia="zh-CN"/>
        </w:rPr>
        <w:t>所提供材料需包含</w:t>
      </w:r>
      <w:r>
        <w:rPr>
          <w:rFonts w:hint="eastAsia" w:ascii="Times New Roman" w:hAnsi="Times New Roman" w:eastAsia="宋体" w:cs="Times New Roman"/>
          <w:color w:val="auto"/>
          <w:szCs w:val="21"/>
          <w:highlight w:val="none"/>
        </w:rPr>
        <w:t>技术评分标准</w:t>
      </w:r>
      <w:r>
        <w:rPr>
          <w:rFonts w:hint="eastAsia" w:ascii="Times New Roman" w:hAnsi="Times New Roman" w:eastAsia="宋体" w:cs="Times New Roman"/>
          <w:color w:val="auto"/>
          <w:szCs w:val="21"/>
          <w:highlight w:val="none"/>
          <w:lang w:val="en-US" w:eastAsia="zh-CN"/>
        </w:rPr>
        <w:t>要求</w:t>
      </w:r>
      <w:r>
        <w:rPr>
          <w:rFonts w:hint="eastAsia"/>
          <w:b/>
          <w:color w:val="auto"/>
          <w:szCs w:val="21"/>
          <w:highlight w:val="none"/>
          <w:lang w:eastAsia="zh-CN"/>
        </w:rPr>
        <w:t>）</w:t>
      </w:r>
      <w:r>
        <w:rPr>
          <w:b/>
          <w:color w:val="auto"/>
          <w:szCs w:val="21"/>
          <w:highlight w:val="none"/>
        </w:rPr>
        <w:t>：</w:t>
      </w:r>
    </w:p>
    <w:p>
      <w:pPr>
        <w:adjustRightInd w:val="0"/>
        <w:spacing w:line="360" w:lineRule="exact"/>
        <w:ind w:left="141"/>
        <w:rPr>
          <w:color w:val="auto"/>
          <w:szCs w:val="21"/>
          <w:highlight w:val="none"/>
        </w:rPr>
      </w:pPr>
      <w:r>
        <w:rPr>
          <w:color w:val="auto"/>
          <w:szCs w:val="21"/>
          <w:highlight w:val="none"/>
        </w:rPr>
        <w:t>（1）资质证书扫描件（含有效期页</w:t>
      </w:r>
      <w:r>
        <w:rPr>
          <w:rFonts w:hint="eastAsia"/>
          <w:color w:val="auto"/>
          <w:szCs w:val="21"/>
          <w:highlight w:val="none"/>
        </w:rPr>
        <w:t>、证书编号页</w:t>
      </w:r>
      <w:r>
        <w:rPr>
          <w:color w:val="auto"/>
          <w:szCs w:val="21"/>
          <w:highlight w:val="none"/>
        </w:rPr>
        <w:t>）</w:t>
      </w:r>
      <w:r>
        <w:rPr>
          <w:rFonts w:hint="eastAsia"/>
          <w:color w:val="auto"/>
          <w:szCs w:val="21"/>
          <w:highlight w:val="none"/>
        </w:rPr>
        <w:t>（如需）</w:t>
      </w:r>
    </w:p>
    <w:p>
      <w:pPr>
        <w:adjustRightInd w:val="0"/>
        <w:spacing w:line="360" w:lineRule="exact"/>
        <w:ind w:left="141"/>
        <w:rPr>
          <w:color w:val="auto"/>
          <w:szCs w:val="21"/>
          <w:highlight w:val="none"/>
        </w:rPr>
      </w:pPr>
      <w:r>
        <w:rPr>
          <w:color w:val="auto"/>
          <w:szCs w:val="21"/>
          <w:highlight w:val="none"/>
        </w:rPr>
        <w:t>（2）身份证扫描件</w:t>
      </w:r>
      <w:r>
        <w:rPr>
          <w:rFonts w:hint="eastAsia"/>
          <w:color w:val="auto"/>
          <w:szCs w:val="21"/>
          <w:highlight w:val="none"/>
        </w:rPr>
        <w:t>（如需）</w:t>
      </w:r>
    </w:p>
    <w:p>
      <w:pPr>
        <w:adjustRightInd w:val="0"/>
        <w:spacing w:line="360" w:lineRule="exact"/>
        <w:ind w:left="141"/>
        <w:rPr>
          <w:color w:val="auto"/>
          <w:szCs w:val="21"/>
          <w:highlight w:val="none"/>
        </w:rPr>
      </w:pPr>
      <w:r>
        <w:rPr>
          <w:color w:val="auto"/>
          <w:szCs w:val="21"/>
          <w:highlight w:val="none"/>
        </w:rPr>
        <w:t>（3）劳务合同或</w:t>
      </w:r>
      <w:r>
        <w:rPr>
          <w:rFonts w:hint="eastAsia"/>
          <w:color w:val="auto"/>
          <w:szCs w:val="21"/>
          <w:highlight w:val="none"/>
          <w:lang w:eastAsia="zh-CN"/>
        </w:rPr>
        <w:t>单位社保参保证明</w:t>
      </w:r>
      <w:r>
        <w:rPr>
          <w:color w:val="auto"/>
          <w:szCs w:val="21"/>
          <w:highlight w:val="none"/>
        </w:rPr>
        <w:t>扫描件</w:t>
      </w:r>
      <w:r>
        <w:rPr>
          <w:rFonts w:hint="eastAsia"/>
          <w:color w:val="auto"/>
          <w:szCs w:val="21"/>
          <w:highlight w:val="none"/>
        </w:rPr>
        <w:t>（如需）</w:t>
      </w:r>
    </w:p>
    <w:p>
      <w:pPr>
        <w:pStyle w:val="41"/>
        <w:ind w:left="15" w:leftChars="7" w:firstLine="203" w:firstLineChars="97"/>
        <w:rPr>
          <w:rFonts w:ascii="Times New Roman" w:hAnsi="Times New Roman" w:eastAsia="仿宋_GB2312"/>
          <w:color w:val="auto"/>
          <w:highlight w:val="none"/>
          <w:lang w:eastAsia="zh-CN"/>
        </w:rPr>
      </w:pPr>
      <w:r>
        <w:rPr>
          <w:rFonts w:ascii="Times New Roman" w:hAnsi="Times New Roman"/>
          <w:color w:val="auto"/>
          <w:szCs w:val="21"/>
          <w:highlight w:val="none"/>
        </w:rPr>
        <w:t>（</w:t>
      </w:r>
      <w:r>
        <w:rPr>
          <w:rFonts w:hint="eastAsia" w:ascii="Times New Roman" w:hAnsi="Times New Roman"/>
          <w:color w:val="auto"/>
          <w:szCs w:val="21"/>
          <w:highlight w:val="none"/>
          <w:lang w:eastAsia="zh-CN"/>
        </w:rPr>
        <w:t>4</w:t>
      </w:r>
      <w:r>
        <w:rPr>
          <w:rFonts w:ascii="Times New Roman" w:hAnsi="Times New Roman"/>
          <w:color w:val="auto"/>
          <w:szCs w:val="21"/>
          <w:highlight w:val="none"/>
        </w:rPr>
        <w:t>）业绩证明材料。提供合同协议书扫描件，或业主证明文件，或投标人出具的加盖公章的证明任职的其它书面材料扫描件。</w:t>
      </w:r>
    </w:p>
    <w:p>
      <w:pPr>
        <w:widowControl/>
        <w:topLinePunct w:val="0"/>
        <w:jc w:val="left"/>
        <w:rPr>
          <w:b/>
          <w:color w:val="auto"/>
          <w:sz w:val="24"/>
          <w:highlight w:val="none"/>
        </w:rPr>
      </w:pPr>
    </w:p>
    <w:p>
      <w:pPr>
        <w:widowControl/>
        <w:topLinePunct w:val="0"/>
        <w:jc w:val="left"/>
        <w:rPr>
          <w:b/>
          <w:color w:val="auto"/>
          <w:sz w:val="24"/>
          <w:highlight w:val="none"/>
        </w:rPr>
      </w:pPr>
      <w:r>
        <w:rPr>
          <w:b/>
          <w:color w:val="auto"/>
          <w:sz w:val="24"/>
          <w:highlight w:val="none"/>
        </w:rPr>
        <w:br w:type="page"/>
      </w:r>
    </w:p>
    <w:p>
      <w:pPr>
        <w:adjustRightInd w:val="0"/>
        <w:snapToGrid w:val="0"/>
        <w:spacing w:before="120" w:beforeLines="50"/>
        <w:ind w:firstLine="482" w:firstLineChars="200"/>
        <w:rPr>
          <w:b/>
          <w:color w:val="auto"/>
          <w:sz w:val="24"/>
          <w:highlight w:val="none"/>
        </w:rPr>
      </w:pPr>
    </w:p>
    <w:p>
      <w:pPr>
        <w:pStyle w:val="18"/>
        <w:numPr>
          <w:ilvl w:val="0"/>
          <w:numId w:val="13"/>
        </w:numPr>
        <w:ind w:leftChars="0"/>
        <w:jc w:val="left"/>
        <w:outlineLvl w:val="2"/>
        <w:rPr>
          <w:rFonts w:hint="eastAsia" w:ascii="方正仿宋_GBK" w:hAnsi="方正仿宋_GBK" w:eastAsia="方正仿宋_GBK" w:cs="方正仿宋_GBK"/>
          <w:b/>
          <w:bCs/>
          <w:color w:val="auto"/>
          <w:kern w:val="2"/>
          <w:sz w:val="21"/>
          <w:szCs w:val="21"/>
          <w:highlight w:val="none"/>
          <w:lang w:val="en-US" w:eastAsia="zh-CN" w:bidi="ar-SA"/>
        </w:rPr>
      </w:pPr>
      <w:r>
        <w:rPr>
          <w:rFonts w:hint="eastAsia" w:ascii="方正仿宋_GBK" w:hAnsi="方正仿宋_GBK" w:eastAsia="方正仿宋_GBK" w:cs="方正仿宋_GBK"/>
          <w:b/>
          <w:bCs/>
          <w:color w:val="auto"/>
          <w:kern w:val="2"/>
          <w:sz w:val="21"/>
          <w:szCs w:val="21"/>
          <w:highlight w:val="none"/>
          <w:lang w:val="en-US" w:eastAsia="zh-CN" w:bidi="ar-SA"/>
        </w:rPr>
        <w:t>技术文件第二册</w:t>
      </w:r>
    </w:p>
    <w:p>
      <w:pPr>
        <w:pStyle w:val="18"/>
        <w:ind w:left="0"/>
        <w:jc w:val="left"/>
        <w:outlineLvl w:val="3"/>
        <w:rPr>
          <w:b/>
          <w:bCs/>
          <w:color w:val="auto"/>
          <w:szCs w:val="21"/>
          <w:highlight w:val="none"/>
        </w:rPr>
      </w:pPr>
      <w:r>
        <w:rPr>
          <w:rFonts w:hint="eastAsia"/>
          <w:b/>
          <w:bCs/>
          <w:color w:val="auto"/>
          <w:szCs w:val="21"/>
          <w:highlight w:val="none"/>
        </w:rPr>
        <w:t>【监理类】</w:t>
      </w:r>
    </w:p>
    <w:p>
      <w:pPr>
        <w:jc w:val="center"/>
        <w:rPr>
          <w:color w:val="auto"/>
          <w:highlight w:val="none"/>
        </w:rPr>
      </w:pPr>
      <w:r>
        <w:rPr>
          <w:rFonts w:hint="eastAsia" w:ascii="方正仿宋_GBK" w:hAnsi="方正仿宋_GBK" w:eastAsia="方正仿宋_GBK" w:cs="方正仿宋_GBK"/>
          <w:b/>
          <w:bCs/>
          <w:color w:val="auto"/>
          <w:sz w:val="22"/>
          <w:highlight w:val="none"/>
        </w:rPr>
        <w:t>目录</w:t>
      </w:r>
    </w:p>
    <w:tbl>
      <w:tblPr>
        <w:tblStyle w:val="19"/>
        <w:tblW w:w="4997"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3"/>
        <w:gridCol w:w="2417"/>
        <w:gridCol w:w="2142"/>
        <w:gridCol w:w="21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blHeader/>
        </w:trPr>
        <w:tc>
          <w:tcPr>
            <w:tcW w:w="1064"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评审要素</w:t>
            </w:r>
          </w:p>
        </w:tc>
        <w:tc>
          <w:tcPr>
            <w:tcW w:w="1418"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投标文件响应</w:t>
            </w:r>
          </w:p>
        </w:tc>
        <w:tc>
          <w:tcPr>
            <w:tcW w:w="1257"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响应文件对应页码</w:t>
            </w:r>
          </w:p>
        </w:tc>
        <w:tc>
          <w:tcPr>
            <w:tcW w:w="1258" w:type="pct"/>
            <w:tcBorders>
              <w:tl2br w:val="nil"/>
              <w:tr2bl w:val="nil"/>
            </w:tcBorders>
            <w:vAlign w:val="center"/>
          </w:tcPr>
          <w:p>
            <w:pPr>
              <w:widowControl/>
              <w:jc w:val="center"/>
              <w:textAlignment w:val="center"/>
              <w:rPr>
                <w:rFonts w:ascii="宋体" w:hAnsi="宋体" w:cs="宋体"/>
                <w:b/>
                <w:bCs/>
                <w:color w:val="auto"/>
                <w:kern w:val="0"/>
                <w:szCs w:val="21"/>
                <w:highlight w:val="none"/>
                <w:lang w:bidi="ar"/>
              </w:rPr>
            </w:pPr>
            <w:r>
              <w:rPr>
                <w:rFonts w:hint="eastAsia" w:ascii="宋体" w:hAnsi="宋体" w:cs="宋体"/>
                <w:b/>
                <w:bCs/>
                <w:color w:val="auto"/>
                <w:kern w:val="0"/>
                <w:szCs w:val="21"/>
                <w:highlight w:val="none"/>
                <w:lang w:bidi="ar"/>
              </w:rPr>
              <w:t>ECP上传路径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43" w:hRule="atLeast"/>
        </w:trPr>
        <w:tc>
          <w:tcPr>
            <w:tcW w:w="1064"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技术评分标准逐条逐项应答</w:t>
            </w:r>
          </w:p>
        </w:tc>
        <w:tc>
          <w:tcPr>
            <w:tcW w:w="1418" w:type="pct"/>
            <w:tcBorders>
              <w:tl2br w:val="nil"/>
              <w:tr2bl w:val="nil"/>
            </w:tcBorders>
            <w:vAlign w:val="center"/>
          </w:tcPr>
          <w:p>
            <w:pPr>
              <w:widowControl/>
              <w:jc w:val="left"/>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1.技术评分标准逐条逐项应答</w:t>
            </w:r>
          </w:p>
        </w:tc>
        <w:tc>
          <w:tcPr>
            <w:tcW w:w="1257"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例：技术文件第二册 第X页-第X页</w:t>
            </w:r>
          </w:p>
        </w:tc>
        <w:tc>
          <w:tcPr>
            <w:tcW w:w="1258" w:type="pct"/>
            <w:vMerge w:val="restar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专用技术规范要求的图纸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5" w:hRule="atLeast"/>
        </w:trPr>
        <w:tc>
          <w:tcPr>
            <w:tcW w:w="1064" w:type="pct"/>
            <w:vMerge w:val="restar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sz w:val="20"/>
                <w:szCs w:val="20"/>
                <w:highlight w:val="none"/>
              </w:rPr>
              <w:t>其他</w:t>
            </w:r>
          </w:p>
        </w:tc>
        <w:tc>
          <w:tcPr>
            <w:tcW w:w="1418" w:type="pct"/>
            <w:tcBorders>
              <w:tl2br w:val="nil"/>
              <w:tr2bl w:val="nil"/>
            </w:tcBorders>
            <w:vAlign w:val="center"/>
          </w:tcPr>
          <w:p>
            <w:pPr>
              <w:autoSpaceDE w:val="0"/>
              <w:autoSpaceDN w:val="0"/>
              <w:adjustRightInd w:val="0"/>
              <w:snapToGrid w:val="0"/>
              <w:jc w:val="left"/>
              <w:rPr>
                <w:rFonts w:ascii="宋体" w:hAnsi="宋体" w:cs="宋体"/>
                <w:color w:val="auto"/>
                <w:sz w:val="20"/>
                <w:szCs w:val="20"/>
                <w:highlight w:val="none"/>
              </w:rPr>
            </w:pPr>
            <w:r>
              <w:rPr>
                <w:rFonts w:hint="eastAsia" w:ascii="宋体" w:hAnsi="宋体" w:cs="宋体"/>
                <w:color w:val="auto"/>
                <w:sz w:val="20"/>
                <w:szCs w:val="20"/>
                <w:highlight w:val="none"/>
              </w:rPr>
              <w:t>2.监理大纲</w:t>
            </w:r>
          </w:p>
        </w:tc>
        <w:tc>
          <w:tcPr>
            <w:tcW w:w="1257"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例：技术文件第二册 第X页-第X页</w:t>
            </w:r>
          </w:p>
        </w:tc>
        <w:tc>
          <w:tcPr>
            <w:tcW w:w="1258" w:type="pct"/>
            <w:vMerge w:val="continue"/>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5" w:hRule="atLeast"/>
        </w:trPr>
        <w:tc>
          <w:tcPr>
            <w:tcW w:w="1064" w:type="pct"/>
            <w:vMerge w:val="continue"/>
            <w:tcBorders>
              <w:tl2br w:val="nil"/>
              <w:tr2bl w:val="nil"/>
            </w:tcBorders>
            <w:vAlign w:val="center"/>
          </w:tcPr>
          <w:p>
            <w:pPr>
              <w:widowControl/>
              <w:jc w:val="center"/>
              <w:textAlignment w:val="center"/>
              <w:rPr>
                <w:rFonts w:ascii="宋体" w:hAnsi="宋体" w:cs="宋体"/>
                <w:color w:val="auto"/>
                <w:sz w:val="20"/>
                <w:szCs w:val="20"/>
                <w:highlight w:val="none"/>
              </w:rPr>
            </w:pPr>
          </w:p>
        </w:tc>
        <w:tc>
          <w:tcPr>
            <w:tcW w:w="1418" w:type="pct"/>
            <w:tcBorders>
              <w:tl2br w:val="nil"/>
              <w:tr2bl w:val="nil"/>
            </w:tcBorders>
            <w:vAlign w:val="center"/>
          </w:tcPr>
          <w:p>
            <w:pPr>
              <w:autoSpaceDE w:val="0"/>
              <w:autoSpaceDN w:val="0"/>
              <w:adjustRightInd w:val="0"/>
              <w:snapToGrid w:val="0"/>
              <w:jc w:val="left"/>
              <w:rPr>
                <w:rFonts w:ascii="宋体" w:hAnsi="宋体" w:cs="宋体"/>
                <w:color w:val="auto"/>
                <w:sz w:val="20"/>
                <w:szCs w:val="20"/>
                <w:highlight w:val="none"/>
              </w:rPr>
            </w:pPr>
            <w:r>
              <w:rPr>
                <w:rFonts w:ascii="宋体" w:hAnsi="宋体" w:cs="宋体"/>
                <w:bCs/>
                <w:color w:val="auto"/>
                <w:sz w:val="20"/>
                <w:szCs w:val="20"/>
                <w:highlight w:val="none"/>
                <w:lang w:bidi="ar"/>
              </w:rPr>
              <w:t>3</w:t>
            </w:r>
            <w:r>
              <w:rPr>
                <w:rFonts w:hint="eastAsia" w:ascii="宋体" w:hAnsi="宋体" w:cs="宋体"/>
                <w:bCs/>
                <w:color w:val="auto"/>
                <w:sz w:val="20"/>
                <w:szCs w:val="20"/>
                <w:highlight w:val="none"/>
                <w:lang w:bidi="ar"/>
              </w:rPr>
              <w:t>.总监陈述</w:t>
            </w:r>
          </w:p>
        </w:tc>
        <w:tc>
          <w:tcPr>
            <w:tcW w:w="1257"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例：技术文件第二册 第X页-第X页</w:t>
            </w:r>
          </w:p>
        </w:tc>
        <w:tc>
          <w:tcPr>
            <w:tcW w:w="1258" w:type="pct"/>
            <w:vMerge w:val="continue"/>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5" w:hRule="atLeast"/>
        </w:trPr>
        <w:tc>
          <w:tcPr>
            <w:tcW w:w="1064" w:type="pct"/>
            <w:vMerge w:val="continue"/>
            <w:tcBorders>
              <w:tl2br w:val="nil"/>
              <w:tr2bl w:val="nil"/>
            </w:tcBorders>
            <w:vAlign w:val="center"/>
          </w:tcPr>
          <w:p>
            <w:pPr>
              <w:widowControl/>
              <w:jc w:val="center"/>
              <w:textAlignment w:val="center"/>
              <w:rPr>
                <w:rFonts w:ascii="宋体" w:hAnsi="宋体" w:cs="宋体"/>
                <w:color w:val="auto"/>
                <w:sz w:val="20"/>
                <w:szCs w:val="20"/>
                <w:highlight w:val="none"/>
              </w:rPr>
            </w:pPr>
          </w:p>
        </w:tc>
        <w:tc>
          <w:tcPr>
            <w:tcW w:w="1418" w:type="pct"/>
            <w:tcBorders>
              <w:tl2br w:val="nil"/>
              <w:tr2bl w:val="nil"/>
            </w:tcBorders>
            <w:vAlign w:val="center"/>
          </w:tcPr>
          <w:p>
            <w:pPr>
              <w:autoSpaceDE w:val="0"/>
              <w:autoSpaceDN w:val="0"/>
              <w:adjustRightInd w:val="0"/>
              <w:snapToGrid w:val="0"/>
              <w:jc w:val="left"/>
              <w:rPr>
                <w:rFonts w:ascii="宋体" w:hAnsi="宋体" w:cs="宋体"/>
                <w:bCs/>
                <w:color w:val="auto"/>
                <w:sz w:val="20"/>
                <w:szCs w:val="20"/>
                <w:highlight w:val="none"/>
                <w:lang w:bidi="ar"/>
              </w:rPr>
            </w:pPr>
            <w:r>
              <w:rPr>
                <w:rFonts w:ascii="宋体" w:hAnsi="宋体" w:cs="宋体"/>
                <w:bCs/>
                <w:color w:val="auto"/>
                <w:sz w:val="20"/>
                <w:szCs w:val="20"/>
                <w:highlight w:val="none"/>
                <w:lang w:bidi="ar"/>
              </w:rPr>
              <w:t>4</w:t>
            </w:r>
            <w:r>
              <w:rPr>
                <w:rFonts w:hint="eastAsia" w:ascii="宋体" w:hAnsi="宋体" w:cs="宋体"/>
                <w:bCs/>
                <w:color w:val="auto"/>
                <w:sz w:val="20"/>
                <w:szCs w:val="20"/>
                <w:highlight w:val="none"/>
                <w:lang w:bidi="ar"/>
              </w:rPr>
              <w:t>.监理管控应答</w:t>
            </w:r>
          </w:p>
        </w:tc>
        <w:tc>
          <w:tcPr>
            <w:tcW w:w="1257" w:type="pct"/>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例：技术文件第二册 第X页-第X页</w:t>
            </w:r>
          </w:p>
        </w:tc>
        <w:tc>
          <w:tcPr>
            <w:tcW w:w="1258" w:type="pct"/>
            <w:vMerge w:val="continue"/>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5" w:hRule="atLeast"/>
        </w:trPr>
        <w:tc>
          <w:tcPr>
            <w:tcW w:w="1064" w:type="pct"/>
            <w:vMerge w:val="continue"/>
            <w:tcBorders>
              <w:tl2br w:val="nil"/>
              <w:tr2bl w:val="nil"/>
            </w:tcBorders>
            <w:vAlign w:val="center"/>
          </w:tcPr>
          <w:p>
            <w:pPr>
              <w:widowControl/>
              <w:jc w:val="center"/>
              <w:textAlignment w:val="center"/>
              <w:rPr>
                <w:rFonts w:ascii="宋体" w:hAnsi="宋体" w:cs="宋体"/>
                <w:color w:val="auto"/>
                <w:sz w:val="20"/>
                <w:szCs w:val="20"/>
                <w:highlight w:val="none"/>
              </w:rPr>
            </w:pPr>
          </w:p>
        </w:tc>
        <w:tc>
          <w:tcPr>
            <w:tcW w:w="1418" w:type="pct"/>
            <w:tcBorders>
              <w:tl2br w:val="nil"/>
              <w:tr2bl w:val="nil"/>
            </w:tcBorders>
            <w:vAlign w:val="center"/>
          </w:tcPr>
          <w:p>
            <w:pPr>
              <w:autoSpaceDE w:val="0"/>
              <w:autoSpaceDN w:val="0"/>
              <w:adjustRightInd w:val="0"/>
              <w:snapToGrid w:val="0"/>
              <w:jc w:val="left"/>
              <w:rPr>
                <w:rFonts w:ascii="宋体" w:hAnsi="宋体" w:cs="宋体"/>
                <w:bCs/>
                <w:color w:val="auto"/>
                <w:sz w:val="20"/>
                <w:szCs w:val="20"/>
                <w:highlight w:val="none"/>
                <w:lang w:bidi="ar"/>
              </w:rPr>
            </w:pPr>
            <w:r>
              <w:rPr>
                <w:rFonts w:ascii="宋体" w:hAnsi="宋体" w:cs="宋体"/>
                <w:bCs/>
                <w:color w:val="auto"/>
                <w:sz w:val="20"/>
                <w:szCs w:val="20"/>
                <w:highlight w:val="none"/>
                <w:lang w:bidi="ar"/>
              </w:rPr>
              <w:t>5</w:t>
            </w:r>
            <w:r>
              <w:rPr>
                <w:rFonts w:hint="eastAsia" w:ascii="宋体" w:hAnsi="宋体" w:cs="宋体"/>
                <w:bCs/>
                <w:color w:val="auto"/>
                <w:sz w:val="20"/>
                <w:szCs w:val="20"/>
                <w:highlight w:val="none"/>
                <w:lang w:bidi="ar"/>
              </w:rPr>
              <w:t>.拟配备本标段的试验和检测仪器设备表</w:t>
            </w:r>
          </w:p>
        </w:tc>
        <w:tc>
          <w:tcPr>
            <w:tcW w:w="1257" w:type="pct"/>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r>
              <w:rPr>
                <w:rFonts w:hint="eastAsia" w:ascii="宋体" w:hAnsi="宋体" w:cs="宋体"/>
                <w:i/>
                <w:iCs/>
                <w:color w:val="auto"/>
                <w:kern w:val="0"/>
                <w:sz w:val="20"/>
                <w:szCs w:val="20"/>
                <w:highlight w:val="none"/>
                <w:lang w:bidi="ar"/>
              </w:rPr>
              <w:t>例：技术文件第二册 第X页-第X页</w:t>
            </w:r>
          </w:p>
        </w:tc>
        <w:tc>
          <w:tcPr>
            <w:tcW w:w="1258" w:type="pct"/>
            <w:vMerge w:val="continue"/>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1064" w:type="pct"/>
            <w:vMerge w:val="continue"/>
            <w:tcBorders>
              <w:tl2br w:val="nil"/>
              <w:tr2bl w:val="nil"/>
            </w:tcBorders>
            <w:vAlign w:val="center"/>
          </w:tcPr>
          <w:p>
            <w:pPr>
              <w:widowControl/>
              <w:jc w:val="center"/>
              <w:textAlignment w:val="center"/>
              <w:rPr>
                <w:rFonts w:ascii="宋体" w:hAnsi="宋体" w:cs="宋体"/>
                <w:color w:val="auto"/>
                <w:sz w:val="20"/>
                <w:szCs w:val="20"/>
                <w:highlight w:val="none"/>
              </w:rPr>
            </w:pPr>
          </w:p>
        </w:tc>
        <w:tc>
          <w:tcPr>
            <w:tcW w:w="1418" w:type="pct"/>
            <w:tcBorders>
              <w:tl2br w:val="nil"/>
              <w:tr2bl w:val="nil"/>
            </w:tcBorders>
            <w:vAlign w:val="center"/>
          </w:tcPr>
          <w:p>
            <w:pPr>
              <w:autoSpaceDE w:val="0"/>
              <w:autoSpaceDN w:val="0"/>
              <w:adjustRightInd w:val="0"/>
              <w:snapToGrid w:val="0"/>
              <w:jc w:val="left"/>
              <w:rPr>
                <w:rFonts w:ascii="宋体" w:hAnsi="宋体" w:cs="宋体"/>
                <w:color w:val="auto"/>
                <w:sz w:val="20"/>
                <w:szCs w:val="20"/>
                <w:highlight w:val="none"/>
              </w:rPr>
            </w:pPr>
            <w:r>
              <w:rPr>
                <w:rFonts w:ascii="宋体" w:hAnsi="宋体" w:cs="宋体"/>
                <w:color w:val="auto"/>
                <w:sz w:val="20"/>
                <w:szCs w:val="20"/>
                <w:highlight w:val="none"/>
              </w:rPr>
              <w:t>6</w:t>
            </w:r>
            <w:r>
              <w:rPr>
                <w:rFonts w:hint="eastAsia" w:ascii="宋体" w:hAnsi="宋体" w:cs="宋体"/>
                <w:color w:val="auto"/>
                <w:sz w:val="20"/>
                <w:szCs w:val="20"/>
                <w:highlight w:val="none"/>
              </w:rPr>
              <w:t>.投标人认为需要加以说明的其他技术内容</w:t>
            </w:r>
          </w:p>
        </w:tc>
        <w:tc>
          <w:tcPr>
            <w:tcW w:w="1257"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例：技术文件第二册 第X页-第X页</w:t>
            </w:r>
          </w:p>
        </w:tc>
        <w:tc>
          <w:tcPr>
            <w:tcW w:w="1258" w:type="pct"/>
            <w:vMerge w:val="continue"/>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5" w:hRule="atLeast"/>
        </w:trPr>
        <w:tc>
          <w:tcPr>
            <w:tcW w:w="1064" w:type="pct"/>
            <w:vMerge w:val="continue"/>
            <w:tcBorders>
              <w:tl2br w:val="nil"/>
              <w:tr2bl w:val="nil"/>
            </w:tcBorders>
            <w:vAlign w:val="center"/>
          </w:tcPr>
          <w:p>
            <w:pPr>
              <w:widowControl/>
              <w:jc w:val="center"/>
              <w:textAlignment w:val="center"/>
              <w:rPr>
                <w:rFonts w:ascii="宋体" w:hAnsi="宋体" w:cs="宋体"/>
                <w:color w:val="auto"/>
                <w:sz w:val="20"/>
                <w:szCs w:val="20"/>
                <w:highlight w:val="none"/>
              </w:rPr>
            </w:pPr>
          </w:p>
        </w:tc>
        <w:tc>
          <w:tcPr>
            <w:tcW w:w="1418" w:type="pct"/>
            <w:tcBorders>
              <w:tl2br w:val="nil"/>
              <w:tr2bl w:val="nil"/>
            </w:tcBorders>
            <w:vAlign w:val="center"/>
          </w:tcPr>
          <w:p>
            <w:pPr>
              <w:autoSpaceDE w:val="0"/>
              <w:autoSpaceDN w:val="0"/>
              <w:adjustRightInd w:val="0"/>
              <w:snapToGrid w:val="0"/>
              <w:jc w:val="left"/>
              <w:rPr>
                <w:rFonts w:ascii="宋体" w:hAnsi="宋体" w:cs="宋体"/>
                <w:color w:val="auto"/>
                <w:sz w:val="20"/>
                <w:szCs w:val="20"/>
                <w:highlight w:val="none"/>
              </w:rPr>
            </w:pPr>
            <w:r>
              <w:rPr>
                <w:rFonts w:ascii="宋体" w:hAnsi="宋体" w:cs="宋体"/>
                <w:color w:val="auto"/>
                <w:sz w:val="20"/>
                <w:szCs w:val="20"/>
                <w:highlight w:val="none"/>
              </w:rPr>
              <w:t>7</w:t>
            </w:r>
            <w:r>
              <w:rPr>
                <w:rFonts w:hint="eastAsia" w:ascii="宋体" w:hAnsi="宋体" w:cs="宋体"/>
                <w:color w:val="auto"/>
                <w:sz w:val="20"/>
                <w:szCs w:val="20"/>
                <w:highlight w:val="none"/>
              </w:rPr>
              <w:t>.投标图纸、专题报告（如有）</w:t>
            </w:r>
          </w:p>
        </w:tc>
        <w:tc>
          <w:tcPr>
            <w:tcW w:w="1257"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例：技术文件第二册 第X页-第X页</w:t>
            </w:r>
          </w:p>
        </w:tc>
        <w:tc>
          <w:tcPr>
            <w:tcW w:w="1258" w:type="pct"/>
            <w:vMerge w:val="continue"/>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jc w:val="center"/>
        <w:rPr>
          <w:rFonts w:ascii="宋体" w:hAnsi="宋体" w:cs="宋体"/>
          <w:color w:val="auto"/>
          <w:kern w:val="0"/>
          <w:sz w:val="20"/>
          <w:szCs w:val="20"/>
          <w:highlight w:val="none"/>
          <w:lang w:bidi="ar"/>
        </w:rPr>
      </w:pPr>
      <w:r>
        <w:rPr>
          <w:rFonts w:hint="eastAsia" w:ascii="方正仿宋_GBK" w:hAnsi="方正仿宋_GBK" w:eastAsia="方正仿宋_GBK" w:cs="方正仿宋_GBK"/>
          <w:b/>
          <w:bCs/>
          <w:color w:val="auto"/>
          <w:sz w:val="22"/>
          <w:highlight w:val="none"/>
        </w:rPr>
        <w:t>格式</w:t>
      </w:r>
    </w:p>
    <w:p>
      <w:pPr>
        <w:widowControl/>
        <w:jc w:val="left"/>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1.技术评分标准逐条逐项应答</w:t>
      </w:r>
    </w:p>
    <w:p>
      <w:pPr>
        <w:spacing w:line="360" w:lineRule="exact"/>
        <w:ind w:firstLine="525" w:firstLineChars="250"/>
        <w:jc w:val="left"/>
        <w:rPr>
          <w:color w:val="auto"/>
          <w:szCs w:val="21"/>
          <w:highlight w:val="none"/>
        </w:rPr>
      </w:pPr>
      <w:r>
        <w:rPr>
          <w:rFonts w:hint="eastAsia"/>
          <w:color w:val="auto"/>
          <w:szCs w:val="21"/>
          <w:highlight w:val="none"/>
        </w:rPr>
        <w:t>投标人对照招标文件第三章评标办法“前附表之四：技术评分标准”的内容，逐条逐项应答。对于在投标文件其他部分已经响应的内容，投标人仅应答投标文件相应章节名称；对于“技术评分标准”中要求评审，且未在投标文件其他部分响应的内容，投标人应逐条逐项进行应答，并按照招标文件要求提供相关证明材料。</w:t>
      </w:r>
    </w:p>
    <w:p>
      <w:pPr>
        <w:spacing w:line="360" w:lineRule="exact"/>
        <w:ind w:firstLine="525" w:firstLineChars="250"/>
        <w:jc w:val="left"/>
        <w:rPr>
          <w:color w:val="auto"/>
          <w:szCs w:val="21"/>
          <w:highlight w:val="none"/>
        </w:rPr>
      </w:pPr>
    </w:p>
    <w:p>
      <w:pPr>
        <w:spacing w:line="360" w:lineRule="exact"/>
        <w:ind w:firstLine="525" w:firstLineChars="250"/>
        <w:jc w:val="left"/>
        <w:rPr>
          <w:color w:val="auto"/>
          <w:szCs w:val="21"/>
          <w:highlight w:val="none"/>
        </w:rPr>
      </w:pPr>
      <w:r>
        <w:rPr>
          <w:rFonts w:hint="eastAsia"/>
          <w:color w:val="auto"/>
          <w:szCs w:val="21"/>
          <w:highlight w:val="none"/>
        </w:rPr>
        <w:t>例如：</w:t>
      </w:r>
    </w:p>
    <w:p>
      <w:pPr>
        <w:spacing w:line="360" w:lineRule="exact"/>
        <w:ind w:firstLine="525" w:firstLineChars="250"/>
        <w:jc w:val="left"/>
        <w:rPr>
          <w:color w:val="auto"/>
          <w:szCs w:val="21"/>
          <w:highlight w:val="none"/>
        </w:rPr>
      </w:pPr>
      <w:r>
        <w:rPr>
          <w:rFonts w:hint="eastAsia"/>
          <w:color w:val="auto"/>
          <w:szCs w:val="21"/>
          <w:highlight w:val="none"/>
        </w:rPr>
        <w:t>1.工程实施条件分析</w:t>
      </w:r>
    </w:p>
    <w:p>
      <w:pPr>
        <w:spacing w:line="360" w:lineRule="exact"/>
        <w:ind w:firstLine="525" w:firstLineChars="250"/>
        <w:jc w:val="left"/>
        <w:rPr>
          <w:i/>
          <w:iCs/>
          <w:color w:val="auto"/>
          <w:szCs w:val="21"/>
          <w:highlight w:val="none"/>
        </w:rPr>
      </w:pPr>
      <w:r>
        <w:rPr>
          <w:rFonts w:hint="eastAsia"/>
          <w:i/>
          <w:iCs/>
          <w:color w:val="auto"/>
          <w:szCs w:val="21"/>
          <w:highlight w:val="none"/>
        </w:rPr>
        <w:t>投标人应答：</w:t>
      </w:r>
    </w:p>
    <w:p>
      <w:pPr>
        <w:spacing w:line="360" w:lineRule="exact"/>
        <w:ind w:firstLine="525" w:firstLineChars="250"/>
        <w:jc w:val="left"/>
        <w:rPr>
          <w:i/>
          <w:iCs/>
          <w:color w:val="auto"/>
          <w:szCs w:val="21"/>
          <w:highlight w:val="none"/>
        </w:rPr>
      </w:pPr>
      <w:r>
        <w:rPr>
          <w:rFonts w:hint="eastAsia"/>
          <w:i/>
          <w:iCs/>
          <w:color w:val="auto"/>
          <w:szCs w:val="21"/>
          <w:highlight w:val="none"/>
        </w:rPr>
        <w:t>例，“见《项目监理大纲》 1.对工程建设目标的理解”。</w:t>
      </w:r>
    </w:p>
    <w:p>
      <w:pPr>
        <w:spacing w:line="360" w:lineRule="exact"/>
        <w:ind w:firstLine="525" w:firstLineChars="250"/>
        <w:jc w:val="left"/>
        <w:rPr>
          <w:color w:val="auto"/>
          <w:szCs w:val="21"/>
          <w:highlight w:val="none"/>
        </w:rPr>
      </w:pPr>
    </w:p>
    <w:p>
      <w:pPr>
        <w:spacing w:line="360" w:lineRule="exact"/>
        <w:ind w:firstLine="525" w:firstLineChars="250"/>
        <w:jc w:val="left"/>
        <w:rPr>
          <w:color w:val="auto"/>
          <w:szCs w:val="21"/>
          <w:highlight w:val="none"/>
        </w:rPr>
      </w:pPr>
      <w:r>
        <w:rPr>
          <w:rFonts w:hint="eastAsia"/>
          <w:color w:val="auto"/>
          <w:szCs w:val="21"/>
          <w:highlight w:val="none"/>
        </w:rPr>
        <w:t>2.项目监理总体策划</w:t>
      </w:r>
    </w:p>
    <w:p>
      <w:pPr>
        <w:spacing w:line="360" w:lineRule="exact"/>
        <w:ind w:firstLine="525" w:firstLineChars="250"/>
        <w:jc w:val="left"/>
        <w:rPr>
          <w:i/>
          <w:iCs/>
          <w:color w:val="auto"/>
          <w:szCs w:val="21"/>
          <w:highlight w:val="none"/>
        </w:rPr>
      </w:pPr>
      <w:r>
        <w:rPr>
          <w:rFonts w:hint="eastAsia"/>
          <w:i/>
          <w:iCs/>
          <w:color w:val="auto"/>
          <w:szCs w:val="21"/>
          <w:highlight w:val="none"/>
        </w:rPr>
        <w:t>投标人应答：</w:t>
      </w:r>
    </w:p>
    <w:p>
      <w:pPr>
        <w:spacing w:line="360" w:lineRule="exact"/>
        <w:ind w:firstLine="525" w:firstLineChars="250"/>
        <w:jc w:val="left"/>
        <w:rPr>
          <w:i/>
          <w:iCs/>
          <w:color w:val="auto"/>
          <w:szCs w:val="21"/>
          <w:highlight w:val="none"/>
        </w:rPr>
      </w:pPr>
      <w:r>
        <w:rPr>
          <w:rFonts w:hint="eastAsia"/>
          <w:i/>
          <w:iCs/>
          <w:color w:val="auto"/>
          <w:szCs w:val="21"/>
          <w:highlight w:val="none"/>
        </w:rPr>
        <w:t>例，“见《项目监理大纲》 2.....”。</w:t>
      </w:r>
    </w:p>
    <w:p>
      <w:pPr>
        <w:spacing w:line="360" w:lineRule="exact"/>
        <w:ind w:firstLine="525" w:firstLineChars="250"/>
        <w:jc w:val="left"/>
        <w:rPr>
          <w:color w:val="auto"/>
          <w:szCs w:val="21"/>
          <w:highlight w:val="none"/>
        </w:rPr>
      </w:pPr>
    </w:p>
    <w:p>
      <w:pPr>
        <w:spacing w:line="360" w:lineRule="exact"/>
        <w:ind w:firstLine="525" w:firstLineChars="250"/>
        <w:jc w:val="left"/>
        <w:rPr>
          <w:color w:val="auto"/>
          <w:szCs w:val="21"/>
          <w:highlight w:val="none"/>
        </w:rPr>
      </w:pPr>
      <w:r>
        <w:rPr>
          <w:rFonts w:hint="eastAsia"/>
          <w:color w:val="auto"/>
          <w:szCs w:val="21"/>
          <w:highlight w:val="none"/>
        </w:rPr>
        <w:t>3.......</w:t>
      </w:r>
    </w:p>
    <w:p>
      <w:pPr>
        <w:spacing w:line="360" w:lineRule="exact"/>
        <w:ind w:firstLine="525" w:firstLineChars="250"/>
        <w:jc w:val="left"/>
        <w:rPr>
          <w:i/>
          <w:iCs/>
          <w:color w:val="auto"/>
          <w:szCs w:val="21"/>
          <w:highlight w:val="none"/>
        </w:rPr>
      </w:pPr>
      <w:r>
        <w:rPr>
          <w:rFonts w:hint="eastAsia"/>
          <w:i/>
          <w:iCs/>
          <w:color w:val="auto"/>
          <w:szCs w:val="21"/>
          <w:highlight w:val="none"/>
        </w:rPr>
        <w:t>投标人应答：</w:t>
      </w:r>
    </w:p>
    <w:p>
      <w:pPr>
        <w:spacing w:line="360" w:lineRule="exact"/>
        <w:ind w:firstLine="525" w:firstLineChars="250"/>
        <w:jc w:val="left"/>
        <w:rPr>
          <w:i/>
          <w:iCs/>
          <w:color w:val="auto"/>
          <w:szCs w:val="21"/>
          <w:highlight w:val="none"/>
        </w:rPr>
      </w:pPr>
      <w:r>
        <w:rPr>
          <w:rFonts w:hint="eastAsia"/>
          <w:i/>
          <w:iCs/>
          <w:color w:val="auto"/>
          <w:szCs w:val="21"/>
          <w:highlight w:val="none"/>
        </w:rPr>
        <w:t>......</w:t>
      </w:r>
    </w:p>
    <w:p>
      <w:pPr>
        <w:autoSpaceDE w:val="0"/>
        <w:autoSpaceDN w:val="0"/>
        <w:adjustRightInd w:val="0"/>
        <w:snapToGrid w:val="0"/>
        <w:jc w:val="left"/>
        <w:rPr>
          <w:rFonts w:hint="eastAsia" w:ascii="宋体" w:hAnsi="宋体" w:eastAsia="宋体" w:cs="宋体"/>
          <w:color w:val="auto"/>
          <w:sz w:val="20"/>
          <w:szCs w:val="20"/>
          <w:highlight w:val="none"/>
          <w:lang w:val="en-US" w:eastAsia="zh-CN"/>
        </w:rPr>
      </w:pPr>
    </w:p>
    <w:p>
      <w:pPr>
        <w:rPr>
          <w:rFonts w:hint="eastAsia" w:ascii="宋体" w:hAnsi="宋体" w:eastAsia="宋体" w:cs="宋体"/>
          <w:color w:val="auto"/>
          <w:sz w:val="20"/>
          <w:szCs w:val="20"/>
          <w:highlight w:val="none"/>
          <w:lang w:val="en-US" w:eastAsia="zh-CN"/>
        </w:rPr>
      </w:pPr>
      <w:r>
        <w:rPr>
          <w:rFonts w:hint="eastAsia" w:ascii="宋体" w:hAnsi="宋体" w:eastAsia="宋体" w:cs="宋体"/>
          <w:color w:val="auto"/>
          <w:sz w:val="20"/>
          <w:szCs w:val="20"/>
          <w:highlight w:val="none"/>
          <w:lang w:val="en-US" w:eastAsia="zh-CN"/>
        </w:rPr>
        <w:br w:type="page"/>
      </w:r>
    </w:p>
    <w:p>
      <w:pPr>
        <w:autoSpaceDE w:val="0"/>
        <w:autoSpaceDN w:val="0"/>
        <w:adjustRightInd w:val="0"/>
        <w:snapToGrid w:val="0"/>
        <w:jc w:val="left"/>
        <w:rPr>
          <w:rFonts w:ascii="宋体" w:hAnsi="宋体" w:cs="宋体"/>
          <w:color w:val="auto"/>
          <w:szCs w:val="21"/>
          <w:highlight w:val="none"/>
        </w:rPr>
      </w:pPr>
      <w:r>
        <w:rPr>
          <w:rFonts w:hint="eastAsia" w:ascii="宋体" w:hAnsi="宋体" w:cs="宋体"/>
          <w:color w:val="auto"/>
          <w:szCs w:val="21"/>
          <w:highlight w:val="none"/>
        </w:rPr>
        <w:t>2.监理大纲</w:t>
      </w:r>
    </w:p>
    <w:p>
      <w:pPr>
        <w:topLinePunct/>
        <w:adjustRightInd w:val="0"/>
        <w:spacing w:line="360" w:lineRule="exact"/>
        <w:ind w:firstLine="420"/>
        <w:rPr>
          <w:rFonts w:eastAsiaTheme="minorEastAsia"/>
          <w:color w:val="auto"/>
          <w:szCs w:val="21"/>
          <w:highlight w:val="none"/>
        </w:rPr>
      </w:pPr>
      <w:r>
        <w:rPr>
          <w:rFonts w:hint="eastAsia"/>
          <w:color w:val="auto"/>
          <w:szCs w:val="21"/>
          <w:highlight w:val="none"/>
        </w:rPr>
        <w:t>具体</w:t>
      </w:r>
      <w:r>
        <w:rPr>
          <w:color w:val="auto"/>
          <w:szCs w:val="21"/>
          <w:highlight w:val="none"/>
        </w:rPr>
        <w:t>要求</w:t>
      </w:r>
      <w:r>
        <w:rPr>
          <w:rFonts w:hint="eastAsia"/>
          <w:color w:val="auto"/>
          <w:szCs w:val="21"/>
          <w:highlight w:val="none"/>
        </w:rPr>
        <w:t>见技术规范书。</w:t>
      </w:r>
    </w:p>
    <w:p>
      <w:pPr>
        <w:autoSpaceDE w:val="0"/>
        <w:autoSpaceDN w:val="0"/>
        <w:adjustRightInd w:val="0"/>
        <w:snapToGrid w:val="0"/>
        <w:jc w:val="left"/>
        <w:rPr>
          <w:rFonts w:ascii="宋体" w:hAnsi="宋体" w:cs="宋体"/>
          <w:bCs/>
          <w:strike/>
          <w:color w:val="auto"/>
          <w:szCs w:val="21"/>
          <w:highlight w:val="none"/>
          <w:lang w:bidi="ar"/>
        </w:rPr>
      </w:pPr>
    </w:p>
    <w:p>
      <w:pPr>
        <w:autoSpaceDE w:val="0"/>
        <w:autoSpaceDN w:val="0"/>
        <w:adjustRightInd w:val="0"/>
        <w:snapToGrid w:val="0"/>
        <w:jc w:val="left"/>
        <w:rPr>
          <w:rFonts w:ascii="宋体" w:hAnsi="宋体" w:cs="宋体"/>
          <w:bCs/>
          <w:strike/>
          <w:color w:val="auto"/>
          <w:szCs w:val="21"/>
          <w:highlight w:val="none"/>
          <w:lang w:bidi="ar"/>
        </w:rPr>
      </w:pPr>
    </w:p>
    <w:p>
      <w:pPr>
        <w:pStyle w:val="13"/>
        <w:rPr>
          <w:color w:val="auto"/>
          <w:highlight w:val="none"/>
          <w:lang w:bidi="ar"/>
        </w:rPr>
      </w:pPr>
    </w:p>
    <w:p>
      <w:pPr>
        <w:pStyle w:val="13"/>
        <w:rPr>
          <w:color w:val="auto"/>
          <w:highlight w:val="none"/>
          <w:lang w:bidi="ar"/>
        </w:rPr>
      </w:pPr>
    </w:p>
    <w:p>
      <w:pPr>
        <w:pStyle w:val="13"/>
        <w:rPr>
          <w:color w:val="auto"/>
          <w:highlight w:val="none"/>
          <w:lang w:bidi="ar"/>
        </w:rPr>
      </w:pPr>
    </w:p>
    <w:p>
      <w:pPr>
        <w:pStyle w:val="13"/>
        <w:rPr>
          <w:color w:val="auto"/>
          <w:highlight w:val="none"/>
          <w:lang w:bidi="ar"/>
        </w:rPr>
      </w:pPr>
    </w:p>
    <w:p>
      <w:pPr>
        <w:pStyle w:val="13"/>
        <w:rPr>
          <w:color w:val="auto"/>
          <w:highlight w:val="none"/>
          <w:lang w:bidi="ar"/>
        </w:rPr>
      </w:pPr>
    </w:p>
    <w:p>
      <w:pPr>
        <w:pStyle w:val="13"/>
        <w:rPr>
          <w:color w:val="auto"/>
          <w:highlight w:val="none"/>
          <w:lang w:bidi="ar"/>
        </w:rPr>
      </w:pPr>
    </w:p>
    <w:p>
      <w:pPr>
        <w:autoSpaceDE w:val="0"/>
        <w:autoSpaceDN w:val="0"/>
        <w:adjustRightInd w:val="0"/>
        <w:snapToGrid w:val="0"/>
        <w:jc w:val="left"/>
        <w:rPr>
          <w:rFonts w:ascii="宋体" w:hAnsi="宋体" w:cs="宋体"/>
          <w:color w:val="auto"/>
          <w:szCs w:val="21"/>
          <w:highlight w:val="none"/>
        </w:rPr>
      </w:pPr>
      <w:r>
        <w:rPr>
          <w:rFonts w:ascii="宋体" w:hAnsi="宋体" w:cs="宋体"/>
          <w:bCs/>
          <w:color w:val="auto"/>
          <w:szCs w:val="21"/>
          <w:highlight w:val="none"/>
          <w:lang w:bidi="ar"/>
        </w:rPr>
        <w:t>3</w:t>
      </w:r>
      <w:r>
        <w:rPr>
          <w:rFonts w:hint="eastAsia" w:ascii="宋体" w:hAnsi="宋体" w:cs="宋体"/>
          <w:bCs/>
          <w:color w:val="auto"/>
          <w:szCs w:val="21"/>
          <w:highlight w:val="none"/>
          <w:lang w:bidi="ar"/>
        </w:rPr>
        <w:t>.总监陈述（格式自拟）</w:t>
      </w:r>
    </w:p>
    <w:p>
      <w:pPr>
        <w:autoSpaceDE w:val="0"/>
        <w:autoSpaceDN w:val="0"/>
        <w:adjustRightInd w:val="0"/>
        <w:snapToGrid w:val="0"/>
        <w:jc w:val="left"/>
        <w:rPr>
          <w:rFonts w:ascii="宋体" w:hAnsi="宋体" w:cs="宋体"/>
          <w:bCs/>
          <w:color w:val="auto"/>
          <w:szCs w:val="21"/>
          <w:highlight w:val="none"/>
          <w:lang w:bidi="ar"/>
        </w:rPr>
      </w:pPr>
    </w:p>
    <w:p>
      <w:pPr>
        <w:pStyle w:val="13"/>
        <w:rPr>
          <w:color w:val="auto"/>
          <w:highlight w:val="none"/>
          <w:lang w:bidi="ar"/>
        </w:rPr>
      </w:pPr>
    </w:p>
    <w:p>
      <w:pPr>
        <w:rPr>
          <w:rFonts w:hint="default" w:ascii="宋体" w:hAnsi="宋体" w:eastAsia="宋体" w:cs="宋体"/>
          <w:b w:val="0"/>
          <w:bCs/>
          <w:i w:val="0"/>
          <w:iCs w:val="0"/>
          <w:color w:val="auto"/>
          <w:kern w:val="2"/>
          <w:sz w:val="21"/>
          <w:szCs w:val="21"/>
          <w:highlight w:val="none"/>
          <w:u w:val="none"/>
          <w:lang w:val="en-US" w:eastAsia="zh-CN" w:bidi="ar"/>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rPr>
          <w:rFonts w:ascii="宋体" w:hAnsi="宋体" w:cs="宋体"/>
          <w:bCs/>
          <w:color w:val="auto"/>
          <w:szCs w:val="21"/>
          <w:highlight w:val="none"/>
          <w:lang w:bidi="ar"/>
        </w:rPr>
      </w:pPr>
      <w:r>
        <w:rPr>
          <w:rFonts w:ascii="宋体" w:hAnsi="宋体" w:cs="宋体"/>
          <w:bCs/>
          <w:color w:val="auto"/>
          <w:szCs w:val="21"/>
          <w:highlight w:val="none"/>
          <w:lang w:bidi="ar"/>
        </w:rPr>
        <w:t>4</w:t>
      </w:r>
      <w:r>
        <w:rPr>
          <w:rFonts w:hint="eastAsia" w:ascii="宋体" w:hAnsi="宋体" w:cs="宋体"/>
          <w:bCs/>
          <w:color w:val="auto"/>
          <w:szCs w:val="21"/>
          <w:highlight w:val="none"/>
          <w:lang w:bidi="ar"/>
        </w:rPr>
        <w:t>.监理管控应答</w:t>
      </w:r>
    </w:p>
    <w:p>
      <w:pPr>
        <w:spacing w:line="360" w:lineRule="exact"/>
        <w:ind w:firstLine="525" w:firstLineChars="250"/>
        <w:jc w:val="left"/>
        <w:rPr>
          <w:rFonts w:ascii="Times New Roman" w:hAnsi="Times New Roman"/>
          <w:color w:val="auto"/>
          <w:szCs w:val="21"/>
          <w:highlight w:val="none"/>
        </w:rPr>
      </w:pPr>
      <w:r>
        <w:rPr>
          <w:rFonts w:hint="eastAsia" w:ascii="Times New Roman" w:hAnsi="Times New Roman"/>
          <w:color w:val="auto"/>
          <w:szCs w:val="21"/>
          <w:highlight w:val="none"/>
        </w:rPr>
        <w:t>投标人对照招标文件评标办法前附表中“技术评分标准”的监理管控应答，应答内容包括但不限于工程监理过程应用可视化手段、施工现场进行全方位智能管控手段或措施等。</w:t>
      </w:r>
    </w:p>
    <w:p>
      <w:pPr>
        <w:rPr>
          <w:rFonts w:hint="default" w:ascii="宋体" w:hAnsi="宋体" w:eastAsia="宋体" w:cs="宋体"/>
          <w:b w:val="0"/>
          <w:bCs/>
          <w:i w:val="0"/>
          <w:iCs w:val="0"/>
          <w:color w:val="auto"/>
          <w:kern w:val="2"/>
          <w:sz w:val="21"/>
          <w:szCs w:val="21"/>
          <w:highlight w:val="none"/>
          <w:u w:val="none"/>
          <w:lang w:val="en-US" w:eastAsia="zh-CN" w:bidi="ar"/>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rPr>
          <w:rFonts w:ascii="宋体" w:hAnsi="宋体" w:cs="宋体"/>
          <w:bCs/>
          <w:color w:val="auto"/>
          <w:szCs w:val="21"/>
          <w:highlight w:val="none"/>
          <w:lang w:bidi="ar"/>
        </w:rPr>
      </w:pPr>
      <w:r>
        <w:rPr>
          <w:rFonts w:ascii="宋体" w:hAnsi="宋体" w:cs="宋体"/>
          <w:bCs/>
          <w:color w:val="auto"/>
          <w:szCs w:val="21"/>
          <w:highlight w:val="none"/>
          <w:lang w:bidi="ar"/>
        </w:rPr>
        <w:t>5</w:t>
      </w:r>
      <w:r>
        <w:rPr>
          <w:rFonts w:hint="eastAsia" w:ascii="宋体" w:hAnsi="宋体" w:cs="宋体"/>
          <w:bCs/>
          <w:color w:val="auto"/>
          <w:szCs w:val="21"/>
          <w:highlight w:val="none"/>
          <w:lang w:bidi="ar"/>
        </w:rPr>
        <w:t>.拟配备本标段的试验和检测仪器设备表</w:t>
      </w:r>
    </w:p>
    <w:p>
      <w:pPr>
        <w:spacing w:line="360" w:lineRule="exact"/>
        <w:jc w:val="center"/>
        <w:rPr>
          <w:rFonts w:eastAsia="黑体"/>
          <w:color w:val="auto"/>
          <w:highlight w:val="none"/>
        </w:rPr>
      </w:pPr>
      <w:r>
        <w:rPr>
          <w:rFonts w:eastAsia="黑体"/>
          <w:color w:val="auto"/>
          <w:highlight w:val="none"/>
        </w:rPr>
        <w:t>拟配备本标段的试验和检测仪器设备表</w:t>
      </w:r>
    </w:p>
    <w:tbl>
      <w:tblPr>
        <w:tblStyle w:val="19"/>
        <w:tblW w:w="0" w:type="auto"/>
        <w:jc w:val="center"/>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741"/>
        <w:gridCol w:w="1208"/>
        <w:gridCol w:w="845"/>
        <w:gridCol w:w="1101"/>
        <w:gridCol w:w="747"/>
        <w:gridCol w:w="820"/>
        <w:gridCol w:w="1347"/>
        <w:gridCol w:w="1584"/>
        <w:gridCol w:w="850"/>
      </w:tblGrid>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序号</w:t>
            </w:r>
          </w:p>
        </w:tc>
        <w:tc>
          <w:tcPr>
            <w:tcW w:w="1208"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仪器设备</w:t>
            </w:r>
          </w:p>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名称</w:t>
            </w:r>
          </w:p>
        </w:tc>
        <w:tc>
          <w:tcPr>
            <w:tcW w:w="845"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型号</w:t>
            </w:r>
          </w:p>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规格</w:t>
            </w:r>
          </w:p>
        </w:tc>
        <w:tc>
          <w:tcPr>
            <w:tcW w:w="1101"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数量</w:t>
            </w:r>
          </w:p>
        </w:tc>
        <w:tc>
          <w:tcPr>
            <w:tcW w:w="747"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国别产地</w:t>
            </w:r>
          </w:p>
        </w:tc>
        <w:tc>
          <w:tcPr>
            <w:tcW w:w="820"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制造</w:t>
            </w:r>
            <w:r>
              <w:rPr>
                <w:rFonts w:ascii="Times New Roman" w:hAnsi="Times New Roman" w:eastAsia="黑体"/>
                <w:color w:val="auto"/>
                <w:sz w:val="18"/>
                <w:highlight w:val="none"/>
              </w:rPr>
              <w:br w:type="textWrapping"/>
            </w:r>
            <w:r>
              <w:rPr>
                <w:rFonts w:ascii="Times New Roman" w:hAnsi="Times New Roman" w:eastAsia="黑体"/>
                <w:color w:val="auto"/>
                <w:sz w:val="18"/>
                <w:highlight w:val="none"/>
              </w:rPr>
              <w:t>年份</w:t>
            </w:r>
          </w:p>
        </w:tc>
        <w:tc>
          <w:tcPr>
            <w:tcW w:w="1347"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已使用台</w:t>
            </w:r>
          </w:p>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时数</w:t>
            </w:r>
          </w:p>
        </w:tc>
        <w:tc>
          <w:tcPr>
            <w:tcW w:w="1584"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用途</w:t>
            </w:r>
          </w:p>
        </w:tc>
        <w:tc>
          <w:tcPr>
            <w:tcW w:w="850" w:type="dxa"/>
            <w:vAlign w:val="center"/>
          </w:tcPr>
          <w:p>
            <w:pPr>
              <w:jc w:val="center"/>
              <w:rPr>
                <w:rFonts w:ascii="Times New Roman" w:hAnsi="Times New Roman" w:eastAsia="黑体"/>
                <w:color w:val="auto"/>
                <w:sz w:val="18"/>
                <w:highlight w:val="none"/>
              </w:rPr>
            </w:pPr>
            <w:r>
              <w:rPr>
                <w:rFonts w:ascii="Times New Roman" w:hAnsi="Times New Roman" w:eastAsia="黑体"/>
                <w:color w:val="auto"/>
                <w:sz w:val="18"/>
                <w:highlight w:val="none"/>
              </w:rPr>
              <w:t>备注</w:t>
            </w: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vAlign w:val="center"/>
          </w:tcPr>
          <w:p>
            <w:pPr>
              <w:rPr>
                <w:rFonts w:ascii="Times New Roman" w:hAnsi="Times New Roman"/>
                <w:color w:val="auto"/>
                <w:sz w:val="18"/>
                <w:highlight w:val="none"/>
              </w:rPr>
            </w:pPr>
          </w:p>
        </w:tc>
        <w:tc>
          <w:tcPr>
            <w:tcW w:w="1208" w:type="dxa"/>
            <w:vAlign w:val="center"/>
          </w:tcPr>
          <w:p>
            <w:pPr>
              <w:rPr>
                <w:rFonts w:ascii="Times New Roman" w:hAnsi="Times New Roman"/>
                <w:color w:val="auto"/>
                <w:sz w:val="18"/>
                <w:highlight w:val="none"/>
              </w:rPr>
            </w:pPr>
          </w:p>
        </w:tc>
        <w:tc>
          <w:tcPr>
            <w:tcW w:w="845" w:type="dxa"/>
            <w:vAlign w:val="center"/>
          </w:tcPr>
          <w:p>
            <w:pPr>
              <w:rPr>
                <w:rFonts w:ascii="Times New Roman" w:hAnsi="Times New Roman"/>
                <w:color w:val="auto"/>
                <w:sz w:val="18"/>
                <w:highlight w:val="none"/>
              </w:rPr>
            </w:pPr>
          </w:p>
        </w:tc>
        <w:tc>
          <w:tcPr>
            <w:tcW w:w="1101" w:type="dxa"/>
            <w:vAlign w:val="center"/>
          </w:tcPr>
          <w:p>
            <w:pPr>
              <w:rPr>
                <w:rFonts w:ascii="Times New Roman" w:hAnsi="Times New Roman"/>
                <w:color w:val="auto"/>
                <w:sz w:val="18"/>
                <w:highlight w:val="none"/>
              </w:rPr>
            </w:pPr>
          </w:p>
        </w:tc>
        <w:tc>
          <w:tcPr>
            <w:tcW w:w="747" w:type="dxa"/>
            <w:vAlign w:val="center"/>
          </w:tcPr>
          <w:p>
            <w:pPr>
              <w:rPr>
                <w:rFonts w:ascii="Times New Roman" w:hAnsi="Times New Roman"/>
                <w:color w:val="auto"/>
                <w:sz w:val="18"/>
                <w:highlight w:val="none"/>
              </w:rPr>
            </w:pPr>
          </w:p>
        </w:tc>
        <w:tc>
          <w:tcPr>
            <w:tcW w:w="820" w:type="dxa"/>
            <w:vAlign w:val="center"/>
          </w:tcPr>
          <w:p>
            <w:pPr>
              <w:rPr>
                <w:rFonts w:ascii="Times New Roman" w:hAnsi="Times New Roman"/>
                <w:color w:val="auto"/>
                <w:sz w:val="18"/>
                <w:highlight w:val="none"/>
              </w:rPr>
            </w:pPr>
          </w:p>
        </w:tc>
        <w:tc>
          <w:tcPr>
            <w:tcW w:w="1347" w:type="dxa"/>
            <w:vAlign w:val="center"/>
          </w:tcPr>
          <w:p>
            <w:pPr>
              <w:rPr>
                <w:rFonts w:ascii="Times New Roman" w:hAnsi="Times New Roman"/>
                <w:color w:val="auto"/>
                <w:sz w:val="18"/>
                <w:highlight w:val="none"/>
              </w:rPr>
            </w:pPr>
          </w:p>
        </w:tc>
        <w:tc>
          <w:tcPr>
            <w:tcW w:w="1584" w:type="dxa"/>
            <w:vAlign w:val="center"/>
          </w:tcPr>
          <w:p>
            <w:pPr>
              <w:rPr>
                <w:rFonts w:ascii="Times New Roman" w:hAnsi="Times New Roman"/>
                <w:color w:val="auto"/>
                <w:sz w:val="18"/>
                <w:highlight w:val="none"/>
              </w:rPr>
            </w:pPr>
          </w:p>
        </w:tc>
        <w:tc>
          <w:tcPr>
            <w:tcW w:w="850" w:type="dxa"/>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vAlign w:val="center"/>
          </w:tcPr>
          <w:p>
            <w:pPr>
              <w:rPr>
                <w:rFonts w:ascii="Times New Roman" w:hAnsi="Times New Roman"/>
                <w:color w:val="auto"/>
                <w:sz w:val="18"/>
                <w:highlight w:val="none"/>
              </w:rPr>
            </w:pPr>
          </w:p>
        </w:tc>
        <w:tc>
          <w:tcPr>
            <w:tcW w:w="1208" w:type="dxa"/>
            <w:vAlign w:val="center"/>
          </w:tcPr>
          <w:p>
            <w:pPr>
              <w:rPr>
                <w:rFonts w:ascii="Times New Roman" w:hAnsi="Times New Roman"/>
                <w:color w:val="auto"/>
                <w:sz w:val="18"/>
                <w:highlight w:val="none"/>
              </w:rPr>
            </w:pPr>
          </w:p>
        </w:tc>
        <w:tc>
          <w:tcPr>
            <w:tcW w:w="845" w:type="dxa"/>
            <w:vAlign w:val="center"/>
          </w:tcPr>
          <w:p>
            <w:pPr>
              <w:rPr>
                <w:rFonts w:ascii="Times New Roman" w:hAnsi="Times New Roman"/>
                <w:color w:val="auto"/>
                <w:sz w:val="18"/>
                <w:highlight w:val="none"/>
              </w:rPr>
            </w:pPr>
          </w:p>
        </w:tc>
        <w:tc>
          <w:tcPr>
            <w:tcW w:w="1101" w:type="dxa"/>
            <w:vAlign w:val="center"/>
          </w:tcPr>
          <w:p>
            <w:pPr>
              <w:rPr>
                <w:rFonts w:ascii="Times New Roman" w:hAnsi="Times New Roman"/>
                <w:color w:val="auto"/>
                <w:sz w:val="18"/>
                <w:highlight w:val="none"/>
              </w:rPr>
            </w:pPr>
          </w:p>
        </w:tc>
        <w:tc>
          <w:tcPr>
            <w:tcW w:w="747" w:type="dxa"/>
            <w:vAlign w:val="center"/>
          </w:tcPr>
          <w:p>
            <w:pPr>
              <w:rPr>
                <w:rFonts w:ascii="Times New Roman" w:hAnsi="Times New Roman"/>
                <w:color w:val="auto"/>
                <w:sz w:val="18"/>
                <w:highlight w:val="none"/>
              </w:rPr>
            </w:pPr>
          </w:p>
        </w:tc>
        <w:tc>
          <w:tcPr>
            <w:tcW w:w="820" w:type="dxa"/>
            <w:vAlign w:val="center"/>
          </w:tcPr>
          <w:p>
            <w:pPr>
              <w:rPr>
                <w:rFonts w:ascii="Times New Roman" w:hAnsi="Times New Roman"/>
                <w:color w:val="auto"/>
                <w:sz w:val="18"/>
                <w:highlight w:val="none"/>
              </w:rPr>
            </w:pPr>
          </w:p>
        </w:tc>
        <w:tc>
          <w:tcPr>
            <w:tcW w:w="1347" w:type="dxa"/>
            <w:vAlign w:val="center"/>
          </w:tcPr>
          <w:p>
            <w:pPr>
              <w:rPr>
                <w:rFonts w:ascii="Times New Roman" w:hAnsi="Times New Roman"/>
                <w:color w:val="auto"/>
                <w:sz w:val="18"/>
                <w:highlight w:val="none"/>
              </w:rPr>
            </w:pPr>
          </w:p>
        </w:tc>
        <w:tc>
          <w:tcPr>
            <w:tcW w:w="1584" w:type="dxa"/>
            <w:vAlign w:val="center"/>
          </w:tcPr>
          <w:p>
            <w:pPr>
              <w:rPr>
                <w:rFonts w:ascii="Times New Roman" w:hAnsi="Times New Roman"/>
                <w:color w:val="auto"/>
                <w:sz w:val="18"/>
                <w:highlight w:val="none"/>
              </w:rPr>
            </w:pPr>
          </w:p>
        </w:tc>
        <w:tc>
          <w:tcPr>
            <w:tcW w:w="850" w:type="dxa"/>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vAlign w:val="center"/>
          </w:tcPr>
          <w:p>
            <w:pPr>
              <w:rPr>
                <w:rFonts w:ascii="Times New Roman" w:hAnsi="Times New Roman"/>
                <w:color w:val="auto"/>
                <w:sz w:val="18"/>
                <w:highlight w:val="none"/>
              </w:rPr>
            </w:pPr>
          </w:p>
        </w:tc>
        <w:tc>
          <w:tcPr>
            <w:tcW w:w="1208" w:type="dxa"/>
            <w:vAlign w:val="center"/>
          </w:tcPr>
          <w:p>
            <w:pPr>
              <w:rPr>
                <w:rFonts w:ascii="Times New Roman" w:hAnsi="Times New Roman"/>
                <w:color w:val="auto"/>
                <w:sz w:val="18"/>
                <w:highlight w:val="none"/>
              </w:rPr>
            </w:pPr>
          </w:p>
        </w:tc>
        <w:tc>
          <w:tcPr>
            <w:tcW w:w="845" w:type="dxa"/>
            <w:vAlign w:val="center"/>
          </w:tcPr>
          <w:p>
            <w:pPr>
              <w:rPr>
                <w:rFonts w:ascii="Times New Roman" w:hAnsi="Times New Roman"/>
                <w:color w:val="auto"/>
                <w:sz w:val="18"/>
                <w:highlight w:val="none"/>
              </w:rPr>
            </w:pPr>
          </w:p>
        </w:tc>
        <w:tc>
          <w:tcPr>
            <w:tcW w:w="1101" w:type="dxa"/>
            <w:vAlign w:val="center"/>
          </w:tcPr>
          <w:p>
            <w:pPr>
              <w:rPr>
                <w:rFonts w:ascii="Times New Roman" w:hAnsi="Times New Roman"/>
                <w:color w:val="auto"/>
                <w:sz w:val="18"/>
                <w:highlight w:val="none"/>
              </w:rPr>
            </w:pPr>
          </w:p>
        </w:tc>
        <w:tc>
          <w:tcPr>
            <w:tcW w:w="747" w:type="dxa"/>
            <w:vAlign w:val="center"/>
          </w:tcPr>
          <w:p>
            <w:pPr>
              <w:rPr>
                <w:rFonts w:ascii="Times New Roman" w:hAnsi="Times New Roman"/>
                <w:color w:val="auto"/>
                <w:sz w:val="18"/>
                <w:highlight w:val="none"/>
              </w:rPr>
            </w:pPr>
          </w:p>
        </w:tc>
        <w:tc>
          <w:tcPr>
            <w:tcW w:w="820" w:type="dxa"/>
            <w:vAlign w:val="center"/>
          </w:tcPr>
          <w:p>
            <w:pPr>
              <w:rPr>
                <w:rFonts w:ascii="Times New Roman" w:hAnsi="Times New Roman"/>
                <w:color w:val="auto"/>
                <w:sz w:val="18"/>
                <w:highlight w:val="none"/>
              </w:rPr>
            </w:pPr>
          </w:p>
        </w:tc>
        <w:tc>
          <w:tcPr>
            <w:tcW w:w="1347" w:type="dxa"/>
            <w:vAlign w:val="center"/>
          </w:tcPr>
          <w:p>
            <w:pPr>
              <w:rPr>
                <w:rFonts w:ascii="Times New Roman" w:hAnsi="Times New Roman"/>
                <w:color w:val="auto"/>
                <w:sz w:val="18"/>
                <w:highlight w:val="none"/>
              </w:rPr>
            </w:pPr>
          </w:p>
        </w:tc>
        <w:tc>
          <w:tcPr>
            <w:tcW w:w="1584" w:type="dxa"/>
            <w:vAlign w:val="center"/>
          </w:tcPr>
          <w:p>
            <w:pPr>
              <w:rPr>
                <w:rFonts w:ascii="Times New Roman" w:hAnsi="Times New Roman"/>
                <w:color w:val="auto"/>
                <w:sz w:val="18"/>
                <w:highlight w:val="none"/>
              </w:rPr>
            </w:pPr>
          </w:p>
        </w:tc>
        <w:tc>
          <w:tcPr>
            <w:tcW w:w="850" w:type="dxa"/>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vAlign w:val="center"/>
          </w:tcPr>
          <w:p>
            <w:pPr>
              <w:rPr>
                <w:rFonts w:ascii="Times New Roman" w:hAnsi="Times New Roman"/>
                <w:color w:val="auto"/>
                <w:sz w:val="18"/>
                <w:highlight w:val="none"/>
              </w:rPr>
            </w:pPr>
          </w:p>
        </w:tc>
        <w:tc>
          <w:tcPr>
            <w:tcW w:w="1208" w:type="dxa"/>
            <w:vAlign w:val="center"/>
          </w:tcPr>
          <w:p>
            <w:pPr>
              <w:rPr>
                <w:rFonts w:ascii="Times New Roman" w:hAnsi="Times New Roman"/>
                <w:color w:val="auto"/>
                <w:sz w:val="18"/>
                <w:highlight w:val="none"/>
              </w:rPr>
            </w:pPr>
          </w:p>
        </w:tc>
        <w:tc>
          <w:tcPr>
            <w:tcW w:w="845" w:type="dxa"/>
            <w:vAlign w:val="center"/>
          </w:tcPr>
          <w:p>
            <w:pPr>
              <w:rPr>
                <w:rFonts w:ascii="Times New Roman" w:hAnsi="Times New Roman"/>
                <w:color w:val="auto"/>
                <w:sz w:val="18"/>
                <w:highlight w:val="none"/>
              </w:rPr>
            </w:pPr>
          </w:p>
        </w:tc>
        <w:tc>
          <w:tcPr>
            <w:tcW w:w="1101" w:type="dxa"/>
            <w:vAlign w:val="center"/>
          </w:tcPr>
          <w:p>
            <w:pPr>
              <w:rPr>
                <w:rFonts w:ascii="Times New Roman" w:hAnsi="Times New Roman"/>
                <w:color w:val="auto"/>
                <w:sz w:val="18"/>
                <w:highlight w:val="none"/>
              </w:rPr>
            </w:pPr>
          </w:p>
        </w:tc>
        <w:tc>
          <w:tcPr>
            <w:tcW w:w="747" w:type="dxa"/>
            <w:vAlign w:val="center"/>
          </w:tcPr>
          <w:p>
            <w:pPr>
              <w:rPr>
                <w:rFonts w:ascii="Times New Roman" w:hAnsi="Times New Roman"/>
                <w:color w:val="auto"/>
                <w:sz w:val="18"/>
                <w:highlight w:val="none"/>
              </w:rPr>
            </w:pPr>
          </w:p>
        </w:tc>
        <w:tc>
          <w:tcPr>
            <w:tcW w:w="820" w:type="dxa"/>
            <w:vAlign w:val="center"/>
          </w:tcPr>
          <w:p>
            <w:pPr>
              <w:rPr>
                <w:rFonts w:ascii="Times New Roman" w:hAnsi="Times New Roman"/>
                <w:color w:val="auto"/>
                <w:sz w:val="18"/>
                <w:highlight w:val="none"/>
              </w:rPr>
            </w:pPr>
          </w:p>
        </w:tc>
        <w:tc>
          <w:tcPr>
            <w:tcW w:w="1347" w:type="dxa"/>
            <w:vAlign w:val="center"/>
          </w:tcPr>
          <w:p>
            <w:pPr>
              <w:rPr>
                <w:rFonts w:ascii="Times New Roman" w:hAnsi="Times New Roman"/>
                <w:color w:val="auto"/>
                <w:sz w:val="18"/>
                <w:highlight w:val="none"/>
              </w:rPr>
            </w:pPr>
          </w:p>
        </w:tc>
        <w:tc>
          <w:tcPr>
            <w:tcW w:w="1584" w:type="dxa"/>
            <w:vAlign w:val="center"/>
          </w:tcPr>
          <w:p>
            <w:pPr>
              <w:rPr>
                <w:rFonts w:ascii="Times New Roman" w:hAnsi="Times New Roman"/>
                <w:color w:val="auto"/>
                <w:sz w:val="18"/>
                <w:highlight w:val="none"/>
              </w:rPr>
            </w:pPr>
          </w:p>
        </w:tc>
        <w:tc>
          <w:tcPr>
            <w:tcW w:w="850" w:type="dxa"/>
            <w:vAlign w:val="center"/>
          </w:tcPr>
          <w:p>
            <w:pPr>
              <w:rPr>
                <w:rFonts w:ascii="Times New Roman" w:hAnsi="Times New Roman"/>
                <w:color w:val="auto"/>
                <w:sz w:val="18"/>
                <w:highlight w:val="none"/>
              </w:rPr>
            </w:pPr>
          </w:p>
        </w:tc>
      </w:tr>
      <w:tr>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741" w:type="dxa"/>
            <w:vAlign w:val="center"/>
          </w:tcPr>
          <w:p>
            <w:pPr>
              <w:rPr>
                <w:rFonts w:ascii="Times New Roman" w:hAnsi="Times New Roman"/>
                <w:color w:val="auto"/>
                <w:sz w:val="18"/>
                <w:highlight w:val="none"/>
              </w:rPr>
            </w:pPr>
          </w:p>
        </w:tc>
        <w:tc>
          <w:tcPr>
            <w:tcW w:w="1208" w:type="dxa"/>
            <w:vAlign w:val="center"/>
          </w:tcPr>
          <w:p>
            <w:pPr>
              <w:rPr>
                <w:rFonts w:ascii="Times New Roman" w:hAnsi="Times New Roman"/>
                <w:color w:val="auto"/>
                <w:sz w:val="18"/>
                <w:highlight w:val="none"/>
              </w:rPr>
            </w:pPr>
          </w:p>
        </w:tc>
        <w:tc>
          <w:tcPr>
            <w:tcW w:w="845" w:type="dxa"/>
            <w:vAlign w:val="center"/>
          </w:tcPr>
          <w:p>
            <w:pPr>
              <w:rPr>
                <w:rFonts w:ascii="Times New Roman" w:hAnsi="Times New Roman"/>
                <w:color w:val="auto"/>
                <w:sz w:val="18"/>
                <w:highlight w:val="none"/>
              </w:rPr>
            </w:pPr>
          </w:p>
        </w:tc>
        <w:tc>
          <w:tcPr>
            <w:tcW w:w="1101" w:type="dxa"/>
            <w:vAlign w:val="center"/>
          </w:tcPr>
          <w:p>
            <w:pPr>
              <w:rPr>
                <w:rFonts w:ascii="Times New Roman" w:hAnsi="Times New Roman"/>
                <w:color w:val="auto"/>
                <w:sz w:val="18"/>
                <w:highlight w:val="none"/>
              </w:rPr>
            </w:pPr>
          </w:p>
        </w:tc>
        <w:tc>
          <w:tcPr>
            <w:tcW w:w="747" w:type="dxa"/>
            <w:vAlign w:val="center"/>
          </w:tcPr>
          <w:p>
            <w:pPr>
              <w:rPr>
                <w:rFonts w:ascii="Times New Roman" w:hAnsi="Times New Roman"/>
                <w:color w:val="auto"/>
                <w:sz w:val="18"/>
                <w:highlight w:val="none"/>
              </w:rPr>
            </w:pPr>
          </w:p>
        </w:tc>
        <w:tc>
          <w:tcPr>
            <w:tcW w:w="820" w:type="dxa"/>
            <w:vAlign w:val="center"/>
          </w:tcPr>
          <w:p>
            <w:pPr>
              <w:rPr>
                <w:rFonts w:ascii="Times New Roman" w:hAnsi="Times New Roman"/>
                <w:color w:val="auto"/>
                <w:sz w:val="18"/>
                <w:highlight w:val="none"/>
              </w:rPr>
            </w:pPr>
          </w:p>
        </w:tc>
        <w:tc>
          <w:tcPr>
            <w:tcW w:w="1347" w:type="dxa"/>
            <w:vAlign w:val="center"/>
          </w:tcPr>
          <w:p>
            <w:pPr>
              <w:rPr>
                <w:rFonts w:ascii="Times New Roman" w:hAnsi="Times New Roman"/>
                <w:color w:val="auto"/>
                <w:sz w:val="18"/>
                <w:highlight w:val="none"/>
              </w:rPr>
            </w:pPr>
          </w:p>
        </w:tc>
        <w:tc>
          <w:tcPr>
            <w:tcW w:w="1584" w:type="dxa"/>
            <w:vAlign w:val="center"/>
          </w:tcPr>
          <w:p>
            <w:pPr>
              <w:rPr>
                <w:rFonts w:ascii="Times New Roman" w:hAnsi="Times New Roman"/>
                <w:color w:val="auto"/>
                <w:sz w:val="18"/>
                <w:highlight w:val="none"/>
              </w:rPr>
            </w:pPr>
          </w:p>
        </w:tc>
        <w:tc>
          <w:tcPr>
            <w:tcW w:w="850" w:type="dxa"/>
            <w:vAlign w:val="center"/>
          </w:tcPr>
          <w:p>
            <w:pPr>
              <w:rPr>
                <w:rFonts w:ascii="Times New Roman" w:hAnsi="Times New Roman"/>
                <w:color w:val="auto"/>
                <w:sz w:val="18"/>
                <w:highlight w:val="none"/>
              </w:rPr>
            </w:pPr>
          </w:p>
        </w:tc>
      </w:tr>
    </w:tbl>
    <w:p>
      <w:pPr>
        <w:autoSpaceDE w:val="0"/>
        <w:autoSpaceDN w:val="0"/>
        <w:adjustRightInd w:val="0"/>
        <w:snapToGrid w:val="0"/>
        <w:jc w:val="left"/>
        <w:rPr>
          <w:rFonts w:hint="eastAsia" w:ascii="宋体" w:hAnsi="宋体" w:eastAsia="宋体" w:cs="宋体"/>
          <w:color w:val="auto"/>
          <w:sz w:val="21"/>
          <w:szCs w:val="21"/>
          <w:highlight w:val="none"/>
          <w:lang w:val="en-US" w:eastAsia="zh-CN"/>
        </w:rPr>
      </w:pPr>
    </w:p>
    <w:p>
      <w:pP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br w:type="page"/>
      </w:r>
    </w:p>
    <w:p>
      <w:pPr>
        <w:rPr>
          <w:rFonts w:ascii="宋体" w:hAnsi="宋体" w:cs="宋体"/>
          <w:color w:val="auto"/>
          <w:sz w:val="20"/>
          <w:szCs w:val="20"/>
          <w:highlight w:val="none"/>
        </w:rPr>
      </w:pPr>
      <w:r>
        <w:rPr>
          <w:rFonts w:ascii="宋体" w:hAnsi="宋体" w:cs="宋体"/>
          <w:color w:val="auto"/>
          <w:szCs w:val="21"/>
          <w:highlight w:val="none"/>
        </w:rPr>
        <w:t>6</w:t>
      </w:r>
      <w:r>
        <w:rPr>
          <w:rFonts w:hint="eastAsia" w:ascii="宋体" w:hAnsi="宋体" w:cs="宋体"/>
          <w:color w:val="auto"/>
          <w:szCs w:val="21"/>
          <w:highlight w:val="none"/>
        </w:rPr>
        <w:t>.投标人认为需要加以说明的其他技术内容（包括不限于技术规范书其他要求响应的内容，</w:t>
      </w:r>
      <w:r>
        <w:rPr>
          <w:rFonts w:hint="eastAsia" w:ascii="宋体" w:hAnsi="宋体" w:cs="宋体"/>
          <w:color w:val="auto"/>
          <w:kern w:val="0"/>
          <w:szCs w:val="21"/>
          <w:highlight w:val="none"/>
          <w:lang w:bidi="ar"/>
        </w:rPr>
        <w:t>技术评分标准逐条逐项应答已做响应的无需重复提供</w:t>
      </w:r>
      <w:r>
        <w:rPr>
          <w:rFonts w:hint="eastAsia" w:ascii="宋体" w:hAnsi="宋体" w:cs="宋体"/>
          <w:color w:val="auto"/>
          <w:szCs w:val="21"/>
          <w:highlight w:val="none"/>
        </w:rPr>
        <w:t>）</w:t>
      </w:r>
    </w:p>
    <w:p>
      <w:pPr>
        <w:rPr>
          <w:rFonts w:hint="eastAsia" w:ascii="宋体" w:hAnsi="宋体" w:eastAsia="宋体" w:cs="宋体"/>
          <w:color w:val="auto"/>
          <w:sz w:val="21"/>
          <w:szCs w:val="21"/>
          <w:highlight w:val="none"/>
          <w:lang w:val="en-US" w:eastAsia="zh-CN"/>
        </w:rPr>
      </w:pPr>
    </w:p>
    <w:p>
      <w:pP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br w:type="page"/>
      </w:r>
    </w:p>
    <w:p>
      <w:pPr>
        <w:rPr>
          <w:rFonts w:hint="eastAsia"/>
          <w:b/>
          <w:bCs/>
          <w:color w:val="auto"/>
          <w:sz w:val="21"/>
          <w:szCs w:val="21"/>
          <w:highlight w:val="none"/>
          <w:lang w:val="en-US" w:eastAsia="zh-CN"/>
        </w:rPr>
      </w:pPr>
      <w:r>
        <w:rPr>
          <w:rFonts w:ascii="宋体" w:hAnsi="宋体" w:cs="宋体"/>
          <w:color w:val="auto"/>
          <w:szCs w:val="21"/>
          <w:highlight w:val="none"/>
        </w:rPr>
        <w:t>7</w:t>
      </w:r>
      <w:r>
        <w:rPr>
          <w:rFonts w:hint="eastAsia" w:ascii="宋体" w:hAnsi="宋体" w:cs="宋体"/>
          <w:color w:val="auto"/>
          <w:szCs w:val="21"/>
          <w:highlight w:val="none"/>
        </w:rPr>
        <w:t>.投标图纸、专题报告（如有）</w:t>
      </w:r>
      <w:r>
        <w:rPr>
          <w:rFonts w:hint="eastAsia"/>
          <w:b/>
          <w:bCs/>
          <w:color w:val="auto"/>
          <w:sz w:val="21"/>
          <w:szCs w:val="21"/>
          <w:highlight w:val="none"/>
          <w:lang w:val="en-US" w:eastAsia="zh-CN"/>
        </w:rPr>
        <w:br w:type="page"/>
      </w:r>
    </w:p>
    <w:p>
      <w:pPr>
        <w:pStyle w:val="18"/>
        <w:numPr>
          <w:ilvl w:val="0"/>
          <w:numId w:val="0"/>
        </w:numPr>
        <w:ind w:leftChars="0"/>
        <w:jc w:val="left"/>
        <w:outlineLvl w:val="3"/>
        <w:rPr>
          <w:rFonts w:hint="eastAsia"/>
          <w:b/>
          <w:bCs/>
          <w:color w:val="auto"/>
          <w:sz w:val="21"/>
          <w:szCs w:val="21"/>
          <w:highlight w:val="none"/>
          <w:lang w:val="en-US" w:eastAsia="zh-CN"/>
        </w:rPr>
      </w:pPr>
      <w:r>
        <w:rPr>
          <w:rFonts w:hint="eastAsia"/>
          <w:b/>
          <w:bCs/>
          <w:color w:val="auto"/>
          <w:sz w:val="21"/>
          <w:szCs w:val="21"/>
          <w:highlight w:val="none"/>
          <w:lang w:val="en-US" w:eastAsia="zh-CN"/>
        </w:rPr>
        <w:t>【其他服务类】</w:t>
      </w:r>
    </w:p>
    <w:p>
      <w:pPr>
        <w:jc w:val="center"/>
        <w:rPr>
          <w:color w:val="auto"/>
          <w:highlight w:val="none"/>
        </w:rPr>
      </w:pPr>
      <w:r>
        <w:rPr>
          <w:rFonts w:hint="eastAsia" w:ascii="方正仿宋_GBK" w:hAnsi="方正仿宋_GBK" w:eastAsia="方正仿宋_GBK" w:cs="方正仿宋_GBK"/>
          <w:b/>
          <w:bCs/>
          <w:color w:val="auto"/>
          <w:sz w:val="22"/>
          <w:highlight w:val="none"/>
        </w:rPr>
        <w:t>目录</w:t>
      </w:r>
    </w:p>
    <w:tbl>
      <w:tblPr>
        <w:tblStyle w:val="19"/>
        <w:tblW w:w="4997"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3"/>
        <w:gridCol w:w="2417"/>
        <w:gridCol w:w="2142"/>
        <w:gridCol w:w="21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064"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评审要素</w:t>
            </w:r>
          </w:p>
        </w:tc>
        <w:tc>
          <w:tcPr>
            <w:tcW w:w="1418"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投标文件响应</w:t>
            </w:r>
          </w:p>
        </w:tc>
        <w:tc>
          <w:tcPr>
            <w:tcW w:w="1257" w:type="pct"/>
            <w:tcBorders>
              <w:tl2br w:val="nil"/>
              <w:tr2bl w:val="nil"/>
            </w:tcBorders>
            <w:vAlign w:val="center"/>
          </w:tcPr>
          <w:p>
            <w:pPr>
              <w:widowControl/>
              <w:jc w:val="center"/>
              <w:textAlignment w:val="center"/>
              <w:rPr>
                <w:rFonts w:ascii="宋体" w:hAnsi="宋体" w:cs="宋体"/>
                <w:b/>
                <w:bCs/>
                <w:color w:val="auto"/>
                <w:szCs w:val="21"/>
                <w:highlight w:val="none"/>
              </w:rPr>
            </w:pPr>
            <w:r>
              <w:rPr>
                <w:rFonts w:hint="eastAsia" w:ascii="宋体" w:hAnsi="宋体" w:cs="宋体"/>
                <w:b/>
                <w:bCs/>
                <w:color w:val="auto"/>
                <w:kern w:val="0"/>
                <w:szCs w:val="21"/>
                <w:highlight w:val="none"/>
                <w:lang w:bidi="ar"/>
              </w:rPr>
              <w:t>响应文件对应页码</w:t>
            </w:r>
          </w:p>
        </w:tc>
        <w:tc>
          <w:tcPr>
            <w:tcW w:w="1258" w:type="pct"/>
            <w:tcBorders>
              <w:tl2br w:val="nil"/>
              <w:tr2bl w:val="nil"/>
            </w:tcBorders>
            <w:vAlign w:val="center"/>
          </w:tcPr>
          <w:p>
            <w:pPr>
              <w:widowControl/>
              <w:jc w:val="center"/>
              <w:textAlignment w:val="center"/>
              <w:rPr>
                <w:rFonts w:ascii="宋体" w:hAnsi="宋体" w:cs="宋体"/>
                <w:b/>
                <w:bCs/>
                <w:color w:val="auto"/>
                <w:kern w:val="0"/>
                <w:szCs w:val="21"/>
                <w:highlight w:val="none"/>
                <w:lang w:bidi="ar"/>
              </w:rPr>
            </w:pPr>
            <w:r>
              <w:rPr>
                <w:rFonts w:hint="eastAsia" w:ascii="宋体" w:hAnsi="宋体" w:cs="宋体"/>
                <w:b/>
                <w:bCs/>
                <w:color w:val="auto"/>
                <w:kern w:val="0"/>
                <w:szCs w:val="21"/>
                <w:highlight w:val="none"/>
                <w:lang w:bidi="ar"/>
              </w:rPr>
              <w:t>ECP上传路径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3" w:hRule="atLeast"/>
        </w:trPr>
        <w:tc>
          <w:tcPr>
            <w:tcW w:w="1064" w:type="pct"/>
            <w:tcBorders>
              <w:tl2br w:val="nil"/>
              <w:tr2bl w:val="nil"/>
            </w:tcBorders>
            <w:vAlign w:val="center"/>
          </w:tcPr>
          <w:p>
            <w:pPr>
              <w:widowControl/>
              <w:jc w:val="center"/>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技术评分标准逐条逐项应答</w:t>
            </w:r>
          </w:p>
        </w:tc>
        <w:tc>
          <w:tcPr>
            <w:tcW w:w="1418" w:type="pct"/>
            <w:tcBorders>
              <w:tl2br w:val="nil"/>
              <w:tr2bl w:val="nil"/>
            </w:tcBorders>
            <w:vAlign w:val="center"/>
          </w:tcPr>
          <w:p>
            <w:pPr>
              <w:widowControl/>
              <w:jc w:val="left"/>
              <w:textAlignment w:val="center"/>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1.技术评分标准逐条逐项应答</w:t>
            </w:r>
          </w:p>
        </w:tc>
        <w:tc>
          <w:tcPr>
            <w:tcW w:w="1257"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例：技术文件第二册 第X页-第X页</w:t>
            </w:r>
          </w:p>
        </w:tc>
        <w:tc>
          <w:tcPr>
            <w:tcW w:w="1258" w:type="pct"/>
            <w:vMerge w:val="restart"/>
            <w:tcBorders>
              <w:tl2br w:val="nil"/>
              <w:tr2bl w:val="nil"/>
            </w:tcBorders>
            <w:vAlign w:val="center"/>
          </w:tcPr>
          <w:p>
            <w:pPr>
              <w:widowControl/>
              <w:jc w:val="center"/>
              <w:textAlignment w:val="center"/>
              <w:rPr>
                <w:rFonts w:ascii="宋体" w:hAnsi="宋体" w:cs="宋体"/>
                <w:i/>
                <w:iCs/>
                <w:color w:val="auto"/>
                <w:kern w:val="0"/>
                <w:sz w:val="20"/>
                <w:szCs w:val="20"/>
                <w:highlight w:val="none"/>
                <w:lang w:bidi="ar"/>
              </w:rPr>
            </w:pPr>
            <w:r>
              <w:rPr>
                <w:rFonts w:ascii="宋体" w:hAnsi="宋体" w:cs="宋体"/>
                <w:color w:val="auto"/>
                <w:kern w:val="0"/>
                <w:sz w:val="18"/>
                <w:szCs w:val="18"/>
                <w:highlight w:val="none"/>
              </w:rPr>
              <w:t>技术</w:t>
            </w:r>
            <w:r>
              <w:rPr>
                <w:rFonts w:hint="eastAsia" w:ascii="宋体" w:hAnsi="宋体" w:cs="宋体"/>
                <w:color w:val="auto"/>
                <w:kern w:val="0"/>
                <w:sz w:val="18"/>
                <w:szCs w:val="18"/>
                <w:highlight w:val="none"/>
              </w:rPr>
              <w:t>部分</w:t>
            </w:r>
            <w:r>
              <w:rPr>
                <w:rFonts w:ascii="Times New Roman" w:hAnsi="Times New Roman"/>
                <w:color w:val="auto"/>
                <w:kern w:val="0"/>
                <w:sz w:val="18"/>
                <w:szCs w:val="18"/>
                <w:highlight w:val="none"/>
              </w:rPr>
              <w:t>-</w:t>
            </w:r>
            <w:r>
              <w:rPr>
                <w:rFonts w:ascii="宋体" w:hAnsi="宋体" w:cs="宋体"/>
                <w:color w:val="auto"/>
                <w:kern w:val="0"/>
                <w:sz w:val="18"/>
                <w:szCs w:val="18"/>
                <w:highlight w:val="none"/>
              </w:rPr>
              <w:t>专用技术规范要求的图纸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1064" w:type="pct"/>
            <w:vMerge w:val="restart"/>
            <w:tcBorders>
              <w:tl2br w:val="nil"/>
              <w:tr2bl w:val="nil"/>
            </w:tcBorders>
            <w:vAlign w:val="center"/>
          </w:tcPr>
          <w:p>
            <w:pPr>
              <w:widowControl/>
              <w:jc w:val="center"/>
              <w:textAlignment w:val="center"/>
              <w:rPr>
                <w:rFonts w:ascii="宋体" w:hAnsi="宋体" w:cs="宋体"/>
                <w:color w:val="auto"/>
                <w:sz w:val="20"/>
                <w:szCs w:val="20"/>
                <w:highlight w:val="none"/>
              </w:rPr>
            </w:pPr>
            <w:r>
              <w:rPr>
                <w:rFonts w:hint="eastAsia" w:ascii="宋体" w:hAnsi="宋体" w:cs="宋体"/>
                <w:color w:val="auto"/>
                <w:sz w:val="20"/>
                <w:szCs w:val="20"/>
                <w:highlight w:val="none"/>
              </w:rPr>
              <w:t>其他</w:t>
            </w:r>
          </w:p>
        </w:tc>
        <w:tc>
          <w:tcPr>
            <w:tcW w:w="1418" w:type="pct"/>
            <w:tcBorders>
              <w:tl2br w:val="nil"/>
              <w:tr2bl w:val="nil"/>
            </w:tcBorders>
            <w:vAlign w:val="center"/>
          </w:tcPr>
          <w:p>
            <w:pPr>
              <w:autoSpaceDE w:val="0"/>
              <w:autoSpaceDN w:val="0"/>
              <w:adjustRightInd w:val="0"/>
              <w:snapToGrid w:val="0"/>
              <w:jc w:val="left"/>
              <w:rPr>
                <w:rFonts w:ascii="宋体" w:hAnsi="宋体" w:cs="宋体"/>
                <w:color w:val="auto"/>
                <w:sz w:val="20"/>
                <w:szCs w:val="20"/>
                <w:highlight w:val="none"/>
              </w:rPr>
            </w:pPr>
            <w:r>
              <w:rPr>
                <w:rFonts w:hint="eastAsia" w:ascii="宋体" w:hAnsi="宋体" w:cs="宋体"/>
                <w:color w:val="auto"/>
                <w:sz w:val="20"/>
                <w:szCs w:val="20"/>
                <w:highlight w:val="none"/>
              </w:rPr>
              <w:t>2.投标人认为需要加以说明的其他技术内容</w:t>
            </w:r>
          </w:p>
        </w:tc>
        <w:tc>
          <w:tcPr>
            <w:tcW w:w="1257"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例：技术文件第二册 第X页-第X页</w:t>
            </w:r>
          </w:p>
        </w:tc>
        <w:tc>
          <w:tcPr>
            <w:tcW w:w="1258" w:type="pct"/>
            <w:vMerge w:val="continue"/>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5" w:hRule="atLeast"/>
        </w:trPr>
        <w:tc>
          <w:tcPr>
            <w:tcW w:w="1064" w:type="pct"/>
            <w:vMerge w:val="continue"/>
            <w:tcBorders>
              <w:tl2br w:val="nil"/>
              <w:tr2bl w:val="nil"/>
            </w:tcBorders>
            <w:vAlign w:val="center"/>
          </w:tcPr>
          <w:p>
            <w:pPr>
              <w:widowControl/>
              <w:jc w:val="center"/>
              <w:textAlignment w:val="center"/>
              <w:rPr>
                <w:rFonts w:ascii="宋体" w:hAnsi="宋体" w:cs="宋体"/>
                <w:color w:val="auto"/>
                <w:sz w:val="20"/>
                <w:szCs w:val="20"/>
                <w:highlight w:val="none"/>
              </w:rPr>
            </w:pPr>
          </w:p>
        </w:tc>
        <w:tc>
          <w:tcPr>
            <w:tcW w:w="1418" w:type="pct"/>
            <w:tcBorders>
              <w:tl2br w:val="nil"/>
              <w:tr2bl w:val="nil"/>
            </w:tcBorders>
            <w:vAlign w:val="center"/>
          </w:tcPr>
          <w:p>
            <w:pPr>
              <w:autoSpaceDE w:val="0"/>
              <w:autoSpaceDN w:val="0"/>
              <w:adjustRightInd w:val="0"/>
              <w:snapToGrid w:val="0"/>
              <w:jc w:val="left"/>
              <w:rPr>
                <w:rFonts w:ascii="宋体" w:hAnsi="宋体" w:cs="宋体"/>
                <w:color w:val="auto"/>
                <w:sz w:val="20"/>
                <w:szCs w:val="20"/>
                <w:highlight w:val="none"/>
              </w:rPr>
            </w:pPr>
            <w:r>
              <w:rPr>
                <w:rFonts w:hint="eastAsia" w:ascii="宋体" w:hAnsi="宋体" w:cs="宋体"/>
                <w:color w:val="auto"/>
                <w:sz w:val="20"/>
                <w:szCs w:val="20"/>
                <w:highlight w:val="none"/>
              </w:rPr>
              <w:t>3.投标图纸、专题报告（如有）</w:t>
            </w:r>
          </w:p>
        </w:tc>
        <w:tc>
          <w:tcPr>
            <w:tcW w:w="1257" w:type="pct"/>
            <w:tcBorders>
              <w:tl2br w:val="nil"/>
              <w:tr2bl w:val="nil"/>
            </w:tcBorders>
            <w:vAlign w:val="center"/>
          </w:tcPr>
          <w:p>
            <w:pPr>
              <w:widowControl/>
              <w:jc w:val="left"/>
              <w:textAlignment w:val="center"/>
              <w:rPr>
                <w:rFonts w:ascii="宋体" w:hAnsi="宋体" w:cs="宋体"/>
                <w:i/>
                <w:iCs/>
                <w:color w:val="auto"/>
                <w:sz w:val="20"/>
                <w:szCs w:val="20"/>
                <w:highlight w:val="none"/>
              </w:rPr>
            </w:pPr>
            <w:r>
              <w:rPr>
                <w:rFonts w:hint="eastAsia" w:ascii="宋体" w:hAnsi="宋体" w:cs="宋体"/>
                <w:i/>
                <w:iCs/>
                <w:color w:val="auto"/>
                <w:kern w:val="0"/>
                <w:sz w:val="20"/>
                <w:szCs w:val="20"/>
                <w:highlight w:val="none"/>
                <w:lang w:bidi="ar"/>
              </w:rPr>
              <w:t>例：技术文件第二册 第X页-第X页</w:t>
            </w:r>
          </w:p>
        </w:tc>
        <w:tc>
          <w:tcPr>
            <w:tcW w:w="1258" w:type="pct"/>
            <w:vMerge w:val="continue"/>
            <w:tcBorders>
              <w:tl2br w:val="nil"/>
              <w:tr2bl w:val="nil"/>
            </w:tcBorders>
            <w:vAlign w:val="center"/>
          </w:tcPr>
          <w:p>
            <w:pPr>
              <w:widowControl/>
              <w:jc w:val="left"/>
              <w:textAlignment w:val="center"/>
              <w:rPr>
                <w:rFonts w:ascii="宋体" w:hAnsi="宋体" w:cs="宋体"/>
                <w:i/>
                <w:iCs/>
                <w:color w:val="auto"/>
                <w:kern w:val="0"/>
                <w:sz w:val="20"/>
                <w:szCs w:val="20"/>
                <w:highlight w:val="none"/>
                <w:lang w:bidi="ar"/>
              </w:rPr>
            </w:pPr>
          </w:p>
        </w:tc>
      </w:tr>
    </w:tbl>
    <w:p>
      <w:pP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br w:type="page"/>
      </w:r>
    </w:p>
    <w:p>
      <w:pPr>
        <w:numPr>
          <w:ilvl w:val="-1"/>
          <w:numId w:val="0"/>
        </w:numPr>
        <w:ind w:left="0" w:leftChars="0" w:firstLine="0" w:firstLineChars="0"/>
        <w:jc w:val="center"/>
        <w:rPr>
          <w:rFonts w:hint="eastAsia" w:ascii="方正仿宋_GBK" w:hAnsi="方正仿宋_GBK" w:eastAsia="方正仿宋_GBK" w:cs="方正仿宋_GBK"/>
          <w:b/>
          <w:bCs/>
          <w:color w:val="auto"/>
          <w:kern w:val="2"/>
          <w:sz w:val="22"/>
          <w:szCs w:val="22"/>
          <w:highlight w:val="none"/>
          <w:lang w:val="en-US" w:eastAsia="zh-CN" w:bidi="ar-SA"/>
        </w:rPr>
      </w:pPr>
      <w:r>
        <w:rPr>
          <w:rFonts w:hint="eastAsia" w:ascii="方正仿宋_GBK" w:hAnsi="方正仿宋_GBK" w:eastAsia="方正仿宋_GBK" w:cs="方正仿宋_GBK"/>
          <w:b/>
          <w:bCs/>
          <w:color w:val="auto"/>
          <w:kern w:val="2"/>
          <w:sz w:val="22"/>
          <w:szCs w:val="22"/>
          <w:highlight w:val="none"/>
          <w:lang w:val="en-US" w:eastAsia="zh-CN" w:bidi="ar-SA"/>
        </w:rPr>
        <w:t>格式</w:t>
      </w:r>
    </w:p>
    <w:p>
      <w:pPr>
        <w:numPr>
          <w:ilvl w:val="0"/>
          <w:numId w:val="0"/>
        </w:numPr>
        <w:ind w:leftChars="0"/>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1.技术评分标准逐条逐项应答</w:t>
      </w:r>
    </w:p>
    <w:p>
      <w:pPr>
        <w:pStyle w:val="5"/>
        <w:ind w:firstLine="560"/>
        <w:rPr>
          <w:rFonts w:hint="eastAsia"/>
          <w:color w:val="auto"/>
          <w:szCs w:val="21"/>
          <w:highlight w:val="none"/>
        </w:rPr>
      </w:pPr>
      <w:r>
        <w:rPr>
          <w:rFonts w:hint="eastAsia"/>
          <w:color w:val="auto"/>
          <w:szCs w:val="21"/>
          <w:highlight w:val="none"/>
        </w:rPr>
        <w:t>投标人对照招标文件第</w:t>
      </w:r>
      <w:r>
        <w:rPr>
          <w:rFonts w:hint="eastAsia" w:ascii="Times New Roman" w:hAnsi="Times New Roman"/>
          <w:color w:val="auto"/>
          <w:szCs w:val="21"/>
          <w:highlight w:val="none"/>
        </w:rPr>
        <w:t>三章</w:t>
      </w:r>
      <w:r>
        <w:rPr>
          <w:rFonts w:hint="eastAsia" w:ascii="Times New Roman" w:hAnsi="Times New Roman"/>
          <w:color w:val="auto"/>
          <w:szCs w:val="21"/>
          <w:highlight w:val="none"/>
          <w:lang w:val="zh-CN"/>
        </w:rPr>
        <w:t>评标办法“前附表之</w:t>
      </w:r>
      <w:r>
        <w:rPr>
          <w:rFonts w:hint="eastAsia" w:ascii="Times New Roman" w:hAnsi="Times New Roman"/>
          <w:color w:val="auto"/>
          <w:szCs w:val="21"/>
          <w:highlight w:val="none"/>
        </w:rPr>
        <w:t>四</w:t>
      </w:r>
      <w:r>
        <w:rPr>
          <w:rFonts w:hint="eastAsia" w:ascii="Times New Roman" w:hAnsi="Times New Roman"/>
          <w:color w:val="auto"/>
          <w:szCs w:val="21"/>
          <w:highlight w:val="none"/>
          <w:lang w:val="zh-CN"/>
        </w:rPr>
        <w:t>：技术评分标准”</w:t>
      </w:r>
      <w:r>
        <w:rPr>
          <w:rFonts w:hint="eastAsia" w:ascii="Times New Roman" w:hAnsi="Times New Roman"/>
          <w:color w:val="auto"/>
          <w:szCs w:val="21"/>
          <w:highlight w:val="none"/>
        </w:rPr>
        <w:t>的内容</w:t>
      </w:r>
      <w:r>
        <w:rPr>
          <w:rFonts w:hint="eastAsia"/>
          <w:color w:val="auto"/>
          <w:szCs w:val="21"/>
          <w:highlight w:val="none"/>
        </w:rPr>
        <w:t>，逐条逐项应答。对于在投标文件其他部分已经响应的内容，投标人仅应答投标文件相应章节名称；对于“技术评分标准”中要求评审，且未在投标文件其他部分响应的内容，投标人应逐条逐项进行应答，并按照招标文件要求提供相关证明材料。</w:t>
      </w:r>
    </w:p>
    <w:p>
      <w:pPr>
        <w:pStyle w:val="5"/>
        <w:ind w:firstLine="560"/>
        <w:rPr>
          <w:rFonts w:hint="eastAsia"/>
          <w:color w:val="auto"/>
          <w:szCs w:val="21"/>
          <w:highlight w:val="none"/>
        </w:rPr>
      </w:pPr>
      <w:r>
        <w:rPr>
          <w:rFonts w:hint="eastAsia"/>
          <w:color w:val="auto"/>
          <w:szCs w:val="21"/>
          <w:highlight w:val="none"/>
        </w:rPr>
        <w:t>以某服务类分标为例：</w:t>
      </w:r>
    </w:p>
    <w:p>
      <w:pPr>
        <w:pStyle w:val="5"/>
        <w:ind w:firstLine="560"/>
        <w:rPr>
          <w:rFonts w:hint="eastAsia"/>
          <w:color w:val="auto"/>
          <w:szCs w:val="21"/>
          <w:highlight w:val="none"/>
        </w:rPr>
      </w:pPr>
    </w:p>
    <w:p>
      <w:pPr>
        <w:pStyle w:val="5"/>
        <w:numPr>
          <w:ilvl w:val="0"/>
          <w:numId w:val="17"/>
        </w:numPr>
        <w:ind w:firstLine="560"/>
        <w:rPr>
          <w:rFonts w:hint="eastAsia" w:ascii="宋体" w:hAnsi="宋体" w:cs="宋体"/>
          <w:color w:val="auto"/>
          <w:szCs w:val="21"/>
          <w:highlight w:val="none"/>
        </w:rPr>
      </w:pPr>
      <w:r>
        <w:rPr>
          <w:rFonts w:hint="eastAsia" w:ascii="宋体" w:hAnsi="宋体" w:cs="宋体"/>
          <w:color w:val="auto"/>
          <w:szCs w:val="21"/>
          <w:highlight w:val="none"/>
        </w:rPr>
        <w:t>相似工程业绩</w:t>
      </w:r>
    </w:p>
    <w:p>
      <w:pPr>
        <w:pStyle w:val="5"/>
        <w:ind w:firstLine="560"/>
        <w:rPr>
          <w:rFonts w:hint="eastAsia" w:ascii="宋体" w:hAnsi="宋体" w:cs="宋体"/>
          <w:i/>
          <w:iCs/>
          <w:color w:val="auto"/>
          <w:szCs w:val="21"/>
          <w:highlight w:val="none"/>
        </w:rPr>
      </w:pPr>
      <w:r>
        <w:rPr>
          <w:rFonts w:hint="eastAsia" w:ascii="宋体" w:hAnsi="宋体" w:cs="宋体"/>
          <w:i/>
          <w:iCs/>
          <w:color w:val="auto"/>
          <w:szCs w:val="21"/>
          <w:highlight w:val="none"/>
        </w:rPr>
        <w:t>投标人应答：</w:t>
      </w:r>
    </w:p>
    <w:p>
      <w:pPr>
        <w:pStyle w:val="5"/>
        <w:ind w:firstLine="560"/>
        <w:rPr>
          <w:rFonts w:hint="eastAsia" w:ascii="宋体" w:hAnsi="宋体" w:cs="宋体"/>
          <w:i/>
          <w:iCs/>
          <w:color w:val="auto"/>
          <w:szCs w:val="21"/>
          <w:highlight w:val="none"/>
        </w:rPr>
      </w:pPr>
      <w:r>
        <w:rPr>
          <w:rFonts w:hint="eastAsia" w:ascii="宋体" w:hAnsi="宋体" w:cs="宋体"/>
          <w:i/>
          <w:iCs/>
          <w:color w:val="auto"/>
          <w:szCs w:val="21"/>
          <w:highlight w:val="none"/>
        </w:rPr>
        <w:t>例，“见技术投标文件 3.企业业绩情况”。</w:t>
      </w:r>
    </w:p>
    <w:p>
      <w:pPr>
        <w:spacing w:line="360" w:lineRule="exact"/>
        <w:ind w:firstLine="525" w:firstLineChars="250"/>
        <w:jc w:val="left"/>
        <w:rPr>
          <w:rFonts w:hint="eastAsia"/>
          <w:i/>
          <w:iCs/>
          <w:color w:val="auto"/>
          <w:szCs w:val="21"/>
          <w:highlight w:val="none"/>
        </w:rPr>
      </w:pPr>
    </w:p>
    <w:p>
      <w:pPr>
        <w:rPr>
          <w:rFonts w:hint="eastAsia"/>
          <w:color w:val="auto"/>
          <w:szCs w:val="21"/>
          <w:highlight w:val="none"/>
        </w:rPr>
      </w:pPr>
    </w:p>
    <w:p>
      <w:pPr>
        <w:pStyle w:val="5"/>
        <w:numPr>
          <w:ilvl w:val="0"/>
          <w:numId w:val="17"/>
        </w:numPr>
        <w:ind w:firstLine="560"/>
        <w:rPr>
          <w:rFonts w:hint="eastAsia" w:ascii="宋体" w:hAnsi="宋体" w:cs="宋体"/>
          <w:color w:val="auto"/>
          <w:szCs w:val="21"/>
          <w:highlight w:val="none"/>
        </w:rPr>
      </w:pPr>
      <w:r>
        <w:rPr>
          <w:rFonts w:hint="eastAsia" w:ascii="宋体" w:hAnsi="宋体" w:cs="宋体"/>
          <w:color w:val="auto"/>
          <w:szCs w:val="21"/>
          <w:highlight w:val="none"/>
        </w:rPr>
        <w:t>工作方案</w:t>
      </w:r>
    </w:p>
    <w:p>
      <w:pPr>
        <w:pStyle w:val="5"/>
        <w:ind w:firstLine="560"/>
        <w:rPr>
          <w:rFonts w:hint="eastAsia" w:ascii="宋体" w:hAnsi="宋体" w:cs="宋体"/>
          <w:i/>
          <w:iCs/>
          <w:color w:val="auto"/>
          <w:szCs w:val="21"/>
          <w:highlight w:val="none"/>
        </w:rPr>
      </w:pPr>
      <w:r>
        <w:rPr>
          <w:rFonts w:hint="eastAsia" w:ascii="宋体" w:hAnsi="宋体" w:cs="宋体"/>
          <w:i/>
          <w:iCs/>
          <w:color w:val="auto"/>
          <w:szCs w:val="21"/>
          <w:highlight w:val="none"/>
        </w:rPr>
        <w:t>投标人应答：</w:t>
      </w:r>
    </w:p>
    <w:p>
      <w:pPr>
        <w:pStyle w:val="5"/>
        <w:ind w:firstLine="560"/>
        <w:rPr>
          <w:rFonts w:hint="eastAsia" w:ascii="宋体" w:hAnsi="宋体" w:cs="宋体"/>
          <w:i/>
          <w:iCs/>
          <w:color w:val="auto"/>
          <w:szCs w:val="21"/>
          <w:highlight w:val="none"/>
        </w:rPr>
      </w:pPr>
      <w:r>
        <w:rPr>
          <w:rFonts w:hint="eastAsia" w:ascii="宋体" w:hAnsi="宋体" w:cs="宋体"/>
          <w:i/>
          <w:iCs/>
          <w:color w:val="auto"/>
          <w:szCs w:val="21"/>
          <w:highlight w:val="none"/>
        </w:rPr>
        <w:t>例，“见技术投标文件 ...”。</w:t>
      </w:r>
    </w:p>
    <w:p>
      <w:pPr>
        <w:pStyle w:val="5"/>
        <w:ind w:firstLine="560"/>
        <w:rPr>
          <w:rFonts w:hint="eastAsia" w:ascii="宋体" w:hAnsi="宋体" w:cs="宋体"/>
          <w:i/>
          <w:iCs/>
          <w:color w:val="auto"/>
          <w:szCs w:val="21"/>
          <w:highlight w:val="none"/>
        </w:rPr>
      </w:pPr>
    </w:p>
    <w:p>
      <w:pPr>
        <w:pStyle w:val="5"/>
        <w:numPr>
          <w:ilvl w:val="0"/>
          <w:numId w:val="17"/>
        </w:numPr>
        <w:ind w:firstLine="560"/>
        <w:rPr>
          <w:rFonts w:hint="eastAsia" w:ascii="宋体" w:hAnsi="宋体" w:cs="宋体"/>
          <w:color w:val="auto"/>
          <w:szCs w:val="21"/>
          <w:highlight w:val="none"/>
        </w:rPr>
      </w:pPr>
      <w:r>
        <w:rPr>
          <w:rFonts w:hint="eastAsia" w:ascii="宋体" w:hAnsi="宋体" w:cs="宋体"/>
          <w:color w:val="auto"/>
          <w:szCs w:val="21"/>
          <w:highlight w:val="none"/>
        </w:rPr>
        <w:t>......</w:t>
      </w:r>
    </w:p>
    <w:p>
      <w:pPr>
        <w:pStyle w:val="5"/>
        <w:ind w:firstLine="560"/>
        <w:rPr>
          <w:rFonts w:hint="eastAsia" w:ascii="宋体" w:hAnsi="宋体" w:cs="宋体"/>
          <w:i/>
          <w:iCs/>
          <w:color w:val="auto"/>
          <w:szCs w:val="21"/>
          <w:highlight w:val="none"/>
        </w:rPr>
      </w:pPr>
      <w:r>
        <w:rPr>
          <w:rFonts w:hint="eastAsia" w:ascii="宋体" w:hAnsi="宋体" w:cs="宋体"/>
          <w:i/>
          <w:iCs/>
          <w:color w:val="auto"/>
          <w:szCs w:val="21"/>
          <w:highlight w:val="none"/>
        </w:rPr>
        <w:t>投标人应答：</w:t>
      </w:r>
    </w:p>
    <w:p>
      <w:pPr>
        <w:pStyle w:val="5"/>
        <w:ind w:firstLineChars="200"/>
        <w:rPr>
          <w:rFonts w:hint="eastAsia" w:ascii="宋体" w:hAnsi="宋体" w:cs="宋体"/>
          <w:i/>
          <w:iCs/>
          <w:color w:val="auto"/>
          <w:szCs w:val="21"/>
          <w:highlight w:val="none"/>
        </w:rPr>
      </w:pPr>
      <w:r>
        <w:rPr>
          <w:rFonts w:hint="eastAsia" w:ascii="宋体" w:hAnsi="宋体" w:cs="宋体"/>
          <w:i/>
          <w:iCs/>
          <w:color w:val="auto"/>
          <w:szCs w:val="21"/>
          <w:highlight w:val="none"/>
        </w:rPr>
        <w:t>......</w:t>
      </w:r>
    </w:p>
    <w:p>
      <w:pPr>
        <w:autoSpaceDE w:val="0"/>
        <w:autoSpaceDN w:val="0"/>
        <w:adjustRightInd w:val="0"/>
        <w:snapToGrid w:val="0"/>
        <w:jc w:val="left"/>
        <w:rPr>
          <w:rFonts w:hint="eastAsia" w:ascii="宋体" w:hAnsi="宋体" w:eastAsia="宋体" w:cs="宋体"/>
          <w:color w:val="auto"/>
          <w:sz w:val="21"/>
          <w:szCs w:val="21"/>
          <w:highlight w:val="none"/>
          <w:lang w:val="en-US" w:eastAsia="zh-CN"/>
        </w:rPr>
      </w:pPr>
    </w:p>
    <w:p>
      <w:pP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br w:type="page"/>
      </w:r>
    </w:p>
    <w:p>
      <w:pPr>
        <w:autoSpaceDE w:val="0"/>
        <w:autoSpaceDN w:val="0"/>
        <w:adjustRightInd w:val="0"/>
        <w:snapToGrid w:val="0"/>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投标人认为需要加以说明的其他技术内容</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包括不限于技术规范书其他要求响应的内容，</w:t>
      </w:r>
      <w:r>
        <w:rPr>
          <w:rFonts w:hint="eastAsia" w:ascii="宋体" w:hAnsi="宋体" w:eastAsia="宋体" w:cs="宋体"/>
          <w:i w:val="0"/>
          <w:iCs w:val="0"/>
          <w:color w:val="auto"/>
          <w:kern w:val="0"/>
          <w:sz w:val="21"/>
          <w:szCs w:val="21"/>
          <w:highlight w:val="none"/>
          <w:u w:val="none"/>
          <w:lang w:val="en-US" w:eastAsia="zh-CN" w:bidi="ar"/>
        </w:rPr>
        <w:t>技术评分标准逐条逐项应答已做响应的无需重复提供</w:t>
      </w:r>
      <w:r>
        <w:rPr>
          <w:rFonts w:hint="eastAsia" w:ascii="宋体" w:hAnsi="宋体" w:eastAsia="宋体" w:cs="宋体"/>
          <w:color w:val="auto"/>
          <w:sz w:val="21"/>
          <w:szCs w:val="21"/>
          <w:highlight w:val="none"/>
          <w:lang w:eastAsia="zh-CN"/>
        </w:rPr>
        <w:t>）</w:t>
      </w:r>
    </w:p>
    <w:p>
      <w:pPr>
        <w:adjustRightInd w:val="0"/>
        <w:snapToGrid w:val="0"/>
        <w:rPr>
          <w:rFonts w:hint="eastAsia" w:eastAsia="黑体"/>
          <w:b/>
          <w:color w:val="auto"/>
          <w:sz w:val="24"/>
          <w:highlight w:val="none"/>
          <w:u w:val="single"/>
        </w:rPr>
      </w:pPr>
    </w:p>
    <w:p>
      <w:pPr>
        <w:rPr>
          <w:rFonts w:hint="eastAsia" w:ascii="宋体" w:hAnsi="宋体" w:eastAsia="宋体" w:cs="宋体"/>
          <w:color w:val="auto"/>
          <w:sz w:val="21"/>
          <w:szCs w:val="21"/>
          <w:highlight w:val="none"/>
          <w:lang w:val="en-US" w:eastAsia="zh-CN"/>
        </w:rPr>
      </w:pPr>
    </w:p>
    <w:p>
      <w:pPr>
        <w:adjustRightInd w:val="0"/>
        <w:snapToGrid w:val="0"/>
        <w:rPr>
          <w:rFonts w:hint="eastAsia" w:eastAsia="黑体"/>
          <w:b/>
          <w:color w:val="auto"/>
          <w:sz w:val="24"/>
          <w:highlight w:val="none"/>
          <w:u w:val="single"/>
          <w:lang w:eastAsia="zh-CN"/>
        </w:rPr>
      </w:pPr>
      <w:r>
        <w:rPr>
          <w:rFonts w:hint="eastAsia" w:eastAsia="黑体"/>
          <w:b/>
          <w:color w:val="auto"/>
          <w:sz w:val="24"/>
          <w:highlight w:val="none"/>
          <w:u w:val="single"/>
        </w:rPr>
        <w:t>工程保险分标</w:t>
      </w:r>
    </w:p>
    <w:p>
      <w:pPr>
        <w:adjustRightInd w:val="0"/>
        <w:snapToGrid w:val="0"/>
        <w:rPr>
          <w:rFonts w:eastAsia="黑体"/>
          <w:b/>
          <w:color w:val="auto"/>
          <w:sz w:val="24"/>
          <w:highlight w:val="none"/>
        </w:rPr>
      </w:pPr>
      <w:r>
        <w:rPr>
          <w:rFonts w:eastAsia="黑体"/>
          <w:b/>
          <w:color w:val="auto"/>
          <w:sz w:val="24"/>
          <w:highlight w:val="none"/>
        </w:rPr>
        <w:t>（1）保险方案差异表</w:t>
      </w:r>
    </w:p>
    <w:p>
      <w:pPr>
        <w:widowControl/>
        <w:snapToGrid w:val="0"/>
        <w:jc w:val="center"/>
        <w:rPr>
          <w:b/>
          <w:bCs/>
          <w:color w:val="auto"/>
          <w:kern w:val="0"/>
          <w:sz w:val="24"/>
          <w:szCs w:val="24"/>
          <w:highlight w:val="none"/>
        </w:rPr>
      </w:pPr>
    </w:p>
    <w:tbl>
      <w:tblPr>
        <w:tblStyle w:val="19"/>
        <w:tblW w:w="0" w:type="auto"/>
        <w:jc w:val="center"/>
        <w:tblLayout w:type="fixed"/>
        <w:tblCellMar>
          <w:top w:w="0" w:type="dxa"/>
          <w:left w:w="108" w:type="dxa"/>
          <w:bottom w:w="0" w:type="dxa"/>
          <w:right w:w="108" w:type="dxa"/>
        </w:tblCellMar>
      </w:tblPr>
      <w:tblGrid>
        <w:gridCol w:w="1189"/>
        <w:gridCol w:w="1440"/>
        <w:gridCol w:w="2340"/>
        <w:gridCol w:w="1441"/>
        <w:gridCol w:w="2118"/>
      </w:tblGrid>
      <w:tr>
        <w:tblPrEx>
          <w:tblCellMar>
            <w:top w:w="0" w:type="dxa"/>
            <w:left w:w="108" w:type="dxa"/>
            <w:bottom w:w="0" w:type="dxa"/>
            <w:right w:w="108" w:type="dxa"/>
          </w:tblCellMar>
        </w:tblPrEx>
        <w:trPr>
          <w:trHeight w:val="567" w:hRule="atLeast"/>
          <w:jc w:val="center"/>
        </w:trPr>
        <w:tc>
          <w:tcPr>
            <w:tcW w:w="1189" w:type="dxa"/>
            <w:vMerge w:val="restart"/>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序号</w:t>
            </w:r>
          </w:p>
        </w:tc>
        <w:tc>
          <w:tcPr>
            <w:tcW w:w="3780" w:type="dxa"/>
            <w:gridSpan w:val="2"/>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招标文件</w:t>
            </w:r>
          </w:p>
        </w:tc>
        <w:tc>
          <w:tcPr>
            <w:tcW w:w="3559" w:type="dxa"/>
            <w:gridSpan w:val="2"/>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投标文件</w:t>
            </w:r>
          </w:p>
        </w:tc>
      </w:tr>
      <w:tr>
        <w:trPr>
          <w:trHeight w:val="567" w:hRule="atLeast"/>
          <w:jc w:val="center"/>
        </w:trPr>
        <w:tc>
          <w:tcPr>
            <w:tcW w:w="1189"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auto"/>
                <w:kern w:val="0"/>
                <w:szCs w:val="21"/>
                <w:highlight w:val="none"/>
              </w:rPr>
            </w:pPr>
          </w:p>
        </w:tc>
        <w:tc>
          <w:tcPr>
            <w:tcW w:w="14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条款号</w:t>
            </w:r>
          </w:p>
        </w:tc>
        <w:tc>
          <w:tcPr>
            <w:tcW w:w="23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简要内容</w:t>
            </w:r>
          </w:p>
        </w:tc>
        <w:tc>
          <w:tcPr>
            <w:tcW w:w="144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条款号</w:t>
            </w:r>
          </w:p>
        </w:tc>
        <w:tc>
          <w:tcPr>
            <w:tcW w:w="21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简要内容</w:t>
            </w:r>
          </w:p>
        </w:tc>
      </w:tr>
      <w:tr>
        <w:trPr>
          <w:trHeight w:val="567" w:hRule="atLeast"/>
          <w:jc w:val="center"/>
        </w:trPr>
        <w:tc>
          <w:tcPr>
            <w:tcW w:w="118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1</w:t>
            </w:r>
          </w:p>
        </w:tc>
        <w:tc>
          <w:tcPr>
            <w:tcW w:w="14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3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144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8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2</w:t>
            </w:r>
          </w:p>
        </w:tc>
        <w:tc>
          <w:tcPr>
            <w:tcW w:w="14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3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144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8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3</w:t>
            </w:r>
          </w:p>
        </w:tc>
        <w:tc>
          <w:tcPr>
            <w:tcW w:w="14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3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144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8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4</w:t>
            </w:r>
          </w:p>
        </w:tc>
        <w:tc>
          <w:tcPr>
            <w:tcW w:w="14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3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144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8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5</w:t>
            </w:r>
          </w:p>
        </w:tc>
        <w:tc>
          <w:tcPr>
            <w:tcW w:w="14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3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144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8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w:t>
            </w:r>
          </w:p>
        </w:tc>
        <w:tc>
          <w:tcPr>
            <w:tcW w:w="14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34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144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bl>
    <w:p>
      <w:pPr>
        <w:widowControl/>
        <w:spacing w:line="360" w:lineRule="auto"/>
        <w:ind w:firstLine="420"/>
        <w:rPr>
          <w:color w:val="auto"/>
          <w:kern w:val="0"/>
          <w:szCs w:val="21"/>
          <w:highlight w:val="none"/>
        </w:rPr>
      </w:pPr>
      <w:r>
        <w:rPr>
          <w:color w:val="auto"/>
          <w:kern w:val="0"/>
          <w:szCs w:val="21"/>
          <w:highlight w:val="none"/>
        </w:rPr>
        <w:t>说明：应答人要招标文件和投标文件中的保险方案及条款部分所有差异之处统一填写到本表中，虽在招标文件中其它部分写明不同之处但未填入本表的，视为应答人同意招标文件中保险方案及条款。</w:t>
      </w:r>
    </w:p>
    <w:p>
      <w:pPr>
        <w:widowControl/>
        <w:jc w:val="left"/>
        <w:rPr>
          <w:color w:val="auto"/>
          <w:szCs w:val="21"/>
          <w:highlight w:val="none"/>
        </w:rPr>
      </w:pPr>
    </w:p>
    <w:p>
      <w:pPr>
        <w:adjustRightInd w:val="0"/>
        <w:snapToGrid w:val="0"/>
        <w:outlineLvl w:val="1"/>
        <w:rPr>
          <w:rFonts w:eastAsia="黑体"/>
          <w:b/>
          <w:color w:val="auto"/>
          <w:sz w:val="24"/>
          <w:highlight w:val="none"/>
        </w:rPr>
      </w:pPr>
      <w:r>
        <w:rPr>
          <w:rFonts w:eastAsia="黑体"/>
          <w:b/>
          <w:color w:val="auto"/>
          <w:sz w:val="24"/>
          <w:highlight w:val="none"/>
        </w:rPr>
        <w:t>（2）保险公司基本服务要求差异表</w:t>
      </w:r>
    </w:p>
    <w:p>
      <w:pPr>
        <w:widowControl/>
        <w:snapToGrid w:val="0"/>
        <w:jc w:val="center"/>
        <w:rPr>
          <w:b/>
          <w:bCs/>
          <w:color w:val="auto"/>
          <w:kern w:val="0"/>
          <w:sz w:val="24"/>
          <w:szCs w:val="24"/>
          <w:highlight w:val="none"/>
        </w:rPr>
      </w:pPr>
    </w:p>
    <w:tbl>
      <w:tblPr>
        <w:tblStyle w:val="19"/>
        <w:tblW w:w="0" w:type="auto"/>
        <w:jc w:val="center"/>
        <w:tblLayout w:type="fixed"/>
        <w:tblCellMar>
          <w:top w:w="0" w:type="dxa"/>
          <w:left w:w="108" w:type="dxa"/>
          <w:bottom w:w="0" w:type="dxa"/>
          <w:right w:w="108" w:type="dxa"/>
        </w:tblCellMar>
      </w:tblPr>
      <w:tblGrid>
        <w:gridCol w:w="648"/>
        <w:gridCol w:w="2491"/>
        <w:gridCol w:w="2430"/>
        <w:gridCol w:w="2162"/>
        <w:gridCol w:w="797"/>
      </w:tblGrid>
      <w:tr>
        <w:tblPrEx>
          <w:tblCellMar>
            <w:top w:w="0" w:type="dxa"/>
            <w:left w:w="108" w:type="dxa"/>
            <w:bottom w:w="0" w:type="dxa"/>
            <w:right w:w="108" w:type="dxa"/>
          </w:tblCellMar>
        </w:tblPrEx>
        <w:trPr>
          <w:trHeight w:val="567" w:hRule="atLeast"/>
          <w:jc w:val="center"/>
        </w:trPr>
        <w:tc>
          <w:tcPr>
            <w:tcW w:w="648"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序号</w:t>
            </w:r>
          </w:p>
        </w:tc>
        <w:tc>
          <w:tcPr>
            <w:tcW w:w="249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招标文件中对应项目</w:t>
            </w:r>
          </w:p>
        </w:tc>
        <w:tc>
          <w:tcPr>
            <w:tcW w:w="243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投标中对应项目</w:t>
            </w:r>
          </w:p>
        </w:tc>
        <w:tc>
          <w:tcPr>
            <w:tcW w:w="2162"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差异</w:t>
            </w:r>
          </w:p>
        </w:tc>
        <w:tc>
          <w:tcPr>
            <w:tcW w:w="797"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备注</w:t>
            </w:r>
          </w:p>
        </w:tc>
      </w:tr>
      <w:tr>
        <w:tblPrEx>
          <w:tblCellMar>
            <w:top w:w="0" w:type="dxa"/>
            <w:left w:w="108" w:type="dxa"/>
            <w:bottom w:w="0" w:type="dxa"/>
            <w:right w:w="108" w:type="dxa"/>
          </w:tblCellMar>
        </w:tblPrEx>
        <w:trPr>
          <w:trHeight w:val="567" w:hRule="atLeast"/>
          <w:jc w:val="center"/>
        </w:trPr>
        <w:tc>
          <w:tcPr>
            <w:tcW w:w="648"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1</w:t>
            </w:r>
          </w:p>
        </w:tc>
        <w:tc>
          <w:tcPr>
            <w:tcW w:w="249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43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62"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797"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648"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2</w:t>
            </w:r>
          </w:p>
        </w:tc>
        <w:tc>
          <w:tcPr>
            <w:tcW w:w="249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43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62"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797"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648"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3</w:t>
            </w:r>
          </w:p>
        </w:tc>
        <w:tc>
          <w:tcPr>
            <w:tcW w:w="249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43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62"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797"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648"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4</w:t>
            </w:r>
          </w:p>
        </w:tc>
        <w:tc>
          <w:tcPr>
            <w:tcW w:w="249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43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62"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797"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648"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5</w:t>
            </w:r>
          </w:p>
        </w:tc>
        <w:tc>
          <w:tcPr>
            <w:tcW w:w="249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43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62"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797"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648"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w:t>
            </w:r>
          </w:p>
        </w:tc>
        <w:tc>
          <w:tcPr>
            <w:tcW w:w="2491"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43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2162"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c>
          <w:tcPr>
            <w:tcW w:w="797"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bl>
    <w:p>
      <w:pPr>
        <w:widowControl/>
        <w:spacing w:line="360" w:lineRule="auto"/>
        <w:ind w:firstLine="420"/>
        <w:rPr>
          <w:rFonts w:eastAsia="黑体"/>
          <w:b/>
          <w:color w:val="auto"/>
          <w:sz w:val="24"/>
          <w:highlight w:val="none"/>
        </w:rPr>
      </w:pPr>
      <w:r>
        <w:rPr>
          <w:color w:val="auto"/>
          <w:kern w:val="0"/>
          <w:szCs w:val="21"/>
          <w:highlight w:val="none"/>
        </w:rPr>
        <w:t>说明：保险公司要将招标文件的 “基本保险服务要求”、“项目服务承诺”部分的所有差异之处统一列入本表中，如未列入视为同意并承诺提供不低于基本服务要求的保险服务。</w:t>
      </w:r>
      <w:r>
        <w:rPr>
          <w:color w:val="auto"/>
          <w:szCs w:val="21"/>
          <w:highlight w:val="none"/>
        </w:rPr>
        <w:br w:type="page"/>
      </w:r>
      <w:r>
        <w:rPr>
          <w:rFonts w:eastAsia="黑体"/>
          <w:b/>
          <w:color w:val="auto"/>
          <w:sz w:val="24"/>
          <w:highlight w:val="none"/>
        </w:rPr>
        <w:t>（3）针对本项目的风险认识、项目风险管理规划及措施</w:t>
      </w:r>
    </w:p>
    <w:p>
      <w:pPr>
        <w:pStyle w:val="5"/>
        <w:rPr>
          <w:color w:val="auto"/>
          <w:highlight w:val="none"/>
        </w:rPr>
      </w:pPr>
    </w:p>
    <w:p>
      <w:pPr>
        <w:widowControl/>
        <w:snapToGrid w:val="0"/>
        <w:ind w:firstLine="118" w:firstLineChars="49"/>
        <w:jc w:val="left"/>
        <w:rPr>
          <w:b/>
          <w:bCs/>
          <w:color w:val="auto"/>
          <w:kern w:val="0"/>
          <w:sz w:val="24"/>
          <w:szCs w:val="24"/>
          <w:highlight w:val="none"/>
        </w:rPr>
      </w:pPr>
      <w:r>
        <w:rPr>
          <w:b/>
          <w:bCs/>
          <w:color w:val="auto"/>
          <w:kern w:val="0"/>
          <w:sz w:val="24"/>
          <w:szCs w:val="24"/>
          <w:highlight w:val="none"/>
        </w:rPr>
        <w:t>项目风险的认识</w:t>
      </w:r>
    </w:p>
    <w:p>
      <w:pPr>
        <w:widowControl/>
        <w:ind w:firstLine="420"/>
        <w:rPr>
          <w:color w:val="auto"/>
          <w:kern w:val="0"/>
          <w:szCs w:val="21"/>
          <w:highlight w:val="none"/>
        </w:rPr>
      </w:pPr>
      <w:r>
        <w:rPr>
          <w:color w:val="auto"/>
          <w:kern w:val="0"/>
          <w:szCs w:val="21"/>
          <w:highlight w:val="none"/>
        </w:rPr>
        <w:t>对本项目面临的风险应进行分类识别、分析。</w:t>
      </w:r>
    </w:p>
    <w:p>
      <w:pPr>
        <w:pStyle w:val="5"/>
        <w:rPr>
          <w:color w:val="auto"/>
          <w:highlight w:val="none"/>
        </w:rPr>
      </w:pPr>
    </w:p>
    <w:p>
      <w:pPr>
        <w:widowControl/>
        <w:snapToGrid w:val="0"/>
        <w:ind w:firstLine="118" w:firstLineChars="49"/>
        <w:jc w:val="left"/>
        <w:rPr>
          <w:b/>
          <w:bCs/>
          <w:color w:val="auto"/>
          <w:kern w:val="0"/>
          <w:sz w:val="24"/>
          <w:szCs w:val="24"/>
          <w:highlight w:val="none"/>
        </w:rPr>
      </w:pPr>
      <w:r>
        <w:rPr>
          <w:b/>
          <w:bCs/>
          <w:color w:val="auto"/>
          <w:kern w:val="0"/>
          <w:sz w:val="24"/>
          <w:szCs w:val="24"/>
          <w:highlight w:val="none"/>
        </w:rPr>
        <w:t>项目风险管理规划及措施</w:t>
      </w:r>
    </w:p>
    <w:p>
      <w:pPr>
        <w:widowControl/>
        <w:ind w:firstLine="420"/>
        <w:rPr>
          <w:color w:val="auto"/>
          <w:kern w:val="0"/>
          <w:szCs w:val="21"/>
          <w:highlight w:val="none"/>
        </w:rPr>
      </w:pPr>
      <w:r>
        <w:rPr>
          <w:color w:val="auto"/>
          <w:kern w:val="0"/>
          <w:szCs w:val="21"/>
          <w:highlight w:val="none"/>
        </w:rPr>
        <w:t>针对本项目特点及投保险种，提出切实可行的风险管理规划及措施。</w:t>
      </w:r>
    </w:p>
    <w:p>
      <w:pPr>
        <w:pStyle w:val="5"/>
        <w:rPr>
          <w:color w:val="auto"/>
          <w:highlight w:val="none"/>
        </w:rPr>
      </w:pPr>
    </w:p>
    <w:p>
      <w:pPr>
        <w:widowControl/>
        <w:jc w:val="left"/>
        <w:rPr>
          <w:rFonts w:eastAsia="黑体"/>
          <w:b/>
          <w:color w:val="auto"/>
          <w:sz w:val="24"/>
          <w:highlight w:val="none"/>
        </w:rPr>
      </w:pPr>
      <w:r>
        <w:rPr>
          <w:rFonts w:eastAsia="黑体"/>
          <w:b/>
          <w:color w:val="auto"/>
          <w:sz w:val="24"/>
          <w:highlight w:val="none"/>
        </w:rPr>
        <w:t>（4）再保情况简介</w:t>
      </w:r>
    </w:p>
    <w:p>
      <w:pPr>
        <w:widowControl/>
        <w:jc w:val="center"/>
        <w:rPr>
          <w:rFonts w:eastAsia="仿宋_GB2312"/>
          <w:color w:val="auto"/>
          <w:kern w:val="0"/>
          <w:sz w:val="28"/>
          <w:szCs w:val="28"/>
          <w:highlight w:val="none"/>
        </w:rPr>
      </w:pPr>
    </w:p>
    <w:tbl>
      <w:tblPr>
        <w:tblStyle w:val="19"/>
        <w:tblW w:w="8528" w:type="dxa"/>
        <w:tblInd w:w="0" w:type="dxa"/>
        <w:tblLayout w:type="fixed"/>
        <w:tblCellMar>
          <w:top w:w="0" w:type="dxa"/>
          <w:left w:w="108" w:type="dxa"/>
          <w:bottom w:w="0" w:type="dxa"/>
          <w:right w:w="108" w:type="dxa"/>
        </w:tblCellMar>
      </w:tblPr>
      <w:tblGrid>
        <w:gridCol w:w="3418"/>
        <w:gridCol w:w="5110"/>
      </w:tblGrid>
      <w:tr>
        <w:tblPrEx>
          <w:tblCellMar>
            <w:top w:w="0" w:type="dxa"/>
            <w:left w:w="108" w:type="dxa"/>
            <w:bottom w:w="0" w:type="dxa"/>
            <w:right w:w="108" w:type="dxa"/>
          </w:tblCellMar>
        </w:tblPrEx>
        <w:trPr>
          <w:trHeight w:val="567" w:hRule="atLeast"/>
        </w:trPr>
        <w:tc>
          <w:tcPr>
            <w:tcW w:w="3418"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项目</w:t>
            </w:r>
          </w:p>
        </w:tc>
        <w:tc>
          <w:tcPr>
            <w:tcW w:w="5110"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简要介绍</w:t>
            </w:r>
          </w:p>
        </w:tc>
      </w:tr>
      <w:tr>
        <w:tblPrEx>
          <w:tblCellMar>
            <w:top w:w="0" w:type="dxa"/>
            <w:left w:w="108" w:type="dxa"/>
            <w:bottom w:w="0" w:type="dxa"/>
            <w:right w:w="108" w:type="dxa"/>
          </w:tblCellMar>
        </w:tblPrEx>
        <w:trPr>
          <w:trHeight w:val="567" w:hRule="atLeast"/>
        </w:trPr>
        <w:tc>
          <w:tcPr>
            <w:tcW w:w="3418" w:type="dxa"/>
            <w:tcBorders>
              <w:top w:val="single" w:color="000000" w:sz="4" w:space="0"/>
              <w:left w:val="single" w:color="000000" w:sz="4" w:space="0"/>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合作的主要再保险公司</w:t>
            </w:r>
          </w:p>
        </w:tc>
        <w:tc>
          <w:tcPr>
            <w:tcW w:w="5110" w:type="dxa"/>
            <w:tcBorders>
              <w:top w:val="single" w:color="000000" w:sz="4" w:space="0"/>
              <w:left w:val="nil"/>
              <w:bottom w:val="single" w:color="000000" w:sz="4" w:space="0"/>
              <w:right w:val="single" w:color="000000" w:sz="4" w:space="0"/>
            </w:tcBorders>
            <w:vAlign w:val="center"/>
          </w:tcPr>
          <w:p>
            <w:pPr>
              <w:widowControl/>
              <w:jc w:val="left"/>
              <w:rPr>
                <w:color w:val="auto"/>
                <w:kern w:val="0"/>
                <w:szCs w:val="21"/>
                <w:highlight w:val="none"/>
              </w:rPr>
            </w:pPr>
            <w:r>
              <w:rPr>
                <w:color w:val="auto"/>
                <w:kern w:val="0"/>
                <w:szCs w:val="21"/>
                <w:highlight w:val="none"/>
              </w:rPr>
              <w:t>需列明合作公司名称及由国内外知名评级机构评定的资信等级</w:t>
            </w:r>
          </w:p>
        </w:tc>
      </w:tr>
      <w:tr>
        <w:tblPrEx>
          <w:tblCellMar>
            <w:top w:w="0" w:type="dxa"/>
            <w:left w:w="108" w:type="dxa"/>
            <w:bottom w:w="0" w:type="dxa"/>
            <w:right w:w="108" w:type="dxa"/>
          </w:tblCellMar>
        </w:tblPrEx>
        <w:trPr>
          <w:trHeight w:val="567" w:hRule="atLeast"/>
        </w:trPr>
        <w:tc>
          <w:tcPr>
            <w:tcW w:w="3418" w:type="dxa"/>
            <w:tcBorders>
              <w:top w:val="single" w:color="000000" w:sz="4" w:space="0"/>
              <w:left w:val="single" w:color="000000" w:sz="4" w:space="0"/>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合作的主要再保险经纪公司</w:t>
            </w:r>
          </w:p>
        </w:tc>
        <w:tc>
          <w:tcPr>
            <w:tcW w:w="5110" w:type="dxa"/>
            <w:tcBorders>
              <w:top w:val="single" w:color="000000" w:sz="4" w:space="0"/>
              <w:left w:val="nil"/>
              <w:bottom w:val="single" w:color="000000" w:sz="4" w:space="0"/>
              <w:right w:val="single" w:color="000000" w:sz="4" w:space="0"/>
            </w:tcBorders>
            <w:vAlign w:val="center"/>
          </w:tcPr>
          <w:p>
            <w:pPr>
              <w:widowControl/>
              <w:jc w:val="left"/>
              <w:rPr>
                <w:color w:val="auto"/>
                <w:kern w:val="0"/>
                <w:szCs w:val="21"/>
                <w:highlight w:val="none"/>
              </w:rPr>
            </w:pPr>
          </w:p>
        </w:tc>
      </w:tr>
      <w:tr>
        <w:tblPrEx>
          <w:tblCellMar>
            <w:top w:w="0" w:type="dxa"/>
            <w:left w:w="108" w:type="dxa"/>
            <w:bottom w:w="0" w:type="dxa"/>
            <w:right w:w="108" w:type="dxa"/>
          </w:tblCellMar>
        </w:tblPrEx>
        <w:trPr>
          <w:trHeight w:val="567" w:hRule="atLeast"/>
        </w:trPr>
        <w:tc>
          <w:tcPr>
            <w:tcW w:w="3418" w:type="dxa"/>
            <w:tcBorders>
              <w:top w:val="single" w:color="000000" w:sz="4" w:space="0"/>
              <w:left w:val="single" w:color="000000" w:sz="4" w:space="0"/>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再保险合同签署情况说明</w:t>
            </w:r>
          </w:p>
        </w:tc>
        <w:tc>
          <w:tcPr>
            <w:tcW w:w="5110" w:type="dxa"/>
            <w:tcBorders>
              <w:top w:val="single" w:color="000000" w:sz="4" w:space="0"/>
              <w:left w:val="nil"/>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包括但不限于以下内容：</w:t>
            </w:r>
          </w:p>
          <w:p>
            <w:pPr>
              <w:widowControl/>
              <w:rPr>
                <w:color w:val="auto"/>
                <w:kern w:val="0"/>
                <w:szCs w:val="21"/>
                <w:highlight w:val="none"/>
              </w:rPr>
            </w:pPr>
            <w:r>
              <w:rPr>
                <w:color w:val="auto"/>
                <w:kern w:val="0"/>
                <w:szCs w:val="21"/>
                <w:highlight w:val="none"/>
              </w:rPr>
              <w:t>1.主要再保安排方式</w:t>
            </w:r>
          </w:p>
          <w:p>
            <w:pPr>
              <w:widowControl/>
              <w:rPr>
                <w:color w:val="auto"/>
                <w:kern w:val="0"/>
                <w:szCs w:val="21"/>
                <w:highlight w:val="none"/>
              </w:rPr>
            </w:pPr>
            <w:r>
              <w:rPr>
                <w:color w:val="auto"/>
                <w:kern w:val="0"/>
                <w:szCs w:val="21"/>
                <w:highlight w:val="none"/>
              </w:rPr>
              <w:t>2.合作的再保险公司</w:t>
            </w:r>
          </w:p>
          <w:p>
            <w:pPr>
              <w:widowControl/>
              <w:rPr>
                <w:color w:val="auto"/>
                <w:kern w:val="0"/>
                <w:szCs w:val="21"/>
                <w:highlight w:val="none"/>
              </w:rPr>
            </w:pPr>
            <w:r>
              <w:rPr>
                <w:color w:val="auto"/>
                <w:kern w:val="0"/>
                <w:szCs w:val="21"/>
                <w:highlight w:val="none"/>
              </w:rPr>
              <w:t>3.再保合约覆盖的险种和风险类型</w:t>
            </w:r>
          </w:p>
        </w:tc>
      </w:tr>
    </w:tbl>
    <w:p>
      <w:pPr>
        <w:widowControl/>
        <w:ind w:firstLine="420"/>
        <w:jc w:val="left"/>
        <w:rPr>
          <w:color w:val="auto"/>
          <w:kern w:val="0"/>
          <w:szCs w:val="21"/>
          <w:highlight w:val="none"/>
        </w:rPr>
      </w:pPr>
      <w:r>
        <w:rPr>
          <w:color w:val="auto"/>
          <w:kern w:val="0"/>
          <w:szCs w:val="21"/>
          <w:highlight w:val="none"/>
        </w:rPr>
        <w:t>说明：表中所填数据均为截止应答前一个月的最新数据。</w:t>
      </w:r>
    </w:p>
    <w:p>
      <w:pPr>
        <w:widowControl/>
        <w:jc w:val="left"/>
        <w:rPr>
          <w:rFonts w:eastAsia="黑体"/>
          <w:b/>
          <w:color w:val="auto"/>
          <w:sz w:val="24"/>
          <w:highlight w:val="none"/>
        </w:rPr>
      </w:pPr>
    </w:p>
    <w:p>
      <w:pPr>
        <w:widowControl/>
        <w:jc w:val="left"/>
        <w:rPr>
          <w:rFonts w:eastAsia="黑体"/>
          <w:b/>
          <w:color w:val="auto"/>
          <w:sz w:val="24"/>
          <w:highlight w:val="none"/>
        </w:rPr>
      </w:pPr>
      <w:r>
        <w:rPr>
          <w:rFonts w:eastAsia="黑体"/>
          <w:b/>
          <w:color w:val="auto"/>
          <w:sz w:val="24"/>
          <w:highlight w:val="none"/>
        </w:rPr>
        <w:t>（5）针对本项目的再保安排说明</w:t>
      </w:r>
    </w:p>
    <w:tbl>
      <w:tblPr>
        <w:tblStyle w:val="19"/>
        <w:tblW w:w="0" w:type="auto"/>
        <w:tblInd w:w="0" w:type="dxa"/>
        <w:tblLayout w:type="fixed"/>
        <w:tblCellMar>
          <w:top w:w="0" w:type="dxa"/>
          <w:left w:w="108" w:type="dxa"/>
          <w:bottom w:w="0" w:type="dxa"/>
          <w:right w:w="108" w:type="dxa"/>
        </w:tblCellMar>
      </w:tblPr>
      <w:tblGrid>
        <w:gridCol w:w="4010"/>
        <w:gridCol w:w="4518"/>
      </w:tblGrid>
      <w:tr>
        <w:tblPrEx>
          <w:tblCellMar>
            <w:top w:w="0" w:type="dxa"/>
            <w:left w:w="108" w:type="dxa"/>
            <w:bottom w:w="0" w:type="dxa"/>
            <w:right w:w="108" w:type="dxa"/>
          </w:tblCellMar>
        </w:tblPrEx>
        <w:trPr>
          <w:trHeight w:val="567" w:hRule="atLeast"/>
        </w:trPr>
        <w:tc>
          <w:tcPr>
            <w:tcW w:w="4010"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项目</w:t>
            </w:r>
          </w:p>
        </w:tc>
        <w:tc>
          <w:tcPr>
            <w:tcW w:w="45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r>
              <w:rPr>
                <w:color w:val="auto"/>
                <w:kern w:val="0"/>
                <w:szCs w:val="21"/>
                <w:highlight w:val="none"/>
              </w:rPr>
              <w:t>简要介绍</w:t>
            </w:r>
          </w:p>
        </w:tc>
      </w:tr>
      <w:tr>
        <w:tblPrEx>
          <w:tblCellMar>
            <w:top w:w="0" w:type="dxa"/>
            <w:left w:w="108" w:type="dxa"/>
            <w:bottom w:w="0" w:type="dxa"/>
            <w:right w:w="108" w:type="dxa"/>
          </w:tblCellMar>
        </w:tblPrEx>
        <w:trPr>
          <w:trHeight w:val="567" w:hRule="atLeast"/>
        </w:trPr>
        <w:tc>
          <w:tcPr>
            <w:tcW w:w="4010" w:type="dxa"/>
            <w:tcBorders>
              <w:top w:val="single" w:color="000000" w:sz="4" w:space="0"/>
              <w:left w:val="single" w:color="000000" w:sz="4" w:space="0"/>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该项工程危险单位划分的基本原则</w:t>
            </w:r>
          </w:p>
        </w:tc>
        <w:tc>
          <w:tcPr>
            <w:tcW w:w="45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trPr>
        <w:tc>
          <w:tcPr>
            <w:tcW w:w="4010" w:type="dxa"/>
            <w:tcBorders>
              <w:top w:val="single" w:color="000000" w:sz="4" w:space="0"/>
              <w:left w:val="single" w:color="000000" w:sz="4" w:space="0"/>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该项工程划分危险单位情况</w:t>
            </w:r>
          </w:p>
        </w:tc>
        <w:tc>
          <w:tcPr>
            <w:tcW w:w="45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trPr>
        <w:tc>
          <w:tcPr>
            <w:tcW w:w="4010" w:type="dxa"/>
            <w:tcBorders>
              <w:top w:val="single" w:color="000000" w:sz="4" w:space="0"/>
              <w:left w:val="single" w:color="000000" w:sz="4" w:space="0"/>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合同分保情况</w:t>
            </w:r>
          </w:p>
        </w:tc>
        <w:tc>
          <w:tcPr>
            <w:tcW w:w="45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trPr>
        <w:tc>
          <w:tcPr>
            <w:tcW w:w="4010" w:type="dxa"/>
            <w:tcBorders>
              <w:top w:val="single" w:color="000000" w:sz="4" w:space="0"/>
              <w:left w:val="single" w:color="000000" w:sz="4" w:space="0"/>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临时分保情况</w:t>
            </w:r>
          </w:p>
        </w:tc>
        <w:tc>
          <w:tcPr>
            <w:tcW w:w="45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r>
        <w:tblPrEx>
          <w:tblCellMar>
            <w:top w:w="0" w:type="dxa"/>
            <w:left w:w="108" w:type="dxa"/>
            <w:bottom w:w="0" w:type="dxa"/>
            <w:right w:w="108" w:type="dxa"/>
          </w:tblCellMar>
        </w:tblPrEx>
        <w:trPr>
          <w:trHeight w:val="567" w:hRule="atLeast"/>
        </w:trPr>
        <w:tc>
          <w:tcPr>
            <w:tcW w:w="4010" w:type="dxa"/>
            <w:tcBorders>
              <w:top w:val="single" w:color="000000" w:sz="4" w:space="0"/>
              <w:left w:val="single" w:color="000000" w:sz="4" w:space="0"/>
              <w:bottom w:val="single" w:color="000000" w:sz="4" w:space="0"/>
              <w:right w:val="single" w:color="000000" w:sz="4" w:space="0"/>
            </w:tcBorders>
            <w:vAlign w:val="center"/>
          </w:tcPr>
          <w:p>
            <w:pPr>
              <w:widowControl/>
              <w:rPr>
                <w:color w:val="auto"/>
                <w:kern w:val="0"/>
                <w:szCs w:val="21"/>
                <w:highlight w:val="none"/>
              </w:rPr>
            </w:pPr>
            <w:r>
              <w:rPr>
                <w:color w:val="auto"/>
                <w:kern w:val="0"/>
                <w:szCs w:val="21"/>
                <w:highlight w:val="none"/>
              </w:rPr>
              <w:t>针对本项目再保险安排其它需说明事项</w:t>
            </w:r>
          </w:p>
        </w:tc>
        <w:tc>
          <w:tcPr>
            <w:tcW w:w="4518" w:type="dxa"/>
            <w:tcBorders>
              <w:top w:val="single" w:color="000000" w:sz="4" w:space="0"/>
              <w:left w:val="nil"/>
              <w:bottom w:val="single" w:color="000000" w:sz="4" w:space="0"/>
              <w:right w:val="single" w:color="000000" w:sz="4" w:space="0"/>
            </w:tcBorders>
            <w:vAlign w:val="center"/>
          </w:tcPr>
          <w:p>
            <w:pPr>
              <w:widowControl/>
              <w:jc w:val="center"/>
              <w:rPr>
                <w:color w:val="auto"/>
                <w:kern w:val="0"/>
                <w:szCs w:val="21"/>
                <w:highlight w:val="none"/>
              </w:rPr>
            </w:pPr>
          </w:p>
        </w:tc>
      </w:tr>
    </w:tbl>
    <w:p>
      <w:pPr>
        <w:widowControl/>
        <w:ind w:firstLine="420"/>
        <w:rPr>
          <w:color w:val="auto"/>
          <w:kern w:val="0"/>
          <w:szCs w:val="21"/>
          <w:highlight w:val="none"/>
        </w:rPr>
      </w:pPr>
      <w:r>
        <w:rPr>
          <w:color w:val="auto"/>
          <w:kern w:val="0"/>
          <w:szCs w:val="21"/>
          <w:highlight w:val="none"/>
        </w:rPr>
        <w:t>说明：表中所填数据均为截止应答前一个月的最新数据。</w:t>
      </w:r>
    </w:p>
    <w:p>
      <w:pPr>
        <w:widowControl/>
        <w:jc w:val="left"/>
        <w:rPr>
          <w:color w:val="auto"/>
          <w:kern w:val="0"/>
          <w:szCs w:val="21"/>
          <w:highlight w:val="none"/>
        </w:rPr>
      </w:pPr>
    </w:p>
    <w:p>
      <w:pPr>
        <w:adjustRightInd w:val="0"/>
        <w:snapToGrid w:val="0"/>
        <w:outlineLvl w:val="1"/>
        <w:rPr>
          <w:color w:val="auto"/>
          <w:kern w:val="0"/>
          <w:szCs w:val="21"/>
          <w:highlight w:val="none"/>
        </w:rPr>
      </w:pPr>
      <w:r>
        <w:rPr>
          <w:rFonts w:eastAsia="黑体"/>
          <w:b/>
          <w:color w:val="auto"/>
          <w:sz w:val="24"/>
          <w:highlight w:val="none"/>
        </w:rPr>
        <w:t>（6）项目服务保证</w:t>
      </w:r>
    </w:p>
    <w:p>
      <w:pPr>
        <w:widowControl/>
        <w:snapToGrid w:val="0"/>
        <w:spacing w:line="360" w:lineRule="auto"/>
        <w:ind w:firstLine="420"/>
        <w:jc w:val="left"/>
        <w:rPr>
          <w:color w:val="auto"/>
          <w:kern w:val="0"/>
          <w:szCs w:val="21"/>
          <w:highlight w:val="none"/>
        </w:rPr>
      </w:pPr>
      <w:r>
        <w:rPr>
          <w:color w:val="auto"/>
          <w:kern w:val="0"/>
          <w:szCs w:val="21"/>
          <w:highlight w:val="none"/>
        </w:rPr>
        <w:t>项目服务方案应按照招标文件中规定的项目，结合实际，制定具体的工作实施方案。</w:t>
      </w:r>
    </w:p>
    <w:p>
      <w:pPr>
        <w:widowControl/>
        <w:snapToGrid w:val="0"/>
        <w:spacing w:line="360" w:lineRule="auto"/>
        <w:ind w:firstLine="420"/>
        <w:jc w:val="left"/>
        <w:rPr>
          <w:color w:val="auto"/>
          <w:kern w:val="0"/>
          <w:szCs w:val="21"/>
          <w:highlight w:val="none"/>
        </w:rPr>
      </w:pPr>
      <w:r>
        <w:rPr>
          <w:color w:val="auto"/>
          <w:kern w:val="0"/>
          <w:szCs w:val="21"/>
          <w:highlight w:val="none"/>
        </w:rPr>
        <w:t>项目保险服务方案所述内容应包括（但不限于）以下方面：</w:t>
      </w:r>
    </w:p>
    <w:p>
      <w:pPr>
        <w:widowControl/>
        <w:snapToGrid w:val="0"/>
        <w:spacing w:line="360" w:lineRule="auto"/>
        <w:ind w:firstLine="420"/>
        <w:jc w:val="left"/>
        <w:rPr>
          <w:b/>
          <w:color w:val="auto"/>
          <w:kern w:val="0"/>
          <w:szCs w:val="21"/>
          <w:highlight w:val="none"/>
        </w:rPr>
      </w:pPr>
      <w:r>
        <w:rPr>
          <w:rFonts w:hint="eastAsia"/>
          <w:b/>
          <w:color w:val="auto"/>
          <w:kern w:val="0"/>
          <w:szCs w:val="21"/>
          <w:highlight w:val="none"/>
        </w:rPr>
        <w:t>1</w:t>
      </w:r>
      <w:r>
        <w:rPr>
          <w:b/>
          <w:color w:val="auto"/>
          <w:kern w:val="0"/>
          <w:szCs w:val="21"/>
          <w:highlight w:val="none"/>
        </w:rPr>
        <w:t>）服务团队保证</w:t>
      </w:r>
    </w:p>
    <w:p>
      <w:pPr>
        <w:widowControl/>
        <w:snapToGrid w:val="0"/>
        <w:spacing w:line="360" w:lineRule="auto"/>
        <w:ind w:firstLine="420"/>
        <w:jc w:val="left"/>
        <w:rPr>
          <w:color w:val="auto"/>
          <w:kern w:val="0"/>
          <w:szCs w:val="21"/>
          <w:highlight w:val="none"/>
        </w:rPr>
      </w:pPr>
      <w:r>
        <w:rPr>
          <w:color w:val="auto"/>
          <w:kern w:val="0"/>
          <w:szCs w:val="21"/>
          <w:highlight w:val="none"/>
        </w:rPr>
        <w:t>1.项目服务团队构成</w:t>
      </w:r>
    </w:p>
    <w:p>
      <w:pPr>
        <w:widowControl/>
        <w:snapToGrid w:val="0"/>
        <w:spacing w:line="360" w:lineRule="auto"/>
        <w:ind w:firstLine="420"/>
        <w:jc w:val="left"/>
        <w:rPr>
          <w:color w:val="auto"/>
          <w:kern w:val="0"/>
          <w:szCs w:val="21"/>
          <w:highlight w:val="none"/>
        </w:rPr>
      </w:pPr>
      <w:r>
        <w:rPr>
          <w:color w:val="auto"/>
          <w:kern w:val="0"/>
          <w:szCs w:val="21"/>
          <w:highlight w:val="none"/>
        </w:rPr>
        <w:t>2.服务小组人员职责、主要工作内容及联系方式</w:t>
      </w:r>
    </w:p>
    <w:p>
      <w:pPr>
        <w:widowControl/>
        <w:snapToGrid w:val="0"/>
        <w:spacing w:line="360" w:lineRule="auto"/>
        <w:ind w:firstLine="420"/>
        <w:jc w:val="left"/>
        <w:rPr>
          <w:color w:val="auto"/>
          <w:kern w:val="0"/>
          <w:szCs w:val="21"/>
          <w:highlight w:val="none"/>
        </w:rPr>
      </w:pPr>
      <w:r>
        <w:rPr>
          <w:color w:val="auto"/>
          <w:kern w:val="0"/>
          <w:szCs w:val="21"/>
          <w:highlight w:val="none"/>
        </w:rPr>
        <w:t>3.服务小组主要成员工作经历说明</w:t>
      </w:r>
    </w:p>
    <w:p>
      <w:pPr>
        <w:widowControl/>
        <w:snapToGrid w:val="0"/>
        <w:spacing w:line="360" w:lineRule="auto"/>
        <w:ind w:firstLine="420"/>
        <w:jc w:val="left"/>
        <w:rPr>
          <w:color w:val="auto"/>
          <w:kern w:val="0"/>
          <w:szCs w:val="21"/>
          <w:highlight w:val="none"/>
        </w:rPr>
      </w:pPr>
      <w:r>
        <w:rPr>
          <w:color w:val="auto"/>
          <w:kern w:val="0"/>
          <w:szCs w:val="21"/>
          <w:highlight w:val="none"/>
        </w:rPr>
        <w:t>4.其他方面附加内容</w:t>
      </w:r>
    </w:p>
    <w:p>
      <w:pPr>
        <w:pStyle w:val="40"/>
        <w:rPr>
          <w:color w:val="auto"/>
          <w:highlight w:val="none"/>
        </w:rPr>
      </w:pPr>
      <w:r>
        <w:rPr>
          <w:color w:val="auto"/>
          <w:highlight w:val="none"/>
        </w:rPr>
        <w:t>项目负责人配置一览表</w:t>
      </w:r>
    </w:p>
    <w:p>
      <w:pPr>
        <w:spacing w:before="156" w:beforeLines="50" w:after="156" w:afterLines="50" w:line="360" w:lineRule="auto"/>
        <w:ind w:firstLine="420"/>
        <w:jc w:val="left"/>
        <w:rPr>
          <w:color w:val="auto"/>
          <w:szCs w:val="21"/>
          <w:highlight w:val="none"/>
        </w:rPr>
      </w:pPr>
      <w:r>
        <w:rPr>
          <w:color w:val="auto"/>
          <w:szCs w:val="21"/>
          <w:highlight w:val="none"/>
        </w:rPr>
        <w:t>投标人全称：_______________</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92"/>
        <w:gridCol w:w="1621"/>
        <w:gridCol w:w="1774"/>
        <w:gridCol w:w="1392"/>
        <w:gridCol w:w="25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5" w:hRule="atLeast"/>
          <w:tblHeader/>
          <w:jc w:val="center"/>
        </w:trPr>
        <w:tc>
          <w:tcPr>
            <w:tcW w:w="1192" w:type="dxa"/>
            <w:vAlign w:val="center"/>
          </w:tcPr>
          <w:p>
            <w:pPr>
              <w:snapToGrid w:val="0"/>
              <w:spacing w:line="276" w:lineRule="auto"/>
              <w:jc w:val="center"/>
              <w:rPr>
                <w:b/>
                <w:color w:val="auto"/>
                <w:sz w:val="18"/>
                <w:szCs w:val="18"/>
                <w:highlight w:val="none"/>
              </w:rPr>
            </w:pPr>
            <w:r>
              <w:rPr>
                <w:b/>
                <w:color w:val="auto"/>
                <w:sz w:val="18"/>
                <w:szCs w:val="18"/>
                <w:highlight w:val="none"/>
              </w:rPr>
              <w:t>序号</w:t>
            </w:r>
          </w:p>
        </w:tc>
        <w:tc>
          <w:tcPr>
            <w:tcW w:w="1621" w:type="dxa"/>
            <w:vAlign w:val="center"/>
          </w:tcPr>
          <w:p>
            <w:pPr>
              <w:snapToGrid w:val="0"/>
              <w:spacing w:line="276" w:lineRule="auto"/>
              <w:jc w:val="center"/>
              <w:rPr>
                <w:b/>
                <w:color w:val="auto"/>
                <w:sz w:val="18"/>
                <w:szCs w:val="18"/>
                <w:highlight w:val="none"/>
              </w:rPr>
            </w:pPr>
            <w:r>
              <w:rPr>
                <w:b/>
                <w:color w:val="auto"/>
                <w:sz w:val="18"/>
                <w:szCs w:val="18"/>
                <w:highlight w:val="none"/>
              </w:rPr>
              <w:t>分标</w:t>
            </w:r>
          </w:p>
          <w:p>
            <w:pPr>
              <w:snapToGrid w:val="0"/>
              <w:spacing w:line="276" w:lineRule="auto"/>
              <w:jc w:val="center"/>
              <w:rPr>
                <w:b/>
                <w:color w:val="auto"/>
                <w:sz w:val="18"/>
                <w:szCs w:val="18"/>
                <w:highlight w:val="none"/>
              </w:rPr>
            </w:pPr>
            <w:r>
              <w:rPr>
                <w:b/>
                <w:color w:val="auto"/>
                <w:sz w:val="18"/>
                <w:szCs w:val="18"/>
                <w:highlight w:val="none"/>
              </w:rPr>
              <w:t>编号</w:t>
            </w:r>
          </w:p>
        </w:tc>
        <w:tc>
          <w:tcPr>
            <w:tcW w:w="1774" w:type="dxa"/>
            <w:vAlign w:val="center"/>
          </w:tcPr>
          <w:p>
            <w:pPr>
              <w:snapToGrid w:val="0"/>
              <w:spacing w:line="276" w:lineRule="auto"/>
              <w:jc w:val="center"/>
              <w:rPr>
                <w:b/>
                <w:color w:val="auto"/>
                <w:sz w:val="18"/>
                <w:szCs w:val="18"/>
                <w:highlight w:val="none"/>
              </w:rPr>
            </w:pPr>
            <w:r>
              <w:rPr>
                <w:b/>
                <w:color w:val="auto"/>
                <w:sz w:val="18"/>
                <w:szCs w:val="18"/>
                <w:highlight w:val="none"/>
              </w:rPr>
              <w:t>分标</w:t>
            </w:r>
          </w:p>
          <w:p>
            <w:pPr>
              <w:snapToGrid w:val="0"/>
              <w:spacing w:line="276" w:lineRule="auto"/>
              <w:jc w:val="center"/>
              <w:rPr>
                <w:b/>
                <w:color w:val="auto"/>
                <w:sz w:val="18"/>
                <w:szCs w:val="18"/>
                <w:highlight w:val="none"/>
              </w:rPr>
            </w:pPr>
            <w:r>
              <w:rPr>
                <w:b/>
                <w:color w:val="auto"/>
                <w:sz w:val="18"/>
                <w:szCs w:val="18"/>
                <w:highlight w:val="none"/>
              </w:rPr>
              <w:t>名称</w:t>
            </w:r>
          </w:p>
        </w:tc>
        <w:tc>
          <w:tcPr>
            <w:tcW w:w="1392" w:type="dxa"/>
            <w:vAlign w:val="center"/>
          </w:tcPr>
          <w:p>
            <w:pPr>
              <w:snapToGrid w:val="0"/>
              <w:spacing w:line="276" w:lineRule="auto"/>
              <w:jc w:val="center"/>
              <w:rPr>
                <w:b/>
                <w:color w:val="auto"/>
                <w:sz w:val="18"/>
                <w:szCs w:val="18"/>
                <w:highlight w:val="none"/>
              </w:rPr>
            </w:pPr>
            <w:r>
              <w:rPr>
                <w:b/>
                <w:color w:val="auto"/>
                <w:sz w:val="18"/>
                <w:szCs w:val="18"/>
                <w:highlight w:val="none"/>
              </w:rPr>
              <w:t>包号</w:t>
            </w:r>
          </w:p>
        </w:tc>
        <w:tc>
          <w:tcPr>
            <w:tcW w:w="2543" w:type="dxa"/>
            <w:vAlign w:val="center"/>
          </w:tcPr>
          <w:p>
            <w:pPr>
              <w:jc w:val="center"/>
              <w:rPr>
                <w:color w:val="auto"/>
                <w:highlight w:val="none"/>
              </w:rPr>
            </w:pPr>
            <w:r>
              <w:rPr>
                <w:b/>
                <w:color w:val="auto"/>
                <w:sz w:val="18"/>
                <w:szCs w:val="18"/>
                <w:highlight w:val="none"/>
              </w:rPr>
              <w:t>项目负责人</w:t>
            </w:r>
          </w:p>
          <w:p>
            <w:pPr>
              <w:snapToGrid w:val="0"/>
              <w:spacing w:line="276" w:lineRule="auto"/>
              <w:jc w:val="center"/>
              <w:rPr>
                <w:b/>
                <w:color w:val="auto"/>
                <w:sz w:val="18"/>
                <w:szCs w:val="18"/>
                <w:highlight w:val="none"/>
              </w:rPr>
            </w:pPr>
            <w:r>
              <w:rPr>
                <w:b/>
                <w:color w:val="auto"/>
                <w:sz w:val="18"/>
                <w:szCs w:val="18"/>
                <w:highlight w:val="none"/>
              </w:rPr>
              <w:t>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0" w:hRule="atLeast"/>
          <w:jc w:val="center"/>
        </w:trPr>
        <w:tc>
          <w:tcPr>
            <w:tcW w:w="1192" w:type="dxa"/>
            <w:vAlign w:val="center"/>
          </w:tcPr>
          <w:p>
            <w:pPr>
              <w:snapToGrid w:val="0"/>
              <w:spacing w:line="276" w:lineRule="auto"/>
              <w:jc w:val="center"/>
              <w:rPr>
                <w:color w:val="auto"/>
                <w:sz w:val="18"/>
                <w:szCs w:val="18"/>
                <w:highlight w:val="none"/>
              </w:rPr>
            </w:pPr>
            <w:r>
              <w:rPr>
                <w:color w:val="auto"/>
                <w:sz w:val="18"/>
                <w:szCs w:val="18"/>
                <w:highlight w:val="none"/>
              </w:rPr>
              <w:t>1</w:t>
            </w:r>
          </w:p>
        </w:tc>
        <w:tc>
          <w:tcPr>
            <w:tcW w:w="1621" w:type="dxa"/>
            <w:vAlign w:val="center"/>
          </w:tcPr>
          <w:p>
            <w:pPr>
              <w:snapToGrid w:val="0"/>
              <w:spacing w:line="276" w:lineRule="auto"/>
              <w:jc w:val="center"/>
              <w:rPr>
                <w:i/>
                <w:color w:val="auto"/>
                <w:sz w:val="18"/>
                <w:szCs w:val="18"/>
                <w:highlight w:val="none"/>
              </w:rPr>
            </w:pPr>
          </w:p>
        </w:tc>
        <w:tc>
          <w:tcPr>
            <w:tcW w:w="1774" w:type="dxa"/>
            <w:vAlign w:val="center"/>
          </w:tcPr>
          <w:p>
            <w:pPr>
              <w:snapToGrid w:val="0"/>
              <w:spacing w:line="276" w:lineRule="auto"/>
              <w:jc w:val="center"/>
              <w:rPr>
                <w:i/>
                <w:color w:val="auto"/>
                <w:sz w:val="18"/>
                <w:szCs w:val="18"/>
                <w:highlight w:val="none"/>
              </w:rPr>
            </w:pPr>
          </w:p>
        </w:tc>
        <w:tc>
          <w:tcPr>
            <w:tcW w:w="1392" w:type="dxa"/>
            <w:vAlign w:val="center"/>
          </w:tcPr>
          <w:p>
            <w:pPr>
              <w:snapToGrid w:val="0"/>
              <w:spacing w:line="276" w:lineRule="auto"/>
              <w:jc w:val="center"/>
              <w:rPr>
                <w:i/>
                <w:color w:val="auto"/>
                <w:sz w:val="18"/>
                <w:szCs w:val="18"/>
                <w:highlight w:val="none"/>
              </w:rPr>
            </w:pPr>
          </w:p>
        </w:tc>
        <w:tc>
          <w:tcPr>
            <w:tcW w:w="2543" w:type="dxa"/>
            <w:vAlign w:val="center"/>
          </w:tcPr>
          <w:p>
            <w:pPr>
              <w:snapToGrid w:val="0"/>
              <w:spacing w:line="276" w:lineRule="auto"/>
              <w:jc w:val="center"/>
              <w:rPr>
                <w:i/>
                <w:color w:val="auto"/>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1" w:hRule="atLeast"/>
          <w:jc w:val="center"/>
        </w:trPr>
        <w:tc>
          <w:tcPr>
            <w:tcW w:w="1192" w:type="dxa"/>
            <w:vAlign w:val="center"/>
          </w:tcPr>
          <w:p>
            <w:pPr>
              <w:snapToGrid w:val="0"/>
              <w:spacing w:line="276" w:lineRule="auto"/>
              <w:jc w:val="center"/>
              <w:rPr>
                <w:color w:val="auto"/>
                <w:sz w:val="18"/>
                <w:szCs w:val="18"/>
                <w:highlight w:val="none"/>
              </w:rPr>
            </w:pPr>
            <w:r>
              <w:rPr>
                <w:color w:val="auto"/>
                <w:sz w:val="18"/>
                <w:szCs w:val="18"/>
                <w:highlight w:val="none"/>
              </w:rPr>
              <w:t>2</w:t>
            </w:r>
          </w:p>
        </w:tc>
        <w:tc>
          <w:tcPr>
            <w:tcW w:w="1621" w:type="dxa"/>
            <w:vAlign w:val="center"/>
          </w:tcPr>
          <w:p>
            <w:pPr>
              <w:snapToGrid w:val="0"/>
              <w:spacing w:line="276" w:lineRule="auto"/>
              <w:jc w:val="center"/>
              <w:rPr>
                <w:i/>
                <w:color w:val="auto"/>
                <w:sz w:val="18"/>
                <w:szCs w:val="18"/>
                <w:highlight w:val="none"/>
              </w:rPr>
            </w:pPr>
          </w:p>
        </w:tc>
        <w:tc>
          <w:tcPr>
            <w:tcW w:w="1774" w:type="dxa"/>
            <w:vAlign w:val="center"/>
          </w:tcPr>
          <w:p>
            <w:pPr>
              <w:snapToGrid w:val="0"/>
              <w:spacing w:line="276" w:lineRule="auto"/>
              <w:jc w:val="center"/>
              <w:rPr>
                <w:i/>
                <w:color w:val="auto"/>
                <w:sz w:val="18"/>
                <w:szCs w:val="18"/>
                <w:highlight w:val="none"/>
              </w:rPr>
            </w:pPr>
          </w:p>
        </w:tc>
        <w:tc>
          <w:tcPr>
            <w:tcW w:w="1392" w:type="dxa"/>
            <w:vAlign w:val="center"/>
          </w:tcPr>
          <w:p>
            <w:pPr>
              <w:snapToGrid w:val="0"/>
              <w:spacing w:line="276" w:lineRule="auto"/>
              <w:jc w:val="center"/>
              <w:rPr>
                <w:i/>
                <w:color w:val="auto"/>
                <w:sz w:val="18"/>
                <w:szCs w:val="18"/>
                <w:highlight w:val="none"/>
              </w:rPr>
            </w:pPr>
          </w:p>
        </w:tc>
        <w:tc>
          <w:tcPr>
            <w:tcW w:w="2543" w:type="dxa"/>
            <w:vAlign w:val="center"/>
          </w:tcPr>
          <w:p>
            <w:pPr>
              <w:snapToGrid w:val="0"/>
              <w:spacing w:line="276" w:lineRule="auto"/>
              <w:jc w:val="center"/>
              <w:rPr>
                <w:i/>
                <w:color w:val="auto"/>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jc w:val="center"/>
        </w:trPr>
        <w:tc>
          <w:tcPr>
            <w:tcW w:w="1192" w:type="dxa"/>
            <w:vAlign w:val="center"/>
          </w:tcPr>
          <w:p>
            <w:pPr>
              <w:snapToGrid w:val="0"/>
              <w:spacing w:line="276" w:lineRule="auto"/>
              <w:jc w:val="center"/>
              <w:rPr>
                <w:color w:val="auto"/>
                <w:sz w:val="18"/>
                <w:szCs w:val="18"/>
                <w:highlight w:val="none"/>
              </w:rPr>
            </w:pPr>
            <w:r>
              <w:rPr>
                <w:color w:val="auto"/>
                <w:sz w:val="18"/>
                <w:szCs w:val="18"/>
                <w:highlight w:val="none"/>
              </w:rPr>
              <w:t>…</w:t>
            </w:r>
          </w:p>
        </w:tc>
        <w:tc>
          <w:tcPr>
            <w:tcW w:w="1621" w:type="dxa"/>
          </w:tcPr>
          <w:p>
            <w:pPr>
              <w:snapToGrid w:val="0"/>
              <w:spacing w:line="276" w:lineRule="auto"/>
              <w:jc w:val="center"/>
              <w:rPr>
                <w:color w:val="auto"/>
                <w:sz w:val="18"/>
                <w:szCs w:val="18"/>
                <w:highlight w:val="none"/>
              </w:rPr>
            </w:pPr>
          </w:p>
        </w:tc>
        <w:tc>
          <w:tcPr>
            <w:tcW w:w="1774" w:type="dxa"/>
            <w:vAlign w:val="center"/>
          </w:tcPr>
          <w:p>
            <w:pPr>
              <w:snapToGrid w:val="0"/>
              <w:spacing w:line="276" w:lineRule="auto"/>
              <w:jc w:val="center"/>
              <w:rPr>
                <w:color w:val="auto"/>
                <w:sz w:val="18"/>
                <w:szCs w:val="18"/>
                <w:highlight w:val="none"/>
              </w:rPr>
            </w:pPr>
          </w:p>
        </w:tc>
        <w:tc>
          <w:tcPr>
            <w:tcW w:w="1392" w:type="dxa"/>
            <w:vAlign w:val="center"/>
          </w:tcPr>
          <w:p>
            <w:pPr>
              <w:snapToGrid w:val="0"/>
              <w:spacing w:line="276" w:lineRule="auto"/>
              <w:jc w:val="center"/>
              <w:rPr>
                <w:color w:val="auto"/>
                <w:sz w:val="18"/>
                <w:szCs w:val="18"/>
                <w:highlight w:val="none"/>
              </w:rPr>
            </w:pPr>
          </w:p>
        </w:tc>
        <w:tc>
          <w:tcPr>
            <w:tcW w:w="2543" w:type="dxa"/>
            <w:vAlign w:val="center"/>
          </w:tcPr>
          <w:p>
            <w:pPr>
              <w:snapToGrid w:val="0"/>
              <w:spacing w:line="276" w:lineRule="auto"/>
              <w:jc w:val="center"/>
              <w:rPr>
                <w:color w:val="auto"/>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jc w:val="center"/>
        </w:trPr>
        <w:tc>
          <w:tcPr>
            <w:tcW w:w="1192" w:type="dxa"/>
            <w:vAlign w:val="center"/>
          </w:tcPr>
          <w:p>
            <w:pPr>
              <w:snapToGrid w:val="0"/>
              <w:spacing w:line="276" w:lineRule="auto"/>
              <w:rPr>
                <w:color w:val="auto"/>
                <w:sz w:val="18"/>
                <w:szCs w:val="18"/>
                <w:highlight w:val="none"/>
              </w:rPr>
            </w:pPr>
          </w:p>
        </w:tc>
        <w:tc>
          <w:tcPr>
            <w:tcW w:w="1621" w:type="dxa"/>
          </w:tcPr>
          <w:p>
            <w:pPr>
              <w:snapToGrid w:val="0"/>
              <w:spacing w:line="276" w:lineRule="auto"/>
              <w:jc w:val="center"/>
              <w:rPr>
                <w:color w:val="auto"/>
                <w:sz w:val="18"/>
                <w:szCs w:val="18"/>
                <w:highlight w:val="none"/>
              </w:rPr>
            </w:pPr>
          </w:p>
        </w:tc>
        <w:tc>
          <w:tcPr>
            <w:tcW w:w="1774" w:type="dxa"/>
            <w:vAlign w:val="center"/>
          </w:tcPr>
          <w:p>
            <w:pPr>
              <w:snapToGrid w:val="0"/>
              <w:spacing w:line="276" w:lineRule="auto"/>
              <w:jc w:val="center"/>
              <w:rPr>
                <w:color w:val="auto"/>
                <w:sz w:val="18"/>
                <w:szCs w:val="18"/>
                <w:highlight w:val="none"/>
              </w:rPr>
            </w:pPr>
          </w:p>
        </w:tc>
        <w:tc>
          <w:tcPr>
            <w:tcW w:w="1392" w:type="dxa"/>
            <w:vAlign w:val="center"/>
          </w:tcPr>
          <w:p>
            <w:pPr>
              <w:snapToGrid w:val="0"/>
              <w:spacing w:line="276" w:lineRule="auto"/>
              <w:jc w:val="center"/>
              <w:rPr>
                <w:color w:val="auto"/>
                <w:sz w:val="18"/>
                <w:szCs w:val="18"/>
                <w:highlight w:val="none"/>
              </w:rPr>
            </w:pPr>
          </w:p>
        </w:tc>
        <w:tc>
          <w:tcPr>
            <w:tcW w:w="2543" w:type="dxa"/>
            <w:vAlign w:val="center"/>
          </w:tcPr>
          <w:p>
            <w:pPr>
              <w:snapToGrid w:val="0"/>
              <w:spacing w:line="276" w:lineRule="auto"/>
              <w:jc w:val="center"/>
              <w:rPr>
                <w:color w:val="auto"/>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jc w:val="center"/>
        </w:trPr>
        <w:tc>
          <w:tcPr>
            <w:tcW w:w="1192" w:type="dxa"/>
            <w:vAlign w:val="center"/>
          </w:tcPr>
          <w:p>
            <w:pPr>
              <w:snapToGrid w:val="0"/>
              <w:spacing w:line="276" w:lineRule="auto"/>
              <w:jc w:val="center"/>
              <w:rPr>
                <w:color w:val="auto"/>
                <w:sz w:val="18"/>
                <w:szCs w:val="18"/>
                <w:highlight w:val="none"/>
              </w:rPr>
            </w:pPr>
          </w:p>
        </w:tc>
        <w:tc>
          <w:tcPr>
            <w:tcW w:w="1621" w:type="dxa"/>
          </w:tcPr>
          <w:p>
            <w:pPr>
              <w:snapToGrid w:val="0"/>
              <w:spacing w:line="276" w:lineRule="auto"/>
              <w:jc w:val="center"/>
              <w:rPr>
                <w:color w:val="auto"/>
                <w:sz w:val="18"/>
                <w:szCs w:val="18"/>
                <w:highlight w:val="none"/>
              </w:rPr>
            </w:pPr>
          </w:p>
        </w:tc>
        <w:tc>
          <w:tcPr>
            <w:tcW w:w="1774" w:type="dxa"/>
            <w:vAlign w:val="center"/>
          </w:tcPr>
          <w:p>
            <w:pPr>
              <w:snapToGrid w:val="0"/>
              <w:spacing w:line="276" w:lineRule="auto"/>
              <w:jc w:val="center"/>
              <w:rPr>
                <w:color w:val="auto"/>
                <w:sz w:val="18"/>
                <w:szCs w:val="18"/>
                <w:highlight w:val="none"/>
              </w:rPr>
            </w:pPr>
          </w:p>
        </w:tc>
        <w:tc>
          <w:tcPr>
            <w:tcW w:w="1392" w:type="dxa"/>
            <w:vAlign w:val="center"/>
          </w:tcPr>
          <w:p>
            <w:pPr>
              <w:snapToGrid w:val="0"/>
              <w:spacing w:line="276" w:lineRule="auto"/>
              <w:jc w:val="center"/>
              <w:rPr>
                <w:color w:val="auto"/>
                <w:sz w:val="18"/>
                <w:szCs w:val="18"/>
                <w:highlight w:val="none"/>
              </w:rPr>
            </w:pPr>
          </w:p>
        </w:tc>
        <w:tc>
          <w:tcPr>
            <w:tcW w:w="2543" w:type="dxa"/>
            <w:vAlign w:val="center"/>
          </w:tcPr>
          <w:p>
            <w:pPr>
              <w:snapToGrid w:val="0"/>
              <w:spacing w:line="276" w:lineRule="auto"/>
              <w:jc w:val="center"/>
              <w:rPr>
                <w:color w:val="auto"/>
                <w:sz w:val="18"/>
                <w:szCs w:val="18"/>
                <w:highlight w:val="none"/>
              </w:rPr>
            </w:pPr>
          </w:p>
        </w:tc>
      </w:tr>
    </w:tbl>
    <w:p>
      <w:pPr>
        <w:spacing w:before="156" w:beforeLines="50" w:after="156" w:afterLines="50"/>
        <w:rPr>
          <w:color w:val="auto"/>
          <w:highlight w:val="none"/>
        </w:rPr>
      </w:pPr>
      <w:r>
        <w:rPr>
          <w:color w:val="auto"/>
          <w:highlight w:val="none"/>
        </w:rPr>
        <w:t>注：1. 本表应</w:t>
      </w:r>
      <w:r>
        <w:rPr>
          <w:b/>
          <w:color w:val="auto"/>
          <w:highlight w:val="none"/>
        </w:rPr>
        <w:t>按分标为单位</w:t>
      </w:r>
      <w:r>
        <w:rPr>
          <w:color w:val="auto"/>
          <w:highlight w:val="none"/>
        </w:rPr>
        <w:t>填写，包含投标人所投</w:t>
      </w:r>
      <w:r>
        <w:rPr>
          <w:b/>
          <w:color w:val="auto"/>
          <w:highlight w:val="none"/>
        </w:rPr>
        <w:t>所有包</w:t>
      </w:r>
      <w:r>
        <w:rPr>
          <w:color w:val="auto"/>
          <w:highlight w:val="none"/>
        </w:rPr>
        <w:t>的</w:t>
      </w:r>
      <w:r>
        <w:rPr>
          <w:b/>
          <w:color w:val="auto"/>
          <w:szCs w:val="21"/>
          <w:highlight w:val="none"/>
        </w:rPr>
        <w:t>项目关键人员</w:t>
      </w:r>
      <w:r>
        <w:rPr>
          <w:color w:val="auto"/>
          <w:highlight w:val="none"/>
        </w:rPr>
        <w:t>配置信息。</w:t>
      </w:r>
    </w:p>
    <w:p>
      <w:pPr>
        <w:spacing w:before="156" w:beforeLines="50" w:after="156" w:afterLines="50"/>
        <w:rPr>
          <w:color w:val="auto"/>
          <w:highlight w:val="none"/>
        </w:rPr>
      </w:pPr>
      <w:r>
        <w:rPr>
          <w:color w:val="auto"/>
          <w:highlight w:val="none"/>
        </w:rPr>
        <w:tab/>
      </w:r>
      <w:r>
        <w:rPr>
          <w:color w:val="auto"/>
          <w:highlight w:val="none"/>
        </w:rPr>
        <w:t>2. 本表应按包号从小到大顺序填写。每包填写一行。</w:t>
      </w:r>
    </w:p>
    <w:p>
      <w:pPr>
        <w:spacing w:before="156" w:beforeLines="50" w:after="156" w:afterLines="50"/>
        <w:rPr>
          <w:color w:val="auto"/>
          <w:highlight w:val="none"/>
        </w:rPr>
      </w:pPr>
      <w:r>
        <w:rPr>
          <w:color w:val="auto"/>
          <w:highlight w:val="none"/>
        </w:rPr>
        <w:tab/>
      </w:r>
      <w:r>
        <w:rPr>
          <w:color w:val="auto"/>
          <w:highlight w:val="none"/>
        </w:rPr>
        <w:t>3. 如出现拟任人员有</w:t>
      </w:r>
      <w:r>
        <w:rPr>
          <w:b/>
          <w:color w:val="auto"/>
          <w:highlight w:val="none"/>
        </w:rPr>
        <w:t>重名的情况，请在姓名栏以字母区分</w:t>
      </w:r>
      <w:r>
        <w:rPr>
          <w:color w:val="auto"/>
          <w:highlight w:val="none"/>
        </w:rPr>
        <w:t>，例如“张三A”和“张三B”。</w:t>
      </w:r>
    </w:p>
    <w:p>
      <w:pPr>
        <w:adjustRightInd w:val="0"/>
        <w:snapToGrid w:val="0"/>
        <w:rPr>
          <w:rFonts w:eastAsia="黑体"/>
          <w:b/>
          <w:color w:val="auto"/>
          <w:sz w:val="24"/>
          <w:highlight w:val="none"/>
        </w:rPr>
      </w:pPr>
      <w:r>
        <w:rPr>
          <w:rFonts w:eastAsia="黑体"/>
          <w:b/>
          <w:color w:val="auto"/>
          <w:sz w:val="24"/>
          <w:highlight w:val="none"/>
        </w:rPr>
        <w:t xml:space="preserve"> </w:t>
      </w:r>
    </w:p>
    <w:p>
      <w:pPr>
        <w:adjustRightInd w:val="0"/>
        <w:snapToGrid w:val="0"/>
        <w:rPr>
          <w:rFonts w:eastAsia="黑体"/>
          <w:b/>
          <w:color w:val="auto"/>
          <w:sz w:val="24"/>
          <w:highlight w:val="none"/>
        </w:rPr>
      </w:pPr>
    </w:p>
    <w:p>
      <w:pPr>
        <w:pStyle w:val="40"/>
        <w:rPr>
          <w:color w:val="auto"/>
          <w:highlight w:val="none"/>
        </w:rPr>
      </w:pPr>
      <w:r>
        <w:rPr>
          <w:color w:val="auto"/>
          <w:highlight w:val="none"/>
        </w:rPr>
        <w:t>项目负责人简历表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024"/>
        <w:gridCol w:w="738"/>
        <w:gridCol w:w="1479"/>
        <w:gridCol w:w="1483"/>
        <w:gridCol w:w="983"/>
        <w:gridCol w:w="1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姓名</w:t>
            </w:r>
          </w:p>
        </w:tc>
        <w:tc>
          <w:tcPr>
            <w:tcW w:w="1762" w:type="dxa"/>
            <w:gridSpan w:val="2"/>
          </w:tcPr>
          <w:p>
            <w:pPr>
              <w:pStyle w:val="41"/>
              <w:snapToGrid w:val="0"/>
              <w:spacing w:before="60" w:after="60"/>
              <w:jc w:val="center"/>
              <w:rPr>
                <w:rFonts w:ascii="Times New Roman" w:hAnsi="Times New Roman"/>
                <w:color w:val="auto"/>
                <w:sz w:val="18"/>
                <w:highlight w:val="none"/>
              </w:rPr>
            </w:pPr>
          </w:p>
        </w:tc>
        <w:tc>
          <w:tcPr>
            <w:tcW w:w="1479"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性别</w:t>
            </w:r>
          </w:p>
        </w:tc>
        <w:tc>
          <w:tcPr>
            <w:tcW w:w="1483" w:type="dxa"/>
            <w:vAlign w:val="center"/>
          </w:tcPr>
          <w:p>
            <w:pPr>
              <w:pStyle w:val="41"/>
              <w:snapToGrid w:val="0"/>
              <w:spacing w:before="60" w:after="60"/>
              <w:jc w:val="center"/>
              <w:rPr>
                <w:rFonts w:ascii="Times New Roman" w:hAnsi="Times New Roman"/>
                <w:color w:val="auto"/>
                <w:sz w:val="18"/>
                <w:highlight w:val="none"/>
              </w:rPr>
            </w:pPr>
          </w:p>
        </w:tc>
        <w:tc>
          <w:tcPr>
            <w:tcW w:w="983"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年龄</w:t>
            </w:r>
          </w:p>
        </w:tc>
        <w:tc>
          <w:tcPr>
            <w:tcW w:w="1525" w:type="dxa"/>
            <w:vAlign w:val="center"/>
          </w:tcPr>
          <w:p>
            <w:pPr>
              <w:pStyle w:val="41"/>
              <w:snapToGrid w:val="0"/>
              <w:spacing w:before="60" w:after="60"/>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职务</w:t>
            </w:r>
          </w:p>
        </w:tc>
        <w:tc>
          <w:tcPr>
            <w:tcW w:w="1762" w:type="dxa"/>
            <w:gridSpan w:val="2"/>
          </w:tcPr>
          <w:p>
            <w:pPr>
              <w:pStyle w:val="41"/>
              <w:snapToGrid w:val="0"/>
              <w:spacing w:before="60" w:after="60"/>
              <w:jc w:val="center"/>
              <w:rPr>
                <w:rFonts w:ascii="Times New Roman" w:hAnsi="Times New Roman"/>
                <w:color w:val="auto"/>
                <w:sz w:val="18"/>
                <w:highlight w:val="none"/>
              </w:rPr>
            </w:pPr>
          </w:p>
        </w:tc>
        <w:tc>
          <w:tcPr>
            <w:tcW w:w="1479"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职称</w:t>
            </w:r>
          </w:p>
        </w:tc>
        <w:tc>
          <w:tcPr>
            <w:tcW w:w="1483" w:type="dxa"/>
            <w:vAlign w:val="center"/>
          </w:tcPr>
          <w:p>
            <w:pPr>
              <w:pStyle w:val="41"/>
              <w:snapToGrid w:val="0"/>
              <w:spacing w:before="60" w:after="60"/>
              <w:jc w:val="center"/>
              <w:rPr>
                <w:rFonts w:ascii="Times New Roman" w:hAnsi="Times New Roman"/>
                <w:color w:val="auto"/>
                <w:sz w:val="18"/>
                <w:highlight w:val="none"/>
              </w:rPr>
            </w:pPr>
          </w:p>
        </w:tc>
        <w:tc>
          <w:tcPr>
            <w:tcW w:w="983"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学历</w:t>
            </w:r>
          </w:p>
        </w:tc>
        <w:tc>
          <w:tcPr>
            <w:tcW w:w="1525" w:type="dxa"/>
            <w:vAlign w:val="center"/>
          </w:tcPr>
          <w:p>
            <w:pPr>
              <w:pStyle w:val="41"/>
              <w:snapToGrid w:val="0"/>
              <w:spacing w:before="60" w:after="60"/>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参加工作时间</w:t>
            </w:r>
          </w:p>
        </w:tc>
        <w:tc>
          <w:tcPr>
            <w:tcW w:w="3241" w:type="dxa"/>
            <w:gridSpan w:val="3"/>
          </w:tcPr>
          <w:p>
            <w:pPr>
              <w:pStyle w:val="41"/>
              <w:snapToGrid w:val="0"/>
              <w:spacing w:before="60" w:after="60"/>
              <w:jc w:val="center"/>
              <w:rPr>
                <w:rFonts w:ascii="Times New Roman" w:hAnsi="Times New Roman"/>
                <w:color w:val="auto"/>
                <w:sz w:val="18"/>
                <w:highlight w:val="none"/>
              </w:rPr>
            </w:pPr>
          </w:p>
        </w:tc>
        <w:tc>
          <w:tcPr>
            <w:tcW w:w="2466" w:type="dxa"/>
            <w:gridSpan w:val="2"/>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从事</w:t>
            </w:r>
            <w:r>
              <w:rPr>
                <w:rFonts w:ascii="Times New Roman" w:hAnsi="Times New Roman"/>
                <w:color w:val="auto"/>
                <w:sz w:val="18"/>
                <w:highlight w:val="none"/>
                <w:lang w:eastAsia="zh-CN"/>
              </w:rPr>
              <w:t>同类</w:t>
            </w:r>
            <w:r>
              <w:rPr>
                <w:rFonts w:ascii="Times New Roman" w:hAnsi="Times New Roman"/>
                <w:color w:val="auto"/>
                <w:sz w:val="18"/>
                <w:highlight w:val="none"/>
              </w:rPr>
              <w:t>项目年限</w:t>
            </w:r>
          </w:p>
        </w:tc>
        <w:tc>
          <w:tcPr>
            <w:tcW w:w="1525" w:type="dxa"/>
            <w:vAlign w:val="center"/>
          </w:tcPr>
          <w:p>
            <w:pPr>
              <w:pStyle w:val="41"/>
              <w:snapToGrid w:val="0"/>
              <w:spacing w:before="60" w:after="60"/>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522" w:type="dxa"/>
            <w:gridSpan w:val="7"/>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已完工程项目情况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项目名称</w:t>
            </w:r>
          </w:p>
        </w:tc>
        <w:tc>
          <w:tcPr>
            <w:tcW w:w="1024" w:type="dxa"/>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工程电压等级</w:t>
            </w:r>
          </w:p>
        </w:tc>
        <w:tc>
          <w:tcPr>
            <w:tcW w:w="738"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建设规模</w:t>
            </w:r>
          </w:p>
        </w:tc>
        <w:tc>
          <w:tcPr>
            <w:tcW w:w="1479" w:type="dxa"/>
            <w:vAlign w:val="center"/>
          </w:tcPr>
          <w:p>
            <w:pPr>
              <w:pStyle w:val="41"/>
              <w:snapToGrid w:val="0"/>
              <w:spacing w:before="60" w:after="60"/>
              <w:jc w:val="center"/>
              <w:rPr>
                <w:rFonts w:ascii="Times New Roman" w:hAnsi="Times New Roman"/>
                <w:color w:val="auto"/>
                <w:sz w:val="18"/>
                <w:highlight w:val="none"/>
                <w:lang w:eastAsia="zh-CN"/>
              </w:rPr>
            </w:pPr>
            <w:r>
              <w:rPr>
                <w:rFonts w:ascii="Times New Roman" w:hAnsi="Times New Roman"/>
                <w:color w:val="auto"/>
                <w:sz w:val="18"/>
                <w:highlight w:val="none"/>
                <w:lang w:eastAsia="zh-CN"/>
              </w:rPr>
              <w:t>合同签订日期/</w:t>
            </w:r>
          </w:p>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竣工日期</w:t>
            </w:r>
          </w:p>
        </w:tc>
        <w:tc>
          <w:tcPr>
            <w:tcW w:w="1483" w:type="dxa"/>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担负的技术职务</w:t>
            </w:r>
          </w:p>
        </w:tc>
        <w:tc>
          <w:tcPr>
            <w:tcW w:w="2508" w:type="dxa"/>
            <w:gridSpan w:val="2"/>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获奖情况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pPr>
              <w:pStyle w:val="41"/>
              <w:snapToGrid w:val="0"/>
              <w:spacing w:before="60" w:after="60"/>
              <w:jc w:val="center"/>
              <w:rPr>
                <w:rFonts w:ascii="Times New Roman" w:hAnsi="Times New Roman"/>
                <w:color w:val="auto"/>
                <w:sz w:val="18"/>
                <w:highlight w:val="none"/>
              </w:rPr>
            </w:pPr>
          </w:p>
        </w:tc>
        <w:tc>
          <w:tcPr>
            <w:tcW w:w="1024" w:type="dxa"/>
          </w:tcPr>
          <w:p>
            <w:pPr>
              <w:pStyle w:val="41"/>
              <w:snapToGrid w:val="0"/>
              <w:spacing w:before="60" w:after="60"/>
              <w:jc w:val="center"/>
              <w:rPr>
                <w:rFonts w:ascii="Times New Roman" w:hAnsi="Times New Roman"/>
                <w:color w:val="auto"/>
                <w:sz w:val="18"/>
                <w:highlight w:val="none"/>
              </w:rPr>
            </w:pPr>
          </w:p>
        </w:tc>
        <w:tc>
          <w:tcPr>
            <w:tcW w:w="738" w:type="dxa"/>
            <w:vAlign w:val="center"/>
          </w:tcPr>
          <w:p>
            <w:pPr>
              <w:pStyle w:val="41"/>
              <w:snapToGrid w:val="0"/>
              <w:spacing w:before="60" w:after="60"/>
              <w:jc w:val="center"/>
              <w:rPr>
                <w:rFonts w:ascii="Times New Roman" w:hAnsi="Times New Roman"/>
                <w:color w:val="auto"/>
                <w:sz w:val="18"/>
                <w:highlight w:val="none"/>
              </w:rPr>
            </w:pPr>
          </w:p>
        </w:tc>
        <w:tc>
          <w:tcPr>
            <w:tcW w:w="1479" w:type="dxa"/>
            <w:vAlign w:val="center"/>
          </w:tcPr>
          <w:p>
            <w:pPr>
              <w:pStyle w:val="41"/>
              <w:snapToGrid w:val="0"/>
              <w:spacing w:before="60" w:after="60"/>
              <w:jc w:val="center"/>
              <w:rPr>
                <w:rFonts w:ascii="Times New Roman" w:hAnsi="Times New Roman"/>
                <w:color w:val="auto"/>
                <w:sz w:val="18"/>
                <w:highlight w:val="none"/>
              </w:rPr>
            </w:pPr>
          </w:p>
        </w:tc>
        <w:tc>
          <w:tcPr>
            <w:tcW w:w="1483" w:type="dxa"/>
            <w:vAlign w:val="center"/>
          </w:tcPr>
          <w:p>
            <w:pPr>
              <w:pStyle w:val="41"/>
              <w:snapToGrid w:val="0"/>
              <w:spacing w:before="60" w:after="60"/>
              <w:jc w:val="center"/>
              <w:rPr>
                <w:rFonts w:ascii="Times New Roman" w:hAnsi="Times New Roman"/>
                <w:color w:val="auto"/>
                <w:sz w:val="18"/>
                <w:highlight w:val="none"/>
              </w:rPr>
            </w:pPr>
          </w:p>
        </w:tc>
        <w:tc>
          <w:tcPr>
            <w:tcW w:w="2508" w:type="dxa"/>
            <w:gridSpan w:val="2"/>
            <w:vAlign w:val="center"/>
          </w:tcPr>
          <w:p>
            <w:pPr>
              <w:pStyle w:val="41"/>
              <w:snapToGrid w:val="0"/>
              <w:spacing w:before="60" w:after="60"/>
              <w:jc w:val="center"/>
              <w:rPr>
                <w:rFonts w:ascii="Times New Roman" w:hAnsi="Times New Roman"/>
                <w:color w:val="auto"/>
                <w:sz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pPr>
              <w:pStyle w:val="41"/>
              <w:snapToGrid w:val="0"/>
              <w:spacing w:before="60" w:after="60"/>
              <w:jc w:val="center"/>
              <w:rPr>
                <w:rFonts w:ascii="Times New Roman" w:hAnsi="Times New Roman"/>
                <w:color w:val="auto"/>
                <w:sz w:val="18"/>
                <w:highlight w:val="none"/>
              </w:rPr>
            </w:pPr>
          </w:p>
        </w:tc>
        <w:tc>
          <w:tcPr>
            <w:tcW w:w="1024" w:type="dxa"/>
          </w:tcPr>
          <w:p>
            <w:pPr>
              <w:pStyle w:val="41"/>
              <w:snapToGrid w:val="0"/>
              <w:spacing w:before="60" w:after="60"/>
              <w:jc w:val="center"/>
              <w:rPr>
                <w:rFonts w:ascii="Times New Roman" w:hAnsi="Times New Roman"/>
                <w:color w:val="auto"/>
                <w:sz w:val="18"/>
                <w:highlight w:val="none"/>
              </w:rPr>
            </w:pPr>
          </w:p>
        </w:tc>
        <w:tc>
          <w:tcPr>
            <w:tcW w:w="738" w:type="dxa"/>
            <w:vAlign w:val="center"/>
          </w:tcPr>
          <w:p>
            <w:pPr>
              <w:pStyle w:val="41"/>
              <w:snapToGrid w:val="0"/>
              <w:spacing w:before="60" w:after="60"/>
              <w:jc w:val="center"/>
              <w:rPr>
                <w:rFonts w:ascii="Times New Roman" w:hAnsi="Times New Roman"/>
                <w:color w:val="auto"/>
                <w:sz w:val="18"/>
                <w:highlight w:val="none"/>
              </w:rPr>
            </w:pPr>
          </w:p>
        </w:tc>
        <w:tc>
          <w:tcPr>
            <w:tcW w:w="1479" w:type="dxa"/>
            <w:vAlign w:val="center"/>
          </w:tcPr>
          <w:p>
            <w:pPr>
              <w:pStyle w:val="41"/>
              <w:snapToGrid w:val="0"/>
              <w:spacing w:before="60" w:after="60"/>
              <w:jc w:val="center"/>
              <w:rPr>
                <w:rFonts w:ascii="Times New Roman" w:hAnsi="Times New Roman"/>
                <w:color w:val="auto"/>
                <w:sz w:val="18"/>
                <w:highlight w:val="none"/>
              </w:rPr>
            </w:pPr>
          </w:p>
        </w:tc>
        <w:tc>
          <w:tcPr>
            <w:tcW w:w="1483" w:type="dxa"/>
            <w:vAlign w:val="center"/>
          </w:tcPr>
          <w:p>
            <w:pPr>
              <w:pStyle w:val="41"/>
              <w:snapToGrid w:val="0"/>
              <w:spacing w:before="60" w:after="60"/>
              <w:jc w:val="center"/>
              <w:rPr>
                <w:rFonts w:ascii="Times New Roman" w:hAnsi="Times New Roman"/>
                <w:color w:val="auto"/>
                <w:sz w:val="18"/>
                <w:highlight w:val="none"/>
              </w:rPr>
            </w:pPr>
          </w:p>
        </w:tc>
        <w:tc>
          <w:tcPr>
            <w:tcW w:w="2508" w:type="dxa"/>
            <w:gridSpan w:val="2"/>
            <w:vAlign w:val="center"/>
          </w:tcPr>
          <w:p>
            <w:pPr>
              <w:pStyle w:val="41"/>
              <w:snapToGrid w:val="0"/>
              <w:spacing w:before="60" w:after="60"/>
              <w:jc w:val="center"/>
              <w:rPr>
                <w:rFonts w:ascii="Times New Roman" w:hAnsi="Times New Roman"/>
                <w:color w:val="auto"/>
                <w:sz w:val="18"/>
                <w:highlight w:val="none"/>
              </w:rPr>
            </w:pPr>
          </w:p>
        </w:tc>
      </w:tr>
    </w:tbl>
    <w:p>
      <w:pPr>
        <w:pStyle w:val="5"/>
        <w:rPr>
          <w:b/>
          <w:bCs/>
          <w:color w:val="auto"/>
          <w:szCs w:val="21"/>
          <w:highlight w:val="none"/>
        </w:rPr>
      </w:pPr>
      <w:r>
        <w:rPr>
          <w:rFonts w:hint="eastAsia"/>
          <w:b/>
          <w:bCs/>
          <w:color w:val="auto"/>
          <w:szCs w:val="21"/>
          <w:highlight w:val="none"/>
        </w:rPr>
        <w:t>项目负责人应附证明材料</w:t>
      </w:r>
      <w:r>
        <w:rPr>
          <w:rFonts w:hint="eastAsia"/>
          <w:b/>
          <w:color w:val="auto"/>
          <w:szCs w:val="21"/>
          <w:highlight w:val="none"/>
        </w:rPr>
        <w:t>（</w:t>
      </w:r>
      <w:r>
        <w:rPr>
          <w:rFonts w:hint="eastAsia"/>
          <w:color w:val="auto"/>
          <w:szCs w:val="21"/>
          <w:highlight w:val="none"/>
        </w:rPr>
        <w:t>所提供材料需包含资格条件要求及评分标准要求</w:t>
      </w:r>
      <w:r>
        <w:rPr>
          <w:rFonts w:hint="eastAsia"/>
          <w:b/>
          <w:color w:val="auto"/>
          <w:szCs w:val="21"/>
          <w:highlight w:val="none"/>
        </w:rPr>
        <w:t>）</w:t>
      </w:r>
      <w:r>
        <w:rPr>
          <w:rFonts w:hint="eastAsia"/>
          <w:b/>
          <w:bCs/>
          <w:color w:val="auto"/>
          <w:szCs w:val="21"/>
          <w:highlight w:val="none"/>
        </w:rPr>
        <w:t>：</w:t>
      </w:r>
    </w:p>
    <w:p>
      <w:pPr>
        <w:pStyle w:val="5"/>
        <w:rPr>
          <w:color w:val="auto"/>
          <w:szCs w:val="21"/>
          <w:highlight w:val="none"/>
        </w:rPr>
      </w:pPr>
      <w:r>
        <w:rPr>
          <w:rFonts w:hint="eastAsia"/>
          <w:color w:val="auto"/>
          <w:szCs w:val="21"/>
          <w:highlight w:val="none"/>
        </w:rPr>
        <w:t>（1）资质证书扫描件（含有效期页、证书编号页），包括但不限于电力专业工程师或造价师。</w:t>
      </w:r>
    </w:p>
    <w:p>
      <w:pPr>
        <w:pStyle w:val="5"/>
        <w:rPr>
          <w:color w:val="auto"/>
          <w:szCs w:val="21"/>
          <w:highlight w:val="none"/>
        </w:rPr>
      </w:pPr>
      <w:r>
        <w:rPr>
          <w:rFonts w:hint="eastAsia"/>
          <w:color w:val="auto"/>
          <w:szCs w:val="21"/>
          <w:highlight w:val="none"/>
        </w:rPr>
        <w:t>（2）身份证扫描件（如需）。</w:t>
      </w:r>
    </w:p>
    <w:p>
      <w:pPr>
        <w:pStyle w:val="5"/>
        <w:rPr>
          <w:color w:val="auto"/>
          <w:szCs w:val="21"/>
          <w:highlight w:val="none"/>
        </w:rPr>
      </w:pPr>
      <w:r>
        <w:rPr>
          <w:rFonts w:hint="eastAsia"/>
          <w:color w:val="auto"/>
          <w:szCs w:val="21"/>
          <w:highlight w:val="none"/>
        </w:rPr>
        <w:t>（3）劳务合同或养老保险扫描件（如需）。</w:t>
      </w:r>
    </w:p>
    <w:p>
      <w:pPr>
        <w:pStyle w:val="5"/>
        <w:rPr>
          <w:color w:val="auto"/>
          <w:szCs w:val="21"/>
          <w:highlight w:val="none"/>
        </w:rPr>
      </w:pPr>
      <w:r>
        <w:rPr>
          <w:rFonts w:hint="eastAsia"/>
          <w:color w:val="auto"/>
          <w:szCs w:val="21"/>
          <w:highlight w:val="none"/>
        </w:rPr>
        <w:t>（4）业绩证明材料。提供合同协议书扫描件，或业主证明文件，或投标人出具的加盖公章的证明任职的其它书面材料扫描件。</w:t>
      </w:r>
    </w:p>
    <w:p>
      <w:pPr>
        <w:pStyle w:val="5"/>
        <w:ind w:firstLine="0"/>
        <w:rPr>
          <w:color w:val="auto"/>
          <w:szCs w:val="21"/>
          <w:highlight w:val="none"/>
        </w:rPr>
      </w:pPr>
      <w:r>
        <w:rPr>
          <w:color w:val="auto"/>
          <w:szCs w:val="21"/>
          <w:highlight w:val="none"/>
        </w:rPr>
        <w:br w:type="page"/>
      </w:r>
    </w:p>
    <w:p>
      <w:pPr>
        <w:pStyle w:val="40"/>
        <w:rPr>
          <w:rFonts w:eastAsia="仿宋_GB2312"/>
          <w:b/>
          <w:bCs/>
          <w:color w:val="auto"/>
          <w:kern w:val="0"/>
          <w:sz w:val="32"/>
          <w:szCs w:val="32"/>
          <w:highlight w:val="none"/>
        </w:rPr>
      </w:pPr>
      <w:r>
        <w:rPr>
          <w:color w:val="auto"/>
          <w:highlight w:val="none"/>
        </w:rPr>
        <w:t>项目其他主要人员简历表</w:t>
      </w:r>
    </w:p>
    <w:tbl>
      <w:tblPr>
        <w:tblStyle w:val="19"/>
        <w:tblW w:w="0" w:type="auto"/>
        <w:jc w:val="center"/>
        <w:tblLayout w:type="fixed"/>
        <w:tblCellMar>
          <w:top w:w="0" w:type="dxa"/>
          <w:left w:w="108" w:type="dxa"/>
          <w:bottom w:w="0" w:type="dxa"/>
          <w:right w:w="108" w:type="dxa"/>
        </w:tblCellMar>
      </w:tblPr>
      <w:tblGrid>
        <w:gridCol w:w="1160"/>
        <w:gridCol w:w="1162"/>
        <w:gridCol w:w="1161"/>
        <w:gridCol w:w="1163"/>
        <w:gridCol w:w="1161"/>
        <w:gridCol w:w="1163"/>
        <w:gridCol w:w="1163"/>
        <w:gridCol w:w="1109"/>
      </w:tblGrid>
      <w:tr>
        <w:tblPrEx>
          <w:tblCellMar>
            <w:top w:w="0" w:type="dxa"/>
            <w:left w:w="108" w:type="dxa"/>
            <w:bottom w:w="0" w:type="dxa"/>
            <w:right w:w="108" w:type="dxa"/>
          </w:tblCellMar>
        </w:tblPrEx>
        <w:trPr>
          <w:trHeight w:val="603"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姓名</w:t>
            </w:r>
          </w:p>
        </w:tc>
        <w:tc>
          <w:tcPr>
            <w:tcW w:w="1162" w:type="dxa"/>
            <w:tcBorders>
              <w:top w:val="single" w:color="000000" w:sz="4" w:space="0"/>
              <w:left w:val="nil"/>
              <w:bottom w:val="single" w:color="000000" w:sz="4" w:space="0"/>
              <w:right w:val="single" w:color="000000" w:sz="4" w:space="0"/>
            </w:tcBorders>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职务</w:t>
            </w:r>
          </w:p>
        </w:tc>
        <w:tc>
          <w:tcPr>
            <w:tcW w:w="1161" w:type="dxa"/>
            <w:tcBorders>
              <w:top w:val="single" w:color="000000" w:sz="4" w:space="0"/>
              <w:left w:val="nil"/>
              <w:bottom w:val="single" w:color="000000" w:sz="4" w:space="0"/>
              <w:right w:val="single" w:color="000000" w:sz="4" w:space="0"/>
            </w:tcBorders>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所在机构</w:t>
            </w:r>
          </w:p>
        </w:tc>
        <w:tc>
          <w:tcPr>
            <w:tcW w:w="1163" w:type="dxa"/>
            <w:tcBorders>
              <w:top w:val="single" w:color="000000" w:sz="4" w:space="0"/>
              <w:left w:val="nil"/>
              <w:bottom w:val="single" w:color="000000" w:sz="4" w:space="0"/>
              <w:right w:val="single" w:color="000000" w:sz="4" w:space="0"/>
            </w:tcBorders>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专业技术职称</w:t>
            </w:r>
          </w:p>
        </w:tc>
        <w:tc>
          <w:tcPr>
            <w:tcW w:w="1161" w:type="dxa"/>
            <w:tcBorders>
              <w:top w:val="single" w:color="000000" w:sz="4" w:space="0"/>
              <w:left w:val="nil"/>
              <w:bottom w:val="single" w:color="000000" w:sz="4" w:space="0"/>
              <w:right w:val="single" w:color="000000" w:sz="4" w:space="0"/>
            </w:tcBorders>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在项目组中的职务</w:t>
            </w:r>
          </w:p>
        </w:tc>
        <w:tc>
          <w:tcPr>
            <w:tcW w:w="1163" w:type="dxa"/>
            <w:tcBorders>
              <w:top w:val="single" w:color="000000" w:sz="4" w:space="0"/>
              <w:left w:val="nil"/>
              <w:bottom w:val="single" w:color="000000" w:sz="4" w:space="0"/>
              <w:right w:val="single" w:color="000000" w:sz="4" w:space="0"/>
            </w:tcBorders>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主要职责范围</w:t>
            </w:r>
          </w:p>
        </w:tc>
        <w:tc>
          <w:tcPr>
            <w:tcW w:w="1163" w:type="dxa"/>
            <w:tcBorders>
              <w:top w:val="single" w:color="000000" w:sz="4" w:space="0"/>
              <w:left w:val="nil"/>
              <w:bottom w:val="single" w:color="000000" w:sz="4" w:space="0"/>
              <w:right w:val="single" w:color="000000" w:sz="4" w:space="0"/>
            </w:tcBorders>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办公电话</w:t>
            </w:r>
          </w:p>
        </w:tc>
        <w:tc>
          <w:tcPr>
            <w:tcW w:w="1109" w:type="dxa"/>
            <w:tcBorders>
              <w:top w:val="single" w:color="000000" w:sz="4" w:space="0"/>
              <w:left w:val="nil"/>
              <w:bottom w:val="single" w:color="000000" w:sz="4" w:space="0"/>
              <w:right w:val="single" w:color="000000" w:sz="4" w:space="0"/>
            </w:tcBorders>
            <w:vAlign w:val="center"/>
          </w:tcPr>
          <w:p>
            <w:pPr>
              <w:pStyle w:val="41"/>
              <w:snapToGrid w:val="0"/>
              <w:spacing w:before="60" w:after="60"/>
              <w:jc w:val="center"/>
              <w:rPr>
                <w:rFonts w:ascii="Times New Roman" w:hAnsi="Times New Roman"/>
                <w:color w:val="auto"/>
                <w:sz w:val="18"/>
                <w:highlight w:val="none"/>
              </w:rPr>
            </w:pPr>
            <w:r>
              <w:rPr>
                <w:rFonts w:ascii="Times New Roman" w:hAnsi="Times New Roman"/>
                <w:color w:val="auto"/>
                <w:sz w:val="18"/>
                <w:highlight w:val="none"/>
              </w:rPr>
              <w:t>手机</w:t>
            </w: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bl>
    <w:p>
      <w:pPr>
        <w:widowControl/>
        <w:rPr>
          <w:color w:val="auto"/>
          <w:kern w:val="0"/>
          <w:szCs w:val="21"/>
          <w:highlight w:val="none"/>
        </w:rPr>
      </w:pPr>
      <w:r>
        <w:rPr>
          <w:color w:val="auto"/>
          <w:kern w:val="0"/>
          <w:szCs w:val="21"/>
          <w:highlight w:val="none"/>
        </w:rPr>
        <w:t>说明：保险公司须在此表中列明项目领导小组、专项服务小组及现场服务小组人员的情况。</w:t>
      </w:r>
    </w:p>
    <w:p>
      <w:pPr>
        <w:pStyle w:val="5"/>
        <w:ind w:firstLine="0"/>
        <w:rPr>
          <w:color w:val="auto"/>
          <w:highlight w:val="none"/>
        </w:rPr>
      </w:pPr>
    </w:p>
    <w:p>
      <w:pPr>
        <w:widowControl/>
        <w:snapToGrid w:val="0"/>
        <w:spacing w:line="360" w:lineRule="auto"/>
        <w:ind w:firstLine="420"/>
        <w:jc w:val="left"/>
        <w:rPr>
          <w:b/>
          <w:color w:val="auto"/>
          <w:kern w:val="0"/>
          <w:szCs w:val="21"/>
          <w:highlight w:val="none"/>
        </w:rPr>
      </w:pPr>
      <w:r>
        <w:rPr>
          <w:rFonts w:hint="eastAsia"/>
          <w:b/>
          <w:color w:val="auto"/>
          <w:kern w:val="0"/>
          <w:szCs w:val="21"/>
          <w:highlight w:val="none"/>
        </w:rPr>
        <w:t>2</w:t>
      </w:r>
      <w:r>
        <w:rPr>
          <w:b/>
          <w:color w:val="auto"/>
          <w:kern w:val="0"/>
          <w:szCs w:val="21"/>
          <w:highlight w:val="none"/>
        </w:rPr>
        <w:t>）客户投诉处理机制</w:t>
      </w:r>
    </w:p>
    <w:p>
      <w:pPr>
        <w:widowControl/>
        <w:snapToGrid w:val="0"/>
        <w:spacing w:line="360" w:lineRule="auto"/>
        <w:ind w:firstLine="420"/>
        <w:jc w:val="left"/>
        <w:rPr>
          <w:color w:val="auto"/>
          <w:kern w:val="0"/>
          <w:szCs w:val="21"/>
          <w:highlight w:val="none"/>
        </w:rPr>
      </w:pPr>
      <w:r>
        <w:rPr>
          <w:color w:val="auto"/>
          <w:kern w:val="0"/>
          <w:szCs w:val="21"/>
          <w:highlight w:val="none"/>
        </w:rPr>
        <w:t>1.投诉受理联系人及联系方式</w:t>
      </w:r>
    </w:p>
    <w:p>
      <w:pPr>
        <w:widowControl/>
        <w:snapToGrid w:val="0"/>
        <w:spacing w:line="360" w:lineRule="auto"/>
        <w:ind w:firstLine="420"/>
        <w:jc w:val="left"/>
        <w:rPr>
          <w:color w:val="auto"/>
          <w:kern w:val="0"/>
          <w:szCs w:val="21"/>
          <w:highlight w:val="none"/>
        </w:rPr>
      </w:pPr>
      <w:r>
        <w:rPr>
          <w:color w:val="auto"/>
          <w:kern w:val="0"/>
          <w:szCs w:val="21"/>
          <w:highlight w:val="none"/>
        </w:rPr>
        <w:t>2.投诉受理流程</w:t>
      </w:r>
    </w:p>
    <w:p>
      <w:pPr>
        <w:widowControl/>
        <w:snapToGrid w:val="0"/>
        <w:spacing w:line="360" w:lineRule="auto"/>
        <w:ind w:firstLine="420"/>
        <w:jc w:val="left"/>
        <w:rPr>
          <w:color w:val="auto"/>
          <w:kern w:val="0"/>
          <w:szCs w:val="21"/>
          <w:highlight w:val="none"/>
        </w:rPr>
      </w:pPr>
      <w:r>
        <w:rPr>
          <w:color w:val="auto"/>
          <w:kern w:val="0"/>
          <w:szCs w:val="21"/>
          <w:highlight w:val="none"/>
        </w:rPr>
        <w:t>3.投拆案件的奖惩制度</w:t>
      </w:r>
    </w:p>
    <w:p>
      <w:pPr>
        <w:pStyle w:val="5"/>
        <w:rPr>
          <w:color w:val="auto"/>
          <w:highlight w:val="none"/>
        </w:rPr>
      </w:pPr>
    </w:p>
    <w:p>
      <w:pPr>
        <w:widowControl/>
        <w:snapToGrid w:val="0"/>
        <w:spacing w:line="360" w:lineRule="auto"/>
        <w:ind w:firstLine="420"/>
        <w:jc w:val="left"/>
        <w:rPr>
          <w:b/>
          <w:color w:val="auto"/>
          <w:kern w:val="0"/>
          <w:szCs w:val="21"/>
          <w:highlight w:val="none"/>
        </w:rPr>
      </w:pPr>
      <w:r>
        <w:rPr>
          <w:rFonts w:hint="eastAsia"/>
          <w:b/>
          <w:color w:val="auto"/>
          <w:kern w:val="0"/>
          <w:szCs w:val="21"/>
          <w:highlight w:val="none"/>
        </w:rPr>
        <w:t>3</w:t>
      </w:r>
      <w:r>
        <w:rPr>
          <w:b/>
          <w:color w:val="auto"/>
          <w:kern w:val="0"/>
          <w:szCs w:val="21"/>
          <w:highlight w:val="none"/>
        </w:rPr>
        <w:t>）保险培训服务</w:t>
      </w:r>
    </w:p>
    <w:p>
      <w:pPr>
        <w:widowControl/>
        <w:snapToGrid w:val="0"/>
        <w:spacing w:line="360" w:lineRule="auto"/>
        <w:ind w:firstLine="420"/>
        <w:jc w:val="left"/>
        <w:rPr>
          <w:color w:val="auto"/>
          <w:kern w:val="0"/>
          <w:szCs w:val="21"/>
          <w:highlight w:val="none"/>
        </w:rPr>
      </w:pPr>
      <w:r>
        <w:rPr>
          <w:color w:val="auto"/>
          <w:kern w:val="0"/>
          <w:szCs w:val="21"/>
          <w:highlight w:val="none"/>
        </w:rPr>
        <w:t>在保险合同有效期内，保险人和保险经纪人共同协助被保险人做好保险培训工作，就本项目制定保险培训工作计划如下：</w:t>
      </w:r>
    </w:p>
    <w:p>
      <w:pPr>
        <w:widowControl/>
        <w:autoSpaceDE w:val="0"/>
        <w:autoSpaceDN w:val="0"/>
        <w:adjustRightInd w:val="0"/>
        <w:snapToGrid w:val="0"/>
        <w:spacing w:line="360" w:lineRule="auto"/>
        <w:jc w:val="center"/>
        <w:textAlignment w:val="baseline"/>
        <w:rPr>
          <w:b/>
          <w:color w:val="auto"/>
          <w:kern w:val="0"/>
          <w:sz w:val="24"/>
          <w:highlight w:val="none"/>
          <w:lang w:val="zh-CN"/>
        </w:rPr>
      </w:pPr>
      <w:r>
        <w:rPr>
          <w:b/>
          <w:color w:val="auto"/>
          <w:kern w:val="0"/>
          <w:sz w:val="24"/>
          <w:highlight w:val="none"/>
          <w:lang w:val="zh-CN"/>
        </w:rPr>
        <w:t>保险培训工作计划表</w:t>
      </w:r>
    </w:p>
    <w:tbl>
      <w:tblPr>
        <w:tblStyle w:val="19"/>
        <w:tblpPr w:leftFromText="180" w:rightFromText="180" w:vertAnchor="text" w:horzAnchor="page" w:tblpX="1542" w:tblpY="26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7"/>
        <w:gridCol w:w="1350"/>
        <w:gridCol w:w="1200"/>
        <w:gridCol w:w="1241"/>
        <w:gridCol w:w="2528"/>
        <w:gridCol w:w="1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027" w:type="dxa"/>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序号</w:t>
            </w:r>
          </w:p>
        </w:tc>
        <w:tc>
          <w:tcPr>
            <w:tcW w:w="1350" w:type="dxa"/>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培训时间</w:t>
            </w:r>
          </w:p>
        </w:tc>
        <w:tc>
          <w:tcPr>
            <w:tcW w:w="1200" w:type="dxa"/>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培训地点</w:t>
            </w:r>
          </w:p>
        </w:tc>
        <w:tc>
          <w:tcPr>
            <w:tcW w:w="1241" w:type="dxa"/>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培训对象</w:t>
            </w:r>
          </w:p>
        </w:tc>
        <w:tc>
          <w:tcPr>
            <w:tcW w:w="2528" w:type="dxa"/>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培训内容</w:t>
            </w:r>
          </w:p>
        </w:tc>
        <w:tc>
          <w:tcPr>
            <w:tcW w:w="1594" w:type="dxa"/>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保险培训</w:t>
            </w:r>
          </w:p>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027" w:type="dxa"/>
            <w:vAlign w:val="center"/>
          </w:tcPr>
          <w:p>
            <w:pPr>
              <w:widowControl/>
              <w:snapToGrid w:val="0"/>
              <w:spacing w:line="360" w:lineRule="auto"/>
              <w:jc w:val="center"/>
              <w:rPr>
                <w:color w:val="auto"/>
                <w:kern w:val="0"/>
                <w:sz w:val="24"/>
                <w:szCs w:val="24"/>
                <w:highlight w:val="none"/>
              </w:rPr>
            </w:pPr>
            <w:r>
              <w:rPr>
                <w:color w:val="auto"/>
                <w:kern w:val="0"/>
                <w:sz w:val="24"/>
                <w:szCs w:val="24"/>
                <w:highlight w:val="none"/>
              </w:rPr>
              <w:t>1</w:t>
            </w:r>
          </w:p>
        </w:tc>
        <w:tc>
          <w:tcPr>
            <w:tcW w:w="1350" w:type="dxa"/>
          </w:tcPr>
          <w:p>
            <w:pPr>
              <w:widowControl/>
              <w:snapToGrid w:val="0"/>
              <w:spacing w:line="360" w:lineRule="auto"/>
              <w:jc w:val="left"/>
              <w:rPr>
                <w:color w:val="auto"/>
                <w:kern w:val="0"/>
                <w:sz w:val="24"/>
                <w:szCs w:val="24"/>
                <w:highlight w:val="none"/>
              </w:rPr>
            </w:pPr>
          </w:p>
        </w:tc>
        <w:tc>
          <w:tcPr>
            <w:tcW w:w="1200" w:type="dxa"/>
          </w:tcPr>
          <w:p>
            <w:pPr>
              <w:widowControl/>
              <w:snapToGrid w:val="0"/>
              <w:spacing w:line="360" w:lineRule="auto"/>
              <w:jc w:val="left"/>
              <w:rPr>
                <w:color w:val="auto"/>
                <w:kern w:val="0"/>
                <w:sz w:val="24"/>
                <w:szCs w:val="24"/>
                <w:highlight w:val="none"/>
              </w:rPr>
            </w:pPr>
          </w:p>
        </w:tc>
        <w:tc>
          <w:tcPr>
            <w:tcW w:w="1241" w:type="dxa"/>
          </w:tcPr>
          <w:p>
            <w:pPr>
              <w:widowControl/>
              <w:snapToGrid w:val="0"/>
              <w:spacing w:line="360" w:lineRule="auto"/>
              <w:jc w:val="left"/>
              <w:rPr>
                <w:color w:val="auto"/>
                <w:kern w:val="0"/>
                <w:sz w:val="24"/>
                <w:szCs w:val="24"/>
                <w:highlight w:val="none"/>
              </w:rPr>
            </w:pPr>
          </w:p>
        </w:tc>
        <w:tc>
          <w:tcPr>
            <w:tcW w:w="2528" w:type="dxa"/>
          </w:tcPr>
          <w:p>
            <w:pPr>
              <w:widowControl/>
              <w:snapToGrid w:val="0"/>
              <w:spacing w:line="360" w:lineRule="auto"/>
              <w:jc w:val="left"/>
              <w:rPr>
                <w:color w:val="auto"/>
                <w:kern w:val="0"/>
                <w:sz w:val="24"/>
                <w:szCs w:val="24"/>
                <w:highlight w:val="none"/>
              </w:rPr>
            </w:pPr>
          </w:p>
        </w:tc>
        <w:tc>
          <w:tcPr>
            <w:tcW w:w="1594" w:type="dxa"/>
          </w:tcPr>
          <w:p>
            <w:pPr>
              <w:widowControl/>
              <w:snapToGrid w:val="0"/>
              <w:spacing w:line="360" w:lineRule="auto"/>
              <w:jc w:val="left"/>
              <w:rPr>
                <w:color w:val="auto"/>
                <w:kern w:val="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027" w:type="dxa"/>
            <w:vAlign w:val="center"/>
          </w:tcPr>
          <w:p>
            <w:pPr>
              <w:widowControl/>
              <w:snapToGrid w:val="0"/>
              <w:spacing w:line="360" w:lineRule="auto"/>
              <w:jc w:val="center"/>
              <w:rPr>
                <w:color w:val="auto"/>
                <w:kern w:val="0"/>
                <w:sz w:val="24"/>
                <w:szCs w:val="24"/>
                <w:highlight w:val="none"/>
              </w:rPr>
            </w:pPr>
            <w:r>
              <w:rPr>
                <w:color w:val="auto"/>
                <w:kern w:val="0"/>
                <w:sz w:val="24"/>
                <w:szCs w:val="24"/>
                <w:highlight w:val="none"/>
              </w:rPr>
              <w:t>2</w:t>
            </w:r>
          </w:p>
        </w:tc>
        <w:tc>
          <w:tcPr>
            <w:tcW w:w="1350" w:type="dxa"/>
          </w:tcPr>
          <w:p>
            <w:pPr>
              <w:widowControl/>
              <w:snapToGrid w:val="0"/>
              <w:spacing w:line="360" w:lineRule="auto"/>
              <w:jc w:val="left"/>
              <w:rPr>
                <w:color w:val="auto"/>
                <w:kern w:val="0"/>
                <w:sz w:val="24"/>
                <w:szCs w:val="24"/>
                <w:highlight w:val="none"/>
              </w:rPr>
            </w:pPr>
          </w:p>
        </w:tc>
        <w:tc>
          <w:tcPr>
            <w:tcW w:w="1200" w:type="dxa"/>
          </w:tcPr>
          <w:p>
            <w:pPr>
              <w:widowControl/>
              <w:snapToGrid w:val="0"/>
              <w:spacing w:line="360" w:lineRule="auto"/>
              <w:jc w:val="left"/>
              <w:rPr>
                <w:color w:val="auto"/>
                <w:kern w:val="0"/>
                <w:sz w:val="24"/>
                <w:szCs w:val="24"/>
                <w:highlight w:val="none"/>
              </w:rPr>
            </w:pPr>
          </w:p>
        </w:tc>
        <w:tc>
          <w:tcPr>
            <w:tcW w:w="1241" w:type="dxa"/>
          </w:tcPr>
          <w:p>
            <w:pPr>
              <w:widowControl/>
              <w:snapToGrid w:val="0"/>
              <w:spacing w:line="360" w:lineRule="auto"/>
              <w:jc w:val="left"/>
              <w:rPr>
                <w:color w:val="auto"/>
                <w:kern w:val="0"/>
                <w:sz w:val="24"/>
                <w:szCs w:val="24"/>
                <w:highlight w:val="none"/>
              </w:rPr>
            </w:pPr>
          </w:p>
        </w:tc>
        <w:tc>
          <w:tcPr>
            <w:tcW w:w="2528" w:type="dxa"/>
          </w:tcPr>
          <w:p>
            <w:pPr>
              <w:widowControl/>
              <w:snapToGrid w:val="0"/>
              <w:spacing w:line="360" w:lineRule="auto"/>
              <w:jc w:val="left"/>
              <w:rPr>
                <w:color w:val="auto"/>
                <w:kern w:val="0"/>
                <w:sz w:val="24"/>
                <w:szCs w:val="24"/>
                <w:highlight w:val="none"/>
              </w:rPr>
            </w:pPr>
          </w:p>
        </w:tc>
        <w:tc>
          <w:tcPr>
            <w:tcW w:w="1594" w:type="dxa"/>
          </w:tcPr>
          <w:p>
            <w:pPr>
              <w:widowControl/>
              <w:snapToGrid w:val="0"/>
              <w:spacing w:line="360" w:lineRule="auto"/>
              <w:jc w:val="left"/>
              <w:rPr>
                <w:color w:val="auto"/>
                <w:kern w:val="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7" w:type="dxa"/>
            <w:vAlign w:val="center"/>
          </w:tcPr>
          <w:p>
            <w:pPr>
              <w:widowControl/>
              <w:snapToGrid w:val="0"/>
              <w:spacing w:line="360" w:lineRule="auto"/>
              <w:jc w:val="center"/>
              <w:rPr>
                <w:rFonts w:eastAsia="仿宋_GB2312"/>
                <w:color w:val="auto"/>
                <w:kern w:val="0"/>
                <w:sz w:val="24"/>
                <w:szCs w:val="24"/>
                <w:highlight w:val="none"/>
              </w:rPr>
            </w:pPr>
            <w:r>
              <w:rPr>
                <w:rFonts w:eastAsia="仿宋_GB2312"/>
                <w:color w:val="auto"/>
                <w:kern w:val="0"/>
                <w:sz w:val="24"/>
                <w:szCs w:val="24"/>
                <w:highlight w:val="none"/>
              </w:rPr>
              <w:t>……</w:t>
            </w:r>
          </w:p>
        </w:tc>
        <w:tc>
          <w:tcPr>
            <w:tcW w:w="1350" w:type="dxa"/>
          </w:tcPr>
          <w:p>
            <w:pPr>
              <w:widowControl/>
              <w:snapToGrid w:val="0"/>
              <w:spacing w:line="360" w:lineRule="auto"/>
              <w:jc w:val="left"/>
              <w:rPr>
                <w:rFonts w:eastAsia="仿宋_GB2312"/>
                <w:color w:val="auto"/>
                <w:kern w:val="0"/>
                <w:sz w:val="24"/>
                <w:szCs w:val="24"/>
                <w:highlight w:val="none"/>
              </w:rPr>
            </w:pPr>
          </w:p>
        </w:tc>
        <w:tc>
          <w:tcPr>
            <w:tcW w:w="1200" w:type="dxa"/>
          </w:tcPr>
          <w:p>
            <w:pPr>
              <w:widowControl/>
              <w:snapToGrid w:val="0"/>
              <w:spacing w:line="360" w:lineRule="auto"/>
              <w:jc w:val="left"/>
              <w:rPr>
                <w:rFonts w:eastAsia="仿宋_GB2312"/>
                <w:color w:val="auto"/>
                <w:kern w:val="0"/>
                <w:sz w:val="24"/>
                <w:szCs w:val="24"/>
                <w:highlight w:val="none"/>
              </w:rPr>
            </w:pPr>
          </w:p>
        </w:tc>
        <w:tc>
          <w:tcPr>
            <w:tcW w:w="1241" w:type="dxa"/>
          </w:tcPr>
          <w:p>
            <w:pPr>
              <w:widowControl/>
              <w:snapToGrid w:val="0"/>
              <w:spacing w:line="360" w:lineRule="auto"/>
              <w:jc w:val="left"/>
              <w:rPr>
                <w:rFonts w:eastAsia="仿宋_GB2312"/>
                <w:color w:val="auto"/>
                <w:kern w:val="0"/>
                <w:sz w:val="24"/>
                <w:szCs w:val="24"/>
                <w:highlight w:val="none"/>
              </w:rPr>
            </w:pPr>
          </w:p>
        </w:tc>
        <w:tc>
          <w:tcPr>
            <w:tcW w:w="2528" w:type="dxa"/>
          </w:tcPr>
          <w:p>
            <w:pPr>
              <w:widowControl/>
              <w:snapToGrid w:val="0"/>
              <w:spacing w:line="360" w:lineRule="auto"/>
              <w:jc w:val="left"/>
              <w:rPr>
                <w:rFonts w:eastAsia="仿宋_GB2312"/>
                <w:color w:val="auto"/>
                <w:kern w:val="0"/>
                <w:sz w:val="24"/>
                <w:szCs w:val="24"/>
                <w:highlight w:val="none"/>
              </w:rPr>
            </w:pPr>
          </w:p>
        </w:tc>
        <w:tc>
          <w:tcPr>
            <w:tcW w:w="1594" w:type="dxa"/>
          </w:tcPr>
          <w:p>
            <w:pPr>
              <w:widowControl/>
              <w:snapToGrid w:val="0"/>
              <w:spacing w:line="360" w:lineRule="auto"/>
              <w:jc w:val="left"/>
              <w:rPr>
                <w:rFonts w:eastAsia="仿宋_GB2312"/>
                <w:color w:val="auto"/>
                <w:kern w:val="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940" w:type="dxa"/>
            <w:gridSpan w:val="6"/>
          </w:tcPr>
          <w:p>
            <w:pPr>
              <w:widowControl/>
              <w:snapToGrid w:val="0"/>
              <w:jc w:val="left"/>
              <w:rPr>
                <w:color w:val="auto"/>
                <w:kern w:val="0"/>
                <w:szCs w:val="21"/>
                <w:highlight w:val="none"/>
              </w:rPr>
            </w:pPr>
            <w:r>
              <w:rPr>
                <w:color w:val="auto"/>
                <w:kern w:val="0"/>
                <w:szCs w:val="21"/>
                <w:highlight w:val="none"/>
              </w:rPr>
              <w:t>说明：1.培训时间精确到月；</w:t>
            </w:r>
          </w:p>
          <w:p>
            <w:pPr>
              <w:widowControl/>
              <w:snapToGrid w:val="0"/>
              <w:jc w:val="left"/>
              <w:rPr>
                <w:rFonts w:eastAsia="仿宋_GB2312"/>
                <w:color w:val="auto"/>
                <w:kern w:val="0"/>
                <w:sz w:val="24"/>
                <w:szCs w:val="24"/>
                <w:highlight w:val="none"/>
              </w:rPr>
            </w:pPr>
            <w:r>
              <w:rPr>
                <w:color w:val="auto"/>
                <w:kern w:val="0"/>
                <w:szCs w:val="21"/>
                <w:highlight w:val="none"/>
              </w:rPr>
              <w:t xml:space="preserve">      2.由于培训地点和培训对象不同，允许培训内容有重复。</w:t>
            </w:r>
          </w:p>
        </w:tc>
      </w:tr>
    </w:tbl>
    <w:p>
      <w:pPr>
        <w:widowControl/>
        <w:snapToGrid w:val="0"/>
        <w:spacing w:line="360" w:lineRule="auto"/>
        <w:jc w:val="left"/>
        <w:rPr>
          <w:color w:val="auto"/>
          <w:kern w:val="0"/>
          <w:szCs w:val="21"/>
          <w:highlight w:val="none"/>
        </w:rPr>
      </w:pPr>
      <w:r>
        <w:rPr>
          <w:b/>
          <w:color w:val="auto"/>
          <w:kern w:val="0"/>
          <w:szCs w:val="21"/>
          <w:highlight w:val="none"/>
        </w:rPr>
        <w:br w:type="page"/>
      </w:r>
      <w:r>
        <w:rPr>
          <w:rFonts w:hint="eastAsia"/>
          <w:b/>
          <w:color w:val="auto"/>
          <w:kern w:val="0"/>
          <w:szCs w:val="21"/>
          <w:highlight w:val="none"/>
        </w:rPr>
        <w:t xml:space="preserve">   4</w:t>
      </w:r>
      <w:r>
        <w:rPr>
          <w:b/>
          <w:color w:val="auto"/>
          <w:kern w:val="0"/>
          <w:szCs w:val="21"/>
          <w:highlight w:val="none"/>
        </w:rPr>
        <w:t>）防灾防损服务</w:t>
      </w:r>
    </w:p>
    <w:p>
      <w:pPr>
        <w:widowControl/>
        <w:snapToGrid w:val="0"/>
        <w:spacing w:line="360" w:lineRule="auto"/>
        <w:ind w:firstLine="420"/>
        <w:jc w:val="left"/>
        <w:rPr>
          <w:b/>
          <w:color w:val="auto"/>
          <w:kern w:val="0"/>
          <w:sz w:val="24"/>
          <w:highlight w:val="none"/>
          <w:lang w:val="zh-CN"/>
        </w:rPr>
      </w:pPr>
      <w:r>
        <w:rPr>
          <w:color w:val="auto"/>
          <w:kern w:val="0"/>
          <w:szCs w:val="21"/>
          <w:highlight w:val="none"/>
        </w:rPr>
        <w:t>在保险合同有效期内，根据被保险人行业特点及自然条件变化情况，保险人对被保险人提供防灾防损计划如下：</w:t>
      </w:r>
    </w:p>
    <w:p>
      <w:pPr>
        <w:widowControl/>
        <w:autoSpaceDE w:val="0"/>
        <w:autoSpaceDN w:val="0"/>
        <w:adjustRightInd w:val="0"/>
        <w:snapToGrid w:val="0"/>
        <w:spacing w:line="360" w:lineRule="auto"/>
        <w:jc w:val="center"/>
        <w:textAlignment w:val="baseline"/>
        <w:rPr>
          <w:color w:val="auto"/>
          <w:kern w:val="0"/>
          <w:szCs w:val="21"/>
          <w:highlight w:val="none"/>
        </w:rPr>
      </w:pPr>
      <w:r>
        <w:rPr>
          <w:b/>
          <w:color w:val="auto"/>
          <w:kern w:val="0"/>
          <w:sz w:val="24"/>
          <w:highlight w:val="none"/>
          <w:lang w:val="zh-CN"/>
        </w:rPr>
        <w:t>防灾防损工作计划表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
        <w:gridCol w:w="1350"/>
        <w:gridCol w:w="1200"/>
        <w:gridCol w:w="1241"/>
        <w:gridCol w:w="2528"/>
        <w:gridCol w:w="20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7" w:type="dxa"/>
            <w:tcBorders>
              <w:bottom w:val="single" w:color="auto" w:sz="2" w:space="0"/>
            </w:tcBorders>
            <w:vAlign w:val="center"/>
          </w:tcPr>
          <w:p>
            <w:pPr>
              <w:autoSpaceDE w:val="0"/>
              <w:autoSpaceDN w:val="0"/>
              <w:adjustRightInd w:val="0"/>
              <w:snapToGrid w:val="0"/>
              <w:spacing w:line="360" w:lineRule="auto"/>
              <w:jc w:val="center"/>
              <w:textAlignment w:val="baseline"/>
              <w:rPr>
                <w:color w:val="auto"/>
                <w:kern w:val="0"/>
                <w:szCs w:val="21"/>
                <w:highlight w:val="none"/>
                <w:lang w:val="zh-CN"/>
              </w:rPr>
            </w:pPr>
            <w:r>
              <w:rPr>
                <w:b/>
                <w:color w:val="auto"/>
                <w:kern w:val="0"/>
                <w:szCs w:val="21"/>
                <w:highlight w:val="none"/>
                <w:lang w:val="zh-CN"/>
              </w:rPr>
              <w:t>序号</w:t>
            </w:r>
          </w:p>
        </w:tc>
        <w:tc>
          <w:tcPr>
            <w:tcW w:w="1350" w:type="dxa"/>
            <w:tcBorders>
              <w:bottom w:val="single" w:color="auto" w:sz="2" w:space="0"/>
            </w:tcBorders>
            <w:vAlign w:val="center"/>
          </w:tcPr>
          <w:p>
            <w:pPr>
              <w:autoSpaceDE w:val="0"/>
              <w:autoSpaceDN w:val="0"/>
              <w:adjustRightInd w:val="0"/>
              <w:snapToGrid w:val="0"/>
              <w:spacing w:line="360" w:lineRule="auto"/>
              <w:jc w:val="center"/>
              <w:textAlignment w:val="baseline"/>
              <w:rPr>
                <w:color w:val="auto"/>
                <w:kern w:val="0"/>
                <w:szCs w:val="21"/>
                <w:highlight w:val="none"/>
                <w:lang w:val="zh-CN"/>
              </w:rPr>
            </w:pPr>
            <w:r>
              <w:rPr>
                <w:b/>
                <w:color w:val="auto"/>
                <w:kern w:val="0"/>
                <w:szCs w:val="21"/>
                <w:highlight w:val="none"/>
                <w:lang w:val="zh-CN"/>
              </w:rPr>
              <w:t>时间</w:t>
            </w:r>
          </w:p>
        </w:tc>
        <w:tc>
          <w:tcPr>
            <w:tcW w:w="1200" w:type="dxa"/>
            <w:tcBorders>
              <w:bottom w:val="single" w:color="auto" w:sz="2" w:space="0"/>
            </w:tcBorders>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实施地点</w:t>
            </w:r>
          </w:p>
        </w:tc>
        <w:tc>
          <w:tcPr>
            <w:tcW w:w="1241" w:type="dxa"/>
            <w:tcBorders>
              <w:bottom w:val="single" w:color="auto" w:sz="2" w:space="0"/>
            </w:tcBorders>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工作内容</w:t>
            </w:r>
          </w:p>
        </w:tc>
        <w:tc>
          <w:tcPr>
            <w:tcW w:w="2528" w:type="dxa"/>
            <w:tcBorders>
              <w:bottom w:val="single" w:color="auto" w:sz="2" w:space="0"/>
            </w:tcBorders>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工作成果</w:t>
            </w:r>
          </w:p>
        </w:tc>
        <w:tc>
          <w:tcPr>
            <w:tcW w:w="2001" w:type="dxa"/>
            <w:tcBorders>
              <w:bottom w:val="single" w:color="auto" w:sz="2" w:space="0"/>
            </w:tcBorders>
            <w:vAlign w:val="center"/>
          </w:tcPr>
          <w:p>
            <w:pPr>
              <w:autoSpaceDE w:val="0"/>
              <w:autoSpaceDN w:val="0"/>
              <w:adjustRightInd w:val="0"/>
              <w:snapToGrid w:val="0"/>
              <w:spacing w:line="360" w:lineRule="auto"/>
              <w:jc w:val="center"/>
              <w:textAlignment w:val="baseline"/>
              <w:rPr>
                <w:b/>
                <w:color w:val="auto"/>
                <w:kern w:val="0"/>
                <w:szCs w:val="21"/>
                <w:highlight w:val="none"/>
                <w:lang w:val="zh-CN"/>
              </w:rPr>
            </w:pPr>
            <w:r>
              <w:rPr>
                <w:b/>
                <w:color w:val="auto"/>
                <w:kern w:val="0"/>
                <w:szCs w:val="21"/>
                <w:highlight w:val="none"/>
                <w:lang w:val="zh-CN"/>
              </w:rPr>
              <w:t>防灾防损</w:t>
            </w:r>
          </w:p>
          <w:p>
            <w:pPr>
              <w:autoSpaceDE w:val="0"/>
              <w:autoSpaceDN w:val="0"/>
              <w:adjustRightInd w:val="0"/>
              <w:snapToGrid w:val="0"/>
              <w:spacing w:line="360" w:lineRule="auto"/>
              <w:jc w:val="center"/>
              <w:textAlignment w:val="baseline"/>
              <w:rPr>
                <w:color w:val="auto"/>
                <w:kern w:val="0"/>
                <w:szCs w:val="21"/>
                <w:highlight w:val="none"/>
                <w:lang w:val="zh-CN"/>
              </w:rPr>
            </w:pPr>
            <w:r>
              <w:rPr>
                <w:b/>
                <w:color w:val="auto"/>
                <w:kern w:val="0"/>
                <w:szCs w:val="21"/>
                <w:highlight w:val="none"/>
                <w:lang w:val="zh-CN"/>
              </w:rPr>
              <w:t>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lang w:val="zh-CN"/>
              </w:rPr>
            </w:pPr>
            <w:r>
              <w:rPr>
                <w:color w:val="auto"/>
                <w:kern w:val="0"/>
                <w:szCs w:val="21"/>
                <w:highlight w:val="none"/>
              </w:rPr>
              <w:t>1</w:t>
            </w:r>
          </w:p>
        </w:tc>
        <w:tc>
          <w:tcPr>
            <w:tcW w:w="1350"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00"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41"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528"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001"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rPr>
            </w:pPr>
            <w:r>
              <w:rPr>
                <w:color w:val="auto"/>
                <w:kern w:val="0"/>
                <w:szCs w:val="21"/>
                <w:highlight w:val="none"/>
              </w:rPr>
              <w:t>2</w:t>
            </w:r>
          </w:p>
        </w:tc>
        <w:tc>
          <w:tcPr>
            <w:tcW w:w="1350"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rPr>
            </w:pPr>
          </w:p>
        </w:tc>
        <w:tc>
          <w:tcPr>
            <w:tcW w:w="1200"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rPr>
            </w:pPr>
          </w:p>
        </w:tc>
        <w:tc>
          <w:tcPr>
            <w:tcW w:w="1241"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rPr>
            </w:pPr>
          </w:p>
        </w:tc>
        <w:tc>
          <w:tcPr>
            <w:tcW w:w="2528"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rPr>
            </w:pPr>
          </w:p>
        </w:tc>
        <w:tc>
          <w:tcPr>
            <w:tcW w:w="2001" w:type="dxa"/>
            <w:tcBorders>
              <w:top w:val="single" w:color="auto" w:sz="2" w:space="0"/>
              <w:left w:val="single" w:color="auto" w:sz="2" w:space="0"/>
              <w:bottom w:val="single" w:color="auto" w:sz="2" w:space="0"/>
              <w:right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Borders>
              <w:top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lang w:val="zh-CN"/>
              </w:rPr>
            </w:pPr>
            <w:r>
              <w:rPr>
                <w:color w:val="auto"/>
                <w:kern w:val="0"/>
                <w:szCs w:val="21"/>
                <w:highlight w:val="none"/>
              </w:rPr>
              <w:t>3</w:t>
            </w:r>
          </w:p>
        </w:tc>
        <w:tc>
          <w:tcPr>
            <w:tcW w:w="1350" w:type="dxa"/>
            <w:tcBorders>
              <w:top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00" w:type="dxa"/>
            <w:tcBorders>
              <w:top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41" w:type="dxa"/>
            <w:tcBorders>
              <w:top w:val="single" w:color="auto" w:sz="2" w:space="0"/>
            </w:tcBorders>
          </w:tcPr>
          <w:p>
            <w:pPr>
              <w:autoSpaceDE w:val="0"/>
              <w:autoSpaceDN w:val="0"/>
              <w:adjustRightInd w:val="0"/>
              <w:snapToGrid w:val="0"/>
              <w:spacing w:line="360" w:lineRule="auto"/>
              <w:jc w:val="center"/>
              <w:textAlignment w:val="baseline"/>
              <w:rPr>
                <w:color w:val="auto"/>
                <w:kern w:val="0"/>
                <w:szCs w:val="21"/>
                <w:highlight w:val="none"/>
              </w:rPr>
            </w:pPr>
          </w:p>
        </w:tc>
        <w:tc>
          <w:tcPr>
            <w:tcW w:w="2528" w:type="dxa"/>
            <w:tcBorders>
              <w:top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001" w:type="dxa"/>
            <w:tcBorders>
              <w:top w:val="single" w:color="auto" w:sz="2" w:space="0"/>
            </w:tcBorders>
          </w:tcPr>
          <w:p>
            <w:pPr>
              <w:autoSpaceDE w:val="0"/>
              <w:autoSpaceDN w:val="0"/>
              <w:adjustRightInd w:val="0"/>
              <w:snapToGrid w:val="0"/>
              <w:spacing w:line="360" w:lineRule="auto"/>
              <w:jc w:val="left"/>
              <w:textAlignment w:val="baseline"/>
              <w:rPr>
                <w:color w:val="auto"/>
                <w:kern w:val="0"/>
                <w:szCs w:val="21"/>
                <w:highlight w:val="none"/>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pPr>
              <w:autoSpaceDE w:val="0"/>
              <w:autoSpaceDN w:val="0"/>
              <w:adjustRightInd w:val="0"/>
              <w:snapToGrid w:val="0"/>
              <w:spacing w:line="360" w:lineRule="auto"/>
              <w:jc w:val="center"/>
              <w:textAlignment w:val="baseline"/>
              <w:rPr>
                <w:color w:val="auto"/>
                <w:kern w:val="0"/>
                <w:szCs w:val="21"/>
                <w:highlight w:val="none"/>
                <w:lang w:val="zh-CN"/>
              </w:rPr>
            </w:pPr>
            <w:r>
              <w:rPr>
                <w:color w:val="auto"/>
                <w:kern w:val="0"/>
                <w:szCs w:val="21"/>
                <w:highlight w:val="none"/>
              </w:rPr>
              <w:t>4</w:t>
            </w:r>
          </w:p>
        </w:tc>
        <w:tc>
          <w:tcPr>
            <w:tcW w:w="1350"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00"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41"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528"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001" w:type="dxa"/>
          </w:tcPr>
          <w:p>
            <w:pPr>
              <w:autoSpaceDE w:val="0"/>
              <w:autoSpaceDN w:val="0"/>
              <w:adjustRightInd w:val="0"/>
              <w:snapToGrid w:val="0"/>
              <w:spacing w:line="360" w:lineRule="auto"/>
              <w:jc w:val="left"/>
              <w:textAlignment w:val="baseline"/>
              <w:rPr>
                <w:color w:val="auto"/>
                <w:kern w:val="0"/>
                <w:szCs w:val="21"/>
                <w:highlight w:val="none"/>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pPr>
              <w:autoSpaceDE w:val="0"/>
              <w:autoSpaceDN w:val="0"/>
              <w:adjustRightInd w:val="0"/>
              <w:snapToGrid w:val="0"/>
              <w:spacing w:line="360" w:lineRule="auto"/>
              <w:jc w:val="center"/>
              <w:textAlignment w:val="baseline"/>
              <w:rPr>
                <w:color w:val="auto"/>
                <w:kern w:val="0"/>
                <w:szCs w:val="21"/>
                <w:highlight w:val="none"/>
              </w:rPr>
            </w:pPr>
            <w:r>
              <w:rPr>
                <w:color w:val="auto"/>
                <w:kern w:val="0"/>
                <w:szCs w:val="21"/>
                <w:highlight w:val="none"/>
              </w:rPr>
              <w:t>5</w:t>
            </w:r>
          </w:p>
        </w:tc>
        <w:tc>
          <w:tcPr>
            <w:tcW w:w="1350"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00"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41"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528"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001" w:type="dxa"/>
          </w:tcPr>
          <w:p>
            <w:pPr>
              <w:autoSpaceDE w:val="0"/>
              <w:autoSpaceDN w:val="0"/>
              <w:adjustRightInd w:val="0"/>
              <w:snapToGrid w:val="0"/>
              <w:spacing w:line="360" w:lineRule="auto"/>
              <w:jc w:val="left"/>
              <w:textAlignment w:val="baseline"/>
              <w:rPr>
                <w:color w:val="auto"/>
                <w:kern w:val="0"/>
                <w:szCs w:val="21"/>
                <w:highlight w:val="none"/>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pPr>
              <w:autoSpaceDE w:val="0"/>
              <w:autoSpaceDN w:val="0"/>
              <w:adjustRightInd w:val="0"/>
              <w:snapToGrid w:val="0"/>
              <w:spacing w:line="360" w:lineRule="auto"/>
              <w:jc w:val="center"/>
              <w:textAlignment w:val="baseline"/>
              <w:rPr>
                <w:color w:val="auto"/>
                <w:kern w:val="0"/>
                <w:szCs w:val="21"/>
                <w:highlight w:val="none"/>
                <w:lang w:val="zh-CN"/>
              </w:rPr>
            </w:pPr>
            <w:r>
              <w:rPr>
                <w:color w:val="auto"/>
                <w:kern w:val="0"/>
                <w:szCs w:val="21"/>
                <w:highlight w:val="none"/>
                <w:lang w:val="zh-CN"/>
              </w:rPr>
              <w:t>……</w:t>
            </w:r>
          </w:p>
        </w:tc>
        <w:tc>
          <w:tcPr>
            <w:tcW w:w="1350"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00"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1241"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528" w:type="dxa"/>
          </w:tcPr>
          <w:p>
            <w:pPr>
              <w:autoSpaceDE w:val="0"/>
              <w:autoSpaceDN w:val="0"/>
              <w:adjustRightInd w:val="0"/>
              <w:snapToGrid w:val="0"/>
              <w:spacing w:line="360" w:lineRule="auto"/>
              <w:jc w:val="left"/>
              <w:textAlignment w:val="baseline"/>
              <w:rPr>
                <w:color w:val="auto"/>
                <w:kern w:val="0"/>
                <w:szCs w:val="21"/>
                <w:highlight w:val="none"/>
                <w:lang w:val="zh-CN"/>
              </w:rPr>
            </w:pPr>
          </w:p>
        </w:tc>
        <w:tc>
          <w:tcPr>
            <w:tcW w:w="2001" w:type="dxa"/>
          </w:tcPr>
          <w:p>
            <w:pPr>
              <w:autoSpaceDE w:val="0"/>
              <w:autoSpaceDN w:val="0"/>
              <w:adjustRightInd w:val="0"/>
              <w:snapToGrid w:val="0"/>
              <w:spacing w:line="360" w:lineRule="auto"/>
              <w:jc w:val="left"/>
              <w:textAlignment w:val="baseline"/>
              <w:rPr>
                <w:color w:val="auto"/>
                <w:kern w:val="0"/>
                <w:szCs w:val="21"/>
                <w:highlight w:val="none"/>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9107" w:type="dxa"/>
            <w:gridSpan w:val="6"/>
            <w:vAlign w:val="bottom"/>
          </w:tcPr>
          <w:p>
            <w:pPr>
              <w:autoSpaceDE w:val="0"/>
              <w:autoSpaceDN w:val="0"/>
              <w:adjustRightInd w:val="0"/>
              <w:snapToGrid w:val="0"/>
              <w:textAlignment w:val="baseline"/>
              <w:rPr>
                <w:color w:val="auto"/>
                <w:kern w:val="0"/>
                <w:szCs w:val="21"/>
                <w:highlight w:val="none"/>
                <w:lang w:val="zh-CN"/>
              </w:rPr>
            </w:pPr>
            <w:r>
              <w:rPr>
                <w:color w:val="auto"/>
                <w:kern w:val="0"/>
                <w:szCs w:val="21"/>
                <w:highlight w:val="none"/>
                <w:lang w:val="zh-CN"/>
              </w:rPr>
              <w:t>说明：</w:t>
            </w:r>
            <w:r>
              <w:rPr>
                <w:color w:val="auto"/>
                <w:kern w:val="0"/>
                <w:szCs w:val="21"/>
                <w:highlight w:val="none"/>
              </w:rPr>
              <w:t>1.</w:t>
            </w:r>
            <w:r>
              <w:rPr>
                <w:color w:val="auto"/>
                <w:kern w:val="0"/>
                <w:szCs w:val="21"/>
                <w:highlight w:val="none"/>
                <w:lang w:val="zh-CN"/>
              </w:rPr>
              <w:t>时间精确到月；</w:t>
            </w:r>
          </w:p>
          <w:p>
            <w:pPr>
              <w:autoSpaceDE w:val="0"/>
              <w:autoSpaceDN w:val="0"/>
              <w:adjustRightInd w:val="0"/>
              <w:snapToGrid w:val="0"/>
              <w:textAlignment w:val="baseline"/>
              <w:rPr>
                <w:color w:val="auto"/>
                <w:kern w:val="0"/>
                <w:szCs w:val="21"/>
                <w:highlight w:val="none"/>
                <w:lang w:val="zh-CN"/>
              </w:rPr>
            </w:pPr>
            <w:r>
              <w:rPr>
                <w:color w:val="auto"/>
                <w:kern w:val="0"/>
                <w:szCs w:val="21"/>
                <w:highlight w:val="none"/>
              </w:rPr>
              <w:t xml:space="preserve">      2.工作成果指工作内容实施后，提交给被保险人的书面文件名称。</w:t>
            </w:r>
          </w:p>
        </w:tc>
      </w:tr>
    </w:tbl>
    <w:p>
      <w:pPr>
        <w:widowControl/>
        <w:snapToGrid w:val="0"/>
        <w:spacing w:line="360" w:lineRule="auto"/>
        <w:jc w:val="left"/>
        <w:rPr>
          <w:rFonts w:eastAsia="仿宋_GB2312"/>
          <w:color w:val="auto"/>
          <w:kern w:val="0"/>
          <w:sz w:val="28"/>
          <w:szCs w:val="28"/>
          <w:highlight w:val="none"/>
        </w:rPr>
      </w:pPr>
    </w:p>
    <w:p>
      <w:pPr>
        <w:widowControl/>
        <w:jc w:val="left"/>
        <w:rPr>
          <w:rFonts w:eastAsia="黑体"/>
          <w:b/>
          <w:color w:val="auto"/>
          <w:sz w:val="24"/>
          <w:highlight w:val="none"/>
        </w:rPr>
      </w:pPr>
      <w:r>
        <w:rPr>
          <w:rFonts w:eastAsia="黑体"/>
          <w:b/>
          <w:color w:val="auto"/>
          <w:sz w:val="24"/>
          <w:highlight w:val="none"/>
        </w:rPr>
        <w:t>（7）专项服务</w:t>
      </w:r>
    </w:p>
    <w:p>
      <w:pPr>
        <w:widowControl/>
        <w:jc w:val="left"/>
        <w:rPr>
          <w:rFonts w:eastAsia="黑体"/>
          <w:b/>
          <w:bCs/>
          <w:color w:val="auto"/>
          <w:kern w:val="0"/>
          <w:sz w:val="24"/>
          <w:szCs w:val="24"/>
          <w:highlight w:val="none"/>
        </w:rPr>
      </w:pPr>
    </w:p>
    <w:p>
      <w:pPr>
        <w:widowControl/>
        <w:snapToGrid w:val="0"/>
        <w:spacing w:line="360" w:lineRule="auto"/>
        <w:ind w:firstLine="420"/>
        <w:jc w:val="left"/>
        <w:rPr>
          <w:color w:val="auto"/>
          <w:kern w:val="0"/>
          <w:szCs w:val="21"/>
          <w:highlight w:val="none"/>
        </w:rPr>
      </w:pPr>
      <w:r>
        <w:rPr>
          <w:color w:val="auto"/>
          <w:kern w:val="0"/>
          <w:szCs w:val="21"/>
          <w:highlight w:val="none"/>
        </w:rPr>
        <w:t>在保险合同有效期内，保险人提供重大自然灾害预警、参加联席会议制度、定期出险赔付分析、编制保险服务手册等专项服务，专项服务工作计划如下：</w:t>
      </w:r>
    </w:p>
    <w:p>
      <w:pPr>
        <w:widowControl/>
        <w:snapToGrid w:val="0"/>
        <w:spacing w:line="360" w:lineRule="auto"/>
        <w:jc w:val="center"/>
        <w:rPr>
          <w:b/>
          <w:bCs/>
          <w:color w:val="auto"/>
          <w:kern w:val="0"/>
          <w:szCs w:val="21"/>
          <w:highlight w:val="none"/>
        </w:rPr>
      </w:pPr>
      <w:r>
        <w:rPr>
          <w:b/>
          <w:bCs/>
          <w:color w:val="auto"/>
          <w:kern w:val="0"/>
          <w:szCs w:val="21"/>
          <w:highlight w:val="none"/>
        </w:rPr>
        <w:t>专项服务工作计划表</w:t>
      </w:r>
    </w:p>
    <w:tbl>
      <w:tblPr>
        <w:tblStyle w:val="19"/>
        <w:tblpPr w:leftFromText="180" w:rightFromText="180" w:vertAnchor="text" w:horzAnchor="page" w:tblpX="1597" w:tblpY="131"/>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1087"/>
        <w:gridCol w:w="1350"/>
        <w:gridCol w:w="1200"/>
        <w:gridCol w:w="1241"/>
        <w:gridCol w:w="2528"/>
        <w:gridCol w:w="1774"/>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666" w:hRule="atLeast"/>
        </w:trPr>
        <w:tc>
          <w:tcPr>
            <w:tcW w:w="1087" w:type="dxa"/>
            <w:vAlign w:val="center"/>
          </w:tcPr>
          <w:p>
            <w:pPr>
              <w:widowControl/>
              <w:snapToGrid w:val="0"/>
              <w:spacing w:line="360" w:lineRule="auto"/>
              <w:jc w:val="center"/>
              <w:rPr>
                <w:color w:val="auto"/>
                <w:kern w:val="0"/>
                <w:szCs w:val="21"/>
                <w:highlight w:val="none"/>
              </w:rPr>
            </w:pPr>
            <w:r>
              <w:rPr>
                <w:b/>
                <w:bCs/>
                <w:color w:val="auto"/>
                <w:kern w:val="0"/>
                <w:szCs w:val="21"/>
                <w:highlight w:val="none"/>
              </w:rPr>
              <w:t>序号</w:t>
            </w:r>
          </w:p>
        </w:tc>
        <w:tc>
          <w:tcPr>
            <w:tcW w:w="1350" w:type="dxa"/>
            <w:vAlign w:val="center"/>
          </w:tcPr>
          <w:p>
            <w:pPr>
              <w:widowControl/>
              <w:snapToGrid w:val="0"/>
              <w:spacing w:line="360" w:lineRule="auto"/>
              <w:jc w:val="center"/>
              <w:rPr>
                <w:color w:val="auto"/>
                <w:kern w:val="0"/>
                <w:szCs w:val="21"/>
                <w:highlight w:val="none"/>
              </w:rPr>
            </w:pPr>
            <w:r>
              <w:rPr>
                <w:b/>
                <w:bCs/>
                <w:color w:val="auto"/>
                <w:kern w:val="0"/>
                <w:szCs w:val="21"/>
                <w:highlight w:val="none"/>
              </w:rPr>
              <w:t>时间</w:t>
            </w:r>
          </w:p>
        </w:tc>
        <w:tc>
          <w:tcPr>
            <w:tcW w:w="1200" w:type="dxa"/>
            <w:vAlign w:val="center"/>
          </w:tcPr>
          <w:p>
            <w:pPr>
              <w:widowControl/>
              <w:snapToGrid w:val="0"/>
              <w:spacing w:line="360" w:lineRule="auto"/>
              <w:jc w:val="center"/>
              <w:rPr>
                <w:b/>
                <w:bCs/>
                <w:color w:val="auto"/>
                <w:kern w:val="0"/>
                <w:szCs w:val="21"/>
                <w:highlight w:val="none"/>
              </w:rPr>
            </w:pPr>
            <w:r>
              <w:rPr>
                <w:b/>
                <w:bCs/>
                <w:color w:val="auto"/>
                <w:kern w:val="0"/>
                <w:szCs w:val="21"/>
                <w:highlight w:val="none"/>
              </w:rPr>
              <w:t>实施地点</w:t>
            </w:r>
          </w:p>
        </w:tc>
        <w:tc>
          <w:tcPr>
            <w:tcW w:w="1241" w:type="dxa"/>
            <w:vAlign w:val="center"/>
          </w:tcPr>
          <w:p>
            <w:pPr>
              <w:widowControl/>
              <w:snapToGrid w:val="0"/>
              <w:spacing w:line="360" w:lineRule="auto"/>
              <w:jc w:val="center"/>
              <w:rPr>
                <w:b/>
                <w:bCs/>
                <w:color w:val="auto"/>
                <w:kern w:val="0"/>
                <w:szCs w:val="21"/>
                <w:highlight w:val="none"/>
              </w:rPr>
            </w:pPr>
            <w:r>
              <w:rPr>
                <w:b/>
                <w:bCs/>
                <w:color w:val="auto"/>
                <w:kern w:val="0"/>
                <w:szCs w:val="21"/>
                <w:highlight w:val="none"/>
              </w:rPr>
              <w:t>工作内容</w:t>
            </w:r>
          </w:p>
        </w:tc>
        <w:tc>
          <w:tcPr>
            <w:tcW w:w="2528" w:type="dxa"/>
            <w:vAlign w:val="center"/>
          </w:tcPr>
          <w:p>
            <w:pPr>
              <w:widowControl/>
              <w:snapToGrid w:val="0"/>
              <w:spacing w:line="360" w:lineRule="auto"/>
              <w:jc w:val="center"/>
              <w:rPr>
                <w:b/>
                <w:bCs/>
                <w:color w:val="auto"/>
                <w:kern w:val="0"/>
                <w:szCs w:val="21"/>
                <w:highlight w:val="none"/>
              </w:rPr>
            </w:pPr>
            <w:r>
              <w:rPr>
                <w:b/>
                <w:bCs/>
                <w:color w:val="auto"/>
                <w:kern w:val="0"/>
                <w:szCs w:val="21"/>
                <w:highlight w:val="none"/>
              </w:rPr>
              <w:t>服务效果</w:t>
            </w:r>
          </w:p>
        </w:tc>
        <w:tc>
          <w:tcPr>
            <w:tcW w:w="1774" w:type="dxa"/>
            <w:vAlign w:val="center"/>
          </w:tcPr>
          <w:p>
            <w:pPr>
              <w:widowControl/>
              <w:snapToGrid w:val="0"/>
              <w:spacing w:line="360" w:lineRule="auto"/>
              <w:jc w:val="center"/>
              <w:rPr>
                <w:b/>
                <w:bCs/>
                <w:color w:val="auto"/>
                <w:kern w:val="0"/>
                <w:szCs w:val="21"/>
                <w:highlight w:val="none"/>
              </w:rPr>
            </w:pPr>
            <w:r>
              <w:rPr>
                <w:b/>
                <w:bCs/>
                <w:color w:val="auto"/>
                <w:kern w:val="0"/>
                <w:szCs w:val="21"/>
                <w:highlight w:val="none"/>
              </w:rPr>
              <w:t>专项服务</w:t>
            </w:r>
          </w:p>
          <w:p>
            <w:pPr>
              <w:widowControl/>
              <w:snapToGrid w:val="0"/>
              <w:spacing w:line="360" w:lineRule="auto"/>
              <w:jc w:val="center"/>
              <w:rPr>
                <w:color w:val="auto"/>
                <w:kern w:val="0"/>
                <w:szCs w:val="21"/>
                <w:highlight w:val="none"/>
              </w:rPr>
            </w:pPr>
            <w:r>
              <w:rPr>
                <w:b/>
                <w:bCs/>
                <w:color w:val="auto"/>
                <w:kern w:val="0"/>
                <w:szCs w:val="21"/>
                <w:highlight w:val="none"/>
              </w:rPr>
              <w:t>联系人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65" w:hRule="atLeast"/>
        </w:trPr>
        <w:tc>
          <w:tcPr>
            <w:tcW w:w="1087" w:type="dxa"/>
          </w:tcPr>
          <w:p>
            <w:pPr>
              <w:widowControl/>
              <w:snapToGrid w:val="0"/>
              <w:spacing w:line="360" w:lineRule="auto"/>
              <w:jc w:val="center"/>
              <w:rPr>
                <w:color w:val="auto"/>
                <w:kern w:val="0"/>
                <w:szCs w:val="21"/>
                <w:highlight w:val="none"/>
              </w:rPr>
            </w:pPr>
            <w:r>
              <w:rPr>
                <w:color w:val="auto"/>
                <w:kern w:val="0"/>
                <w:szCs w:val="21"/>
                <w:highlight w:val="none"/>
              </w:rPr>
              <w:t>1</w:t>
            </w:r>
          </w:p>
        </w:tc>
        <w:tc>
          <w:tcPr>
            <w:tcW w:w="1350" w:type="dxa"/>
          </w:tcPr>
          <w:p>
            <w:pPr>
              <w:widowControl/>
              <w:snapToGrid w:val="0"/>
              <w:spacing w:line="360" w:lineRule="auto"/>
              <w:jc w:val="left"/>
              <w:rPr>
                <w:color w:val="auto"/>
                <w:kern w:val="0"/>
                <w:szCs w:val="21"/>
                <w:highlight w:val="none"/>
              </w:rPr>
            </w:pPr>
          </w:p>
        </w:tc>
        <w:tc>
          <w:tcPr>
            <w:tcW w:w="1200" w:type="dxa"/>
          </w:tcPr>
          <w:p>
            <w:pPr>
              <w:widowControl/>
              <w:snapToGrid w:val="0"/>
              <w:spacing w:line="360" w:lineRule="auto"/>
              <w:jc w:val="left"/>
              <w:rPr>
                <w:color w:val="auto"/>
                <w:kern w:val="0"/>
                <w:szCs w:val="21"/>
                <w:highlight w:val="none"/>
              </w:rPr>
            </w:pPr>
          </w:p>
        </w:tc>
        <w:tc>
          <w:tcPr>
            <w:tcW w:w="1241" w:type="dxa"/>
          </w:tcPr>
          <w:p>
            <w:pPr>
              <w:widowControl/>
              <w:snapToGrid w:val="0"/>
              <w:spacing w:line="360" w:lineRule="auto"/>
              <w:jc w:val="left"/>
              <w:rPr>
                <w:color w:val="auto"/>
                <w:kern w:val="0"/>
                <w:szCs w:val="21"/>
                <w:highlight w:val="none"/>
              </w:rPr>
            </w:pPr>
          </w:p>
        </w:tc>
        <w:tc>
          <w:tcPr>
            <w:tcW w:w="2528" w:type="dxa"/>
          </w:tcPr>
          <w:p>
            <w:pPr>
              <w:widowControl/>
              <w:snapToGrid w:val="0"/>
              <w:spacing w:line="360" w:lineRule="auto"/>
              <w:jc w:val="left"/>
              <w:rPr>
                <w:color w:val="auto"/>
                <w:kern w:val="0"/>
                <w:szCs w:val="21"/>
                <w:highlight w:val="none"/>
              </w:rPr>
            </w:pPr>
          </w:p>
        </w:tc>
        <w:tc>
          <w:tcPr>
            <w:tcW w:w="1774" w:type="dxa"/>
          </w:tcPr>
          <w:p>
            <w:pPr>
              <w:widowControl/>
              <w:snapToGrid w:val="0"/>
              <w:spacing w:line="360" w:lineRule="auto"/>
              <w:jc w:val="left"/>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251" w:hRule="atLeast"/>
        </w:trPr>
        <w:tc>
          <w:tcPr>
            <w:tcW w:w="1087" w:type="dxa"/>
          </w:tcPr>
          <w:p>
            <w:pPr>
              <w:widowControl/>
              <w:snapToGrid w:val="0"/>
              <w:spacing w:line="360" w:lineRule="auto"/>
              <w:jc w:val="center"/>
              <w:rPr>
                <w:color w:val="auto"/>
                <w:kern w:val="0"/>
                <w:szCs w:val="21"/>
                <w:highlight w:val="none"/>
              </w:rPr>
            </w:pPr>
            <w:r>
              <w:rPr>
                <w:color w:val="auto"/>
                <w:kern w:val="0"/>
                <w:szCs w:val="21"/>
                <w:highlight w:val="none"/>
              </w:rPr>
              <w:t>2</w:t>
            </w:r>
          </w:p>
        </w:tc>
        <w:tc>
          <w:tcPr>
            <w:tcW w:w="1350" w:type="dxa"/>
          </w:tcPr>
          <w:p>
            <w:pPr>
              <w:widowControl/>
              <w:snapToGrid w:val="0"/>
              <w:spacing w:line="360" w:lineRule="auto"/>
              <w:jc w:val="left"/>
              <w:rPr>
                <w:color w:val="auto"/>
                <w:kern w:val="0"/>
                <w:szCs w:val="21"/>
                <w:highlight w:val="none"/>
              </w:rPr>
            </w:pPr>
          </w:p>
        </w:tc>
        <w:tc>
          <w:tcPr>
            <w:tcW w:w="1200" w:type="dxa"/>
          </w:tcPr>
          <w:p>
            <w:pPr>
              <w:widowControl/>
              <w:snapToGrid w:val="0"/>
              <w:spacing w:line="360" w:lineRule="auto"/>
              <w:jc w:val="left"/>
              <w:rPr>
                <w:color w:val="auto"/>
                <w:kern w:val="0"/>
                <w:szCs w:val="21"/>
                <w:highlight w:val="none"/>
              </w:rPr>
            </w:pPr>
          </w:p>
        </w:tc>
        <w:tc>
          <w:tcPr>
            <w:tcW w:w="1241" w:type="dxa"/>
          </w:tcPr>
          <w:p>
            <w:pPr>
              <w:widowControl/>
              <w:snapToGrid w:val="0"/>
              <w:spacing w:line="360" w:lineRule="auto"/>
              <w:jc w:val="left"/>
              <w:rPr>
                <w:color w:val="auto"/>
                <w:kern w:val="0"/>
                <w:szCs w:val="21"/>
                <w:highlight w:val="none"/>
              </w:rPr>
            </w:pPr>
          </w:p>
        </w:tc>
        <w:tc>
          <w:tcPr>
            <w:tcW w:w="2528" w:type="dxa"/>
          </w:tcPr>
          <w:p>
            <w:pPr>
              <w:widowControl/>
              <w:snapToGrid w:val="0"/>
              <w:spacing w:line="360" w:lineRule="auto"/>
              <w:jc w:val="left"/>
              <w:rPr>
                <w:color w:val="auto"/>
                <w:kern w:val="0"/>
                <w:szCs w:val="21"/>
                <w:highlight w:val="none"/>
              </w:rPr>
            </w:pPr>
          </w:p>
        </w:tc>
        <w:tc>
          <w:tcPr>
            <w:tcW w:w="1774" w:type="dxa"/>
          </w:tcPr>
          <w:p>
            <w:pPr>
              <w:widowControl/>
              <w:snapToGrid w:val="0"/>
              <w:spacing w:line="360" w:lineRule="auto"/>
              <w:jc w:val="left"/>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c>
          <w:tcPr>
            <w:tcW w:w="1087" w:type="dxa"/>
          </w:tcPr>
          <w:p>
            <w:pPr>
              <w:widowControl/>
              <w:snapToGrid w:val="0"/>
              <w:spacing w:line="360" w:lineRule="auto"/>
              <w:jc w:val="center"/>
              <w:rPr>
                <w:color w:val="auto"/>
                <w:kern w:val="0"/>
                <w:szCs w:val="21"/>
                <w:highlight w:val="none"/>
              </w:rPr>
            </w:pPr>
            <w:r>
              <w:rPr>
                <w:color w:val="auto"/>
                <w:kern w:val="0"/>
                <w:szCs w:val="21"/>
                <w:highlight w:val="none"/>
              </w:rPr>
              <w:t>……</w:t>
            </w:r>
          </w:p>
        </w:tc>
        <w:tc>
          <w:tcPr>
            <w:tcW w:w="1350" w:type="dxa"/>
          </w:tcPr>
          <w:p>
            <w:pPr>
              <w:widowControl/>
              <w:snapToGrid w:val="0"/>
              <w:spacing w:line="360" w:lineRule="auto"/>
              <w:jc w:val="left"/>
              <w:rPr>
                <w:color w:val="auto"/>
                <w:kern w:val="0"/>
                <w:szCs w:val="21"/>
                <w:highlight w:val="none"/>
              </w:rPr>
            </w:pPr>
          </w:p>
        </w:tc>
        <w:tc>
          <w:tcPr>
            <w:tcW w:w="1200" w:type="dxa"/>
          </w:tcPr>
          <w:p>
            <w:pPr>
              <w:widowControl/>
              <w:snapToGrid w:val="0"/>
              <w:spacing w:line="360" w:lineRule="auto"/>
              <w:jc w:val="left"/>
              <w:rPr>
                <w:color w:val="auto"/>
                <w:kern w:val="0"/>
                <w:szCs w:val="21"/>
                <w:highlight w:val="none"/>
              </w:rPr>
            </w:pPr>
          </w:p>
        </w:tc>
        <w:tc>
          <w:tcPr>
            <w:tcW w:w="1241" w:type="dxa"/>
          </w:tcPr>
          <w:p>
            <w:pPr>
              <w:widowControl/>
              <w:snapToGrid w:val="0"/>
              <w:spacing w:line="360" w:lineRule="auto"/>
              <w:jc w:val="left"/>
              <w:rPr>
                <w:color w:val="auto"/>
                <w:kern w:val="0"/>
                <w:szCs w:val="21"/>
                <w:highlight w:val="none"/>
              </w:rPr>
            </w:pPr>
          </w:p>
        </w:tc>
        <w:tc>
          <w:tcPr>
            <w:tcW w:w="2528" w:type="dxa"/>
          </w:tcPr>
          <w:p>
            <w:pPr>
              <w:widowControl/>
              <w:snapToGrid w:val="0"/>
              <w:spacing w:line="360" w:lineRule="auto"/>
              <w:jc w:val="left"/>
              <w:rPr>
                <w:color w:val="auto"/>
                <w:kern w:val="0"/>
                <w:szCs w:val="21"/>
                <w:highlight w:val="none"/>
              </w:rPr>
            </w:pPr>
          </w:p>
        </w:tc>
        <w:tc>
          <w:tcPr>
            <w:tcW w:w="1774" w:type="dxa"/>
          </w:tcPr>
          <w:p>
            <w:pPr>
              <w:widowControl/>
              <w:snapToGrid w:val="0"/>
              <w:spacing w:line="360" w:lineRule="auto"/>
              <w:jc w:val="left"/>
              <w:rPr>
                <w:color w:val="auto"/>
                <w:kern w:val="0"/>
                <w:szCs w:val="21"/>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43" w:hRule="atLeast"/>
        </w:trPr>
        <w:tc>
          <w:tcPr>
            <w:tcW w:w="9180" w:type="dxa"/>
            <w:gridSpan w:val="6"/>
          </w:tcPr>
          <w:p>
            <w:pPr>
              <w:widowControl/>
              <w:snapToGrid w:val="0"/>
              <w:spacing w:line="360" w:lineRule="auto"/>
              <w:ind w:firstLine="420"/>
              <w:jc w:val="left"/>
              <w:rPr>
                <w:color w:val="auto"/>
                <w:kern w:val="0"/>
                <w:szCs w:val="21"/>
                <w:highlight w:val="none"/>
              </w:rPr>
            </w:pPr>
            <w:r>
              <w:rPr>
                <w:color w:val="auto"/>
                <w:kern w:val="0"/>
                <w:szCs w:val="21"/>
                <w:highlight w:val="none"/>
              </w:rPr>
              <w:t>说明：1.时间精确到月；</w:t>
            </w:r>
          </w:p>
          <w:p>
            <w:pPr>
              <w:widowControl/>
              <w:snapToGrid w:val="0"/>
              <w:spacing w:line="360" w:lineRule="auto"/>
              <w:ind w:firstLine="420"/>
              <w:jc w:val="left"/>
              <w:rPr>
                <w:color w:val="auto"/>
                <w:kern w:val="0"/>
                <w:szCs w:val="21"/>
                <w:highlight w:val="none"/>
              </w:rPr>
            </w:pPr>
            <w:r>
              <w:rPr>
                <w:color w:val="auto"/>
                <w:kern w:val="0"/>
                <w:szCs w:val="21"/>
                <w:highlight w:val="none"/>
              </w:rPr>
              <w:t xml:space="preserve">      2.服务效果是指通过工作实施，能达到的预期服务效果。</w:t>
            </w:r>
          </w:p>
        </w:tc>
      </w:tr>
    </w:tbl>
    <w:p>
      <w:pPr>
        <w:widowControl/>
        <w:snapToGrid w:val="0"/>
        <w:spacing w:line="360" w:lineRule="auto"/>
        <w:ind w:firstLine="560"/>
        <w:jc w:val="left"/>
        <w:rPr>
          <w:rFonts w:eastAsia="仿宋_GB2312"/>
          <w:color w:val="auto"/>
          <w:kern w:val="0"/>
          <w:sz w:val="28"/>
          <w:szCs w:val="28"/>
          <w:highlight w:val="none"/>
        </w:rPr>
      </w:pPr>
    </w:p>
    <w:p>
      <w:pPr>
        <w:widowControl/>
        <w:jc w:val="left"/>
        <w:rPr>
          <w:rFonts w:eastAsia="黑体"/>
          <w:b/>
          <w:color w:val="auto"/>
          <w:sz w:val="24"/>
          <w:highlight w:val="none"/>
        </w:rPr>
      </w:pPr>
      <w:r>
        <w:rPr>
          <w:rFonts w:eastAsia="黑体"/>
          <w:b/>
          <w:color w:val="auto"/>
          <w:sz w:val="24"/>
          <w:highlight w:val="none"/>
        </w:rPr>
        <w:t>（8）其它服务</w:t>
      </w:r>
    </w:p>
    <w:p>
      <w:pPr>
        <w:widowControl/>
        <w:snapToGrid w:val="0"/>
        <w:jc w:val="center"/>
        <w:rPr>
          <w:b/>
          <w:bCs/>
          <w:color w:val="auto"/>
          <w:kern w:val="0"/>
          <w:sz w:val="24"/>
          <w:szCs w:val="24"/>
          <w:highlight w:val="none"/>
        </w:rPr>
      </w:pPr>
    </w:p>
    <w:p>
      <w:pPr>
        <w:widowControl/>
        <w:jc w:val="center"/>
        <w:rPr>
          <w:rFonts w:eastAsia="仿宋_GB2312"/>
          <w:b/>
          <w:bCs/>
          <w:color w:val="auto"/>
          <w:kern w:val="0"/>
          <w:sz w:val="32"/>
          <w:szCs w:val="32"/>
          <w:highlight w:val="none"/>
        </w:rPr>
      </w:pPr>
      <w:r>
        <w:rPr>
          <w:b/>
          <w:bCs/>
          <w:color w:val="auto"/>
          <w:kern w:val="0"/>
          <w:sz w:val="24"/>
          <w:szCs w:val="24"/>
          <w:highlight w:val="none"/>
        </w:rPr>
        <w:t>项目服务人员情况表</w:t>
      </w:r>
    </w:p>
    <w:tbl>
      <w:tblPr>
        <w:tblStyle w:val="19"/>
        <w:tblW w:w="0" w:type="auto"/>
        <w:jc w:val="center"/>
        <w:tblLayout w:type="fixed"/>
        <w:tblCellMar>
          <w:top w:w="0" w:type="dxa"/>
          <w:left w:w="108" w:type="dxa"/>
          <w:bottom w:w="0" w:type="dxa"/>
          <w:right w:w="108" w:type="dxa"/>
        </w:tblCellMar>
      </w:tblPr>
      <w:tblGrid>
        <w:gridCol w:w="1160"/>
        <w:gridCol w:w="1162"/>
        <w:gridCol w:w="1161"/>
        <w:gridCol w:w="1163"/>
        <w:gridCol w:w="1161"/>
        <w:gridCol w:w="1163"/>
        <w:gridCol w:w="1163"/>
        <w:gridCol w:w="1109"/>
      </w:tblGrid>
      <w:tr>
        <w:tblPrEx>
          <w:tblCellMar>
            <w:top w:w="0" w:type="dxa"/>
            <w:left w:w="108" w:type="dxa"/>
            <w:bottom w:w="0" w:type="dxa"/>
            <w:right w:w="108" w:type="dxa"/>
          </w:tblCellMar>
        </w:tblPrEx>
        <w:trPr>
          <w:trHeight w:val="1233"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r>
              <w:rPr>
                <w:b/>
                <w:bCs/>
                <w:color w:val="auto"/>
                <w:kern w:val="0"/>
                <w:szCs w:val="21"/>
                <w:highlight w:val="none"/>
              </w:rPr>
              <w:t>姓名</w:t>
            </w: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r>
              <w:rPr>
                <w:b/>
                <w:bCs/>
                <w:color w:val="auto"/>
                <w:kern w:val="0"/>
                <w:szCs w:val="21"/>
                <w:highlight w:val="none"/>
              </w:rPr>
              <w:t>职务</w:t>
            </w: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r>
              <w:rPr>
                <w:b/>
                <w:bCs/>
                <w:color w:val="auto"/>
                <w:kern w:val="0"/>
                <w:szCs w:val="21"/>
                <w:highlight w:val="none"/>
              </w:rPr>
              <w:t>所在机构</w:t>
            </w: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r>
              <w:rPr>
                <w:b/>
                <w:bCs/>
                <w:color w:val="auto"/>
                <w:kern w:val="0"/>
                <w:szCs w:val="21"/>
                <w:highlight w:val="none"/>
              </w:rPr>
              <w:t>专业技术职称</w:t>
            </w: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r>
              <w:rPr>
                <w:b/>
                <w:bCs/>
                <w:color w:val="auto"/>
                <w:kern w:val="0"/>
                <w:szCs w:val="21"/>
                <w:highlight w:val="none"/>
              </w:rPr>
              <w:t>在项目组中的职务</w:t>
            </w: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r>
              <w:rPr>
                <w:b/>
                <w:bCs/>
                <w:color w:val="auto"/>
                <w:kern w:val="0"/>
                <w:szCs w:val="21"/>
                <w:highlight w:val="none"/>
              </w:rPr>
              <w:t>主要职责范围</w:t>
            </w: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r>
              <w:rPr>
                <w:b/>
                <w:bCs/>
                <w:color w:val="auto"/>
                <w:kern w:val="0"/>
                <w:szCs w:val="21"/>
                <w:highlight w:val="none"/>
              </w:rPr>
              <w:t>办公电话</w:t>
            </w: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r>
              <w:rPr>
                <w:b/>
                <w:bCs/>
                <w:color w:val="auto"/>
                <w:kern w:val="0"/>
                <w:szCs w:val="21"/>
                <w:highlight w:val="none"/>
              </w:rPr>
              <w:t>手机</w:t>
            </w: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r>
        <w:tblPrEx>
          <w:tblCellMar>
            <w:top w:w="0" w:type="dxa"/>
            <w:left w:w="108" w:type="dxa"/>
            <w:bottom w:w="0" w:type="dxa"/>
            <w:right w:w="108" w:type="dxa"/>
          </w:tblCellMar>
        </w:tblPrEx>
        <w:trPr>
          <w:trHeight w:val="567" w:hRule="atLeast"/>
          <w:jc w:val="center"/>
        </w:trPr>
        <w:tc>
          <w:tcPr>
            <w:tcW w:w="1160"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auto"/>
                <w:kern w:val="0"/>
                <w:szCs w:val="21"/>
                <w:highlight w:val="none"/>
              </w:rPr>
            </w:pPr>
          </w:p>
        </w:tc>
        <w:tc>
          <w:tcPr>
            <w:tcW w:w="1162"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1"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63"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c>
          <w:tcPr>
            <w:tcW w:w="1109" w:type="dxa"/>
            <w:tcBorders>
              <w:top w:val="single" w:color="000000" w:sz="4" w:space="0"/>
              <w:left w:val="nil"/>
              <w:bottom w:val="single" w:color="000000" w:sz="4" w:space="0"/>
              <w:right w:val="single" w:color="000000" w:sz="4" w:space="0"/>
            </w:tcBorders>
            <w:vAlign w:val="center"/>
          </w:tcPr>
          <w:p>
            <w:pPr>
              <w:widowControl/>
              <w:jc w:val="center"/>
              <w:rPr>
                <w:b/>
                <w:bCs/>
                <w:color w:val="auto"/>
                <w:kern w:val="0"/>
                <w:szCs w:val="21"/>
                <w:highlight w:val="none"/>
              </w:rPr>
            </w:pPr>
          </w:p>
        </w:tc>
      </w:tr>
    </w:tbl>
    <w:p>
      <w:pPr>
        <w:widowControl/>
        <w:rPr>
          <w:rFonts w:eastAsia="仿宋_GB2312"/>
          <w:b/>
          <w:bCs/>
          <w:color w:val="auto"/>
          <w:kern w:val="0"/>
          <w:szCs w:val="21"/>
          <w:highlight w:val="none"/>
        </w:rPr>
      </w:pPr>
    </w:p>
    <w:p>
      <w:pPr>
        <w:widowControl/>
        <w:ind w:firstLine="420"/>
        <w:rPr>
          <w:color w:val="auto"/>
          <w:kern w:val="0"/>
          <w:szCs w:val="21"/>
          <w:highlight w:val="none"/>
        </w:rPr>
      </w:pPr>
      <w:r>
        <w:rPr>
          <w:color w:val="auto"/>
          <w:kern w:val="0"/>
          <w:szCs w:val="21"/>
          <w:highlight w:val="none"/>
        </w:rPr>
        <w:t>说明：保险公司须在此表中列明项目领导小组、专项服务小组及现场服务小组人员的情况。</w:t>
      </w:r>
    </w:p>
    <w:p>
      <w:pPr>
        <w:widowControl/>
        <w:jc w:val="left"/>
        <w:rPr>
          <w:rFonts w:eastAsia="黑体"/>
          <w:b/>
          <w:color w:val="auto"/>
          <w:sz w:val="24"/>
          <w:highlight w:val="none"/>
        </w:rPr>
      </w:pPr>
    </w:p>
    <w:p>
      <w:pPr>
        <w:widowControl/>
        <w:jc w:val="left"/>
        <w:rPr>
          <w:rFonts w:eastAsia="黑体"/>
          <w:b/>
          <w:color w:val="auto"/>
          <w:sz w:val="24"/>
          <w:highlight w:val="none"/>
        </w:rPr>
      </w:pPr>
      <w:r>
        <w:rPr>
          <w:rFonts w:eastAsia="黑体"/>
          <w:b/>
          <w:color w:val="auto"/>
          <w:sz w:val="24"/>
          <w:highlight w:val="none"/>
        </w:rPr>
        <w:t>（9）项目理赔承诺</w:t>
      </w:r>
    </w:p>
    <w:p>
      <w:pPr>
        <w:widowControl/>
        <w:jc w:val="center"/>
        <w:rPr>
          <w:rFonts w:eastAsia="仿宋_GB2312"/>
          <w:b/>
          <w:bCs/>
          <w:color w:val="auto"/>
          <w:kern w:val="0"/>
          <w:sz w:val="32"/>
          <w:szCs w:val="32"/>
          <w:highlight w:val="none"/>
        </w:rPr>
      </w:pPr>
    </w:p>
    <w:p>
      <w:pPr>
        <w:widowControl/>
        <w:snapToGrid w:val="0"/>
        <w:jc w:val="center"/>
        <w:rPr>
          <w:b/>
          <w:bCs/>
          <w:color w:val="auto"/>
          <w:kern w:val="0"/>
          <w:sz w:val="24"/>
          <w:szCs w:val="24"/>
          <w:highlight w:val="none"/>
        </w:rPr>
      </w:pPr>
      <w:r>
        <w:rPr>
          <w:b/>
          <w:bCs/>
          <w:color w:val="auto"/>
          <w:kern w:val="0"/>
          <w:sz w:val="24"/>
          <w:szCs w:val="24"/>
          <w:highlight w:val="none"/>
        </w:rPr>
        <w:t>项目理赔承诺</w:t>
      </w:r>
    </w:p>
    <w:p>
      <w:pPr>
        <w:widowControl/>
        <w:spacing w:line="360" w:lineRule="auto"/>
        <w:jc w:val="center"/>
        <w:rPr>
          <w:rFonts w:eastAsia="仿宋_GB2312"/>
          <w:b/>
          <w:bCs/>
          <w:color w:val="auto"/>
          <w:kern w:val="0"/>
          <w:sz w:val="32"/>
          <w:szCs w:val="32"/>
          <w:highlight w:val="none"/>
        </w:rPr>
      </w:pPr>
    </w:p>
    <w:p>
      <w:pPr>
        <w:widowControl/>
        <w:snapToGrid w:val="0"/>
        <w:spacing w:line="360" w:lineRule="auto"/>
        <w:ind w:firstLine="420"/>
        <w:jc w:val="left"/>
        <w:rPr>
          <w:color w:val="auto"/>
          <w:kern w:val="0"/>
          <w:szCs w:val="21"/>
          <w:highlight w:val="none"/>
        </w:rPr>
      </w:pPr>
      <w:r>
        <w:rPr>
          <w:color w:val="auto"/>
          <w:kern w:val="0"/>
          <w:szCs w:val="21"/>
          <w:highlight w:val="none"/>
        </w:rPr>
        <w:t>应按招标文件中规定的项目，结合实际，制定具体的工作实施方案。</w:t>
      </w:r>
    </w:p>
    <w:p>
      <w:pPr>
        <w:widowControl/>
        <w:spacing w:line="360" w:lineRule="auto"/>
        <w:ind w:firstLine="420"/>
        <w:rPr>
          <w:color w:val="auto"/>
          <w:kern w:val="0"/>
          <w:szCs w:val="21"/>
          <w:highlight w:val="none"/>
        </w:rPr>
      </w:pPr>
      <w:r>
        <w:rPr>
          <w:color w:val="auto"/>
          <w:kern w:val="0"/>
          <w:szCs w:val="21"/>
          <w:highlight w:val="none"/>
        </w:rPr>
        <w:t>（一）理赔流程（附理赔流程图）</w:t>
      </w:r>
    </w:p>
    <w:p>
      <w:pPr>
        <w:widowControl/>
        <w:spacing w:line="360" w:lineRule="auto"/>
        <w:ind w:firstLine="420"/>
        <w:rPr>
          <w:color w:val="auto"/>
          <w:kern w:val="0"/>
          <w:szCs w:val="21"/>
          <w:highlight w:val="none"/>
        </w:rPr>
      </w:pPr>
      <w:r>
        <w:rPr>
          <w:color w:val="auto"/>
          <w:kern w:val="0"/>
          <w:szCs w:val="21"/>
          <w:highlight w:val="none"/>
        </w:rPr>
        <w:t>（二）理赔资料清单</w:t>
      </w:r>
    </w:p>
    <w:p>
      <w:pPr>
        <w:rPr>
          <w:rFonts w:hint="eastAsia" w:ascii="宋体" w:hAnsi="宋体" w:eastAsia="宋体" w:cs="宋体"/>
          <w:color w:val="auto"/>
          <w:sz w:val="21"/>
          <w:szCs w:val="21"/>
          <w:highlight w:val="none"/>
          <w:lang w:val="en-US" w:eastAsia="zh-CN"/>
        </w:rPr>
      </w:pPr>
      <w:r>
        <w:rPr>
          <w:color w:val="auto"/>
          <w:kern w:val="0"/>
          <w:szCs w:val="21"/>
          <w:highlight w:val="none"/>
        </w:rPr>
        <w:t>（三）按专项理赔处理通道、理赔时效、理赔政策、预付赔款支付、聘请保险公估人及其费用等方面阐述理赔服务承诺</w:t>
      </w:r>
      <w:r>
        <w:rPr>
          <w:rFonts w:hint="eastAsia"/>
          <w:color w:val="auto"/>
          <w:kern w:val="0"/>
          <w:szCs w:val="21"/>
          <w:highlight w:val="none"/>
          <w:lang w:eastAsia="zh-CN"/>
        </w:rPr>
        <w:t>。</w:t>
      </w:r>
      <w:r>
        <w:rPr>
          <w:rFonts w:hint="eastAsia" w:ascii="宋体" w:hAnsi="宋体" w:eastAsia="宋体" w:cs="宋体"/>
          <w:color w:val="auto"/>
          <w:sz w:val="21"/>
          <w:szCs w:val="21"/>
          <w:highlight w:val="none"/>
          <w:lang w:val="en-US" w:eastAsia="zh-CN"/>
        </w:rPr>
        <w:br w:type="page"/>
      </w:r>
    </w:p>
    <w:p>
      <w:pPr>
        <w:rPr>
          <w:rFonts w:hint="eastAsia"/>
          <w:color w:val="auto"/>
          <w:szCs w:val="21"/>
          <w:highlight w:val="none"/>
          <w:lang w:val="en-US" w:eastAsia="zh-CN"/>
        </w:rPr>
      </w:pP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投标图纸、专题报告（如有）</w:t>
      </w:r>
    </w:p>
    <w:p>
      <w:pPr>
        <w:rPr>
          <w:rFonts w:hint="eastAsia"/>
          <w:color w:val="auto"/>
          <w:szCs w:val="21"/>
          <w:highlight w:val="none"/>
          <w:lang w:val="en-US" w:eastAsia="zh-CN"/>
        </w:rPr>
      </w:pPr>
    </w:p>
    <w:p>
      <w:pPr>
        <w:rPr>
          <w:rFonts w:hint="default"/>
          <w:color w:val="auto"/>
          <w:szCs w:val="21"/>
          <w:highlight w:val="none"/>
          <w:lang w:val="en-US" w:eastAsia="zh-CN"/>
        </w:rPr>
      </w:pPr>
      <w:r>
        <w:rPr>
          <w:rFonts w:hint="default"/>
          <w:color w:val="auto"/>
          <w:szCs w:val="21"/>
          <w:highlight w:val="none"/>
          <w:lang w:val="en-US" w:eastAsia="zh-CN"/>
        </w:rPr>
        <w:br w:type="page"/>
      </w:r>
    </w:p>
    <w:p>
      <w:pPr>
        <w:keepNext/>
        <w:keepLines/>
        <w:numPr>
          <w:ilvl w:val="0"/>
          <w:numId w:val="9"/>
        </w:numPr>
        <w:snapToGrid w:val="0"/>
        <w:spacing w:before="192" w:beforeLines="80" w:after="192" w:afterLines="80"/>
        <w:jc w:val="left"/>
        <w:outlineLvl w:val="1"/>
        <w:rPr>
          <w:rFonts w:eastAsia="黑体"/>
          <w:color w:val="auto"/>
          <w:sz w:val="28"/>
          <w:highlight w:val="none"/>
        </w:rPr>
      </w:pPr>
      <w:r>
        <w:rPr>
          <w:rFonts w:eastAsia="黑体"/>
          <w:color w:val="auto"/>
          <w:sz w:val="28"/>
          <w:highlight w:val="none"/>
        </w:rPr>
        <w:t>投标文件封面、封套格式</w:t>
      </w:r>
    </w:p>
    <w:p>
      <w:pPr>
        <w:jc w:val="both"/>
        <w:rPr>
          <w:color w:val="auto"/>
          <w:highlight w:val="none"/>
        </w:rPr>
      </w:pPr>
    </w:p>
    <w:p>
      <w:pPr>
        <w:pStyle w:val="5"/>
        <w:rPr>
          <w:rFonts w:ascii="Times New Roman" w:hAnsi="Times New Roman"/>
          <w:color w:val="auto"/>
          <w:highlight w:val="none"/>
        </w:rPr>
      </w:pPr>
    </w:p>
    <w:p>
      <w:pPr>
        <w:pStyle w:val="5"/>
        <w:rPr>
          <w:rFonts w:ascii="Times New Roman" w:hAnsi="Times New Roman"/>
          <w:color w:val="auto"/>
          <w:highlight w:val="none"/>
        </w:rPr>
      </w:pPr>
    </w:p>
    <w:p>
      <w:pPr>
        <w:widowControl/>
        <w:jc w:val="left"/>
        <w:rPr>
          <w:b/>
          <w:color w:val="auto"/>
          <w:sz w:val="24"/>
          <w:highlight w:val="none"/>
        </w:rPr>
      </w:pPr>
      <w:r>
        <w:rPr>
          <w:rFonts w:hint="eastAsia"/>
          <w:b/>
          <w:color w:val="auto"/>
          <w:sz w:val="24"/>
          <w:highlight w:val="none"/>
          <w:lang w:eastAsia="zh-CN"/>
        </w:rPr>
        <w:t>（</w:t>
      </w:r>
      <w:r>
        <w:rPr>
          <w:rFonts w:hint="eastAsia"/>
          <w:b/>
          <w:color w:val="auto"/>
          <w:sz w:val="24"/>
          <w:highlight w:val="none"/>
          <w:lang w:val="en-US" w:eastAsia="zh-CN"/>
        </w:rPr>
        <w:t>一</w:t>
      </w:r>
      <w:r>
        <w:rPr>
          <w:rFonts w:hint="eastAsia"/>
          <w:b/>
          <w:color w:val="auto"/>
          <w:sz w:val="24"/>
          <w:highlight w:val="none"/>
          <w:lang w:eastAsia="zh-CN"/>
        </w:rPr>
        <w:t>）</w:t>
      </w:r>
      <w:r>
        <w:rPr>
          <w:rFonts w:hint="eastAsia"/>
          <w:b/>
          <w:color w:val="auto"/>
          <w:sz w:val="24"/>
          <w:highlight w:val="none"/>
          <w:lang w:val="en-US" w:eastAsia="zh-CN"/>
        </w:rPr>
        <w:t>纸质</w:t>
      </w:r>
      <w:r>
        <w:rPr>
          <w:b/>
          <w:color w:val="auto"/>
          <w:sz w:val="24"/>
          <w:highlight w:val="none"/>
        </w:rPr>
        <w:t>正本封面格式</w:t>
      </w:r>
    </w:p>
    <w:p>
      <w:pPr>
        <w:pStyle w:val="5"/>
        <w:rPr>
          <w:rFonts w:ascii="Times New Roman" w:hAnsi="Times New Roman"/>
          <w:color w:val="auto"/>
          <w:highlight w:val="none"/>
        </w:rPr>
      </w:pPr>
    </w:p>
    <w:p>
      <w:pPr>
        <w:pStyle w:val="5"/>
        <w:rPr>
          <w:rFonts w:ascii="Times New Roman" w:hAnsi="Times New Roman"/>
          <w:color w:val="auto"/>
          <w:highlight w:val="none"/>
        </w:rPr>
      </w:pPr>
    </w:p>
    <w:p>
      <w:pPr>
        <w:jc w:val="center"/>
        <w:rPr>
          <w:color w:val="auto"/>
          <w:sz w:val="32"/>
          <w:szCs w:val="32"/>
          <w:highlight w:val="none"/>
        </w:rPr>
      </w:pPr>
      <w:r>
        <w:rPr>
          <w:color w:val="auto"/>
          <w:sz w:val="32"/>
          <w:szCs w:val="32"/>
          <w:highlight w:val="none"/>
          <w:u w:val="single"/>
        </w:rPr>
        <w:t>国家电网有限公司</w:t>
      </w:r>
      <w:r>
        <w:rPr>
          <w:color w:val="auto"/>
          <w:sz w:val="32"/>
          <w:szCs w:val="32"/>
          <w:highlight w:val="none"/>
          <w:u w:val="single"/>
        </w:rPr>
        <w:tab/>
      </w:r>
      <w:r>
        <w:rPr>
          <w:color w:val="auto"/>
          <w:sz w:val="32"/>
          <w:szCs w:val="32"/>
          <w:highlight w:val="none"/>
          <w:u w:val="single"/>
        </w:rPr>
        <w:tab/>
      </w:r>
      <w:r>
        <w:rPr>
          <w:color w:val="auto"/>
          <w:sz w:val="32"/>
          <w:szCs w:val="32"/>
          <w:highlight w:val="none"/>
          <w:u w:val="single"/>
        </w:rPr>
        <w:tab/>
      </w:r>
      <w:r>
        <w:rPr>
          <w:color w:val="auto"/>
          <w:sz w:val="32"/>
          <w:szCs w:val="32"/>
          <w:highlight w:val="none"/>
        </w:rPr>
        <w:t>（批次项目名称）招标</w:t>
      </w:r>
    </w:p>
    <w:p>
      <w:pPr>
        <w:jc w:val="center"/>
        <w:rPr>
          <w:color w:val="auto"/>
          <w:sz w:val="32"/>
          <w:szCs w:val="32"/>
          <w:highlight w:val="none"/>
        </w:rPr>
      </w:pPr>
      <w:r>
        <w:rPr>
          <w:color w:val="auto"/>
          <w:sz w:val="32"/>
          <w:szCs w:val="32"/>
          <w:highlight w:val="none"/>
        </w:rPr>
        <w:t>（招标编号：0711-                  ）</w:t>
      </w:r>
    </w:p>
    <w:p>
      <w:pPr>
        <w:rPr>
          <w:color w:val="auto"/>
          <w:highlight w:val="none"/>
        </w:rPr>
      </w:pPr>
    </w:p>
    <w:p>
      <w:pPr>
        <w:rPr>
          <w:color w:val="auto"/>
          <w:highlight w:val="none"/>
        </w:rPr>
      </w:pPr>
    </w:p>
    <w:p>
      <w:pPr>
        <w:rPr>
          <w:color w:val="auto"/>
          <w:highlight w:val="none"/>
        </w:rPr>
      </w:pPr>
    </w:p>
    <w:p>
      <w:pPr>
        <w:pStyle w:val="5"/>
        <w:rPr>
          <w:rFonts w:ascii="Times New Roman" w:hAnsi="Times New Roman"/>
          <w:color w:val="auto"/>
          <w:highlight w:val="none"/>
        </w:rPr>
      </w:pPr>
    </w:p>
    <w:p>
      <w:pPr>
        <w:jc w:val="center"/>
        <w:rPr>
          <w:rFonts w:eastAsia="方正小标宋_GBK"/>
          <w:i/>
          <w:color w:val="auto"/>
          <w:sz w:val="32"/>
          <w:highlight w:val="none"/>
          <w:u w:val="single"/>
        </w:rPr>
      </w:pPr>
      <w:r>
        <w:rPr>
          <w:rFonts w:eastAsia="方正小标宋_GBK"/>
          <w:i/>
          <w:color w:val="auto"/>
          <w:sz w:val="32"/>
          <w:highlight w:val="none"/>
          <w:u w:val="single"/>
        </w:rPr>
        <w:t>开标文件正本/报价文件正本/商务文件正本/技术文件正本…</w:t>
      </w:r>
    </w:p>
    <w:p>
      <w:pPr>
        <w:jc w:val="center"/>
        <w:rPr>
          <w:rFonts w:eastAsia="方正小标宋_GBK"/>
          <w:color w:val="auto"/>
          <w:sz w:val="32"/>
          <w:highlight w:val="none"/>
        </w:rPr>
      </w:pPr>
    </w:p>
    <w:p>
      <w:pPr>
        <w:jc w:val="center"/>
        <w:rPr>
          <w:rFonts w:eastAsia="方正小标宋_GBK"/>
          <w:color w:val="auto"/>
          <w:sz w:val="32"/>
          <w:highlight w:val="none"/>
        </w:rPr>
      </w:pPr>
      <w:r>
        <w:rPr>
          <w:rFonts w:eastAsia="方正小标宋_GBK"/>
          <w:color w:val="auto"/>
          <w:sz w:val="32"/>
          <w:highlight w:val="none"/>
        </w:rPr>
        <w:t>（分标名称： ）</w:t>
      </w:r>
    </w:p>
    <w:p>
      <w:pPr>
        <w:jc w:val="center"/>
        <w:rPr>
          <w:rFonts w:eastAsia="方正小标宋_GBK"/>
          <w:color w:val="auto"/>
          <w:sz w:val="32"/>
          <w:highlight w:val="none"/>
        </w:rPr>
      </w:pPr>
      <w:r>
        <w:rPr>
          <w:rFonts w:eastAsia="方正小标宋_GBK"/>
          <w:color w:val="auto"/>
          <w:sz w:val="32"/>
          <w:highlight w:val="none"/>
        </w:rPr>
        <w:t>（包号： ）</w:t>
      </w:r>
    </w:p>
    <w:p>
      <w:pPr>
        <w:jc w:val="center"/>
        <w:rPr>
          <w:rFonts w:eastAsia="方正小标宋_GBK"/>
          <w:color w:val="auto"/>
          <w:sz w:val="32"/>
          <w:highlight w:val="none"/>
        </w:rPr>
      </w:pPr>
    </w:p>
    <w:p>
      <w:pPr>
        <w:jc w:val="center"/>
        <w:rPr>
          <w:rFonts w:eastAsia="方正小标宋_GBK"/>
          <w:color w:val="auto"/>
          <w:sz w:val="32"/>
          <w:highlight w:val="none"/>
        </w:rPr>
      </w:pPr>
    </w:p>
    <w:p>
      <w:pPr>
        <w:jc w:val="center"/>
        <w:rPr>
          <w:rFonts w:eastAsia="方正小标宋_GBK"/>
          <w:color w:val="auto"/>
          <w:sz w:val="32"/>
          <w:highlight w:val="none"/>
        </w:rPr>
      </w:pPr>
      <w:r>
        <w:rPr>
          <w:rFonts w:eastAsia="方正小标宋_GBK"/>
          <w:color w:val="auto"/>
          <w:sz w:val="32"/>
          <w:highlight w:val="none"/>
        </w:rPr>
        <w:t>本文件共 册，此为第 册</w:t>
      </w:r>
    </w:p>
    <w:p>
      <w:pPr>
        <w:jc w:val="center"/>
        <w:rPr>
          <w:color w:val="auto"/>
          <w:highlight w:val="none"/>
        </w:rPr>
      </w:pPr>
    </w:p>
    <w:p>
      <w:pPr>
        <w:rPr>
          <w:color w:val="auto"/>
          <w:highlight w:val="none"/>
        </w:rPr>
      </w:pPr>
    </w:p>
    <w:p>
      <w:pPr>
        <w:rPr>
          <w:color w:val="auto"/>
          <w:highlight w:val="none"/>
        </w:rPr>
      </w:pPr>
    </w:p>
    <w:p>
      <w:pPr>
        <w:rPr>
          <w:color w:val="auto"/>
          <w:highlight w:val="none"/>
        </w:rPr>
      </w:pPr>
    </w:p>
    <w:p>
      <w:pPr>
        <w:jc w:val="center"/>
        <w:rPr>
          <w:color w:val="auto"/>
          <w:highlight w:val="none"/>
        </w:rPr>
      </w:pPr>
      <w:r>
        <w:rPr>
          <w:color w:val="auto"/>
          <w:highlight w:val="none"/>
        </w:rPr>
        <w:t>投标人：（盖单位公章）</w:t>
      </w:r>
    </w:p>
    <w:p>
      <w:pPr>
        <w:jc w:val="center"/>
        <w:rPr>
          <w:color w:val="auto"/>
          <w:highlight w:val="none"/>
        </w:rPr>
      </w:pPr>
    </w:p>
    <w:p>
      <w:pPr>
        <w:jc w:val="center"/>
        <w:rPr>
          <w:color w:val="auto"/>
          <w:highlight w:val="none"/>
        </w:rPr>
      </w:pPr>
      <w:r>
        <w:rPr>
          <w:color w:val="auto"/>
          <w:highlight w:val="none"/>
        </w:rPr>
        <w:t>地址：</w:t>
      </w:r>
    </w:p>
    <w:p>
      <w:pPr>
        <w:jc w:val="center"/>
        <w:rPr>
          <w:color w:val="auto"/>
          <w:sz w:val="18"/>
          <w:highlight w:val="none"/>
        </w:rPr>
      </w:pPr>
    </w:p>
    <w:p>
      <w:pPr>
        <w:jc w:val="center"/>
        <w:rPr>
          <w:color w:val="auto"/>
          <w:highlight w:val="none"/>
        </w:rPr>
      </w:pPr>
      <w:r>
        <w:rPr>
          <w:color w:val="auto"/>
          <w:highlight w:val="none"/>
        </w:rPr>
        <w:t>联系人：</w:t>
      </w:r>
    </w:p>
    <w:p>
      <w:pPr>
        <w:jc w:val="center"/>
        <w:rPr>
          <w:color w:val="auto"/>
          <w:highlight w:val="none"/>
        </w:rPr>
      </w:pPr>
    </w:p>
    <w:p>
      <w:pPr>
        <w:jc w:val="center"/>
        <w:rPr>
          <w:color w:val="auto"/>
          <w:highlight w:val="none"/>
        </w:rPr>
      </w:pPr>
      <w:r>
        <w:rPr>
          <w:color w:val="auto"/>
          <w:highlight w:val="none"/>
        </w:rPr>
        <w:t>联系方式：</w:t>
      </w:r>
    </w:p>
    <w:p>
      <w:pPr>
        <w:jc w:val="center"/>
        <w:rPr>
          <w:color w:val="auto"/>
          <w:highlight w:val="none"/>
        </w:rPr>
      </w:pPr>
    </w:p>
    <w:p>
      <w:pPr>
        <w:jc w:val="center"/>
        <w:rPr>
          <w:color w:val="auto"/>
          <w:highlight w:val="none"/>
        </w:rPr>
      </w:pPr>
      <w:r>
        <w:rPr>
          <w:color w:val="auto"/>
          <w:highlight w:val="none"/>
        </w:rPr>
        <w:t>年 月 日</w:t>
      </w:r>
    </w:p>
    <w:p>
      <w:pPr>
        <w:widowControl/>
        <w:ind w:left="0" w:firstLineChars="0"/>
        <w:jc w:val="center"/>
        <w:rPr>
          <w:rFonts w:hint="eastAsia" w:ascii="Times New Roman" w:hAnsi="Times New Roman"/>
          <w:b/>
          <w:color w:val="auto"/>
          <w:sz w:val="24"/>
          <w:highlight w:val="none"/>
          <w:lang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31"/>
        <w:widowControl/>
        <w:numPr>
          <w:ilvl w:val="0"/>
          <w:numId w:val="0"/>
        </w:numPr>
        <w:ind w:left="0" w:firstLine="0" w:firstLineChars="0"/>
        <w:jc w:val="left"/>
        <w:rPr>
          <w:rFonts w:hint="eastAsia" w:ascii="Times New Roman" w:hAnsi="Times New Roman"/>
          <w:b/>
          <w:color w:val="auto"/>
          <w:sz w:val="24"/>
          <w:highlight w:val="none"/>
          <w:lang w:val="en-US" w:eastAsia="zh-CN"/>
        </w:rPr>
      </w:pPr>
      <w:r>
        <w:rPr>
          <w:rFonts w:hint="eastAsia" w:ascii="Times New Roman" w:hAnsi="Times New Roman"/>
          <w:b/>
          <w:color w:val="auto"/>
          <w:sz w:val="24"/>
          <w:highlight w:val="none"/>
          <w:lang w:eastAsia="zh-CN"/>
        </w:rPr>
        <w:t>（</w:t>
      </w:r>
      <w:r>
        <w:rPr>
          <w:rFonts w:hint="eastAsia" w:ascii="Times New Roman" w:hAnsi="Times New Roman"/>
          <w:b/>
          <w:color w:val="auto"/>
          <w:sz w:val="24"/>
          <w:highlight w:val="none"/>
          <w:lang w:val="en-US" w:eastAsia="zh-CN"/>
        </w:rPr>
        <w:t>二</w:t>
      </w:r>
      <w:r>
        <w:rPr>
          <w:rFonts w:hint="eastAsia" w:ascii="Times New Roman" w:hAnsi="Times New Roman"/>
          <w:b/>
          <w:color w:val="auto"/>
          <w:sz w:val="24"/>
          <w:highlight w:val="none"/>
          <w:lang w:eastAsia="zh-CN"/>
        </w:rPr>
        <w:t>）</w:t>
      </w:r>
      <w:r>
        <w:rPr>
          <w:rFonts w:hint="eastAsia" w:ascii="Times New Roman" w:hAnsi="Times New Roman"/>
          <w:b/>
          <w:color w:val="auto"/>
          <w:sz w:val="24"/>
          <w:highlight w:val="none"/>
          <w:lang w:val="en-US" w:eastAsia="zh-CN"/>
        </w:rPr>
        <w:t>邮寄清单</w:t>
      </w:r>
    </w:p>
    <w:tbl>
      <w:tblPr>
        <w:tblStyle w:val="19"/>
        <w:tblW w:w="133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1"/>
        <w:gridCol w:w="1656"/>
        <w:gridCol w:w="1496"/>
        <w:gridCol w:w="731"/>
        <w:gridCol w:w="1518"/>
        <w:gridCol w:w="1988"/>
        <w:gridCol w:w="2637"/>
        <w:gridCol w:w="769"/>
        <w:gridCol w:w="19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13344" w:type="dxa"/>
            <w:gridSpan w:val="9"/>
            <w:tcBorders>
              <w:top w:val="nil"/>
              <w:left w:val="nil"/>
              <w:bottom w:val="nil"/>
              <w:right w:val="nil"/>
            </w:tcBorders>
            <w:noWrap w:val="0"/>
            <w:vAlign w:val="center"/>
          </w:tcPr>
          <w:p>
            <w:pPr>
              <w:keepNext w:val="0"/>
              <w:keepLines w:val="0"/>
              <w:widowControl/>
              <w:suppressLineNumbers w:val="0"/>
              <w:jc w:val="center"/>
              <w:textAlignment w:val="center"/>
              <w:rPr>
                <w:rFonts w:ascii="仿宋_GB2312" w:hAnsi="宋体" w:eastAsia="仿宋_GB2312" w:cs="仿宋_GB2312"/>
                <w:b/>
                <w:bCs/>
                <w:i w:val="0"/>
                <w:iCs w:val="0"/>
                <w:color w:val="auto"/>
                <w:sz w:val="32"/>
                <w:szCs w:val="32"/>
                <w:highlight w:val="none"/>
                <w:u w:val="none"/>
              </w:rPr>
            </w:pPr>
            <w:r>
              <w:rPr>
                <w:rFonts w:hint="eastAsia" w:ascii="仿宋_GB2312" w:hAnsi="宋体" w:eastAsia="仿宋_GB2312" w:cs="仿宋_GB2312"/>
                <w:b/>
                <w:bCs/>
                <w:i w:val="0"/>
                <w:iCs w:val="0"/>
                <w:color w:val="auto"/>
                <w:kern w:val="0"/>
                <w:sz w:val="32"/>
                <w:szCs w:val="32"/>
                <w:highlight w:val="none"/>
                <w:u w:val="none"/>
                <w:lang w:val="en-US" w:eastAsia="zh-CN" w:bidi="ar"/>
              </w:rPr>
              <w:t>国家电网有限公司20XX年第XX批采购（特高压项目第X次服务招标采购）-邮寄清单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64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序号</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招标编号</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分标编号</w:t>
            </w:r>
          </w:p>
        </w:tc>
        <w:tc>
          <w:tcPr>
            <w:tcW w:w="75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包号</w:t>
            </w:r>
          </w:p>
        </w:tc>
        <w:tc>
          <w:tcPr>
            <w:tcW w:w="160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分标名称</w:t>
            </w:r>
          </w:p>
        </w:tc>
        <w:tc>
          <w:tcPr>
            <w:tcW w:w="21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文件题名</w:t>
            </w:r>
          </w:p>
        </w:tc>
        <w:tc>
          <w:tcPr>
            <w:tcW w:w="283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中标人</w:t>
            </w:r>
          </w:p>
        </w:tc>
        <w:tc>
          <w:tcPr>
            <w:tcW w:w="79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页数</w:t>
            </w:r>
          </w:p>
        </w:tc>
        <w:tc>
          <w:tcPr>
            <w:tcW w:w="201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rPr>
            </w:pPr>
            <w:r>
              <w:rPr>
                <w:rFonts w:hint="eastAsia" w:ascii="仿宋_GB2312" w:hAnsi="宋体" w:eastAsia="仿宋_GB2312" w:cs="仿宋_GB2312"/>
                <w:b/>
                <w:bCs/>
                <w:i w:val="0"/>
                <w:iCs w:val="0"/>
                <w:color w:val="auto"/>
                <w:kern w:val="0"/>
                <w:sz w:val="24"/>
                <w:szCs w:val="24"/>
                <w:highlight w:val="none"/>
                <w:u w:val="none"/>
                <w:lang w:val="en-US" w:eastAsia="zh-CN" w:bidi="ar"/>
              </w:rPr>
              <w:t>成文日期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1</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开标文件</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报价文件</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3</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商务文件</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4</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技术文件（第一册）</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5</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技术文件（第二册）</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20230829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6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6</w:t>
            </w:r>
          </w:p>
        </w:tc>
        <w:tc>
          <w:tcPr>
            <w:tcW w:w="140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0711-XXOTLXXX13XXX</w:t>
            </w:r>
          </w:p>
        </w:tc>
        <w:tc>
          <w:tcPr>
            <w:tcW w:w="116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SGXXXX-XXX-XXXXX</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包X</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XXXX</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技术文件（第三册）</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XX公司</w:t>
            </w:r>
          </w:p>
        </w:tc>
        <w:tc>
          <w:tcPr>
            <w:tcW w:w="7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xxx</w:t>
            </w:r>
          </w:p>
        </w:tc>
        <w:tc>
          <w:tcPr>
            <w:tcW w:w="20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auto"/>
                <w:sz w:val="16"/>
                <w:szCs w:val="16"/>
                <w:highlight w:val="none"/>
                <w:u w:val="none"/>
              </w:rPr>
            </w:pPr>
            <w:r>
              <w:rPr>
                <w:rFonts w:hint="eastAsia" w:ascii="宋体" w:hAnsi="宋体" w:eastAsia="宋体" w:cs="宋体"/>
                <w:i w:val="0"/>
                <w:iCs w:val="0"/>
                <w:color w:val="auto"/>
                <w:kern w:val="0"/>
                <w:sz w:val="16"/>
                <w:szCs w:val="16"/>
                <w:highlight w:val="none"/>
                <w:u w:val="none"/>
                <w:lang w:val="en-US" w:eastAsia="zh-CN" w:bidi="ar"/>
              </w:rPr>
              <w:t>20230919</w:t>
            </w:r>
          </w:p>
        </w:tc>
      </w:tr>
    </w:tbl>
    <w:p>
      <w:pPr>
        <w:pStyle w:val="18"/>
        <w:rPr>
          <w:rFonts w:hint="default"/>
          <w:color w:val="auto"/>
          <w:highlight w:val="none"/>
          <w:lang w:val="en-US" w:eastAsia="zh-CN"/>
        </w:rPr>
      </w:pPr>
    </w:p>
    <w:p>
      <w:pPr>
        <w:rPr>
          <w:rFonts w:hint="default"/>
          <w:color w:val="auto"/>
          <w:highlight w:val="none"/>
          <w:lang w:val="en-US" w:eastAsia="zh-CN"/>
        </w:rPr>
      </w:pPr>
    </w:p>
    <w:p>
      <w:pPr>
        <w:pStyle w:val="18"/>
        <w:rPr>
          <w:rFonts w:hint="default"/>
          <w:color w:val="auto"/>
          <w:highlight w:val="none"/>
          <w:lang w:val="en-US" w:eastAsia="zh-CN"/>
        </w:rPr>
      </w:pPr>
    </w:p>
    <w:p>
      <w:pPr>
        <w:pStyle w:val="17"/>
        <w:rPr>
          <w:color w:val="auto"/>
          <w:highlight w:val="none"/>
        </w:rPr>
      </w:pPr>
    </w:p>
    <w:sectPr>
      <w:footnotePr>
        <w:pos w:val="beneathText"/>
      </w:footnotePr>
      <w:pgSz w:w="16840" w:h="11907" w:orient="landscape"/>
      <w:pgMar w:top="1803" w:right="1440" w:bottom="1803" w:left="1440" w:header="851" w:footer="850" w:gutter="0"/>
      <w:pgBorders>
        <w:top w:val="none" w:sz="0" w:space="0"/>
        <w:left w:val="none" w:sz="0" w:space="0"/>
        <w:bottom w:val="none" w:sz="0" w:space="0"/>
        <w:right w:val="none" w:sz="0" w:space="0"/>
      </w:pgBorders>
      <w:cols w:space="0" w:num="1"/>
      <w:titlePg/>
      <w:rtlGutter w:val="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方正仿宋_GBK">
    <w:panose1 w:val="03000509000000000000"/>
    <w:charset w:val="86"/>
    <w:family w:val="script"/>
    <w:pitch w:val="default"/>
    <w:sig w:usb0="00000001" w:usb1="080E0000" w:usb2="00000000" w:usb3="00000000" w:csb0="00040000" w:csb1="00000000"/>
  </w:font>
  <w:font w:name="EU-F1">
    <w:altName w:val="微软雅黑"/>
    <w:panose1 w:val="00000000000000000000"/>
    <w:charset w:val="86"/>
    <w:family w:val="script"/>
    <w:pitch w:val="default"/>
    <w:sig w:usb0="00000000" w:usb1="00000000" w:usb2="00000010" w:usb3="00000000" w:csb0="00040001" w:csb1="00000000"/>
  </w:font>
  <w:font w:name="方正小标宋_GBK">
    <w:panose1 w:val="03000509000000000000"/>
    <w:charset w:val="86"/>
    <w:family w:val="script"/>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楷体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 PAGE   \* MERGEFORMAT </w:instrText>
    </w:r>
    <w:r>
      <w:fldChar w:fldCharType="separate"/>
    </w:r>
    <w:r>
      <w:t>97</w:t>
    </w:r>
    <w:r>
      <w:fldChar w:fldCharType="end"/>
    </w:r>
  </w:p>
  <w:p>
    <w:pPr>
      <w:pStyle w:val="6"/>
      <w:spacing w:line="14" w:lineRule="auto"/>
      <w:ind w:firstLine="240"/>
      <w:rPr>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 PAGE   \* MERGEFORMAT </w:instrText>
    </w:r>
    <w:r>
      <w:fldChar w:fldCharType="separate"/>
    </w:r>
    <w:r>
      <w:t>97</w:t>
    </w:r>
    <w:r>
      <w:fldChar w:fldCharType="end"/>
    </w:r>
  </w:p>
  <w:p>
    <w:pPr>
      <w:pStyle w:val="6"/>
      <w:spacing w:line="14" w:lineRule="auto"/>
      <w:ind w:firstLine="240"/>
      <w:rPr>
        <w:sz w:val="1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 PAGE   \* MERGEFORMAT </w:instrText>
    </w:r>
    <w:r>
      <w:fldChar w:fldCharType="separate"/>
    </w:r>
    <w:r>
      <w:t>97</w:t>
    </w:r>
    <w:r>
      <w:fldChar w:fldCharType="end"/>
    </w:r>
  </w:p>
  <w:p>
    <w:pPr>
      <w:pStyle w:val="6"/>
      <w:spacing w:line="14" w:lineRule="auto"/>
      <w:ind w:firstLine="240"/>
      <w:rPr>
        <w:sz w:val="1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3"/>
                            <w:jc w:val="center"/>
                          </w:pPr>
                          <w:r>
                            <w:fldChar w:fldCharType="begin"/>
                          </w:r>
                          <w:r>
                            <w:instrText xml:space="preserve">PAGE   \* MERGEFORMAT</w:instrText>
                          </w:r>
                          <w:r>
                            <w:fldChar w:fldCharType="separate"/>
                          </w:r>
                          <w:r>
                            <w:rPr>
                              <w:lang w:val="zh-CN"/>
                            </w:rPr>
                            <w:t>104</w:t>
                          </w:r>
                          <w:r>
                            <w:rPr>
                              <w:lang w:val="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rrjO8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lLShy3OPHzj+/nn7/Pv74R&#10;9KFAfYAa8x4DZqbhxg+YPPsBnZn3oKLNX2REMI7yni7yyiERkR+tlqtVhSGBsfmC+OzpeYiQ7qS3&#10;JBsNjTi/Iis/3kMaU+eUXM35W21MmaFxfzkQM3tY7n3sMVtp2A0ToZ1vT8inx9E31OGmU2I+OlQ2&#10;b8lsxNnYzcYhRL3vyhrlehA+HBI2UXrLFUbYqTDOrLCb9isvxfN7yXr6p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uuuM7yQEAAJsDAAAOAAAAAAAAAAEAIAAAAB4BAABkcnMvZTJvRG9j&#10;LnhtbFBLBQYAAAAABgAGAFkBAABZBQAAAAA=&#10;">
              <v:fill on="f" focussize="0,0"/>
              <v:stroke on="f"/>
              <v:imagedata o:title=""/>
              <o:lock v:ext="edit" aspectratio="f"/>
              <v:textbox inset="0mm,0mm,0mm,0mm" style="mso-fit-shape-to-text:t;">
                <w:txbxContent>
                  <w:p>
                    <w:pPr>
                      <w:pStyle w:val="13"/>
                      <w:jc w:val="center"/>
                    </w:pPr>
                    <w:r>
                      <w:fldChar w:fldCharType="begin"/>
                    </w:r>
                    <w:r>
                      <w:instrText xml:space="preserve">PAGE   \* MERGEFORMAT</w:instrText>
                    </w:r>
                    <w:r>
                      <w:fldChar w:fldCharType="separate"/>
                    </w:r>
                    <w:r>
                      <w:rPr>
                        <w:lang w:val="zh-CN"/>
                      </w:rPr>
                      <w:t>104</w:t>
                    </w:r>
                    <w:r>
                      <w:rPr>
                        <w:lang w:val="zh-CN"/>
                      </w:rPr>
                      <w:fldChar w:fldCharType="end"/>
                    </w:r>
                  </w:p>
                </w:txbxContent>
              </v:textbox>
            </v:shape>
          </w:pict>
        </mc:Fallback>
      </mc:AlternateContent>
    </w:r>
  </w:p>
  <w:p>
    <w:pPr>
      <w:pStyle w:val="1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1FBB7"/>
    <w:multiLevelType w:val="singleLevel"/>
    <w:tmpl w:val="A5F1FBB7"/>
    <w:lvl w:ilvl="0" w:tentative="0">
      <w:start w:val="1"/>
      <w:numFmt w:val="decimal"/>
      <w:suff w:val="nothing"/>
      <w:lvlText w:val="（%1）"/>
      <w:lvlJc w:val="left"/>
    </w:lvl>
  </w:abstractNum>
  <w:abstractNum w:abstractNumId="1">
    <w:nsid w:val="AA62180C"/>
    <w:multiLevelType w:val="singleLevel"/>
    <w:tmpl w:val="AA62180C"/>
    <w:lvl w:ilvl="0" w:tentative="0">
      <w:start w:val="3"/>
      <w:numFmt w:val="decimal"/>
      <w:suff w:val="nothing"/>
      <w:lvlText w:val="%1）"/>
      <w:lvlJc w:val="left"/>
    </w:lvl>
  </w:abstractNum>
  <w:abstractNum w:abstractNumId="2">
    <w:nsid w:val="B39DD10F"/>
    <w:multiLevelType w:val="singleLevel"/>
    <w:tmpl w:val="B39DD10F"/>
    <w:lvl w:ilvl="0" w:tentative="0">
      <w:start w:val="8"/>
      <w:numFmt w:val="decimal"/>
      <w:lvlText w:val="%1."/>
      <w:lvlJc w:val="left"/>
      <w:pPr>
        <w:tabs>
          <w:tab w:val="left" w:pos="312"/>
        </w:tabs>
      </w:pPr>
    </w:lvl>
  </w:abstractNum>
  <w:abstractNum w:abstractNumId="3">
    <w:nsid w:val="C1A9505B"/>
    <w:multiLevelType w:val="singleLevel"/>
    <w:tmpl w:val="C1A9505B"/>
    <w:lvl w:ilvl="0" w:tentative="0">
      <w:start w:val="1"/>
      <w:numFmt w:val="decimal"/>
      <w:lvlText w:val="%1."/>
      <w:lvlJc w:val="left"/>
      <w:pPr>
        <w:tabs>
          <w:tab w:val="left" w:pos="312"/>
        </w:tabs>
      </w:pPr>
    </w:lvl>
  </w:abstractNum>
  <w:abstractNum w:abstractNumId="4">
    <w:nsid w:val="C3FA6FAB"/>
    <w:multiLevelType w:val="singleLevel"/>
    <w:tmpl w:val="C3FA6FAB"/>
    <w:lvl w:ilvl="0" w:tentative="0">
      <w:start w:val="1"/>
      <w:numFmt w:val="decimal"/>
      <w:lvlText w:val="%1."/>
      <w:lvlJc w:val="left"/>
      <w:pPr>
        <w:tabs>
          <w:tab w:val="left" w:pos="312"/>
        </w:tabs>
      </w:pPr>
    </w:lvl>
  </w:abstractNum>
  <w:abstractNum w:abstractNumId="5">
    <w:nsid w:val="C9CE4ACB"/>
    <w:multiLevelType w:val="singleLevel"/>
    <w:tmpl w:val="C9CE4ACB"/>
    <w:lvl w:ilvl="0" w:tentative="0">
      <w:start w:val="1"/>
      <w:numFmt w:val="decimal"/>
      <w:suff w:val="space"/>
      <w:lvlText w:val="%1."/>
      <w:lvlJc w:val="left"/>
    </w:lvl>
  </w:abstractNum>
  <w:abstractNum w:abstractNumId="6">
    <w:nsid w:val="0000000F"/>
    <w:multiLevelType w:val="multilevel"/>
    <w:tmpl w:val="0000000F"/>
    <w:lvl w:ilvl="0" w:tentative="0">
      <w:start w:val="1"/>
      <w:numFmt w:val="decimal"/>
      <w:lvlText w:val="%1."/>
      <w:lvlJc w:val="left"/>
      <w:pPr>
        <w:ind w:left="641" w:hanging="401"/>
      </w:pPr>
      <w:rPr>
        <w:rFonts w:hint="eastAsia" w:ascii="黑体" w:hAnsi="Calibri" w:eastAsia="黑体" w:cs="Times New Roman"/>
        <w:b/>
        <w:bCs/>
        <w:w w:val="99"/>
        <w:sz w:val="24"/>
        <w:szCs w:val="32"/>
        <w:lang w:val="zh-CN" w:eastAsia="zh-CN"/>
      </w:rPr>
    </w:lvl>
    <w:lvl w:ilvl="1" w:tentative="0">
      <w:start w:val="1"/>
      <w:numFmt w:val="decimal"/>
      <w:lvlText w:val="%1.%2"/>
      <w:lvlJc w:val="left"/>
      <w:pPr>
        <w:ind w:left="866" w:hanging="490"/>
      </w:pPr>
      <w:rPr>
        <w:rFonts w:hint="eastAsia" w:ascii="黑体" w:hAnsi="Calibri" w:eastAsia="黑体" w:cs="Times New Roman"/>
        <w:w w:val="100"/>
        <w:sz w:val="21"/>
        <w:szCs w:val="28"/>
        <w:lang w:val="zh-CN" w:eastAsia="zh-CN"/>
      </w:rPr>
    </w:lvl>
    <w:lvl w:ilvl="2" w:tentative="0">
      <w:start w:val="1"/>
      <w:numFmt w:val="decimal"/>
      <w:lvlText w:val="%1.%2.%3"/>
      <w:lvlJc w:val="left"/>
      <w:pPr>
        <w:ind w:left="1186" w:hanging="526"/>
      </w:pPr>
      <w:rPr>
        <w:rFonts w:hint="eastAsia" w:ascii="宋体" w:hAnsi="宋体" w:eastAsia="宋体" w:cs="Times New Roman"/>
        <w:w w:val="100"/>
        <w:sz w:val="21"/>
        <w:szCs w:val="21"/>
        <w:lang w:val="zh-CN" w:eastAsia="zh-CN"/>
      </w:rPr>
    </w:lvl>
    <w:lvl w:ilvl="3" w:tentative="0">
      <w:start w:val="1"/>
      <w:numFmt w:val="bullet"/>
      <w:lvlText w:val="•"/>
      <w:lvlJc w:val="left"/>
      <w:pPr>
        <w:ind w:left="1180" w:hanging="526"/>
      </w:pPr>
      <w:rPr>
        <w:rFonts w:hint="default"/>
        <w:lang w:val="zh-CN" w:eastAsia="zh-CN"/>
      </w:rPr>
    </w:lvl>
    <w:lvl w:ilvl="4" w:tentative="0">
      <w:start w:val="1"/>
      <w:numFmt w:val="bullet"/>
      <w:lvlText w:val="•"/>
      <w:lvlJc w:val="left"/>
      <w:pPr>
        <w:ind w:left="2380" w:hanging="526"/>
      </w:pPr>
      <w:rPr>
        <w:rFonts w:hint="default"/>
        <w:lang w:val="zh-CN" w:eastAsia="zh-CN"/>
      </w:rPr>
    </w:lvl>
    <w:lvl w:ilvl="5" w:tentative="0">
      <w:start w:val="1"/>
      <w:numFmt w:val="bullet"/>
      <w:lvlText w:val="•"/>
      <w:lvlJc w:val="left"/>
      <w:pPr>
        <w:ind w:left="3580" w:hanging="526"/>
      </w:pPr>
      <w:rPr>
        <w:rFonts w:hint="default"/>
        <w:lang w:val="zh-CN" w:eastAsia="zh-CN"/>
      </w:rPr>
    </w:lvl>
    <w:lvl w:ilvl="6" w:tentative="0">
      <w:start w:val="1"/>
      <w:numFmt w:val="bullet"/>
      <w:lvlText w:val="•"/>
      <w:lvlJc w:val="left"/>
      <w:pPr>
        <w:ind w:left="4780" w:hanging="526"/>
      </w:pPr>
      <w:rPr>
        <w:rFonts w:hint="default"/>
        <w:lang w:val="zh-CN" w:eastAsia="zh-CN"/>
      </w:rPr>
    </w:lvl>
    <w:lvl w:ilvl="7" w:tentative="0">
      <w:start w:val="1"/>
      <w:numFmt w:val="bullet"/>
      <w:lvlText w:val="•"/>
      <w:lvlJc w:val="left"/>
      <w:pPr>
        <w:ind w:left="5980" w:hanging="526"/>
      </w:pPr>
      <w:rPr>
        <w:rFonts w:hint="default"/>
        <w:lang w:val="zh-CN" w:eastAsia="zh-CN"/>
      </w:rPr>
    </w:lvl>
    <w:lvl w:ilvl="8" w:tentative="0">
      <w:start w:val="1"/>
      <w:numFmt w:val="bullet"/>
      <w:lvlText w:val="•"/>
      <w:lvlJc w:val="left"/>
      <w:pPr>
        <w:ind w:left="7180" w:hanging="526"/>
      </w:pPr>
      <w:rPr>
        <w:rFonts w:hint="default"/>
        <w:lang w:val="zh-CN" w:eastAsia="zh-CN"/>
      </w:rPr>
    </w:lvl>
  </w:abstractNum>
  <w:abstractNum w:abstractNumId="7">
    <w:nsid w:val="00000019"/>
    <w:multiLevelType w:val="multilevel"/>
    <w:tmpl w:val="00000019"/>
    <w:lvl w:ilvl="0" w:tentative="0">
      <w:start w:val="1"/>
      <w:numFmt w:val="decimal"/>
      <w:lvlText w:val="%1."/>
      <w:lvlJc w:val="left"/>
      <w:pPr>
        <w:ind w:left="641" w:hanging="401"/>
      </w:pPr>
      <w:rPr>
        <w:rFonts w:hint="eastAsia" w:ascii="黑体" w:hAnsi="Calibri" w:eastAsia="黑体" w:cs="Times New Roman"/>
        <w:b/>
        <w:bCs/>
        <w:w w:val="99"/>
        <w:sz w:val="24"/>
        <w:szCs w:val="32"/>
        <w:lang w:val="zh-CN" w:eastAsia="zh-CN"/>
      </w:rPr>
    </w:lvl>
    <w:lvl w:ilvl="1" w:tentative="0">
      <w:start w:val="1"/>
      <w:numFmt w:val="decimal"/>
      <w:lvlText w:val="%1.%2"/>
      <w:lvlJc w:val="left"/>
      <w:pPr>
        <w:ind w:left="866" w:hanging="490"/>
      </w:pPr>
      <w:rPr>
        <w:rFonts w:hint="eastAsia" w:ascii="黑体" w:hAnsi="Times New Roman" w:eastAsia="黑体" w:cs="Times New Roman"/>
        <w:b/>
        <w:w w:val="100"/>
        <w:sz w:val="21"/>
        <w:szCs w:val="28"/>
        <w:lang w:val="zh-CN" w:eastAsia="zh-CN"/>
      </w:rPr>
    </w:lvl>
    <w:lvl w:ilvl="2" w:tentative="0">
      <w:start w:val="1"/>
      <w:numFmt w:val="decimal"/>
      <w:lvlText w:val="%1.%2.%3"/>
      <w:lvlJc w:val="left"/>
      <w:pPr>
        <w:ind w:left="1041" w:hanging="473"/>
      </w:pPr>
      <w:rPr>
        <w:rFonts w:hint="default" w:ascii="宋体" w:hAnsi="宋体" w:eastAsia="宋体" w:cs="Times New Roman"/>
        <w:w w:val="100"/>
        <w:sz w:val="21"/>
        <w:szCs w:val="21"/>
        <w:lang w:val="zh-CN" w:eastAsia="zh-CN"/>
      </w:rPr>
    </w:lvl>
    <w:lvl w:ilvl="3" w:tentative="0">
      <w:start w:val="1"/>
      <w:numFmt w:val="bullet"/>
      <w:lvlText w:val="•"/>
      <w:lvlJc w:val="left"/>
      <w:pPr>
        <w:ind w:left="1180" w:hanging="473"/>
      </w:pPr>
      <w:rPr>
        <w:rFonts w:hint="default"/>
        <w:lang w:val="zh-CN" w:eastAsia="zh-CN"/>
      </w:rPr>
    </w:lvl>
    <w:lvl w:ilvl="4" w:tentative="0">
      <w:start w:val="1"/>
      <w:numFmt w:val="bullet"/>
      <w:lvlText w:val="•"/>
      <w:lvlJc w:val="left"/>
      <w:pPr>
        <w:ind w:left="2380" w:hanging="473"/>
      </w:pPr>
      <w:rPr>
        <w:rFonts w:hint="default"/>
        <w:lang w:val="zh-CN" w:eastAsia="zh-CN"/>
      </w:rPr>
    </w:lvl>
    <w:lvl w:ilvl="5" w:tentative="0">
      <w:start w:val="1"/>
      <w:numFmt w:val="bullet"/>
      <w:lvlText w:val="•"/>
      <w:lvlJc w:val="left"/>
      <w:pPr>
        <w:ind w:left="3580" w:hanging="473"/>
      </w:pPr>
      <w:rPr>
        <w:rFonts w:hint="default"/>
        <w:lang w:val="zh-CN" w:eastAsia="zh-CN"/>
      </w:rPr>
    </w:lvl>
    <w:lvl w:ilvl="6" w:tentative="0">
      <w:start w:val="1"/>
      <w:numFmt w:val="bullet"/>
      <w:lvlText w:val="•"/>
      <w:lvlJc w:val="left"/>
      <w:pPr>
        <w:ind w:left="4780" w:hanging="473"/>
      </w:pPr>
      <w:rPr>
        <w:rFonts w:hint="default"/>
        <w:lang w:val="zh-CN" w:eastAsia="zh-CN"/>
      </w:rPr>
    </w:lvl>
    <w:lvl w:ilvl="7" w:tentative="0">
      <w:start w:val="1"/>
      <w:numFmt w:val="bullet"/>
      <w:lvlText w:val="•"/>
      <w:lvlJc w:val="left"/>
      <w:pPr>
        <w:ind w:left="5980" w:hanging="473"/>
      </w:pPr>
      <w:rPr>
        <w:rFonts w:hint="default"/>
        <w:lang w:val="zh-CN" w:eastAsia="zh-CN"/>
      </w:rPr>
    </w:lvl>
    <w:lvl w:ilvl="8" w:tentative="0">
      <w:start w:val="1"/>
      <w:numFmt w:val="bullet"/>
      <w:lvlText w:val="•"/>
      <w:lvlJc w:val="left"/>
      <w:pPr>
        <w:ind w:left="7180" w:hanging="473"/>
      </w:pPr>
      <w:rPr>
        <w:rFonts w:hint="default"/>
        <w:lang w:val="zh-CN" w:eastAsia="zh-CN"/>
      </w:rPr>
    </w:lvl>
  </w:abstractNum>
  <w:abstractNum w:abstractNumId="8">
    <w:nsid w:val="06F26D8E"/>
    <w:multiLevelType w:val="singleLevel"/>
    <w:tmpl w:val="06F26D8E"/>
    <w:lvl w:ilvl="0" w:tentative="0">
      <w:start w:val="9"/>
      <w:numFmt w:val="decimal"/>
      <w:lvlText w:val="%1."/>
      <w:lvlJc w:val="left"/>
      <w:pPr>
        <w:tabs>
          <w:tab w:val="left" w:pos="312"/>
        </w:tabs>
      </w:pPr>
    </w:lvl>
  </w:abstractNum>
  <w:abstractNum w:abstractNumId="9">
    <w:nsid w:val="146E22C6"/>
    <w:multiLevelType w:val="singleLevel"/>
    <w:tmpl w:val="146E22C6"/>
    <w:lvl w:ilvl="0" w:tentative="0">
      <w:start w:val="1"/>
      <w:numFmt w:val="decimal"/>
      <w:suff w:val="nothing"/>
      <w:lvlText w:val="%1."/>
      <w:lvlJc w:val="left"/>
      <w:pPr>
        <w:tabs>
          <w:tab w:val="left" w:pos="312"/>
        </w:tabs>
      </w:pPr>
      <w:rPr>
        <w:rFonts w:hint="default"/>
      </w:rPr>
    </w:lvl>
  </w:abstractNum>
  <w:abstractNum w:abstractNumId="10">
    <w:nsid w:val="15BE7395"/>
    <w:multiLevelType w:val="singleLevel"/>
    <w:tmpl w:val="15BE7395"/>
    <w:lvl w:ilvl="0" w:tentative="0">
      <w:start w:val="1"/>
      <w:numFmt w:val="chineseCounting"/>
      <w:suff w:val="nothing"/>
      <w:lvlText w:val="（%1）"/>
      <w:lvlJc w:val="left"/>
      <w:rPr>
        <w:rFonts w:hint="eastAsia"/>
      </w:rPr>
    </w:lvl>
  </w:abstractNum>
  <w:abstractNum w:abstractNumId="11">
    <w:nsid w:val="1B450CC7"/>
    <w:multiLevelType w:val="singleLevel"/>
    <w:tmpl w:val="1B450CC7"/>
    <w:lvl w:ilvl="0" w:tentative="0">
      <w:start w:val="1"/>
      <w:numFmt w:val="decimal"/>
      <w:lvlText w:val="%1."/>
      <w:lvlJc w:val="left"/>
      <w:pPr>
        <w:tabs>
          <w:tab w:val="left" w:pos="312"/>
        </w:tabs>
      </w:pPr>
    </w:lvl>
  </w:abstractNum>
  <w:abstractNum w:abstractNumId="12">
    <w:nsid w:val="1C98B485"/>
    <w:multiLevelType w:val="singleLevel"/>
    <w:tmpl w:val="1C98B485"/>
    <w:lvl w:ilvl="0" w:tentative="0">
      <w:start w:val="2"/>
      <w:numFmt w:val="decimal"/>
      <w:suff w:val="nothing"/>
      <w:lvlText w:val="（%1）"/>
      <w:lvlJc w:val="left"/>
    </w:lvl>
  </w:abstractNum>
  <w:abstractNum w:abstractNumId="13">
    <w:nsid w:val="2A5B2036"/>
    <w:multiLevelType w:val="multilevel"/>
    <w:tmpl w:val="2A5B2036"/>
    <w:lvl w:ilvl="0" w:tentative="0">
      <w:start w:val="1"/>
      <w:numFmt w:val="japaneseCounting"/>
      <w:lvlText w:val="%1、"/>
      <w:lvlJc w:val="left"/>
      <w:pPr>
        <w:ind w:left="570" w:hanging="5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847979D"/>
    <w:multiLevelType w:val="singleLevel"/>
    <w:tmpl w:val="3847979D"/>
    <w:lvl w:ilvl="0" w:tentative="0">
      <w:start w:val="6"/>
      <w:numFmt w:val="chineseCounting"/>
      <w:suff w:val="space"/>
      <w:lvlText w:val="第%1章"/>
      <w:lvlJc w:val="left"/>
      <w:rPr>
        <w:rFonts w:hint="eastAsia"/>
      </w:rPr>
    </w:lvl>
  </w:abstractNum>
  <w:abstractNum w:abstractNumId="15">
    <w:nsid w:val="40391745"/>
    <w:multiLevelType w:val="singleLevel"/>
    <w:tmpl w:val="40391745"/>
    <w:lvl w:ilvl="0" w:tentative="0">
      <w:start w:val="1"/>
      <w:numFmt w:val="decimal"/>
      <w:suff w:val="nothing"/>
      <w:lvlText w:val="（%1）"/>
      <w:lvlJc w:val="left"/>
      <w:pPr>
        <w:ind w:left="0"/>
      </w:pPr>
    </w:lvl>
  </w:abstractNum>
  <w:abstractNum w:abstractNumId="16">
    <w:nsid w:val="5AEFD8CF"/>
    <w:multiLevelType w:val="singleLevel"/>
    <w:tmpl w:val="5AEFD8CF"/>
    <w:lvl w:ilvl="0" w:tentative="0">
      <w:start w:val="1"/>
      <w:numFmt w:val="decimal"/>
      <w:suff w:val="nothing"/>
      <w:lvlText w:val="（%1）"/>
      <w:lvlJc w:val="left"/>
    </w:lvl>
  </w:abstractNum>
  <w:num w:numId="1">
    <w:abstractNumId w:val="12"/>
  </w:num>
  <w:num w:numId="2">
    <w:abstractNumId w:val="0"/>
  </w:num>
  <w:num w:numId="3">
    <w:abstractNumId w:val="9"/>
  </w:num>
  <w:num w:numId="4">
    <w:abstractNumId w:val="2"/>
  </w:num>
  <w:num w:numId="5">
    <w:abstractNumId w:val="7"/>
  </w:num>
  <w:num w:numId="6">
    <w:abstractNumId w:val="11"/>
  </w:num>
  <w:num w:numId="7">
    <w:abstractNumId w:val="6"/>
  </w:num>
  <w:num w:numId="8">
    <w:abstractNumId w:val="14"/>
  </w:num>
  <w:num w:numId="9">
    <w:abstractNumId w:val="13"/>
  </w:num>
  <w:num w:numId="10">
    <w:abstractNumId w:val="10"/>
  </w:num>
  <w:num w:numId="11">
    <w:abstractNumId w:val="8"/>
  </w:num>
  <w:num w:numId="12">
    <w:abstractNumId w:val="4"/>
  </w:num>
  <w:num w:numId="13">
    <w:abstractNumId w:val="3"/>
  </w:num>
  <w:num w:numId="14">
    <w:abstractNumId w:val="15"/>
  </w:num>
  <w:num w:numId="15">
    <w:abstractNumId w:val="1"/>
  </w:num>
  <w:num w:numId="16">
    <w:abstractNumId w:val="1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NotDisplayPageBoundaries w:val="1"/>
  <w:embedSystemFonts/>
  <w:bordersDoNotSurroundHeader w:val="1"/>
  <w:bordersDoNotSurroundFooter w:val="1"/>
  <w:documentProtection w:enforcement="0"/>
  <w:defaultTabStop w:val="0"/>
  <w:drawingGridHorizontalSpacing w:val="210"/>
  <w:drawingGridVerticalSpacing w:val="159"/>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yNjAxOTI3NGRiYTg2OGUxZWU3ZmNiMzlmOTJmNGIifQ=="/>
  </w:docVars>
  <w:rsids>
    <w:rsidRoot w:val="00000000"/>
    <w:rsid w:val="00484FD1"/>
    <w:rsid w:val="00485F30"/>
    <w:rsid w:val="00775585"/>
    <w:rsid w:val="00985EC4"/>
    <w:rsid w:val="011D6E3C"/>
    <w:rsid w:val="013B4944"/>
    <w:rsid w:val="018E309C"/>
    <w:rsid w:val="022A50B6"/>
    <w:rsid w:val="02300969"/>
    <w:rsid w:val="029C1F55"/>
    <w:rsid w:val="02A73B69"/>
    <w:rsid w:val="02D8121E"/>
    <w:rsid w:val="03851FE6"/>
    <w:rsid w:val="03853996"/>
    <w:rsid w:val="045F4DF2"/>
    <w:rsid w:val="04991D9B"/>
    <w:rsid w:val="05080FE1"/>
    <w:rsid w:val="059B7321"/>
    <w:rsid w:val="05E42CB6"/>
    <w:rsid w:val="06A45D27"/>
    <w:rsid w:val="06E53FF0"/>
    <w:rsid w:val="0715212E"/>
    <w:rsid w:val="075E0C24"/>
    <w:rsid w:val="076E73FE"/>
    <w:rsid w:val="07E73856"/>
    <w:rsid w:val="080A5EBF"/>
    <w:rsid w:val="08801CB3"/>
    <w:rsid w:val="090D2CD0"/>
    <w:rsid w:val="098734C8"/>
    <w:rsid w:val="0A293CBB"/>
    <w:rsid w:val="0A54477F"/>
    <w:rsid w:val="0B1A1654"/>
    <w:rsid w:val="0B266665"/>
    <w:rsid w:val="0B7E3AF6"/>
    <w:rsid w:val="0B9431EF"/>
    <w:rsid w:val="0BA96C8F"/>
    <w:rsid w:val="0BB87AE0"/>
    <w:rsid w:val="0C084BD6"/>
    <w:rsid w:val="0C862DAF"/>
    <w:rsid w:val="0CA84FD3"/>
    <w:rsid w:val="0CB70C7D"/>
    <w:rsid w:val="0D285521"/>
    <w:rsid w:val="0D31309F"/>
    <w:rsid w:val="0DBC2C13"/>
    <w:rsid w:val="0DDE0998"/>
    <w:rsid w:val="0DFC545B"/>
    <w:rsid w:val="0E9D3C9F"/>
    <w:rsid w:val="0EAD093B"/>
    <w:rsid w:val="0EE84E72"/>
    <w:rsid w:val="0F0D186C"/>
    <w:rsid w:val="0F774848"/>
    <w:rsid w:val="0F87121F"/>
    <w:rsid w:val="10322F2E"/>
    <w:rsid w:val="1039678B"/>
    <w:rsid w:val="10591DF5"/>
    <w:rsid w:val="10C23712"/>
    <w:rsid w:val="10C45D0D"/>
    <w:rsid w:val="112F798B"/>
    <w:rsid w:val="11770848"/>
    <w:rsid w:val="11B15AF7"/>
    <w:rsid w:val="123E6CE2"/>
    <w:rsid w:val="12531C9B"/>
    <w:rsid w:val="12A91154"/>
    <w:rsid w:val="137D2B9A"/>
    <w:rsid w:val="13802355"/>
    <w:rsid w:val="139A07F7"/>
    <w:rsid w:val="1451195F"/>
    <w:rsid w:val="14773A8D"/>
    <w:rsid w:val="148E1DF9"/>
    <w:rsid w:val="14972B47"/>
    <w:rsid w:val="14C5064B"/>
    <w:rsid w:val="14EF6168"/>
    <w:rsid w:val="15027387"/>
    <w:rsid w:val="15205076"/>
    <w:rsid w:val="156178EB"/>
    <w:rsid w:val="1601534D"/>
    <w:rsid w:val="1649017D"/>
    <w:rsid w:val="16BA2E73"/>
    <w:rsid w:val="16F643D6"/>
    <w:rsid w:val="17491BDE"/>
    <w:rsid w:val="17A50911"/>
    <w:rsid w:val="17D67C9F"/>
    <w:rsid w:val="17EB7738"/>
    <w:rsid w:val="18303CBB"/>
    <w:rsid w:val="183B280B"/>
    <w:rsid w:val="18636D79"/>
    <w:rsid w:val="186C142F"/>
    <w:rsid w:val="193267A7"/>
    <w:rsid w:val="195A0C76"/>
    <w:rsid w:val="19DE008F"/>
    <w:rsid w:val="19E511C1"/>
    <w:rsid w:val="1AFE05D6"/>
    <w:rsid w:val="1B0E2C71"/>
    <w:rsid w:val="1B55361C"/>
    <w:rsid w:val="1B726396"/>
    <w:rsid w:val="1B9554A6"/>
    <w:rsid w:val="1BC558E3"/>
    <w:rsid w:val="1C327981"/>
    <w:rsid w:val="1C57790E"/>
    <w:rsid w:val="1C8F3C79"/>
    <w:rsid w:val="1CCA3FD1"/>
    <w:rsid w:val="1D792E4D"/>
    <w:rsid w:val="1DAC73DB"/>
    <w:rsid w:val="1E592E4A"/>
    <w:rsid w:val="1E9F430C"/>
    <w:rsid w:val="1EA65D35"/>
    <w:rsid w:val="1EC14F73"/>
    <w:rsid w:val="1F0F46C0"/>
    <w:rsid w:val="1F4759EA"/>
    <w:rsid w:val="1F85034A"/>
    <w:rsid w:val="1F985B0B"/>
    <w:rsid w:val="1FCC0FC7"/>
    <w:rsid w:val="201C2AE2"/>
    <w:rsid w:val="201D3256"/>
    <w:rsid w:val="205D1D27"/>
    <w:rsid w:val="20665273"/>
    <w:rsid w:val="207417C9"/>
    <w:rsid w:val="209C17B3"/>
    <w:rsid w:val="20C03FCA"/>
    <w:rsid w:val="20DD5410"/>
    <w:rsid w:val="20E325CD"/>
    <w:rsid w:val="2117648F"/>
    <w:rsid w:val="211D637E"/>
    <w:rsid w:val="212F761E"/>
    <w:rsid w:val="21DB373C"/>
    <w:rsid w:val="21F140D3"/>
    <w:rsid w:val="222C555A"/>
    <w:rsid w:val="231C4240"/>
    <w:rsid w:val="23883183"/>
    <w:rsid w:val="24291D0B"/>
    <w:rsid w:val="24E26372"/>
    <w:rsid w:val="24F1163A"/>
    <w:rsid w:val="259D71B4"/>
    <w:rsid w:val="25E92311"/>
    <w:rsid w:val="260512EE"/>
    <w:rsid w:val="265F1C21"/>
    <w:rsid w:val="26E541DF"/>
    <w:rsid w:val="272F045D"/>
    <w:rsid w:val="273242DE"/>
    <w:rsid w:val="27A3489E"/>
    <w:rsid w:val="27B14CAF"/>
    <w:rsid w:val="286A7345"/>
    <w:rsid w:val="286D29E1"/>
    <w:rsid w:val="287311B0"/>
    <w:rsid w:val="294D2CFB"/>
    <w:rsid w:val="29A529F3"/>
    <w:rsid w:val="2A0B20FC"/>
    <w:rsid w:val="2B0D67AD"/>
    <w:rsid w:val="2B41433A"/>
    <w:rsid w:val="2B79197D"/>
    <w:rsid w:val="2BE92C98"/>
    <w:rsid w:val="2C2A3701"/>
    <w:rsid w:val="2C36068A"/>
    <w:rsid w:val="2C386629"/>
    <w:rsid w:val="2C427702"/>
    <w:rsid w:val="2C622E1D"/>
    <w:rsid w:val="2CDE042F"/>
    <w:rsid w:val="2CF15AA0"/>
    <w:rsid w:val="2D151964"/>
    <w:rsid w:val="2D2C33D6"/>
    <w:rsid w:val="2D666998"/>
    <w:rsid w:val="2D6F3D99"/>
    <w:rsid w:val="2D7C30AE"/>
    <w:rsid w:val="2DB07F59"/>
    <w:rsid w:val="2DD13DB6"/>
    <w:rsid w:val="2DE64CDC"/>
    <w:rsid w:val="2E791CCC"/>
    <w:rsid w:val="2E8D3C53"/>
    <w:rsid w:val="2EC15DDF"/>
    <w:rsid w:val="2EDA3717"/>
    <w:rsid w:val="2F0A4DFC"/>
    <w:rsid w:val="2F0E4BFD"/>
    <w:rsid w:val="2F21715F"/>
    <w:rsid w:val="2FA07EE4"/>
    <w:rsid w:val="30BD47F2"/>
    <w:rsid w:val="311D6C03"/>
    <w:rsid w:val="3150593A"/>
    <w:rsid w:val="31AF2303"/>
    <w:rsid w:val="329130F0"/>
    <w:rsid w:val="32E51D36"/>
    <w:rsid w:val="333A2335"/>
    <w:rsid w:val="334D41E6"/>
    <w:rsid w:val="344374B7"/>
    <w:rsid w:val="347846C8"/>
    <w:rsid w:val="35290B4B"/>
    <w:rsid w:val="36D23E16"/>
    <w:rsid w:val="3715562D"/>
    <w:rsid w:val="375C5B92"/>
    <w:rsid w:val="376B527C"/>
    <w:rsid w:val="37D27781"/>
    <w:rsid w:val="37D86CCB"/>
    <w:rsid w:val="380B24F4"/>
    <w:rsid w:val="38362B30"/>
    <w:rsid w:val="385D1988"/>
    <w:rsid w:val="38CD0A45"/>
    <w:rsid w:val="394B010E"/>
    <w:rsid w:val="39787B56"/>
    <w:rsid w:val="39A502FA"/>
    <w:rsid w:val="3A1357E4"/>
    <w:rsid w:val="3A1C285D"/>
    <w:rsid w:val="3A303552"/>
    <w:rsid w:val="3A5F7E54"/>
    <w:rsid w:val="3A612966"/>
    <w:rsid w:val="3A8B12E4"/>
    <w:rsid w:val="3A962EA8"/>
    <w:rsid w:val="3AC55E22"/>
    <w:rsid w:val="3AD72F96"/>
    <w:rsid w:val="3C562ADE"/>
    <w:rsid w:val="3C717350"/>
    <w:rsid w:val="3C8F0D40"/>
    <w:rsid w:val="3D567144"/>
    <w:rsid w:val="3D5A2CB5"/>
    <w:rsid w:val="3D6725E6"/>
    <w:rsid w:val="3D6A7D83"/>
    <w:rsid w:val="3D9918A0"/>
    <w:rsid w:val="3DAC15AA"/>
    <w:rsid w:val="3DB84767"/>
    <w:rsid w:val="3E000B0F"/>
    <w:rsid w:val="3E5E243B"/>
    <w:rsid w:val="3E9D7E49"/>
    <w:rsid w:val="3EBC2A2E"/>
    <w:rsid w:val="3F7D6A3B"/>
    <w:rsid w:val="40071970"/>
    <w:rsid w:val="400952F0"/>
    <w:rsid w:val="406F18EF"/>
    <w:rsid w:val="408874C1"/>
    <w:rsid w:val="40A56403"/>
    <w:rsid w:val="40E045E4"/>
    <w:rsid w:val="41107BB4"/>
    <w:rsid w:val="41623E54"/>
    <w:rsid w:val="41685626"/>
    <w:rsid w:val="41B024A8"/>
    <w:rsid w:val="41DD4469"/>
    <w:rsid w:val="425228BE"/>
    <w:rsid w:val="425A0B69"/>
    <w:rsid w:val="425A488C"/>
    <w:rsid w:val="42B6484E"/>
    <w:rsid w:val="42E83C24"/>
    <w:rsid w:val="43097059"/>
    <w:rsid w:val="43840CF9"/>
    <w:rsid w:val="43AF5C17"/>
    <w:rsid w:val="4436451B"/>
    <w:rsid w:val="44644096"/>
    <w:rsid w:val="44670B79"/>
    <w:rsid w:val="449C7E1E"/>
    <w:rsid w:val="45592BB7"/>
    <w:rsid w:val="45927E77"/>
    <w:rsid w:val="465C2C4D"/>
    <w:rsid w:val="46F40576"/>
    <w:rsid w:val="46FA3F1F"/>
    <w:rsid w:val="4705591A"/>
    <w:rsid w:val="47585719"/>
    <w:rsid w:val="48357685"/>
    <w:rsid w:val="484653A1"/>
    <w:rsid w:val="48A36AF2"/>
    <w:rsid w:val="48CA170C"/>
    <w:rsid w:val="49BA2D04"/>
    <w:rsid w:val="4A2A5A78"/>
    <w:rsid w:val="4A2C599A"/>
    <w:rsid w:val="4A3733DC"/>
    <w:rsid w:val="4A6C2825"/>
    <w:rsid w:val="4ACA50C0"/>
    <w:rsid w:val="4ADA18B4"/>
    <w:rsid w:val="4AEE5B50"/>
    <w:rsid w:val="4C023EC3"/>
    <w:rsid w:val="4C2F2FF2"/>
    <w:rsid w:val="4CA16BE0"/>
    <w:rsid w:val="4D2211D8"/>
    <w:rsid w:val="4DAB5EDC"/>
    <w:rsid w:val="4E04490D"/>
    <w:rsid w:val="4E285425"/>
    <w:rsid w:val="4EDD0C59"/>
    <w:rsid w:val="4EED4489"/>
    <w:rsid w:val="4FB11FE2"/>
    <w:rsid w:val="508F7316"/>
    <w:rsid w:val="50B53E76"/>
    <w:rsid w:val="50ED3FD0"/>
    <w:rsid w:val="50F85BE5"/>
    <w:rsid w:val="50FA6EB0"/>
    <w:rsid w:val="51862041"/>
    <w:rsid w:val="51A02811"/>
    <w:rsid w:val="51E14127"/>
    <w:rsid w:val="52D53A65"/>
    <w:rsid w:val="5302488E"/>
    <w:rsid w:val="53913084"/>
    <w:rsid w:val="539E77EA"/>
    <w:rsid w:val="53B635B3"/>
    <w:rsid w:val="53B63676"/>
    <w:rsid w:val="53B86CFB"/>
    <w:rsid w:val="54091B14"/>
    <w:rsid w:val="54125512"/>
    <w:rsid w:val="54AC0024"/>
    <w:rsid w:val="54C11143"/>
    <w:rsid w:val="54E3424B"/>
    <w:rsid w:val="5512068D"/>
    <w:rsid w:val="551940AB"/>
    <w:rsid w:val="554458B2"/>
    <w:rsid w:val="55A7421C"/>
    <w:rsid w:val="55F93865"/>
    <w:rsid w:val="560D1A51"/>
    <w:rsid w:val="561E6480"/>
    <w:rsid w:val="572A436F"/>
    <w:rsid w:val="575F2A41"/>
    <w:rsid w:val="57A05CB7"/>
    <w:rsid w:val="581B642B"/>
    <w:rsid w:val="584E7B68"/>
    <w:rsid w:val="588D6F55"/>
    <w:rsid w:val="592325A7"/>
    <w:rsid w:val="5A2E5BA4"/>
    <w:rsid w:val="5AC80A0A"/>
    <w:rsid w:val="5AD1633C"/>
    <w:rsid w:val="5AFA4AD0"/>
    <w:rsid w:val="5B111B96"/>
    <w:rsid w:val="5B6900DD"/>
    <w:rsid w:val="5B965056"/>
    <w:rsid w:val="5C433822"/>
    <w:rsid w:val="5CA8482B"/>
    <w:rsid w:val="5D4B7531"/>
    <w:rsid w:val="5D5F6439"/>
    <w:rsid w:val="5D86500C"/>
    <w:rsid w:val="5E0C587E"/>
    <w:rsid w:val="5E624DB0"/>
    <w:rsid w:val="5EF9595D"/>
    <w:rsid w:val="5F791132"/>
    <w:rsid w:val="5F9C3A55"/>
    <w:rsid w:val="5FB16619"/>
    <w:rsid w:val="61106C7E"/>
    <w:rsid w:val="61354081"/>
    <w:rsid w:val="616B17E5"/>
    <w:rsid w:val="61B606DC"/>
    <w:rsid w:val="62074A71"/>
    <w:rsid w:val="62176C35"/>
    <w:rsid w:val="62310122"/>
    <w:rsid w:val="62374725"/>
    <w:rsid w:val="62674237"/>
    <w:rsid w:val="629245EC"/>
    <w:rsid w:val="62B84F85"/>
    <w:rsid w:val="630916C4"/>
    <w:rsid w:val="63EF12D2"/>
    <w:rsid w:val="63F43D7F"/>
    <w:rsid w:val="63FD3656"/>
    <w:rsid w:val="64654C6F"/>
    <w:rsid w:val="64677C45"/>
    <w:rsid w:val="64974C7D"/>
    <w:rsid w:val="64F434A4"/>
    <w:rsid w:val="651E51F6"/>
    <w:rsid w:val="654266AF"/>
    <w:rsid w:val="654672B3"/>
    <w:rsid w:val="654805B8"/>
    <w:rsid w:val="6554235D"/>
    <w:rsid w:val="65AC02DD"/>
    <w:rsid w:val="65EF6FAB"/>
    <w:rsid w:val="65F47718"/>
    <w:rsid w:val="660F2BB5"/>
    <w:rsid w:val="667C18AF"/>
    <w:rsid w:val="66B85C13"/>
    <w:rsid w:val="66D93700"/>
    <w:rsid w:val="66FA55AD"/>
    <w:rsid w:val="675B0437"/>
    <w:rsid w:val="676A6B3B"/>
    <w:rsid w:val="682E44FA"/>
    <w:rsid w:val="687A05CB"/>
    <w:rsid w:val="69002134"/>
    <w:rsid w:val="690F51B7"/>
    <w:rsid w:val="69223F7D"/>
    <w:rsid w:val="699102C2"/>
    <w:rsid w:val="6A1B0EF5"/>
    <w:rsid w:val="6A680BA0"/>
    <w:rsid w:val="6AA67D9D"/>
    <w:rsid w:val="6AAE1E40"/>
    <w:rsid w:val="6B855349"/>
    <w:rsid w:val="6B8B45D6"/>
    <w:rsid w:val="6B982887"/>
    <w:rsid w:val="6B9E0A74"/>
    <w:rsid w:val="6C8922E0"/>
    <w:rsid w:val="6CA4287F"/>
    <w:rsid w:val="6CAD1273"/>
    <w:rsid w:val="6CC90C65"/>
    <w:rsid w:val="6CCF2537"/>
    <w:rsid w:val="6D4C4C2C"/>
    <w:rsid w:val="6D75665C"/>
    <w:rsid w:val="6DB74CDB"/>
    <w:rsid w:val="6DD05760"/>
    <w:rsid w:val="6E0E0133"/>
    <w:rsid w:val="6E5A0455"/>
    <w:rsid w:val="6E6933A5"/>
    <w:rsid w:val="6E752944"/>
    <w:rsid w:val="6EBC2A9A"/>
    <w:rsid w:val="6EDB13EF"/>
    <w:rsid w:val="6F073393"/>
    <w:rsid w:val="6F877309"/>
    <w:rsid w:val="6FBE624E"/>
    <w:rsid w:val="700F7B60"/>
    <w:rsid w:val="70447C34"/>
    <w:rsid w:val="70682450"/>
    <w:rsid w:val="70D31529"/>
    <w:rsid w:val="713A443A"/>
    <w:rsid w:val="71971A16"/>
    <w:rsid w:val="720F34AF"/>
    <w:rsid w:val="721A4AC5"/>
    <w:rsid w:val="7224171E"/>
    <w:rsid w:val="731229AA"/>
    <w:rsid w:val="73863407"/>
    <w:rsid w:val="73EA2AA9"/>
    <w:rsid w:val="73F25E01"/>
    <w:rsid w:val="74292246"/>
    <w:rsid w:val="744B0E5C"/>
    <w:rsid w:val="747A657C"/>
    <w:rsid w:val="74BC08A1"/>
    <w:rsid w:val="751E5358"/>
    <w:rsid w:val="75C8104D"/>
    <w:rsid w:val="76162160"/>
    <w:rsid w:val="761F533D"/>
    <w:rsid w:val="764741E2"/>
    <w:rsid w:val="777B4D12"/>
    <w:rsid w:val="77E548C5"/>
    <w:rsid w:val="786D646D"/>
    <w:rsid w:val="789241E7"/>
    <w:rsid w:val="78EF5FF6"/>
    <w:rsid w:val="799D3BA0"/>
    <w:rsid w:val="7A146AD1"/>
    <w:rsid w:val="7A364F32"/>
    <w:rsid w:val="7AB46BDC"/>
    <w:rsid w:val="7AFA74B2"/>
    <w:rsid w:val="7AFB6F22"/>
    <w:rsid w:val="7B423B80"/>
    <w:rsid w:val="7BCF062D"/>
    <w:rsid w:val="7C512867"/>
    <w:rsid w:val="7CE502B1"/>
    <w:rsid w:val="7CF751C9"/>
    <w:rsid w:val="7D513B99"/>
    <w:rsid w:val="7D9344FD"/>
    <w:rsid w:val="7DFA6F07"/>
    <w:rsid w:val="7E094A54"/>
    <w:rsid w:val="7E12535A"/>
    <w:rsid w:val="7F305BF6"/>
    <w:rsid w:val="7F7E86C3"/>
    <w:rsid w:val="7F8A1909"/>
    <w:rsid w:val="D7FF82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kern w:val="44"/>
      <w:sz w:val="32"/>
    </w:rPr>
  </w:style>
  <w:style w:type="paragraph" w:styleId="3">
    <w:name w:val="heading 2"/>
    <w:basedOn w:val="1"/>
    <w:next w:val="1"/>
    <w:qFormat/>
    <w:uiPriority w:val="0"/>
    <w:pPr>
      <w:autoSpaceDE w:val="0"/>
      <w:autoSpaceDN w:val="0"/>
      <w:ind w:left="641" w:hanging="401"/>
      <w:jc w:val="left"/>
      <w:outlineLvl w:val="1"/>
    </w:pPr>
    <w:rPr>
      <w:rFonts w:ascii="Microsoft JhengHei" w:hAnsi="Microsoft JhengHei" w:eastAsia="Microsoft JhengHei"/>
      <w:b/>
      <w:bCs/>
      <w:kern w:val="0"/>
      <w:sz w:val="32"/>
      <w:szCs w:val="32"/>
      <w:lang w:val="zh-CN"/>
    </w:rPr>
  </w:style>
  <w:style w:type="paragraph" w:styleId="4">
    <w:name w:val="heading 3"/>
    <w:basedOn w:val="1"/>
    <w:next w:val="1"/>
    <w:qFormat/>
    <w:uiPriority w:val="0"/>
    <w:pPr>
      <w:autoSpaceDE w:val="0"/>
      <w:autoSpaceDN w:val="0"/>
      <w:ind w:left="866" w:hanging="489"/>
      <w:jc w:val="left"/>
      <w:outlineLvl w:val="2"/>
    </w:pPr>
    <w:rPr>
      <w:rFonts w:ascii="宋体" w:hAnsi="宋体"/>
      <w:kern w:val="0"/>
      <w:sz w:val="28"/>
      <w:szCs w:val="28"/>
      <w:lang w:val="zh-CN"/>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5">
    <w:name w:val="Normal Indent"/>
    <w:basedOn w:val="1"/>
    <w:next w:val="6"/>
    <w:qFormat/>
    <w:uiPriority w:val="0"/>
    <w:pPr>
      <w:ind w:firstLine="420"/>
    </w:pPr>
    <w:rPr>
      <w:rFonts w:ascii="Times New Roman" w:hAnsi="Times New Roman"/>
      <w:szCs w:val="24"/>
    </w:rPr>
  </w:style>
  <w:style w:type="paragraph" w:styleId="6">
    <w:name w:val="Body Text"/>
    <w:basedOn w:val="1"/>
    <w:next w:val="1"/>
    <w:qFormat/>
    <w:uiPriority w:val="0"/>
    <w:pPr>
      <w:autoSpaceDE w:val="0"/>
      <w:autoSpaceDN w:val="0"/>
      <w:jc w:val="left"/>
    </w:pPr>
    <w:rPr>
      <w:rFonts w:ascii="宋体" w:hAnsi="宋体" w:cs="宋体"/>
      <w:kern w:val="0"/>
      <w:szCs w:val="21"/>
      <w:lang w:val="zh-CN" w:bidi="zh-CN"/>
    </w:rPr>
  </w:style>
  <w:style w:type="paragraph" w:styleId="7">
    <w:name w:val="Document Map"/>
    <w:basedOn w:val="1"/>
    <w:qFormat/>
    <w:uiPriority w:val="0"/>
    <w:rPr>
      <w:rFonts w:hint="eastAsia" w:ascii="宋体"/>
      <w:sz w:val="18"/>
    </w:rPr>
  </w:style>
  <w:style w:type="paragraph" w:styleId="8">
    <w:name w:val="annotation text"/>
    <w:basedOn w:val="1"/>
    <w:qFormat/>
    <w:uiPriority w:val="0"/>
    <w:pPr>
      <w:jc w:val="left"/>
    </w:pPr>
  </w:style>
  <w:style w:type="paragraph" w:styleId="9">
    <w:name w:val="Body Text Indent"/>
    <w:basedOn w:val="1"/>
    <w:next w:val="10"/>
    <w:unhideWhenUsed/>
    <w:qFormat/>
    <w:uiPriority w:val="0"/>
    <w:pPr>
      <w:spacing w:after="120"/>
      <w:ind w:left="420" w:leftChars="200"/>
    </w:pPr>
  </w:style>
  <w:style w:type="paragraph" w:styleId="10">
    <w:name w:val="envelope return"/>
    <w:basedOn w:val="1"/>
    <w:qFormat/>
    <w:uiPriority w:val="99"/>
    <w:pPr>
      <w:snapToGrid w:val="0"/>
    </w:pPr>
    <w:rPr>
      <w:rFonts w:ascii="Arial" w:hAnsi="Arial" w:cs="Arial"/>
      <w:szCs w:val="24"/>
    </w:rPr>
  </w:style>
  <w:style w:type="paragraph" w:styleId="11">
    <w:name w:val="Plain Text"/>
    <w:basedOn w:val="1"/>
    <w:qFormat/>
    <w:uiPriority w:val="0"/>
    <w:rPr>
      <w:rFonts w:ascii="宋体" w:hAnsi="Courier New" w:cs="Courier New"/>
      <w:szCs w:val="21"/>
    </w:rPr>
  </w:style>
  <w:style w:type="paragraph" w:styleId="12">
    <w:name w:val="Body Text Indent 2"/>
    <w:basedOn w:val="1"/>
    <w:unhideWhenUsed/>
    <w:qFormat/>
    <w:uiPriority w:val="0"/>
    <w:pPr>
      <w:spacing w:after="120" w:line="480" w:lineRule="auto"/>
      <w:ind w:left="420" w:leftChars="200"/>
    </w:pPr>
  </w:style>
  <w:style w:type="paragraph" w:styleId="13">
    <w:name w:val="footer"/>
    <w:basedOn w:val="1"/>
    <w:unhideWhenUsed/>
    <w:qFormat/>
    <w:uiPriority w:val="99"/>
    <w:pPr>
      <w:tabs>
        <w:tab w:val="center" w:pos="4153"/>
        <w:tab w:val="right" w:pos="8306"/>
      </w:tabs>
      <w:snapToGrid w:val="0"/>
      <w:jc w:val="left"/>
    </w:pPr>
    <w:rPr>
      <w:sz w:val="18"/>
      <w:szCs w:val="18"/>
    </w:rPr>
  </w:style>
  <w:style w:type="paragraph" w:styleId="14">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List"/>
    <w:basedOn w:val="1"/>
    <w:qFormat/>
    <w:uiPriority w:val="0"/>
    <w:pPr>
      <w:ind w:left="200" w:hanging="200" w:hangingChars="200"/>
      <w:contextualSpacing/>
    </w:p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7">
    <w:name w:val="Body Text First Indent 2"/>
    <w:basedOn w:val="9"/>
    <w:next w:val="18"/>
    <w:qFormat/>
    <w:uiPriority w:val="0"/>
    <w:pPr>
      <w:ind w:leftChars="0" w:firstLine="420"/>
    </w:pPr>
    <w:rPr>
      <w:sz w:val="22"/>
    </w:rPr>
  </w:style>
  <w:style w:type="paragraph" w:customStyle="1" w:styleId="18">
    <w:name w:val="表格文字"/>
    <w:basedOn w:val="15"/>
    <w:next w:val="1"/>
    <w:qFormat/>
    <w:uiPriority w:val="0"/>
    <w:pPr>
      <w:ind w:firstLine="0" w:firstLineChars="0"/>
      <w:jc w:val="center"/>
    </w:pPr>
    <w:rPr>
      <w:szCs w:val="20"/>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qFormat/>
    <w:uiPriority w:val="99"/>
    <w:rPr>
      <w:color w:val="0000FF"/>
      <w:u w:val="single"/>
    </w:rPr>
  </w:style>
  <w:style w:type="paragraph" w:customStyle="1" w:styleId="23">
    <w:name w:val="正文文本2"/>
    <w:basedOn w:val="1"/>
    <w:qFormat/>
    <w:uiPriority w:val="0"/>
    <w:pPr>
      <w:autoSpaceDE w:val="0"/>
      <w:autoSpaceDN w:val="0"/>
      <w:jc w:val="left"/>
    </w:pPr>
    <w:rPr>
      <w:rFonts w:ascii="宋体" w:hAnsi="宋体"/>
      <w:kern w:val="0"/>
      <w:sz w:val="20"/>
      <w:szCs w:val="21"/>
      <w:lang w:val="zh-CN"/>
    </w:rPr>
  </w:style>
  <w:style w:type="paragraph" w:customStyle="1" w:styleId="24">
    <w:name w:val="列出段落7"/>
    <w:basedOn w:val="1"/>
    <w:qFormat/>
    <w:uiPriority w:val="0"/>
    <w:pPr>
      <w:ind w:left="400" w:firstLine="420"/>
    </w:pPr>
  </w:style>
  <w:style w:type="paragraph" w:customStyle="1" w:styleId="25">
    <w:name w:val="样式8"/>
    <w:basedOn w:val="26"/>
    <w:qFormat/>
    <w:uiPriority w:val="1"/>
  </w:style>
  <w:style w:type="paragraph" w:customStyle="1" w:styleId="26">
    <w:name w:val="一级标题"/>
    <w:basedOn w:val="1"/>
    <w:qFormat/>
    <w:uiPriority w:val="0"/>
    <w:pPr>
      <w:adjustRightInd w:val="0"/>
      <w:snapToGrid w:val="0"/>
      <w:jc w:val="center"/>
      <w:outlineLvl w:val="0"/>
    </w:pPr>
    <w:rPr>
      <w:rFonts w:ascii="黑体" w:eastAsia="黑体"/>
      <w:b/>
      <w:sz w:val="28"/>
      <w:szCs w:val="28"/>
    </w:rPr>
  </w:style>
  <w:style w:type="paragraph" w:customStyle="1" w:styleId="27">
    <w:name w:val="Table Paragraph"/>
    <w:basedOn w:val="1"/>
    <w:qFormat/>
    <w:uiPriority w:val="1"/>
    <w:pPr>
      <w:autoSpaceDE w:val="0"/>
      <w:autoSpaceDN w:val="0"/>
      <w:jc w:val="left"/>
    </w:pPr>
    <w:rPr>
      <w:rFonts w:ascii="宋体" w:hAnsi="宋体" w:cs="宋体"/>
      <w:kern w:val="0"/>
      <w:sz w:val="22"/>
      <w:lang w:val="zh-CN"/>
    </w:rPr>
  </w:style>
  <w:style w:type="paragraph" w:customStyle="1" w:styleId="28">
    <w:name w:val="列出段落1"/>
    <w:basedOn w:val="1"/>
    <w:qFormat/>
    <w:uiPriority w:val="0"/>
    <w:pPr>
      <w:ind w:firstLine="420" w:firstLineChars="200"/>
    </w:pPr>
  </w:style>
  <w:style w:type="paragraph" w:customStyle="1" w:styleId="29">
    <w:name w:val="列出段落2"/>
    <w:basedOn w:val="1"/>
    <w:qFormat/>
    <w:uiPriority w:val="0"/>
    <w:pPr>
      <w:autoSpaceDE w:val="0"/>
      <w:autoSpaceDN w:val="0"/>
      <w:ind w:left="240" w:firstLine="420"/>
      <w:jc w:val="left"/>
    </w:pPr>
    <w:rPr>
      <w:rFonts w:ascii="宋体" w:hAnsi="宋体" w:cs="宋体"/>
      <w:kern w:val="0"/>
      <w:sz w:val="22"/>
      <w:lang w:val="zh-CN"/>
    </w:rPr>
  </w:style>
  <w:style w:type="paragraph" w:customStyle="1" w:styleId="30">
    <w:name w:val="A标题3"/>
    <w:basedOn w:val="4"/>
    <w:next w:val="1"/>
    <w:qFormat/>
    <w:uiPriority w:val="0"/>
    <w:pPr>
      <w:keepNext/>
      <w:keepLines/>
      <w:tabs>
        <w:tab w:val="left" w:pos="720"/>
        <w:tab w:val="left" w:pos="851"/>
      </w:tabs>
      <w:autoSpaceDE/>
      <w:autoSpaceDN/>
      <w:adjustRightInd w:val="0"/>
      <w:spacing w:line="360" w:lineRule="auto"/>
      <w:jc w:val="both"/>
      <w:textAlignment w:val="baseline"/>
    </w:pPr>
    <w:rPr>
      <w:rFonts w:ascii="Calibri" w:hAnsi="Calibri"/>
      <w:b/>
      <w:kern w:val="24"/>
      <w:sz w:val="24"/>
      <w:szCs w:val="20"/>
    </w:rPr>
  </w:style>
  <w:style w:type="paragraph" w:styleId="31">
    <w:name w:val="List Paragraph"/>
    <w:basedOn w:val="1"/>
    <w:qFormat/>
    <w:uiPriority w:val="99"/>
    <w:pPr>
      <w:ind w:firstLine="420" w:firstLineChars="200"/>
    </w:pPr>
  </w:style>
  <w:style w:type="paragraph" w:customStyle="1" w:styleId="32">
    <w:name w:val="bgg"/>
    <w:basedOn w:val="33"/>
    <w:qFormat/>
    <w:uiPriority w:val="0"/>
    <w:pPr>
      <w:snapToGrid w:val="0"/>
      <w:ind w:left="52" w:leftChars="25" w:right="52" w:rightChars="25"/>
      <w:jc w:val="center"/>
    </w:pPr>
    <w:rPr>
      <w:rFonts w:ascii="Times New Roman" w:hAnsi="Times New Roman"/>
      <w:sz w:val="18"/>
      <w:szCs w:val="18"/>
    </w:rPr>
  </w:style>
  <w:style w:type="paragraph" w:customStyle="1" w:styleId="33">
    <w:name w:val="默认段落字体 Para Char Char Char Char"/>
    <w:basedOn w:val="1"/>
    <w:qFormat/>
    <w:uiPriority w:val="0"/>
    <w:rPr>
      <w:rFonts w:ascii="宋体" w:hAnsi="宋体"/>
      <w:b/>
      <w:color w:val="000000"/>
      <w:kern w:val="0"/>
      <w:sz w:val="24"/>
      <w:szCs w:val="24"/>
    </w:rPr>
  </w:style>
  <w:style w:type="paragraph" w:customStyle="1" w:styleId="34">
    <w:name w:val="p0"/>
    <w:basedOn w:val="1"/>
    <w:qFormat/>
    <w:uiPriority w:val="0"/>
    <w:pPr>
      <w:widowControl/>
    </w:pPr>
    <w:rPr>
      <w:rFonts w:eastAsia="方正仿宋_GBK"/>
      <w:kern w:val="0"/>
      <w:szCs w:val="20"/>
    </w:rPr>
  </w:style>
  <w:style w:type="paragraph" w:customStyle="1" w:styleId="35">
    <w:name w:val="列出段落111"/>
    <w:basedOn w:val="1"/>
    <w:qFormat/>
    <w:uiPriority w:val="0"/>
    <w:pPr>
      <w:autoSpaceDE w:val="0"/>
      <w:autoSpaceDN w:val="0"/>
      <w:ind w:firstLine="420" w:firstLineChars="200"/>
    </w:pPr>
    <w:rPr>
      <w:szCs w:val="20"/>
    </w:rPr>
  </w:style>
  <w:style w:type="character" w:customStyle="1" w:styleId="36">
    <w:name w:val="标题 1.1 Char1"/>
    <w:qFormat/>
    <w:uiPriority w:val="0"/>
    <w:rPr>
      <w:rFonts w:ascii="Arial" w:hAnsi="Arial" w:eastAsia="黑体"/>
      <w:b/>
      <w:bCs/>
      <w:kern w:val="2"/>
      <w:sz w:val="32"/>
      <w:szCs w:val="32"/>
    </w:rPr>
  </w:style>
  <w:style w:type="paragraph" w:customStyle="1" w:styleId="37">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38">
    <w:name w:val="纯文本1"/>
    <w:basedOn w:val="1"/>
    <w:qFormat/>
    <w:uiPriority w:val="0"/>
    <w:pPr>
      <w:adjustRightInd w:val="0"/>
      <w:textAlignment w:val="baseline"/>
    </w:pPr>
    <w:rPr>
      <w:rFonts w:ascii="宋体" w:hAnsi="Courier New"/>
    </w:rPr>
  </w:style>
  <w:style w:type="paragraph" w:customStyle="1" w:styleId="39">
    <w:name w:val="纯文本12"/>
    <w:basedOn w:val="1"/>
    <w:qFormat/>
    <w:uiPriority w:val="0"/>
    <w:pPr>
      <w:suppressAutoHyphens/>
    </w:pPr>
    <w:rPr>
      <w:rFonts w:ascii="宋体" w:hAnsi="宋体"/>
      <w:kern w:val="1"/>
      <w:lang w:eastAsia="ar-SA"/>
    </w:rPr>
  </w:style>
  <w:style w:type="paragraph" w:customStyle="1" w:styleId="40">
    <w:name w:val="表头"/>
    <w:basedOn w:val="1"/>
    <w:qFormat/>
    <w:uiPriority w:val="0"/>
    <w:pPr>
      <w:adjustRightInd w:val="0"/>
      <w:spacing w:before="160" w:after="60" w:line="312" w:lineRule="exact"/>
      <w:jc w:val="center"/>
      <w:textAlignment w:val="baseline"/>
    </w:pPr>
    <w:rPr>
      <w:rFonts w:ascii="EU-F1" w:eastAsia="黑体"/>
    </w:rPr>
  </w:style>
  <w:style w:type="paragraph" w:customStyle="1" w:styleId="41">
    <w:name w:val="纯文本11"/>
    <w:basedOn w:val="1"/>
    <w:qFormat/>
    <w:uiPriority w:val="0"/>
    <w:pPr>
      <w:suppressAutoHyphens/>
    </w:pPr>
    <w:rPr>
      <w:rFonts w:ascii="宋体" w:hAnsi="宋体"/>
      <w:kern w:val="1"/>
      <w:lang w:eastAsia="ar-SA"/>
    </w:rPr>
  </w:style>
  <w:style w:type="paragraph" w:customStyle="1" w:styleId="42">
    <w:name w:val="表格正文"/>
    <w:basedOn w:val="1"/>
    <w:qFormat/>
    <w:uiPriority w:val="0"/>
    <w:pPr>
      <w:adjustRightInd w:val="0"/>
      <w:snapToGrid w:val="0"/>
      <w:jc w:val="center"/>
    </w:pPr>
    <w:rPr>
      <w:rFonts w:ascii="黑体" w:eastAsia="黑体"/>
      <w:color w:val="000000"/>
      <w:sz w:val="32"/>
    </w:rPr>
  </w:style>
  <w:style w:type="character" w:customStyle="1" w:styleId="43">
    <w:name w:val="font11"/>
    <w:basedOn w:val="21"/>
    <w:qFormat/>
    <w:uiPriority w:val="0"/>
    <w:rPr>
      <w:rFonts w:hint="eastAsia" w:ascii="宋体" w:hAnsi="宋体" w:eastAsia="宋体" w:cs="宋体"/>
      <w:color w:val="000000"/>
      <w:sz w:val="18"/>
      <w:szCs w:val="18"/>
      <w:u w:val="none"/>
    </w:rPr>
  </w:style>
  <w:style w:type="character" w:customStyle="1" w:styleId="44">
    <w:name w:val="font01"/>
    <w:basedOn w:val="21"/>
    <w:qFormat/>
    <w:uiPriority w:val="0"/>
    <w:rPr>
      <w:rFonts w:hint="eastAsia" w:ascii="宋体" w:hAnsi="宋体" w:eastAsia="宋体" w:cs="宋体"/>
      <w:color w:val="000000"/>
      <w:sz w:val="18"/>
      <w:szCs w:val="18"/>
      <w:u w:val="none"/>
    </w:rPr>
  </w:style>
  <w:style w:type="character" w:customStyle="1" w:styleId="45">
    <w:name w:val="font41"/>
    <w:basedOn w:val="21"/>
    <w:qFormat/>
    <w:uiPriority w:val="0"/>
    <w:rPr>
      <w:rFonts w:hint="eastAsia" w:ascii="宋体" w:hAnsi="宋体" w:eastAsia="宋体" w:cs="宋体"/>
      <w:color w:val="000000"/>
      <w:sz w:val="18"/>
      <w:szCs w:val="18"/>
      <w:u w:val="none"/>
    </w:rPr>
  </w:style>
  <w:style w:type="character" w:customStyle="1" w:styleId="46">
    <w:name w:val="font71"/>
    <w:basedOn w:val="21"/>
    <w:qFormat/>
    <w:uiPriority w:val="0"/>
    <w:rPr>
      <w:rFonts w:hint="default" w:ascii="Times New Roman" w:hAnsi="Times New Roman" w:cs="Times New Roman"/>
      <w:color w:val="000000"/>
      <w:sz w:val="18"/>
      <w:szCs w:val="18"/>
      <w:u w:val="none"/>
    </w:rPr>
  </w:style>
  <w:style w:type="character" w:customStyle="1" w:styleId="47">
    <w:name w:val="font21"/>
    <w:basedOn w:val="21"/>
    <w:qFormat/>
    <w:uiPriority w:val="0"/>
    <w:rPr>
      <w:rFonts w:hint="eastAsia" w:ascii="宋体" w:hAnsi="宋体" w:eastAsia="宋体" w:cs="宋体"/>
      <w:b/>
      <w:bCs/>
      <w:color w:val="000000"/>
      <w:sz w:val="18"/>
      <w:szCs w:val="18"/>
      <w:u w:val="none"/>
    </w:rPr>
  </w:style>
  <w:style w:type="table" w:customStyle="1" w:styleId="48">
    <w:name w:val="Table Normal"/>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character" w:customStyle="1" w:styleId="49">
    <w:name w:val="font81"/>
    <w:basedOn w:val="21"/>
    <w:qFormat/>
    <w:uiPriority w:val="0"/>
    <w:rPr>
      <w:rFonts w:hint="eastAsia" w:ascii="宋体" w:hAnsi="宋体" w:eastAsia="宋体" w:cs="宋体"/>
      <w:color w:val="FF0000"/>
      <w:sz w:val="22"/>
      <w:szCs w:val="22"/>
      <w:u w:val="none"/>
    </w:rPr>
  </w:style>
  <w:style w:type="character" w:customStyle="1" w:styleId="50">
    <w:name w:val="font51"/>
    <w:basedOn w:val="21"/>
    <w:qFormat/>
    <w:uiPriority w:val="0"/>
    <w:rPr>
      <w:rFonts w:hint="eastAsia" w:ascii="宋体" w:hAnsi="宋体" w:eastAsia="宋体" w:cs="宋体"/>
      <w:color w:val="000000"/>
      <w:sz w:val="22"/>
      <w:szCs w:val="22"/>
      <w:u w:val="none"/>
    </w:rPr>
  </w:style>
  <w:style w:type="character" w:customStyle="1" w:styleId="51">
    <w:name w:val="font61"/>
    <w:basedOn w:val="21"/>
    <w:qFormat/>
    <w:uiPriority w:val="0"/>
    <w:rPr>
      <w:rFonts w:hint="eastAsia" w:ascii="宋体" w:hAnsi="宋体" w:eastAsia="宋体" w:cs="宋体"/>
      <w:color w:val="FF0000"/>
      <w:sz w:val="21"/>
      <w:szCs w:val="21"/>
      <w:u w:val="none"/>
    </w:rPr>
  </w:style>
  <w:style w:type="paragraph" w:customStyle="1" w:styleId="52">
    <w:name w:val="正文 New New New New New New New New New New New New New New New New New New New New New New New New New New New New New New New New New New New New New New New New New New New New New New New New New New New New New New New New New New New New New New Ne"/>
    <w:qFormat/>
    <w:uiPriority w:val="0"/>
    <w:pPr>
      <w:widowControl w:val="0"/>
      <w:jc w:val="both"/>
    </w:pPr>
    <w:rPr>
      <w:rFonts w:hint="eastAsia" w:ascii="Calibri" w:hAnsi="Calibri" w:eastAsia="宋体" w:cs="Calibri"/>
      <w:kern w:val="2"/>
      <w:sz w:val="21"/>
      <w:lang w:val="en-US" w:eastAsia="zh-CN" w:bidi="ar-SA"/>
    </w:rPr>
  </w:style>
  <w:style w:type="character" w:customStyle="1" w:styleId="53">
    <w:name w:val="font31"/>
    <w:basedOn w:val="21"/>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5.e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2.bin"/><Relationship Id="rId17" Type="http://schemas.openxmlformats.org/officeDocument/2006/relationships/image" Target="media/image3.emf"/><Relationship Id="rId16" Type="http://schemas.openxmlformats.org/officeDocument/2006/relationships/oleObject" Target="embeddings/oleObject1.bin"/><Relationship Id="rId15" Type="http://schemas.openxmlformats.org/officeDocument/2006/relationships/image" Target="media/image2.emf"/><Relationship Id="rId14" Type="http://schemas.openxmlformats.org/officeDocument/2006/relationships/image" Target="media/image1.emf"/><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142</Pages>
  <Words>9668</Words>
  <Characters>10299</Characters>
  <Lines>0</Lines>
  <Paragraphs>0</Paragraphs>
  <TotalTime>0</TotalTime>
  <ScaleCrop>false</ScaleCrop>
  <LinksUpToDate>false</LinksUpToDate>
  <CharactersWithSpaces>10335</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2024-09-04T09:41:00Z</dcterms:created>
  <dc:creator>lg</dc:creator>
  <cp:lastModifiedBy>hucy</cp:lastModifiedBy>
  <dcterms:modified xsi:type="dcterms:W3CDTF">2026-08-21T08:35:00Z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FEC7FF8754AF459AB106B0D2CF15F083</vt:lpwstr>
  </property>
  <property fmtid="{D5CDD505-2E9C-101B-9397-08002B2CF9AE}" pid="4" name="KSOTemplateDocerSaveRecord">
    <vt:lpwstr>eyJoZGlkIjoiNWMyNjAxOTI3NGRiYTg2OGUxZWU3ZmNiMzlmOTJmNGIiLCJ1c2VySWQiOiIyMTU3Mjk0OTEifQ==</vt:lpwstr>
  </property>
</Properties>
</file>