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b/>
          <w:sz w:val="24"/>
        </w:rPr>
      </w:pPr>
      <w:r>
        <w:rPr>
          <w:rFonts w:hint="eastAsia" w:ascii="黑体" w:hAnsi="黑体" w:eastAsia="黑体"/>
          <w:b/>
          <w:sz w:val="24"/>
        </w:rPr>
        <w:t>合同条款差异对比表</w:t>
      </w:r>
    </w:p>
    <w:p>
      <w:pPr>
        <w:jc w:val="left"/>
        <w:rPr>
          <w:rFonts w:hint="eastAsia" w:ascii="宋体" w:hAnsi="宋体"/>
          <w:b/>
        </w:rPr>
      </w:pPr>
      <w:r>
        <w:rPr>
          <w:rFonts w:hint="eastAsia" w:ascii="宋体" w:hAnsi="宋体"/>
          <w:b/>
        </w:rPr>
        <w:t>分标名称: 系统调试</w:t>
      </w:r>
    </w:p>
    <w:tbl>
      <w:tblPr>
        <w:tblStyle w:val="12"/>
        <w:tblW w:w="10221" w:type="dxa"/>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568"/>
        <w:gridCol w:w="971"/>
        <w:gridCol w:w="4013"/>
        <w:gridCol w:w="3846"/>
        <w:gridCol w:w="823"/>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21" w:type="dxa"/>
            <w:gridSpan w:val="5"/>
            <w:tcBorders>
              <w:top w:val="double" w:color="auto" w:sz="4" w:space="0"/>
              <w:bottom w:val="single" w:color="auto" w:sz="4" w:space="0"/>
            </w:tcBorders>
            <w:vAlign w:val="center"/>
          </w:tcPr>
          <w:p>
            <w:pPr>
              <w:widowControl/>
              <w:adjustRightInd w:val="0"/>
              <w:snapToGrid w:val="0"/>
              <w:jc w:val="center"/>
              <w:rPr>
                <w:rFonts w:ascii="黑体" w:eastAsia="黑体"/>
                <w:b/>
                <w:sz w:val="20"/>
              </w:rPr>
            </w:pPr>
            <w:r>
              <w:rPr>
                <w:rFonts w:hint="eastAsia" w:ascii="黑体" w:eastAsia="黑体"/>
                <w:b/>
                <w:sz w:val="20"/>
              </w:rPr>
              <w:t>合同部分针对范本：《SGTYHT/24-JS-004   技术服务合同》</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68" w:type="dxa"/>
            <w:tcBorders>
              <w:top w:val="single" w:color="auto" w:sz="4" w:space="0"/>
              <w:bottom w:val="single" w:color="auto" w:sz="4" w:space="0"/>
            </w:tcBorders>
            <w:vAlign w:val="center"/>
          </w:tcPr>
          <w:p>
            <w:pPr>
              <w:widowControl/>
              <w:adjustRightInd w:val="0"/>
              <w:snapToGrid w:val="0"/>
              <w:jc w:val="center"/>
              <w:rPr>
                <w:rFonts w:hint="eastAsia" w:ascii="宋体" w:hAnsi="宋体" w:cs="宋体"/>
                <w:b/>
                <w:kern w:val="0"/>
                <w:sz w:val="18"/>
                <w:szCs w:val="18"/>
              </w:rPr>
            </w:pPr>
            <w:r>
              <w:rPr>
                <w:rFonts w:hint="eastAsia" w:ascii="宋体" w:hAnsi="宋体" w:cs="宋体"/>
                <w:b/>
                <w:kern w:val="0"/>
                <w:sz w:val="18"/>
                <w:szCs w:val="18"/>
              </w:rPr>
              <w:t>序号</w:t>
            </w:r>
          </w:p>
        </w:tc>
        <w:tc>
          <w:tcPr>
            <w:tcW w:w="971" w:type="dxa"/>
            <w:tcBorders>
              <w:top w:val="single" w:color="auto" w:sz="4" w:space="0"/>
              <w:bottom w:val="single" w:color="auto" w:sz="4" w:space="0"/>
            </w:tcBorders>
            <w:vAlign w:val="center"/>
          </w:tcPr>
          <w:p>
            <w:pPr>
              <w:widowControl/>
              <w:adjustRightInd w:val="0"/>
              <w:snapToGrid w:val="0"/>
              <w:jc w:val="center"/>
              <w:rPr>
                <w:rFonts w:hint="eastAsia" w:ascii="宋体" w:hAnsi="宋体" w:cs="宋体"/>
                <w:b/>
                <w:kern w:val="0"/>
                <w:sz w:val="18"/>
                <w:szCs w:val="18"/>
              </w:rPr>
            </w:pPr>
            <w:r>
              <w:rPr>
                <w:rFonts w:hint="eastAsia" w:ascii="宋体" w:hAnsi="宋体" w:cs="宋体"/>
                <w:b/>
                <w:kern w:val="0"/>
                <w:sz w:val="18"/>
                <w:szCs w:val="18"/>
              </w:rPr>
              <w:t>条款号</w:t>
            </w:r>
          </w:p>
        </w:tc>
        <w:tc>
          <w:tcPr>
            <w:tcW w:w="4013" w:type="dxa"/>
            <w:tcBorders>
              <w:bottom w:val="single" w:color="auto" w:sz="4" w:space="0"/>
            </w:tcBorders>
            <w:vAlign w:val="center"/>
          </w:tcPr>
          <w:p>
            <w:pPr>
              <w:widowControl/>
              <w:adjustRightInd w:val="0"/>
              <w:snapToGrid w:val="0"/>
              <w:jc w:val="center"/>
              <w:rPr>
                <w:rFonts w:hint="eastAsia" w:ascii="宋体" w:hAnsi="宋体" w:cs="宋体"/>
                <w:b/>
                <w:kern w:val="0"/>
                <w:sz w:val="18"/>
                <w:szCs w:val="18"/>
              </w:rPr>
            </w:pPr>
            <w:r>
              <w:rPr>
                <w:rFonts w:hint="eastAsia" w:ascii="宋体" w:hAnsi="宋体" w:cs="宋体"/>
                <w:b/>
                <w:kern w:val="0"/>
                <w:sz w:val="18"/>
                <w:szCs w:val="18"/>
              </w:rPr>
              <w:t>范本表述</w:t>
            </w:r>
          </w:p>
        </w:tc>
        <w:tc>
          <w:tcPr>
            <w:tcW w:w="3846" w:type="dxa"/>
            <w:tcBorders>
              <w:bottom w:val="single" w:color="auto" w:sz="4" w:space="0"/>
            </w:tcBorders>
            <w:vAlign w:val="center"/>
          </w:tcPr>
          <w:p>
            <w:pPr>
              <w:widowControl/>
              <w:adjustRightInd w:val="0"/>
              <w:snapToGrid w:val="0"/>
              <w:jc w:val="center"/>
              <w:rPr>
                <w:rFonts w:hint="eastAsia" w:ascii="宋体" w:hAnsi="宋体" w:cs="宋体"/>
                <w:b/>
                <w:kern w:val="0"/>
                <w:sz w:val="18"/>
                <w:szCs w:val="18"/>
              </w:rPr>
            </w:pPr>
            <w:r>
              <w:rPr>
                <w:rFonts w:hint="eastAsia" w:ascii="宋体" w:hAnsi="宋体" w:cs="宋体"/>
                <w:b/>
                <w:kern w:val="0"/>
                <w:sz w:val="18"/>
                <w:szCs w:val="18"/>
              </w:rPr>
              <w:t>修改后表述</w:t>
            </w:r>
          </w:p>
        </w:tc>
        <w:tc>
          <w:tcPr>
            <w:tcW w:w="823" w:type="dxa"/>
            <w:tcBorders>
              <w:bottom w:val="single" w:color="auto" w:sz="4" w:space="0"/>
            </w:tcBorders>
            <w:vAlign w:val="center"/>
          </w:tcPr>
          <w:p>
            <w:pPr>
              <w:widowControl/>
              <w:adjustRightInd w:val="0"/>
              <w:snapToGrid w:val="0"/>
              <w:jc w:val="center"/>
              <w:rPr>
                <w:rFonts w:hint="eastAsia" w:ascii="宋体" w:hAnsi="宋体" w:cs="宋体"/>
                <w:b/>
                <w:kern w:val="0"/>
                <w:sz w:val="18"/>
                <w:szCs w:val="18"/>
              </w:rPr>
            </w:pPr>
            <w:r>
              <w:rPr>
                <w:rFonts w:hint="eastAsia" w:ascii="宋体" w:hAnsi="宋体" w:cs="宋体"/>
                <w:b/>
                <w:kern w:val="0"/>
                <w:sz w:val="18"/>
                <w:szCs w:val="18"/>
              </w:rPr>
              <w:t>备注</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68" w:type="dxa"/>
            <w:tcBorders>
              <w:top w:val="single" w:color="auto" w:sz="4" w:space="0"/>
            </w:tcBorders>
            <w:vAlign w:val="center"/>
          </w:tcPr>
          <w:p>
            <w:pPr>
              <w:widowControl/>
              <w:rPr>
                <w:rFonts w:hint="eastAsia" w:ascii="宋体" w:hAnsi="宋体" w:cs="宋体"/>
                <w:b/>
                <w:kern w:val="0"/>
                <w:sz w:val="18"/>
                <w:szCs w:val="18"/>
              </w:rPr>
            </w:pPr>
            <w:r>
              <w:rPr>
                <w:rFonts w:hint="eastAsia" w:ascii="宋体" w:hAnsi="宋体" w:cs="宋体"/>
                <w:b/>
                <w:kern w:val="0"/>
                <w:sz w:val="18"/>
                <w:szCs w:val="18"/>
              </w:rPr>
              <w:t xml:space="preserve">  1</w:t>
            </w:r>
          </w:p>
        </w:tc>
        <w:tc>
          <w:tcPr>
            <w:tcW w:w="971" w:type="dxa"/>
            <w:tcBorders>
              <w:top w:val="single" w:color="auto" w:sz="4" w:space="0"/>
            </w:tcBorders>
            <w:vAlign w:val="center"/>
          </w:tcPr>
          <w:p>
            <w:pPr>
              <w:adjustRightInd w:val="0"/>
              <w:snapToGrid w:val="0"/>
              <w:rPr>
                <w:rFonts w:hint="eastAsia" w:ascii="宋体" w:hAnsi="宋体" w:cs="宋体"/>
                <w:b/>
                <w:kern w:val="0"/>
                <w:sz w:val="18"/>
                <w:szCs w:val="18"/>
              </w:rPr>
            </w:pPr>
            <w:r>
              <w:rPr>
                <w:rFonts w:hint="eastAsia" w:asciiTheme="minorEastAsia" w:hAnsiTheme="minorEastAsia" w:eastAsiaTheme="minorEastAsia"/>
                <w:sz w:val="18"/>
                <w:szCs w:val="18"/>
              </w:rPr>
              <w:t>5.技术服务报酬及支付方式</w:t>
            </w:r>
          </w:p>
        </w:tc>
        <w:tc>
          <w:tcPr>
            <w:tcW w:w="4013" w:type="dxa"/>
            <w:tcBorders>
              <w:top w:val="single" w:color="auto" w:sz="4" w:space="0"/>
            </w:tcBorders>
            <w:vAlign w:val="center"/>
          </w:tcPr>
          <w:p>
            <w:pPr>
              <w:widowControl/>
              <w:adjustRightInd w:val="0"/>
              <w:snapToGrid w:val="0"/>
              <w:jc w:val="left"/>
              <w:rPr>
                <w:rFonts w:hint="eastAsia" w:ascii="宋体" w:hAnsi="宋体" w:cs="宋体"/>
                <w:kern w:val="0"/>
                <w:sz w:val="18"/>
                <w:szCs w:val="18"/>
              </w:rPr>
            </w:pPr>
            <w:r>
              <w:rPr>
                <w:rFonts w:hint="eastAsia" w:ascii="宋体" w:hAnsi="宋体" w:cs="宋体"/>
                <w:kern w:val="0"/>
                <w:sz w:val="18"/>
                <w:szCs w:val="18"/>
              </w:rPr>
              <w:t>5.2技术服务报酬由甲方</w:t>
            </w:r>
            <w:r>
              <w:rPr>
                <w:rFonts w:hint="eastAsia" w:ascii="宋体" w:hAnsi="宋体" w:cs="宋体"/>
                <w:kern w:val="0"/>
                <w:sz w:val="18"/>
                <w:szCs w:val="18"/>
                <w:u w:val="single"/>
              </w:rPr>
              <w:t xml:space="preserve">    </w:t>
            </w:r>
            <w:r>
              <w:rPr>
                <w:rFonts w:hint="eastAsia" w:ascii="宋体" w:hAnsi="宋体" w:cs="宋体"/>
                <w:kern w:val="0"/>
                <w:sz w:val="18"/>
                <w:szCs w:val="18"/>
              </w:rPr>
              <w:t>（一次或分期）支付乙方。具体支付方式和时间如下：</w:t>
            </w:r>
          </w:p>
          <w:p>
            <w:pPr>
              <w:widowControl/>
              <w:adjustRightInd w:val="0"/>
              <w:snapToGrid w:val="0"/>
              <w:jc w:val="left"/>
              <w:rPr>
                <w:rFonts w:hint="eastAsia" w:ascii="宋体" w:hAnsi="宋体" w:cs="宋体"/>
                <w:kern w:val="0"/>
                <w:sz w:val="18"/>
                <w:szCs w:val="18"/>
              </w:rPr>
            </w:pPr>
            <w:r>
              <w:rPr>
                <w:rFonts w:hint="eastAsia" w:ascii="宋体" w:hAnsi="宋体" w:cs="宋体"/>
                <w:kern w:val="0"/>
                <w:sz w:val="18"/>
                <w:szCs w:val="18"/>
              </w:rPr>
              <w:t>（1）</w:t>
            </w:r>
            <w:r>
              <w:rPr>
                <w:rFonts w:hint="eastAsia" w:ascii="宋体" w:hAnsi="宋体" w:cs="宋体"/>
                <w:kern w:val="0"/>
                <w:sz w:val="18"/>
                <w:szCs w:val="18"/>
                <w:u w:val="single"/>
              </w:rPr>
              <w:t xml:space="preserve">                                      </w:t>
            </w:r>
            <w:r>
              <w:rPr>
                <w:rFonts w:hint="eastAsia" w:ascii="宋体" w:hAnsi="宋体" w:cs="宋体"/>
                <w:kern w:val="0"/>
                <w:sz w:val="18"/>
                <w:szCs w:val="18"/>
              </w:rPr>
              <w:t>。 　（2）</w:t>
            </w:r>
            <w:r>
              <w:rPr>
                <w:rFonts w:hint="eastAsia" w:ascii="宋体" w:hAnsi="宋体" w:cs="宋体"/>
                <w:kern w:val="0"/>
                <w:sz w:val="18"/>
                <w:szCs w:val="18"/>
                <w:u w:val="single"/>
              </w:rPr>
              <w:t xml:space="preserve">                                      </w:t>
            </w:r>
            <w:r>
              <w:rPr>
                <w:rFonts w:hint="eastAsia" w:ascii="宋体" w:hAnsi="宋体" w:cs="宋体"/>
                <w:kern w:val="0"/>
                <w:sz w:val="18"/>
                <w:szCs w:val="18"/>
              </w:rPr>
              <w:t xml:space="preserve">。     </w:t>
            </w:r>
          </w:p>
          <w:p>
            <w:pPr>
              <w:widowControl/>
              <w:adjustRightInd w:val="0"/>
              <w:snapToGrid w:val="0"/>
              <w:jc w:val="left"/>
              <w:rPr>
                <w:rFonts w:hint="eastAsia" w:ascii="宋体" w:hAnsi="宋体" w:cs="宋体"/>
                <w:b/>
                <w:kern w:val="0"/>
                <w:sz w:val="18"/>
                <w:szCs w:val="18"/>
              </w:rPr>
            </w:pPr>
            <w:r>
              <w:rPr>
                <w:rFonts w:hint="eastAsia" w:ascii="宋体" w:hAnsi="宋体" w:cs="宋体"/>
                <w:kern w:val="0"/>
                <w:sz w:val="18"/>
                <w:szCs w:val="18"/>
              </w:rPr>
              <w:t>（3）</w:t>
            </w:r>
            <w:r>
              <w:rPr>
                <w:rFonts w:hint="eastAsia" w:ascii="宋体" w:hAnsi="宋体" w:cs="宋体"/>
                <w:kern w:val="0"/>
                <w:sz w:val="18"/>
                <w:szCs w:val="18"/>
                <w:u w:val="single"/>
              </w:rPr>
              <w:t xml:space="preserve">                                      </w:t>
            </w:r>
            <w:r>
              <w:rPr>
                <w:rFonts w:hint="eastAsia" w:ascii="宋体" w:hAnsi="宋体" w:cs="宋体"/>
                <w:kern w:val="0"/>
                <w:sz w:val="18"/>
                <w:szCs w:val="18"/>
              </w:rPr>
              <w:t>。</w:t>
            </w:r>
          </w:p>
        </w:tc>
        <w:tc>
          <w:tcPr>
            <w:tcW w:w="3846" w:type="dxa"/>
            <w:tcBorders>
              <w:top w:val="single" w:color="auto" w:sz="4" w:space="0"/>
            </w:tcBorders>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5.2技术服务报酬由甲方</w:t>
            </w:r>
            <w:r>
              <w:rPr>
                <w:rFonts w:hint="eastAsia" w:asciiTheme="minorEastAsia" w:hAnsiTheme="minorEastAsia" w:eastAsiaTheme="minorEastAsia"/>
                <w:sz w:val="18"/>
                <w:szCs w:val="18"/>
                <w:u w:val="single"/>
              </w:rPr>
              <w:t xml:space="preserve"> 分期 </w:t>
            </w:r>
            <w:r>
              <w:rPr>
                <w:rFonts w:hint="eastAsia" w:asciiTheme="minorEastAsia" w:hAnsiTheme="minorEastAsia" w:eastAsiaTheme="minorEastAsia"/>
                <w:sz w:val="18"/>
                <w:szCs w:val="18"/>
              </w:rPr>
              <w:t>（一次或分期）支付乙方。具体支付方式和时间如下：</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w:t>
            </w:r>
            <w:r>
              <w:rPr>
                <w:rFonts w:asciiTheme="minorEastAsia" w:hAnsiTheme="minorEastAsia" w:eastAsiaTheme="minorEastAsia"/>
                <w:sz w:val="18"/>
                <w:szCs w:val="18"/>
              </w:rPr>
              <w:t>）</w:t>
            </w:r>
            <w:r>
              <w:rPr>
                <w:rFonts w:hint="eastAsia" w:asciiTheme="minorEastAsia" w:hAnsiTheme="minorEastAsia" w:eastAsiaTheme="minorEastAsia"/>
                <w:sz w:val="18"/>
                <w:szCs w:val="18"/>
                <w:u w:val="single"/>
              </w:rPr>
              <w:t>合同首付款为合同价10%，合同签订且乙方提供合格增值税发票后30_日内付款。</w:t>
            </w:r>
          </w:p>
          <w:p>
            <w:pPr>
              <w:adjustRightInd w:val="0"/>
              <w:snapToGrid w:val="0"/>
              <w:rPr>
                <w:rFonts w:hint="eastAsia" w:asciiTheme="minorEastAsia" w:hAnsiTheme="minorEastAsia" w:eastAsiaTheme="minorEastAsia"/>
                <w:sz w:val="18"/>
                <w:szCs w:val="18"/>
                <w:u w:val="single"/>
              </w:rPr>
            </w:pPr>
            <w:r>
              <w:rPr>
                <w:rFonts w:hint="eastAsia" w:asciiTheme="minorEastAsia" w:hAnsiTheme="minorEastAsia" w:eastAsiaTheme="minorEastAsia"/>
                <w:sz w:val="18"/>
                <w:szCs w:val="18"/>
              </w:rPr>
              <w:t>（2）</w:t>
            </w:r>
            <w:r>
              <w:rPr>
                <w:rFonts w:hint="eastAsia" w:asciiTheme="minorEastAsia" w:hAnsiTheme="minorEastAsia" w:eastAsiaTheme="minorEastAsia"/>
                <w:sz w:val="18"/>
                <w:szCs w:val="18"/>
                <w:u w:val="single"/>
              </w:rPr>
              <w:t>调试方案正式审定且乙方提供合格增值税发票后30_日内支付合同价40%。</w:t>
            </w:r>
          </w:p>
          <w:p>
            <w:pPr>
              <w:adjustRightInd w:val="0"/>
              <w:snapToGrid w:val="0"/>
              <w:rPr>
                <w:rFonts w:hint="eastAsia" w:asciiTheme="minorEastAsia" w:hAnsiTheme="minorEastAsia" w:eastAsiaTheme="minorEastAsia"/>
                <w:sz w:val="18"/>
                <w:szCs w:val="18"/>
                <w:u w:val="single"/>
              </w:rPr>
            </w:pPr>
            <w:r>
              <w:rPr>
                <w:rFonts w:hint="eastAsia" w:asciiTheme="minorEastAsia" w:hAnsiTheme="minorEastAsia" w:eastAsiaTheme="minorEastAsia"/>
                <w:sz w:val="18"/>
                <w:szCs w:val="18"/>
              </w:rPr>
              <w:t>（3）</w:t>
            </w:r>
            <w:r>
              <w:rPr>
                <w:rFonts w:hint="eastAsia" w:asciiTheme="minorEastAsia" w:hAnsiTheme="minorEastAsia" w:eastAsiaTheme="minorEastAsia"/>
                <w:sz w:val="18"/>
                <w:szCs w:val="18"/>
                <w:u w:val="single"/>
              </w:rPr>
              <w:t>调试完成提供正式调试报告及合格增值税发票后30_日内支付合同价40%。</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增加</w:t>
            </w:r>
            <w:r>
              <w:rPr>
                <w:rFonts w:asciiTheme="minorEastAsia" w:hAnsiTheme="minorEastAsia" w:eastAsiaTheme="minorEastAsia"/>
                <w:sz w:val="18"/>
                <w:szCs w:val="18"/>
              </w:rPr>
              <w:t>：</w:t>
            </w:r>
          </w:p>
          <w:p>
            <w:pPr>
              <w:adjustRightInd w:val="0"/>
              <w:snapToGrid w:val="0"/>
              <w:rPr>
                <w:rFonts w:hint="eastAsia" w:asciiTheme="minorEastAsia" w:hAnsiTheme="minorEastAsia" w:eastAsiaTheme="minorEastAsia"/>
                <w:sz w:val="18"/>
                <w:szCs w:val="18"/>
                <w:u w:val="single"/>
              </w:rPr>
            </w:pPr>
            <w:r>
              <w:rPr>
                <w:rFonts w:hint="eastAsia" w:asciiTheme="minorEastAsia" w:hAnsiTheme="minorEastAsia" w:eastAsiaTheme="minorEastAsia"/>
                <w:sz w:val="18"/>
                <w:szCs w:val="18"/>
              </w:rPr>
              <w:t>（4）</w:t>
            </w:r>
            <w:r>
              <w:rPr>
                <w:rFonts w:hint="eastAsia" w:asciiTheme="minorEastAsia" w:hAnsiTheme="minorEastAsia" w:eastAsiaTheme="minorEastAsia"/>
                <w:sz w:val="18"/>
                <w:szCs w:val="18"/>
                <w:u w:val="single"/>
              </w:rPr>
              <w:t>质保期满且双方无任何争议，甲方支付合同价10%，质保期一年（以投入运行时间起算）。</w:t>
            </w:r>
          </w:p>
          <w:p>
            <w:pPr>
              <w:adjustRightInd w:val="0"/>
              <w:snapToGrid w:val="0"/>
              <w:ind w:firstLine="180" w:firstLineChars="100"/>
              <w:rPr>
                <w:rFonts w:hint="eastAsia" w:asciiTheme="minorEastAsia" w:hAnsiTheme="minorEastAsia" w:eastAsiaTheme="minorEastAsia"/>
                <w:sz w:val="18"/>
                <w:szCs w:val="18"/>
                <w:u w:val="single"/>
              </w:rPr>
            </w:pPr>
            <w:r>
              <w:rPr>
                <w:rFonts w:hint="eastAsia" w:asciiTheme="minorEastAsia" w:hAnsiTheme="minorEastAsia" w:eastAsiaTheme="minorEastAsia"/>
                <w:sz w:val="18"/>
                <w:szCs w:val="18"/>
              </w:rPr>
              <w:t>(5)</w:t>
            </w:r>
            <w:r>
              <w:rPr>
                <w:rFonts w:hint="eastAsia" w:asciiTheme="minorEastAsia" w:hAnsiTheme="minorEastAsia" w:eastAsiaTheme="minorEastAsia"/>
                <w:b/>
                <w:sz w:val="18"/>
                <w:szCs w:val="18"/>
                <w:u w:val="single"/>
              </w:rPr>
              <w:t xml:space="preserve"> 经甲方确定的现场需要的其他试验项目，不另行计费，包含在合同总价中。</w:t>
            </w:r>
          </w:p>
        </w:tc>
        <w:tc>
          <w:tcPr>
            <w:tcW w:w="823" w:type="dxa"/>
            <w:tcBorders>
              <w:top w:val="single" w:color="auto" w:sz="4" w:space="0"/>
            </w:tcBorders>
          </w:tcPr>
          <w:p>
            <w:pPr>
              <w:adjustRightInd w:val="0"/>
              <w:snapToGrid w:val="0"/>
              <w:rPr>
                <w:rFonts w:hint="eastAsia" w:asciiTheme="minorEastAsia" w:hAnsiTheme="minorEastAsia" w:eastAsiaTheme="minorEastAsia"/>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68" w:type="dxa"/>
            <w:tcBorders>
              <w:top w:val="single" w:color="auto" w:sz="4" w:space="0"/>
            </w:tcBorders>
            <w:vAlign w:val="center"/>
          </w:tcPr>
          <w:p>
            <w:pPr>
              <w:widowControl/>
              <w:rPr>
                <w:rFonts w:hint="eastAsia" w:ascii="宋体" w:hAnsi="宋体" w:cs="宋体"/>
                <w:b/>
                <w:kern w:val="0"/>
                <w:sz w:val="18"/>
                <w:szCs w:val="18"/>
              </w:rPr>
            </w:pPr>
            <w:r>
              <w:rPr>
                <w:rFonts w:hint="eastAsia" w:ascii="宋体" w:hAnsi="宋体" w:cs="宋体"/>
                <w:b/>
                <w:kern w:val="0"/>
                <w:sz w:val="18"/>
                <w:szCs w:val="18"/>
              </w:rPr>
              <w:t xml:space="preserve">  2</w:t>
            </w:r>
          </w:p>
        </w:tc>
        <w:tc>
          <w:tcPr>
            <w:tcW w:w="971" w:type="dxa"/>
            <w:tcBorders>
              <w:top w:val="single" w:color="auto" w:sz="4" w:space="0"/>
            </w:tcBorders>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7.知识产权</w:t>
            </w:r>
          </w:p>
        </w:tc>
        <w:tc>
          <w:tcPr>
            <w:tcW w:w="4013" w:type="dxa"/>
            <w:tcBorders>
              <w:top w:val="single" w:color="auto" w:sz="4" w:space="0"/>
            </w:tcBorders>
            <w:vAlign w:val="center"/>
          </w:tcPr>
          <w:p>
            <w:pPr>
              <w:widowControl/>
              <w:adjustRightInd w:val="0"/>
              <w:snapToGrid w:val="0"/>
              <w:jc w:val="left"/>
              <w:rPr>
                <w:rFonts w:hint="eastAsia" w:ascii="宋体" w:hAnsi="宋体" w:cs="宋体"/>
                <w:kern w:val="0"/>
                <w:sz w:val="18"/>
                <w:szCs w:val="18"/>
              </w:rPr>
            </w:pPr>
            <w:r>
              <w:rPr>
                <w:rFonts w:hint="eastAsia" w:ascii="宋体" w:hAnsi="宋体" w:cs="宋体"/>
                <w:kern w:val="0"/>
                <w:sz w:val="18"/>
                <w:szCs w:val="18"/>
              </w:rPr>
              <w:t>7.知识产权</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7.1乙方提交的技术服务工作成果及相关知识产权归</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（甲、乙、双）方所有。</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7.2甲方利用乙方提交的技术服务工作成果所完成的新的技术成果，归</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（甲、乙、双）方所有。</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7.3乙方在履行本合同过程中所完成的新的技术成果，归</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（甲、乙、双）方所有。</w:t>
            </w:r>
          </w:p>
          <w:p>
            <w:pPr>
              <w:widowControl/>
              <w:adjustRightInd w:val="0"/>
              <w:snapToGrid w:val="0"/>
              <w:jc w:val="left"/>
              <w:rPr>
                <w:rFonts w:hint="eastAsia" w:ascii="宋体" w:hAnsi="宋体" w:cs="宋体"/>
                <w:kern w:val="0"/>
                <w:sz w:val="18"/>
                <w:szCs w:val="18"/>
              </w:rPr>
            </w:pPr>
          </w:p>
        </w:tc>
        <w:tc>
          <w:tcPr>
            <w:tcW w:w="3846" w:type="dxa"/>
            <w:tcBorders>
              <w:top w:val="single" w:color="auto" w:sz="4" w:space="0"/>
            </w:tcBorders>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7.知识产权</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7.1乙方提交的技术服务工作成果及相关知识产权归</w:t>
            </w:r>
            <w:r>
              <w:rPr>
                <w:rFonts w:hint="eastAsia" w:asciiTheme="minorEastAsia" w:hAnsiTheme="minorEastAsia" w:eastAsiaTheme="minorEastAsia"/>
                <w:sz w:val="18"/>
                <w:szCs w:val="18"/>
                <w:u w:val="single"/>
              </w:rPr>
              <w:t xml:space="preserve"> 甲   </w:t>
            </w:r>
            <w:r>
              <w:rPr>
                <w:rFonts w:hint="eastAsia" w:asciiTheme="minorEastAsia" w:hAnsiTheme="minorEastAsia" w:eastAsiaTheme="minorEastAsia"/>
                <w:sz w:val="18"/>
                <w:szCs w:val="18"/>
              </w:rPr>
              <w:t>（甲、乙、双）方所有。</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7.2甲方利用乙方提交的技术服务工作成果所完成的新的技术成果，归</w:t>
            </w:r>
            <w:r>
              <w:rPr>
                <w:rFonts w:hint="eastAsia" w:asciiTheme="minorEastAsia" w:hAnsiTheme="minorEastAsia" w:eastAsiaTheme="minorEastAsia"/>
                <w:sz w:val="18"/>
                <w:szCs w:val="18"/>
                <w:u w:val="single"/>
              </w:rPr>
              <w:t>甲</w:t>
            </w:r>
            <w:r>
              <w:rPr>
                <w:rFonts w:hint="eastAsia" w:asciiTheme="minorEastAsia" w:hAnsiTheme="minorEastAsia" w:eastAsiaTheme="minorEastAsia"/>
                <w:sz w:val="18"/>
                <w:szCs w:val="18"/>
              </w:rPr>
              <w:t>（甲、乙、双）方所有。</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7.3乙方在履行本合同过程中所完成的新的技术成果，归</w:t>
            </w:r>
            <w:r>
              <w:rPr>
                <w:rFonts w:hint="eastAsia" w:asciiTheme="minorEastAsia" w:hAnsiTheme="minorEastAsia" w:eastAsiaTheme="minorEastAsia"/>
                <w:sz w:val="18"/>
                <w:szCs w:val="18"/>
                <w:u w:val="single"/>
              </w:rPr>
              <w:t xml:space="preserve">甲  </w:t>
            </w:r>
            <w:r>
              <w:rPr>
                <w:rFonts w:hint="eastAsia" w:asciiTheme="minorEastAsia" w:hAnsiTheme="minorEastAsia" w:eastAsiaTheme="minorEastAsia"/>
                <w:sz w:val="18"/>
                <w:szCs w:val="18"/>
              </w:rPr>
              <w:t>（甲、乙、双）方所有。</w:t>
            </w:r>
          </w:p>
          <w:p>
            <w:pPr>
              <w:adjustRightInd w:val="0"/>
              <w:snapToGrid w:val="0"/>
              <w:rPr>
                <w:rFonts w:hint="eastAsia" w:asciiTheme="minorEastAsia" w:hAnsiTheme="minorEastAsia" w:eastAsiaTheme="minorEastAsia"/>
                <w:sz w:val="18"/>
                <w:szCs w:val="18"/>
              </w:rPr>
            </w:pPr>
          </w:p>
        </w:tc>
        <w:tc>
          <w:tcPr>
            <w:tcW w:w="823" w:type="dxa"/>
            <w:tcBorders>
              <w:top w:val="single" w:color="auto" w:sz="4" w:space="0"/>
            </w:tcBorders>
          </w:tcPr>
          <w:p>
            <w:pPr>
              <w:adjustRightInd w:val="0"/>
              <w:snapToGrid w:val="0"/>
              <w:rPr>
                <w:rFonts w:hint="eastAsia" w:asciiTheme="minorEastAsia" w:hAnsiTheme="minorEastAsia" w:eastAsiaTheme="minorEastAsia"/>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68" w:type="dxa"/>
            <w:tcBorders>
              <w:top w:val="single" w:color="auto" w:sz="4" w:space="0"/>
            </w:tcBorders>
            <w:vAlign w:val="center"/>
          </w:tcPr>
          <w:p>
            <w:pPr>
              <w:widowControl/>
              <w:rPr>
                <w:rFonts w:hint="eastAsia" w:ascii="宋体" w:hAnsi="宋体" w:cs="宋体"/>
                <w:b/>
                <w:kern w:val="0"/>
                <w:sz w:val="18"/>
                <w:szCs w:val="18"/>
              </w:rPr>
            </w:pPr>
            <w:r>
              <w:rPr>
                <w:rFonts w:hint="eastAsia" w:ascii="宋体" w:hAnsi="宋体" w:cs="宋体"/>
                <w:b/>
                <w:kern w:val="0"/>
                <w:sz w:val="18"/>
                <w:szCs w:val="18"/>
              </w:rPr>
              <w:t xml:space="preserve">  3</w:t>
            </w:r>
          </w:p>
        </w:tc>
        <w:tc>
          <w:tcPr>
            <w:tcW w:w="971" w:type="dxa"/>
            <w:tcBorders>
              <w:top w:val="single" w:color="auto" w:sz="4" w:space="0"/>
            </w:tcBorders>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9.违约责任</w:t>
            </w:r>
          </w:p>
        </w:tc>
        <w:tc>
          <w:tcPr>
            <w:tcW w:w="4013" w:type="dxa"/>
            <w:tcBorders>
              <w:top w:val="single" w:color="auto" w:sz="4" w:space="0"/>
            </w:tcBorders>
            <w:vAlign w:val="center"/>
          </w:tcPr>
          <w:p>
            <w:pPr>
              <w:widowControl/>
              <w:adjustRightInd w:val="0"/>
              <w:snapToGrid w:val="0"/>
              <w:jc w:val="left"/>
              <w:rPr>
                <w:rFonts w:hint="eastAsia" w:ascii="宋体" w:hAnsi="宋体" w:cs="宋体"/>
                <w:kern w:val="0"/>
                <w:sz w:val="18"/>
                <w:szCs w:val="18"/>
              </w:rPr>
            </w:pPr>
            <w:r>
              <w:rPr>
                <w:rFonts w:hint="eastAsia" w:ascii="宋体" w:hAnsi="宋体" w:cs="宋体"/>
                <w:kern w:val="0"/>
                <w:sz w:val="18"/>
                <w:szCs w:val="18"/>
              </w:rPr>
              <w:t>9.1.1 乙方未按期完成技术服务工作的，每逾期1天，应向甲方支付相当于技术服务报酬</w:t>
            </w:r>
            <w:r>
              <w:rPr>
                <w:rFonts w:hint="eastAsia" w:ascii="宋体" w:hAnsi="宋体" w:cs="宋体"/>
                <w:kern w:val="0"/>
                <w:sz w:val="18"/>
                <w:szCs w:val="18"/>
                <w:u w:val="single"/>
              </w:rPr>
              <w:t xml:space="preserve">  %</w:t>
            </w:r>
            <w:r>
              <w:rPr>
                <w:rFonts w:hint="eastAsia" w:ascii="宋体" w:hAnsi="宋体" w:cs="宋体"/>
                <w:kern w:val="0"/>
                <w:sz w:val="18"/>
                <w:szCs w:val="18"/>
              </w:rPr>
              <w:t>的违约金，逾期超过</w:t>
            </w:r>
            <w:r>
              <w:rPr>
                <w:rFonts w:hint="eastAsia" w:ascii="宋体" w:hAnsi="宋体" w:cs="宋体"/>
                <w:kern w:val="0"/>
                <w:sz w:val="18"/>
                <w:szCs w:val="18"/>
                <w:u w:val="single"/>
              </w:rPr>
              <w:t xml:space="preserve">   </w:t>
            </w:r>
            <w:r>
              <w:rPr>
                <w:rFonts w:hint="eastAsia" w:ascii="宋体" w:hAnsi="宋体" w:cs="宋体"/>
                <w:kern w:val="0"/>
                <w:sz w:val="18"/>
                <w:szCs w:val="18"/>
              </w:rPr>
              <w:t>日的，甲方有权单方解除合同。</w:t>
            </w:r>
          </w:p>
          <w:p>
            <w:pPr>
              <w:widowControl/>
              <w:adjustRightInd w:val="0"/>
              <w:snapToGrid w:val="0"/>
              <w:jc w:val="left"/>
              <w:rPr>
                <w:rFonts w:hint="eastAsia" w:ascii="宋体" w:hAnsi="宋体" w:cs="宋体"/>
                <w:kern w:val="0"/>
                <w:sz w:val="18"/>
                <w:szCs w:val="18"/>
              </w:rPr>
            </w:pPr>
            <w:r>
              <w:rPr>
                <w:rFonts w:hint="eastAsia" w:ascii="宋体" w:hAnsi="宋体" w:cs="宋体"/>
                <w:kern w:val="0"/>
                <w:sz w:val="18"/>
                <w:szCs w:val="18"/>
              </w:rPr>
              <w:t>9.1.3乙方提供的技术服务不符合本合同约定的验收标准，未通过甲方验收的，乙方应退还甲方已支付的全部款项，并向甲方支付相当于技术服务报酬</w:t>
            </w:r>
            <w:r>
              <w:rPr>
                <w:rFonts w:hint="eastAsia" w:ascii="宋体" w:hAnsi="宋体" w:cs="宋体"/>
                <w:kern w:val="0"/>
                <w:sz w:val="18"/>
                <w:szCs w:val="18"/>
                <w:u w:val="single"/>
              </w:rPr>
              <w:t xml:space="preserve">   %</w:t>
            </w:r>
            <w:r>
              <w:rPr>
                <w:rFonts w:hint="eastAsia" w:ascii="宋体" w:hAnsi="宋体" w:cs="宋体"/>
                <w:kern w:val="0"/>
                <w:sz w:val="18"/>
                <w:szCs w:val="18"/>
              </w:rPr>
              <w:t>的违约金。</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9.1.4乙方违反合同约定的保密义务，应承担一切法律责任并向甲方支付相当于技术服务报酬</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%的违约金。</w:t>
            </w:r>
          </w:p>
          <w:p>
            <w:pPr>
              <w:widowControl/>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9.1.5合同因乙方原因解除的，甲方有权停止支付并要求乙方退还甲方已支付的全部款项，且乙方应向甲方支付相当于技术服务报酬</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%的违约金。</w:t>
            </w:r>
          </w:p>
          <w:p>
            <w:pPr>
              <w:widowControl/>
              <w:adjustRightInd w:val="0"/>
              <w:snapToGrid w:val="0"/>
              <w:jc w:val="left"/>
              <w:rPr>
                <w:rFonts w:hint="eastAsia" w:asciiTheme="minorEastAsia" w:hAnsiTheme="minorEastAsia" w:eastAsiaTheme="minorEastAsia"/>
                <w:sz w:val="18"/>
                <w:szCs w:val="18"/>
              </w:rPr>
            </w:pPr>
            <w:r>
              <w:rPr>
                <w:rFonts w:hint="eastAsia" w:ascii="仿宋" w:hAnsi="仿宋" w:eastAsia="仿宋" w:cs="仿宋"/>
                <w:snapToGrid w:val="0"/>
                <w:kern w:val="0"/>
                <w:sz w:val="24"/>
              </w:rPr>
              <w:t>9.2.2甲方逾期支付技术服务报酬的，应就逾期部分向乙方支付按照全国银行间同业拆借中心公布的同期贷款市场报价利率计算的逾期付款违约金。</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9.2.3甲方无正当理由不接受工作成果的，已支付的报酬不得追回，未支付的报酬应当支付，并向乙方支付相当于技术服务报酬</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%的违约金；甲方无正当理由逾期接受工作成果的，每逾期1天， 应向乙方支付相当于技术服务报酬</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%的违约金，逾期超过</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日的，乙方有权单方解除合同。</w:t>
            </w:r>
          </w:p>
          <w:p>
            <w:pPr>
              <w:widowControl/>
              <w:adjustRightInd w:val="0"/>
              <w:snapToGrid w:val="0"/>
              <w:jc w:val="left"/>
              <w:rPr>
                <w:rFonts w:asciiTheme="minorEastAsia" w:hAnsiTheme="minorEastAsia" w:eastAsiaTheme="minorEastAsia"/>
                <w:sz w:val="18"/>
                <w:szCs w:val="18"/>
              </w:rPr>
            </w:pPr>
            <w:r>
              <w:rPr>
                <w:rFonts w:hint="eastAsia" w:asciiTheme="minorEastAsia" w:hAnsiTheme="minorEastAsia" w:eastAsiaTheme="minorEastAsia"/>
                <w:sz w:val="18"/>
                <w:szCs w:val="18"/>
              </w:rPr>
              <w:t>9.2.4甲方违反合同约定的保密义务，应承担一切法律责任并向乙方支付相当于技术服务报酬</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%的违约金。</w:t>
            </w:r>
          </w:p>
          <w:p>
            <w:pPr>
              <w:widowControl/>
              <w:adjustRightInd w:val="0"/>
              <w:snapToGrid w:val="0"/>
              <w:jc w:val="left"/>
              <w:rPr>
                <w:rFonts w:hint="eastAsia" w:ascii="宋体" w:hAnsi="宋体" w:cs="宋体"/>
                <w:kern w:val="0"/>
                <w:sz w:val="18"/>
                <w:szCs w:val="18"/>
              </w:rPr>
            </w:pPr>
          </w:p>
        </w:tc>
        <w:tc>
          <w:tcPr>
            <w:tcW w:w="3846" w:type="dxa"/>
            <w:tcBorders>
              <w:top w:val="single" w:color="auto" w:sz="4" w:space="0"/>
            </w:tcBorders>
            <w:vAlign w:val="center"/>
          </w:tcPr>
          <w:p>
            <w:pPr>
              <w:adjustRightInd w:val="0"/>
              <w:snapToGrid w:val="0"/>
              <w:ind w:firstLine="360" w:firstLineChars="20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9.1.1 乙方未按期完成技术服务工作的，每逾期1天，应向甲方支付相当于技术服务报酬</w:t>
            </w:r>
            <w:r>
              <w:rPr>
                <w:rFonts w:hint="eastAsia" w:asciiTheme="minorEastAsia" w:hAnsiTheme="minorEastAsia" w:eastAsiaTheme="minorEastAsia"/>
                <w:sz w:val="18"/>
                <w:szCs w:val="18"/>
                <w:u w:val="single"/>
              </w:rPr>
              <w:t xml:space="preserve"> 1 </w:t>
            </w:r>
            <w:r>
              <w:rPr>
                <w:rFonts w:hint="eastAsia" w:asciiTheme="minorEastAsia" w:hAnsiTheme="minorEastAsia" w:eastAsiaTheme="minorEastAsia"/>
                <w:sz w:val="18"/>
                <w:szCs w:val="18"/>
              </w:rPr>
              <w:t>%的违约金，逾期超过</w:t>
            </w:r>
            <w:r>
              <w:rPr>
                <w:rFonts w:hint="eastAsia" w:asciiTheme="minorEastAsia" w:hAnsiTheme="minorEastAsia" w:eastAsiaTheme="minorEastAsia"/>
                <w:sz w:val="18"/>
                <w:szCs w:val="18"/>
                <w:u w:val="single"/>
              </w:rPr>
              <w:t xml:space="preserve"> 30</w:t>
            </w:r>
            <w:r>
              <w:rPr>
                <w:rFonts w:hint="eastAsia" w:asciiTheme="minorEastAsia" w:hAnsiTheme="minorEastAsia" w:eastAsiaTheme="minorEastAsia"/>
                <w:sz w:val="18"/>
                <w:szCs w:val="18"/>
              </w:rPr>
              <w:t>日的，甲方有权单方解除合同。</w:t>
            </w:r>
          </w:p>
          <w:p>
            <w:pPr>
              <w:adjustRightInd w:val="0"/>
              <w:snapToGrid w:val="0"/>
              <w:ind w:firstLine="360" w:firstLineChars="20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9.1.3乙方提供的技术服务不符合本合同约定的验收标准，未通过甲方验收的，乙方应退还甲方已支付的全部款项，并向甲方支付相当于技术服务报酬</w:t>
            </w:r>
            <w:r>
              <w:rPr>
                <w:rFonts w:hint="eastAsia" w:asciiTheme="minorEastAsia" w:hAnsiTheme="minorEastAsia" w:eastAsiaTheme="minorEastAsia"/>
                <w:sz w:val="18"/>
                <w:szCs w:val="18"/>
                <w:u w:val="single"/>
              </w:rPr>
              <w:t>30</w:t>
            </w:r>
            <w:r>
              <w:rPr>
                <w:rFonts w:hint="eastAsia" w:asciiTheme="minorEastAsia" w:hAnsiTheme="minorEastAsia" w:eastAsiaTheme="minorEastAsia"/>
                <w:sz w:val="18"/>
                <w:szCs w:val="18"/>
              </w:rPr>
              <w:t>%的违约金。</w:t>
            </w:r>
          </w:p>
          <w:p>
            <w:pPr>
              <w:adjustRightInd w:val="0"/>
              <w:snapToGrid w:val="0"/>
              <w:ind w:firstLine="360" w:firstLineChars="20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9.1.4乙方违反合同约定的保密义务，应承担一切法律责任并向甲方支付相当于技术服务报酬</w:t>
            </w:r>
            <w:r>
              <w:rPr>
                <w:rFonts w:hint="eastAsia" w:asciiTheme="minorEastAsia" w:hAnsiTheme="minorEastAsia" w:eastAsiaTheme="minorEastAsia"/>
                <w:sz w:val="18"/>
                <w:szCs w:val="18"/>
                <w:u w:val="single"/>
              </w:rPr>
              <w:t>30</w:t>
            </w:r>
            <w:r>
              <w:rPr>
                <w:rFonts w:hint="eastAsia" w:asciiTheme="minorEastAsia" w:hAnsiTheme="minorEastAsia" w:eastAsiaTheme="minorEastAsia"/>
                <w:sz w:val="18"/>
                <w:szCs w:val="18"/>
              </w:rPr>
              <w:t>%的违约金。</w:t>
            </w:r>
          </w:p>
          <w:p>
            <w:pPr>
              <w:adjustRightInd w:val="0"/>
              <w:snapToGrid w:val="0"/>
              <w:ind w:firstLine="360" w:firstLineChars="20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9.1.5合同因乙方原因解除的，甲方有权停止支付并要求乙方退还甲方已支付的全部款项，且乙方应向甲方支付相当于技术服务报酬</w:t>
            </w:r>
            <w:r>
              <w:rPr>
                <w:rFonts w:hint="eastAsia" w:asciiTheme="minorEastAsia" w:hAnsiTheme="minorEastAsia" w:eastAsiaTheme="minorEastAsia"/>
                <w:sz w:val="18"/>
                <w:szCs w:val="18"/>
                <w:u w:val="single"/>
              </w:rPr>
              <w:t>30</w:t>
            </w:r>
            <w:r>
              <w:rPr>
                <w:rFonts w:hint="eastAsia" w:asciiTheme="minorEastAsia" w:hAnsiTheme="minorEastAsia" w:eastAsiaTheme="minorEastAsia"/>
                <w:sz w:val="18"/>
                <w:szCs w:val="18"/>
              </w:rPr>
              <w:t>%的违约金。</w:t>
            </w:r>
          </w:p>
          <w:p>
            <w:pPr>
              <w:adjustRightInd w:val="0"/>
              <w:snapToGrid w:val="0"/>
              <w:ind w:firstLine="480" w:firstLineChars="200"/>
              <w:rPr>
                <w:rFonts w:hint="eastAsia" w:asciiTheme="minorEastAsia" w:hAnsiTheme="minorEastAsia" w:eastAsiaTheme="minorEastAsia"/>
                <w:sz w:val="18"/>
                <w:szCs w:val="18"/>
              </w:rPr>
            </w:pPr>
            <w:r>
              <w:rPr>
                <w:rFonts w:hint="eastAsia" w:ascii="仿宋" w:hAnsi="仿宋" w:eastAsia="仿宋" w:cs="仿宋"/>
                <w:snapToGrid w:val="0"/>
                <w:kern w:val="0"/>
                <w:sz w:val="24"/>
              </w:rPr>
              <w:t>9.2.2甲方逾期支付技术服务报酬的，应就逾期部分向乙方支付按照</w:t>
            </w:r>
            <w:r>
              <w:rPr>
                <w:rFonts w:hint="eastAsia" w:ascii="仿宋" w:hAnsi="仿宋" w:eastAsia="仿宋" w:cs="仿宋"/>
                <w:b/>
                <w:bCs/>
                <w:snapToGrid w:val="0"/>
                <w:kern w:val="0"/>
                <w:sz w:val="24"/>
                <w:u w:val="single"/>
              </w:rPr>
              <w:t>合同订立时</w:t>
            </w:r>
            <w:r>
              <w:rPr>
                <w:rFonts w:hint="eastAsia" w:ascii="仿宋" w:hAnsi="仿宋" w:eastAsia="仿宋" w:cs="仿宋"/>
                <w:snapToGrid w:val="0"/>
                <w:kern w:val="0"/>
                <w:sz w:val="24"/>
              </w:rPr>
              <w:t>全国银行间同业拆借中心公布的</w:t>
            </w:r>
            <w:r>
              <w:rPr>
                <w:rFonts w:hint="eastAsia" w:ascii="仿宋" w:hAnsi="仿宋" w:eastAsia="仿宋" w:cs="仿宋"/>
                <w:b/>
                <w:bCs/>
                <w:snapToGrid w:val="0"/>
                <w:kern w:val="0"/>
                <w:sz w:val="24"/>
                <w:u w:val="single"/>
              </w:rPr>
              <w:t>1年期</w:t>
            </w:r>
            <w:r>
              <w:rPr>
                <w:rFonts w:hint="eastAsia" w:ascii="仿宋" w:hAnsi="仿宋" w:eastAsia="仿宋" w:cs="仿宋"/>
                <w:snapToGrid w:val="0"/>
                <w:kern w:val="0"/>
                <w:sz w:val="24"/>
              </w:rPr>
              <w:t>贷款市场报价利率计算的逾期付款违约金。</w:t>
            </w:r>
          </w:p>
          <w:p>
            <w:pPr>
              <w:adjustRightInd w:val="0"/>
              <w:snapToGrid w:val="0"/>
              <w:ind w:firstLine="360" w:firstLineChars="20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9.2.3甲方无正当理由不接受工作成果的，已支付的报酬不得追回，未支付的报酬应当支付，并向乙方支付相当于技术服务报酬</w:t>
            </w:r>
            <w:r>
              <w:rPr>
                <w:rFonts w:hint="eastAsia" w:asciiTheme="minorEastAsia" w:hAnsiTheme="minorEastAsia" w:eastAsiaTheme="minorEastAsia"/>
                <w:sz w:val="18"/>
                <w:szCs w:val="18"/>
                <w:u w:val="single"/>
              </w:rPr>
              <w:t xml:space="preserve"> 30</w:t>
            </w:r>
            <w:r>
              <w:rPr>
                <w:rFonts w:hint="eastAsia" w:asciiTheme="minorEastAsia" w:hAnsiTheme="minorEastAsia" w:eastAsiaTheme="minorEastAsia"/>
                <w:sz w:val="18"/>
                <w:szCs w:val="18"/>
              </w:rPr>
              <w:t>%的违约金；甲方无正当理由逾期接受工作成果的，每逾期1天， 应向乙方支付相当于技术服务报酬</w:t>
            </w:r>
            <w:r>
              <w:rPr>
                <w:rFonts w:hint="eastAsia" w:asciiTheme="minorEastAsia" w:hAnsiTheme="minorEastAsia" w:eastAsiaTheme="minorEastAsia"/>
                <w:sz w:val="18"/>
                <w:szCs w:val="18"/>
                <w:u w:val="single"/>
              </w:rPr>
              <w:t xml:space="preserve"> 1 </w:t>
            </w:r>
            <w:r>
              <w:rPr>
                <w:rFonts w:hint="eastAsia" w:asciiTheme="minorEastAsia" w:hAnsiTheme="minorEastAsia" w:eastAsiaTheme="minorEastAsia"/>
                <w:sz w:val="18"/>
                <w:szCs w:val="18"/>
              </w:rPr>
              <w:t>%的违约金，逾期超过</w:t>
            </w:r>
            <w:r>
              <w:rPr>
                <w:rFonts w:hint="eastAsia" w:asciiTheme="minorEastAsia" w:hAnsiTheme="minorEastAsia" w:eastAsiaTheme="minorEastAsia"/>
                <w:sz w:val="18"/>
                <w:szCs w:val="18"/>
                <w:u w:val="single"/>
              </w:rPr>
              <w:t xml:space="preserve"> 30 </w:t>
            </w:r>
            <w:r>
              <w:rPr>
                <w:rFonts w:hint="eastAsia" w:asciiTheme="minorEastAsia" w:hAnsiTheme="minorEastAsia" w:eastAsiaTheme="minorEastAsia"/>
                <w:sz w:val="18"/>
                <w:szCs w:val="18"/>
              </w:rPr>
              <w:t>日的，乙方有权单方解除合同。</w:t>
            </w:r>
          </w:p>
          <w:p>
            <w:pPr>
              <w:adjustRightInd w:val="0"/>
              <w:snapToGrid w:val="0"/>
              <w:ind w:firstLine="360" w:firstLineChars="20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9.2.4甲方违反合同约定的保密义务，应承担一切法律责任并向乙方支付相当于技术服务报酬 </w:t>
            </w:r>
            <w:r>
              <w:rPr>
                <w:rFonts w:hint="eastAsia" w:asciiTheme="minorEastAsia" w:hAnsiTheme="minorEastAsia" w:eastAsiaTheme="minorEastAsia"/>
                <w:sz w:val="18"/>
                <w:szCs w:val="18"/>
                <w:u w:val="single"/>
              </w:rPr>
              <w:t>30</w:t>
            </w:r>
            <w:r>
              <w:rPr>
                <w:rFonts w:hint="eastAsia" w:asciiTheme="minorEastAsia" w:hAnsiTheme="minorEastAsia" w:eastAsiaTheme="minorEastAsia"/>
                <w:sz w:val="18"/>
                <w:szCs w:val="18"/>
              </w:rPr>
              <w:t>%的违约金。</w:t>
            </w:r>
          </w:p>
          <w:p>
            <w:pPr>
              <w:adjustRightInd w:val="0"/>
              <w:snapToGrid w:val="0"/>
              <w:ind w:firstLine="360" w:firstLineChars="20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9.2.5</w:t>
            </w:r>
            <w:r>
              <w:rPr>
                <w:rFonts w:ascii="宋体" w:hAnsi="宋体" w:cs="宋体"/>
                <w:kern w:val="0"/>
                <w:sz w:val="18"/>
                <w:szCs w:val="18"/>
              </w:rPr>
              <w:t>“乙方保证所交付的成果和/或提供的服务不存在任何权利瑕疵，不存在侵犯任何第三方权益情形（包括但不限于知识产权），乙方应保证甲方免于遭受因第三方提起侵权索赔而产生的任何损失。否则，乙方应负责与之交涉，并承担由此引起的一切责任。”</w:t>
            </w:r>
          </w:p>
        </w:tc>
        <w:tc>
          <w:tcPr>
            <w:tcW w:w="823" w:type="dxa"/>
            <w:tcBorders>
              <w:top w:val="single" w:color="auto" w:sz="4" w:space="0"/>
            </w:tcBorders>
          </w:tcPr>
          <w:p>
            <w:pPr>
              <w:adjustRightInd w:val="0"/>
              <w:snapToGrid w:val="0"/>
              <w:ind w:firstLine="360" w:firstLineChars="200"/>
              <w:rPr>
                <w:rFonts w:hint="eastAsia" w:asciiTheme="minorEastAsia" w:hAnsiTheme="minorEastAsia" w:eastAsiaTheme="minorEastAsia"/>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68" w:type="dxa"/>
            <w:tcBorders>
              <w:top w:val="single" w:color="auto" w:sz="4" w:space="0"/>
            </w:tcBorders>
            <w:vAlign w:val="center"/>
          </w:tcPr>
          <w:p>
            <w:pPr>
              <w:widowControl/>
              <w:rPr>
                <w:rFonts w:hint="eastAsia" w:ascii="宋体" w:hAnsi="宋体" w:cs="宋体"/>
                <w:b/>
                <w:kern w:val="0"/>
                <w:sz w:val="18"/>
                <w:szCs w:val="18"/>
              </w:rPr>
            </w:pPr>
            <w:r>
              <w:rPr>
                <w:rFonts w:hint="eastAsia" w:ascii="宋体" w:hAnsi="宋体" w:cs="宋体"/>
                <w:b/>
                <w:kern w:val="0"/>
                <w:sz w:val="18"/>
                <w:szCs w:val="18"/>
              </w:rPr>
              <w:t xml:space="preserve"> 4</w:t>
            </w:r>
          </w:p>
        </w:tc>
        <w:tc>
          <w:tcPr>
            <w:tcW w:w="971" w:type="dxa"/>
            <w:tcBorders>
              <w:top w:val="single" w:color="auto" w:sz="4" w:space="0"/>
            </w:tcBorders>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10.合同变更和解除</w:t>
            </w:r>
          </w:p>
        </w:tc>
        <w:tc>
          <w:tcPr>
            <w:tcW w:w="4013" w:type="dxa"/>
            <w:tcBorders>
              <w:top w:val="single" w:color="auto" w:sz="4" w:space="0"/>
            </w:tcBorders>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10.2有下列情形之一的，一方可以向另一方提出变更或解除合同的书面请求，另一方应当在10日内予以书面答复；逾期未予书面答复的，视为同意：</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 xml:space="preserve">（1）因对方违约使合同不能继续履行或没有必要继续履行； </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w:t>
            </w:r>
            <w:r>
              <w:rPr>
                <w:rFonts w:hint="eastAsia" w:asciiTheme="minorEastAsia" w:hAnsiTheme="minorEastAsia" w:eastAsiaTheme="minorEastAsia"/>
                <w:sz w:val="18"/>
                <w:szCs w:val="18"/>
                <w:u w:val="single"/>
              </w:rPr>
              <w:t xml:space="preserve">  </w:t>
            </w:r>
            <w:r>
              <w:rPr>
                <w:rFonts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u w:val="single"/>
              </w:rPr>
              <w:t>。</w:t>
            </w:r>
          </w:p>
        </w:tc>
        <w:tc>
          <w:tcPr>
            <w:tcW w:w="3846" w:type="dxa"/>
            <w:tcBorders>
              <w:top w:val="single" w:color="auto" w:sz="4" w:space="0"/>
            </w:tcBorders>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有</w:t>
            </w:r>
            <w:bookmarkStart w:id="0" w:name="_GoBack"/>
            <w:bookmarkEnd w:id="0"/>
            <w:r>
              <w:rPr>
                <w:rFonts w:hint="eastAsia" w:asciiTheme="minorEastAsia" w:hAnsiTheme="minorEastAsia" w:eastAsiaTheme="minorEastAsia"/>
                <w:sz w:val="18"/>
                <w:szCs w:val="18"/>
              </w:rPr>
              <w:t>下列情形之一的，一方可以向另一方提出变更合同的书面请求（或建议）或解除合同的通知：</w:t>
            </w:r>
          </w:p>
          <w:p>
            <w:pPr>
              <w:numPr>
                <w:ilvl w:val="0"/>
                <w:numId w:val="1"/>
              </w:num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因对方违约使合同不能继续履行或没有必要继续履行；</w:t>
            </w:r>
          </w:p>
          <w:p>
            <w:pPr>
              <w:numPr>
                <w:ilvl w:val="0"/>
                <w:numId w:val="1"/>
              </w:numPr>
              <w:adjustRightInd w:val="0"/>
              <w:snapToGrid w:val="0"/>
              <w:ind w:left="0" w:leftChars="0"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因工程建设条件变化或不可控因素导致需变更或解除合同。</w:t>
            </w:r>
          </w:p>
          <w:p>
            <w:pPr>
              <w:numPr>
                <w:numId w:val="0"/>
              </w:numPr>
              <w:adjustRightInd w:val="0"/>
              <w:snapToGrid w:val="0"/>
              <w:ind w:left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对于变更合同的书面请求（或建议），另一方应当在10日内予以书面答复，逾期未予书面答复的，视为不同意变更；对于解除合同的通知，自解除通知到达合同对方时合同解除</w:t>
            </w:r>
          </w:p>
        </w:tc>
        <w:tc>
          <w:tcPr>
            <w:tcW w:w="823" w:type="dxa"/>
            <w:tcBorders>
              <w:top w:val="single" w:color="auto" w:sz="4" w:space="0"/>
            </w:tcBorders>
          </w:tcPr>
          <w:p>
            <w:pPr>
              <w:adjustRightInd w:val="0"/>
              <w:snapToGrid w:val="0"/>
              <w:rPr>
                <w:rFonts w:hint="eastAsia" w:asciiTheme="minorEastAsia" w:hAnsiTheme="minorEastAsia" w:eastAsiaTheme="minorEastAsia"/>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8" w:type="dxa"/>
            <w:vAlign w:val="center"/>
          </w:tcPr>
          <w:p>
            <w:pPr>
              <w:widowControl/>
              <w:rPr>
                <w:sz w:val="20"/>
                <w:szCs w:val="20"/>
              </w:rPr>
            </w:pPr>
            <w:r>
              <w:rPr>
                <w:rFonts w:hint="eastAsia"/>
                <w:sz w:val="20"/>
                <w:szCs w:val="20"/>
              </w:rPr>
              <w:t xml:space="preserve"> 5</w:t>
            </w:r>
          </w:p>
        </w:tc>
        <w:tc>
          <w:tcPr>
            <w:tcW w:w="971" w:type="dxa"/>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11.争议解决</w:t>
            </w:r>
          </w:p>
        </w:tc>
        <w:tc>
          <w:tcPr>
            <w:tcW w:w="4013" w:type="dxa"/>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11.争议解决</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11.1因合同及合同有关事项发生的争议，双方应本着诚实信用原则，通过友好协商解决，经协商仍无法达成一致的，按以下第</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种方式处理：</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（1）仲裁：提交</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仲裁委员会，按照申请仲裁时该仲裁机构有效的仲裁规则进行仲裁。仲裁裁决是终局的，对双方均有约束力。</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（2）诉讼：向</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所在地人民法院提起诉讼。</w:t>
            </w:r>
          </w:p>
        </w:tc>
        <w:tc>
          <w:tcPr>
            <w:tcW w:w="3846" w:type="dxa"/>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11.争议解决</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11.1因合同及合同有关事项发生的争议，双方应本着诚实信用原则，通过友好协商解决，经协商仍无法达成一致的，按以下第</w:t>
            </w:r>
            <w:r>
              <w:rPr>
                <w:rFonts w:hint="eastAsia" w:asciiTheme="minorEastAsia" w:hAnsiTheme="minorEastAsia" w:eastAsiaTheme="minorEastAsia"/>
                <w:sz w:val="18"/>
                <w:szCs w:val="18"/>
                <w:u w:val="single"/>
              </w:rPr>
              <w:t>2</w:t>
            </w:r>
            <w:r>
              <w:rPr>
                <w:rFonts w:hint="eastAsia" w:asciiTheme="minorEastAsia" w:hAnsiTheme="minorEastAsia" w:eastAsiaTheme="minorEastAsia"/>
                <w:sz w:val="18"/>
                <w:szCs w:val="18"/>
              </w:rPr>
              <w:t>种方式处理：</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（1）仲裁：提交</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 xml:space="preserve"> 仲裁委员会，按照申请仲裁时该仲裁机构有效的仲裁规则进行仲裁。仲裁裁决是终局的，对双方均有约束力。</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（2）诉讼：向</w:t>
            </w:r>
            <w:r>
              <w:rPr>
                <w:rFonts w:hint="eastAsia" w:asciiTheme="minorEastAsia" w:hAnsiTheme="minorEastAsia" w:eastAsiaTheme="minorEastAsia"/>
                <w:sz w:val="18"/>
                <w:szCs w:val="18"/>
                <w:u w:val="single"/>
              </w:rPr>
              <w:t xml:space="preserve">  甲方  </w:t>
            </w:r>
            <w:r>
              <w:rPr>
                <w:rFonts w:hint="eastAsia" w:asciiTheme="minorEastAsia" w:hAnsiTheme="minorEastAsia" w:eastAsiaTheme="minorEastAsia"/>
                <w:sz w:val="18"/>
                <w:szCs w:val="18"/>
              </w:rPr>
              <w:t>所在地人民法院提起诉讼。</w:t>
            </w:r>
          </w:p>
        </w:tc>
        <w:tc>
          <w:tcPr>
            <w:tcW w:w="823" w:type="dxa"/>
          </w:tcPr>
          <w:p>
            <w:pPr>
              <w:adjustRightInd w:val="0"/>
              <w:snapToGrid w:val="0"/>
              <w:rPr>
                <w:rFonts w:hint="eastAsia" w:asciiTheme="minorEastAsia" w:hAnsiTheme="minorEastAsia" w:eastAsiaTheme="minorEastAsia"/>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8" w:type="dxa"/>
            <w:vAlign w:val="center"/>
          </w:tcPr>
          <w:p>
            <w:pPr>
              <w:widowControl/>
              <w:rPr>
                <w:sz w:val="20"/>
                <w:szCs w:val="20"/>
              </w:rPr>
            </w:pPr>
            <w:r>
              <w:rPr>
                <w:rFonts w:hint="eastAsia"/>
                <w:sz w:val="20"/>
                <w:szCs w:val="20"/>
              </w:rPr>
              <w:t xml:space="preserve"> 6</w:t>
            </w:r>
          </w:p>
        </w:tc>
        <w:tc>
          <w:tcPr>
            <w:tcW w:w="971" w:type="dxa"/>
            <w:vAlign w:val="center"/>
          </w:tcPr>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13.本合同的组成部分</w:t>
            </w:r>
          </w:p>
        </w:tc>
        <w:tc>
          <w:tcPr>
            <w:tcW w:w="4013" w:type="dxa"/>
            <w:vAlign w:val="center"/>
          </w:tcPr>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13.本合同的组成部分</w:t>
            </w:r>
          </w:p>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与履行本合同有关的下列技术文件，经双方约定，作为本合同的组成部分。</w:t>
            </w:r>
          </w:p>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13.1技术背景资料：</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w:t>
            </w:r>
          </w:p>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13.2可行性论证报告：</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w:t>
            </w:r>
          </w:p>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13.3技术评价报告：</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w:t>
            </w:r>
          </w:p>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13.4技术标准和规范：</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w:t>
            </w:r>
          </w:p>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13.5原始设计和工艺文件：</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w:t>
            </w:r>
          </w:p>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13.6其他：</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w:t>
            </w:r>
          </w:p>
        </w:tc>
        <w:tc>
          <w:tcPr>
            <w:tcW w:w="3846" w:type="dxa"/>
            <w:vAlign w:val="center"/>
          </w:tcPr>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13.本合同的组成部分</w:t>
            </w:r>
          </w:p>
          <w:p>
            <w:pPr>
              <w:adjustRightInd w:val="0"/>
              <w:snapToGrid w:val="0"/>
              <w:jc w:val="lef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与履行本合同有关的下列技术文件，经双方约定，作为本合同的组成部分。</w:t>
            </w:r>
          </w:p>
          <w:p>
            <w:pPr>
              <w:adjustRightInd w:val="0"/>
              <w:snapToGrid w:val="0"/>
              <w:rPr>
                <w:rFonts w:hint="eastAsia" w:asciiTheme="minorEastAsia" w:hAnsiTheme="minorEastAsia" w:eastAsiaTheme="minorEastAsia"/>
                <w:sz w:val="18"/>
                <w:szCs w:val="18"/>
                <w:u w:val="single"/>
              </w:rPr>
            </w:pPr>
            <w:r>
              <w:rPr>
                <w:rFonts w:hint="eastAsia" w:asciiTheme="minorEastAsia" w:hAnsiTheme="minorEastAsia" w:eastAsiaTheme="minorEastAsia"/>
                <w:sz w:val="18"/>
                <w:szCs w:val="18"/>
              </w:rPr>
              <w:t>13.1技术背景资料：</w:t>
            </w:r>
            <w:r>
              <w:rPr>
                <w:rFonts w:hint="eastAsia" w:asciiTheme="minorEastAsia" w:hAnsiTheme="minorEastAsia" w:eastAsiaTheme="minorEastAsia"/>
                <w:sz w:val="18"/>
                <w:szCs w:val="18"/>
                <w:u w:val="single"/>
              </w:rPr>
              <w:t>工程可研报告、成套设计报告、初步设计报告、设备规范书、设计联络会纪要等  ；</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修改</w:t>
            </w:r>
            <w:r>
              <w:rPr>
                <w:rFonts w:asciiTheme="minorEastAsia" w:hAnsiTheme="minorEastAsia" w:eastAsiaTheme="minorEastAsia"/>
                <w:sz w:val="18"/>
                <w:szCs w:val="18"/>
              </w:rPr>
              <w:t>为：</w:t>
            </w:r>
          </w:p>
          <w:p>
            <w:pPr>
              <w:adjustRightInd w:val="0"/>
              <w:snapToGrid w:val="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13.2可行性论证报告；13.3技术评价报告； 13.4技术标准和规范；13.5原始设计和工艺文件；13.6其他；不适用。</w:t>
            </w:r>
          </w:p>
        </w:tc>
        <w:tc>
          <w:tcPr>
            <w:tcW w:w="823" w:type="dxa"/>
          </w:tcPr>
          <w:p>
            <w:pPr>
              <w:adjustRightInd w:val="0"/>
              <w:snapToGrid w:val="0"/>
              <w:jc w:val="left"/>
              <w:rPr>
                <w:rFonts w:hint="eastAsia" w:asciiTheme="minorEastAsia" w:hAnsiTheme="minorEastAsia" w:eastAsiaTheme="minorEastAsia"/>
                <w:sz w:val="18"/>
                <w:szCs w:val="18"/>
              </w:rPr>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8" w:type="dxa"/>
            <w:tcBorders>
              <w:top w:val="single" w:color="auto" w:sz="4" w:space="0"/>
              <w:bottom w:val="double" w:color="auto" w:sz="4" w:space="0"/>
            </w:tcBorders>
            <w:vAlign w:val="center"/>
          </w:tcPr>
          <w:p>
            <w:pPr>
              <w:widowControl/>
              <w:rPr>
                <w:sz w:val="20"/>
                <w:szCs w:val="20"/>
              </w:rPr>
            </w:pPr>
            <w:r>
              <w:rPr>
                <w:rFonts w:hint="eastAsia"/>
                <w:sz w:val="20"/>
                <w:szCs w:val="20"/>
              </w:rPr>
              <w:t xml:space="preserve"> </w:t>
            </w:r>
          </w:p>
        </w:tc>
        <w:tc>
          <w:tcPr>
            <w:tcW w:w="971" w:type="dxa"/>
            <w:tcBorders>
              <w:top w:val="single" w:color="auto" w:sz="4" w:space="0"/>
              <w:bottom w:val="double" w:color="auto" w:sz="4" w:space="0"/>
            </w:tcBorders>
            <w:vAlign w:val="center"/>
          </w:tcPr>
          <w:p>
            <w:pPr>
              <w:adjustRightInd w:val="0"/>
              <w:snapToGrid w:val="0"/>
              <w:rPr>
                <w:rFonts w:hint="eastAsia" w:asciiTheme="minorEastAsia" w:hAnsiTheme="minorEastAsia" w:eastAsiaTheme="minorEastAsia"/>
                <w:sz w:val="18"/>
                <w:szCs w:val="18"/>
              </w:rPr>
            </w:pPr>
          </w:p>
        </w:tc>
        <w:tc>
          <w:tcPr>
            <w:tcW w:w="4013" w:type="dxa"/>
            <w:tcBorders>
              <w:top w:val="single" w:color="auto" w:sz="4" w:space="0"/>
              <w:bottom w:val="double" w:color="auto" w:sz="4" w:space="0"/>
            </w:tcBorders>
            <w:vAlign w:val="center"/>
          </w:tcPr>
          <w:p>
            <w:pPr>
              <w:adjustRightInd w:val="0"/>
              <w:snapToGrid w:val="0"/>
              <w:jc w:val="left"/>
              <w:rPr>
                <w:rFonts w:hint="eastAsia" w:asciiTheme="minorEastAsia" w:hAnsiTheme="minorEastAsia" w:eastAsiaTheme="minorEastAsia"/>
                <w:sz w:val="18"/>
                <w:szCs w:val="18"/>
              </w:rPr>
            </w:pPr>
          </w:p>
        </w:tc>
        <w:tc>
          <w:tcPr>
            <w:tcW w:w="3846" w:type="dxa"/>
            <w:tcBorders>
              <w:top w:val="single" w:color="auto" w:sz="4" w:space="0"/>
              <w:bottom w:val="double" w:color="auto" w:sz="4" w:space="0"/>
            </w:tcBorders>
            <w:vAlign w:val="center"/>
          </w:tcPr>
          <w:p>
            <w:pPr>
              <w:widowControl/>
              <w:adjustRightInd w:val="0"/>
              <w:snapToGrid w:val="0"/>
              <w:jc w:val="left"/>
              <w:rPr>
                <w:rFonts w:hint="eastAsia" w:ascii="宋体" w:hAnsi="宋体" w:cs="仿宋"/>
                <w:sz w:val="18"/>
                <w:szCs w:val="18"/>
              </w:rPr>
            </w:pPr>
          </w:p>
        </w:tc>
        <w:tc>
          <w:tcPr>
            <w:tcW w:w="823" w:type="dxa"/>
            <w:tcBorders>
              <w:top w:val="single" w:color="auto" w:sz="4" w:space="0"/>
              <w:bottom w:val="double" w:color="auto" w:sz="4" w:space="0"/>
            </w:tcBorders>
          </w:tcPr>
          <w:p>
            <w:pPr>
              <w:adjustRightInd w:val="0"/>
              <w:snapToGrid w:val="0"/>
              <w:jc w:val="left"/>
              <w:rPr>
                <w:rFonts w:hint="eastAsia" w:asciiTheme="minorEastAsia" w:hAnsiTheme="minorEastAsia" w:eastAsiaTheme="minorEastAsia"/>
                <w:sz w:val="18"/>
                <w:szCs w:val="18"/>
              </w:rPr>
            </w:pPr>
          </w:p>
        </w:tc>
      </w:tr>
    </w:tbl>
    <w:p>
      <w:pPr>
        <w:widowControl/>
        <w:jc w:val="left"/>
      </w:pPr>
    </w:p>
    <w:sectPr>
      <w:footerReference r:id="rId3" w:type="default"/>
      <w:pgSz w:w="11906" w:h="16838"/>
      <w:pgMar w:top="1701" w:right="1247" w:bottom="1560"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EU-F1">
    <w:altName w:val="宋体"/>
    <w:panose1 w:val="00000000000000000000"/>
    <w:charset w:val="86"/>
    <w:family w:val="script"/>
    <w:pitch w:val="default"/>
    <w:sig w:usb0="00000000" w:usb1="00000000" w:usb2="00000010" w:usb3="00000000" w:csb0="00040000" w:csb1="00000000"/>
  </w:font>
  <w:font w:name="方正仿宋_GBK">
    <w:panose1 w:val="03000509000000000000"/>
    <w:charset w:val="86"/>
    <w:family w:val="script"/>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rPr>
      <w:id w:val="577642501"/>
    </w:sdtPr>
    <w:sdtEndPr>
      <w:rPr>
        <w:sz w:val="22"/>
      </w:rPr>
    </w:sdtEndPr>
    <w:sdtContent>
      <w:p>
        <w:pPr>
          <w:pStyle w:val="9"/>
          <w:jc w:val="center"/>
          <w:rPr>
            <w:sz w:val="22"/>
          </w:rPr>
        </w:pPr>
        <w:r>
          <w:rPr>
            <w:sz w:val="22"/>
          </w:rPr>
          <w:fldChar w:fldCharType="begin"/>
        </w:r>
        <w:r>
          <w:rPr>
            <w:sz w:val="22"/>
          </w:rPr>
          <w:instrText xml:space="preserve">PAGE   \* MERGEFORMAT</w:instrText>
        </w:r>
        <w:r>
          <w:rPr>
            <w:sz w:val="22"/>
          </w:rPr>
          <w:fldChar w:fldCharType="separate"/>
        </w:r>
        <w:r>
          <w:rPr>
            <w:sz w:val="22"/>
            <w:lang w:val="zh-CN"/>
          </w:rPr>
          <w:t>1</w:t>
        </w:r>
        <w:r>
          <w:rPr>
            <w:sz w:val="22"/>
          </w:rPr>
          <w:fldChar w:fldCharType="end"/>
        </w:r>
      </w:p>
    </w:sdtContent>
  </w:sdt>
  <w:p>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F6F44B"/>
    <w:multiLevelType w:val="singleLevel"/>
    <w:tmpl w:val="79F6F44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D88"/>
    <w:rsid w:val="0000090E"/>
    <w:rsid w:val="00012DEC"/>
    <w:rsid w:val="0001324A"/>
    <w:rsid w:val="00013E26"/>
    <w:rsid w:val="00015C16"/>
    <w:rsid w:val="00023DE3"/>
    <w:rsid w:val="00024639"/>
    <w:rsid w:val="00026CB9"/>
    <w:rsid w:val="00031419"/>
    <w:rsid w:val="0003682F"/>
    <w:rsid w:val="0003750B"/>
    <w:rsid w:val="00040421"/>
    <w:rsid w:val="0004357A"/>
    <w:rsid w:val="00043C72"/>
    <w:rsid w:val="00043C75"/>
    <w:rsid w:val="00044FC6"/>
    <w:rsid w:val="000507F8"/>
    <w:rsid w:val="00052DDC"/>
    <w:rsid w:val="00053413"/>
    <w:rsid w:val="00053641"/>
    <w:rsid w:val="00053873"/>
    <w:rsid w:val="00054097"/>
    <w:rsid w:val="00055AC4"/>
    <w:rsid w:val="00062E8D"/>
    <w:rsid w:val="00063B06"/>
    <w:rsid w:val="00065DF7"/>
    <w:rsid w:val="0008147B"/>
    <w:rsid w:val="00081B94"/>
    <w:rsid w:val="000846E7"/>
    <w:rsid w:val="000879F4"/>
    <w:rsid w:val="00087E92"/>
    <w:rsid w:val="00090AB2"/>
    <w:rsid w:val="0009187E"/>
    <w:rsid w:val="000A4CC5"/>
    <w:rsid w:val="000B02EE"/>
    <w:rsid w:val="000B525E"/>
    <w:rsid w:val="000B626A"/>
    <w:rsid w:val="000B6D80"/>
    <w:rsid w:val="000B70E4"/>
    <w:rsid w:val="000B7EB5"/>
    <w:rsid w:val="000C0B2F"/>
    <w:rsid w:val="000C1879"/>
    <w:rsid w:val="000C6557"/>
    <w:rsid w:val="000C7425"/>
    <w:rsid w:val="000D0603"/>
    <w:rsid w:val="000D35C2"/>
    <w:rsid w:val="000D768F"/>
    <w:rsid w:val="000E0DB1"/>
    <w:rsid w:val="000E6143"/>
    <w:rsid w:val="000E6185"/>
    <w:rsid w:val="000F1EF5"/>
    <w:rsid w:val="000F2292"/>
    <w:rsid w:val="000F51A9"/>
    <w:rsid w:val="000F6D63"/>
    <w:rsid w:val="000F7240"/>
    <w:rsid w:val="000F7CDE"/>
    <w:rsid w:val="001024CA"/>
    <w:rsid w:val="00103109"/>
    <w:rsid w:val="00103E2F"/>
    <w:rsid w:val="00111E34"/>
    <w:rsid w:val="001153F6"/>
    <w:rsid w:val="001168EC"/>
    <w:rsid w:val="00123DEB"/>
    <w:rsid w:val="00124AF3"/>
    <w:rsid w:val="001347EC"/>
    <w:rsid w:val="00136039"/>
    <w:rsid w:val="0013632A"/>
    <w:rsid w:val="001406F8"/>
    <w:rsid w:val="001414C5"/>
    <w:rsid w:val="001433AF"/>
    <w:rsid w:val="0014424F"/>
    <w:rsid w:val="0014757E"/>
    <w:rsid w:val="00152E27"/>
    <w:rsid w:val="0015409A"/>
    <w:rsid w:val="00160E1A"/>
    <w:rsid w:val="00164EDC"/>
    <w:rsid w:val="00167FD2"/>
    <w:rsid w:val="00170537"/>
    <w:rsid w:val="001721DA"/>
    <w:rsid w:val="00175400"/>
    <w:rsid w:val="00175AB4"/>
    <w:rsid w:val="00176C16"/>
    <w:rsid w:val="001801E7"/>
    <w:rsid w:val="0018104B"/>
    <w:rsid w:val="001819FC"/>
    <w:rsid w:val="00183B57"/>
    <w:rsid w:val="00187ADF"/>
    <w:rsid w:val="001903D7"/>
    <w:rsid w:val="0019109B"/>
    <w:rsid w:val="00191AFA"/>
    <w:rsid w:val="00193C7C"/>
    <w:rsid w:val="001942AF"/>
    <w:rsid w:val="001A13ED"/>
    <w:rsid w:val="001A2218"/>
    <w:rsid w:val="001A22D5"/>
    <w:rsid w:val="001A267F"/>
    <w:rsid w:val="001A567B"/>
    <w:rsid w:val="001A5A84"/>
    <w:rsid w:val="001B0DA7"/>
    <w:rsid w:val="001B0F8C"/>
    <w:rsid w:val="001B18EE"/>
    <w:rsid w:val="001B347A"/>
    <w:rsid w:val="001B596A"/>
    <w:rsid w:val="001B6261"/>
    <w:rsid w:val="001C0E33"/>
    <w:rsid w:val="001C2BF0"/>
    <w:rsid w:val="001C38E9"/>
    <w:rsid w:val="001C3C35"/>
    <w:rsid w:val="001C646E"/>
    <w:rsid w:val="001D3171"/>
    <w:rsid w:val="001D3D72"/>
    <w:rsid w:val="001D42F4"/>
    <w:rsid w:val="001D482A"/>
    <w:rsid w:val="001D6919"/>
    <w:rsid w:val="001D6D63"/>
    <w:rsid w:val="001D7418"/>
    <w:rsid w:val="001E0E0A"/>
    <w:rsid w:val="001E1BCF"/>
    <w:rsid w:val="001E2D52"/>
    <w:rsid w:val="001F0032"/>
    <w:rsid w:val="001F0DD5"/>
    <w:rsid w:val="001F3072"/>
    <w:rsid w:val="001F54F1"/>
    <w:rsid w:val="00203BC0"/>
    <w:rsid w:val="00203F34"/>
    <w:rsid w:val="00205822"/>
    <w:rsid w:val="00205E87"/>
    <w:rsid w:val="0020730D"/>
    <w:rsid w:val="00216E5A"/>
    <w:rsid w:val="00220E9A"/>
    <w:rsid w:val="00222E5A"/>
    <w:rsid w:val="00224B80"/>
    <w:rsid w:val="00226F12"/>
    <w:rsid w:val="00227570"/>
    <w:rsid w:val="002337CF"/>
    <w:rsid w:val="002376F0"/>
    <w:rsid w:val="0023798B"/>
    <w:rsid w:val="00237F47"/>
    <w:rsid w:val="0025310F"/>
    <w:rsid w:val="00254E58"/>
    <w:rsid w:val="0025562F"/>
    <w:rsid w:val="00256FEC"/>
    <w:rsid w:val="0026069E"/>
    <w:rsid w:val="00261A00"/>
    <w:rsid w:val="0026204B"/>
    <w:rsid w:val="00263B82"/>
    <w:rsid w:val="00270CF3"/>
    <w:rsid w:val="00272738"/>
    <w:rsid w:val="002758FA"/>
    <w:rsid w:val="002831D5"/>
    <w:rsid w:val="00284F10"/>
    <w:rsid w:val="00286AA2"/>
    <w:rsid w:val="0029098E"/>
    <w:rsid w:val="002928B3"/>
    <w:rsid w:val="002929A5"/>
    <w:rsid w:val="0029381F"/>
    <w:rsid w:val="002939C8"/>
    <w:rsid w:val="002956A8"/>
    <w:rsid w:val="002A0504"/>
    <w:rsid w:val="002A4300"/>
    <w:rsid w:val="002B13E0"/>
    <w:rsid w:val="002B362A"/>
    <w:rsid w:val="002C1D2B"/>
    <w:rsid w:val="002C568D"/>
    <w:rsid w:val="002D07B9"/>
    <w:rsid w:val="002D2B99"/>
    <w:rsid w:val="002D7132"/>
    <w:rsid w:val="002E629D"/>
    <w:rsid w:val="002E7943"/>
    <w:rsid w:val="002F16C6"/>
    <w:rsid w:val="00301E8B"/>
    <w:rsid w:val="00304E35"/>
    <w:rsid w:val="00307608"/>
    <w:rsid w:val="00313CC0"/>
    <w:rsid w:val="003212F1"/>
    <w:rsid w:val="003231D9"/>
    <w:rsid w:val="00324B55"/>
    <w:rsid w:val="00324F2F"/>
    <w:rsid w:val="00327C78"/>
    <w:rsid w:val="00331701"/>
    <w:rsid w:val="00332003"/>
    <w:rsid w:val="00333642"/>
    <w:rsid w:val="003346FE"/>
    <w:rsid w:val="00337251"/>
    <w:rsid w:val="003507AD"/>
    <w:rsid w:val="00350968"/>
    <w:rsid w:val="003511EA"/>
    <w:rsid w:val="00353959"/>
    <w:rsid w:val="00355B61"/>
    <w:rsid w:val="00360096"/>
    <w:rsid w:val="0036053E"/>
    <w:rsid w:val="00360A5D"/>
    <w:rsid w:val="0036138B"/>
    <w:rsid w:val="0036318C"/>
    <w:rsid w:val="003645F8"/>
    <w:rsid w:val="003720EC"/>
    <w:rsid w:val="003727F7"/>
    <w:rsid w:val="0037472F"/>
    <w:rsid w:val="00385D9B"/>
    <w:rsid w:val="00386FD7"/>
    <w:rsid w:val="003910C9"/>
    <w:rsid w:val="00391F30"/>
    <w:rsid w:val="0039233B"/>
    <w:rsid w:val="00396238"/>
    <w:rsid w:val="00396273"/>
    <w:rsid w:val="003A3E92"/>
    <w:rsid w:val="003A44AB"/>
    <w:rsid w:val="003A7F36"/>
    <w:rsid w:val="003B04A9"/>
    <w:rsid w:val="003B0A6C"/>
    <w:rsid w:val="003B1FD7"/>
    <w:rsid w:val="003B2816"/>
    <w:rsid w:val="003B2B2C"/>
    <w:rsid w:val="003B31E1"/>
    <w:rsid w:val="003B424C"/>
    <w:rsid w:val="003B505D"/>
    <w:rsid w:val="003B5266"/>
    <w:rsid w:val="003B7411"/>
    <w:rsid w:val="003C16ED"/>
    <w:rsid w:val="003C436D"/>
    <w:rsid w:val="003C46C6"/>
    <w:rsid w:val="003D017E"/>
    <w:rsid w:val="003D62B0"/>
    <w:rsid w:val="003D707B"/>
    <w:rsid w:val="003E33E0"/>
    <w:rsid w:val="003E427D"/>
    <w:rsid w:val="003E4C12"/>
    <w:rsid w:val="003E4E4A"/>
    <w:rsid w:val="003E5541"/>
    <w:rsid w:val="003F3909"/>
    <w:rsid w:val="003F59C5"/>
    <w:rsid w:val="00400C1B"/>
    <w:rsid w:val="0040202C"/>
    <w:rsid w:val="004074E7"/>
    <w:rsid w:val="00410A6E"/>
    <w:rsid w:val="00413C0A"/>
    <w:rsid w:val="00413E56"/>
    <w:rsid w:val="0042014C"/>
    <w:rsid w:val="00420BFA"/>
    <w:rsid w:val="004268C5"/>
    <w:rsid w:val="00426DCD"/>
    <w:rsid w:val="00433156"/>
    <w:rsid w:val="00435E61"/>
    <w:rsid w:val="00437132"/>
    <w:rsid w:val="00440931"/>
    <w:rsid w:val="00451B8E"/>
    <w:rsid w:val="004542B7"/>
    <w:rsid w:val="00455AB6"/>
    <w:rsid w:val="004648DD"/>
    <w:rsid w:val="004770E3"/>
    <w:rsid w:val="00484BA8"/>
    <w:rsid w:val="00485CDB"/>
    <w:rsid w:val="00486825"/>
    <w:rsid w:val="00487D27"/>
    <w:rsid w:val="00491E35"/>
    <w:rsid w:val="00492293"/>
    <w:rsid w:val="004942A7"/>
    <w:rsid w:val="004A3BF8"/>
    <w:rsid w:val="004B23FC"/>
    <w:rsid w:val="004B2E8A"/>
    <w:rsid w:val="004B7329"/>
    <w:rsid w:val="004C050D"/>
    <w:rsid w:val="004C0782"/>
    <w:rsid w:val="004C10C8"/>
    <w:rsid w:val="004C3179"/>
    <w:rsid w:val="004C3929"/>
    <w:rsid w:val="004C489A"/>
    <w:rsid w:val="004C7406"/>
    <w:rsid w:val="004D779F"/>
    <w:rsid w:val="004E004F"/>
    <w:rsid w:val="004E3D88"/>
    <w:rsid w:val="004F5466"/>
    <w:rsid w:val="004F74BF"/>
    <w:rsid w:val="005001CF"/>
    <w:rsid w:val="005019A9"/>
    <w:rsid w:val="005021DD"/>
    <w:rsid w:val="00502481"/>
    <w:rsid w:val="00503906"/>
    <w:rsid w:val="0050614A"/>
    <w:rsid w:val="00507EBB"/>
    <w:rsid w:val="00512836"/>
    <w:rsid w:val="00512AD2"/>
    <w:rsid w:val="00512E43"/>
    <w:rsid w:val="00513746"/>
    <w:rsid w:val="0052141A"/>
    <w:rsid w:val="005255EE"/>
    <w:rsid w:val="00530C28"/>
    <w:rsid w:val="00531FAE"/>
    <w:rsid w:val="00532AC5"/>
    <w:rsid w:val="00534403"/>
    <w:rsid w:val="005411EF"/>
    <w:rsid w:val="00542AB2"/>
    <w:rsid w:val="00545D47"/>
    <w:rsid w:val="00551885"/>
    <w:rsid w:val="00552FD2"/>
    <w:rsid w:val="00561A3D"/>
    <w:rsid w:val="00563865"/>
    <w:rsid w:val="00565B49"/>
    <w:rsid w:val="005713FD"/>
    <w:rsid w:val="00573331"/>
    <w:rsid w:val="005768F9"/>
    <w:rsid w:val="00576C6E"/>
    <w:rsid w:val="00580065"/>
    <w:rsid w:val="005817CB"/>
    <w:rsid w:val="00581D26"/>
    <w:rsid w:val="0058469C"/>
    <w:rsid w:val="00584F0B"/>
    <w:rsid w:val="005915DF"/>
    <w:rsid w:val="00591F6B"/>
    <w:rsid w:val="00592D9B"/>
    <w:rsid w:val="0059471C"/>
    <w:rsid w:val="005A39B2"/>
    <w:rsid w:val="005A3D74"/>
    <w:rsid w:val="005B0CB9"/>
    <w:rsid w:val="005B36CD"/>
    <w:rsid w:val="005B528A"/>
    <w:rsid w:val="005B5B0D"/>
    <w:rsid w:val="005B5E60"/>
    <w:rsid w:val="005B769E"/>
    <w:rsid w:val="005B7A44"/>
    <w:rsid w:val="005C0D68"/>
    <w:rsid w:val="005C4940"/>
    <w:rsid w:val="005C651C"/>
    <w:rsid w:val="005D4636"/>
    <w:rsid w:val="005D69B6"/>
    <w:rsid w:val="005D772F"/>
    <w:rsid w:val="005E10B0"/>
    <w:rsid w:val="005E17C3"/>
    <w:rsid w:val="005E41C5"/>
    <w:rsid w:val="005F3BC2"/>
    <w:rsid w:val="0060446D"/>
    <w:rsid w:val="00605451"/>
    <w:rsid w:val="00607722"/>
    <w:rsid w:val="00613D2B"/>
    <w:rsid w:val="00614678"/>
    <w:rsid w:val="00616436"/>
    <w:rsid w:val="0061662C"/>
    <w:rsid w:val="00616F31"/>
    <w:rsid w:val="006171B5"/>
    <w:rsid w:val="0062041C"/>
    <w:rsid w:val="00624FB0"/>
    <w:rsid w:val="00632160"/>
    <w:rsid w:val="00633E92"/>
    <w:rsid w:val="00635DC0"/>
    <w:rsid w:val="006377FC"/>
    <w:rsid w:val="0064305E"/>
    <w:rsid w:val="006468CA"/>
    <w:rsid w:val="00647D8B"/>
    <w:rsid w:val="006524FB"/>
    <w:rsid w:val="00652E75"/>
    <w:rsid w:val="00653DDC"/>
    <w:rsid w:val="00657313"/>
    <w:rsid w:val="006605EC"/>
    <w:rsid w:val="00660B0D"/>
    <w:rsid w:val="00663DC7"/>
    <w:rsid w:val="0066436C"/>
    <w:rsid w:val="00664FC3"/>
    <w:rsid w:val="006710BD"/>
    <w:rsid w:val="00672283"/>
    <w:rsid w:val="0067408A"/>
    <w:rsid w:val="006740CF"/>
    <w:rsid w:val="00677ADD"/>
    <w:rsid w:val="006830C6"/>
    <w:rsid w:val="00684DAA"/>
    <w:rsid w:val="00685197"/>
    <w:rsid w:val="00687539"/>
    <w:rsid w:val="00687AA2"/>
    <w:rsid w:val="00691B86"/>
    <w:rsid w:val="006935D8"/>
    <w:rsid w:val="006A0371"/>
    <w:rsid w:val="006A47C5"/>
    <w:rsid w:val="006A618B"/>
    <w:rsid w:val="006A76CB"/>
    <w:rsid w:val="006B0BAB"/>
    <w:rsid w:val="006B4822"/>
    <w:rsid w:val="006B586A"/>
    <w:rsid w:val="006C33D3"/>
    <w:rsid w:val="006C346B"/>
    <w:rsid w:val="006C4682"/>
    <w:rsid w:val="006C485D"/>
    <w:rsid w:val="006C689E"/>
    <w:rsid w:val="006C72F4"/>
    <w:rsid w:val="006D1537"/>
    <w:rsid w:val="006D26F8"/>
    <w:rsid w:val="006D3AAB"/>
    <w:rsid w:val="006D5B47"/>
    <w:rsid w:val="006E0770"/>
    <w:rsid w:val="006E5051"/>
    <w:rsid w:val="006E5DB4"/>
    <w:rsid w:val="006E6F81"/>
    <w:rsid w:val="006F0329"/>
    <w:rsid w:val="006F3827"/>
    <w:rsid w:val="007016C4"/>
    <w:rsid w:val="00710ADC"/>
    <w:rsid w:val="00713193"/>
    <w:rsid w:val="00721377"/>
    <w:rsid w:val="00721385"/>
    <w:rsid w:val="00725098"/>
    <w:rsid w:val="0073147A"/>
    <w:rsid w:val="00734ECC"/>
    <w:rsid w:val="007526C8"/>
    <w:rsid w:val="007527D4"/>
    <w:rsid w:val="00753E2F"/>
    <w:rsid w:val="0075630D"/>
    <w:rsid w:val="00756B67"/>
    <w:rsid w:val="00760B96"/>
    <w:rsid w:val="00764E9B"/>
    <w:rsid w:val="00765578"/>
    <w:rsid w:val="00772D7D"/>
    <w:rsid w:val="00774700"/>
    <w:rsid w:val="007826DD"/>
    <w:rsid w:val="0078318A"/>
    <w:rsid w:val="00783E57"/>
    <w:rsid w:val="00784509"/>
    <w:rsid w:val="00785A16"/>
    <w:rsid w:val="00791F19"/>
    <w:rsid w:val="007929C3"/>
    <w:rsid w:val="00797A15"/>
    <w:rsid w:val="007A0ADA"/>
    <w:rsid w:val="007A4F0D"/>
    <w:rsid w:val="007B3A5B"/>
    <w:rsid w:val="007B413B"/>
    <w:rsid w:val="007B4CAC"/>
    <w:rsid w:val="007C070A"/>
    <w:rsid w:val="007C4F4D"/>
    <w:rsid w:val="007C7422"/>
    <w:rsid w:val="007C7EF2"/>
    <w:rsid w:val="007D0E6D"/>
    <w:rsid w:val="007D1872"/>
    <w:rsid w:val="007D4D2E"/>
    <w:rsid w:val="007D556A"/>
    <w:rsid w:val="007D7917"/>
    <w:rsid w:val="007E244C"/>
    <w:rsid w:val="007E7B7E"/>
    <w:rsid w:val="007F13FD"/>
    <w:rsid w:val="007F304C"/>
    <w:rsid w:val="007F3934"/>
    <w:rsid w:val="007F4370"/>
    <w:rsid w:val="00803895"/>
    <w:rsid w:val="008044D1"/>
    <w:rsid w:val="008068DC"/>
    <w:rsid w:val="008211BF"/>
    <w:rsid w:val="00822D7D"/>
    <w:rsid w:val="0082725F"/>
    <w:rsid w:val="0083160E"/>
    <w:rsid w:val="008350D4"/>
    <w:rsid w:val="00837064"/>
    <w:rsid w:val="00837AA4"/>
    <w:rsid w:val="008402B2"/>
    <w:rsid w:val="008435BB"/>
    <w:rsid w:val="008447C9"/>
    <w:rsid w:val="00846993"/>
    <w:rsid w:val="00852AD9"/>
    <w:rsid w:val="00854C70"/>
    <w:rsid w:val="0086457A"/>
    <w:rsid w:val="00867D1F"/>
    <w:rsid w:val="00871B40"/>
    <w:rsid w:val="00871F76"/>
    <w:rsid w:val="008857ED"/>
    <w:rsid w:val="00892F5E"/>
    <w:rsid w:val="008952CE"/>
    <w:rsid w:val="008A1B41"/>
    <w:rsid w:val="008A5CC5"/>
    <w:rsid w:val="008A69C9"/>
    <w:rsid w:val="008B4CA7"/>
    <w:rsid w:val="008B7A72"/>
    <w:rsid w:val="008C1725"/>
    <w:rsid w:val="008C33FC"/>
    <w:rsid w:val="008C7999"/>
    <w:rsid w:val="008D0484"/>
    <w:rsid w:val="008D38FC"/>
    <w:rsid w:val="008D7E89"/>
    <w:rsid w:val="008E064F"/>
    <w:rsid w:val="008E31F1"/>
    <w:rsid w:val="008E5631"/>
    <w:rsid w:val="008F2AF4"/>
    <w:rsid w:val="008F6DFB"/>
    <w:rsid w:val="008F70A2"/>
    <w:rsid w:val="0090174A"/>
    <w:rsid w:val="009049FE"/>
    <w:rsid w:val="00904EEF"/>
    <w:rsid w:val="009069A7"/>
    <w:rsid w:val="009100F4"/>
    <w:rsid w:val="00910F14"/>
    <w:rsid w:val="00912497"/>
    <w:rsid w:val="009157FE"/>
    <w:rsid w:val="00917F9F"/>
    <w:rsid w:val="00922D87"/>
    <w:rsid w:val="0092301B"/>
    <w:rsid w:val="009257DC"/>
    <w:rsid w:val="009268B2"/>
    <w:rsid w:val="00926A93"/>
    <w:rsid w:val="00932A10"/>
    <w:rsid w:val="0093421E"/>
    <w:rsid w:val="00935C46"/>
    <w:rsid w:val="00940460"/>
    <w:rsid w:val="0094289D"/>
    <w:rsid w:val="00942CA2"/>
    <w:rsid w:val="00943002"/>
    <w:rsid w:val="00943106"/>
    <w:rsid w:val="00947E28"/>
    <w:rsid w:val="00951C20"/>
    <w:rsid w:val="00954FC5"/>
    <w:rsid w:val="00962415"/>
    <w:rsid w:val="00962711"/>
    <w:rsid w:val="00962A92"/>
    <w:rsid w:val="0096359F"/>
    <w:rsid w:val="00967583"/>
    <w:rsid w:val="00976D31"/>
    <w:rsid w:val="009821F7"/>
    <w:rsid w:val="0098265E"/>
    <w:rsid w:val="0098533F"/>
    <w:rsid w:val="00985557"/>
    <w:rsid w:val="00985872"/>
    <w:rsid w:val="00986E0F"/>
    <w:rsid w:val="00987321"/>
    <w:rsid w:val="00991290"/>
    <w:rsid w:val="00991A39"/>
    <w:rsid w:val="00997CF0"/>
    <w:rsid w:val="009A25A9"/>
    <w:rsid w:val="009A26D4"/>
    <w:rsid w:val="009A55C9"/>
    <w:rsid w:val="009A759C"/>
    <w:rsid w:val="009B09FA"/>
    <w:rsid w:val="009B435A"/>
    <w:rsid w:val="009C082E"/>
    <w:rsid w:val="009C0E54"/>
    <w:rsid w:val="009C257A"/>
    <w:rsid w:val="009C2DFE"/>
    <w:rsid w:val="009C4D27"/>
    <w:rsid w:val="009C78D8"/>
    <w:rsid w:val="009D0B49"/>
    <w:rsid w:val="009D1FA6"/>
    <w:rsid w:val="009D4734"/>
    <w:rsid w:val="009E16AE"/>
    <w:rsid w:val="009E4543"/>
    <w:rsid w:val="009E456E"/>
    <w:rsid w:val="009E593A"/>
    <w:rsid w:val="009E6277"/>
    <w:rsid w:val="009E6420"/>
    <w:rsid w:val="009F545F"/>
    <w:rsid w:val="009F7777"/>
    <w:rsid w:val="009F7BE7"/>
    <w:rsid w:val="00A002FD"/>
    <w:rsid w:val="00A05F32"/>
    <w:rsid w:val="00A07E04"/>
    <w:rsid w:val="00A11A6C"/>
    <w:rsid w:val="00A147E6"/>
    <w:rsid w:val="00A1545B"/>
    <w:rsid w:val="00A216C8"/>
    <w:rsid w:val="00A23560"/>
    <w:rsid w:val="00A26AF2"/>
    <w:rsid w:val="00A32BE2"/>
    <w:rsid w:val="00A368C8"/>
    <w:rsid w:val="00A40941"/>
    <w:rsid w:val="00A40C26"/>
    <w:rsid w:val="00A429E9"/>
    <w:rsid w:val="00A43E5B"/>
    <w:rsid w:val="00A45F46"/>
    <w:rsid w:val="00A4633E"/>
    <w:rsid w:val="00A47204"/>
    <w:rsid w:val="00A506D6"/>
    <w:rsid w:val="00A52ACA"/>
    <w:rsid w:val="00A53499"/>
    <w:rsid w:val="00A559AE"/>
    <w:rsid w:val="00A60940"/>
    <w:rsid w:val="00A61C32"/>
    <w:rsid w:val="00A62927"/>
    <w:rsid w:val="00A63854"/>
    <w:rsid w:val="00A64299"/>
    <w:rsid w:val="00A648F2"/>
    <w:rsid w:val="00A662A4"/>
    <w:rsid w:val="00A665A1"/>
    <w:rsid w:val="00A70B27"/>
    <w:rsid w:val="00A729FC"/>
    <w:rsid w:val="00A73952"/>
    <w:rsid w:val="00A757C3"/>
    <w:rsid w:val="00A76C8A"/>
    <w:rsid w:val="00A76E92"/>
    <w:rsid w:val="00A77C7C"/>
    <w:rsid w:val="00A80F9F"/>
    <w:rsid w:val="00A83AEE"/>
    <w:rsid w:val="00A864F5"/>
    <w:rsid w:val="00A93E6A"/>
    <w:rsid w:val="00AA0924"/>
    <w:rsid w:val="00AA22EF"/>
    <w:rsid w:val="00AA3972"/>
    <w:rsid w:val="00AA4072"/>
    <w:rsid w:val="00AA50BD"/>
    <w:rsid w:val="00AA63A0"/>
    <w:rsid w:val="00AA6692"/>
    <w:rsid w:val="00AC035D"/>
    <w:rsid w:val="00AC2F53"/>
    <w:rsid w:val="00AC558D"/>
    <w:rsid w:val="00AD2094"/>
    <w:rsid w:val="00AD5C44"/>
    <w:rsid w:val="00AD7562"/>
    <w:rsid w:val="00AE26C2"/>
    <w:rsid w:val="00AE6B74"/>
    <w:rsid w:val="00AE7328"/>
    <w:rsid w:val="00AF342D"/>
    <w:rsid w:val="00AF5CFF"/>
    <w:rsid w:val="00B00605"/>
    <w:rsid w:val="00B14F51"/>
    <w:rsid w:val="00B321C0"/>
    <w:rsid w:val="00B34166"/>
    <w:rsid w:val="00B3467E"/>
    <w:rsid w:val="00B35B21"/>
    <w:rsid w:val="00B35C54"/>
    <w:rsid w:val="00B45737"/>
    <w:rsid w:val="00B50AC4"/>
    <w:rsid w:val="00B516D1"/>
    <w:rsid w:val="00B52937"/>
    <w:rsid w:val="00B55ECF"/>
    <w:rsid w:val="00B560A2"/>
    <w:rsid w:val="00B568E7"/>
    <w:rsid w:val="00B57B1A"/>
    <w:rsid w:val="00B60BD2"/>
    <w:rsid w:val="00B6131E"/>
    <w:rsid w:val="00B64BC6"/>
    <w:rsid w:val="00B65CD5"/>
    <w:rsid w:val="00B7006D"/>
    <w:rsid w:val="00B7791B"/>
    <w:rsid w:val="00B812E2"/>
    <w:rsid w:val="00B91B50"/>
    <w:rsid w:val="00B95CEA"/>
    <w:rsid w:val="00BA1B82"/>
    <w:rsid w:val="00BA62C4"/>
    <w:rsid w:val="00BA702B"/>
    <w:rsid w:val="00BA7A3E"/>
    <w:rsid w:val="00BB37B1"/>
    <w:rsid w:val="00BB38C3"/>
    <w:rsid w:val="00BB3E76"/>
    <w:rsid w:val="00BB509A"/>
    <w:rsid w:val="00BB54C8"/>
    <w:rsid w:val="00BB55A1"/>
    <w:rsid w:val="00BB609B"/>
    <w:rsid w:val="00BB7C8F"/>
    <w:rsid w:val="00BC377D"/>
    <w:rsid w:val="00BC4C83"/>
    <w:rsid w:val="00BC559B"/>
    <w:rsid w:val="00BC777C"/>
    <w:rsid w:val="00BD0854"/>
    <w:rsid w:val="00BD2A3D"/>
    <w:rsid w:val="00BD42D1"/>
    <w:rsid w:val="00BD4950"/>
    <w:rsid w:val="00BD7BD2"/>
    <w:rsid w:val="00BE1F7E"/>
    <w:rsid w:val="00BE3FD4"/>
    <w:rsid w:val="00BE4469"/>
    <w:rsid w:val="00BF1F54"/>
    <w:rsid w:val="00BF2E9A"/>
    <w:rsid w:val="00C066BA"/>
    <w:rsid w:val="00C122C1"/>
    <w:rsid w:val="00C131F7"/>
    <w:rsid w:val="00C13EA5"/>
    <w:rsid w:val="00C25044"/>
    <w:rsid w:val="00C2593C"/>
    <w:rsid w:val="00C25D9C"/>
    <w:rsid w:val="00C2617C"/>
    <w:rsid w:val="00C26CE6"/>
    <w:rsid w:val="00C27957"/>
    <w:rsid w:val="00C30D1D"/>
    <w:rsid w:val="00C33A96"/>
    <w:rsid w:val="00C33ED8"/>
    <w:rsid w:val="00C34686"/>
    <w:rsid w:val="00C36326"/>
    <w:rsid w:val="00C36ED0"/>
    <w:rsid w:val="00C42749"/>
    <w:rsid w:val="00C4613E"/>
    <w:rsid w:val="00C47113"/>
    <w:rsid w:val="00C50216"/>
    <w:rsid w:val="00C524BA"/>
    <w:rsid w:val="00C536D8"/>
    <w:rsid w:val="00C5466D"/>
    <w:rsid w:val="00C6598F"/>
    <w:rsid w:val="00C66D7D"/>
    <w:rsid w:val="00C70F2D"/>
    <w:rsid w:val="00C74836"/>
    <w:rsid w:val="00C74F4C"/>
    <w:rsid w:val="00C83C32"/>
    <w:rsid w:val="00C8545A"/>
    <w:rsid w:val="00C87C04"/>
    <w:rsid w:val="00C925A8"/>
    <w:rsid w:val="00C93AB9"/>
    <w:rsid w:val="00C93B43"/>
    <w:rsid w:val="00C97472"/>
    <w:rsid w:val="00C97FC5"/>
    <w:rsid w:val="00CA06D3"/>
    <w:rsid w:val="00CA6CE2"/>
    <w:rsid w:val="00CA6E82"/>
    <w:rsid w:val="00CB2075"/>
    <w:rsid w:val="00CB38C3"/>
    <w:rsid w:val="00CB3DD9"/>
    <w:rsid w:val="00CB742A"/>
    <w:rsid w:val="00CB7A78"/>
    <w:rsid w:val="00CC0F81"/>
    <w:rsid w:val="00CC2A27"/>
    <w:rsid w:val="00CC4FED"/>
    <w:rsid w:val="00CC531F"/>
    <w:rsid w:val="00CC6F9E"/>
    <w:rsid w:val="00CD2011"/>
    <w:rsid w:val="00CD32EE"/>
    <w:rsid w:val="00CE0C84"/>
    <w:rsid w:val="00CF1AC4"/>
    <w:rsid w:val="00CF1D94"/>
    <w:rsid w:val="00CF3D2A"/>
    <w:rsid w:val="00D02BAF"/>
    <w:rsid w:val="00D0668F"/>
    <w:rsid w:val="00D07633"/>
    <w:rsid w:val="00D133BE"/>
    <w:rsid w:val="00D20359"/>
    <w:rsid w:val="00D20760"/>
    <w:rsid w:val="00D20C9C"/>
    <w:rsid w:val="00D21995"/>
    <w:rsid w:val="00D23939"/>
    <w:rsid w:val="00D27B09"/>
    <w:rsid w:val="00D31AE4"/>
    <w:rsid w:val="00D3414F"/>
    <w:rsid w:val="00D34A4E"/>
    <w:rsid w:val="00D37181"/>
    <w:rsid w:val="00D410CB"/>
    <w:rsid w:val="00D45FD2"/>
    <w:rsid w:val="00D50960"/>
    <w:rsid w:val="00D52CEC"/>
    <w:rsid w:val="00D54FAC"/>
    <w:rsid w:val="00D6462F"/>
    <w:rsid w:val="00D66010"/>
    <w:rsid w:val="00D671A9"/>
    <w:rsid w:val="00D759BA"/>
    <w:rsid w:val="00D80E45"/>
    <w:rsid w:val="00D80FD9"/>
    <w:rsid w:val="00D90FD4"/>
    <w:rsid w:val="00D932B0"/>
    <w:rsid w:val="00D93F06"/>
    <w:rsid w:val="00DA3CD1"/>
    <w:rsid w:val="00DA4496"/>
    <w:rsid w:val="00DB02C6"/>
    <w:rsid w:val="00DB0DAF"/>
    <w:rsid w:val="00DB559D"/>
    <w:rsid w:val="00DB67BA"/>
    <w:rsid w:val="00DB740E"/>
    <w:rsid w:val="00DD00FE"/>
    <w:rsid w:val="00DD07BB"/>
    <w:rsid w:val="00DD5F6F"/>
    <w:rsid w:val="00DD7C6F"/>
    <w:rsid w:val="00DE27C3"/>
    <w:rsid w:val="00DF1692"/>
    <w:rsid w:val="00DF4126"/>
    <w:rsid w:val="00E000E7"/>
    <w:rsid w:val="00E00F98"/>
    <w:rsid w:val="00E03D40"/>
    <w:rsid w:val="00E043FB"/>
    <w:rsid w:val="00E119AE"/>
    <w:rsid w:val="00E165E0"/>
    <w:rsid w:val="00E17327"/>
    <w:rsid w:val="00E22E71"/>
    <w:rsid w:val="00E236AF"/>
    <w:rsid w:val="00E238CE"/>
    <w:rsid w:val="00E2565D"/>
    <w:rsid w:val="00E311EC"/>
    <w:rsid w:val="00E31345"/>
    <w:rsid w:val="00E31369"/>
    <w:rsid w:val="00E3242C"/>
    <w:rsid w:val="00E34512"/>
    <w:rsid w:val="00E3528E"/>
    <w:rsid w:val="00E361E8"/>
    <w:rsid w:val="00E41148"/>
    <w:rsid w:val="00E42DC3"/>
    <w:rsid w:val="00E44829"/>
    <w:rsid w:val="00E460B6"/>
    <w:rsid w:val="00E46563"/>
    <w:rsid w:val="00E47EC8"/>
    <w:rsid w:val="00E5262A"/>
    <w:rsid w:val="00E5368A"/>
    <w:rsid w:val="00E560F7"/>
    <w:rsid w:val="00E57319"/>
    <w:rsid w:val="00E6170C"/>
    <w:rsid w:val="00E66840"/>
    <w:rsid w:val="00E751B9"/>
    <w:rsid w:val="00E77261"/>
    <w:rsid w:val="00E77717"/>
    <w:rsid w:val="00E80005"/>
    <w:rsid w:val="00E82CAB"/>
    <w:rsid w:val="00E83975"/>
    <w:rsid w:val="00E86E80"/>
    <w:rsid w:val="00E86F31"/>
    <w:rsid w:val="00E925B9"/>
    <w:rsid w:val="00E9606B"/>
    <w:rsid w:val="00E96500"/>
    <w:rsid w:val="00EA28FA"/>
    <w:rsid w:val="00EA2B6E"/>
    <w:rsid w:val="00EA37BA"/>
    <w:rsid w:val="00EA3DDD"/>
    <w:rsid w:val="00EB056C"/>
    <w:rsid w:val="00EB0679"/>
    <w:rsid w:val="00EB2903"/>
    <w:rsid w:val="00EB2CA9"/>
    <w:rsid w:val="00EB628F"/>
    <w:rsid w:val="00EB69AF"/>
    <w:rsid w:val="00EB6BE6"/>
    <w:rsid w:val="00EB75C8"/>
    <w:rsid w:val="00EC213C"/>
    <w:rsid w:val="00EC26FD"/>
    <w:rsid w:val="00EC639E"/>
    <w:rsid w:val="00ED38C1"/>
    <w:rsid w:val="00ED59E3"/>
    <w:rsid w:val="00ED6B8E"/>
    <w:rsid w:val="00EE0C35"/>
    <w:rsid w:val="00EE42D3"/>
    <w:rsid w:val="00EE5477"/>
    <w:rsid w:val="00EE7A36"/>
    <w:rsid w:val="00EF3CAD"/>
    <w:rsid w:val="00F0093E"/>
    <w:rsid w:val="00F00C45"/>
    <w:rsid w:val="00F073E3"/>
    <w:rsid w:val="00F360CF"/>
    <w:rsid w:val="00F366A0"/>
    <w:rsid w:val="00F414CB"/>
    <w:rsid w:val="00F420B7"/>
    <w:rsid w:val="00F52006"/>
    <w:rsid w:val="00F64D0C"/>
    <w:rsid w:val="00F65621"/>
    <w:rsid w:val="00F65DA6"/>
    <w:rsid w:val="00F66809"/>
    <w:rsid w:val="00F74252"/>
    <w:rsid w:val="00F80540"/>
    <w:rsid w:val="00F811E1"/>
    <w:rsid w:val="00F8272E"/>
    <w:rsid w:val="00F85AE2"/>
    <w:rsid w:val="00F96366"/>
    <w:rsid w:val="00FA45C8"/>
    <w:rsid w:val="00FA4A30"/>
    <w:rsid w:val="00FA5395"/>
    <w:rsid w:val="00FA58E1"/>
    <w:rsid w:val="00FA65B8"/>
    <w:rsid w:val="00FB0103"/>
    <w:rsid w:val="00FB01D0"/>
    <w:rsid w:val="00FB14DD"/>
    <w:rsid w:val="00FC0975"/>
    <w:rsid w:val="00FC5325"/>
    <w:rsid w:val="00FC6930"/>
    <w:rsid w:val="00FC7D8A"/>
    <w:rsid w:val="00FD01AD"/>
    <w:rsid w:val="00FD7002"/>
    <w:rsid w:val="00FE0437"/>
    <w:rsid w:val="00FE215D"/>
    <w:rsid w:val="00FE22B8"/>
    <w:rsid w:val="00FE406D"/>
    <w:rsid w:val="00FE4807"/>
    <w:rsid w:val="00FE4CF9"/>
    <w:rsid w:val="00FE6541"/>
    <w:rsid w:val="00FF0153"/>
    <w:rsid w:val="00FF0F21"/>
    <w:rsid w:val="00FF1579"/>
    <w:rsid w:val="00FF2ECE"/>
    <w:rsid w:val="00FF45E3"/>
    <w:rsid w:val="030E4B1A"/>
    <w:rsid w:val="0A8B3627"/>
    <w:rsid w:val="0AE41495"/>
    <w:rsid w:val="0CA4271A"/>
    <w:rsid w:val="0E104850"/>
    <w:rsid w:val="1377093B"/>
    <w:rsid w:val="1C4D2F8F"/>
    <w:rsid w:val="20434EBF"/>
    <w:rsid w:val="23FF7621"/>
    <w:rsid w:val="24DB67C4"/>
    <w:rsid w:val="27EE41CF"/>
    <w:rsid w:val="2D2171C0"/>
    <w:rsid w:val="2EAF72B9"/>
    <w:rsid w:val="2EB759B1"/>
    <w:rsid w:val="30E667BD"/>
    <w:rsid w:val="340A03A1"/>
    <w:rsid w:val="39D302AA"/>
    <w:rsid w:val="3A602C62"/>
    <w:rsid w:val="40B07558"/>
    <w:rsid w:val="41F96C0C"/>
    <w:rsid w:val="57CB0BC7"/>
    <w:rsid w:val="5A0D5638"/>
    <w:rsid w:val="66B07E0A"/>
    <w:rsid w:val="72B44C5D"/>
    <w:rsid w:val="78CC583B"/>
    <w:rsid w:val="7ECB13F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qFormat="1"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Calibri" w:hAnsi="Calibri" w:eastAsia="宋体" w:cs="Times New Roman"/>
      <w:kern w:val="2"/>
      <w:sz w:val="21"/>
      <w:szCs w:val="22"/>
      <w:lang w:val="en-US" w:eastAsia="zh-CN" w:bidi="ar-SA"/>
    </w:rPr>
  </w:style>
  <w:style w:type="paragraph" w:styleId="2">
    <w:name w:val="heading 1"/>
    <w:basedOn w:val="1"/>
    <w:next w:val="1"/>
    <w:link w:val="29"/>
    <w:qFormat/>
    <w:uiPriority w:val="9"/>
    <w:pPr>
      <w:keepNext/>
      <w:keepLines/>
      <w:snapToGrid w:val="0"/>
      <w:spacing w:line="360" w:lineRule="auto"/>
      <w:jc w:val="center"/>
      <w:outlineLvl w:val="0"/>
    </w:pPr>
    <w:rPr>
      <w:rFonts w:eastAsia="黑体"/>
      <w:kern w:val="44"/>
      <w:sz w:val="32"/>
    </w:rPr>
  </w:style>
  <w:style w:type="paragraph" w:styleId="3">
    <w:name w:val="heading 2"/>
    <w:basedOn w:val="1"/>
    <w:next w:val="1"/>
    <w:link w:val="27"/>
    <w:qFormat/>
    <w:uiPriority w:val="0"/>
    <w:pPr>
      <w:keepNext/>
      <w:keepLines/>
      <w:topLinePunct/>
      <w:adjustRightInd w:val="0"/>
      <w:snapToGrid w:val="0"/>
      <w:spacing w:beforeLines="80" w:afterLines="80"/>
      <w:jc w:val="left"/>
      <w:outlineLvl w:val="1"/>
    </w:pPr>
    <w:rPr>
      <w:rFonts w:ascii="Arial" w:hAnsi="Arial" w:eastAsia="黑体"/>
      <w:szCs w:val="20"/>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Document Map"/>
    <w:basedOn w:val="1"/>
    <w:link w:val="38"/>
    <w:semiHidden/>
    <w:unhideWhenUsed/>
    <w:qFormat/>
    <w:uiPriority w:val="99"/>
    <w:rPr>
      <w:rFonts w:ascii="宋体"/>
      <w:sz w:val="18"/>
      <w:szCs w:val="18"/>
    </w:rPr>
  </w:style>
  <w:style w:type="paragraph" w:styleId="6">
    <w:name w:val="annotation text"/>
    <w:basedOn w:val="1"/>
    <w:link w:val="21"/>
    <w:unhideWhenUsed/>
    <w:qFormat/>
    <w:uiPriority w:val="99"/>
    <w:pPr>
      <w:jc w:val="left"/>
    </w:pPr>
  </w:style>
  <w:style w:type="paragraph" w:styleId="7">
    <w:name w:val="Plain Text"/>
    <w:basedOn w:val="1"/>
    <w:link w:val="40"/>
    <w:qFormat/>
    <w:uiPriority w:val="99"/>
    <w:rPr>
      <w:rFonts w:ascii="宋体" w:hAnsi="Courier New" w:eastAsiaTheme="minorEastAsia" w:cstheme="minorBidi"/>
      <w:szCs w:val="20"/>
    </w:rPr>
  </w:style>
  <w:style w:type="paragraph" w:styleId="8">
    <w:name w:val="Balloon Text"/>
    <w:basedOn w:val="1"/>
    <w:link w:val="18"/>
    <w:unhideWhenUsed/>
    <w:qFormat/>
    <w:uiPriority w:val="99"/>
    <w:rPr>
      <w:sz w:val="18"/>
      <w:szCs w:val="18"/>
    </w:rPr>
  </w:style>
  <w:style w:type="paragraph" w:styleId="9">
    <w:name w:val="footer"/>
    <w:basedOn w:val="1"/>
    <w:link w:val="16"/>
    <w:qFormat/>
    <w:uiPriority w:val="99"/>
    <w:pPr>
      <w:tabs>
        <w:tab w:val="center" w:pos="4153"/>
        <w:tab w:val="right" w:pos="8306"/>
      </w:tabs>
      <w:snapToGrid w:val="0"/>
      <w:jc w:val="left"/>
    </w:pPr>
    <w:rPr>
      <w:sz w:val="18"/>
      <w:szCs w:val="18"/>
    </w:rPr>
  </w:style>
  <w:style w:type="paragraph" w:styleId="10">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annotation subject"/>
    <w:basedOn w:val="6"/>
    <w:next w:val="6"/>
    <w:link w:val="22"/>
    <w:unhideWhenUsed/>
    <w:qFormat/>
    <w:uiPriority w:val="99"/>
    <w:rPr>
      <w:b/>
      <w:bCs/>
    </w:rPr>
  </w:style>
  <w:style w:type="character" w:styleId="14">
    <w:name w:val="Strong"/>
    <w:qFormat/>
    <w:uiPriority w:val="0"/>
    <w:rPr>
      <w:b/>
      <w:bCs/>
    </w:rPr>
  </w:style>
  <w:style w:type="character" w:styleId="15">
    <w:name w:val="annotation reference"/>
    <w:basedOn w:val="13"/>
    <w:unhideWhenUsed/>
    <w:qFormat/>
    <w:uiPriority w:val="99"/>
    <w:rPr>
      <w:sz w:val="21"/>
      <w:szCs w:val="21"/>
    </w:rPr>
  </w:style>
  <w:style w:type="character" w:customStyle="1" w:styleId="16">
    <w:name w:val="页脚 字符"/>
    <w:basedOn w:val="13"/>
    <w:link w:val="9"/>
    <w:qFormat/>
    <w:uiPriority w:val="99"/>
    <w:rPr>
      <w:rFonts w:ascii="Calibri" w:hAnsi="Calibri" w:eastAsia="宋体" w:cs="Times New Roman"/>
      <w:sz w:val="18"/>
      <w:szCs w:val="18"/>
    </w:rPr>
  </w:style>
  <w:style w:type="character" w:customStyle="1" w:styleId="17">
    <w:name w:val="页眉 字符"/>
    <w:basedOn w:val="13"/>
    <w:link w:val="10"/>
    <w:qFormat/>
    <w:uiPriority w:val="99"/>
    <w:rPr>
      <w:rFonts w:ascii="Calibri" w:hAnsi="Calibri" w:eastAsia="宋体" w:cs="Times New Roman"/>
      <w:sz w:val="18"/>
      <w:szCs w:val="18"/>
    </w:rPr>
  </w:style>
  <w:style w:type="character" w:customStyle="1" w:styleId="18">
    <w:name w:val="批注框文本 字符"/>
    <w:basedOn w:val="13"/>
    <w:link w:val="8"/>
    <w:semiHidden/>
    <w:qFormat/>
    <w:uiPriority w:val="99"/>
    <w:rPr>
      <w:rFonts w:ascii="Calibri" w:hAnsi="Calibri" w:eastAsia="宋体" w:cs="Times New Roman"/>
      <w:sz w:val="18"/>
      <w:szCs w:val="18"/>
    </w:rPr>
  </w:style>
  <w:style w:type="paragraph" w:customStyle="1" w:styleId="19">
    <w:name w:val="p0"/>
    <w:basedOn w:val="1"/>
    <w:qFormat/>
    <w:uiPriority w:val="0"/>
    <w:pPr>
      <w:widowControl/>
    </w:pPr>
    <w:rPr>
      <w:rFonts w:ascii="Times New Roman" w:hAnsi="Times New Roman"/>
      <w:kern w:val="0"/>
      <w:szCs w:val="21"/>
    </w:rPr>
  </w:style>
  <w:style w:type="paragraph" w:customStyle="1" w:styleId="20">
    <w:name w:val="列出段落1"/>
    <w:basedOn w:val="1"/>
    <w:qFormat/>
    <w:uiPriority w:val="34"/>
    <w:pPr>
      <w:ind w:firstLine="420" w:firstLineChars="200"/>
    </w:pPr>
  </w:style>
  <w:style w:type="character" w:customStyle="1" w:styleId="21">
    <w:name w:val="批注文字 字符"/>
    <w:basedOn w:val="13"/>
    <w:link w:val="6"/>
    <w:semiHidden/>
    <w:qFormat/>
    <w:uiPriority w:val="99"/>
    <w:rPr>
      <w:rFonts w:ascii="Calibri" w:hAnsi="Calibri" w:eastAsia="宋体" w:cs="Times New Roman"/>
    </w:rPr>
  </w:style>
  <w:style w:type="character" w:customStyle="1" w:styleId="22">
    <w:name w:val="批注主题 字符"/>
    <w:basedOn w:val="21"/>
    <w:link w:val="11"/>
    <w:qFormat/>
    <w:uiPriority w:val="99"/>
    <w:rPr>
      <w:rFonts w:ascii="Calibri" w:hAnsi="Calibri" w:eastAsia="宋体" w:cs="Times New Roman"/>
      <w:b/>
      <w:bCs/>
    </w:rPr>
  </w:style>
  <w:style w:type="paragraph" w:customStyle="1" w:styleId="23">
    <w:name w:val="修订1"/>
    <w:hidden/>
    <w:semiHidden/>
    <w:qFormat/>
    <w:uiPriority w:val="99"/>
    <w:pPr>
      <w:spacing w:after="160" w:line="278" w:lineRule="auto"/>
    </w:pPr>
    <w:rPr>
      <w:rFonts w:ascii="Calibri" w:hAnsi="Calibri" w:eastAsia="宋体" w:cs="Times New Roman"/>
      <w:kern w:val="2"/>
      <w:sz w:val="21"/>
      <w:szCs w:val="22"/>
      <w:lang w:val="en-US" w:eastAsia="zh-CN" w:bidi="ar-SA"/>
    </w:rPr>
  </w:style>
  <w:style w:type="character" w:customStyle="1" w:styleId="24">
    <w:name w:val="样式3 Char Char"/>
    <w:link w:val="25"/>
    <w:qFormat/>
    <w:uiPriority w:val="0"/>
    <w:rPr>
      <w:rFonts w:ascii="EU-F1" w:eastAsia="黑体"/>
    </w:rPr>
  </w:style>
  <w:style w:type="paragraph" w:customStyle="1" w:styleId="25">
    <w:name w:val="样式3"/>
    <w:basedOn w:val="1"/>
    <w:link w:val="24"/>
    <w:qFormat/>
    <w:uiPriority w:val="0"/>
    <w:pPr>
      <w:keepNext/>
      <w:keepLines/>
      <w:topLinePunct/>
      <w:spacing w:line="312" w:lineRule="exact"/>
    </w:pPr>
    <w:rPr>
      <w:rFonts w:ascii="EU-F1" w:eastAsia="黑体" w:hAnsiTheme="minorHAnsi" w:cstheme="minorBidi"/>
    </w:rPr>
  </w:style>
  <w:style w:type="paragraph" w:customStyle="1" w:styleId="26">
    <w:name w:val="正文 New New New New New New New New New"/>
    <w:qFormat/>
    <w:uiPriority w:val="0"/>
    <w:pPr>
      <w:widowControl w:val="0"/>
      <w:spacing w:after="160" w:line="278" w:lineRule="auto"/>
      <w:jc w:val="both"/>
    </w:pPr>
    <w:rPr>
      <w:rFonts w:hint="eastAsia" w:ascii="Times New Roman" w:hAnsi="Times New Roman" w:eastAsia="宋体" w:cs="Times New Roman"/>
      <w:kern w:val="2"/>
      <w:sz w:val="21"/>
      <w:lang w:val="en-US" w:eastAsia="zh-CN" w:bidi="ar-SA"/>
    </w:rPr>
  </w:style>
  <w:style w:type="character" w:customStyle="1" w:styleId="27">
    <w:name w:val="标题 2 字符"/>
    <w:basedOn w:val="13"/>
    <w:link w:val="3"/>
    <w:qFormat/>
    <w:uiPriority w:val="0"/>
    <w:rPr>
      <w:rFonts w:ascii="Arial" w:hAnsi="Arial" w:eastAsia="黑体" w:cs="Times New Roman"/>
      <w:szCs w:val="20"/>
    </w:rPr>
  </w:style>
  <w:style w:type="character" w:customStyle="1" w:styleId="28">
    <w:name w:val="标题 3 字符"/>
    <w:basedOn w:val="13"/>
    <w:link w:val="4"/>
    <w:semiHidden/>
    <w:qFormat/>
    <w:uiPriority w:val="9"/>
    <w:rPr>
      <w:rFonts w:ascii="Calibri" w:hAnsi="Calibri" w:eastAsia="宋体" w:cs="Times New Roman"/>
      <w:b/>
      <w:bCs/>
      <w:sz w:val="32"/>
      <w:szCs w:val="32"/>
    </w:rPr>
  </w:style>
  <w:style w:type="character" w:customStyle="1" w:styleId="29">
    <w:name w:val="标题 1 字符"/>
    <w:link w:val="2"/>
    <w:qFormat/>
    <w:uiPriority w:val="0"/>
    <w:rPr>
      <w:rFonts w:eastAsia="黑体"/>
      <w:kern w:val="44"/>
      <w:sz w:val="32"/>
    </w:rPr>
  </w:style>
  <w:style w:type="paragraph" w:styleId="30">
    <w:name w:val="List Paragraph"/>
    <w:basedOn w:val="1"/>
    <w:qFormat/>
    <w:uiPriority w:val="34"/>
    <w:pPr>
      <w:ind w:firstLine="420" w:firstLineChars="200"/>
    </w:pPr>
  </w:style>
  <w:style w:type="paragraph" w:customStyle="1" w:styleId="31">
    <w:name w:val="正文 New New New New New New New New New New New New New New New New New New New New New New New New New New New New New New New New New New New New New New New New New New New New New New New New New New New New New New"/>
    <w:qFormat/>
    <w:uiPriority w:val="0"/>
    <w:pPr>
      <w:widowControl w:val="0"/>
      <w:spacing w:after="160" w:line="278" w:lineRule="auto"/>
      <w:jc w:val="both"/>
    </w:pPr>
    <w:rPr>
      <w:rFonts w:ascii="Times New Roman" w:hAnsi="Times New Roman" w:eastAsia="宋体" w:cs="Times New Roman"/>
      <w:kern w:val="2"/>
      <w:sz w:val="21"/>
      <w:lang w:val="en-US" w:eastAsia="zh-CN" w:bidi="ar-SA"/>
    </w:rPr>
  </w:style>
  <w:style w:type="character" w:customStyle="1" w:styleId="32">
    <w:name w:val="16"/>
    <w:basedOn w:val="13"/>
    <w:qFormat/>
    <w:uiPriority w:val="0"/>
    <w:rPr>
      <w:rFonts w:hint="eastAsia" w:ascii="方正仿宋_GBK" w:eastAsia="方正仿宋_GBK"/>
      <w:b/>
      <w:bCs/>
      <w:sz w:val="32"/>
      <w:szCs w:val="32"/>
    </w:rPr>
  </w:style>
  <w:style w:type="paragraph" w:customStyle="1" w:styleId="33">
    <w:name w:val="修订2"/>
    <w:hidden/>
    <w:semiHidden/>
    <w:qFormat/>
    <w:uiPriority w:val="99"/>
    <w:pPr>
      <w:spacing w:after="160" w:line="278" w:lineRule="auto"/>
    </w:pPr>
    <w:rPr>
      <w:rFonts w:asciiTheme="minorHAnsi" w:hAnsiTheme="minorHAnsi" w:eastAsiaTheme="minorEastAsia" w:cstheme="minorBidi"/>
      <w:kern w:val="2"/>
      <w:sz w:val="21"/>
      <w:szCs w:val="22"/>
      <w:lang w:val="en-US" w:eastAsia="zh-CN" w:bidi="ar-SA"/>
    </w:rPr>
  </w:style>
  <w:style w:type="paragraph" w:customStyle="1" w:styleId="34">
    <w:name w:val="p16"/>
    <w:basedOn w:val="1"/>
    <w:qFormat/>
    <w:uiPriority w:val="0"/>
    <w:pPr>
      <w:widowControl/>
    </w:pPr>
    <w:rPr>
      <w:rFonts w:cs="Calibri"/>
      <w:kern w:val="0"/>
      <w:szCs w:val="21"/>
    </w:rPr>
  </w:style>
  <w:style w:type="paragraph" w:customStyle="1" w:styleId="35">
    <w:name w:val="p15"/>
    <w:basedOn w:val="1"/>
    <w:qFormat/>
    <w:uiPriority w:val="0"/>
    <w:pPr>
      <w:widowControl/>
    </w:pPr>
    <w:rPr>
      <w:rFonts w:cs="Calibri"/>
      <w:kern w:val="0"/>
      <w:szCs w:val="21"/>
    </w:rPr>
  </w:style>
  <w:style w:type="paragraph" w:customStyle="1" w:styleId="36">
    <w:name w:val="样式 标题 2 + 首行缩进:  1.13 厘米"/>
    <w:basedOn w:val="1"/>
    <w:qFormat/>
    <w:uiPriority w:val="0"/>
    <w:pPr>
      <w:keepNext/>
      <w:keepLines/>
      <w:spacing w:line="408" w:lineRule="auto"/>
      <w:ind w:firstLine="641"/>
      <w:outlineLvl w:val="1"/>
    </w:pPr>
    <w:rPr>
      <w:rFonts w:ascii="Cambria" w:hAnsi="Cambria" w:eastAsiaTheme="minorEastAsia" w:cstheme="minorBidi"/>
      <w:b/>
      <w:kern w:val="0"/>
      <w:sz w:val="32"/>
    </w:rPr>
  </w:style>
  <w:style w:type="character" w:customStyle="1" w:styleId="37">
    <w:name w:val="Char Char16"/>
    <w:qFormat/>
    <w:uiPriority w:val="0"/>
    <w:rPr>
      <w:b/>
      <w:kern w:val="2"/>
      <w:sz w:val="32"/>
    </w:rPr>
  </w:style>
  <w:style w:type="character" w:customStyle="1" w:styleId="38">
    <w:name w:val="文档结构图 字符"/>
    <w:basedOn w:val="13"/>
    <w:link w:val="5"/>
    <w:semiHidden/>
    <w:qFormat/>
    <w:uiPriority w:val="99"/>
    <w:rPr>
      <w:rFonts w:ascii="宋体" w:hAnsi="Calibri" w:eastAsia="宋体" w:cs="Times New Roman"/>
      <w:kern w:val="2"/>
      <w:sz w:val="18"/>
      <w:szCs w:val="18"/>
    </w:rPr>
  </w:style>
  <w:style w:type="paragraph" w:customStyle="1" w:styleId="39">
    <w:name w:val="列出段落2"/>
    <w:basedOn w:val="1"/>
    <w:qFormat/>
    <w:uiPriority w:val="0"/>
    <w:pPr>
      <w:ind w:firstLine="420" w:firstLineChars="200"/>
    </w:pPr>
    <w:rPr>
      <w:szCs w:val="20"/>
    </w:rPr>
  </w:style>
  <w:style w:type="character" w:customStyle="1" w:styleId="40">
    <w:name w:val="纯文本 字符"/>
    <w:link w:val="7"/>
    <w:qFormat/>
    <w:uiPriority w:val="99"/>
    <w:rPr>
      <w:rFonts w:ascii="宋体" w:hAnsi="Courier New"/>
      <w:kern w:val="2"/>
      <w:sz w:val="21"/>
    </w:rPr>
  </w:style>
  <w:style w:type="character" w:customStyle="1" w:styleId="41">
    <w:name w:val="纯文本 Char1"/>
    <w:basedOn w:val="13"/>
    <w:semiHidden/>
    <w:qFormat/>
    <w:uiPriority w:val="99"/>
    <w:rPr>
      <w:rFonts w:ascii="宋体" w:hAnsi="Courier New" w:eastAsia="宋体" w:cs="Courier New"/>
      <w:kern w:val="2"/>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A7B639-1FA3-4499-A573-487E1BF0F27C}">
  <ds:schemaRefs/>
</ds:datastoreItem>
</file>

<file path=docProps/app.xml><?xml version="1.0" encoding="utf-8"?>
<Properties xmlns="http://schemas.openxmlformats.org/officeDocument/2006/extended-properties" xmlns:vt="http://schemas.openxmlformats.org/officeDocument/2006/docPropsVTypes">
  <Template>Normal.dotm</Template>
  <Company>神州网信技术有限公司</Company>
  <Pages>3</Pages>
  <Words>455</Words>
  <Characters>2600</Characters>
  <Lines>21</Lines>
  <Paragraphs>6</Paragraphs>
  <TotalTime>3</TotalTime>
  <ScaleCrop>false</ScaleCrop>
  <LinksUpToDate>false</LinksUpToDate>
  <CharactersWithSpaces>3049</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2026-08-10T07:04:00Z</dcterms:created>
  <dc:creator>liuruoqiao</dc:creator>
  <cp:lastModifiedBy>Zhang Qihao</cp:lastModifiedBy>
  <cp:lastPrinted>2014-07-01T09:05:00Z</cp:lastPrinted>
  <dcterms:modified xsi:type="dcterms:W3CDTF">2026-08-18T01:23:56Z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y fmtid="{D5CDD505-2E9C-101B-9397-08002B2CF9AE}" pid="3" name="ICV">
    <vt:lpwstr>AAD9A2085B6042169A382A1EC04C7967_13</vt:lpwstr>
  </property>
  <property fmtid="{D5CDD505-2E9C-101B-9397-08002B2CF9AE}" pid="4" name="KSOTemplateDocerSaveRecord">
    <vt:lpwstr>eyJoZGlkIjoiOTE2NzM1ZDI4MzdhMmJiYWVjNjQ3M2U1YjhmYjY0OGIiLCJ1c2VySWQiOiIzMTc2MjU4MDMifQ==</vt:lpwstr>
  </property>
</Properties>
</file>