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1AE8A">
      <w:pPr>
        <w:spacing w:line="400" w:lineRule="exact"/>
        <w:jc w:val="center"/>
        <w:outlineLvl w:val="0"/>
        <w:rPr>
          <w:rFonts w:ascii="黑体" w:hAnsi="黑体" w:eastAsia="黑体" w:cs="黑体"/>
          <w:b/>
          <w:sz w:val="28"/>
          <w:szCs w:val="28"/>
        </w:rPr>
      </w:pPr>
      <w:r>
        <w:rPr>
          <w:rFonts w:hint="eastAsia" w:ascii="黑体" w:hAnsi="黑体" w:eastAsia="黑体" w:cs="黑体"/>
          <w:b/>
          <w:sz w:val="28"/>
          <w:szCs w:val="28"/>
        </w:rPr>
        <w:t>合同条款差异对比表</w:t>
      </w:r>
    </w:p>
    <w:p w14:paraId="71879D36">
      <w:pPr>
        <w:pStyle w:val="2"/>
        <w:jc w:val="center"/>
        <w:rPr>
          <w:rFonts w:ascii="仿宋" w:hAnsi="仿宋" w:eastAsia="仿宋" w:cs="仿宋"/>
          <w:lang w:val="en-US"/>
        </w:rPr>
      </w:pPr>
      <w:r>
        <w:rPr>
          <w:rFonts w:hint="eastAsia" w:ascii="仿宋" w:hAnsi="仿宋" w:eastAsia="仿宋" w:cs="仿宋"/>
          <w:b/>
          <w:sz w:val="28"/>
          <w:szCs w:val="28"/>
          <w:lang w:val="en-US"/>
        </w:rPr>
        <w:t>适用于：</w:t>
      </w:r>
      <w:r>
        <w:rPr>
          <w:rFonts w:hint="eastAsia" w:ascii="仿宋" w:hAnsi="仿宋" w:eastAsia="仿宋" w:cs="仿宋"/>
          <w:b/>
          <w:sz w:val="28"/>
          <w:szCs w:val="28"/>
          <w:lang w:val="en-US" w:eastAsia="zh-CN"/>
        </w:rPr>
        <w:t>芜湖GIL工程</w:t>
      </w:r>
      <w:r>
        <w:rPr>
          <w:rFonts w:hint="eastAsia" w:ascii="仿宋" w:hAnsi="仿宋" w:eastAsia="仿宋" w:cs="仿宋"/>
          <w:b/>
          <w:sz w:val="28"/>
          <w:szCs w:val="28"/>
          <w:lang w:val="en-US"/>
        </w:rPr>
        <w:t>桩基施工</w:t>
      </w:r>
    </w:p>
    <w:p w14:paraId="36FFABEF">
      <w:pPr>
        <w:jc w:val="center"/>
        <w:rPr>
          <w:rFonts w:ascii="方正仿宋_GBK" w:hAnsi="方正仿宋_GBK" w:eastAsia="方正仿宋_GBK" w:cs="方正仿宋_GBK"/>
          <w:b/>
          <w:sz w:val="18"/>
          <w:szCs w:val="18"/>
        </w:rPr>
      </w:pPr>
    </w:p>
    <w:tbl>
      <w:tblPr>
        <w:tblStyle w:val="15"/>
        <w:tblW w:w="10031" w:type="dxa"/>
        <w:tblInd w:w="0"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040"/>
        <w:gridCol w:w="954"/>
        <w:gridCol w:w="3582"/>
        <w:gridCol w:w="4455"/>
      </w:tblGrid>
      <w:tr w14:paraId="1A51BEC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0031" w:type="dxa"/>
            <w:gridSpan w:val="4"/>
            <w:vAlign w:val="center"/>
          </w:tcPr>
          <w:p w14:paraId="1425A940">
            <w:pPr>
              <w:widowControl/>
              <w:jc w:val="center"/>
              <w:rPr>
                <w:rFonts w:ascii="方正仿宋_GBK" w:hAnsi="方正仿宋_GBK" w:eastAsia="方正仿宋_GBK" w:cs="方正仿宋_GBK"/>
                <w:b/>
                <w:color w:val="000000" w:themeColor="text1"/>
                <w:sz w:val="18"/>
                <w:szCs w:val="18"/>
              </w:rPr>
            </w:pPr>
            <w:r>
              <w:rPr>
                <w:rFonts w:hint="eastAsia" w:ascii="方正仿宋_GBK" w:hAnsi="方正仿宋_GBK" w:eastAsia="方正仿宋_GBK" w:cs="方正仿宋_GBK"/>
                <w:b/>
                <w:color w:val="000000" w:themeColor="text1"/>
                <w:sz w:val="18"/>
                <w:szCs w:val="18"/>
              </w:rPr>
              <w:t>针对经法系统最新合同范本：《</w:t>
            </w:r>
            <w:r>
              <w:rPr>
                <w:rFonts w:hint="eastAsia" w:ascii="方正仿宋_GBK" w:hAnsi="方正仿宋_GBK" w:eastAsia="方正仿宋_GBK" w:cs="方正仿宋_GBK"/>
                <w:color w:val="000000"/>
                <w:kern w:val="0"/>
                <w:sz w:val="18"/>
                <w:szCs w:val="18"/>
              </w:rPr>
              <w:t>SGTYHT/25-GC-007</w:t>
            </w:r>
            <w:r>
              <w:rPr>
                <w:rFonts w:hint="eastAsia" w:ascii="方正仿宋_GBK" w:hAnsi="方正仿宋_GBK" w:eastAsia="方正仿宋_GBK" w:cs="方正仿宋_GBK"/>
                <w:b/>
                <w:color w:val="000000" w:themeColor="text1"/>
                <w:sz w:val="18"/>
                <w:szCs w:val="18"/>
              </w:rPr>
              <w:t xml:space="preserve">  输变电工程施工合同》</w:t>
            </w:r>
          </w:p>
        </w:tc>
      </w:tr>
      <w:tr w14:paraId="7896BFB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1824A0B0">
            <w:pPr>
              <w:widowControl/>
              <w:adjustRightInd w:val="0"/>
              <w:snapToGrid w:val="0"/>
              <w:jc w:val="center"/>
              <w:rPr>
                <w:rFonts w:ascii="方正仿宋_GBK" w:hAnsi="方正仿宋_GBK" w:eastAsia="方正仿宋_GBK" w:cs="方正仿宋_GBK"/>
                <w:b/>
                <w:color w:val="000000" w:themeColor="text1"/>
                <w:kern w:val="0"/>
                <w:sz w:val="18"/>
                <w:szCs w:val="18"/>
              </w:rPr>
            </w:pPr>
            <w:r>
              <w:rPr>
                <w:rFonts w:hint="eastAsia" w:ascii="方正仿宋_GBK" w:hAnsi="方正仿宋_GBK" w:eastAsia="方正仿宋_GBK" w:cs="方正仿宋_GBK"/>
                <w:b/>
                <w:color w:val="000000" w:themeColor="text1"/>
                <w:kern w:val="0"/>
                <w:sz w:val="18"/>
                <w:szCs w:val="18"/>
              </w:rPr>
              <w:t>序号</w:t>
            </w:r>
          </w:p>
        </w:tc>
        <w:tc>
          <w:tcPr>
            <w:tcW w:w="954" w:type="dxa"/>
            <w:vAlign w:val="center"/>
          </w:tcPr>
          <w:p w14:paraId="0437F6F7">
            <w:pPr>
              <w:widowControl/>
              <w:adjustRightInd w:val="0"/>
              <w:snapToGrid w:val="0"/>
              <w:jc w:val="center"/>
              <w:rPr>
                <w:rFonts w:ascii="方正仿宋_GBK" w:hAnsi="方正仿宋_GBK" w:eastAsia="方正仿宋_GBK" w:cs="方正仿宋_GBK"/>
                <w:b/>
                <w:color w:val="000000" w:themeColor="text1"/>
                <w:kern w:val="0"/>
                <w:sz w:val="18"/>
                <w:szCs w:val="18"/>
              </w:rPr>
            </w:pPr>
            <w:r>
              <w:rPr>
                <w:rFonts w:hint="eastAsia" w:ascii="方正仿宋_GBK" w:hAnsi="方正仿宋_GBK" w:eastAsia="方正仿宋_GBK" w:cs="方正仿宋_GBK"/>
                <w:b/>
                <w:color w:val="000000" w:themeColor="text1"/>
                <w:kern w:val="0"/>
                <w:sz w:val="18"/>
                <w:szCs w:val="18"/>
              </w:rPr>
              <w:t>条款号</w:t>
            </w:r>
          </w:p>
        </w:tc>
        <w:tc>
          <w:tcPr>
            <w:tcW w:w="3582" w:type="dxa"/>
            <w:vAlign w:val="center"/>
          </w:tcPr>
          <w:p w14:paraId="7CB7ACF8">
            <w:pPr>
              <w:widowControl/>
              <w:adjustRightInd w:val="0"/>
              <w:snapToGrid w:val="0"/>
              <w:jc w:val="center"/>
              <w:rPr>
                <w:rFonts w:ascii="方正仿宋_GBK" w:hAnsi="方正仿宋_GBK" w:eastAsia="方正仿宋_GBK" w:cs="方正仿宋_GBK"/>
                <w:b/>
                <w:color w:val="000000" w:themeColor="text1"/>
                <w:kern w:val="0"/>
                <w:sz w:val="18"/>
                <w:szCs w:val="18"/>
              </w:rPr>
            </w:pPr>
            <w:r>
              <w:rPr>
                <w:rFonts w:hint="eastAsia" w:ascii="方正仿宋_GBK" w:hAnsi="方正仿宋_GBK" w:eastAsia="方正仿宋_GBK" w:cs="方正仿宋_GBK"/>
                <w:b/>
                <w:color w:val="000000" w:themeColor="text1"/>
                <w:kern w:val="0"/>
                <w:sz w:val="18"/>
                <w:szCs w:val="18"/>
              </w:rPr>
              <w:t>统一合同文本表述</w:t>
            </w:r>
          </w:p>
        </w:tc>
        <w:tc>
          <w:tcPr>
            <w:tcW w:w="4455" w:type="dxa"/>
            <w:vAlign w:val="center"/>
          </w:tcPr>
          <w:p w14:paraId="59D3CE26">
            <w:pPr>
              <w:widowControl/>
              <w:adjustRightInd w:val="0"/>
              <w:snapToGrid w:val="0"/>
              <w:jc w:val="center"/>
              <w:rPr>
                <w:rFonts w:ascii="方正仿宋_GBK" w:hAnsi="方正仿宋_GBK" w:eastAsia="方正仿宋_GBK" w:cs="方正仿宋_GBK"/>
                <w:b/>
                <w:color w:val="000000" w:themeColor="text1"/>
                <w:kern w:val="0"/>
                <w:sz w:val="18"/>
                <w:szCs w:val="18"/>
              </w:rPr>
            </w:pPr>
            <w:r>
              <w:rPr>
                <w:rFonts w:hint="eastAsia" w:ascii="方正仿宋_GBK" w:hAnsi="方正仿宋_GBK" w:eastAsia="方正仿宋_GBK" w:cs="方正仿宋_GBK"/>
                <w:b/>
                <w:color w:val="000000" w:themeColor="text1"/>
                <w:kern w:val="0"/>
                <w:sz w:val="18"/>
                <w:szCs w:val="18"/>
              </w:rPr>
              <w:t>修改后表述</w:t>
            </w:r>
          </w:p>
        </w:tc>
      </w:tr>
      <w:tr w14:paraId="08236D9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1AACE592">
            <w:pPr>
              <w:pStyle w:val="39"/>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3AAFA74F">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kern w:val="0"/>
                <w:sz w:val="18"/>
                <w:szCs w:val="18"/>
              </w:rPr>
              <w:t>合同协议书</w:t>
            </w:r>
            <w:r>
              <w:rPr>
                <w:rFonts w:hint="eastAsia" w:ascii="方正仿宋_GBK" w:hAnsi="方正仿宋_GBK" w:eastAsia="方正仿宋_GBK" w:cs="方正仿宋_GBK"/>
                <w:color w:val="000000" w:themeColor="text1"/>
                <w:sz w:val="18"/>
                <w:szCs w:val="18"/>
              </w:rPr>
              <w:t>四、工程建设目标 1. 工程质量要求</w:t>
            </w:r>
          </w:p>
          <w:p w14:paraId="502691B4">
            <w:pPr>
              <w:widowControl/>
              <w:adjustRightInd w:val="0"/>
              <w:snapToGrid w:val="0"/>
              <w:jc w:val="left"/>
              <w:rPr>
                <w:rFonts w:ascii="方正仿宋_GBK" w:hAnsi="方正仿宋_GBK" w:eastAsia="方正仿宋_GBK" w:cs="方正仿宋_GBK"/>
                <w:color w:val="000000" w:themeColor="text1"/>
                <w:sz w:val="18"/>
                <w:szCs w:val="18"/>
              </w:rPr>
            </w:pPr>
          </w:p>
          <w:p w14:paraId="0CEA15F6">
            <w:pPr>
              <w:widowControl/>
              <w:adjustRightInd w:val="0"/>
              <w:snapToGrid w:val="0"/>
              <w:jc w:val="center"/>
              <w:rPr>
                <w:rFonts w:ascii="方正仿宋_GBK" w:hAnsi="方正仿宋_GBK" w:eastAsia="方正仿宋_GBK" w:cs="方正仿宋_GBK"/>
                <w:color w:val="000000" w:themeColor="text1"/>
                <w:kern w:val="0"/>
                <w:sz w:val="18"/>
                <w:szCs w:val="18"/>
              </w:rPr>
            </w:pPr>
          </w:p>
        </w:tc>
        <w:tc>
          <w:tcPr>
            <w:tcW w:w="3582" w:type="dxa"/>
            <w:vAlign w:val="center"/>
          </w:tcPr>
          <w:p w14:paraId="2FB21C17">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1.1 质量总体要求</w:t>
            </w:r>
          </w:p>
          <w:p w14:paraId="4BAC2580">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严格执行国家、行业、国家电网有限公司有关工程建设质量管理的法律、法规和规章制度，贯彻实施工程设计技术原则，满足国家和行业施工验收规范的要求。</w:t>
            </w:r>
          </w:p>
          <w:p w14:paraId="588741E2">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全面应用输变电工程“标准工艺”；工程“零缺陷”投运；实现工程达标投产及优质工程目标；工程使用寿命满足国家电网有限公司质量要求；不发生因工程建设原因造成的六级及以上工程质量事件。</w:t>
            </w:r>
          </w:p>
          <w:p w14:paraId="3C1000C1">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1.2 专项目标要求</w:t>
            </w:r>
          </w:p>
          <w:p w14:paraId="6D93F7DC">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35千伏及以下项目：工程质量总评为优良，分项工程合格率100％，单位工程合格率100％，观感得分率（土建）≥90％。</w:t>
            </w:r>
          </w:p>
          <w:p w14:paraId="4B944907">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110（66）千伏项目：工程质量总评为优良，分项工程合格率100％，单位工程合格率100％，观感得分率（土建）≥90％。</w:t>
            </w:r>
          </w:p>
          <w:p w14:paraId="26F82CC5">
            <w:pPr>
              <w:widowControl/>
              <w:adjustRightInd w:val="0"/>
              <w:snapToGrid w:val="0"/>
              <w:jc w:val="left"/>
              <w:rPr>
                <w:rFonts w:ascii="方正仿宋_GBK" w:hAnsi="方正仿宋_GBK" w:eastAsia="方正仿宋_GBK" w:cs="方正仿宋_GBK"/>
                <w:color w:val="000000" w:themeColor="text1"/>
              </w:rPr>
            </w:pPr>
            <w:r>
              <w:rPr>
                <w:rFonts w:hint="eastAsia" w:ascii="方正仿宋_GBK" w:hAnsi="方正仿宋_GBK" w:eastAsia="方正仿宋_GBK" w:cs="方正仿宋_GBK"/>
                <w:sz w:val="18"/>
                <w:szCs w:val="18"/>
              </w:rPr>
              <w:t>220千伏及以上项目：工程质量总评为优良，分项工程合格率100％，单位工程合格率100％，观感得分率（土建）≥95％。</w:t>
            </w:r>
          </w:p>
        </w:tc>
        <w:tc>
          <w:tcPr>
            <w:tcW w:w="4455" w:type="dxa"/>
            <w:vAlign w:val="center"/>
          </w:tcPr>
          <w:p w14:paraId="4E996E52">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1.1质量总体目标：全面应用通用设计、通用设备、通用造价、标准工艺；工程质量达到国家、行业和公司标准、规范以及设计要求，实现“零缺陷”投运；工程使用寿命满足设计及公司质量管理要求；不发生因工程建设原因造成的六级及以上工程质量事件。</w:t>
            </w:r>
          </w:p>
          <w:p w14:paraId="07417165">
            <w:pPr>
              <w:widowControl/>
              <w:adjustRightInd w:val="0"/>
              <w:snapToGrid w:val="0"/>
              <w:jc w:val="left"/>
              <w:rPr>
                <w:rFonts w:hint="eastAsia" w:ascii="方正仿宋_GBK" w:hAnsi="方正仿宋_GBK" w:eastAsia="方正仿宋_GBK" w:cs="方正仿宋_GBK"/>
                <w:sz w:val="18"/>
                <w:szCs w:val="18"/>
                <w:lang w:eastAsia="zh-CN"/>
              </w:rPr>
            </w:pPr>
            <w:r>
              <w:rPr>
                <w:rFonts w:hint="eastAsia" w:ascii="方正仿宋_GBK" w:hAnsi="方正仿宋_GBK" w:eastAsia="方正仿宋_GBK" w:cs="方正仿宋_GBK"/>
                <w:sz w:val="18"/>
                <w:szCs w:val="18"/>
              </w:rPr>
              <w:t>工程质量总评为优良，分项工程合格率100％、单位工程优良率100％，观感得分率≥95％</w:t>
            </w:r>
            <w:r>
              <w:rPr>
                <w:rFonts w:hint="eastAsia" w:ascii="方正仿宋_GBK" w:hAnsi="方正仿宋_GBK" w:eastAsia="方正仿宋_GBK" w:cs="方正仿宋_GBK"/>
                <w:sz w:val="18"/>
                <w:szCs w:val="18"/>
                <w:lang w:eastAsia="zh-CN"/>
              </w:rPr>
              <w:t>。</w:t>
            </w:r>
          </w:p>
          <w:p w14:paraId="288B3B2F">
            <w:pPr>
              <w:snapToGrid w:val="0"/>
              <w:spacing w:line="240" w:lineRule="atLeast"/>
              <w:ind w:firstLine="360" w:firstLineChars="200"/>
              <w:jc w:val="left"/>
              <w:rPr>
                <w:rFonts w:ascii="方正仿宋_GBK" w:hAnsi="方正仿宋_GBK" w:eastAsia="方正仿宋_GBK" w:cs="方正仿宋_GBK"/>
                <w:color w:val="000000" w:themeColor="text1"/>
                <w:kern w:val="0"/>
                <w:sz w:val="18"/>
                <w:szCs w:val="18"/>
              </w:rPr>
            </w:pPr>
          </w:p>
        </w:tc>
      </w:tr>
      <w:tr w14:paraId="6478E34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10440F91">
            <w:pPr>
              <w:pStyle w:val="39"/>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shd w:val="clear" w:color="auto" w:fill="auto"/>
            <w:vAlign w:val="center"/>
          </w:tcPr>
          <w:p w14:paraId="3D991C8C">
            <w:pPr>
              <w:widowControl/>
              <w:adjustRightInd w:val="0"/>
              <w:snapToGrid w:val="0"/>
              <w:jc w:val="center"/>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合同协议书</w:t>
            </w:r>
            <w:r>
              <w:rPr>
                <w:rFonts w:hint="eastAsia" w:ascii="方正仿宋_GBK" w:hAnsi="方正仿宋_GBK" w:eastAsia="方正仿宋_GBK" w:cs="方正仿宋_GBK"/>
                <w:color w:val="000000" w:themeColor="text1"/>
                <w:sz w:val="18"/>
                <w:szCs w:val="18"/>
              </w:rPr>
              <w:t>四、工程建设目标</w:t>
            </w:r>
          </w:p>
        </w:tc>
        <w:tc>
          <w:tcPr>
            <w:tcW w:w="3582" w:type="dxa"/>
            <w:shd w:val="clear" w:color="auto" w:fill="auto"/>
            <w:vAlign w:val="center"/>
          </w:tcPr>
          <w:p w14:paraId="3DF5BC0B">
            <w:pPr>
              <w:numPr>
                <w:ilvl w:val="255"/>
                <w:numId w:val="0"/>
              </w:numP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2.安全目标：</w:t>
            </w:r>
          </w:p>
          <w:p w14:paraId="601ACCBB">
            <w:pP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严格执行国家、行业、国家电网有限公司有关工程建设安全管理的法律、法规和规章制度，确保工程建设安全文明施工，采取积极的安全措施，确保实现以下安全目标：</w:t>
            </w:r>
          </w:p>
          <w:p w14:paraId="40FF4799">
            <w:pP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（1）不发生六级及以上人身事件；</w:t>
            </w:r>
          </w:p>
          <w:p w14:paraId="00BAACA2">
            <w:pP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（2）不发生因工程建设引起的六级及以上电网及设备事件；</w:t>
            </w:r>
          </w:p>
          <w:p w14:paraId="7898403F">
            <w:pP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（3）不发生六级及以上施工机械设备事件；</w:t>
            </w:r>
          </w:p>
          <w:p w14:paraId="4F76D238">
            <w:pP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（4）不发生火灾事故；</w:t>
            </w:r>
          </w:p>
          <w:p w14:paraId="5E35C971">
            <w:pP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（5）不发生环境污染事件；</w:t>
            </w:r>
          </w:p>
          <w:p w14:paraId="05398D5B">
            <w:pP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（6）不发生负主要责任的一般交通事故；</w:t>
            </w:r>
          </w:p>
          <w:p w14:paraId="3F62E59D">
            <w:pP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（7）不发生基建信息安全事件；</w:t>
            </w:r>
          </w:p>
          <w:p w14:paraId="6C31D505">
            <w:pPr>
              <w:rPr>
                <w:rFonts w:ascii="方正仿宋_GBK" w:hAnsi="方正仿宋_GBK" w:eastAsia="方正仿宋_GBK" w:cs="方正仿宋_GBK"/>
                <w:color w:val="000000" w:themeColor="text1"/>
              </w:rPr>
            </w:pPr>
            <w:r>
              <w:rPr>
                <w:rFonts w:hint="eastAsia" w:ascii="方正仿宋_GBK" w:hAnsi="方正仿宋_GBK" w:eastAsia="方正仿宋_GBK" w:cs="方正仿宋_GBK"/>
                <w:sz w:val="18"/>
                <w:szCs w:val="18"/>
              </w:rPr>
              <w:t>（8）不发生对国家电网有限公司系统单位造成影响的安全稳定事件。</w:t>
            </w:r>
          </w:p>
        </w:tc>
        <w:tc>
          <w:tcPr>
            <w:tcW w:w="4455" w:type="dxa"/>
            <w:shd w:val="clear" w:color="auto" w:fill="auto"/>
            <w:vAlign w:val="center"/>
          </w:tcPr>
          <w:p w14:paraId="18E641D0">
            <w:pPr>
              <w:snapToGrid w:val="0"/>
              <w:spacing w:line="240" w:lineRule="atLeast"/>
              <w:jc w:val="left"/>
              <w:rPr>
                <w:rFonts w:ascii="方正仿宋_GBK" w:hAnsi="方正仿宋_GBK" w:eastAsia="方正仿宋_GBK" w:cs="方正仿宋_GBK"/>
                <w:color w:val="000000" w:themeColor="text1"/>
                <w:kern w:val="0"/>
                <w:sz w:val="18"/>
                <w:szCs w:val="18"/>
              </w:rPr>
            </w:pPr>
            <w:r>
              <w:rPr>
                <w:rFonts w:hint="eastAsia" w:ascii="仿宋" w:hAnsi="仿宋" w:eastAsia="仿宋" w:cs="仿宋"/>
                <w:sz w:val="18"/>
                <w:szCs w:val="18"/>
              </w:rPr>
              <w:t>安全目标：（1）不发生六级及以上人身事件；（2）不发生因工程建设引起的六级及以上电网及设备事件；（3）不发生六级及以上施工机械设备事件；（4）不发生火灾（含引发森林草原火灾）事故；（5）不发生环境污染事件；（6）不发生负主要责任的一般交通事故；（7）不发生输变电工程建设信息安全事件；（8）不发生对公司造成影响的安全稳定事件</w:t>
            </w:r>
          </w:p>
        </w:tc>
      </w:tr>
      <w:tr w14:paraId="2C16DBC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057ADD33">
            <w:pPr>
              <w:pStyle w:val="39"/>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66DB304C">
            <w:pPr>
              <w:widowControl/>
              <w:adjustRightInd w:val="0"/>
              <w:snapToGrid w:val="0"/>
              <w:jc w:val="center"/>
              <w:rPr>
                <w:rFonts w:ascii="方正仿宋_GBK" w:hAnsi="方正仿宋_GBK" w:eastAsia="方正仿宋_GBK" w:cs="方正仿宋_GBK"/>
                <w:i/>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合同协议书</w:t>
            </w:r>
            <w:r>
              <w:rPr>
                <w:rFonts w:hint="eastAsia" w:ascii="方正仿宋_GBK" w:hAnsi="方正仿宋_GBK" w:eastAsia="方正仿宋_GBK" w:cs="方正仿宋_GBK"/>
                <w:color w:val="000000" w:themeColor="text1"/>
                <w:sz w:val="18"/>
                <w:szCs w:val="18"/>
              </w:rPr>
              <w:t>四、工程建设目标</w:t>
            </w:r>
          </w:p>
        </w:tc>
        <w:tc>
          <w:tcPr>
            <w:tcW w:w="3582" w:type="dxa"/>
            <w:vAlign w:val="center"/>
          </w:tcPr>
          <w:p w14:paraId="5C5942DD">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4.投资控制目标：</w:t>
            </w:r>
          </w:p>
          <w:p w14:paraId="4CB87C55">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 xml:space="preserve">在满足安全质量的前提下，优化工程技术方案，合理控制工程造价，严格规范建设过程中设计变更、现场签证，严格执行合同，做好工程项目结算工作，实现工程造价与结算管理目标。 </w:t>
            </w:r>
          </w:p>
        </w:tc>
        <w:tc>
          <w:tcPr>
            <w:tcW w:w="4455" w:type="dxa"/>
          </w:tcPr>
          <w:p w14:paraId="45631F75">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投资目标：合理确定工程造价，确保工程资金需求，依法合规开展建设管理，严格执行工程建设程序，规范资金使用，坚持造价全过程全面管控，坚持降本增效，持续提升工程投资效益，实现项目全寿命周期效益最优，实现公司整体利益最大化。按期完成工程项目结算，竣工结算不超同口径批复概算。</w:t>
            </w:r>
          </w:p>
          <w:p w14:paraId="146CFD54">
            <w:pPr>
              <w:widowControl/>
              <w:adjustRightInd w:val="0"/>
              <w:snapToGrid w:val="0"/>
              <w:jc w:val="left"/>
              <w:rPr>
                <w:rFonts w:ascii="方正仿宋_GBK" w:hAnsi="方正仿宋_GBK" w:eastAsia="方正仿宋_GBK" w:cs="方正仿宋_GBK"/>
                <w:color w:val="000000" w:themeColor="text1"/>
                <w:sz w:val="18"/>
                <w:szCs w:val="18"/>
              </w:rPr>
            </w:pPr>
          </w:p>
        </w:tc>
      </w:tr>
      <w:tr w14:paraId="3CCE65D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2A79AEE1">
            <w:pPr>
              <w:pStyle w:val="39"/>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53A86900">
            <w:pPr>
              <w:widowControl/>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 xml:space="preserve">合同协议书四、工程建设目标5.环境保护与水土保持目标： </w:t>
            </w:r>
          </w:p>
        </w:tc>
        <w:tc>
          <w:tcPr>
            <w:tcW w:w="3582" w:type="dxa"/>
            <w:vAlign w:val="center"/>
          </w:tcPr>
          <w:p w14:paraId="18B2CACF">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确保工程环保、水保设施建设“三同时”，落实工程环保、水保方案及批复意见，推行绿色施工，建设资源节约型、环境友好型的绿色和谐工程；确保竣工前完成工程拆迁、迹地恢复；确保工程顺利通过环保和水保验收。</w:t>
            </w:r>
          </w:p>
        </w:tc>
        <w:tc>
          <w:tcPr>
            <w:tcW w:w="4455" w:type="dxa"/>
            <w:vAlign w:val="center"/>
          </w:tcPr>
          <w:p w14:paraId="7F5DFF20">
            <w:pPr>
              <w:widowControl/>
              <w:adjustRightInd w:val="0"/>
              <w:snapToGrid w:val="0"/>
              <w:jc w:val="left"/>
              <w:rPr>
                <w:rFonts w:ascii="方正仿宋_GBK" w:hAnsi="方正仿宋_GBK" w:eastAsia="方正仿宋_GBK" w:cs="方正仿宋_GBK"/>
                <w:color w:val="000000" w:themeColor="text1"/>
              </w:rPr>
            </w:pPr>
            <w:r>
              <w:rPr>
                <w:rFonts w:hint="eastAsia" w:ascii="方正仿宋_GBK" w:hAnsi="方正仿宋_GBK" w:eastAsia="方正仿宋_GBK" w:cs="方正仿宋_GBK"/>
                <w:sz w:val="18"/>
                <w:szCs w:val="18"/>
              </w:rPr>
              <w:t>确保工程环保、水保设施建设“三同时”，落实工程环保、水保方案及批复意见，推行绿色施工，建设资源节约型、环境友好型的绿色和谐工程；不发生国家电网公司或行政机关通告较大问题、被纳入重点关注名单等处罚；确保竣工前完成工程拆迁、迹地恢复；确保工程顺利通过环保和水保验收。</w:t>
            </w:r>
          </w:p>
        </w:tc>
      </w:tr>
      <w:tr w14:paraId="5D7D8B2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10FAE822">
            <w:pPr>
              <w:pStyle w:val="39"/>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4FF5EEF9">
            <w:pPr>
              <w:widowControl/>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合同协议书四、工程建设目标6.基建管理信息系统应用目标：</w:t>
            </w:r>
          </w:p>
        </w:tc>
        <w:tc>
          <w:tcPr>
            <w:tcW w:w="3582" w:type="dxa"/>
            <w:vAlign w:val="center"/>
          </w:tcPr>
          <w:p w14:paraId="6B58F4A6">
            <w:pPr>
              <w:jc w:val="left"/>
              <w:rPr>
                <w:rFonts w:ascii="方正仿宋_GBK" w:hAnsi="方正仿宋_GBK" w:eastAsia="方正仿宋_GBK" w:cs="方正仿宋_GBK"/>
                <w:sz w:val="18"/>
                <w:szCs w:val="18"/>
              </w:rPr>
            </w:pPr>
          </w:p>
          <w:p w14:paraId="288AD3E0">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完整性、及时性、准确性100%。</w:t>
            </w:r>
          </w:p>
        </w:tc>
        <w:tc>
          <w:tcPr>
            <w:tcW w:w="4455" w:type="dxa"/>
          </w:tcPr>
          <w:p w14:paraId="44E88528">
            <w:pPr>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完整性、及时性、准确性100%。利用现代信息技术为工程服务，建设并应用e基建2.0系统。利用视频监控、三维深化设计、智能工器具等手段，提升工程现场安全、质量、环保、水保管控水平和工程整体建设效率。</w:t>
            </w:r>
          </w:p>
        </w:tc>
      </w:tr>
      <w:tr w14:paraId="4616C0F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5CD03D10">
            <w:pPr>
              <w:pStyle w:val="39"/>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04C773F4">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合同协议书四、工程建设目标7．档案管理目标：</w:t>
            </w:r>
          </w:p>
          <w:p w14:paraId="31FCC841">
            <w:pPr>
              <w:widowControl/>
              <w:adjustRightInd w:val="0"/>
              <w:snapToGrid w:val="0"/>
              <w:rPr>
                <w:rFonts w:ascii="方正仿宋_GBK" w:hAnsi="方正仿宋_GBK" w:eastAsia="方正仿宋_GBK" w:cs="方正仿宋_GBK"/>
                <w:color w:val="000000" w:themeColor="text1"/>
                <w:kern w:val="0"/>
                <w:sz w:val="18"/>
                <w:szCs w:val="18"/>
              </w:rPr>
            </w:pPr>
          </w:p>
        </w:tc>
        <w:tc>
          <w:tcPr>
            <w:tcW w:w="3582" w:type="dxa"/>
            <w:vAlign w:val="center"/>
          </w:tcPr>
          <w:p w14:paraId="20A29F24">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严格按照国家、行业、国家电网有限公司和项目建设管理单位的有关档案管理规定进行档案管理，将档案管理纳入整个现场管理程序，坚持归档与工程同步进行。确保实现档案归档率100％、资料准确率100％、案卷合格率100％，保证档案资料的齐全、准确、规范、真实、系统、完整；同时保证在合同规定的时间移交竣工档案。</w:t>
            </w:r>
          </w:p>
        </w:tc>
        <w:tc>
          <w:tcPr>
            <w:tcW w:w="4455" w:type="dxa"/>
          </w:tcPr>
          <w:p w14:paraId="40AA58CC">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lang w:val="zh-CN"/>
              </w:rPr>
              <w:t>工程档案工作与工程建设同步完成，建设过程实现分阶段预立卷，档案完整、准确、系统、规范和安全，工程投运后三个月内完成移交，按规定通过国家电网公司档案专项验收。</w:t>
            </w:r>
          </w:p>
        </w:tc>
      </w:tr>
      <w:tr w14:paraId="14A96AA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73" w:hRule="atLeast"/>
        </w:trPr>
        <w:tc>
          <w:tcPr>
            <w:tcW w:w="1040" w:type="dxa"/>
            <w:vAlign w:val="center"/>
          </w:tcPr>
          <w:p w14:paraId="5A4CC58F">
            <w:pPr>
              <w:pStyle w:val="39"/>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690889F6">
            <w:pPr>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合同协议书四、工程建设目标 </w:t>
            </w:r>
          </w:p>
          <w:p w14:paraId="2C282A3F">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 xml:space="preserve"> 8. 创优目标：</w:t>
            </w:r>
          </w:p>
        </w:tc>
        <w:tc>
          <w:tcPr>
            <w:tcW w:w="3582" w:type="dxa"/>
            <w:vAlign w:val="center"/>
          </w:tcPr>
          <w:p w14:paraId="18573544">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110千伏及以上项目：确保达标投产，确保国家电网有限公司输变电优质工程银奖。 </w:t>
            </w:r>
          </w:p>
          <w:p w14:paraId="50FC2E6C">
            <w:pPr>
              <w:widowControl/>
              <w:adjustRightInd w:val="0"/>
              <w:snapToGrid w:val="0"/>
              <w:jc w:val="left"/>
              <w:rPr>
                <w:rFonts w:ascii="方正仿宋_GBK" w:hAnsi="方正仿宋_GBK" w:eastAsia="方正仿宋_GBK" w:cs="方正仿宋_GBK"/>
                <w:color w:val="000000" w:themeColor="text1"/>
              </w:rPr>
            </w:pPr>
            <w:r>
              <w:rPr>
                <w:rFonts w:hint="eastAsia" w:ascii="方正仿宋_GBK" w:hAnsi="方正仿宋_GBK" w:eastAsia="方正仿宋_GBK" w:cs="方正仿宋_GBK"/>
                <w:sz w:val="18"/>
                <w:szCs w:val="18"/>
              </w:rPr>
              <w:t>500千伏及以上项目：确保达标投产，确保国家电网有限公司输变电优质工程金奖。</w:t>
            </w:r>
          </w:p>
        </w:tc>
        <w:tc>
          <w:tcPr>
            <w:tcW w:w="4455" w:type="dxa"/>
          </w:tcPr>
          <w:p w14:paraId="44A8662B">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实现工程达标投产、国家电网公司优质工程金奖、电力优质工程目标，工程质量达到国家优质工程奖、鲁班奖质量标准。</w:t>
            </w:r>
          </w:p>
        </w:tc>
      </w:tr>
      <w:tr w14:paraId="3FE9571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73" w:hRule="atLeast"/>
        </w:trPr>
        <w:tc>
          <w:tcPr>
            <w:tcW w:w="1040" w:type="dxa"/>
            <w:vAlign w:val="center"/>
          </w:tcPr>
          <w:p w14:paraId="3AC9FEC3">
            <w:pPr>
              <w:pStyle w:val="39"/>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7BA48315">
            <w:pP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合同协议书四、工程建设目标 </w:t>
            </w:r>
          </w:p>
          <w:p w14:paraId="5E9B3A1A">
            <w:pPr>
              <w:widowControl/>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9. 其他目标：</w:t>
            </w:r>
          </w:p>
        </w:tc>
        <w:tc>
          <w:tcPr>
            <w:tcW w:w="3582" w:type="dxa"/>
            <w:vAlign w:val="center"/>
          </w:tcPr>
          <w:p w14:paraId="4F97413E">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承包人应切实贯彻国家电网有限公司“三通一标”、“两型三新一化”、智能变电站模块化建设及线路全过程机械化施工等相关要求。</w:t>
            </w:r>
          </w:p>
        </w:tc>
        <w:tc>
          <w:tcPr>
            <w:tcW w:w="4455" w:type="dxa"/>
          </w:tcPr>
          <w:p w14:paraId="662F6827">
            <w:pPr>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创新目标：工程创新需围绕工程特点，主动作为、超前谋划、积极准备、强化执行。按照“以管理创新为基础，以科技创新为主导，以工艺水平提升、新材料、新技术运用为支撑”的工程建设创新的整体工作原则，积极开展设计创新、施工创新、组织管理创新、现场信息管理创新、现场文明施工创新。</w:t>
            </w:r>
            <w:r>
              <w:rPr>
                <w:rFonts w:hint="eastAsia" w:ascii="方正仿宋_GBK" w:hAnsi="方正仿宋_GBK" w:eastAsia="方正仿宋_GBK" w:cs="方正仿宋_GBK"/>
                <w:sz w:val="18"/>
                <w:szCs w:val="18"/>
              </w:rPr>
              <w:br w:type="textWrapping"/>
            </w:r>
            <w:r>
              <w:rPr>
                <w:rFonts w:hint="eastAsia" w:ascii="方正仿宋_GBK" w:hAnsi="方正仿宋_GBK" w:eastAsia="方正仿宋_GBK" w:cs="方正仿宋_GBK"/>
                <w:sz w:val="18"/>
                <w:szCs w:val="18"/>
              </w:rPr>
              <w:t>(2)党建目标：坚持以习近平新时代中国特色社会主义思想为指导，切实增强“四个意识”、坚定“四个自信”、做到“两个维护”，围绕新时代精品工程建设，坚持“党建引领·和谐团队·精品工程”机制，持续深化党的政治建设、思想建设、组织建设、作风建设、党风廉政建设，充分发挥党支部战斗堡垒作用和党员先锋模范作用，努力把工程现场党组织打造成思想教育的前沿阵地、专业公司形象的展示窗口、攻坚克难的坚强堡垒、联系群众的桥梁纽带、党风廉政的重要关口、企业文化的实践阵地，不断提高工程现场党组织的组织力、凝聚力、战斗力，打造新时代特高压输电升级版样板工程，为建设具有中国特色国际领先的能源互联网企业提供有力支撑。</w:t>
            </w:r>
            <w:r>
              <w:rPr>
                <w:rFonts w:hint="eastAsia" w:ascii="方正仿宋_GBK" w:hAnsi="方正仿宋_GBK" w:eastAsia="方正仿宋_GBK" w:cs="方正仿宋_GBK"/>
                <w:sz w:val="18"/>
                <w:szCs w:val="18"/>
              </w:rPr>
              <w:br w:type="textWrapping"/>
            </w:r>
            <w:r>
              <w:rPr>
                <w:rFonts w:hint="eastAsia" w:ascii="方正仿宋_GBK" w:hAnsi="方正仿宋_GBK" w:eastAsia="方正仿宋_GBK" w:cs="方正仿宋_GBK"/>
                <w:sz w:val="18"/>
                <w:szCs w:val="18"/>
              </w:rPr>
              <w:t>(3)其他：承包人应切实贯彻国家电网有限公司“三通一标”、“两型三新一化”、智能变电站模块化建设及线路全过程机械化施工等相关要求。</w:t>
            </w:r>
          </w:p>
          <w:p w14:paraId="452CC8B7">
            <w:pPr>
              <w:widowControl/>
              <w:adjustRightInd w:val="0"/>
              <w:snapToGrid w:val="0"/>
              <w:rPr>
                <w:rFonts w:ascii="方正仿宋_GBK" w:hAnsi="方正仿宋_GBK" w:eastAsia="方正仿宋_GBK" w:cs="方正仿宋_GBK"/>
                <w:color w:val="000000" w:themeColor="text1"/>
                <w:sz w:val="18"/>
                <w:szCs w:val="18"/>
              </w:rPr>
            </w:pPr>
          </w:p>
        </w:tc>
      </w:tr>
      <w:tr w14:paraId="3F5883D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1ACB2511">
            <w:pPr>
              <w:pStyle w:val="39"/>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5D3C3D3F">
            <w:pPr>
              <w:widowControl/>
              <w:adjustRightInd w:val="0"/>
              <w:snapToGrid w:val="0"/>
              <w:jc w:val="center"/>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合同协议书五、签约合同价与合同价格形式</w:t>
            </w:r>
            <w:r>
              <w:rPr>
                <w:rFonts w:hint="eastAsia" w:ascii="方正仿宋_GBK" w:hAnsi="方正仿宋_GBK" w:eastAsia="方正仿宋_GBK" w:cs="方正仿宋_GBK"/>
                <w:kern w:val="0"/>
                <w:sz w:val="18"/>
                <w:szCs w:val="18"/>
              </w:rPr>
              <w:tab/>
            </w:r>
          </w:p>
        </w:tc>
        <w:tc>
          <w:tcPr>
            <w:tcW w:w="3582" w:type="dxa"/>
            <w:vAlign w:val="center"/>
          </w:tcPr>
          <w:p w14:paraId="0BB219CC">
            <w:pPr>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 合同价格形式：</w:t>
            </w:r>
          </w:p>
          <w:p w14:paraId="72901846">
            <w:pPr>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 xml:space="preserve">发包人和承包人同意合同价格形式采用下列第种形式：           </w:t>
            </w:r>
          </w:p>
          <w:p w14:paraId="3ED40069">
            <w:pPr>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 xml:space="preserve">2.1单价合同                            </w:t>
            </w:r>
          </w:p>
          <w:p w14:paraId="15F125CD">
            <w:pPr>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 xml:space="preserve">2.2总价合同                                 </w:t>
            </w:r>
          </w:p>
          <w:p w14:paraId="2D5B5B79">
            <w:pPr>
              <w:snapToGrid w:val="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kern w:val="0"/>
                <w:sz w:val="18"/>
                <w:szCs w:val="18"/>
              </w:rPr>
              <w:t xml:space="preserve">2.3其他合同价格形式：     </w:t>
            </w:r>
          </w:p>
        </w:tc>
        <w:tc>
          <w:tcPr>
            <w:tcW w:w="4455" w:type="dxa"/>
          </w:tcPr>
          <w:p w14:paraId="7A5587AB">
            <w:pPr>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 合同价格形式：</w:t>
            </w:r>
          </w:p>
          <w:p w14:paraId="68773447">
            <w:pPr>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发包人和承包人同意合同价格形式采用下列第</w:t>
            </w:r>
            <w:permStart w:id="0" w:edGrp="everyone"/>
            <w:r>
              <w:rPr>
                <w:rFonts w:hint="eastAsia" w:ascii="方正仿宋_GBK" w:hAnsi="方正仿宋_GBK" w:eastAsia="方正仿宋_GBK" w:cs="方正仿宋_GBK"/>
                <w:sz w:val="18"/>
                <w:szCs w:val="18"/>
              </w:rPr>
              <w:t>2.3</w:t>
            </w:r>
            <w:permEnd w:id="0"/>
            <w:r>
              <w:rPr>
                <w:rFonts w:hint="eastAsia" w:ascii="方正仿宋_GBK" w:hAnsi="方正仿宋_GBK" w:eastAsia="方正仿宋_GBK" w:cs="方正仿宋_GBK"/>
                <w:sz w:val="18"/>
                <w:szCs w:val="18"/>
              </w:rPr>
              <w:t xml:space="preserve">种形式：           </w:t>
            </w:r>
          </w:p>
          <w:p w14:paraId="1A8B3F0B">
            <w:pPr>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2.1单价合同                            </w:t>
            </w:r>
          </w:p>
          <w:p w14:paraId="5C7CDB1E">
            <w:pPr>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2.2总价合同                                 </w:t>
            </w:r>
          </w:p>
          <w:p w14:paraId="60FCF46D">
            <w:pPr>
              <w:snapToGrid w:val="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z w:val="18"/>
                <w:szCs w:val="18"/>
              </w:rPr>
              <w:t>2.3其他合同价格形式：</w:t>
            </w:r>
            <w:permStart w:id="1" w:edGrp="everyone"/>
            <w:r>
              <w:rPr>
                <w:rFonts w:hint="eastAsia" w:ascii="方正仿宋_GBK" w:hAnsi="方正仿宋_GBK" w:eastAsia="方正仿宋_GBK" w:cs="方正仿宋_GBK"/>
                <w:sz w:val="18"/>
                <w:szCs w:val="18"/>
              </w:rPr>
              <w:t xml:space="preserve">  本合同采用单价与总价相结合的计价方式：分部分项工程采用单价合同，按实际完成工程量计量计价；措施项目费、其他项目费中的包干项目采用总价合同，结算时除合同约定调整情形外不予调整。二者约定不一致的，以单价约定为准</w:t>
            </w:r>
            <w:r>
              <w:rPr>
                <w:rFonts w:hint="eastAsia" w:ascii="方正仿宋_GBK" w:hAnsi="方正仿宋_GBK" w:eastAsia="方正仿宋_GBK" w:cs="方正仿宋_GBK"/>
                <w:sz w:val="18"/>
                <w:szCs w:val="18"/>
                <w:lang w:eastAsia="zh-CN"/>
              </w:rPr>
              <w:t>。</w:t>
            </w:r>
            <w:r>
              <w:rPr>
                <w:rFonts w:hint="eastAsia" w:ascii="方正仿宋_GBK" w:hAnsi="方正仿宋_GBK" w:eastAsia="方正仿宋_GBK" w:cs="方正仿宋_GBK"/>
                <w:sz w:val="18"/>
                <w:szCs w:val="18"/>
              </w:rPr>
              <w:t xml:space="preserve">  </w:t>
            </w:r>
            <w:permEnd w:id="1"/>
            <w:r>
              <w:rPr>
                <w:rFonts w:hint="eastAsia" w:ascii="方正仿宋_GBK" w:hAnsi="方正仿宋_GBK" w:eastAsia="方正仿宋_GBK" w:cs="方正仿宋_GBK"/>
                <w:sz w:val="18"/>
                <w:szCs w:val="18"/>
              </w:rPr>
              <w:t>。</w:t>
            </w:r>
          </w:p>
        </w:tc>
      </w:tr>
      <w:tr w14:paraId="4685446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4970AC18">
            <w:pPr>
              <w:pStyle w:val="39"/>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20504927">
            <w:pPr>
              <w:widowControl/>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合同协议书</w:t>
            </w:r>
            <w:r>
              <w:rPr>
                <w:rFonts w:hint="eastAsia" w:ascii="方正仿宋_GBK" w:hAnsi="方正仿宋_GBK" w:eastAsia="方正仿宋_GBK" w:cs="方正仿宋_GBK"/>
                <w:snapToGrid w:val="0"/>
                <w:kern w:val="0"/>
                <w:sz w:val="18"/>
                <w:szCs w:val="18"/>
              </w:rPr>
              <w:t>六、工程款支付担保</w:t>
            </w:r>
          </w:p>
        </w:tc>
        <w:tc>
          <w:tcPr>
            <w:tcW w:w="3582" w:type="dxa"/>
            <w:vAlign w:val="center"/>
          </w:tcPr>
          <w:p w14:paraId="3AD5C98D">
            <w:pPr>
              <w:spacing w:line="480" w:lineRule="exact"/>
              <w:ind w:firstLine="360" w:firstLineChars="20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发包人应按下列时间、方式、金额向承包人提供工程款支付担保。</w:t>
            </w:r>
          </w:p>
          <w:p w14:paraId="4D7D0967">
            <w:pPr>
              <w:spacing w:line="480" w:lineRule="exact"/>
              <w:ind w:firstLine="450" w:firstLineChars="25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1.时间：</w:t>
            </w:r>
            <w:permStart w:id="2" w:edGrp="everyone"/>
            <w:permEnd w:id="2"/>
            <w:r>
              <w:rPr>
                <w:rFonts w:hint="eastAsia" w:ascii="方正仿宋_GBK" w:hAnsi="方正仿宋_GBK" w:eastAsia="方正仿宋_GBK" w:cs="方正仿宋_GBK"/>
                <w:snapToGrid w:val="0"/>
                <w:kern w:val="0"/>
                <w:sz w:val="18"/>
                <w:szCs w:val="18"/>
              </w:rPr>
              <w:t>。</w:t>
            </w:r>
          </w:p>
          <w:p w14:paraId="2C252D26">
            <w:pPr>
              <w:spacing w:line="480" w:lineRule="exact"/>
              <w:ind w:firstLine="450" w:firstLineChars="25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2.方式：</w:t>
            </w:r>
          </w:p>
          <w:p w14:paraId="497AFA14">
            <w:pPr>
              <w:spacing w:line="480" w:lineRule="exact"/>
              <w:ind w:firstLine="450" w:firstLineChars="250"/>
              <w:rPr>
                <w:rFonts w:ascii="方正仿宋_GBK" w:hAnsi="方正仿宋_GBK" w:eastAsia="方正仿宋_GBK" w:cs="方正仿宋_GBK"/>
                <w:snapToGrid w:val="0"/>
                <w:kern w:val="0"/>
                <w:sz w:val="18"/>
                <w:szCs w:val="18"/>
              </w:rPr>
            </w:pPr>
            <w:r>
              <w:rPr>
                <w:rFonts w:ascii="方正仿宋_GBK" w:hAnsi="方正仿宋_GBK" w:eastAsia="方正仿宋_GBK" w:cs="方正仿宋_GBK"/>
                <w:sz w:val="18"/>
                <w:szCs w:val="18"/>
              </w:rPr>
              <w:pict>
                <v:shape id="_x0000_s1029" o:spid="_x0000_s1029" o:spt="201" alt="" type="#_x0000_t201" style="position:absolute;left:0pt;margin-left:35.9pt;margin-top:5.35pt;height:14.5pt;width:11.5pt;z-index:251659264;mso-width-relative:page;mso-height-relative:page;" o:ole="t" filled="f" o:preferrelative="t" stroked="f" coordsize="21600,21600">
                  <v:path/>
                  <v:fill on="f" focussize="0,0"/>
                  <v:stroke on="f"/>
                  <v:imagedata r:id="rId7" o:title=""/>
                  <o:lock v:ext="edit" aspectratio="f"/>
                </v:shape>
                <w:control r:id="rId6" w:name="CheckBox1" w:shapeid="_x0000_s1029"/>
              </w:pict>
            </w:r>
            <w:r>
              <w:rPr>
                <w:rFonts w:hint="eastAsia" w:ascii="方正仿宋_GBK" w:hAnsi="方正仿宋_GBK" w:eastAsia="方正仿宋_GBK" w:cs="方正仿宋_GBK"/>
                <w:snapToGrid w:val="0"/>
                <w:kern w:val="0"/>
                <w:sz w:val="18"/>
                <w:szCs w:val="18"/>
              </w:rPr>
              <w:t>□工程款支付保函</w:t>
            </w:r>
          </w:p>
          <w:p w14:paraId="3BDBB5A2">
            <w:pPr>
              <w:spacing w:line="480" w:lineRule="exact"/>
              <w:ind w:firstLine="450" w:firstLineChars="250"/>
              <w:rPr>
                <w:rFonts w:ascii="方正仿宋_GBK" w:hAnsi="方正仿宋_GBK" w:eastAsia="方正仿宋_GBK" w:cs="方正仿宋_GBK"/>
                <w:snapToGrid w:val="0"/>
                <w:kern w:val="0"/>
                <w:sz w:val="18"/>
                <w:szCs w:val="18"/>
              </w:rPr>
            </w:pPr>
            <w:r>
              <w:rPr>
                <w:rFonts w:ascii="方正仿宋_GBK" w:hAnsi="方正仿宋_GBK" w:eastAsia="方正仿宋_GBK" w:cs="方正仿宋_GBK"/>
                <w:sz w:val="18"/>
                <w:szCs w:val="18"/>
              </w:rPr>
              <w:pict>
                <v:shape id="_x0000_s1030" o:spid="_x0000_s1030" o:spt="201" alt="" type="#_x0000_t201" style="position:absolute;left:0pt;margin-left:35.9pt;margin-top:6.85pt;height:14.5pt;width:12pt;z-index:251660288;mso-width-relative:page;mso-height-relative:page;" o:ole="t" filled="f" o:preferrelative="t" stroked="f" coordsize="21600,21600">
                  <v:path/>
                  <v:fill on="f" focussize="0,0"/>
                  <v:stroke on="f"/>
                  <v:imagedata r:id="rId9" o:title=""/>
                  <o:lock v:ext="edit" aspectratio="f"/>
                </v:shape>
                <w:control r:id="rId8" w:name="CheckBox2" w:shapeid="_x0000_s1030"/>
              </w:pict>
            </w:r>
            <w:r>
              <w:rPr>
                <w:rFonts w:hint="eastAsia" w:ascii="方正仿宋_GBK" w:hAnsi="方正仿宋_GBK" w:eastAsia="方正仿宋_GBK" w:cs="方正仿宋_GBK"/>
                <w:snapToGrid w:val="0"/>
                <w:kern w:val="0"/>
                <w:sz w:val="18"/>
                <w:szCs w:val="18"/>
              </w:rPr>
              <w:t>□工程款支付保险</w:t>
            </w:r>
          </w:p>
          <w:p w14:paraId="244F8E89">
            <w:pPr>
              <w:spacing w:line="480" w:lineRule="exact"/>
              <w:ind w:firstLine="450" w:firstLineChars="250"/>
              <w:rPr>
                <w:rFonts w:ascii="方正仿宋_GBK" w:hAnsi="方正仿宋_GBK" w:eastAsia="方正仿宋_GBK" w:cs="方正仿宋_GBK"/>
                <w:snapToGrid w:val="0"/>
                <w:kern w:val="0"/>
                <w:sz w:val="18"/>
                <w:szCs w:val="18"/>
              </w:rPr>
            </w:pPr>
            <w:r>
              <w:rPr>
                <w:rFonts w:ascii="方正仿宋_GBK" w:hAnsi="方正仿宋_GBK" w:eastAsia="方正仿宋_GBK" w:cs="方正仿宋_GBK"/>
                <w:sz w:val="18"/>
                <w:szCs w:val="18"/>
              </w:rPr>
              <w:pict>
                <v:shape id="_x0000_s1031" o:spid="_x0000_s1031" o:spt="201" alt="" type="#_x0000_t201" style="position:absolute;left:0pt;margin-left:36.65pt;margin-top:5.35pt;height:16.5pt;width:10.5pt;z-index:251661312;mso-width-relative:page;mso-height-relative:page;" o:ole="t" filled="f" o:preferrelative="t" stroked="f" coordsize="21600,21600">
                  <v:path/>
                  <v:fill on="f" focussize="0,0"/>
                  <v:stroke on="f"/>
                  <v:imagedata r:id="rId11" o:title=""/>
                  <o:lock v:ext="edit" aspectratio="f"/>
                </v:shape>
                <w:control r:id="rId10" w:name="CheckBox3" w:shapeid="_x0000_s1031"/>
              </w:pict>
            </w:r>
            <w:r>
              <w:rPr>
                <w:rFonts w:hint="eastAsia" w:ascii="方正仿宋_GBK" w:hAnsi="方正仿宋_GBK" w:eastAsia="方正仿宋_GBK" w:cs="方正仿宋_GBK"/>
                <w:snapToGrid w:val="0"/>
                <w:kern w:val="0"/>
                <w:sz w:val="18"/>
                <w:szCs w:val="18"/>
              </w:rPr>
              <w:t>□其他：</w:t>
            </w:r>
            <w:permStart w:id="3" w:edGrp="everyone"/>
            <w:permEnd w:id="3"/>
            <w:r>
              <w:rPr>
                <w:rFonts w:hint="eastAsia" w:ascii="方正仿宋_GBK" w:hAnsi="方正仿宋_GBK" w:eastAsia="方正仿宋_GBK" w:cs="方正仿宋_GBK"/>
                <w:snapToGrid w:val="0"/>
                <w:kern w:val="0"/>
                <w:sz w:val="18"/>
                <w:szCs w:val="18"/>
              </w:rPr>
              <w:t>。</w:t>
            </w:r>
          </w:p>
          <w:p w14:paraId="3BC69DF3">
            <w:pPr>
              <w:spacing w:line="480" w:lineRule="exact"/>
              <w:ind w:firstLine="450" w:firstLineChars="25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3.金额：</w:t>
            </w:r>
            <w:permStart w:id="4" w:edGrp="everyone"/>
            <w:permEnd w:id="4"/>
            <w:r>
              <w:rPr>
                <w:rFonts w:hint="eastAsia" w:ascii="方正仿宋_GBK" w:hAnsi="方正仿宋_GBK" w:eastAsia="方正仿宋_GBK" w:cs="方正仿宋_GBK"/>
                <w:snapToGrid w:val="0"/>
                <w:kern w:val="0"/>
                <w:sz w:val="18"/>
                <w:szCs w:val="18"/>
              </w:rPr>
              <w:t>。</w:t>
            </w:r>
          </w:p>
          <w:p w14:paraId="7F80AD8B">
            <w:pPr>
              <w:widowControl/>
              <w:adjustRightInd w:val="0"/>
              <w:snapToGrid w:val="0"/>
              <w:rPr>
                <w:rFonts w:ascii="方正仿宋_GBK" w:hAnsi="方正仿宋_GBK" w:eastAsia="方正仿宋_GBK" w:cs="方正仿宋_GBK"/>
                <w:color w:val="000000" w:themeColor="text1"/>
                <w:kern w:val="0"/>
                <w:sz w:val="18"/>
                <w:szCs w:val="18"/>
              </w:rPr>
            </w:pPr>
          </w:p>
        </w:tc>
        <w:tc>
          <w:tcPr>
            <w:tcW w:w="4455" w:type="dxa"/>
          </w:tcPr>
          <w:p w14:paraId="628FB2C8">
            <w:pPr>
              <w:ind w:firstLine="450" w:firstLineChars="25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发包人应按下列时间、方式、金额向承包人提供工程款支付担保。</w:t>
            </w:r>
          </w:p>
          <w:p w14:paraId="279A1CD3">
            <w:pPr>
              <w:ind w:firstLine="450" w:firstLineChars="25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1.时间：</w:t>
            </w:r>
            <w:r>
              <w:rPr>
                <w:rFonts w:hint="eastAsia" w:ascii="方正仿宋_GBK" w:hAnsi="方正仿宋_GBK" w:eastAsia="方正仿宋_GBK" w:cs="方正仿宋_GBK"/>
                <w:snapToGrid w:val="0"/>
                <w:kern w:val="0"/>
                <w:sz w:val="18"/>
                <w:szCs w:val="18"/>
                <w:u w:val="single"/>
              </w:rPr>
              <w:t>自工程款支付保险单起保之日至施工合同（含补充协议）约定的除工程质量保证金以外的工程款结清之日起60天内止，如当地政府对支付担保期限有明确要求的，按照当地政策执行。</w:t>
            </w:r>
          </w:p>
          <w:p w14:paraId="5EBC5318">
            <w:pPr>
              <w:ind w:firstLine="450" w:firstLineChars="25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2.方式：</w:t>
            </w:r>
          </w:p>
          <w:p w14:paraId="38D723D0">
            <w:pPr>
              <w:ind w:firstLine="450" w:firstLineChars="25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□工程款支付保函</w:t>
            </w:r>
          </w:p>
          <w:p w14:paraId="5D4F12AC">
            <w:pPr>
              <w:ind w:firstLine="452" w:firstLineChars="250"/>
              <w:rPr>
                <w:rFonts w:ascii="方正仿宋_GBK" w:hAnsi="方正仿宋_GBK" w:eastAsia="方正仿宋_GBK" w:cs="方正仿宋_GBK"/>
                <w:b/>
                <w:bCs/>
                <w:snapToGrid w:val="0"/>
                <w:kern w:val="0"/>
                <w:sz w:val="18"/>
                <w:szCs w:val="18"/>
              </w:rPr>
            </w:pPr>
            <w:r>
              <w:rPr>
                <w:rFonts w:hint="eastAsia" w:ascii="方正仿宋_GBK" w:hAnsi="方正仿宋_GBK" w:eastAsia="方正仿宋_GBK" w:cs="方正仿宋_GBK"/>
                <w:b/>
                <w:bCs/>
                <w:snapToGrid w:val="0"/>
                <w:kern w:val="0"/>
                <w:sz w:val="18"/>
                <w:szCs w:val="18"/>
              </w:rPr>
              <w:sym w:font="Wingdings 2" w:char="0052"/>
            </w:r>
            <w:r>
              <w:rPr>
                <w:rFonts w:hint="eastAsia" w:ascii="方正仿宋_GBK" w:hAnsi="方正仿宋_GBK" w:eastAsia="方正仿宋_GBK" w:cs="方正仿宋_GBK"/>
                <w:b/>
                <w:bCs/>
                <w:snapToGrid w:val="0"/>
                <w:kern w:val="0"/>
                <w:sz w:val="18"/>
                <w:szCs w:val="18"/>
              </w:rPr>
              <w:t>工程款支付保险</w:t>
            </w:r>
          </w:p>
          <w:p w14:paraId="2FA6E215">
            <w:pPr>
              <w:ind w:firstLine="450" w:firstLineChars="25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□其他：</w:t>
            </w:r>
            <w:permStart w:id="5" w:edGrp="everyone"/>
            <w:permEnd w:id="5"/>
            <w:r>
              <w:rPr>
                <w:rFonts w:hint="eastAsia" w:ascii="方正仿宋_GBK" w:hAnsi="方正仿宋_GBK" w:eastAsia="方正仿宋_GBK" w:cs="方正仿宋_GBK"/>
                <w:snapToGrid w:val="0"/>
                <w:kern w:val="0"/>
                <w:sz w:val="18"/>
                <w:szCs w:val="18"/>
              </w:rPr>
              <w:t>。</w:t>
            </w:r>
          </w:p>
          <w:p w14:paraId="091FBEBC">
            <w:pPr>
              <w:widowControl/>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napToGrid w:val="0"/>
                <w:kern w:val="0"/>
                <w:sz w:val="18"/>
                <w:szCs w:val="18"/>
              </w:rPr>
              <w:t>3.金额：</w:t>
            </w:r>
            <w:r>
              <w:rPr>
                <w:rFonts w:hint="eastAsia" w:ascii="方正仿宋_GBK" w:hAnsi="方正仿宋_GBK" w:eastAsia="方正仿宋_GBK" w:cs="方正仿宋_GBK"/>
                <w:snapToGrid w:val="0"/>
                <w:kern w:val="0"/>
                <w:sz w:val="18"/>
                <w:szCs w:val="18"/>
                <w:u w:val="single"/>
              </w:rPr>
              <w:t>按照投保时工程项目所在地政府要求确定担保金额，如属地政府无明确要求，则按“工程款支付担保与履约担保对等原则”—即工程合同款的5%确定。如合同执行期间，政府调整政策规定的，按照规定调整担保金额。</w:t>
            </w:r>
          </w:p>
        </w:tc>
      </w:tr>
      <w:tr w14:paraId="462772A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52E899A7">
            <w:pPr>
              <w:pStyle w:val="39"/>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5CB4044B">
            <w:pPr>
              <w:widowControl/>
              <w:adjustRightInd w:val="0"/>
              <w:snapToGrid w:val="0"/>
              <w:jc w:val="center"/>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合同协议书</w:t>
            </w:r>
          </w:p>
        </w:tc>
        <w:tc>
          <w:tcPr>
            <w:tcW w:w="3582" w:type="dxa"/>
            <w:vAlign w:val="center"/>
          </w:tcPr>
          <w:p w14:paraId="423966B9">
            <w:pPr>
              <w:autoSpaceDE w:val="0"/>
              <w:autoSpaceDN w:val="0"/>
              <w:adjustRightInd w:val="0"/>
              <w:snapToGrid w:val="0"/>
              <w:spacing w:line="480" w:lineRule="exact"/>
              <w:ind w:firstLine="360" w:firstLineChars="200"/>
              <w:jc w:val="left"/>
              <w:rPr>
                <w:rFonts w:ascii="方正仿宋_GBK" w:hAnsi="方正仿宋_GBK" w:eastAsia="方正仿宋_GBK" w:cs="方正仿宋_GBK"/>
                <w:snapToGrid w:val="0"/>
                <w:kern w:val="0"/>
                <w:sz w:val="18"/>
                <w:szCs w:val="18"/>
              </w:rPr>
            </w:pPr>
            <w:bookmarkStart w:id="0" w:name="_Toc246821788"/>
            <w:bookmarkStart w:id="1" w:name="_Toc246668338"/>
            <w:bookmarkStart w:id="2" w:name="_Toc3518"/>
            <w:bookmarkStart w:id="3" w:name="_Toc29273"/>
            <w:bookmarkStart w:id="4" w:name="_Toc26107"/>
            <w:bookmarkStart w:id="5" w:name="_Toc31145"/>
            <w:bookmarkStart w:id="6" w:name="_Toc9784"/>
            <w:bookmarkStart w:id="7" w:name="_Toc2523"/>
            <w:r>
              <w:rPr>
                <w:rFonts w:hint="eastAsia" w:ascii="方正仿宋_GBK" w:hAnsi="方正仿宋_GBK" w:eastAsia="方正仿宋_GBK" w:cs="方正仿宋_GBK"/>
                <w:snapToGrid w:val="0"/>
                <w:kern w:val="0"/>
                <w:sz w:val="18"/>
                <w:szCs w:val="18"/>
              </w:rPr>
              <w:t>七、合同组成部分</w:t>
            </w:r>
            <w:bookmarkEnd w:id="0"/>
            <w:bookmarkEnd w:id="1"/>
            <w:bookmarkEnd w:id="2"/>
            <w:bookmarkEnd w:id="3"/>
            <w:bookmarkEnd w:id="4"/>
            <w:bookmarkEnd w:id="5"/>
            <w:bookmarkEnd w:id="6"/>
            <w:bookmarkEnd w:id="7"/>
          </w:p>
          <w:p w14:paraId="42D155AF">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下列文件为本合同的组成部分：</w:t>
            </w:r>
          </w:p>
          <w:p w14:paraId="0BA5DF94">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（1）双方在合同履行过程中达成的纪要、协议等文件；</w:t>
            </w:r>
          </w:p>
          <w:p w14:paraId="2B34DD8E">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（2）合同协议书及其附件；</w:t>
            </w:r>
          </w:p>
          <w:p w14:paraId="6FB9BC7D">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（3）中标通知书；</w:t>
            </w:r>
          </w:p>
          <w:p w14:paraId="7576C3EA">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（4）专用合同条款及其附件；</w:t>
            </w:r>
          </w:p>
          <w:p w14:paraId="4FE5F97A">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 xml:space="preserve">（5）通用合同条款； </w:t>
            </w:r>
          </w:p>
          <w:p w14:paraId="19185CE0">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（6）技术标准和要求；</w:t>
            </w:r>
          </w:p>
          <w:p w14:paraId="16754CCC">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（7）图纸；</w:t>
            </w:r>
          </w:p>
          <w:p w14:paraId="130BFD61">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（8）已标价工程量清单；</w:t>
            </w:r>
          </w:p>
          <w:p w14:paraId="32A9D665">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（9）招标文件和投标文件；</w:t>
            </w:r>
          </w:p>
          <w:p w14:paraId="79F7E77C">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（10）构成合同的其他文件。</w:t>
            </w:r>
          </w:p>
        </w:tc>
        <w:tc>
          <w:tcPr>
            <w:tcW w:w="4455" w:type="dxa"/>
          </w:tcPr>
          <w:p w14:paraId="30CC1C56">
            <w:pPr>
              <w:autoSpaceDE w:val="0"/>
              <w:autoSpaceDN w:val="0"/>
              <w:adjustRightInd w:val="0"/>
              <w:snapToGrid w:val="0"/>
              <w:spacing w:line="480" w:lineRule="exact"/>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七、合同组成部分</w:t>
            </w:r>
          </w:p>
          <w:p w14:paraId="4618DD7F">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下列文件为本合同的组成部分：</w:t>
            </w:r>
          </w:p>
          <w:p w14:paraId="05976CCE">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（1）双方在合同履行过程中达成的纪要、协议等文件；</w:t>
            </w:r>
          </w:p>
          <w:p w14:paraId="4A903999">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（2）合同协议书；</w:t>
            </w:r>
          </w:p>
          <w:p w14:paraId="40942FA9">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（3）中标通知书；</w:t>
            </w:r>
          </w:p>
          <w:p w14:paraId="7D686C9A">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（4）专用合同条款及合同附件；</w:t>
            </w:r>
          </w:p>
          <w:p w14:paraId="3EF74865">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 xml:space="preserve">（5）通用合同条款； </w:t>
            </w:r>
          </w:p>
          <w:p w14:paraId="2157B48F">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（6）技术标准和要求；</w:t>
            </w:r>
          </w:p>
          <w:p w14:paraId="37C6B8F1">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（7）图纸；</w:t>
            </w:r>
          </w:p>
          <w:p w14:paraId="7DF1877D">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（8）已标价工程量清单；</w:t>
            </w:r>
          </w:p>
          <w:p w14:paraId="30CDD3C0">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（9）招标文件和投标文件；</w:t>
            </w:r>
          </w:p>
          <w:p w14:paraId="4401E5A1">
            <w:pPr>
              <w:spacing w:line="320" w:lineRule="exact"/>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（10）构成合同的其他文件。</w:t>
            </w:r>
          </w:p>
        </w:tc>
      </w:tr>
      <w:tr w14:paraId="075BBAC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3ADFEEC6">
            <w:pPr>
              <w:pStyle w:val="39"/>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77B95CA9">
            <w:pPr>
              <w:widowControl/>
              <w:adjustRightInd w:val="0"/>
              <w:snapToGrid w:val="0"/>
              <w:jc w:val="center"/>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合同协议书</w:t>
            </w:r>
          </w:p>
        </w:tc>
        <w:tc>
          <w:tcPr>
            <w:tcW w:w="3582" w:type="dxa"/>
            <w:vAlign w:val="center"/>
          </w:tcPr>
          <w:p w14:paraId="6040CA73">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十二、合同生效</w:t>
            </w:r>
          </w:p>
          <w:p w14:paraId="757F9B49">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本合同在以下条件全部满足之日起生效：</w:t>
            </w:r>
          </w:p>
          <w:p w14:paraId="6AA5A54A">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（1）本合同经双方法定代表人（负责人）或其授权代表签署并加盖双方公章或合同专用章；</w:t>
            </w:r>
          </w:p>
          <w:p w14:paraId="4C30A8EF">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（2）。</w:t>
            </w:r>
          </w:p>
        </w:tc>
        <w:tc>
          <w:tcPr>
            <w:tcW w:w="4455" w:type="dxa"/>
          </w:tcPr>
          <w:p w14:paraId="60284127">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十二、合同生效</w:t>
            </w:r>
          </w:p>
          <w:p w14:paraId="2F5DA281">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本合同在以下条件全部满足之日起生效：</w:t>
            </w:r>
          </w:p>
          <w:p w14:paraId="40318991">
            <w:pPr>
              <w:widowControl/>
              <w:numPr>
                <w:ilvl w:val="0"/>
                <w:numId w:val="4"/>
              </w:num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本合同经双方法定代表人（负责人）或其授权代表签署并加盖双方公章或合同专用章。</w:t>
            </w:r>
          </w:p>
          <w:p w14:paraId="4674C440">
            <w:pPr>
              <w:autoSpaceDE w:val="0"/>
              <w:autoSpaceDN w:val="0"/>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（2）</w:t>
            </w:r>
            <w:r>
              <w:rPr>
                <w:rFonts w:hint="eastAsia" w:ascii="方正仿宋_GBK" w:hAnsi="方正仿宋_GBK" w:eastAsia="方正仿宋_GBK" w:cs="方正仿宋_GBK"/>
                <w:color w:val="000000" w:themeColor="text1"/>
                <w:sz w:val="18"/>
                <w:szCs w:val="18"/>
                <w:u w:val="single"/>
              </w:rPr>
              <w:t xml:space="preserve">项目已经按照国家有关规定履行了核准手续   </w:t>
            </w:r>
            <w:r>
              <w:rPr>
                <w:rFonts w:hint="eastAsia" w:ascii="方正仿宋_GBK" w:hAnsi="方正仿宋_GBK" w:eastAsia="方正仿宋_GBK" w:cs="方正仿宋_GBK"/>
                <w:color w:val="000000" w:themeColor="text1"/>
                <w:sz w:val="18"/>
                <w:szCs w:val="18"/>
              </w:rPr>
              <w:t>。</w:t>
            </w:r>
          </w:p>
        </w:tc>
      </w:tr>
      <w:tr w14:paraId="705E2BB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7A954D94">
            <w:pPr>
              <w:pStyle w:val="39"/>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03CE21EE">
            <w:pPr>
              <w:widowControl/>
              <w:adjustRightInd w:val="0"/>
              <w:snapToGrid w:val="0"/>
              <w:jc w:val="center"/>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合同协议书</w:t>
            </w:r>
          </w:p>
        </w:tc>
        <w:tc>
          <w:tcPr>
            <w:tcW w:w="3582" w:type="dxa"/>
            <w:vAlign w:val="center"/>
          </w:tcPr>
          <w:p w14:paraId="4E3618D8">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十四、份数</w:t>
            </w:r>
          </w:p>
          <w:p w14:paraId="613BB213">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本合同一式份，发包人执份，承包人执份，具有同等法律效力。</w:t>
            </w:r>
          </w:p>
        </w:tc>
        <w:tc>
          <w:tcPr>
            <w:tcW w:w="4455" w:type="dxa"/>
          </w:tcPr>
          <w:p w14:paraId="65B4BD1B">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十四、份数</w:t>
            </w:r>
          </w:p>
          <w:p w14:paraId="28784749">
            <w:pPr>
              <w:snapToGrid w:val="0"/>
              <w:ind w:firstLine="360" w:firstLineChars="20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本合同一式</w:t>
            </w:r>
            <w:r>
              <w:rPr>
                <w:rFonts w:hint="eastAsia" w:ascii="方正仿宋_GBK" w:hAnsi="方正仿宋_GBK" w:eastAsia="方正仿宋_GBK" w:cs="方正仿宋_GBK"/>
                <w:color w:val="000000" w:themeColor="text1"/>
                <w:sz w:val="18"/>
                <w:szCs w:val="18"/>
                <w:u w:val="single"/>
              </w:rPr>
              <w:t xml:space="preserve">15  </w:t>
            </w:r>
            <w:r>
              <w:rPr>
                <w:rFonts w:hint="eastAsia" w:ascii="方正仿宋_GBK" w:hAnsi="方正仿宋_GBK" w:eastAsia="方正仿宋_GBK" w:cs="方正仿宋_GBK"/>
                <w:color w:val="000000" w:themeColor="text1"/>
                <w:sz w:val="18"/>
                <w:szCs w:val="18"/>
              </w:rPr>
              <w:t>份，发包人执</w:t>
            </w:r>
            <w:r>
              <w:rPr>
                <w:rFonts w:hint="eastAsia" w:ascii="方正仿宋_GBK" w:hAnsi="方正仿宋_GBK" w:eastAsia="方正仿宋_GBK" w:cs="方正仿宋_GBK"/>
                <w:color w:val="000000" w:themeColor="text1"/>
                <w:sz w:val="18"/>
                <w:szCs w:val="18"/>
                <w:u w:val="single"/>
              </w:rPr>
              <w:t>8</w:t>
            </w:r>
            <w:r>
              <w:rPr>
                <w:rFonts w:hint="eastAsia" w:ascii="方正仿宋_GBK" w:hAnsi="方正仿宋_GBK" w:eastAsia="方正仿宋_GBK" w:cs="方正仿宋_GBK"/>
                <w:color w:val="000000" w:themeColor="text1"/>
                <w:sz w:val="18"/>
                <w:szCs w:val="18"/>
              </w:rPr>
              <w:t>份，承包人执</w:t>
            </w:r>
            <w:r>
              <w:rPr>
                <w:rFonts w:hint="eastAsia" w:ascii="方正仿宋_GBK" w:hAnsi="方正仿宋_GBK" w:eastAsia="方正仿宋_GBK" w:cs="方正仿宋_GBK"/>
                <w:color w:val="000000" w:themeColor="text1"/>
                <w:sz w:val="18"/>
                <w:szCs w:val="18"/>
                <w:u w:val="single"/>
              </w:rPr>
              <w:t>7</w:t>
            </w:r>
            <w:r>
              <w:rPr>
                <w:rFonts w:hint="eastAsia" w:ascii="方正仿宋_GBK" w:hAnsi="方正仿宋_GBK" w:eastAsia="方正仿宋_GBK" w:cs="方正仿宋_GBK"/>
                <w:color w:val="000000" w:themeColor="text1"/>
                <w:sz w:val="18"/>
                <w:szCs w:val="18"/>
              </w:rPr>
              <w:t>份，具有同等法律效力。</w:t>
            </w:r>
          </w:p>
        </w:tc>
      </w:tr>
      <w:tr w14:paraId="5A1F58B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40" w:type="dxa"/>
            <w:vAlign w:val="center"/>
          </w:tcPr>
          <w:p w14:paraId="77126663">
            <w:pPr>
              <w:pStyle w:val="39"/>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2110A91E">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专用条款</w:t>
            </w:r>
          </w:p>
          <w:p w14:paraId="565BAFDF">
            <w:pPr>
              <w:widowControl/>
              <w:adjustRightInd w:val="0"/>
              <w:snapToGrid w:val="0"/>
              <w:jc w:val="center"/>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sz w:val="18"/>
                <w:szCs w:val="18"/>
              </w:rPr>
              <w:t>1.1.4.5</w:t>
            </w:r>
          </w:p>
        </w:tc>
        <w:tc>
          <w:tcPr>
            <w:tcW w:w="3582" w:type="dxa"/>
            <w:vAlign w:val="center"/>
          </w:tcPr>
          <w:p w14:paraId="7EC35C77">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1.1.4.5 缺陷责任期期限为：12个月。</w:t>
            </w:r>
          </w:p>
        </w:tc>
        <w:tc>
          <w:tcPr>
            <w:tcW w:w="4455" w:type="dxa"/>
            <w:vAlign w:val="center"/>
          </w:tcPr>
          <w:p w14:paraId="28AAB6D2">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1.1.4.5修改为：</w:t>
            </w:r>
          </w:p>
          <w:p w14:paraId="6F201F0C">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缺陷责任期期限为：24个月。</w:t>
            </w:r>
          </w:p>
        </w:tc>
      </w:tr>
      <w:tr w14:paraId="3C351E1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1040" w:type="dxa"/>
            <w:vAlign w:val="center"/>
          </w:tcPr>
          <w:p w14:paraId="1B111C3D">
            <w:pPr>
              <w:pStyle w:val="39"/>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57B5DA01">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专用条款</w:t>
            </w:r>
          </w:p>
          <w:p w14:paraId="3F50DB28">
            <w:pPr>
              <w:widowControl/>
              <w:adjustRightInd w:val="0"/>
              <w:snapToGrid w:val="0"/>
              <w:jc w:val="center"/>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1.1.6.2</w:t>
            </w:r>
          </w:p>
        </w:tc>
        <w:tc>
          <w:tcPr>
            <w:tcW w:w="3582" w:type="dxa"/>
            <w:vAlign w:val="center"/>
          </w:tcPr>
          <w:p w14:paraId="7AA6C558">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1.1.6.2 工程竣工验收签证书：即通用合同条款中的“工程接收证书”。</w:t>
            </w:r>
          </w:p>
        </w:tc>
        <w:tc>
          <w:tcPr>
            <w:tcW w:w="4455" w:type="dxa"/>
            <w:vAlign w:val="center"/>
          </w:tcPr>
          <w:p w14:paraId="450A3945">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1.1.6.2 工程启动验收证书：即通用合同条款中的“工程接收证书”。</w:t>
            </w:r>
          </w:p>
        </w:tc>
      </w:tr>
      <w:tr w14:paraId="482B9F3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1040" w:type="dxa"/>
            <w:vAlign w:val="center"/>
          </w:tcPr>
          <w:p w14:paraId="6590E111">
            <w:pPr>
              <w:pStyle w:val="39"/>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32B40DDD">
            <w:pPr>
              <w:snapToGrid w:val="0"/>
              <w:spacing w:line="240" w:lineRule="atLeast"/>
              <w:jc w:val="center"/>
              <w:rPr>
                <w:rFonts w:ascii="方正仿宋_GBK" w:hAnsi="方正仿宋_GBK" w:eastAsia="方正仿宋_GBK" w:cs="方正仿宋_GBK"/>
                <w:color w:val="000000" w:themeColor="text1"/>
                <w:sz w:val="18"/>
                <w:szCs w:val="18"/>
              </w:rPr>
            </w:pPr>
            <w:r>
              <w:rPr>
                <w:rStyle w:val="53"/>
                <w:rFonts w:hint="eastAsia" w:ascii="方正仿宋_GBK" w:hAnsi="方正仿宋_GBK" w:eastAsia="方正仿宋_GBK" w:cs="方正仿宋_GBK"/>
                <w:kern w:val="0"/>
                <w:sz w:val="18"/>
                <w:szCs w:val="18"/>
              </w:rPr>
              <w:t>专用条款第1.1.6.3条</w:t>
            </w:r>
          </w:p>
        </w:tc>
        <w:tc>
          <w:tcPr>
            <w:tcW w:w="3582" w:type="dxa"/>
            <w:vAlign w:val="center"/>
          </w:tcPr>
          <w:p w14:paraId="71E23799">
            <w:pPr>
              <w:snapToGrid w:val="0"/>
              <w:spacing w:line="240" w:lineRule="atLeast"/>
              <w:ind w:firstLine="360" w:firstLineChars="200"/>
              <w:jc w:val="left"/>
              <w:rPr>
                <w:rFonts w:ascii="方正仿宋_GBK" w:hAnsi="方正仿宋_GBK" w:eastAsia="方正仿宋_GBK" w:cs="方正仿宋_GBK"/>
                <w:color w:val="000000" w:themeColor="text1"/>
                <w:sz w:val="18"/>
                <w:szCs w:val="18"/>
              </w:rPr>
            </w:pPr>
            <w:r>
              <w:rPr>
                <w:rStyle w:val="53"/>
                <w:rFonts w:hint="eastAsia" w:ascii="方正仿宋_GBK" w:hAnsi="方正仿宋_GBK" w:eastAsia="方正仿宋_GBK" w:cs="方正仿宋_GBK"/>
                <w:kern w:val="0"/>
                <w:sz w:val="18"/>
                <w:szCs w:val="18"/>
              </w:rPr>
              <w:t>1.1.6.3重大设计变更、签证:重大设计变更指改变了初步设计审定的设计方案、主要设备选型、工程规模、建设标准等原则意见，或单项设计变更投资变化超过20万元的设计变更;重大签证是指单项签证投资增减额超过10万元的签证。</w:t>
            </w:r>
          </w:p>
        </w:tc>
        <w:tc>
          <w:tcPr>
            <w:tcW w:w="4455" w:type="dxa"/>
            <w:vAlign w:val="center"/>
          </w:tcPr>
          <w:p w14:paraId="6ABD5417">
            <w:pPr>
              <w:snapToGrid w:val="0"/>
              <w:spacing w:line="240" w:lineRule="atLeast"/>
              <w:ind w:firstLine="361" w:firstLineChars="200"/>
              <w:jc w:val="left"/>
              <w:rPr>
                <w:rStyle w:val="53"/>
                <w:rFonts w:ascii="方正仿宋_GBK" w:hAnsi="方正仿宋_GBK" w:eastAsia="方正仿宋_GBK" w:cs="方正仿宋_GBK"/>
                <w:b/>
                <w:kern w:val="0"/>
                <w:sz w:val="18"/>
                <w:szCs w:val="18"/>
              </w:rPr>
            </w:pPr>
            <w:r>
              <w:rPr>
                <w:rStyle w:val="53"/>
                <w:rFonts w:hint="eastAsia" w:ascii="方正仿宋_GBK" w:hAnsi="方正仿宋_GBK" w:eastAsia="方正仿宋_GBK" w:cs="方正仿宋_GBK"/>
                <w:b/>
                <w:kern w:val="0"/>
                <w:sz w:val="18"/>
                <w:szCs w:val="18"/>
              </w:rPr>
              <w:t>修改为：</w:t>
            </w:r>
          </w:p>
          <w:p w14:paraId="16C44B6B">
            <w:pPr>
              <w:snapToGrid w:val="0"/>
              <w:spacing w:line="240" w:lineRule="atLeast"/>
              <w:ind w:firstLine="360" w:firstLineChars="200"/>
              <w:jc w:val="left"/>
              <w:rPr>
                <w:rStyle w:val="53"/>
                <w:rFonts w:hint="eastAsia" w:ascii="方正仿宋_GBK" w:hAnsi="方正仿宋_GBK" w:eastAsia="方正仿宋_GBK" w:cs="方正仿宋_GBK"/>
                <w:bCs/>
                <w:kern w:val="0"/>
                <w:sz w:val="18"/>
                <w:szCs w:val="18"/>
              </w:rPr>
            </w:pPr>
            <w:r>
              <w:rPr>
                <w:rStyle w:val="53"/>
                <w:rFonts w:hint="eastAsia" w:ascii="方正仿宋_GBK" w:hAnsi="方正仿宋_GBK" w:eastAsia="方正仿宋_GBK" w:cs="方正仿宋_GBK"/>
                <w:kern w:val="0"/>
                <w:sz w:val="18"/>
                <w:szCs w:val="18"/>
              </w:rPr>
              <w:t>1.1.6.3重大设计变更、</w:t>
            </w:r>
            <w:r>
              <w:rPr>
                <w:rStyle w:val="53"/>
                <w:rFonts w:hint="eastAsia" w:ascii="方正仿宋_GBK" w:hAnsi="方正仿宋_GBK" w:eastAsia="方正仿宋_GBK" w:cs="方正仿宋_GBK"/>
                <w:bCs/>
                <w:kern w:val="0"/>
                <w:sz w:val="18"/>
                <w:szCs w:val="18"/>
              </w:rPr>
              <w:t>签证:重大设计变更是指改变了初步设计审定的设计方案、主要设备选型、工程规模、建设标准等原则意见，或单项设计变更投资变化超过</w:t>
            </w:r>
            <w:r>
              <w:rPr>
                <w:rStyle w:val="53"/>
                <w:rFonts w:hint="eastAsia" w:ascii="方正仿宋_GBK" w:hAnsi="方正仿宋_GBK" w:eastAsia="方正仿宋_GBK" w:cs="方正仿宋_GBK"/>
                <w:bCs/>
                <w:kern w:val="0"/>
                <w:sz w:val="18"/>
                <w:szCs w:val="18"/>
                <w:lang w:val="en-US" w:eastAsia="zh-CN"/>
              </w:rPr>
              <w:t>60</w:t>
            </w:r>
            <w:r>
              <w:rPr>
                <w:rStyle w:val="53"/>
                <w:rFonts w:hint="eastAsia" w:ascii="方正仿宋_GBK" w:hAnsi="方正仿宋_GBK" w:eastAsia="方正仿宋_GBK" w:cs="方正仿宋_GBK"/>
                <w:bCs/>
                <w:kern w:val="0"/>
                <w:sz w:val="18"/>
                <w:szCs w:val="18"/>
              </w:rPr>
              <w:t>万元的设计变更，重大签证是指单项签证投资增减额超过</w:t>
            </w:r>
            <w:r>
              <w:rPr>
                <w:rStyle w:val="53"/>
                <w:rFonts w:hint="eastAsia" w:ascii="方正仿宋_GBK" w:hAnsi="方正仿宋_GBK" w:eastAsia="方正仿宋_GBK" w:cs="方正仿宋_GBK"/>
                <w:bCs/>
                <w:kern w:val="0"/>
                <w:sz w:val="18"/>
                <w:szCs w:val="18"/>
                <w:lang w:val="en-US" w:eastAsia="zh-CN"/>
              </w:rPr>
              <w:t>30</w:t>
            </w:r>
            <w:r>
              <w:rPr>
                <w:rStyle w:val="53"/>
                <w:rFonts w:hint="eastAsia" w:ascii="方正仿宋_GBK" w:hAnsi="方正仿宋_GBK" w:eastAsia="方正仿宋_GBK" w:cs="方正仿宋_GBK"/>
                <w:bCs/>
                <w:kern w:val="0"/>
                <w:sz w:val="18"/>
                <w:szCs w:val="18"/>
              </w:rPr>
              <w:t>万元的签证。</w:t>
            </w:r>
          </w:p>
          <w:p w14:paraId="50B08C01">
            <w:pPr>
              <w:snapToGrid w:val="0"/>
              <w:spacing w:line="240" w:lineRule="atLeast"/>
              <w:ind w:firstLine="360" w:firstLineChars="200"/>
              <w:jc w:val="left"/>
              <w:rPr>
                <w:rFonts w:ascii="方正仿宋_GBK" w:hAnsi="方正仿宋_GBK" w:eastAsia="方正仿宋_GBK" w:cs="方正仿宋_GBK"/>
                <w:color w:val="000000" w:themeColor="text1"/>
                <w:sz w:val="18"/>
                <w:szCs w:val="18"/>
              </w:rPr>
            </w:pPr>
            <w:r>
              <w:rPr>
                <w:rStyle w:val="53"/>
                <w:rFonts w:hint="eastAsia" w:ascii="方正仿宋_GBK" w:hAnsi="方正仿宋_GBK" w:eastAsia="方正仿宋_GBK" w:cs="方正仿宋_GBK"/>
                <w:bCs/>
                <w:kern w:val="0"/>
                <w:sz w:val="18"/>
                <w:szCs w:val="18"/>
              </w:rPr>
              <w:t>国网特高压部负责特高压</w:t>
            </w:r>
            <w:r>
              <w:rPr>
                <w:rStyle w:val="53"/>
                <w:rFonts w:hint="eastAsia" w:ascii="方正仿宋_GBK" w:hAnsi="方正仿宋_GBK" w:eastAsia="方正仿宋_GBK" w:cs="方正仿宋_GBK"/>
                <w:bCs/>
                <w:kern w:val="0"/>
                <w:sz w:val="18"/>
                <w:szCs w:val="18"/>
                <w:lang w:val="en-US" w:eastAsia="zh-CN"/>
              </w:rPr>
              <w:t>及直流</w:t>
            </w:r>
            <w:r>
              <w:rPr>
                <w:rStyle w:val="53"/>
                <w:rFonts w:hint="eastAsia" w:ascii="方正仿宋_GBK" w:hAnsi="方正仿宋_GBK" w:eastAsia="方正仿宋_GBK" w:cs="方正仿宋_GBK"/>
                <w:bCs/>
                <w:kern w:val="0"/>
                <w:sz w:val="18"/>
                <w:szCs w:val="18"/>
              </w:rPr>
              <w:t>工程改变初步设计原则或金额200万元</w:t>
            </w:r>
            <w:r>
              <w:rPr>
                <w:rStyle w:val="53"/>
                <w:rFonts w:hint="eastAsia" w:ascii="方正仿宋_GBK" w:hAnsi="方正仿宋_GBK" w:eastAsia="方正仿宋_GBK" w:cs="方正仿宋_GBK"/>
                <w:bCs/>
                <w:kern w:val="0"/>
                <w:sz w:val="18"/>
                <w:szCs w:val="18"/>
                <w:lang w:val="en-US" w:eastAsia="zh-CN"/>
              </w:rPr>
              <w:t>及</w:t>
            </w:r>
            <w:r>
              <w:rPr>
                <w:rStyle w:val="53"/>
                <w:rFonts w:hint="eastAsia" w:ascii="方正仿宋_GBK" w:hAnsi="方正仿宋_GBK" w:eastAsia="方正仿宋_GBK" w:cs="方正仿宋_GBK"/>
                <w:bCs/>
                <w:kern w:val="0"/>
                <w:sz w:val="18"/>
                <w:szCs w:val="18"/>
              </w:rPr>
              <w:t>以上</w:t>
            </w:r>
            <w:r>
              <w:rPr>
                <w:rStyle w:val="53"/>
                <w:rFonts w:hint="eastAsia" w:ascii="方正仿宋_GBK" w:hAnsi="方正仿宋_GBK" w:eastAsia="方正仿宋_GBK" w:cs="方正仿宋_GBK"/>
                <w:bCs/>
                <w:kern w:val="0"/>
                <w:sz w:val="18"/>
                <w:szCs w:val="18"/>
                <w:lang w:val="en-US" w:eastAsia="zh-CN"/>
              </w:rPr>
              <w:t>的</w:t>
            </w:r>
            <w:r>
              <w:rPr>
                <w:rStyle w:val="53"/>
                <w:rFonts w:hint="eastAsia" w:ascii="方正仿宋_GBK" w:hAnsi="方正仿宋_GBK" w:eastAsia="方正仿宋_GBK" w:cs="方正仿宋_GBK"/>
                <w:bCs/>
                <w:kern w:val="0"/>
                <w:sz w:val="18"/>
                <w:szCs w:val="18"/>
              </w:rPr>
              <w:t>重大设计变更审批。</w:t>
            </w:r>
          </w:p>
        </w:tc>
      </w:tr>
      <w:tr w14:paraId="4D115BC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1040" w:type="dxa"/>
            <w:vAlign w:val="center"/>
          </w:tcPr>
          <w:p w14:paraId="623D7BA0">
            <w:pPr>
              <w:pStyle w:val="39"/>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29A18F37">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专用条款1.1.6.6</w:t>
            </w:r>
          </w:p>
        </w:tc>
        <w:tc>
          <w:tcPr>
            <w:tcW w:w="3582" w:type="dxa"/>
            <w:vAlign w:val="center"/>
          </w:tcPr>
          <w:p w14:paraId="5F75DF0C">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竣工验收：指承包人完成了本合同中规定的工程项目后，发包人按合同要求进行的验收。</w:t>
            </w:r>
          </w:p>
        </w:tc>
        <w:tc>
          <w:tcPr>
            <w:tcW w:w="4455" w:type="dxa"/>
          </w:tcPr>
          <w:p w14:paraId="4B8D4F85">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竣工（预）验收：指承包人完成了本合同中规定的工程项目后，发包人按合同要求进行的（预）验收。</w:t>
            </w:r>
          </w:p>
        </w:tc>
      </w:tr>
      <w:tr w14:paraId="321AB7A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1040" w:type="dxa"/>
            <w:vAlign w:val="center"/>
          </w:tcPr>
          <w:p w14:paraId="2CF7F2B0">
            <w:pPr>
              <w:pStyle w:val="39"/>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0EBFEBF7">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kern w:val="0"/>
                <w:sz w:val="18"/>
                <w:szCs w:val="18"/>
              </w:rPr>
              <w:t>专用1.1.6 其他</w:t>
            </w:r>
          </w:p>
        </w:tc>
        <w:tc>
          <w:tcPr>
            <w:tcW w:w="3582" w:type="dxa"/>
            <w:vAlign w:val="center"/>
          </w:tcPr>
          <w:p w14:paraId="62985F61">
            <w:pPr>
              <w:widowControl/>
              <w:adjustRightInd w:val="0"/>
              <w:snapToGrid w:val="0"/>
              <w:rPr>
                <w:rFonts w:ascii="方正仿宋_GBK" w:hAnsi="方正仿宋_GBK" w:eastAsia="方正仿宋_GBK" w:cs="方正仿宋_GBK"/>
                <w:sz w:val="18"/>
                <w:szCs w:val="18"/>
              </w:rPr>
            </w:pPr>
          </w:p>
        </w:tc>
        <w:tc>
          <w:tcPr>
            <w:tcW w:w="4455" w:type="dxa"/>
          </w:tcPr>
          <w:p w14:paraId="28DDFBA4">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kern w:val="0"/>
                <w:sz w:val="18"/>
                <w:szCs w:val="18"/>
              </w:rPr>
              <w:t>增加：</w:t>
            </w:r>
            <w:r>
              <w:rPr>
                <w:rFonts w:hint="eastAsia" w:ascii="方正仿宋_GBK" w:hAnsi="方正仿宋_GBK" w:eastAsia="方正仿宋_GBK" w:cs="方正仿宋_GBK"/>
                <w:kern w:val="0"/>
                <w:sz w:val="18"/>
                <w:szCs w:val="18"/>
              </w:rPr>
              <w:br w:type="textWrapping"/>
            </w:r>
            <w:r>
              <w:rPr>
                <w:rStyle w:val="51"/>
                <w:rFonts w:hint="default"/>
                <w:color w:val="auto"/>
                <w:sz w:val="18"/>
                <w:szCs w:val="18"/>
              </w:rPr>
              <w:t>分部工程质量签证、单位工程质量鉴定书：分部工程验收签证是依据GB/T22490-2016规定，在水土保持设施分部工程自查初验后应填写的内容，作为单位工程自查初验资料的组成部分。单位工程质量鉴定书是在水土保持设施单位工程自查初验后应填写的内容，作为单位工程完工自验和行政验收的依据。</w:t>
            </w:r>
          </w:p>
        </w:tc>
      </w:tr>
      <w:tr w14:paraId="1D22845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1040" w:type="dxa"/>
            <w:vAlign w:val="center"/>
          </w:tcPr>
          <w:p w14:paraId="3ED956E3">
            <w:pPr>
              <w:pStyle w:val="39"/>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22C8C5BC">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专用条款</w:t>
            </w:r>
          </w:p>
          <w:p w14:paraId="03FB287E">
            <w:pPr>
              <w:widowControl/>
              <w:adjustRightInd w:val="0"/>
              <w:snapToGrid w:val="0"/>
              <w:jc w:val="center"/>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1.4</w:t>
            </w:r>
          </w:p>
        </w:tc>
        <w:tc>
          <w:tcPr>
            <w:tcW w:w="3582" w:type="dxa"/>
            <w:vAlign w:val="center"/>
          </w:tcPr>
          <w:p w14:paraId="147AD5FB">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1.4 合同文件的优先顺序</w:t>
            </w:r>
          </w:p>
          <w:p w14:paraId="57500174">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修改为：</w:t>
            </w:r>
          </w:p>
          <w:p w14:paraId="17288921">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下列文件为本合同的组成部分：</w:t>
            </w:r>
          </w:p>
          <w:p w14:paraId="2DF09F67">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（1）双方在合同履行过程中达成的纪要、协议等文件；</w:t>
            </w:r>
          </w:p>
          <w:p w14:paraId="5EA6A209">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（2）合同协议书及其附件；</w:t>
            </w:r>
          </w:p>
          <w:p w14:paraId="2EA97AF7">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（3）中标通知书；</w:t>
            </w:r>
          </w:p>
          <w:p w14:paraId="1EB97E90">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（4）专用合同条款及其附件；</w:t>
            </w:r>
          </w:p>
          <w:p w14:paraId="73FC9819">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 xml:space="preserve">（5）通用合同条款； </w:t>
            </w:r>
          </w:p>
          <w:p w14:paraId="72232A46">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（6）技术标准和要求；</w:t>
            </w:r>
          </w:p>
          <w:p w14:paraId="27FC0FA2">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（7）图纸；</w:t>
            </w:r>
          </w:p>
          <w:p w14:paraId="08DD3EE1">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（8）已标价工程量清单；</w:t>
            </w:r>
          </w:p>
          <w:p w14:paraId="6CEAFA7D">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（9）招标文件和投标文件；</w:t>
            </w:r>
          </w:p>
          <w:p w14:paraId="382A6821">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（10）构成合同的其他文件。</w:t>
            </w:r>
          </w:p>
          <w:p w14:paraId="3FDB3C36">
            <w:pPr>
              <w:widowControl/>
              <w:adjustRightInd w:val="0"/>
              <w:snapToGrid w:val="0"/>
              <w:rPr>
                <w:rFonts w:ascii="方正仿宋_GBK" w:hAnsi="方正仿宋_GBK" w:eastAsia="方正仿宋_GBK" w:cs="方正仿宋_GBK"/>
                <w:color w:val="000000" w:themeColor="text1"/>
                <w:sz w:val="18"/>
                <w:szCs w:val="18"/>
              </w:rPr>
            </w:pPr>
          </w:p>
        </w:tc>
        <w:tc>
          <w:tcPr>
            <w:tcW w:w="4455" w:type="dxa"/>
            <w:vAlign w:val="center"/>
          </w:tcPr>
          <w:p w14:paraId="0FEAE4FA">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1.4 合同文件的优先顺序</w:t>
            </w:r>
          </w:p>
          <w:p w14:paraId="42668FF8">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修改为：</w:t>
            </w:r>
          </w:p>
          <w:p w14:paraId="554AAE07">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下列文件为本合同的组成部分：</w:t>
            </w:r>
          </w:p>
          <w:p w14:paraId="66640223">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（1）双方在合同履行过程中达成的纪要、协议等文件；</w:t>
            </w:r>
          </w:p>
          <w:p w14:paraId="79F54ADE">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（2）合同协议书；</w:t>
            </w:r>
          </w:p>
          <w:p w14:paraId="6AE207EA">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（3）中标通知书；</w:t>
            </w:r>
          </w:p>
          <w:p w14:paraId="458538C0">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（4）专用合同条款及合同附件；</w:t>
            </w:r>
          </w:p>
          <w:p w14:paraId="32F166B7">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 xml:space="preserve">（5）通用合同条款； </w:t>
            </w:r>
          </w:p>
          <w:p w14:paraId="4AC5DBEB">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（6）技术标准和要求；</w:t>
            </w:r>
          </w:p>
          <w:p w14:paraId="53C99E3C">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（7）图纸；</w:t>
            </w:r>
          </w:p>
          <w:p w14:paraId="046EC731">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（8）已标价工程量清单；</w:t>
            </w:r>
          </w:p>
          <w:p w14:paraId="2469A870">
            <w:pPr>
              <w:ind w:firstLine="450" w:firstLineChars="25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color w:val="000000" w:themeColor="text1"/>
                <w:kern w:val="0"/>
                <w:sz w:val="18"/>
                <w:szCs w:val="18"/>
              </w:rPr>
              <w:t>（9）招标文件和投标文件；</w:t>
            </w:r>
          </w:p>
          <w:p w14:paraId="43A0B7B2">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color w:val="000000" w:themeColor="text1"/>
                <w:kern w:val="0"/>
                <w:sz w:val="18"/>
                <w:szCs w:val="18"/>
              </w:rPr>
              <w:t>（10）构成合同的其他文件。</w:t>
            </w:r>
          </w:p>
        </w:tc>
      </w:tr>
      <w:tr w14:paraId="4547329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1040" w:type="dxa"/>
            <w:vAlign w:val="center"/>
          </w:tcPr>
          <w:p w14:paraId="64539B8B">
            <w:pPr>
              <w:pStyle w:val="39"/>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59DB5839">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专用合同条款1.11.8</w:t>
            </w:r>
          </w:p>
        </w:tc>
        <w:tc>
          <w:tcPr>
            <w:tcW w:w="3582" w:type="dxa"/>
            <w:vAlign w:val="center"/>
          </w:tcPr>
          <w:p w14:paraId="62EEE6E1">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承包人利用发包人提供的技术资料和工作条件所完成的新的技术成果和知识产权，归发包人单独所有。</w:t>
            </w:r>
          </w:p>
        </w:tc>
        <w:tc>
          <w:tcPr>
            <w:tcW w:w="4455" w:type="dxa"/>
          </w:tcPr>
          <w:p w14:paraId="20E1DC4D">
            <w:pPr>
              <w:adjustRightInd w:val="0"/>
              <w:snapToGrid w:val="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z w:val="18"/>
                <w:szCs w:val="18"/>
              </w:rPr>
              <w:t>承包人利用发包人提供的技术资料和工作条件所完成的新的技术成果和知识产权，其中专利申请权、版权（著作权）、研究成果署名权、奖项申报申请权归发包人和承包人双方所有，未经发包人许可，承包人不得单独开展相关工作。获得报酬权、非专利技术所有权、商誉等归发包人单独所有。</w:t>
            </w:r>
          </w:p>
        </w:tc>
      </w:tr>
      <w:tr w14:paraId="2BE435C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1040" w:type="dxa"/>
            <w:vAlign w:val="center"/>
          </w:tcPr>
          <w:p w14:paraId="3FF147A0">
            <w:pPr>
              <w:pStyle w:val="39"/>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351B02F5">
            <w:pPr>
              <w:widowControl/>
              <w:adjustRightInd w:val="0"/>
              <w:snapToGrid w:val="0"/>
              <w:jc w:val="center"/>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 xml:space="preserve">专用合同条款1.11.9 </w:t>
            </w:r>
          </w:p>
        </w:tc>
        <w:tc>
          <w:tcPr>
            <w:tcW w:w="3582" w:type="dxa"/>
            <w:vAlign w:val="center"/>
          </w:tcPr>
          <w:p w14:paraId="6FF91C55">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上述知识产权及相关权利主要包括但不限于专利申请权、版权（著作权）、研究成果署名权、奖项申报申请权、获得报酬权、非专利技术所有权、商誉等。</w:t>
            </w:r>
          </w:p>
        </w:tc>
        <w:tc>
          <w:tcPr>
            <w:tcW w:w="4455" w:type="dxa"/>
            <w:vAlign w:val="center"/>
          </w:tcPr>
          <w:p w14:paraId="3FCE3285">
            <w:pPr>
              <w:snapToGrid w:val="0"/>
              <w:jc w:val="center"/>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color w:val="000000" w:themeColor="text1"/>
                <w:sz w:val="18"/>
                <w:szCs w:val="18"/>
              </w:rPr>
              <w:t>删除</w:t>
            </w:r>
          </w:p>
        </w:tc>
      </w:tr>
      <w:tr w14:paraId="4241962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40" w:type="dxa"/>
            <w:vAlign w:val="center"/>
          </w:tcPr>
          <w:p w14:paraId="03485845">
            <w:pPr>
              <w:pStyle w:val="39"/>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72B4B31C">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专用合同条款2.9.1</w:t>
            </w:r>
          </w:p>
        </w:tc>
        <w:tc>
          <w:tcPr>
            <w:tcW w:w="3582" w:type="dxa"/>
            <w:vAlign w:val="center"/>
          </w:tcPr>
          <w:p w14:paraId="6ADA826E">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2.9.1 水、电、通讯等施工管线进入施工场地现场;</w:t>
            </w:r>
          </w:p>
          <w:p w14:paraId="0490003A">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水、电、通讯等施工管线进入施工现场的时间、地点和供应要求：</w:t>
            </w:r>
          </w:p>
          <w:p w14:paraId="259964E9">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变电工程：</w:t>
            </w:r>
          </w:p>
          <w:p w14:paraId="694398CE">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水：。</w:t>
            </w:r>
          </w:p>
          <w:p w14:paraId="2AFB8903">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电：。</w:t>
            </w:r>
          </w:p>
          <w:p w14:paraId="3A637F58">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通讯：。</w:t>
            </w:r>
          </w:p>
          <w:p w14:paraId="4A1D0FF7">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线路工程（适用于线路工程和输变电工程中线路部分）：</w:t>
            </w:r>
          </w:p>
          <w:p w14:paraId="5CC6C694">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水：承包人自行解决，费用已包含在合同价格中。</w:t>
            </w:r>
          </w:p>
          <w:p w14:paraId="41BF07BD">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电：承包人自行解决，费用已包含在合同价格中。</w:t>
            </w:r>
          </w:p>
          <w:p w14:paraId="140F7378">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通讯：承包人自行解决，费用已包含在合同价格中。</w:t>
            </w:r>
          </w:p>
          <w:p w14:paraId="6DD6DB93">
            <w:pPr>
              <w:adjustRightInd w:val="0"/>
              <w:snapToGrid w:val="0"/>
              <w:ind w:firstLine="360" w:firstLineChars="200"/>
              <w:rPr>
                <w:rFonts w:ascii="方正仿宋_GBK" w:hAnsi="方正仿宋_GBK" w:eastAsia="方正仿宋_GBK" w:cs="方正仿宋_GBK"/>
                <w:color w:val="000000" w:themeColor="text1"/>
                <w:sz w:val="18"/>
                <w:szCs w:val="18"/>
              </w:rPr>
            </w:pPr>
          </w:p>
        </w:tc>
        <w:tc>
          <w:tcPr>
            <w:tcW w:w="4455" w:type="dxa"/>
            <w:vAlign w:val="center"/>
          </w:tcPr>
          <w:p w14:paraId="4205A395">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2.9.1 水、电、通讯等施工管线进入施工场地现场;</w:t>
            </w:r>
          </w:p>
          <w:p w14:paraId="1764951E">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水、电、通讯等施工管线进入施工现场的时间、地点和供应要求：</w:t>
            </w:r>
          </w:p>
          <w:p w14:paraId="015F88A3">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变电工程：</w:t>
            </w:r>
          </w:p>
          <w:p w14:paraId="46C7D336">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水：</w:t>
            </w:r>
            <w:r>
              <w:rPr>
                <w:rFonts w:hint="eastAsia" w:ascii="方正仿宋_GBK" w:hAnsi="方正仿宋_GBK" w:eastAsia="方正仿宋_GBK" w:cs="方正仿宋_GBK"/>
                <w:sz w:val="18"/>
                <w:szCs w:val="18"/>
                <w:lang w:val="en-US" w:eastAsia="zh-CN"/>
              </w:rPr>
              <w:t>详见技术规范书</w:t>
            </w:r>
            <w:r>
              <w:rPr>
                <w:rFonts w:hint="eastAsia" w:ascii="方正仿宋_GBK" w:hAnsi="方正仿宋_GBK" w:eastAsia="方正仿宋_GBK" w:cs="方正仿宋_GBK"/>
                <w:sz w:val="18"/>
                <w:szCs w:val="18"/>
              </w:rPr>
              <w:t>。</w:t>
            </w:r>
          </w:p>
          <w:p w14:paraId="608919EB">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电：</w:t>
            </w:r>
            <w:r>
              <w:rPr>
                <w:rFonts w:hint="eastAsia" w:ascii="方正仿宋_GBK" w:hAnsi="方正仿宋_GBK" w:eastAsia="方正仿宋_GBK" w:cs="方正仿宋_GBK"/>
                <w:sz w:val="18"/>
                <w:szCs w:val="18"/>
                <w:lang w:val="en-US" w:eastAsia="zh-CN"/>
              </w:rPr>
              <w:t>详见技术规范书</w:t>
            </w:r>
            <w:r>
              <w:rPr>
                <w:rFonts w:hint="eastAsia" w:ascii="方正仿宋_GBK" w:hAnsi="方正仿宋_GBK" w:eastAsia="方正仿宋_GBK" w:cs="方正仿宋_GBK"/>
                <w:sz w:val="18"/>
                <w:szCs w:val="18"/>
              </w:rPr>
              <w:t>。</w:t>
            </w:r>
          </w:p>
          <w:p w14:paraId="3124600D">
            <w:pPr>
              <w:adjustRightInd w:val="0"/>
              <w:snapToGrid w:val="0"/>
              <w:ind w:firstLine="360" w:firstLineChars="200"/>
              <w:rPr>
                <w:rFonts w:hint="eastAsia"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通讯：</w:t>
            </w:r>
            <w:r>
              <w:rPr>
                <w:rFonts w:hint="eastAsia" w:ascii="方正仿宋_GBK" w:hAnsi="方正仿宋_GBK" w:eastAsia="方正仿宋_GBK" w:cs="方正仿宋_GBK"/>
                <w:sz w:val="18"/>
                <w:szCs w:val="18"/>
                <w:lang w:val="en-US" w:eastAsia="zh-CN"/>
              </w:rPr>
              <w:t>详见技术规范书</w:t>
            </w:r>
            <w:r>
              <w:rPr>
                <w:rFonts w:hint="eastAsia" w:ascii="方正仿宋_GBK" w:hAnsi="方正仿宋_GBK" w:eastAsia="方正仿宋_GBK" w:cs="方正仿宋_GBK"/>
                <w:sz w:val="18"/>
                <w:szCs w:val="18"/>
              </w:rPr>
              <w:t>。</w:t>
            </w:r>
          </w:p>
          <w:p w14:paraId="49504D1D">
            <w:pPr>
              <w:pStyle w:val="2"/>
              <w:adjustRightInd w:val="0"/>
              <w:snapToGrid w:val="0"/>
              <w:ind w:firstLine="360" w:firstLineChars="200"/>
              <w:rPr>
                <w:rFonts w:ascii="方正仿宋_GBK" w:hAnsi="方正仿宋_GBK" w:eastAsia="方正仿宋_GBK" w:cs="方正仿宋_GBK"/>
                <w:color w:val="auto"/>
                <w:sz w:val="18"/>
                <w:szCs w:val="18"/>
                <w:lang w:val="en-US"/>
              </w:rPr>
            </w:pPr>
          </w:p>
        </w:tc>
      </w:tr>
      <w:tr w14:paraId="20E4861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40" w:type="dxa"/>
            <w:vAlign w:val="center"/>
          </w:tcPr>
          <w:p w14:paraId="785FC63C">
            <w:pPr>
              <w:pStyle w:val="39"/>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764A9A7B">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专用合同条款2.9.2</w:t>
            </w:r>
          </w:p>
        </w:tc>
        <w:tc>
          <w:tcPr>
            <w:tcW w:w="3582" w:type="dxa"/>
            <w:vAlign w:val="center"/>
          </w:tcPr>
          <w:p w14:paraId="73D4EF68">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2.9.2 除合同另有约定外，开通施工场地与公共道路之间的通道;</w:t>
            </w:r>
          </w:p>
          <w:p w14:paraId="48BD8D2C">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施工场地与公共道路之间通道的开通时间、起止地点和要求：</w:t>
            </w:r>
          </w:p>
          <w:p w14:paraId="077FC3DE">
            <w:pPr>
              <w:adjustRightInd w:val="0"/>
              <w:snapToGrid w:val="0"/>
              <w:ind w:firstLine="360" w:firstLineChars="20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rPr>
              <w:t>变电工程：。</w:t>
            </w:r>
          </w:p>
          <w:p w14:paraId="1E84E732">
            <w:pPr>
              <w:adjustRightInd w:val="0"/>
              <w:snapToGrid w:val="0"/>
              <w:ind w:firstLine="360" w:firstLineChars="20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线路工程（适用于线路工程和输变电工程中线路部分）：承包人自行解决。</w:t>
            </w:r>
          </w:p>
        </w:tc>
        <w:tc>
          <w:tcPr>
            <w:tcW w:w="4455" w:type="dxa"/>
            <w:vAlign w:val="center"/>
          </w:tcPr>
          <w:p w14:paraId="0B88354B">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2.9.2 除合同另有约定外，开通施工场地与公共道路之间的通道;</w:t>
            </w:r>
          </w:p>
          <w:p w14:paraId="519AA7C8">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施工场地与公共道路之间通道的开通时间、起止地点和要求：</w:t>
            </w:r>
          </w:p>
          <w:p w14:paraId="0784F86C">
            <w:pPr>
              <w:adjustRightInd w:val="0"/>
              <w:snapToGrid w:val="0"/>
              <w:ind w:firstLine="360" w:firstLineChars="20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rPr>
              <w:t>变电工程：</w:t>
            </w:r>
            <w:r>
              <w:rPr>
                <w:rFonts w:hint="eastAsia" w:ascii="方正仿宋_GBK" w:hAnsi="方正仿宋_GBK" w:eastAsia="方正仿宋_GBK" w:cs="方正仿宋_GBK"/>
                <w:sz w:val="18"/>
                <w:szCs w:val="18"/>
                <w:u w:val="single"/>
              </w:rPr>
              <w:t xml:space="preserve">  开工前一周提供    </w:t>
            </w:r>
            <w:r>
              <w:rPr>
                <w:rFonts w:hint="eastAsia" w:ascii="方正仿宋_GBK" w:hAnsi="方正仿宋_GBK" w:eastAsia="方正仿宋_GBK" w:cs="方正仿宋_GBK"/>
                <w:sz w:val="18"/>
                <w:szCs w:val="18"/>
              </w:rPr>
              <w:t>。</w:t>
            </w:r>
          </w:p>
          <w:p w14:paraId="3E3DA80A">
            <w:pPr>
              <w:adjustRightInd w:val="0"/>
              <w:snapToGrid w:val="0"/>
              <w:ind w:firstLine="360" w:firstLineChars="20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线路工程（适用于线路工程和输变电工程中线路部分）：承包人自行解决。</w:t>
            </w:r>
          </w:p>
        </w:tc>
      </w:tr>
      <w:tr w14:paraId="68C8969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40" w:type="dxa"/>
            <w:vAlign w:val="center"/>
          </w:tcPr>
          <w:p w14:paraId="1835CF11">
            <w:pPr>
              <w:pStyle w:val="39"/>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2778B492">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专用合同条款2.9.4</w:t>
            </w:r>
          </w:p>
        </w:tc>
        <w:tc>
          <w:tcPr>
            <w:tcW w:w="3582" w:type="dxa"/>
            <w:vAlign w:val="center"/>
          </w:tcPr>
          <w:p w14:paraId="5955C332">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2.9.4 办理应由发包人负责的相关证件、批件；</w:t>
            </w:r>
          </w:p>
          <w:p w14:paraId="13052F54">
            <w:pPr>
              <w:adjustRightInd w:val="0"/>
              <w:snapToGrid w:val="0"/>
              <w:ind w:firstLine="360" w:firstLineChars="20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应由发包人办理的证件、批件的名称和完成时间：</w:t>
            </w:r>
          </w:p>
        </w:tc>
        <w:tc>
          <w:tcPr>
            <w:tcW w:w="4455" w:type="dxa"/>
            <w:vAlign w:val="center"/>
          </w:tcPr>
          <w:p w14:paraId="394F5080">
            <w:pPr>
              <w:adjustRightInd w:val="0"/>
              <w:snapToGrid w:val="0"/>
              <w:ind w:firstLine="360" w:firstLineChars="200"/>
              <w:rPr>
                <w:rFonts w:ascii="方正仿宋_GBK" w:hAnsi="方正仿宋_GBK" w:eastAsia="方正仿宋_GBK" w:cs="方正仿宋_GBK"/>
                <w:color w:val="000000" w:themeColor="text1"/>
                <w:sz w:val="18"/>
                <w:szCs w:val="18"/>
                <w:u w:val="single"/>
              </w:rPr>
            </w:pPr>
            <w:r>
              <w:rPr>
                <w:rFonts w:hint="eastAsia" w:ascii="方正仿宋_GBK" w:hAnsi="方正仿宋_GBK" w:eastAsia="方正仿宋_GBK" w:cs="方正仿宋_GBK"/>
                <w:sz w:val="18"/>
                <w:szCs w:val="18"/>
              </w:rPr>
              <w:t>2.9.4 办理应由发包人负责的相关证件、批件；应由发包人办理的证件、批件的名称和完成时间：</w:t>
            </w:r>
            <w:r>
              <w:rPr>
                <w:rFonts w:hint="eastAsia" w:ascii="方正仿宋_GBK" w:hAnsi="方正仿宋_GBK" w:eastAsia="方正仿宋_GBK" w:cs="方正仿宋_GBK"/>
                <w:sz w:val="18"/>
                <w:szCs w:val="18"/>
                <w:u w:val="single"/>
              </w:rPr>
              <w:t xml:space="preserve">    无     </w:t>
            </w:r>
            <w:r>
              <w:rPr>
                <w:rFonts w:hint="eastAsia" w:ascii="方正仿宋_GBK" w:hAnsi="方正仿宋_GBK" w:eastAsia="方正仿宋_GBK" w:cs="方正仿宋_GBK"/>
                <w:sz w:val="18"/>
                <w:szCs w:val="18"/>
              </w:rPr>
              <w:t>。</w:t>
            </w:r>
          </w:p>
        </w:tc>
      </w:tr>
      <w:tr w14:paraId="2F74AA8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40" w:type="dxa"/>
            <w:vAlign w:val="center"/>
          </w:tcPr>
          <w:p w14:paraId="2EE35FDC">
            <w:pPr>
              <w:pStyle w:val="39"/>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4E332143">
            <w:pPr>
              <w:widowControl/>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专用条款2.10.3</w:t>
            </w:r>
          </w:p>
        </w:tc>
        <w:tc>
          <w:tcPr>
            <w:tcW w:w="3582" w:type="dxa"/>
            <w:vAlign w:val="center"/>
          </w:tcPr>
          <w:p w14:paraId="7D9DD7FA">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其他：</w:t>
            </w:r>
          </w:p>
        </w:tc>
        <w:tc>
          <w:tcPr>
            <w:tcW w:w="4455" w:type="dxa"/>
            <w:vAlign w:val="center"/>
          </w:tcPr>
          <w:p w14:paraId="2789B59D">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sz w:val="18"/>
                <w:szCs w:val="18"/>
              </w:rPr>
              <w:t>其他：承包人应通过国网“e基建”等相应信息平台进行用工实名登记、管理；加强用工台账管理；按月及时足额支付农民工工资</w:t>
            </w:r>
          </w:p>
        </w:tc>
      </w:tr>
      <w:tr w14:paraId="5E12BDB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40" w:type="dxa"/>
            <w:vAlign w:val="center"/>
          </w:tcPr>
          <w:p w14:paraId="4277781B">
            <w:pPr>
              <w:pStyle w:val="39"/>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rPr>
            </w:pPr>
          </w:p>
        </w:tc>
        <w:tc>
          <w:tcPr>
            <w:tcW w:w="954" w:type="dxa"/>
            <w:vAlign w:val="center"/>
          </w:tcPr>
          <w:p w14:paraId="3A03CF88">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专用条款</w:t>
            </w:r>
            <w:r>
              <w:rPr>
                <w:rFonts w:hint="eastAsia" w:ascii="方正仿宋_GBK" w:hAnsi="方正仿宋_GBK" w:eastAsia="方正仿宋_GBK" w:cs="方正仿宋_GBK"/>
                <w:color w:val="000000" w:themeColor="text1"/>
                <w:sz w:val="18"/>
                <w:szCs w:val="18"/>
              </w:rPr>
              <w:t xml:space="preserve">4.1.3 </w:t>
            </w:r>
          </w:p>
        </w:tc>
        <w:tc>
          <w:tcPr>
            <w:tcW w:w="3582" w:type="dxa"/>
            <w:vAlign w:val="center"/>
          </w:tcPr>
          <w:p w14:paraId="0F6C6305">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4.1.3 完成各项承包工作（补充）</w:t>
            </w:r>
          </w:p>
          <w:p w14:paraId="4E5CECC4">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承包人应按照合同约定完成的工作内容为：</w:t>
            </w:r>
          </w:p>
          <w:p w14:paraId="65BC7421">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（1）全部承包项目工程施工、验收、移交、保修等。</w:t>
            </w:r>
          </w:p>
          <w:p w14:paraId="7E0186C4">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2）协助发包人进行工程建设协调，办理各种施工手续，缴纳相应税费及承担工作协调的费用；工程安全质量监督检查、交叉互查、工程验收、环保、水保、劳动卫生、安全、档案等专项验收的自验和配合工作；配合达标投产、国家电网有限公司及国家优质工程创建、工程后评估等各项工作。</w:t>
            </w:r>
          </w:p>
          <w:p w14:paraId="5A1A7841">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（3）负责竣工资料（含电子版）、声像资料的收集、整理、组卷、归档与移交。</w:t>
            </w:r>
          </w:p>
          <w:p w14:paraId="305F7314">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（4）保修期内的保修工作。</w:t>
            </w:r>
          </w:p>
          <w:p w14:paraId="1CBDB5B2">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5）在工程建设期间，施工项目部需设置一名专职信息化人员，负责国网信息化管理系统进行相关数据录入工作，使用基建管理信息系统进行工程管理及相关数据录入工作，使用档案系统上线挂接模块进行竣工资料移交。</w:t>
            </w:r>
          </w:p>
          <w:p w14:paraId="4DBCB801">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（6）在工程建设期间施工项目部需设置一名专职协调人员，负责协助业主项目部做好协调工作。</w:t>
            </w:r>
          </w:p>
          <w:p w14:paraId="6D793E70">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（7）变电工程：</w:t>
            </w:r>
          </w:p>
          <w:p w14:paraId="7F975EB8">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①设备基础及主控室和各小室施工、构架吊装、发包人供应的设备和材料的验收和保管、现场设备和材料的二次搬运、一次和二次设备的安装和试验、系统试验及调试、工程档案及资料移交、工程竣工和保修、配合完成达标投产和工程创优。承包范围内的所有工程施工需满足“国家电网有限公司输变电工程标准工艺”要求，并实行实物样板制。</w:t>
            </w:r>
          </w:p>
          <w:p w14:paraId="7A54ACD7">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②承包人负责的设备材料采购，应按进度计划及时开展，并将有关的采购结果及时向设计单位、监理人报告，以便设计单位及时开展施工图设计。如采购延误承包人应全权负责。</w:t>
            </w:r>
          </w:p>
          <w:p w14:paraId="1078FD24">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③承包人的临建设施，包括：</w:t>
            </w:r>
          </w:p>
          <w:p w14:paraId="486111B1">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所(站)内：机具、材料、办公等用房，设备及材料堆场，所（站）内临建设施占地须经监理人批准；</w:t>
            </w:r>
          </w:p>
          <w:p w14:paraId="1AEDBE41">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所(站)外：为保证全站安全文明施工形象，本工程按照国家电网有限公司输变电工程安全文明施工标准化管理规定的标准在站外搭建统一的生产、生活临时设施。</w:t>
            </w:r>
          </w:p>
          <w:p w14:paraId="316B00C3">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④承包人在施工准备及施工过程中，应关注工程周边的财产、工程建设以及场地周围建筑物和地下管线等情况，对有可能造成发包人方损失或对本工程建设有影响的情况及时通过监理人向发包人报告。因承包人盲目施工或未充分考虑外部环境因素造成损失的，视情况由承包人承担相应的赔偿责任。</w:t>
            </w:r>
          </w:p>
          <w:p w14:paraId="3DBD3BDB">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⑤负责甲供设备材料保管工作，负责甲供设备材料卸车（不含主变压器及线路高抗）和协助发包人做好甲供设备材料催交工作。</w:t>
            </w:r>
          </w:p>
          <w:p w14:paraId="5D2E5882">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⑥承包人需做好工程现场的治安保卫工作，确保现场安全有序。</w:t>
            </w:r>
          </w:p>
          <w:p w14:paraId="399DE4D6">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⑦负责拆除工程物资的拆除、回收、保管及迹地恢复等工作。</w:t>
            </w:r>
          </w:p>
          <w:p w14:paraId="1BB2727C">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（8）线路工程（适用于线路工程和输变电工程中线路部分）：</w:t>
            </w:r>
          </w:p>
          <w:p w14:paraId="09A123DE">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①承包人承包的工程范围为本标段（标包）对应的所有工作量并按规定办理各种施工手续。</w:t>
            </w:r>
          </w:p>
          <w:p w14:paraId="5177E1FD">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②承包人承包的工作内容为上述工程范围内的如下工作：</w:t>
            </w:r>
          </w:p>
          <w:p w14:paraId="5EC41B38">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a.全部本体线路复测、基础开挖和浇筑、余土外运、发包人供应的材料的验收、现场材料的保管和运输、铁塔组立、绝缘子和金具安装、架线、线路参数测试、配合运行单位完成标志牌、警示牌、相序牌的安装，工程相关试验、检测工作，架空地线复合光缆（OPGW）的测试及接续工作、工程档案及资料移交、工程竣工和保修；</w:t>
            </w:r>
          </w:p>
          <w:p w14:paraId="1EF09383">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b.提供施工所需所有施工机具、人力及其他施工资源；</w:t>
            </w:r>
          </w:p>
          <w:p w14:paraId="3DF8C233">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c.负责发包人供应材料的保管工作，负责发包人供应设备材料的卸车、验收和催交工作；</w:t>
            </w:r>
          </w:p>
          <w:p w14:paraId="2C6BBD67">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d.负责发包人供应的材料运输至承包人中心材料站的质量交接验收工作；</w:t>
            </w:r>
          </w:p>
          <w:p w14:paraId="73B9EF64">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e.负责发包人供应的材料在指定交货地点的场地（港口、车站或至各标段（标包）中心材料站等）协调及临时场地租赁，并负责运输至施工现场或材料站的装卸、运输进行现场保管；</w:t>
            </w:r>
          </w:p>
          <w:p w14:paraId="4E71FABE">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f.发包人供应的材料以外的其他材料的采购、运输、保管；</w:t>
            </w:r>
          </w:p>
          <w:p w14:paraId="0F501FBB">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g.为保证施工安全、质量、进度所采取的各种措施，以及为保证正常施工进行的各种协调工作；</w:t>
            </w:r>
          </w:p>
          <w:p w14:paraId="3F5D2BEE">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h.配合完成由发包人或建管单位负责的障碍物拆迁及赔偿等工作，负责招标采购文件确定的有关通道清理赔偿事项；</w:t>
            </w:r>
          </w:p>
          <w:p w14:paraId="1DE79EF6">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i.承包人进场后应对线路走廊和工程本体进行看护和移交前的维护，并确保其在启动验收前满足设计及基建验收相关规程要求。承包人应承担线路走廊和工程本体的毁损灭失以及造成第三人财产或人身损害等全部法律责任；</w:t>
            </w:r>
          </w:p>
          <w:p w14:paraId="5517F386">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j.配合中间验收、竣工预验收、竣工验收、系统调试、启动验收、保证线路畅通。</w:t>
            </w:r>
          </w:p>
          <w:p w14:paraId="33BCCF50">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（9）承包人应积极配合发包人开展工程创优相关工作。</w:t>
            </w:r>
          </w:p>
          <w:p w14:paraId="38EAC2D8">
            <w:pPr>
              <w:widowControl/>
              <w:adjustRightInd w:val="0"/>
              <w:snapToGrid w:val="0"/>
              <w:jc w:val="left"/>
              <w:rPr>
                <w:rFonts w:ascii="方正仿宋_GBK" w:hAnsi="方正仿宋_GBK" w:eastAsia="方正仿宋_GBK" w:cs="方正仿宋_GBK"/>
                <w:bCs/>
                <w:color w:val="000000" w:themeColor="text1"/>
                <w:kern w:val="0"/>
                <w:sz w:val="18"/>
                <w:szCs w:val="18"/>
              </w:rPr>
            </w:pPr>
            <w:r>
              <w:rPr>
                <w:rFonts w:hint="eastAsia" w:ascii="方正仿宋_GBK" w:hAnsi="方正仿宋_GBK" w:eastAsia="方正仿宋_GBK" w:cs="方正仿宋_GBK"/>
                <w:bCs/>
                <w:color w:val="000000" w:themeColor="text1"/>
                <w:kern w:val="0"/>
                <w:sz w:val="18"/>
                <w:szCs w:val="18"/>
              </w:rPr>
              <w:t>（10）完成合同文件规定的其他工作。</w:t>
            </w:r>
          </w:p>
          <w:p w14:paraId="1E92397D">
            <w:pPr>
              <w:widowControl/>
              <w:rPr>
                <w:rFonts w:ascii="方正仿宋_GBK" w:hAnsi="方正仿宋_GBK" w:eastAsia="方正仿宋_GBK" w:cs="方正仿宋_GBK"/>
                <w:color w:val="000000" w:themeColor="text1"/>
                <w:kern w:val="0"/>
                <w:sz w:val="18"/>
                <w:szCs w:val="18"/>
              </w:rPr>
            </w:pPr>
          </w:p>
        </w:tc>
        <w:tc>
          <w:tcPr>
            <w:tcW w:w="4455" w:type="dxa"/>
            <w:vAlign w:val="center"/>
          </w:tcPr>
          <w:p w14:paraId="1ACCA71C">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4.1.3完成各项承包工作（补充）修改为：</w:t>
            </w:r>
          </w:p>
          <w:p w14:paraId="732E0F77">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承包人应按照合同约定完成的工作内容为：</w:t>
            </w:r>
          </w:p>
          <w:p w14:paraId="41550DD5">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（1）全部承包项目工程施工、验收、移交、保修等。</w:t>
            </w:r>
          </w:p>
          <w:p w14:paraId="1C622AE8">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2）协助发包人进行工程建设协调，办理各种施工手续，缴纳相应税费及承担工作协调的费用；开展工程安全质量监督检查、交叉互查、工程验收、环保、水保、劳动保障、职业卫生、安全、消防、规划、节能等专项验收的自验和配合工作；接受工程依法合规建设综合检查；配合竣工验收备案工作；配合达标投产、国家电网有限公司及国家优质工程创建、工程投产后质量评价等各项工作。</w:t>
            </w:r>
          </w:p>
          <w:p w14:paraId="35E857F2">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（3）负责竣工资料、声像资料的制作、收集、整理、组卷、归档与移交。负责配合开展档案专项验收及进馆移交工作。</w:t>
            </w:r>
          </w:p>
          <w:p w14:paraId="4F217FA9">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（4）保修期内的修补工程缺陷工作。</w:t>
            </w:r>
          </w:p>
          <w:p w14:paraId="2D8090C2">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（5）在工程建设期间，施工项目部需设置以下专职人员：</w:t>
            </w:r>
          </w:p>
          <w:p w14:paraId="37B2C1D7">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1）</w:t>
            </w:r>
            <w:r>
              <w:rPr>
                <w:rFonts w:hint="eastAsia" w:ascii="方正仿宋_GBK" w:hAnsi="方正仿宋_GBK" w:eastAsia="方正仿宋_GBK" w:cs="方正仿宋_GBK"/>
                <w:b/>
                <w:bCs/>
                <w:color w:val="000000" w:themeColor="text1"/>
                <w:kern w:val="0"/>
                <w:sz w:val="18"/>
                <w:szCs w:val="18"/>
              </w:rPr>
              <w:t>专职档案资料人员：1或2人</w:t>
            </w:r>
            <w:r>
              <w:rPr>
                <w:rFonts w:hint="eastAsia" w:ascii="方正仿宋_GBK" w:hAnsi="方正仿宋_GBK" w:eastAsia="方正仿宋_GBK" w:cs="方正仿宋_GBK"/>
                <w:color w:val="000000" w:themeColor="text1"/>
                <w:kern w:val="0"/>
                <w:sz w:val="18"/>
                <w:szCs w:val="18"/>
              </w:rPr>
              <w:t>。工作职责：档案资料专责应为项目档案工作组成员，负责参与、落实项目档案工作组的工作要求；负责编写项目部过程管控方案；负责对项目部人员进行档案交底培训；负责项目部建设过程文件的收集、整理，对文件规范性进行定期审查；负责项目部文件管理工作的内、外部协调；负责建立项目部文件管控清单，按月更新并报业主项目部；负责督促协调项目部资料检查问题整改闭环，建立问题整改对照表；负责项目部竣工文件的整理、组卷、移交及档案系统信息著录；负责编制项目部档案工作总结，提炼档案工作亮点、创新点；负责项目档案检查、验收等工作的牵头联系；使用档案系统上线挂接模块进行竣工资料移交等。</w:t>
            </w:r>
          </w:p>
          <w:p w14:paraId="28C16FFD">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2）</w:t>
            </w:r>
            <w:r>
              <w:rPr>
                <w:rFonts w:hint="eastAsia" w:ascii="方正仿宋_GBK" w:hAnsi="方正仿宋_GBK" w:eastAsia="方正仿宋_GBK" w:cs="方正仿宋_GBK"/>
                <w:b/>
                <w:bCs/>
                <w:color w:val="000000" w:themeColor="text1"/>
                <w:kern w:val="0"/>
                <w:sz w:val="18"/>
                <w:szCs w:val="18"/>
              </w:rPr>
              <w:t>专职信息化人员</w:t>
            </w:r>
            <w:r>
              <w:rPr>
                <w:rFonts w:hint="eastAsia" w:ascii="方正仿宋_GBK" w:hAnsi="方正仿宋_GBK" w:eastAsia="方正仿宋_GBK" w:cs="方正仿宋_GBK"/>
                <w:color w:val="000000" w:themeColor="text1"/>
                <w:kern w:val="0"/>
                <w:sz w:val="18"/>
                <w:szCs w:val="18"/>
              </w:rPr>
              <w:t>：</w:t>
            </w:r>
            <w:r>
              <w:rPr>
                <w:rFonts w:hint="eastAsia" w:ascii="方正仿宋_GBK" w:hAnsi="方正仿宋_GBK" w:eastAsia="方正仿宋_GBK" w:cs="方正仿宋_GBK"/>
                <w:b/>
                <w:bCs/>
                <w:color w:val="000000" w:themeColor="text1"/>
                <w:kern w:val="0"/>
                <w:sz w:val="18"/>
                <w:szCs w:val="18"/>
              </w:rPr>
              <w:t>1人。</w:t>
            </w:r>
            <w:r>
              <w:rPr>
                <w:rFonts w:hint="eastAsia" w:ascii="方正仿宋_GBK" w:hAnsi="方正仿宋_GBK" w:eastAsia="方正仿宋_GBK" w:cs="方正仿宋_GBK"/>
                <w:color w:val="000000" w:themeColor="text1"/>
                <w:kern w:val="0"/>
                <w:sz w:val="18"/>
                <w:szCs w:val="18"/>
              </w:rPr>
              <w:t>工作职责：负责国网信息化管理系统进行相关数据录入工作，使用基建管理信息系统进行工程管理及相关数据录入工作。负责直流管控平台的使用维护及现场配套智慧工地的运行维护等工作。负责开展“e基建2.0”、数字化管控平台、“五库一平台”等标准化成果应用。</w:t>
            </w:r>
          </w:p>
          <w:p w14:paraId="76EF65F6">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3）</w:t>
            </w:r>
            <w:r>
              <w:rPr>
                <w:rFonts w:hint="eastAsia" w:ascii="方正仿宋_GBK" w:hAnsi="方正仿宋_GBK" w:eastAsia="方正仿宋_GBK" w:cs="方正仿宋_GBK"/>
                <w:b/>
                <w:bCs/>
                <w:color w:val="000000" w:themeColor="text1"/>
                <w:kern w:val="0"/>
                <w:sz w:val="18"/>
                <w:szCs w:val="18"/>
              </w:rPr>
              <w:t>专职协助业主工作人员：3名。</w:t>
            </w:r>
            <w:r>
              <w:rPr>
                <w:rFonts w:hint="eastAsia" w:ascii="方正仿宋_GBK" w:hAnsi="方正仿宋_GBK" w:eastAsia="方正仿宋_GBK" w:cs="方正仿宋_GBK"/>
                <w:color w:val="000000" w:themeColor="text1"/>
                <w:kern w:val="0"/>
                <w:sz w:val="18"/>
                <w:szCs w:val="18"/>
              </w:rPr>
              <w:t>工作职责：负责协助建设管理单位（业主项目部）做好各项工作，具体岗位由业主项目部确定。</w:t>
            </w:r>
          </w:p>
          <w:p w14:paraId="67446C3F">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4）</w:t>
            </w:r>
            <w:r>
              <w:rPr>
                <w:rFonts w:hint="eastAsia" w:ascii="方正仿宋_GBK" w:hAnsi="方正仿宋_GBK" w:eastAsia="方正仿宋_GBK" w:cs="方正仿宋_GBK"/>
                <w:b/>
                <w:bCs/>
                <w:color w:val="000000" w:themeColor="text1"/>
                <w:kern w:val="0"/>
                <w:sz w:val="18"/>
                <w:szCs w:val="18"/>
              </w:rPr>
              <w:t>专职拍照摄像人员：1名。</w:t>
            </w:r>
            <w:r>
              <w:rPr>
                <w:rFonts w:hint="eastAsia" w:ascii="方正仿宋_GBK" w:hAnsi="方正仿宋_GBK" w:eastAsia="方正仿宋_GBK" w:cs="方正仿宋_GBK"/>
                <w:color w:val="000000" w:themeColor="text1"/>
                <w:kern w:val="0"/>
                <w:sz w:val="18"/>
                <w:szCs w:val="18"/>
              </w:rPr>
              <w:t>要求：该摄像人员应经过摄像专业培训，具备电气工程专业背景。工作职责：负责按照发包人要求开展各阶段宣传、汇报、工法及科技项目、申报优质工程等影像资料（含视频片）的采集与制作，并归档。</w:t>
            </w:r>
          </w:p>
          <w:p w14:paraId="681AC725">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5）</w:t>
            </w:r>
            <w:r>
              <w:rPr>
                <w:rFonts w:hint="eastAsia" w:ascii="方正仿宋_GBK" w:hAnsi="方正仿宋_GBK" w:eastAsia="方正仿宋_GBK" w:cs="方正仿宋_GBK"/>
                <w:b/>
                <w:bCs/>
                <w:color w:val="000000" w:themeColor="text1"/>
                <w:kern w:val="0"/>
                <w:sz w:val="18"/>
                <w:szCs w:val="18"/>
              </w:rPr>
              <w:t>专职环保及水保管理人员：各1人。</w:t>
            </w:r>
            <w:r>
              <w:rPr>
                <w:rFonts w:hint="eastAsia" w:ascii="方正仿宋_GBK" w:hAnsi="方正仿宋_GBK" w:eastAsia="方正仿宋_GBK" w:cs="方正仿宋_GBK"/>
                <w:color w:val="000000" w:themeColor="text1"/>
                <w:kern w:val="0"/>
                <w:sz w:val="18"/>
                <w:szCs w:val="18"/>
              </w:rPr>
              <w:t>工作职责：负责定期对环保、水保施工进行监督检查。</w:t>
            </w:r>
          </w:p>
          <w:p w14:paraId="742D2531">
            <w:pPr>
              <w:widowControl/>
              <w:adjustRightInd w:val="0"/>
              <w:snapToGrid w:val="0"/>
              <w:jc w:val="left"/>
              <w:rPr>
                <w:rFonts w:ascii="方正仿宋_GBK" w:hAnsi="方正仿宋_GBK" w:eastAsia="方正仿宋_GBK" w:cs="方正仿宋_GBK"/>
                <w:b/>
                <w:bCs/>
                <w:color w:val="000000" w:themeColor="text1"/>
                <w:kern w:val="0"/>
                <w:sz w:val="18"/>
                <w:szCs w:val="18"/>
              </w:rPr>
            </w:pPr>
            <w:r>
              <w:rPr>
                <w:rFonts w:hint="eastAsia" w:ascii="方正仿宋_GBK" w:hAnsi="方正仿宋_GBK" w:eastAsia="方正仿宋_GBK" w:cs="方正仿宋_GBK"/>
                <w:b/>
                <w:bCs/>
                <w:color w:val="000000" w:themeColor="text1"/>
                <w:kern w:val="0"/>
                <w:sz w:val="18"/>
                <w:szCs w:val="18"/>
              </w:rPr>
              <w:t>（7）变电工程：</w:t>
            </w:r>
          </w:p>
          <w:p w14:paraId="20751F89">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①承包范围内的所有工程施工需满足“国家电网有限公司输变电工程标准工艺”要求，并实行实物样板制。</w:t>
            </w:r>
          </w:p>
          <w:p w14:paraId="0AE983B9">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②承包人负责的设备材料采购，应按进度计划及时开展，并将有关的采购结果及时向设计单位、监理人报告，以便设计单位及时开展施工图设计。如采购延误承包人应全权负责。</w:t>
            </w:r>
          </w:p>
          <w:p w14:paraId="3F7D38BB">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③承包人的临建设施，应符合《建设工程施工现场消防安全技术规范》（GB 50720-2011）、《国家电网有限公司输变电工程建设安全管理规定》（国网（基建2）173-2021）、《特高压变电（换流）站工程安全文明施工标准化手册》的要求，并经过监理及业主项目部批准。</w:t>
            </w:r>
          </w:p>
          <w:p w14:paraId="4D107125">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包括：</w:t>
            </w:r>
          </w:p>
          <w:p w14:paraId="1B00CECD">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所(站)内：机具、材料、办公等用房，设备及材料堆场，所（站）内临建设施占地须经监理人、发包人批准；</w:t>
            </w:r>
          </w:p>
          <w:p w14:paraId="2C8760AD">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所(站)外：为保证全站安全文明施工形象，本工程由属地省公司负责在站外统一租赁集中办公、生产、生活临建用地。除此之外，如需要增加临时占地的，由承包人自己向有关部门办理申请手续并承担与之相关的所有费用（含租地、场平、复垦以及植被恢复等），所需费用由</w:t>
            </w:r>
            <w:r>
              <w:rPr>
                <w:rFonts w:hint="eastAsia" w:ascii="方正仿宋_GBK" w:hAnsi="方正仿宋_GBK" w:eastAsia="方正仿宋_GBK" w:cs="方正仿宋_GBK"/>
                <w:color w:val="000000" w:themeColor="text1"/>
                <w:kern w:val="0"/>
                <w:sz w:val="18"/>
                <w:szCs w:val="18"/>
                <w:lang w:val="en-US" w:eastAsia="zh-CN"/>
              </w:rPr>
              <w:t>承包人</w:t>
            </w:r>
            <w:r>
              <w:rPr>
                <w:rFonts w:hint="eastAsia" w:ascii="方正仿宋_GBK" w:hAnsi="方正仿宋_GBK" w:eastAsia="方正仿宋_GBK" w:cs="方正仿宋_GBK"/>
                <w:color w:val="000000" w:themeColor="text1"/>
                <w:kern w:val="0"/>
                <w:sz w:val="18"/>
                <w:szCs w:val="18"/>
              </w:rPr>
              <w:t>在报价中自行考虑。</w:t>
            </w:r>
          </w:p>
          <w:p w14:paraId="41F77A7C">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临时建设用地由业主统一提供，在业主指定区域内建设集中办公临建、生产临建和生活临建。集中办公区临建等公共区域、附属设施由主体施工单位负责设计、建设、运行维护、拆除（具备复耕条件）。</w:t>
            </w:r>
          </w:p>
          <w:p w14:paraId="0DC821CB">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临建生活用房、生产加工场地的建设、使用、维护及拆除由</w:t>
            </w:r>
            <w:r>
              <w:rPr>
                <w:rFonts w:hint="eastAsia" w:ascii="方正仿宋_GBK" w:hAnsi="方正仿宋_GBK" w:eastAsia="方正仿宋_GBK" w:cs="方正仿宋_GBK"/>
                <w:color w:val="000000" w:themeColor="text1"/>
                <w:kern w:val="0"/>
                <w:sz w:val="18"/>
                <w:szCs w:val="18"/>
                <w:lang w:val="en-US" w:eastAsia="zh-CN"/>
              </w:rPr>
              <w:t>承包人</w:t>
            </w:r>
            <w:r>
              <w:rPr>
                <w:rFonts w:hint="eastAsia" w:ascii="方正仿宋_GBK" w:hAnsi="方正仿宋_GBK" w:eastAsia="方正仿宋_GBK" w:cs="方正仿宋_GBK"/>
                <w:color w:val="000000" w:themeColor="text1"/>
                <w:kern w:val="0"/>
                <w:sz w:val="18"/>
                <w:szCs w:val="18"/>
              </w:rPr>
              <w:t>自</w:t>
            </w:r>
            <w:bookmarkStart w:id="9" w:name="_GoBack"/>
            <w:bookmarkEnd w:id="9"/>
            <w:r>
              <w:rPr>
                <w:rFonts w:hint="eastAsia" w:ascii="方正仿宋_GBK" w:hAnsi="方正仿宋_GBK" w:eastAsia="方正仿宋_GBK" w:cs="方正仿宋_GBK"/>
                <w:color w:val="000000" w:themeColor="text1"/>
                <w:kern w:val="0"/>
                <w:sz w:val="18"/>
                <w:szCs w:val="18"/>
              </w:rPr>
              <w:t>行考虑，并满足相关环保水保的要求，费用包含在投标报价中。生产临建和生活临建按照“谁使用、谁建设、谁维护、谁拆除”的原则，由使用方自行承担相关费用。生产临建和生活临建搭设位置、拆除计划需报业主项目部审批。</w:t>
            </w:r>
          </w:p>
          <w:p w14:paraId="6B128B6E">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④承包人在施工准备及施工过程中，应关注工程周边的财产、工程建设以及场地周围建筑物和地下管线等情况，对有可能造成发包人方损失或对本工程建设有影响的情况及时通过监理人向发包人报告。承包人应采取切实有效措施保护周边建筑物、道路、水系和地下管线，不得超越征地红线范围施工。因承包人盲目施工或未充分考虑外部环境因素造成损失的，视情况由承包人承担相应的赔偿责任。</w:t>
            </w:r>
          </w:p>
          <w:p w14:paraId="2BDC4180">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⑤负责承包范围内的甲供设备材料接收、保管工作，负责承包范围内的车板交货的甲供设备材料卸车，配合承包范围内的指定位置交货（如换流变、高抗等）的甲供设备材料的卸车，协助发包人做好甲供设备材料催交工作。</w:t>
            </w:r>
          </w:p>
          <w:p w14:paraId="201D1A15">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⑥承包人需做好工程现场的治安保卫工作，确保现场安全有序。承包人自身工作范围内安全保障由其自身负责。安保工作及费用由土建单位负责（具体分工见招标技术规范书），协调地方公安机关在现场设置警务室加强安保工作。安保工作的范围包括所有施工区域（征地红线范围内）、所有进出口（含临建区大门、集中办公区大门、临时及永久围墙进出口，土建施工单位安保范围具体分工见招标技术规范书），集中办公区的安全保卫工作（包含整个工程建设期间）。负责安保的单位须配备有公安机关注册并许可的有专业资质的保安公司担任保安工作。人数满足现场（临建区域、站内区域）三班倒、4人巡逻的安全保卫的要求，总人数不得少于16人。安保方案需业主项目部审核后执行，保安队伍须接受监理项目部的领导和考核。各单位责任区域内（含站内、生产临建、生活临建）的设备、物资、工器具等由各单位自行负责安全保卫工作。</w:t>
            </w:r>
          </w:p>
          <w:p w14:paraId="4AE42DD7">
            <w:pPr>
              <w:widowControl/>
              <w:adjustRightInd w:val="0"/>
              <w:snapToGrid w:val="0"/>
              <w:jc w:val="left"/>
              <w:rPr>
                <w:rFonts w:hint="eastAsia"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⑦负责拆除工程物资的拆除、回收、保管及迹地恢复等工作。因建设引起，使周围耕种土地原有灌溉系统遭到破坏的恢复是承包人的承包范围，应认真、彻底、不遗留任何问题地解决好。</w:t>
            </w:r>
          </w:p>
          <w:p w14:paraId="2A2F4BEB">
            <w:pPr>
              <w:pStyle w:val="2"/>
              <w:widowControl/>
              <w:adjustRightInd w:val="0"/>
              <w:snapToGrid w:val="0"/>
              <w:jc w:val="left"/>
              <w:rPr>
                <w:rFonts w:ascii="方正仿宋_GBK" w:hAnsi="方正仿宋_GBK" w:eastAsia="方正仿宋_GBK" w:cs="方正仿宋_GBK"/>
                <w:color w:val="auto"/>
                <w:kern w:val="0"/>
                <w:sz w:val="18"/>
                <w:szCs w:val="18"/>
                <w:lang w:val="en-US"/>
              </w:rPr>
            </w:pPr>
            <w:r>
              <w:rPr>
                <w:rFonts w:hint="eastAsia"/>
                <w:lang w:val="en-US"/>
              </w:rPr>
              <w:t>详见技术规范书。</w:t>
            </w:r>
          </w:p>
          <w:p w14:paraId="3DB0FA44">
            <w:pPr>
              <w:widowControl/>
              <w:adjustRightInd w:val="0"/>
              <w:snapToGrid w:val="0"/>
              <w:jc w:val="left"/>
              <w:rPr>
                <w:rFonts w:ascii="方正仿宋_GBK" w:hAnsi="方正仿宋_GBK" w:eastAsia="方正仿宋_GBK" w:cs="方正仿宋_GBK"/>
                <w:b/>
                <w:bCs/>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（8）</w:t>
            </w:r>
            <w:r>
              <w:rPr>
                <w:rFonts w:hint="eastAsia" w:ascii="方正仿宋_GBK" w:hAnsi="方正仿宋_GBK" w:eastAsia="方正仿宋_GBK" w:cs="方正仿宋_GBK"/>
                <w:b/>
                <w:bCs/>
                <w:color w:val="000000" w:themeColor="text1"/>
                <w:kern w:val="0"/>
                <w:sz w:val="18"/>
                <w:szCs w:val="18"/>
              </w:rPr>
              <w:t>承包人应积极配合发包人开展工程创优相关工作：</w:t>
            </w:r>
          </w:p>
          <w:p w14:paraId="185E8244">
            <w:pPr>
              <w:widowControl/>
              <w:numPr>
                <w:ilvl w:val="0"/>
                <w:numId w:val="5"/>
              </w:numPr>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创优工作所需的由地方政府部门出具的相关证书(含向相关部门报备、委托开展第三方工作并出具报告及评审等)统一由</w:t>
            </w:r>
            <w:r>
              <w:rPr>
                <w:rFonts w:hint="eastAsia" w:ascii="方正仿宋_GBK" w:hAnsi="方正仿宋_GBK" w:eastAsia="方正仿宋_GBK" w:cs="方正仿宋_GBK"/>
                <w:color w:val="000000" w:themeColor="text1"/>
                <w:kern w:val="0"/>
                <w:sz w:val="18"/>
                <w:szCs w:val="18"/>
                <w:lang w:val="en-US" w:eastAsia="zh-CN"/>
              </w:rPr>
              <w:t>电气安装包</w:t>
            </w:r>
            <w:r>
              <w:rPr>
                <w:rFonts w:hint="eastAsia" w:ascii="方正仿宋_GBK" w:hAnsi="方正仿宋_GBK" w:eastAsia="方正仿宋_GBK" w:cs="方正仿宋_GBK"/>
                <w:color w:val="000000" w:themeColor="text1"/>
                <w:kern w:val="0"/>
                <w:sz w:val="18"/>
                <w:szCs w:val="18"/>
              </w:rPr>
              <w:t>负责办理，包括但不限于：①建设项目职业卫生专项验收；②建设项目安全设施竣工验收；③建设期未发生安全事故等相关证明；④劳动保障专项验收证书；⑤主要建筑物防雷接地检测报告；⑥建设项目安全设施“三同时”评价报告，以及办理上述证书所需要的其它支撑性文件、材料办理。其它各承包人负责相关配合工作。</w:t>
            </w:r>
          </w:p>
          <w:p w14:paraId="46B2043A">
            <w:pPr>
              <w:widowControl/>
              <w:numPr>
                <w:ilvl w:val="0"/>
                <w:numId w:val="5"/>
              </w:numPr>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承包人应按照发包人要求开展各阶段宣传、汇报、工法及科技项目、申报优质工程等影像资料（含PPT、视频片）的采集与制作，并归档。根据业主项目部安排，每个承包单位至少制作2个视频（不含承包单位自己制作的科技、宣传等视频）。</w:t>
            </w:r>
          </w:p>
          <w:p w14:paraId="491E098F">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3）根据发包人安排，承包人应配合设备、材料厂家现场安装工作。各承包单位负责统筹负责所施工区域（按单位工程）的供货厂家施工项目的质量工艺落实及创优工作、施工资料的归档工作、安全管理工作。</w:t>
            </w:r>
          </w:p>
          <w:p w14:paraId="44A2C0E8">
            <w:pPr>
              <w:widowControl/>
              <w:adjustRightInd w:val="0"/>
              <w:snapToGrid w:val="0"/>
              <w:jc w:val="left"/>
              <w:rPr>
                <w:rFonts w:ascii="方正仿宋_GBK" w:hAnsi="方正仿宋_GBK" w:eastAsia="方正仿宋_GBK" w:cs="方正仿宋_GBK"/>
                <w:b/>
                <w:bCs/>
                <w:color w:val="000000" w:themeColor="text1"/>
                <w:kern w:val="0"/>
                <w:sz w:val="18"/>
                <w:szCs w:val="18"/>
              </w:rPr>
            </w:pPr>
            <w:r>
              <w:rPr>
                <w:rFonts w:hint="eastAsia" w:ascii="方正仿宋_GBK" w:hAnsi="方正仿宋_GBK" w:eastAsia="方正仿宋_GBK" w:cs="方正仿宋_GBK"/>
                <w:b/>
                <w:bCs/>
                <w:color w:val="000000" w:themeColor="text1"/>
                <w:kern w:val="0"/>
                <w:sz w:val="18"/>
                <w:szCs w:val="18"/>
              </w:rPr>
              <w:t>（9）按发包人要求负责承担</w:t>
            </w:r>
            <w:r>
              <w:rPr>
                <w:rFonts w:hint="eastAsia" w:ascii="方正仿宋_GBK" w:hAnsi="方正仿宋_GBK" w:eastAsia="方正仿宋_GBK" w:cs="方正仿宋_GBK"/>
                <w:b/>
                <w:bCs/>
                <w:color w:val="000000" w:themeColor="text1"/>
                <w:kern w:val="0"/>
                <w:sz w:val="18"/>
                <w:szCs w:val="18"/>
                <w:lang w:val="en-US" w:eastAsia="zh-CN"/>
              </w:rPr>
              <w:t>引接</w:t>
            </w:r>
            <w:r>
              <w:rPr>
                <w:rFonts w:hint="eastAsia" w:ascii="方正仿宋_GBK" w:hAnsi="方正仿宋_GBK" w:eastAsia="方正仿宋_GBK" w:cs="方正仿宋_GBK"/>
                <w:b/>
                <w:bCs/>
                <w:color w:val="000000" w:themeColor="text1"/>
                <w:kern w:val="0"/>
                <w:sz w:val="18"/>
                <w:szCs w:val="18"/>
              </w:rPr>
              <w:t>站工程施工标准化相关工作。</w:t>
            </w:r>
          </w:p>
          <w:p w14:paraId="58371B07">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10）根据工程总体部署和安排，当工程进度调整或遇特殊情况，保证人力资源和设备的投入满足工程建设及调整后里程碑计划的需要。根据建设管理单位下发的一级进度计划节点合理安排充足的资源和设备投入，确保满足进度节点要求。（最终里程碑进度计划以国网特高压部印发的里程碑进度计划为准）</w:t>
            </w:r>
          </w:p>
          <w:p w14:paraId="2A8A00B1">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（11）临时施工电源（包括临建区域和站内1级配电箱及以上部分）的管理由</w:t>
            </w:r>
            <w:r>
              <w:rPr>
                <w:rFonts w:hint="eastAsia" w:ascii="方正仿宋_GBK" w:hAnsi="方正仿宋_GBK" w:eastAsia="方正仿宋_GBK" w:cs="方正仿宋_GBK"/>
                <w:color w:val="000000" w:themeColor="text1"/>
                <w:kern w:val="0"/>
                <w:sz w:val="18"/>
                <w:szCs w:val="18"/>
                <w:lang w:val="en-US" w:eastAsia="zh-CN"/>
              </w:rPr>
              <w:t>电气安装</w:t>
            </w:r>
            <w:r>
              <w:rPr>
                <w:rFonts w:hint="eastAsia" w:ascii="方正仿宋_GBK" w:hAnsi="方正仿宋_GBK" w:eastAsia="方正仿宋_GBK" w:cs="方正仿宋_GBK"/>
                <w:color w:val="000000" w:themeColor="text1"/>
                <w:kern w:val="0"/>
                <w:sz w:val="18"/>
                <w:szCs w:val="18"/>
              </w:rPr>
              <w:t>包负责,各单位配合。要求各承包单位的2-3级电源箱大小、规格、型号、颜色及配置完全一样。</w:t>
            </w:r>
          </w:p>
          <w:p w14:paraId="6C8C4211">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b/>
                <w:bCs/>
                <w:color w:val="000000" w:themeColor="text1"/>
                <w:kern w:val="0"/>
                <w:sz w:val="18"/>
                <w:szCs w:val="18"/>
              </w:rPr>
              <w:t>（12）施工单位负责以下会议的会务工作：</w:t>
            </w:r>
            <w:r>
              <w:rPr>
                <w:rFonts w:hint="eastAsia" w:ascii="方正仿宋_GBK" w:hAnsi="方正仿宋_GBK" w:eastAsia="方正仿宋_GBK" w:cs="方正仿宋_GBK"/>
                <w:color w:val="000000" w:themeColor="text1"/>
                <w:kern w:val="0"/>
                <w:sz w:val="18"/>
                <w:szCs w:val="18"/>
              </w:rPr>
              <w:t>国家部委级、国家电网有限公司总部级组织的各项检查、各类会议，建设管理单位组织的方案审查会、专题研讨总结会、专项成果总结编写会等集中工作会，按照建设管理单位统一安排的会议地点，办理会议的施工单位按要求负责会务工作及相关费用，详见招标技术规范书。</w:t>
            </w:r>
          </w:p>
          <w:p w14:paraId="3108067E">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（13）根据发包人安排，承包人选派公司专家人员参与建设单位组织的本工程及相关专题方案审查会议、专题研究会议、重要技术研究会议、施工图审查会议、专项检查等。承包人负责专家的差旅费用。</w:t>
            </w:r>
          </w:p>
          <w:p w14:paraId="1F972339">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（14）因设备质量问题造成的安装单位返工安装、单体调试、分系统重复调试等费用，应由责任方承担，承包人与责任方单独签订补偿协议，不计入总体结算。</w:t>
            </w:r>
          </w:p>
          <w:p w14:paraId="2F126566">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kern w:val="0"/>
                <w:sz w:val="18"/>
                <w:szCs w:val="18"/>
              </w:rPr>
              <w:t>（15）完成合同文件规定的其他工作。</w:t>
            </w:r>
          </w:p>
        </w:tc>
      </w:tr>
      <w:tr w14:paraId="43C5490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2D1AC02">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52066CA7">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专用条款</w:t>
            </w:r>
          </w:p>
          <w:p w14:paraId="443F4FD4">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4.1.9</w:t>
            </w:r>
          </w:p>
        </w:tc>
        <w:tc>
          <w:tcPr>
            <w:tcW w:w="3582" w:type="dxa"/>
            <w:vAlign w:val="center"/>
          </w:tcPr>
          <w:p w14:paraId="26003A8A">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4.1.9 工程的维护和照管</w:t>
            </w:r>
          </w:p>
          <w:p w14:paraId="0BFFA4A2">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修改为：</w:t>
            </w:r>
          </w:p>
          <w:p w14:paraId="1DC82A76">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工程竣工验收签证书颁发前，承包人应负责免费照管和维护工程，包括已办理领用的工程材料、待安装的设备及工程本身。工程竣工验收签证书颁发时尚有部分未竣工工程的，承包人还应负责该未竣工工程的照管和维护工作，直至竣工后移交给发包人为止。</w:t>
            </w:r>
          </w:p>
        </w:tc>
        <w:tc>
          <w:tcPr>
            <w:tcW w:w="4455" w:type="dxa"/>
            <w:vAlign w:val="center"/>
          </w:tcPr>
          <w:p w14:paraId="1355DE68">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4.1.9 工程的维护和照管</w:t>
            </w:r>
          </w:p>
          <w:p w14:paraId="6788AF99">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修改为：</w:t>
            </w:r>
          </w:p>
          <w:p w14:paraId="17A35B1E">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color w:val="000000" w:themeColor="text1"/>
                <w:sz w:val="18"/>
                <w:szCs w:val="18"/>
              </w:rPr>
              <w:t>工程竣工验收签证书颁发前，承包人应负责免费照管和维护工程，包括已办理领用的工程材料、待安装的设备及工程本身。工程竣工验收签证书颁发时尚有部分未竣工工程的，承包人还应负责该未竣工工程的照管和维护工作，直至竣工后移交给运行单位为止。</w:t>
            </w:r>
          </w:p>
        </w:tc>
      </w:tr>
      <w:tr w14:paraId="346CAEA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9AF5DC5">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2669524B">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 xml:space="preserve">专用4.1.13.1 </w:t>
            </w:r>
          </w:p>
        </w:tc>
        <w:tc>
          <w:tcPr>
            <w:tcW w:w="3582" w:type="dxa"/>
            <w:vAlign w:val="center"/>
          </w:tcPr>
          <w:p w14:paraId="0F4FA920">
            <w:pPr>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4.1.13.1 安全文明施工费必须专款专用。项目提取的安全文明施工费立足满足工程现场安全防护和环境改善需要，优先用于保证工程建设过程达到安全生产标准化要求所需的支出，承包人应按照发包人提供的安全文明施工设施标准化配置表的要求编制工程开工报验单，经监理项目部审核、业主项目部批准后，严格按上报计划实施。承包人要及时向施工项目部支付安全文明施工费用，并履行检查监督职责。对达不到安全标准化要求、安全文明施工费用不足的工程项目，施工企业应补充资金，满足安全标准化要求，超出部分由承包人自行承担。</w:t>
            </w:r>
          </w:p>
          <w:p w14:paraId="512CC460">
            <w:pPr>
              <w:widowControl/>
              <w:autoSpaceDE w:val="0"/>
              <w:adjustRightInd w:val="0"/>
              <w:snapToGrid w:val="0"/>
              <w:spacing w:line="300" w:lineRule="auto"/>
              <w:jc w:val="left"/>
              <w:textAlignment w:val="center"/>
              <w:rPr>
                <w:rFonts w:ascii="方正仿宋_GBK" w:hAnsi="方正仿宋_GBK" w:eastAsia="方正仿宋_GBK" w:cs="方正仿宋_GBK"/>
                <w:color w:val="000000" w:themeColor="text1"/>
                <w:sz w:val="18"/>
                <w:szCs w:val="18"/>
              </w:rPr>
            </w:pPr>
          </w:p>
        </w:tc>
        <w:tc>
          <w:tcPr>
            <w:tcW w:w="4455" w:type="dxa"/>
            <w:vAlign w:val="center"/>
          </w:tcPr>
          <w:p w14:paraId="376A38B4">
            <w:pPr>
              <w:widowControl/>
              <w:autoSpaceDE w:val="0"/>
              <w:adjustRightInd w:val="0"/>
              <w:snapToGrid w:val="0"/>
              <w:spacing w:line="300" w:lineRule="auto"/>
              <w:textAlignment w:val="center"/>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 xml:space="preserve">4.1.13.1 </w:t>
            </w:r>
            <w:r>
              <w:rPr>
                <w:rFonts w:hint="eastAsia" w:ascii="方正仿宋_GBK" w:hAnsi="方正仿宋_GBK" w:eastAsia="方正仿宋_GBK" w:cs="方正仿宋_GBK"/>
                <w:color w:val="000000" w:themeColor="text1"/>
                <w:kern w:val="0"/>
                <w:sz w:val="18"/>
                <w:szCs w:val="18"/>
              </w:rPr>
              <w:t>安全文明施工费必须专款专用。项目提取的安全文明施工费立足满足工程现场安全防护和环境改善需要，优先用于保证工程建设过程达到安全生产标准化要求所需的支出，承包人应按照《输变电工程建设安全文明施工规程》Q/GDW 10250-2021、国网特高压建设公司《特高压换流站安全文明施工标准化实施方案》及业主项目部编制的现场安全文明施工总体策划的要求开展安全文明施工。根据发包人提供的安全文明施工设施标准化配置表的要求编制工程开工报验单及分部工程开工报验单，经监理项目部审核、业主项目部批准后，严格按上报计划实施。承包人要及时向施工项目部支付安全文明施工费用，并履行检查监督职责。施工现场的安全文明施工设施实施后应经监理、业主单位</w:t>
            </w:r>
            <w:r>
              <w:rPr>
                <w:rFonts w:hint="eastAsia" w:ascii="方正仿宋_GBK" w:hAnsi="方正仿宋_GBK" w:eastAsia="方正仿宋_GBK" w:cs="方正仿宋_GBK"/>
                <w:snapToGrid w:val="0"/>
                <w:kern w:val="0"/>
                <w:sz w:val="18"/>
                <w:szCs w:val="18"/>
              </w:rPr>
              <w:t>验收签证</w:t>
            </w:r>
            <w:r>
              <w:rPr>
                <w:rFonts w:hint="eastAsia" w:ascii="方正仿宋_GBK" w:hAnsi="方正仿宋_GBK" w:eastAsia="方正仿宋_GBK" w:cs="方正仿宋_GBK"/>
                <w:kern w:val="0"/>
                <w:sz w:val="18"/>
                <w:szCs w:val="18"/>
              </w:rPr>
              <w:t>确认，</w:t>
            </w:r>
            <w:r>
              <w:rPr>
                <w:rFonts w:hint="eastAsia" w:ascii="方正仿宋_GBK" w:hAnsi="方正仿宋_GBK" w:eastAsia="方正仿宋_GBK" w:cs="方正仿宋_GBK"/>
                <w:snapToGrid w:val="0"/>
                <w:kern w:val="0"/>
                <w:sz w:val="18"/>
                <w:szCs w:val="18"/>
              </w:rPr>
              <w:t>安全文明施工费用支付前应提供验收签证记录和相应的票据据实结算。</w:t>
            </w:r>
            <w:r>
              <w:rPr>
                <w:rFonts w:hint="eastAsia" w:ascii="方正仿宋_GBK" w:hAnsi="方正仿宋_GBK" w:eastAsia="方正仿宋_GBK" w:cs="方正仿宋_GBK"/>
                <w:color w:val="000000" w:themeColor="text1"/>
                <w:kern w:val="0"/>
                <w:sz w:val="18"/>
                <w:szCs w:val="18"/>
              </w:rPr>
              <w:t>对达不到安全标准化要求、安全文明施工费用不足的工程项目，施工企业应补充资金，满足安全标准化要求，超出部分由承包人自行承担。</w:t>
            </w:r>
          </w:p>
        </w:tc>
      </w:tr>
      <w:tr w14:paraId="71FA642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B871F77">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7A23F1D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color w:val="000000" w:themeColor="text1"/>
                <w:sz w:val="18"/>
                <w:szCs w:val="18"/>
              </w:rPr>
              <w:t>专用条款  4.1.13.3</w:t>
            </w:r>
          </w:p>
        </w:tc>
        <w:tc>
          <w:tcPr>
            <w:tcW w:w="3582" w:type="dxa"/>
            <w:vAlign w:val="center"/>
          </w:tcPr>
          <w:p w14:paraId="4FA7734E">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4.1.13.3 保持施工场地整洁</w:t>
            </w:r>
          </w:p>
          <w:p w14:paraId="2F6CBDC9">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在施工期间，承包人应保持施工场地不出现不必要的障碍，排除雨水或污水，并应将任何承包人的装备和多余材料储存并作出妥善安排，及时拆除不再需要的临时工程，并从现场运走任何废料、垃圾。</w:t>
            </w:r>
          </w:p>
        </w:tc>
        <w:tc>
          <w:tcPr>
            <w:tcW w:w="4455" w:type="dxa"/>
            <w:vAlign w:val="center"/>
          </w:tcPr>
          <w:p w14:paraId="5E7246CD">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4.1.13.3保持施工场地整洁</w:t>
            </w:r>
          </w:p>
          <w:p w14:paraId="7BBE7BBA">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修改为：</w:t>
            </w:r>
          </w:p>
          <w:p w14:paraId="3DF293E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color w:val="000000" w:themeColor="text1"/>
                <w:sz w:val="18"/>
                <w:szCs w:val="18"/>
              </w:rPr>
              <w:t>在施工期间，承包人应每天保持施工场地整洁，排除雨水或污水，并应将任何承包人的装备和多余材料储存并作出妥善安排，及时拆除不再需要的临时工程，并从现场运走任何废料、垃圾。每月垃圾处理结果将直接纳入承包人过程考核中。</w:t>
            </w:r>
          </w:p>
        </w:tc>
      </w:tr>
      <w:tr w14:paraId="6FCBACA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2017820">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00CF21E4">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第三部分 专用条款  </w:t>
            </w:r>
          </w:p>
          <w:p w14:paraId="50E4FCB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4.1.13.11 保障农民工工资支付</w:t>
            </w:r>
          </w:p>
        </w:tc>
        <w:tc>
          <w:tcPr>
            <w:tcW w:w="3582" w:type="dxa"/>
            <w:vAlign w:val="center"/>
          </w:tcPr>
          <w:p w14:paraId="447547A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4.1.13.11 保障农民工工资支付 </w:t>
            </w:r>
          </w:p>
          <w:p w14:paraId="089DF5B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（1）承包人应当开设农民工工资款专用账户（户名：         ；账号：          ；开户银行：          ），专项用于支付本工程建设项目农民工工资，并妥善保存农民工工资专用账户开设、使用的有关资料。</w:t>
            </w:r>
          </w:p>
          <w:p w14:paraId="66B4ABF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（2）对于发包人按照合同约定拨付的人工费用，承包人应当按照保障农民工工资按时足额支付的要求专款专用。                                                                           </w:t>
            </w:r>
          </w:p>
          <w:p w14:paraId="39CD84A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（3）承包人应当按照有关规定存储工资保证金，专项用于支付为所承包工程提供劳动的农民工被拖欠的工资。 </w:t>
            </w:r>
          </w:p>
          <w:p w14:paraId="2F3D84D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4）承包人应当将农民工工资支付纳入基建工程施工实名制管理，加强支付信息实名登记、审核。工资支付实名制信息应包括工资支付对象姓名、身份证号码、社会保障卡号或工资银行卡号、工资支付周期、工资支付日期等信息，以及劳动合同或协议复印件、身份证复印件、银行卡复印件等材料。                                           </w:t>
            </w:r>
          </w:p>
          <w:p w14:paraId="2E96C26F">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5）承包人应当建立用工管理台账，并保存至工程完工且工资全部结清后至少3年；承包人、分包人应按照工资支付周期编制书面工资支付台账，并至少保存3年。书面工资支付台账应当包括单位名称、支付周期、支付日期、支付对象姓名、身份证号码、联系方式、工作时间，应发工资项目及数额、代扣、代缴、扣除项目和数额，实发工资数额，银行代发工资凭证和农民工人员签字等内容。                  </w:t>
            </w:r>
          </w:p>
          <w:p w14:paraId="6669B248">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（6）承包人应当在施工项目部醒目位置设立维权信息告示牌，并按照国家相关规定明示相关事项。        </w:t>
            </w:r>
          </w:p>
          <w:p w14:paraId="6E44AAD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7）承包人应当依法与其所招用的农民工订立劳动合同并进行用工实名登记，及时、准确、全面的录入国家电网有限公司相关管理系统，否则施工人员不得进入项目现场施工；未在进场前编制《农民工实名制工资信息报审表》或该报审表未经施工项目部、监理项目部审核通过的，施工人员不得进入项目现场施工。                                                                          </w:t>
            </w:r>
          </w:p>
          <w:p w14:paraId="39CB8E6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（8）承包人应按照前款有关劳动用工要求对分包人劳动用工实施监督管理，同时，依法推行分包人农民工工资委托承包人代发制度。</w:t>
            </w:r>
          </w:p>
          <w:p w14:paraId="606636B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①承包人依法分包的，应与分包人依法签订分包合同，并明确约定工程款计量周期、工程款进度结算管理办法以及农民工工资支付流程、规定等内容。 </w:t>
            </w:r>
          </w:p>
          <w:p w14:paraId="6CEDF08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②承包人应当在工程项目部配备劳资专管员或兼职劳资专管员，掌握施工现场用工、考勤、工资支付等情况，审核分包人编制的农民工工资支付表。</w:t>
            </w:r>
          </w:p>
          <w:p w14:paraId="2A927ACF">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③承包人根据分包人编制的工资支付表，通过农民工工资专用账户直接将工资支付到农民工本人银行账户，完成工资支付后，承包人向分包人提供代发工资银行转账凭证复印件，原件作为财务凭证附件由承包人存档保存。</w:t>
            </w:r>
          </w:p>
          <w:p w14:paraId="08ED8153">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（9）承包人与发包人、分包人因工程数量、质量、造价等产生争议的，承包人不得因争议不按照约定代发农民工工资。发生下列情形之一的，由承包人负责清偿：</w:t>
            </w:r>
          </w:p>
          <w:p w14:paraId="216D1227">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①分包人拖欠农民工工资的；</w:t>
            </w:r>
          </w:p>
          <w:p w14:paraId="20A5094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②因工程建设项目转包或违法分包拖欠农民工工资的。                              </w:t>
            </w:r>
          </w:p>
          <w:p w14:paraId="06B2412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10）承包人或其分包人所负责的工程出现拖欠农民工工资纠纷，发包人有权从未结工程款中扣减与拖欠工资对应款项，并向农民工支付。承包人认可发包人扣减工程款项的行为，该行为视为发包人已按期履行相应的工程款支付义务。</w:t>
            </w:r>
          </w:p>
          <w:p w14:paraId="269FEB63">
            <w:pPr>
              <w:widowControl/>
              <w:autoSpaceDE w:val="0"/>
              <w:adjustRightInd w:val="0"/>
              <w:snapToGrid w:val="0"/>
              <w:spacing w:line="300" w:lineRule="auto"/>
              <w:jc w:val="left"/>
              <w:textAlignment w:val="center"/>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（11）其他</w:t>
            </w:r>
            <w:permStart w:id="6" w:edGrp="everyone"/>
            <w:r>
              <w:rPr>
                <w:rFonts w:hint="eastAsia" w:ascii="方正仿宋_GBK" w:hAnsi="方正仿宋_GBK" w:eastAsia="方正仿宋_GBK" w:cs="方正仿宋_GBK"/>
                <w:sz w:val="18"/>
                <w:szCs w:val="18"/>
              </w:rPr>
              <w:t>：</w:t>
            </w:r>
            <w:permEnd w:id="6"/>
            <w:r>
              <w:rPr>
                <w:rFonts w:hint="eastAsia" w:ascii="方正仿宋_GBK" w:hAnsi="方正仿宋_GBK" w:eastAsia="方正仿宋_GBK" w:cs="方正仿宋_GBK"/>
                <w:snapToGrid w:val="0"/>
                <w:kern w:val="0"/>
                <w:sz w:val="18"/>
                <w:szCs w:val="18"/>
              </w:rPr>
              <w:t>。</w:t>
            </w:r>
          </w:p>
        </w:tc>
        <w:tc>
          <w:tcPr>
            <w:tcW w:w="4455" w:type="dxa"/>
            <w:vAlign w:val="center"/>
          </w:tcPr>
          <w:p w14:paraId="0E86919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（1）承包人应当开设农民工工资款专用账户（户名：         ；账号：          ；开户银行：          开户行联行号：），专项用于支付本工程建设项目农民工工资，并妥善保存农民工工资专用账户开设、使用的有关资料，</w:t>
            </w:r>
            <w:r>
              <w:rPr>
                <w:rFonts w:hint="eastAsia" w:ascii="方正仿宋_GBK" w:hAnsi="方正仿宋_GBK" w:eastAsia="方正仿宋_GBK" w:cs="方正仿宋_GBK"/>
                <w:kern w:val="0"/>
                <w:sz w:val="18"/>
                <w:szCs w:val="18"/>
              </w:rPr>
              <w:t>在工程竣工结算后依据签订结算书进行专用账户余款清算。如工程所在地政府对农民工工资款专用账户开设有其他要求的，以地方政府要求为准。</w:t>
            </w:r>
          </w:p>
          <w:p w14:paraId="4F6476C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2）对于发包人按照合同约定拨付的人工费用，承包人应当按照保障农民工工资按时足额支付的要求专款专用。承包人须在工程开工前分解预付款、工程开工后分解进度款中的农民工工资份额，及时向建设管理单位申请拨付。在工程非停工状态时，承包人应每月向监理人申报工程量计量，发包人审核后向承包人及农民工工资专用账户分别支付工程款和农民工工资。若承包人未按期申报计量，应在每月15日前向发包人提出书面说明，并保证农民工工资专用账户内的资金能足额满足当期农民工工资按时发放。承包人若挪用农民工工资专用账户资金造成余额不足以支付当期农民工工资的，视情节严重程度将承包人纳入不良供应商评价，产生的一切损失由承包人负责。                                                                           </w:t>
            </w:r>
          </w:p>
          <w:p w14:paraId="49B06D2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（3）承包人应当按照有关规定存储工资保证金，专项用于支付为所承包工程提供劳动的农民工被拖欠的工资。如工程所在地地方政府要求缴纳农民工工资保证金，须按照地方政府要求缴纳。</w:t>
            </w:r>
          </w:p>
          <w:p w14:paraId="362DFB90">
            <w:pPr>
              <w:pStyle w:val="2"/>
              <w:spacing w:line="240" w:lineRule="exact"/>
              <w:rPr>
                <w:rFonts w:ascii="方正仿宋_GBK" w:hAnsi="方正仿宋_GBK" w:eastAsia="方正仿宋_GBK" w:cs="方正仿宋_GBK"/>
                <w:kern w:val="2"/>
                <w:lang w:val="en-US"/>
              </w:rPr>
            </w:pPr>
            <w:r>
              <w:rPr>
                <w:rFonts w:hint="eastAsia" w:ascii="方正仿宋_GBK" w:hAnsi="方正仿宋_GBK" w:eastAsia="方正仿宋_GBK" w:cs="方正仿宋_GBK"/>
                <w:kern w:val="2"/>
                <w:lang w:val="en-US"/>
              </w:rPr>
              <w:t>（4）承包人应当将农民工工资支付纳入基建工程施工实名制管理，加强支付信息实名登记、审核。工资支付实名制信息应包括工资支付对象姓名、身份证号码、社会保障卡号或工资银行卡号、工资支付周期、工资支付日期等信息，以及劳动合同或协议复印件、身份证复印件、银行卡复印件等材料。</w:t>
            </w:r>
          </w:p>
          <w:p w14:paraId="6E9F9FB4">
            <w:pPr>
              <w:pStyle w:val="21"/>
              <w:numPr>
                <w:ilvl w:val="0"/>
                <w:numId w:val="0"/>
              </w:numPr>
              <w:spacing w:line="240" w:lineRule="exact"/>
              <w:rPr>
                <w:rFonts w:hint="default" w:ascii="方正仿宋_GBK" w:hAnsi="方正仿宋_GBK" w:eastAsia="方正仿宋_GBK" w:cs="方正仿宋_GBK"/>
                <w:sz w:val="18"/>
                <w:szCs w:val="18"/>
              </w:rPr>
            </w:pPr>
            <w:r>
              <w:rPr>
                <w:rFonts w:ascii="方正仿宋_GBK" w:hAnsi="方正仿宋_GBK" w:eastAsia="方正仿宋_GBK" w:cs="方正仿宋_GBK"/>
                <w:sz w:val="18"/>
                <w:szCs w:val="18"/>
              </w:rPr>
              <w:t>（5）承包人应当建立用工管理台账，并保存至工程完工且工资全部结清后至少3年；承包人、分包人应按照工资支付周期编制书面工资支付台账，并至少保存10年。书面工资支付台账应当包括单位名称、支付周期、支付日期、支付对象姓名、身份证号码、联系方式、工作时间，应发工资项目及数额、代扣、代缴、扣除项目和数额，实发工资数额，银行代发工资凭证和农民工人员签字等内容。</w:t>
            </w:r>
          </w:p>
          <w:p w14:paraId="7F2A2469">
            <w:pPr>
              <w:adjustRightInd w:val="0"/>
              <w:snapToGrid w:val="0"/>
              <w:spacing w:line="240" w:lineRule="exact"/>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（6）承包人应当在施工项目部醒目位置设立维权信息告示牌，并按照国家相关规定明示相关事项。        </w:t>
            </w:r>
          </w:p>
          <w:p w14:paraId="4C02FA14">
            <w:pPr>
              <w:adjustRightInd w:val="0"/>
              <w:snapToGrid w:val="0"/>
              <w:spacing w:line="240" w:lineRule="exact"/>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7）承包人应当依法与其所招用的农民工订立劳动合同并进行用工实名登记，及时、准确、全面的录入国家电网有限公司相关管理系统，否则施工人员不得进入项目现场施工；未在进场前编制《农民工实名制工资信息报审表》或该报审表未经施工项目部、监理项目部审核通过的，施工人员不得进入项目现场施工。                                                                          </w:t>
            </w:r>
          </w:p>
          <w:p w14:paraId="20C48F67">
            <w:pPr>
              <w:adjustRightInd w:val="0"/>
              <w:snapToGrid w:val="0"/>
              <w:spacing w:line="240" w:lineRule="exact"/>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（8）承包人应按照前款有关劳动用工要求对分包人劳动用工实施监督管理，同时，依法推行分包人农民工工资委托承包人代发制度。</w:t>
            </w:r>
          </w:p>
          <w:p w14:paraId="2BEB9035">
            <w:pPr>
              <w:adjustRightInd w:val="0"/>
              <w:snapToGrid w:val="0"/>
              <w:spacing w:line="240" w:lineRule="exact"/>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①承包人依法分包的，应与分包人依法签订分包合同，并明确约定工程款计量周期、工程款进度结算管理办法以及农民工工资支付流程、规定等内容。 </w:t>
            </w:r>
          </w:p>
          <w:p w14:paraId="2D625F54">
            <w:pPr>
              <w:adjustRightInd w:val="0"/>
              <w:snapToGrid w:val="0"/>
              <w:spacing w:line="240" w:lineRule="exact"/>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②承包人应当在工程项目部配备劳资专管员或兼职劳资专管员，掌握施工现场用工、考勤、工资支付等情况，审核分包人编制的农民工工资支付表。</w:t>
            </w:r>
          </w:p>
          <w:p w14:paraId="05C42987">
            <w:pPr>
              <w:adjustRightInd w:val="0"/>
              <w:snapToGrid w:val="0"/>
              <w:spacing w:line="240" w:lineRule="exact"/>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③承包人根据分包人编制的工资支付表，通过农民工工资专用账户直接将工资支付到农民工本人银行账户，完成工资支付后，承包人向分包人提供代发工资银行转账凭证复印件，原件作为财务凭证附件由承包人存档保存。</w:t>
            </w:r>
          </w:p>
          <w:p w14:paraId="401C116C">
            <w:pPr>
              <w:adjustRightInd w:val="0"/>
              <w:snapToGrid w:val="0"/>
              <w:spacing w:line="240" w:lineRule="exact"/>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（9）承包人与发包人、分包人因工程数量、质量、造价等产生争议的，承包人不得因争议不按照约定代发农民工工资。发生下列情形之一的，由承包人负责清偿：</w:t>
            </w:r>
          </w:p>
          <w:p w14:paraId="61F220C4">
            <w:pPr>
              <w:adjustRightInd w:val="0"/>
              <w:snapToGrid w:val="0"/>
              <w:spacing w:line="240" w:lineRule="exact"/>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①分包人拖欠农民工工资的；</w:t>
            </w:r>
          </w:p>
          <w:p w14:paraId="6B9AAC78">
            <w:pPr>
              <w:adjustRightInd w:val="0"/>
              <w:snapToGrid w:val="0"/>
              <w:spacing w:line="240" w:lineRule="exact"/>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②因工程建设项目转包或违法分包拖欠农民工工资的。</w:t>
            </w:r>
          </w:p>
          <w:p w14:paraId="1ABDF2FF">
            <w:pPr>
              <w:adjustRightInd w:val="0"/>
              <w:snapToGrid w:val="0"/>
              <w:spacing w:line="240" w:lineRule="exact"/>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10）承包人或其分包人所负责的工程出现拖欠农民工工资纠纷，发包人有权从未结工程款中扣减与拖欠工资对应款项，并向农民工支付。承包人认可发包人扣减工程款项的行为，该行为视为发包人已按期履行相应的工程款支付义务。</w:t>
            </w:r>
          </w:p>
          <w:p w14:paraId="31506476">
            <w:pPr>
              <w:adjustRightInd w:val="0"/>
              <w:snapToGrid w:val="0"/>
              <w:spacing w:line="240" w:lineRule="exact"/>
              <w:ind w:firstLine="360" w:firstLineChars="20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rPr>
              <w:t>（11）其他 ：</w:t>
            </w:r>
            <w:permStart w:id="7" w:edGrp="everyone"/>
            <w:permEnd w:id="7"/>
            <w:r>
              <w:rPr>
                <w:rFonts w:hint="eastAsia" w:ascii="方正仿宋_GBK" w:hAnsi="方正仿宋_GBK" w:eastAsia="方正仿宋_GBK" w:cs="方正仿宋_GBK"/>
                <w:sz w:val="18"/>
                <w:szCs w:val="18"/>
                <w:u w:val="single"/>
              </w:rPr>
              <w:t>。</w:t>
            </w:r>
          </w:p>
          <w:p w14:paraId="7787A8D5">
            <w:pPr>
              <w:widowControl/>
              <w:autoSpaceDE w:val="0"/>
              <w:adjustRightInd w:val="0"/>
              <w:snapToGrid w:val="0"/>
              <w:spacing w:line="300" w:lineRule="auto"/>
              <w:textAlignment w:val="center"/>
              <w:rPr>
                <w:rFonts w:ascii="方正仿宋_GBK" w:hAnsi="方正仿宋_GBK" w:eastAsia="方正仿宋_GBK" w:cs="方正仿宋_GBK"/>
                <w:sz w:val="18"/>
                <w:szCs w:val="18"/>
              </w:rPr>
            </w:pPr>
          </w:p>
        </w:tc>
      </w:tr>
      <w:tr w14:paraId="617C479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B0E04AF">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2A53B917">
            <w:pPr>
              <w:widowControl/>
              <w:adjustRightInd w:val="0"/>
              <w:snapToGrid w:val="0"/>
              <w:rPr>
                <w:rFonts w:ascii="方正仿宋_GBK" w:hAnsi="方正仿宋_GBK" w:eastAsia="方正仿宋_GBK" w:cs="方正仿宋_GBK"/>
                <w:kern w:val="0"/>
                <w:sz w:val="18"/>
                <w:szCs w:val="18"/>
              </w:rPr>
            </w:pPr>
            <w:r>
              <w:rPr>
                <w:rFonts w:hint="eastAsia" w:ascii="方正仿宋_GBK" w:hAnsi="方正仿宋_GBK" w:eastAsia="方正仿宋_GBK" w:cs="方正仿宋_GBK"/>
                <w:kern w:val="0"/>
                <w:sz w:val="18"/>
                <w:szCs w:val="18"/>
              </w:rPr>
              <w:t>专用4.1.13.14 其他义务</w:t>
            </w:r>
          </w:p>
          <w:p w14:paraId="7FC50DAC">
            <w:pPr>
              <w:widowControl/>
              <w:adjustRightInd w:val="0"/>
              <w:snapToGrid w:val="0"/>
              <w:rPr>
                <w:rFonts w:ascii="方正仿宋_GBK" w:hAnsi="方正仿宋_GBK" w:eastAsia="方正仿宋_GBK" w:cs="方正仿宋_GBK"/>
                <w:kern w:val="0"/>
                <w:sz w:val="18"/>
                <w:szCs w:val="18"/>
              </w:rPr>
            </w:pPr>
            <w:permStart w:id="8" w:edGrp="everyone"/>
            <w:permEnd w:id="8"/>
            <w:r>
              <w:rPr>
                <w:rFonts w:hint="eastAsia" w:ascii="方正仿宋_GBK" w:hAnsi="方正仿宋_GBK" w:eastAsia="方正仿宋_GBK" w:cs="方正仿宋_GBK"/>
                <w:kern w:val="0"/>
                <w:sz w:val="18"/>
                <w:szCs w:val="18"/>
              </w:rPr>
              <w:t>。</w:t>
            </w:r>
          </w:p>
          <w:p w14:paraId="7E0C3C9B">
            <w:pPr>
              <w:widowControl/>
              <w:adjustRightInd w:val="0"/>
              <w:snapToGrid w:val="0"/>
              <w:rPr>
                <w:rFonts w:ascii="方正仿宋_GBK" w:hAnsi="方正仿宋_GBK" w:eastAsia="方正仿宋_GBK" w:cs="方正仿宋_GBK"/>
                <w:sz w:val="18"/>
                <w:szCs w:val="18"/>
              </w:rPr>
            </w:pPr>
          </w:p>
        </w:tc>
        <w:tc>
          <w:tcPr>
            <w:tcW w:w="3582" w:type="dxa"/>
            <w:vAlign w:val="center"/>
          </w:tcPr>
          <w:p w14:paraId="249F1031">
            <w:pPr>
              <w:widowControl/>
              <w:autoSpaceDE w:val="0"/>
              <w:adjustRightInd w:val="0"/>
              <w:snapToGrid w:val="0"/>
              <w:spacing w:line="300" w:lineRule="auto"/>
              <w:jc w:val="left"/>
              <w:textAlignment w:val="center"/>
              <w:rPr>
                <w:rFonts w:ascii="方正仿宋_GBK" w:hAnsi="方正仿宋_GBK" w:eastAsia="方正仿宋_GBK" w:cs="方正仿宋_GBK"/>
                <w:color w:val="000000" w:themeColor="text1"/>
                <w:sz w:val="18"/>
                <w:szCs w:val="18"/>
              </w:rPr>
            </w:pPr>
          </w:p>
        </w:tc>
        <w:tc>
          <w:tcPr>
            <w:tcW w:w="4455" w:type="dxa"/>
            <w:vAlign w:val="center"/>
          </w:tcPr>
          <w:p w14:paraId="76D2ED80">
            <w:pPr>
              <w:pStyle w:val="2"/>
              <w:rPr>
                <w:rStyle w:val="51"/>
                <w:rFonts w:hint="default"/>
                <w:color w:val="auto"/>
                <w:kern w:val="2"/>
                <w:sz w:val="18"/>
                <w:szCs w:val="18"/>
                <w:lang w:val="en-US"/>
              </w:rPr>
            </w:pPr>
            <w:r>
              <w:rPr>
                <w:rFonts w:hint="eastAsia" w:ascii="方正仿宋_GBK" w:hAnsi="方正仿宋_GBK" w:eastAsia="方正仿宋_GBK" w:cs="方正仿宋_GBK"/>
                <w:lang w:val="en-US"/>
              </w:rPr>
              <w:t>承包人应按照现场环保水保监理机构要求，按照</w:t>
            </w:r>
            <w:r>
              <w:rPr>
                <w:rStyle w:val="51"/>
                <w:rFonts w:hint="default"/>
                <w:color w:val="auto"/>
                <w:kern w:val="2"/>
                <w:sz w:val="18"/>
                <w:szCs w:val="18"/>
                <w:lang w:val="en-US"/>
              </w:rPr>
              <w:t>《水土保持监理规范》SL/T 523-2024</w:t>
            </w:r>
            <w:r>
              <w:rPr>
                <w:rStyle w:val="52"/>
                <w:rFonts w:hint="default"/>
                <w:color w:val="auto"/>
                <w:kern w:val="2"/>
                <w:sz w:val="18"/>
                <w:szCs w:val="18"/>
                <w:lang w:val="en-US"/>
              </w:rPr>
              <w:t>、</w:t>
            </w:r>
            <w:r>
              <w:rPr>
                <w:rStyle w:val="51"/>
                <w:rFonts w:hint="default"/>
                <w:color w:val="auto"/>
                <w:kern w:val="2"/>
                <w:sz w:val="18"/>
                <w:szCs w:val="18"/>
                <w:lang w:val="en-US"/>
              </w:rPr>
              <w:t>《开发建设项目水土保持设施验收技术规程》GB/T22490-2016</w:t>
            </w:r>
            <w:r>
              <w:rPr>
                <w:rStyle w:val="52"/>
                <w:rFonts w:hint="default"/>
                <w:color w:val="auto"/>
                <w:kern w:val="2"/>
                <w:sz w:val="18"/>
                <w:szCs w:val="18"/>
                <w:lang w:val="en-US"/>
              </w:rPr>
              <w:t>、《国家电网公司输变电工程环境监理规范》等标准实施，落实相应工程环保、水保措施。</w:t>
            </w:r>
            <w:r>
              <w:rPr>
                <w:rStyle w:val="51"/>
                <w:rFonts w:hint="default"/>
                <w:color w:val="auto"/>
                <w:kern w:val="2"/>
                <w:sz w:val="18"/>
                <w:szCs w:val="18"/>
                <w:lang w:val="en-US"/>
              </w:rPr>
              <w:t>其中工程涉及的环保临时措施、水保临时措施纳入安全文明施工费专款专用，特殊临时措施另行计量。</w:t>
            </w:r>
          </w:p>
          <w:p w14:paraId="563DF73E">
            <w:pPr>
              <w:pStyle w:val="2"/>
              <w:rPr>
                <w:rStyle w:val="52"/>
                <w:rFonts w:hint="default"/>
                <w:color w:val="auto"/>
                <w:kern w:val="2"/>
                <w:sz w:val="18"/>
                <w:szCs w:val="18"/>
                <w:lang w:val="en-US"/>
              </w:rPr>
            </w:pPr>
            <w:r>
              <w:rPr>
                <w:rStyle w:val="52"/>
                <w:rFonts w:hint="default"/>
                <w:color w:val="auto"/>
                <w:kern w:val="2"/>
                <w:sz w:val="18"/>
                <w:szCs w:val="18"/>
                <w:lang w:val="en-US"/>
              </w:rPr>
              <w:t>各施工承包人应严格落实《国务院办公厅转发国家发改委关于在重点工程项目中大力实施以工代赈 促进当地群众就业增收工作方案的通知》（国办函〔2022〕58号）、《国家发展改革委等部门关于印发2022年度适用以工代振的国家重点工程项目清单的通知》（发改振兴〔2022〕1563号）等有关以工代赈的要求，做好以工代赈工作，充分吸纳带动更多项目所在地群众实现就近就业增收；同时，充分吸纳中西部欠发达地区农民工参与工程项目建设。重点包括不限于：</w:t>
            </w:r>
          </w:p>
          <w:p w14:paraId="6848A1C4">
            <w:pPr>
              <w:pStyle w:val="2"/>
              <w:rPr>
                <w:rStyle w:val="52"/>
                <w:rFonts w:hint="default"/>
                <w:color w:val="auto"/>
                <w:kern w:val="2"/>
                <w:sz w:val="18"/>
                <w:szCs w:val="18"/>
                <w:lang w:val="en-US"/>
              </w:rPr>
            </w:pPr>
            <w:r>
              <w:rPr>
                <w:rStyle w:val="52"/>
                <w:rFonts w:hint="default"/>
                <w:color w:val="auto"/>
                <w:kern w:val="2"/>
                <w:sz w:val="18"/>
                <w:szCs w:val="18"/>
                <w:lang w:val="en-US"/>
              </w:rPr>
              <w:t>1.及时掌握属地政府和上级单位有关要求，尽量扩充以工代赈就业岗位，合理确定以工代赈劳务报酬标准，尽可能增加劳务报酬发放规模。</w:t>
            </w:r>
          </w:p>
          <w:p w14:paraId="7A7480BA">
            <w:pPr>
              <w:pStyle w:val="2"/>
              <w:rPr>
                <w:rStyle w:val="52"/>
                <w:rFonts w:hint="default"/>
                <w:color w:val="auto"/>
                <w:kern w:val="2"/>
                <w:sz w:val="18"/>
                <w:szCs w:val="18"/>
                <w:lang w:val="en-US"/>
              </w:rPr>
            </w:pPr>
            <w:r>
              <w:rPr>
                <w:rStyle w:val="52"/>
                <w:rFonts w:hint="default"/>
                <w:color w:val="auto"/>
                <w:kern w:val="2"/>
                <w:sz w:val="18"/>
                <w:szCs w:val="18"/>
                <w:lang w:val="en-US"/>
              </w:rPr>
              <w:t>2.及时与项目所在地县政府充分沟通，按照当地政府要求，充分利用项目施工场地机械设备等，开展劳动技能培训和安全生产培训。组织工程项目有针对性地开展劳动技能培训和安全生产培训，培养熟练劳动力。</w:t>
            </w:r>
          </w:p>
          <w:p w14:paraId="25725FF9">
            <w:pPr>
              <w:pStyle w:val="2"/>
              <w:rPr>
                <w:rStyle w:val="52"/>
                <w:rFonts w:hint="default"/>
                <w:color w:val="auto"/>
                <w:kern w:val="2"/>
                <w:sz w:val="18"/>
                <w:szCs w:val="18"/>
                <w:lang w:val="en-US"/>
              </w:rPr>
            </w:pPr>
            <w:r>
              <w:rPr>
                <w:rStyle w:val="52"/>
                <w:rFonts w:hint="default"/>
                <w:color w:val="auto"/>
                <w:kern w:val="2"/>
                <w:sz w:val="18"/>
                <w:szCs w:val="18"/>
                <w:lang w:val="en-US"/>
              </w:rPr>
              <w:t>3.规范用工名册和劳务报酬发放台账，经务工人员签字确认后，原则上将劳务报酬通过银行卡发放至本人，并将劳务报酬发放台账送县级相关部门备案。坚决杜绝劳务报酬发放过程中拖欠克扣、弄虚作假等行为。</w:t>
            </w:r>
          </w:p>
          <w:p w14:paraId="72B8861C">
            <w:pPr>
              <w:pStyle w:val="2"/>
              <w:rPr>
                <w:rFonts w:ascii="方正仿宋_GBK" w:hAnsi="方正仿宋_GBK" w:eastAsia="方正仿宋_GBK" w:cs="方正仿宋_GBK"/>
              </w:rPr>
            </w:pPr>
            <w:r>
              <w:rPr>
                <w:rStyle w:val="52"/>
                <w:rFonts w:hint="default"/>
                <w:color w:val="auto"/>
                <w:kern w:val="2"/>
                <w:sz w:val="18"/>
                <w:szCs w:val="18"/>
                <w:lang w:val="en-US"/>
              </w:rPr>
              <w:t>做好以工代赈策划、执行、统计、自评价工作，积极配合竣工验收评价等工作。</w:t>
            </w:r>
          </w:p>
        </w:tc>
      </w:tr>
      <w:tr w14:paraId="5C06C0D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A3A1917">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1A7767FA">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6ABDD502">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4.2.1</w:t>
            </w:r>
          </w:p>
        </w:tc>
        <w:tc>
          <w:tcPr>
            <w:tcW w:w="3582" w:type="dxa"/>
            <w:vAlign w:val="center"/>
          </w:tcPr>
          <w:p w14:paraId="545178EB">
            <w:pPr>
              <w:autoSpaceDE w:val="0"/>
              <w:autoSpaceDN w:val="0"/>
              <w:adjustRightInd w:val="0"/>
              <w:snapToGrid w:val="0"/>
              <w:ind w:right="-16"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4.2.1 为适当履行合同，承包人应按合同约定时间向发包人提供履约担保，该履约担保应为中国注册的具有担保经营业务资格的银行或有关金融机构开具的履约保函或向具有建设工程类保证保险经营业务资格的保险公司投保工程履约保证保险，数额按照下列约定。承包人向发包人提供履约保函或工程履约保证保险时，应通知监理人。承包人提供履约保函的，应符合招标文件规定或本合同约定的格式。承包人投保工程履约保证保险的，保险公司相关建设工程履约保证保险产品应经银行保险监管部门审批或备案。因执行本条款所发生的费用由承包人承担。</w:t>
            </w:r>
          </w:p>
          <w:p w14:paraId="74B848B3">
            <w:pPr>
              <w:autoSpaceDE w:val="0"/>
              <w:autoSpaceDN w:val="0"/>
              <w:adjustRightInd w:val="0"/>
              <w:snapToGrid w:val="0"/>
              <w:ind w:right="-16"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承包人应按以下时间、数额向发包人提供履约担保：</w:t>
            </w:r>
          </w:p>
          <w:p w14:paraId="14E55131">
            <w:pPr>
              <w:autoSpaceDE w:val="0"/>
              <w:autoSpaceDN w:val="0"/>
              <w:adjustRightInd w:val="0"/>
              <w:snapToGrid w:val="0"/>
              <w:ind w:right="-16"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（1）时间：合同签订后5个工作日内。</w:t>
            </w:r>
          </w:p>
          <w:p w14:paraId="2A2E550E">
            <w:pPr>
              <w:autoSpaceDE w:val="0"/>
              <w:autoSpaceDN w:val="0"/>
              <w:adjustRightInd w:val="0"/>
              <w:snapToGrid w:val="0"/>
              <w:ind w:right="-16"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（2）数额：签约合同价的5%。</w:t>
            </w:r>
          </w:p>
          <w:p w14:paraId="090FC312">
            <w:pPr>
              <w:adjustRightInd w:val="0"/>
              <w:snapToGrid w:val="0"/>
              <w:rPr>
                <w:rFonts w:ascii="方正仿宋_GBK" w:hAnsi="方正仿宋_GBK" w:eastAsia="方正仿宋_GBK" w:cs="方正仿宋_GBK"/>
                <w:color w:val="000000" w:themeColor="text1"/>
                <w:sz w:val="18"/>
                <w:szCs w:val="18"/>
              </w:rPr>
            </w:pPr>
          </w:p>
        </w:tc>
        <w:tc>
          <w:tcPr>
            <w:tcW w:w="4455" w:type="dxa"/>
          </w:tcPr>
          <w:p w14:paraId="41D7C7EC">
            <w:pPr>
              <w:autoSpaceDE w:val="0"/>
              <w:autoSpaceDN w:val="0"/>
              <w:adjustRightInd w:val="0"/>
              <w:snapToGrid w:val="0"/>
              <w:ind w:right="-16"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4.2.1 为适当履行合同，承包人应按合同约定时间向发包人提供履约担保，该履约担保应为中国注册的具有担保经营业务资格的银行或有关金融机构开具的履约保函或向具有建设工程类保证保险经营业务资格的保险公司投保工程履约保证保险，数额按照下列约定。承包人向发包人提供履约保函或工程履约保证保险时，应通知监理人。承包人提供履约保函的，应符合招标文件规定或本合同约定的格式。承包人投保工程履约保证保险的，保险公司相关建设工程履约保证保险产品应经银行保险监管部门审批或备案。因执行本条款所发生的费用由承包人承担。</w:t>
            </w:r>
          </w:p>
          <w:p w14:paraId="4106BF39">
            <w:pPr>
              <w:autoSpaceDE w:val="0"/>
              <w:autoSpaceDN w:val="0"/>
              <w:adjustRightInd w:val="0"/>
              <w:snapToGrid w:val="0"/>
              <w:ind w:right="-16"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承包人应按以下时间、数额向发包人提供履约担保：</w:t>
            </w:r>
          </w:p>
          <w:p w14:paraId="5B16F4F1">
            <w:pPr>
              <w:autoSpaceDE w:val="0"/>
              <w:autoSpaceDN w:val="0"/>
              <w:adjustRightInd w:val="0"/>
              <w:snapToGrid w:val="0"/>
              <w:ind w:right="-16" w:firstLine="360" w:firstLineChars="20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（1）时间：</w:t>
            </w:r>
            <w:r>
              <w:rPr>
                <w:rFonts w:hint="eastAsia" w:ascii="方正仿宋_GBK" w:hAnsi="方正仿宋_GBK" w:eastAsia="方正仿宋_GBK" w:cs="方正仿宋_GBK"/>
                <w:sz w:val="18"/>
                <w:szCs w:val="18"/>
                <w:u w:val="single"/>
              </w:rPr>
              <w:t>合同签订后1个月内。</w:t>
            </w:r>
          </w:p>
          <w:p w14:paraId="7B3550FF">
            <w:pPr>
              <w:autoSpaceDE w:val="0"/>
              <w:autoSpaceDN w:val="0"/>
              <w:adjustRightInd w:val="0"/>
              <w:snapToGrid w:val="0"/>
              <w:ind w:right="-16" w:firstLine="360" w:firstLineChars="20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（2）数额：签约合同价的5%。</w:t>
            </w:r>
          </w:p>
        </w:tc>
      </w:tr>
      <w:tr w14:paraId="4B86C6D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4216A0A">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55AFA7A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3B076E31">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4.3.1 （补充）</w:t>
            </w:r>
          </w:p>
        </w:tc>
        <w:tc>
          <w:tcPr>
            <w:tcW w:w="3582" w:type="dxa"/>
            <w:vAlign w:val="center"/>
          </w:tcPr>
          <w:p w14:paraId="3907FF98">
            <w:pPr>
              <w:autoSpaceDE w:val="0"/>
              <w:autoSpaceDN w:val="0"/>
              <w:adjustRightInd w:val="0"/>
              <w:snapToGrid w:val="0"/>
              <w:ind w:right="-16"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4.3.1 （补充）：</w:t>
            </w:r>
          </w:p>
          <w:p w14:paraId="453F577C">
            <w:pPr>
              <w:autoSpaceDE w:val="0"/>
              <w:autoSpaceDN w:val="0"/>
              <w:adjustRightInd w:val="0"/>
              <w:snapToGrid w:val="0"/>
              <w:ind w:firstLine="360" w:firstLineChars="20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承包人可以根据工程实际，按照国家和国家电网有限公司有关规定允许范围进行分包。承包人的分包应严格执行投标文件中承诺及下列约定。</w:t>
            </w:r>
          </w:p>
          <w:p w14:paraId="64A69019">
            <w:pPr>
              <w:autoSpaceDE w:val="0"/>
              <w:autoSpaceDN w:val="0"/>
              <w:adjustRightInd w:val="0"/>
              <w:snapToGrid w:val="0"/>
              <w:ind w:firstLine="360" w:firstLineChars="20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承包人的分包应遵守国家电网有限公司电网建设工程施工分包管理相关规定、国家电网有限公司施工分包安全管理相关规定及国家电网有限公司其他相关规定。具体要求如下：</w:t>
            </w:r>
          </w:p>
          <w:p w14:paraId="35350E8C">
            <w:pPr>
              <w:autoSpaceDE w:val="0"/>
              <w:autoSpaceDN w:val="0"/>
              <w:adjustRightInd w:val="0"/>
              <w:snapToGrid w:val="0"/>
              <w:ind w:firstLine="360" w:firstLineChars="20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工程建设全过程，执行国家电网有限公司输变电工程施工分包管理相关规定以及国家电网有限公司现行相关规定要求，承包人可实施工程分包许可范围，在开工前必须先提出具体分包项目，在施工前按照国家电网有限公司建设工程安全分包协议范本与分包商签订安全协议。</w:t>
            </w:r>
          </w:p>
          <w:p w14:paraId="6AC59361">
            <w:pPr>
              <w:autoSpaceDE w:val="0"/>
              <w:autoSpaceDN w:val="0"/>
              <w:adjustRightInd w:val="0"/>
              <w:snapToGrid w:val="0"/>
              <w:ind w:firstLine="360" w:firstLineChars="20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工程建设过程中，按照国家电网有限公司输变电工程施工分包安全管理办法与国家电网有限公司关于“深化基建队伍改革、强化施工安全管理”有关配套政策的通知要求执行，发包人负责审查分包项目负责人资质情况，对承包人的工程分包出具评价意见。对于线路工程的组塔、架线劳务分包作业，承包人应采用核心劳务分包队伍。</w:t>
            </w:r>
          </w:p>
          <w:p w14:paraId="27404242">
            <w:pPr>
              <w:adjustRightInd w:val="0"/>
              <w:snapToGrid w:val="0"/>
              <w:rPr>
                <w:rFonts w:ascii="方正仿宋_GBK" w:hAnsi="方正仿宋_GBK" w:eastAsia="方正仿宋_GBK" w:cs="方正仿宋_GBK"/>
                <w:color w:val="000000" w:themeColor="text1"/>
                <w:sz w:val="18"/>
                <w:szCs w:val="18"/>
              </w:rPr>
            </w:pPr>
          </w:p>
        </w:tc>
        <w:tc>
          <w:tcPr>
            <w:tcW w:w="4455" w:type="dxa"/>
            <w:vAlign w:val="center"/>
          </w:tcPr>
          <w:p w14:paraId="03751F4F">
            <w:pPr>
              <w:autoSpaceDE w:val="0"/>
              <w:autoSpaceDN w:val="0"/>
              <w:adjustRightInd w:val="0"/>
              <w:snapToGrid w:val="0"/>
              <w:ind w:right="-16"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4.3.1 （补充）修改为：承包人可以根据工程实际，按照国家和国家电网有限公司有关规定允许范围进行分包。承包人的分包应严格执行投标文件中承诺及下列约定。</w:t>
            </w:r>
          </w:p>
          <w:p w14:paraId="5DE164B9">
            <w:pPr>
              <w:autoSpaceDE w:val="0"/>
              <w:autoSpaceDN w:val="0"/>
              <w:adjustRightInd w:val="0"/>
              <w:snapToGrid w:val="0"/>
              <w:ind w:right="-16"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承包人的分包应遵守国家电网有限公司业务外包安全监督管理办法、国家相关法律法规、国家电网有限公司有关制度规定。具体要求如下：</w:t>
            </w:r>
          </w:p>
          <w:p w14:paraId="71D6FA24">
            <w:pPr>
              <w:autoSpaceDE w:val="0"/>
              <w:autoSpaceDN w:val="0"/>
              <w:adjustRightInd w:val="0"/>
              <w:snapToGrid w:val="0"/>
              <w:ind w:right="-16" w:firstLine="360" w:firstLineChars="200"/>
              <w:jc w:val="left"/>
              <w:rPr>
                <w:rFonts w:ascii="方正仿宋_GBK" w:hAnsi="方正仿宋_GBK" w:eastAsia="方正仿宋_GBK" w:cs="方正仿宋_GBK"/>
                <w:sz w:val="18"/>
                <w:szCs w:val="18"/>
              </w:rPr>
            </w:pPr>
            <w:r>
              <w:rPr>
                <w:rFonts w:hint="eastAsia" w:ascii="方正仿宋_GBK" w:hAnsi="方正仿宋_GBK" w:eastAsia="方正仿宋_GBK" w:cs="方正仿宋_GBK"/>
                <w:snapToGrid w:val="0"/>
                <w:kern w:val="0"/>
                <w:sz w:val="18"/>
                <w:szCs w:val="18"/>
              </w:rPr>
              <w:t>（1）工程建设全过程，执行</w:t>
            </w:r>
            <w:r>
              <w:rPr>
                <w:rFonts w:hint="eastAsia" w:ascii="方正仿宋_GBK" w:hAnsi="方正仿宋_GBK" w:eastAsia="方正仿宋_GBK" w:cs="方正仿宋_GBK"/>
                <w:sz w:val="18"/>
                <w:szCs w:val="18"/>
              </w:rPr>
              <w:t>国家电网有限公司输变电工程施工分包管理</w:t>
            </w:r>
            <w:r>
              <w:rPr>
                <w:rFonts w:hint="eastAsia" w:ascii="方正仿宋_GBK" w:hAnsi="方正仿宋_GBK" w:eastAsia="方正仿宋_GBK" w:cs="方正仿宋_GBK"/>
                <w:snapToGrid w:val="0"/>
                <w:kern w:val="0"/>
                <w:sz w:val="18"/>
                <w:szCs w:val="18"/>
              </w:rPr>
              <w:t>相关规定</w:t>
            </w:r>
            <w:r>
              <w:rPr>
                <w:rFonts w:hint="eastAsia" w:ascii="方正仿宋_GBK" w:hAnsi="方正仿宋_GBK" w:eastAsia="方正仿宋_GBK" w:cs="方正仿宋_GBK"/>
                <w:sz w:val="18"/>
                <w:szCs w:val="18"/>
              </w:rPr>
              <w:t>以及国家电网有限公司现行相关规定要求，承包人可实施工程分包许可范围，在投标时必须先提出具体分包项目，在合同谈判时提出潜在的分包队伍名单，在施工前按照国家电网有限公司建设工程安全分包协议范本与分包商签订安全协议。</w:t>
            </w:r>
          </w:p>
          <w:p w14:paraId="3B87BDD1">
            <w:pPr>
              <w:autoSpaceDE w:val="0"/>
              <w:autoSpaceDN w:val="0"/>
              <w:adjustRightInd w:val="0"/>
              <w:snapToGrid w:val="0"/>
              <w:ind w:firstLine="360" w:firstLineChars="20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工程建设过程中，按照《国家电网有限公司输变电工程建设安全管理规定》与国家电网有限公司关于“深化基建队伍改革、强化施工安全管理”有关配套政策的通知要求执行，业主项目部及监理项目部负责审查经承包人严格审查后的分包单位及主要负责人资质情况。</w:t>
            </w:r>
          </w:p>
          <w:p w14:paraId="29B86FC7">
            <w:pPr>
              <w:autoSpaceDE w:val="0"/>
              <w:autoSpaceDN w:val="0"/>
              <w:adjustRightInd w:val="0"/>
              <w:snapToGrid w:val="0"/>
              <w:ind w:firstLine="360" w:firstLineChars="20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（3）承包人不得将由一个分包人完成的建设工程支解成若干部分，发包给数个分包人，否则分包无效。</w:t>
            </w:r>
          </w:p>
          <w:p w14:paraId="59CB7075">
            <w:pPr>
              <w:autoSpaceDE w:val="0"/>
              <w:autoSpaceDN w:val="0"/>
              <w:adjustRightInd w:val="0"/>
              <w:snapToGrid w:val="0"/>
              <w:ind w:firstLine="360" w:firstLineChars="20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4）投标文件承诺的施工分包计划作为合同组成部分列入合同附件3：施工分包计划。承包人应严格执行投标文件承诺的施工分包计划，承包人拟对分包计划外的工程开展施工分包时，须经发包人书面同意，否则，承包人不得实施分包。</w:t>
            </w:r>
          </w:p>
        </w:tc>
      </w:tr>
      <w:tr w14:paraId="02B7850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BE9B7D6">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41CC5BE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42ED1534">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4.3.2</w:t>
            </w:r>
          </w:p>
        </w:tc>
        <w:tc>
          <w:tcPr>
            <w:tcW w:w="3582" w:type="dxa"/>
            <w:vAlign w:val="center"/>
          </w:tcPr>
          <w:p w14:paraId="1D22961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4.3.2 修改为：</w:t>
            </w:r>
          </w:p>
          <w:p w14:paraId="64D988A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承包人不得将工程主体、关键性工作专业分包给第三人。除合同另有约定外，未经发包人同意，承包人不得将工程的其他部分或工作专业分包给第三人。除劳务分包外，下列工程不得专业分包：</w:t>
            </w:r>
          </w:p>
          <w:p w14:paraId="5FB7CB2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（1）变电（包括换流站、开关站）工程的构支架组立和一次、二次等电气设备安装工程。</w:t>
            </w:r>
          </w:p>
          <w:p w14:paraId="469EAF8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（2）送电线路（包括直流换流站的接地极线路）工程的组塔、架线和附件安装。</w:t>
            </w:r>
          </w:p>
          <w:p w14:paraId="3C7C22B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（3）电缆线路工程的电缆安装（含敷设、连接）。</w:t>
            </w:r>
          </w:p>
          <w:p w14:paraId="507DE934">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承包人应严格执行投标文件承诺的施工分包计划（见附件3），承包人拟对分包计划外的工程开展施工分包时，须经发包人同意，否则，承包人不得实施分包。</w:t>
            </w:r>
          </w:p>
        </w:tc>
        <w:tc>
          <w:tcPr>
            <w:tcW w:w="4455" w:type="dxa"/>
            <w:vAlign w:val="center"/>
          </w:tcPr>
          <w:p w14:paraId="664C2F6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4.3.2 修改为：</w:t>
            </w:r>
          </w:p>
          <w:p w14:paraId="01AD53B2">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不得将工程主体、关键性工作专业分包给第三人。除合同另有约定外，未经发包人同意，承包人不得将工程的其他部分或工作专业分包给第三人。除劳务分包及国家法律法规允许的专业分包外，下列工程不得专业分包：</w:t>
            </w:r>
          </w:p>
          <w:p w14:paraId="4B9B203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（1）变电（包括换流站、开关站）工程的工程主体结构（钢结构工程除外）、设备基础、构支架组立和一次、二次等电气设备安装工程。</w:t>
            </w:r>
          </w:p>
          <w:p w14:paraId="43521E0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（2）送电线路（包括直流换流站的接地极线路）工程的组塔、架线和附件安装。</w:t>
            </w:r>
          </w:p>
          <w:p w14:paraId="509860B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（3）电缆线路工程的电缆安装（含敷设、连接）。</w:t>
            </w:r>
          </w:p>
          <w:p w14:paraId="69656ED5">
            <w:pPr>
              <w:autoSpaceDE w:val="0"/>
              <w:autoSpaceDN w:val="0"/>
              <w:adjustRightInd w:val="0"/>
              <w:snapToGrid w:val="0"/>
              <w:ind w:firstLine="360" w:firstLineChars="20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承包人应严格执行投标文件承诺的施工分包计划（见附件3），承包人拟对分包计划外的工程开展施工分包时，须经发包人同意，否则，承包人不得实施分包。</w:t>
            </w:r>
          </w:p>
        </w:tc>
      </w:tr>
      <w:tr w14:paraId="261B43D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4DC1363">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15C9A26B">
            <w:pPr>
              <w:widowControl/>
              <w:adjustRightInd w:val="0"/>
              <w:snapToGrid w:val="0"/>
              <w:jc w:val="center"/>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专用条款</w:t>
            </w:r>
          </w:p>
          <w:p w14:paraId="55D2E4CD">
            <w:pPr>
              <w:widowControl/>
              <w:adjustRightInd w:val="0"/>
              <w:snapToGrid w:val="0"/>
              <w:jc w:val="center"/>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color w:val="000000"/>
                <w:kern w:val="0"/>
                <w:sz w:val="18"/>
                <w:szCs w:val="18"/>
              </w:rPr>
              <w:t>4.3.3</w:t>
            </w:r>
          </w:p>
        </w:tc>
        <w:tc>
          <w:tcPr>
            <w:tcW w:w="3582" w:type="dxa"/>
            <w:vAlign w:val="center"/>
          </w:tcPr>
          <w:p w14:paraId="4EA8E454">
            <w:pPr>
              <w:snapToGrid w:val="0"/>
              <w:rPr>
                <w:rFonts w:ascii="方正仿宋_GBK" w:hAnsi="方正仿宋_GBK" w:eastAsia="方正仿宋_GBK" w:cs="方正仿宋_GBK"/>
                <w:color w:val="000000"/>
                <w:kern w:val="0"/>
                <w:sz w:val="18"/>
                <w:szCs w:val="18"/>
              </w:rPr>
            </w:pPr>
            <w:r>
              <w:rPr>
                <w:rFonts w:hint="eastAsia" w:ascii="方正仿宋_GBK" w:hAnsi="方正仿宋_GBK" w:eastAsia="方正仿宋_GBK" w:cs="方正仿宋_GBK"/>
                <w:color w:val="000000"/>
                <w:kern w:val="0"/>
                <w:sz w:val="18"/>
                <w:szCs w:val="18"/>
              </w:rPr>
              <w:t>其他要求：</w:t>
            </w:r>
          </w:p>
          <w:p w14:paraId="18482FEE">
            <w:pPr>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kern w:val="0"/>
                <w:sz w:val="18"/>
                <w:szCs w:val="18"/>
              </w:rPr>
              <w:t>从事输变电工程安装作业的分包商须同时取得国家电力监管部门颁发的《承装（修、试）电力设施许可证》相应的许可资质。</w:t>
            </w:r>
          </w:p>
        </w:tc>
        <w:tc>
          <w:tcPr>
            <w:tcW w:w="4455" w:type="dxa"/>
            <w:vAlign w:val="center"/>
          </w:tcPr>
          <w:p w14:paraId="69CC8BA3">
            <w:pPr>
              <w:spacing w:line="320" w:lineRule="exact"/>
              <w:rPr>
                <w:rFonts w:ascii="方正仿宋_GBK" w:hAnsi="方正仿宋_GBK" w:eastAsia="方正仿宋_GBK" w:cs="方正仿宋_GBK"/>
                <w:sz w:val="18"/>
                <w:szCs w:val="18"/>
              </w:rPr>
            </w:pPr>
            <w:r>
              <w:rPr>
                <w:rFonts w:hint="eastAsia" w:ascii="方正仿宋_GBK" w:hAnsi="方正仿宋_GBK" w:eastAsia="方正仿宋_GBK" w:cs="方正仿宋_GBK"/>
                <w:color w:val="000000"/>
                <w:kern w:val="0"/>
                <w:sz w:val="18"/>
                <w:szCs w:val="18"/>
              </w:rPr>
              <w:t>删除</w:t>
            </w:r>
          </w:p>
        </w:tc>
      </w:tr>
      <w:tr w14:paraId="468181D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555FFA3">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7E3C1798">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66F6F972">
            <w:pPr>
              <w:adjustRightInd w:val="0"/>
              <w:snapToGrid w:val="0"/>
              <w:rPr>
                <w:rFonts w:ascii="方正仿宋_GBK" w:hAnsi="方正仿宋_GBK" w:eastAsia="方正仿宋_GBK" w:cs="方正仿宋_GBK"/>
                <w:color w:val="000000"/>
                <w:kern w:val="0"/>
                <w:sz w:val="18"/>
                <w:szCs w:val="18"/>
              </w:rPr>
            </w:pPr>
            <w:r>
              <w:rPr>
                <w:rFonts w:hint="eastAsia" w:ascii="方正仿宋_GBK" w:hAnsi="方正仿宋_GBK" w:eastAsia="方正仿宋_GBK" w:cs="方正仿宋_GBK"/>
                <w:sz w:val="18"/>
                <w:szCs w:val="18"/>
              </w:rPr>
              <w:t xml:space="preserve">4.3.6 </w:t>
            </w:r>
          </w:p>
        </w:tc>
        <w:tc>
          <w:tcPr>
            <w:tcW w:w="3582" w:type="dxa"/>
            <w:vAlign w:val="center"/>
          </w:tcPr>
          <w:p w14:paraId="4A99C7E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除合同已有约定外，承包人进行分包须遵循以下约定：</w:t>
            </w:r>
          </w:p>
          <w:p w14:paraId="6FA738A4">
            <w:pPr>
              <w:adjustRightInd w:val="0"/>
              <w:snapToGrid w:val="0"/>
              <w:rPr>
                <w:rFonts w:ascii="方正仿宋_GBK" w:hAnsi="方正仿宋_GBK" w:eastAsia="方正仿宋_GBK" w:cs="方正仿宋_GBK"/>
                <w:color w:val="000000"/>
                <w:kern w:val="0"/>
                <w:sz w:val="18"/>
                <w:szCs w:val="18"/>
              </w:rPr>
            </w:pPr>
            <w:r>
              <w:rPr>
                <w:rFonts w:hint="eastAsia" w:ascii="方正仿宋_GBK" w:hAnsi="方正仿宋_GBK" w:eastAsia="方正仿宋_GBK" w:cs="方正仿宋_GBK"/>
                <w:sz w:val="18"/>
                <w:szCs w:val="18"/>
              </w:rPr>
              <w:t>（1）承包人按投标文件计划开展分包的，应在施工策划阶段向监理人书面提出关于全部拟分包内容和类别的分包计划，经监理人审核同意后报发包人批准。相关分包队伍进场前，施工项目部要提交具体分包申请，经监理人审核，报发包人批准后，报项目承包人，开展分包人选择。</w:t>
            </w:r>
          </w:p>
        </w:tc>
        <w:tc>
          <w:tcPr>
            <w:tcW w:w="4455" w:type="dxa"/>
            <w:vAlign w:val="center"/>
          </w:tcPr>
          <w:p w14:paraId="158261B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除合同已有约定外，承包人进行分包须遵循以下约定：</w:t>
            </w:r>
          </w:p>
          <w:p w14:paraId="25D6D88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承包人按投标文件计划开展分包的，应在施工策划阶段向监理人书面提出关于全部拟分包内容和类别的分包计划，经监理人审核同意后报发包人批准。相关分包队伍进场前，承包人要提交具体分包申请，经监理人审核，报发包人批准。</w:t>
            </w:r>
          </w:p>
          <w:p w14:paraId="0A111A55">
            <w:pPr>
              <w:adjustRightInd w:val="0"/>
              <w:snapToGrid w:val="0"/>
              <w:rPr>
                <w:rFonts w:ascii="方正仿宋_GBK" w:hAnsi="方正仿宋_GBK" w:eastAsia="方正仿宋_GBK" w:cs="方正仿宋_GBK"/>
                <w:color w:val="000000"/>
                <w:kern w:val="0"/>
                <w:sz w:val="18"/>
                <w:szCs w:val="18"/>
              </w:rPr>
            </w:pPr>
          </w:p>
        </w:tc>
      </w:tr>
      <w:tr w14:paraId="10B47D9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D9B156A">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4D318EA3">
            <w:pPr>
              <w:adjustRightInd w:val="0"/>
              <w:snapToGrid w:val="0"/>
              <w:rPr>
                <w:rFonts w:ascii="方正仿宋_GBK" w:hAnsi="方正仿宋_GBK" w:eastAsia="方正仿宋_GBK" w:cs="方正仿宋_GBK"/>
                <w:color w:val="000000"/>
                <w:kern w:val="0"/>
                <w:sz w:val="18"/>
                <w:szCs w:val="18"/>
              </w:rPr>
            </w:pPr>
            <w:r>
              <w:rPr>
                <w:rFonts w:hint="eastAsia" w:ascii="方正仿宋_GBK" w:hAnsi="方正仿宋_GBK" w:eastAsia="方正仿宋_GBK" w:cs="方正仿宋_GBK"/>
                <w:sz w:val="18"/>
                <w:szCs w:val="18"/>
              </w:rPr>
              <w:t>专用条款4.3.6 （增加）：</w:t>
            </w:r>
          </w:p>
        </w:tc>
        <w:tc>
          <w:tcPr>
            <w:tcW w:w="3582" w:type="dxa"/>
            <w:vAlign w:val="center"/>
          </w:tcPr>
          <w:p w14:paraId="0CD5825B">
            <w:pPr>
              <w:adjustRightInd w:val="0"/>
              <w:snapToGrid w:val="0"/>
              <w:rPr>
                <w:rFonts w:ascii="方正仿宋_GBK" w:hAnsi="方正仿宋_GBK" w:eastAsia="方正仿宋_GBK" w:cs="方正仿宋_GBK"/>
                <w:color w:val="000000"/>
                <w:kern w:val="0"/>
                <w:sz w:val="18"/>
                <w:szCs w:val="18"/>
              </w:rPr>
            </w:pPr>
            <w:r>
              <w:rPr>
                <w:rFonts w:hint="eastAsia" w:ascii="方正仿宋_GBK" w:hAnsi="方正仿宋_GBK" w:eastAsia="方正仿宋_GBK" w:cs="方正仿宋_GBK"/>
                <w:sz w:val="18"/>
                <w:szCs w:val="18"/>
              </w:rPr>
              <w:t>（2）承包人应按照本合同约定的分包工程范围、分包类别以及发包人批准的分包计划，确定分包商，签订书面分包合同和安全协议。分包合同必须满足履行本合同下承包商义务的要求，明确分包性质，分包人进场作业主要人员，工程款、劳务费的支付办法，合同双方在工期、质量、安全文明施工、作业人员培训、工资发放、施工现场应急处置、信息报送等方面的责任和义务。分包合同应报监理人和发包人备案。</w:t>
            </w:r>
          </w:p>
        </w:tc>
        <w:tc>
          <w:tcPr>
            <w:tcW w:w="4455" w:type="dxa"/>
            <w:vAlign w:val="center"/>
          </w:tcPr>
          <w:p w14:paraId="5A5FFDE6">
            <w:pPr>
              <w:adjustRightInd w:val="0"/>
              <w:snapToGrid w:val="0"/>
              <w:rPr>
                <w:rFonts w:ascii="方正仿宋_GBK" w:hAnsi="方正仿宋_GBK" w:eastAsia="方正仿宋_GBK" w:cs="方正仿宋_GBK"/>
                <w:color w:val="000000"/>
                <w:kern w:val="0"/>
                <w:sz w:val="18"/>
                <w:szCs w:val="18"/>
              </w:rPr>
            </w:pPr>
            <w:r>
              <w:rPr>
                <w:rFonts w:hint="eastAsia" w:ascii="方正仿宋_GBK" w:hAnsi="方正仿宋_GBK" w:eastAsia="方正仿宋_GBK" w:cs="方正仿宋_GBK"/>
                <w:sz w:val="18"/>
                <w:szCs w:val="18"/>
              </w:rPr>
              <w:t>（2）承包人应按照本合同约定的分包工程范围、分包类别以及发包人批准的分包计划，确定分包商，签订书面分包合同和安全协议。分包合同应使用上级集团公司或政府部门发布的标准化分包合同文本，必须满足履行本合同下承包商义务的要求，明确分包性质，分包人进场作业主要人员，工程款、劳务费的支付办法，合同双方在工期、质量、安全文明施工、作业人员培训、工资发放、施工现场应急处置、信息报送等方面的责任和义务。分包合同应报监理人和发包人备案。</w:t>
            </w:r>
          </w:p>
        </w:tc>
      </w:tr>
      <w:tr w14:paraId="5105B9D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35373A7">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271461B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1F36B62A">
            <w:pPr>
              <w:adjustRightInd w:val="0"/>
              <w:snapToGrid w:val="0"/>
              <w:rPr>
                <w:rFonts w:ascii="方正仿宋_GBK" w:hAnsi="方正仿宋_GBK" w:eastAsia="方正仿宋_GBK" w:cs="方正仿宋_GBK"/>
                <w:color w:val="000000"/>
                <w:kern w:val="0"/>
                <w:sz w:val="18"/>
                <w:szCs w:val="18"/>
              </w:rPr>
            </w:pPr>
            <w:r>
              <w:rPr>
                <w:rFonts w:hint="eastAsia" w:ascii="方正仿宋_GBK" w:hAnsi="方正仿宋_GBK" w:eastAsia="方正仿宋_GBK" w:cs="方正仿宋_GBK"/>
                <w:sz w:val="18"/>
                <w:szCs w:val="18"/>
              </w:rPr>
              <w:t>4.3.7分包管理（9）（增加）</w:t>
            </w:r>
          </w:p>
        </w:tc>
        <w:tc>
          <w:tcPr>
            <w:tcW w:w="3582" w:type="dxa"/>
            <w:vAlign w:val="center"/>
          </w:tcPr>
          <w:p w14:paraId="62C2D52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4.3.7 分包管理（增加）：</w:t>
            </w:r>
          </w:p>
          <w:p w14:paraId="4F9C8D08">
            <w:pPr>
              <w:adjustRightInd w:val="0"/>
              <w:snapToGrid w:val="0"/>
              <w:rPr>
                <w:rFonts w:ascii="方正仿宋_GBK" w:hAnsi="方正仿宋_GBK" w:eastAsia="方正仿宋_GBK" w:cs="方正仿宋_GBK"/>
                <w:color w:val="000000"/>
                <w:kern w:val="0"/>
                <w:sz w:val="18"/>
                <w:szCs w:val="18"/>
              </w:rPr>
            </w:pPr>
            <w:r>
              <w:rPr>
                <w:rFonts w:hint="eastAsia" w:ascii="方正仿宋_GBK" w:hAnsi="方正仿宋_GBK" w:eastAsia="方正仿宋_GBK" w:cs="方正仿宋_GBK"/>
                <w:sz w:val="18"/>
                <w:szCs w:val="18"/>
              </w:rPr>
              <w:t>无</w:t>
            </w:r>
          </w:p>
        </w:tc>
        <w:tc>
          <w:tcPr>
            <w:tcW w:w="4455" w:type="dxa"/>
            <w:vAlign w:val="center"/>
          </w:tcPr>
          <w:p w14:paraId="0C6330F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4.3.7 分包管理（增加）：</w:t>
            </w:r>
          </w:p>
          <w:p w14:paraId="26EB7E05">
            <w:pPr>
              <w:adjustRightInd w:val="0"/>
              <w:snapToGrid w:val="0"/>
              <w:rPr>
                <w:rFonts w:ascii="方正仿宋_GBK" w:hAnsi="方正仿宋_GBK" w:eastAsia="方正仿宋_GBK" w:cs="方正仿宋_GBK"/>
                <w:color w:val="000000"/>
                <w:kern w:val="0"/>
                <w:sz w:val="18"/>
                <w:szCs w:val="18"/>
              </w:rPr>
            </w:pPr>
            <w:r>
              <w:rPr>
                <w:rFonts w:hint="eastAsia" w:ascii="方正仿宋_GBK" w:hAnsi="方正仿宋_GBK" w:eastAsia="方正仿宋_GBK" w:cs="方正仿宋_GBK"/>
                <w:sz w:val="18"/>
                <w:szCs w:val="18"/>
              </w:rPr>
              <w:t>（9）劳务或专业分包合同需由承包人和分包人的法人代表签订，分包合同中需明确分包人的主要管理人员信息。</w:t>
            </w:r>
          </w:p>
        </w:tc>
      </w:tr>
      <w:tr w14:paraId="36C3AA0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5A0808E">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2697AC6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19001175">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4.3.8</w:t>
            </w:r>
          </w:p>
        </w:tc>
        <w:tc>
          <w:tcPr>
            <w:tcW w:w="3582" w:type="dxa"/>
            <w:vAlign w:val="center"/>
          </w:tcPr>
          <w:p w14:paraId="1978EA9C">
            <w:pPr>
              <w:autoSpaceDE w:val="0"/>
              <w:autoSpaceDN w:val="0"/>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4.3.8 违约分包的处理（增加）：</w:t>
            </w:r>
          </w:p>
          <w:p w14:paraId="084FF22C">
            <w:pPr>
              <w:autoSpaceDE w:val="0"/>
              <w:autoSpaceDN w:val="0"/>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承包人违反合同约定进行分包的，发包人有权采取以下（但不限于）处理措施：</w:t>
            </w:r>
          </w:p>
          <w:p w14:paraId="53455D54">
            <w:pPr>
              <w:autoSpaceDE w:val="0"/>
              <w:autoSpaceDN w:val="0"/>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（1）责令分包商停工或退出工程现场，由此产生的相关责任由承包人承担；</w:t>
            </w:r>
          </w:p>
          <w:p w14:paraId="465BB773">
            <w:pPr>
              <w:autoSpaceDE w:val="0"/>
              <w:autoSpaceDN w:val="0"/>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（2）责令承包人改进或停工整顿，由此产生的相关责任由承包人承担；</w:t>
            </w:r>
          </w:p>
          <w:p w14:paraId="15A9C973">
            <w:pPr>
              <w:autoSpaceDE w:val="0"/>
              <w:autoSpaceDN w:val="0"/>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（3）要求承包人承担相应的赔偿责任；</w:t>
            </w:r>
          </w:p>
          <w:p w14:paraId="585C3D9D">
            <w:pPr>
              <w:autoSpaceDE w:val="0"/>
              <w:autoSpaceDN w:val="0"/>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（4）在工程评价考核中扣除一定分值（评价考核为后续施工招标评标的评价指标之一）；</w:t>
            </w:r>
          </w:p>
          <w:p w14:paraId="3BA7D9A3">
            <w:pPr>
              <w:autoSpaceDE w:val="0"/>
              <w:autoSpaceDN w:val="0"/>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（5）其他处理措施：</w:t>
            </w:r>
          </w:p>
          <w:p w14:paraId="01814AF5">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w:t>
            </w:r>
          </w:p>
        </w:tc>
        <w:tc>
          <w:tcPr>
            <w:tcW w:w="4455" w:type="dxa"/>
            <w:vAlign w:val="center"/>
          </w:tcPr>
          <w:p w14:paraId="24172424">
            <w:pPr>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4.3.8 违约分包的处理（增加）：</w:t>
            </w:r>
          </w:p>
          <w:p w14:paraId="2C090144">
            <w:pPr>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承包人违反合同约定进行分包的，发包人有权采取以下（但不限于）处理措施：</w:t>
            </w:r>
          </w:p>
          <w:p w14:paraId="2627D5FD">
            <w:pPr>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（1）责令分包商停工或退出工程现场，由此产生的相关责任由承包人承担；</w:t>
            </w:r>
          </w:p>
          <w:p w14:paraId="6C11FFC3">
            <w:pPr>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（2）责令承包人改进或停工整顿，由此产生的相关责任由承包人承担；如分包商原因导致承包人出现施工进度、质量、安全等问题，甲方有权延迟支付承包人工程进度款（农名工工资按期支付，不予延迟）；</w:t>
            </w:r>
          </w:p>
          <w:p w14:paraId="3937E5CB">
            <w:pPr>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（3）要求承包人承担相应的赔偿责任；</w:t>
            </w:r>
          </w:p>
          <w:p w14:paraId="2CC2430B">
            <w:pPr>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（4）在工程评价考核中扣除一定分值（评价考核为后续施工招标评标的评价指标之一）；</w:t>
            </w:r>
          </w:p>
          <w:p w14:paraId="038F1AD1">
            <w:pPr>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（5）其他处理措施：</w:t>
            </w:r>
          </w:p>
          <w:p w14:paraId="7BC45E2C">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u w:val="single"/>
              </w:rPr>
              <w:t xml:space="preserve">    对于承包人违反合同的规定进行分包、分包商的施工行为不能满足工程质量安全环保及文明施工要求的，情况严重的将在发包人对承包人的年度资信评价中可评价为“不合格”并上报国家电网有限公司基建部。采取管理措施后无改进或者改进后仍达不到工程管理标准，工程发包方有权要求承包方及时更换分包商。因更换分包商带来的对施工进度影响和其他后果，由承包方承担责任  </w:t>
            </w:r>
            <w:r>
              <w:rPr>
                <w:rFonts w:hint="eastAsia" w:ascii="方正仿宋_GBK" w:hAnsi="方正仿宋_GBK" w:eastAsia="方正仿宋_GBK" w:cs="方正仿宋_GBK"/>
                <w:sz w:val="18"/>
                <w:szCs w:val="18"/>
              </w:rPr>
              <w:t>。</w:t>
            </w:r>
          </w:p>
        </w:tc>
      </w:tr>
      <w:tr w14:paraId="56FB5BB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0C18E6E">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62A8A83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472049AD">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4.5.5</w:t>
            </w:r>
          </w:p>
        </w:tc>
        <w:tc>
          <w:tcPr>
            <w:tcW w:w="3582" w:type="dxa"/>
            <w:vAlign w:val="center"/>
          </w:tcPr>
          <w:p w14:paraId="14F4780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4.5.5 （增加）：</w:t>
            </w:r>
          </w:p>
          <w:p w14:paraId="6A3A265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根据注册建造师有关法律法规及相关文件规定，承包人项目经理必须是与承包人签订有劳动合同且具有下列约定资质和施工管理经验的本单位职工。</w:t>
            </w:r>
          </w:p>
          <w:p w14:paraId="1A467DBA">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承包人项目经理必须满足以下第项资格要求：</w:t>
            </w:r>
          </w:p>
          <w:p w14:paraId="6414D777">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（1）具有一级注册建造师资格；</w:t>
            </w:r>
          </w:p>
          <w:p w14:paraId="24BD63BF">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（2）具有二级注册建造师资格。</w:t>
            </w:r>
          </w:p>
          <w:p w14:paraId="36FC277A">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本工程项目经理要求同招标公告。</w:t>
            </w:r>
          </w:p>
          <w:p w14:paraId="4461485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本工程项目经理每月驻现场应不少于22天。</w:t>
            </w:r>
          </w:p>
          <w:p w14:paraId="60570D8B">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承包人项目经理同一时期只能承担一个工程项目的管理工作,同一工程相邻分段发包或分期施工的、合同约定的工程验收合格的、因非承包人原因致使工程项目停工超过120天（含），经发包人同意的除外。</w:t>
            </w:r>
          </w:p>
        </w:tc>
        <w:tc>
          <w:tcPr>
            <w:tcW w:w="4455" w:type="dxa"/>
            <w:vAlign w:val="center"/>
          </w:tcPr>
          <w:p w14:paraId="0A2FDA2A">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4.5.5（增加）修改为：</w:t>
            </w:r>
          </w:p>
          <w:p w14:paraId="10AF2C44">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根据注册建造师有关法律法规及相关文件规定，承包人项目经理必须是与承包人签订有劳动合同且具有招标公告约定资质和施工管理经验的本单位职工。</w:t>
            </w:r>
          </w:p>
          <w:p w14:paraId="025883F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承包人项目经理必须满足以下要求：</w:t>
            </w:r>
          </w:p>
          <w:p w14:paraId="58735F2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（1）具有一级注册建造师资格；</w:t>
            </w:r>
          </w:p>
          <w:p w14:paraId="448BC77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（2）具有项目负责人安全生产考核合格证书；</w:t>
            </w:r>
          </w:p>
          <w:p w14:paraId="4624751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（3）业绩满足招标公告要求。</w:t>
            </w:r>
          </w:p>
          <w:p w14:paraId="1B5695A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w:t>
            </w:r>
            <w:r>
              <w:rPr>
                <w:rFonts w:hint="eastAsia" w:ascii="方正仿宋_GBK" w:hAnsi="方正仿宋_GBK" w:eastAsia="方正仿宋_GBK" w:cs="方正仿宋_GBK"/>
                <w:sz w:val="18"/>
                <w:szCs w:val="18"/>
                <w:lang w:val="en-US" w:eastAsia="zh-CN"/>
              </w:rPr>
              <w:t>承包</w:t>
            </w:r>
            <w:r>
              <w:rPr>
                <w:rFonts w:hint="eastAsia" w:ascii="方正仿宋_GBK" w:hAnsi="方正仿宋_GBK" w:eastAsia="方正仿宋_GBK" w:cs="方正仿宋_GBK"/>
                <w:sz w:val="18"/>
                <w:szCs w:val="18"/>
              </w:rPr>
              <w:t>人的正式员工；</w:t>
            </w:r>
          </w:p>
          <w:p w14:paraId="16F996BF">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（5）专职，不得兼任；</w:t>
            </w:r>
          </w:p>
          <w:p w14:paraId="1F180FE2">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（6）不设A、B 角。</w:t>
            </w:r>
          </w:p>
          <w:p w14:paraId="0266E79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本工程项目经理每月在现场履职时间不得少于本月施工时间的80%</w:t>
            </w:r>
            <w:r>
              <w:rPr>
                <w:rFonts w:hint="eastAsia" w:ascii="方正仿宋_GBK" w:hAnsi="方正仿宋_GBK" w:eastAsia="方正仿宋_GBK" w:cs="方正仿宋_GBK"/>
                <w:sz w:val="18"/>
                <w:szCs w:val="18"/>
                <w:lang w:eastAsia="zh-CN"/>
              </w:rPr>
              <w:t>，</w:t>
            </w:r>
            <w:r>
              <w:rPr>
                <w:rFonts w:hint="eastAsia" w:ascii="方正仿宋_GBK" w:hAnsi="方正仿宋_GBK" w:eastAsia="方正仿宋_GBK" w:cs="方正仿宋_GBK"/>
                <w:sz w:val="18"/>
                <w:szCs w:val="18"/>
                <w:lang w:val="en-US" w:eastAsia="zh-CN"/>
              </w:rPr>
              <w:t>时间认定以现场签到记录和监理人确认的考勤为准</w:t>
            </w:r>
            <w:r>
              <w:rPr>
                <w:rFonts w:hint="eastAsia" w:ascii="方正仿宋_GBK" w:hAnsi="方正仿宋_GBK" w:eastAsia="方正仿宋_GBK" w:cs="方正仿宋_GBK"/>
                <w:sz w:val="18"/>
                <w:szCs w:val="18"/>
              </w:rPr>
              <w:t>。</w:t>
            </w:r>
          </w:p>
          <w:p w14:paraId="38E3B0EC">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承包人项目经理应具有特高压换流站施工管理经验，同一时期只能承担一个工程项目的管理工作,同一工程相邻分段发包或分期施工的、合同约定的工程验收合格的、因非承包人原因致使工程项目停工超过120天（含），经发包人同意的除外。</w:t>
            </w:r>
          </w:p>
        </w:tc>
      </w:tr>
      <w:tr w14:paraId="7374277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ED92283">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7A0D8DE6">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专用条款</w:t>
            </w:r>
          </w:p>
          <w:p w14:paraId="7AA43F63">
            <w:pPr>
              <w:autoSpaceDE w:val="0"/>
              <w:autoSpaceDN w:val="0"/>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4.6.6（增加）：</w:t>
            </w:r>
          </w:p>
        </w:tc>
        <w:tc>
          <w:tcPr>
            <w:tcW w:w="3582" w:type="dxa"/>
            <w:vAlign w:val="center"/>
          </w:tcPr>
          <w:p w14:paraId="779C43B7">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4.6.6（增加）：</w:t>
            </w:r>
          </w:p>
          <w:p w14:paraId="47AE39A3">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承包人投入的关键人员资格及配置（见附表8）不得低于投标承诺。其中：</w:t>
            </w:r>
          </w:p>
          <w:p w14:paraId="53A7FC30">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项目经理应与投标文件保持一致，且不应同时承担2个及以上未完项目的管理工作，同一工程相邻分段发包或分期施工的、合同约定的工程验收合格的、因非承包人原因致使工程项目停工超过120天（含），经发包人同意的除外。</w:t>
            </w:r>
          </w:p>
          <w:p w14:paraId="08BC6D10">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（2）项目部安全员、质检员必须为专职，不可兼任项目其他岗位。</w:t>
            </w:r>
          </w:p>
          <w:p w14:paraId="0ACEEEF6">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（3）所有施工作业必须以作业层班组为单元组织。作业层班组骨干（班长兼指挥、安全员、技术兼质检员）必须为承包人自有人员，数量须满足建设需要。</w:t>
            </w:r>
          </w:p>
          <w:p w14:paraId="2D853F38">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（4）特殊原因需要撤换项目经理、安全员、质检员时，应征得发包人书面同意，并应在更换14天前将拟更换的项目经理的姓名和详细资料提交发包人。</w:t>
            </w:r>
          </w:p>
          <w:p w14:paraId="117BA12C">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（5）特殊原因需要撤换关键人员时，应征得发包人书面同意，并应在更换14天前将拟更换的关键人员的姓名和详细资料提交发包人。</w:t>
            </w:r>
          </w:p>
          <w:p w14:paraId="208613E8">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6）承包人在工程建设过程中经发包人同意只能更换一次项目经理，再次因承包人原因或不满足“深化基建队伍改革、强化施工安全管理”12项配套政策要求需更换的，发包人有权向承包人索赔人员变更对工程工期影响，且更换一次，承包人应向发包人支付合同价款</w:t>
            </w:r>
            <w:permStart w:id="9" w:edGrp="everyone"/>
            <w:permEnd w:id="9"/>
            <w:r>
              <w:rPr>
                <w:rFonts w:hint="eastAsia" w:ascii="方正仿宋_GBK" w:hAnsi="方正仿宋_GBK" w:eastAsia="方正仿宋_GBK" w:cs="方正仿宋_GBK"/>
                <w:snapToGrid w:val="0"/>
                <w:kern w:val="0"/>
                <w:sz w:val="18"/>
                <w:szCs w:val="18"/>
              </w:rPr>
              <w:t>%违约金。</w:t>
            </w:r>
          </w:p>
          <w:p w14:paraId="612863E0">
            <w:pPr>
              <w:autoSpaceDE w:val="0"/>
              <w:autoSpaceDN w:val="0"/>
              <w:adjustRightInd w:val="0"/>
              <w:snapToGrid w:val="0"/>
              <w:rPr>
                <w:rFonts w:ascii="方正仿宋_GBK" w:hAnsi="方正仿宋_GBK" w:eastAsia="方正仿宋_GBK" w:cs="方正仿宋_GBK"/>
                <w:color w:val="000000" w:themeColor="text1"/>
                <w:sz w:val="18"/>
                <w:szCs w:val="18"/>
              </w:rPr>
            </w:pPr>
          </w:p>
        </w:tc>
        <w:tc>
          <w:tcPr>
            <w:tcW w:w="4455" w:type="dxa"/>
            <w:vAlign w:val="center"/>
          </w:tcPr>
          <w:p w14:paraId="122BAAB2">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4.6.6（增加）修改为：</w:t>
            </w:r>
          </w:p>
          <w:p w14:paraId="7148BD10">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承包人投入的关键人员资格及配置（见附表8）不得低于投标承诺。其中：</w:t>
            </w:r>
          </w:p>
          <w:p w14:paraId="69780878">
            <w:pPr>
              <w:autoSpaceDE w:val="0"/>
              <w:autoSpaceDN w:val="0"/>
              <w:adjustRightInd w:val="0"/>
              <w:snapToGrid w:val="0"/>
              <w:rPr>
                <w:rFonts w:hint="default" w:ascii="方正仿宋_GBK" w:hAnsi="方正仿宋_GBK" w:eastAsia="方正仿宋_GBK" w:cs="方正仿宋_GBK"/>
                <w:snapToGrid w:val="0"/>
                <w:kern w:val="0"/>
                <w:sz w:val="18"/>
                <w:szCs w:val="18"/>
                <w:lang w:val="en-US" w:eastAsia="zh-CN"/>
              </w:rPr>
            </w:pPr>
            <w:r>
              <w:rPr>
                <w:rFonts w:hint="eastAsia" w:ascii="方正仿宋_GBK" w:hAnsi="方正仿宋_GBK" w:eastAsia="方正仿宋_GBK" w:cs="方正仿宋_GBK"/>
                <w:snapToGrid w:val="0"/>
                <w:kern w:val="0"/>
                <w:sz w:val="18"/>
                <w:szCs w:val="18"/>
              </w:rPr>
              <w:t>（1）项目经理应与投标文件保持一致，且不应同时承担2个及以上未完项目的管理工作，同一工程相邻分段发包或分期施工的、合同约定的工程验收合格的、因非承包人原因致使工程项目停工超过120天（含），经发包人同意的除外。承包人更换项目经理、项目总工的，应当选派不低于原项目经理、项目总工资格条件的人员作为继任项目经理。工程建设过程中，建设单位同意项目负责人变更的，需将变更后的施工单位、监理单位法定代表人签署的项目负责人授权书和项目负责人签署的工程质量终身责任承诺书、项目负责人资格证书以及建设单位同意变更的材料，于10个工作日内在国家能源局电力建设工程质量监督信息系统中完成补录</w:t>
            </w:r>
            <w:r>
              <w:rPr>
                <w:rFonts w:hint="eastAsia" w:ascii="方正仿宋_GBK" w:hAnsi="方正仿宋_GBK" w:eastAsia="方正仿宋_GBK" w:cs="方正仿宋_GBK"/>
                <w:snapToGrid w:val="0"/>
                <w:kern w:val="0"/>
                <w:sz w:val="18"/>
                <w:szCs w:val="18"/>
                <w:lang w:eastAsia="zh-CN"/>
              </w:rPr>
              <w:t>。</w:t>
            </w:r>
            <w:r>
              <w:rPr>
                <w:rFonts w:hint="eastAsia" w:ascii="方正仿宋_GBK" w:hAnsi="方正仿宋_GBK" w:eastAsia="方正仿宋_GBK" w:cs="方正仿宋_GBK"/>
                <w:snapToGrid w:val="0"/>
                <w:kern w:val="0"/>
                <w:sz w:val="18"/>
                <w:szCs w:val="18"/>
              </w:rPr>
              <w:t>施工承包人有不低于原项目经理、项目总工资格条件的人员而不选派，属于严重不履行合同的违约行为。</w:t>
            </w:r>
            <w:r>
              <w:rPr>
                <w:rFonts w:hint="eastAsia" w:ascii="方正仿宋_GBK" w:hAnsi="方正仿宋_GBK" w:eastAsia="方正仿宋_GBK" w:cs="方正仿宋_GBK"/>
                <w:snapToGrid w:val="0"/>
                <w:kern w:val="0"/>
                <w:sz w:val="18"/>
                <w:szCs w:val="18"/>
                <w:lang w:val="en-US" w:eastAsia="zh-CN"/>
              </w:rPr>
              <w:t>项目经理执业资格证书复印件报发包人备案，发包人可通过住建部门执业信息系统核验其在岗及执业状态。</w:t>
            </w:r>
          </w:p>
          <w:p w14:paraId="32A9A003">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（2）项目部安全总监、安全员、质检员必须为专职，不可兼任项目其他岗位。质检员须持证上岗,专职安全管理人员需持安全C证上岗。</w:t>
            </w:r>
          </w:p>
          <w:p w14:paraId="7D0685B3">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（3）所有施工作业必须以作业层班组为单元组织。作业层班组骨干（班长兼指挥、安全员、技术兼质检员）必须为承包人自有人员，数量须满足建设需要。</w:t>
            </w:r>
          </w:p>
          <w:p w14:paraId="3A3F513F">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（4）特殊原因需要撤换项目副经理、技术负责人、安全总监时，应征得发包人书面同意，并应在更换14天前将拟更换的项目经理的姓名和详细资料提交发包人。</w:t>
            </w:r>
          </w:p>
          <w:p w14:paraId="1D0641F9">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项目经理更换的特殊原因指下列情形之一：</w:t>
            </w:r>
          </w:p>
          <w:p w14:paraId="0E8B76A8">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1）因自身原因导致工程项目发生重大质量、安全事故的；</w:t>
            </w:r>
          </w:p>
          <w:p w14:paraId="769999F9">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 xml:space="preserve">2）有违法、违规、违纪行为，被暂停或者吊销担任项目经理资格； </w:t>
            </w:r>
          </w:p>
          <w:p w14:paraId="5C6001D6">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 xml:space="preserve">3）不能胜任所承担的工程任务，发包人要求更换； </w:t>
            </w:r>
          </w:p>
          <w:p w14:paraId="0D0F0B5F">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 xml:space="preserve">4）变更工作单位； </w:t>
            </w:r>
          </w:p>
          <w:p w14:paraId="1525C0CB">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5）罹患严重疾病需要治疗或者修养，时间在一个月以上或者超过合同工期二分之一以上。</w:t>
            </w:r>
          </w:p>
          <w:p w14:paraId="6C8CB79E">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提供必要的证明文件属于第3项情形的，应当提供现场监理项目部总监理工程师和业主项目部项目经理共同签署的要求更换项目经理的通知。更换属于第4项情形的，应当提供原企业出具的离职证明。更换属于第5项情形的，应当提供由二级甲等及以上等级的医疗机构出具、经主治医师签名的疾病诊断书和住院、修养证明。</w:t>
            </w:r>
          </w:p>
          <w:p w14:paraId="1F615204">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（5）特殊原因需要撤换安全员、质检员等关键人员时，应征得发包人书面同意，并应在更换14天前将拟更换的关键人员的姓名和详细资料提交发包人。</w:t>
            </w:r>
          </w:p>
          <w:p w14:paraId="72A632B4">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（6）为便于现场工作的正常开展，承包人项目经理及副经理、总工、副总工每月驻现场履职天数不得少于25天。</w:t>
            </w:r>
          </w:p>
          <w:p w14:paraId="497A2AB4">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（7）承包人项目经理离开工程所在地必须进行书面请假，先征得监理同意（监理权限为1天，不需征得业主项目部的同意），2天及以上的请假还须征得业主项目部经理或副经理同意。</w:t>
            </w:r>
          </w:p>
          <w:p w14:paraId="4417B5C5">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（8）承包人项目经理短期离开施工场地，应事先征得监理人同意，并委派代表代行其职责。</w:t>
            </w:r>
          </w:p>
          <w:p w14:paraId="7038EC9D">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（9）有下列情形之一的，属于承包人违约，承包人应向发包人支付签约合同价的4‰违约金，且发包人有权解除本合同。</w:t>
            </w:r>
          </w:p>
          <w:p w14:paraId="3A0FA10F">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1）承包人项目经理因“不能胜任所承担的工程任务，发包人要求更换”原因被要求变更项目经理的；</w:t>
            </w:r>
          </w:p>
          <w:p w14:paraId="4BE94499">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2）半年内两次以上以“变更工作单位”或“罹患严重疾病需要治疗或者修养，时间在一个月以上或者超过合同工期二分之一以上”理由变更项目经理的。</w:t>
            </w:r>
          </w:p>
          <w:p w14:paraId="44AA68C8">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3）拟选派项目经理以项目经理变更前的业绩作为招标文件对项目经理要求业绩之一的。</w:t>
            </w:r>
          </w:p>
          <w:p w14:paraId="61B90107">
            <w:pPr>
              <w:pStyle w:val="21"/>
              <w:numPr>
                <w:ilvl w:val="0"/>
                <w:numId w:val="0"/>
              </w:numPr>
              <w:rPr>
                <w:rFonts w:hint="default" w:ascii="方正仿宋_GBK" w:hAnsi="方正仿宋_GBK" w:eastAsia="方正仿宋_GBK" w:cs="方正仿宋_GBK"/>
                <w:color w:val="000000" w:themeColor="text1"/>
                <w:sz w:val="18"/>
                <w:szCs w:val="18"/>
              </w:rPr>
            </w:pPr>
            <w:r>
              <w:rPr>
                <w:rFonts w:ascii="方正仿宋_GBK" w:hAnsi="方正仿宋_GBK" w:eastAsia="方正仿宋_GBK" w:cs="方正仿宋_GBK"/>
                <w:snapToGrid w:val="0"/>
                <w:kern w:val="0"/>
                <w:sz w:val="18"/>
                <w:szCs w:val="18"/>
              </w:rPr>
              <w:t>4）未先征得发包人同意而擅自更换项目经理的;或更换项目经理未按照4.6.6(4)要求提供必要证明文件的;或继任项目经理低于原项目经理资格条件的。</w:t>
            </w:r>
          </w:p>
        </w:tc>
      </w:tr>
      <w:tr w14:paraId="2D01FCE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B71A929">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27057D72">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专用条款</w:t>
            </w:r>
          </w:p>
          <w:p w14:paraId="625D633F">
            <w:pPr>
              <w:autoSpaceDE w:val="0"/>
              <w:autoSpaceDN w:val="0"/>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4.8.9 （增加）</w:t>
            </w:r>
          </w:p>
        </w:tc>
        <w:tc>
          <w:tcPr>
            <w:tcW w:w="3582" w:type="dxa"/>
            <w:vAlign w:val="center"/>
          </w:tcPr>
          <w:p w14:paraId="168D0FAE">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4.8.9 （增加）：</w:t>
            </w:r>
          </w:p>
          <w:p w14:paraId="5876641A">
            <w:pPr>
              <w:autoSpaceDE w:val="0"/>
              <w:autoSpaceDN w:val="0"/>
              <w:adjustRightInd w:val="0"/>
              <w:snapToGrid w:val="0"/>
              <w:ind w:firstLine="360" w:firstLineChars="20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承包人工程项目部至少应有一名胜任的专职安全员，施工队每30人至少有一名兼职安全员，在每个作业点应有一名及以上合格的值日安全员和监护，负责处理全体雇佣人员的安全保护和事故防范等问题，安全员有权发布指令并采取保护性措施以防止事故的发生。</w:t>
            </w:r>
          </w:p>
        </w:tc>
        <w:tc>
          <w:tcPr>
            <w:tcW w:w="4455" w:type="dxa"/>
          </w:tcPr>
          <w:p w14:paraId="393971C5">
            <w:pPr>
              <w:autoSpaceDE w:val="0"/>
              <w:autoSpaceDN w:val="0"/>
              <w:adjustRightInd w:val="0"/>
              <w:snapToGrid w:val="0"/>
              <w:ind w:firstLine="360" w:firstLineChars="20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承包人工程项目部至少应有胜任的安全总监1名、专职安全员2名，并要求劳务分包单位按要求配备专职安全管理人员（施工人员不足50人配1名、50人-200人配2名、200人以上配备3人名），</w:t>
            </w:r>
          </w:p>
        </w:tc>
      </w:tr>
      <w:tr w14:paraId="0A2B06D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DFEB630">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1AD63B41">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专用条款</w:t>
            </w:r>
          </w:p>
          <w:p w14:paraId="6BAF6985">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4.11.1</w:t>
            </w:r>
          </w:p>
        </w:tc>
        <w:tc>
          <w:tcPr>
            <w:tcW w:w="3582" w:type="dxa"/>
            <w:vAlign w:val="center"/>
          </w:tcPr>
          <w:p w14:paraId="543C34EF">
            <w:pPr>
              <w:adjustRightInd w:val="0"/>
              <w:snapToGrid w:val="0"/>
              <w:ind w:firstLine="360" w:firstLineChars="200"/>
              <w:jc w:val="left"/>
              <w:rPr>
                <w:rFonts w:ascii="方正仿宋_GBK" w:hAnsi="方正仿宋_GBK" w:eastAsia="方正仿宋_GBK" w:cs="方正仿宋_GBK"/>
                <w:sz w:val="18"/>
                <w:szCs w:val="18"/>
                <w:u w:val="single"/>
              </w:rPr>
            </w:pPr>
            <w:r>
              <w:rPr>
                <w:rFonts w:hint="eastAsia" w:ascii="方正仿宋_GBK" w:hAnsi="方正仿宋_GBK" w:eastAsia="方正仿宋_GBK" w:cs="方正仿宋_GBK"/>
                <w:snapToGrid w:val="0"/>
                <w:kern w:val="0"/>
                <w:sz w:val="18"/>
                <w:szCs w:val="18"/>
              </w:rPr>
              <w:t xml:space="preserve">4.11.1 不利物质条件的其他情形和有关约定：  </w:t>
            </w:r>
          </w:p>
          <w:p w14:paraId="267099FC">
            <w:pPr>
              <w:adjustRightInd w:val="0"/>
              <w:snapToGrid w:val="0"/>
              <w:ind w:firstLine="360" w:firstLineChars="20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 xml:space="preserve">。 </w:t>
            </w:r>
          </w:p>
        </w:tc>
        <w:tc>
          <w:tcPr>
            <w:tcW w:w="4455" w:type="dxa"/>
            <w:vAlign w:val="center"/>
          </w:tcPr>
          <w:p w14:paraId="2B0A6CF2">
            <w:pPr>
              <w:adjustRightInd w:val="0"/>
              <w:snapToGrid w:val="0"/>
              <w:ind w:firstLine="360" w:firstLineChars="200"/>
              <w:jc w:val="left"/>
              <w:rPr>
                <w:rFonts w:ascii="方正仿宋_GBK" w:hAnsi="方正仿宋_GBK" w:eastAsia="方正仿宋_GBK" w:cs="方正仿宋_GBK"/>
                <w:sz w:val="18"/>
                <w:szCs w:val="18"/>
                <w:u w:val="single"/>
              </w:rPr>
            </w:pPr>
            <w:r>
              <w:rPr>
                <w:rFonts w:hint="eastAsia" w:ascii="方正仿宋_GBK" w:hAnsi="方正仿宋_GBK" w:eastAsia="方正仿宋_GBK" w:cs="方正仿宋_GBK"/>
                <w:snapToGrid w:val="0"/>
                <w:kern w:val="0"/>
                <w:sz w:val="18"/>
                <w:szCs w:val="18"/>
              </w:rPr>
              <w:t xml:space="preserve">4.11.1 不利物质条件的其他情形和有关约定：  </w:t>
            </w:r>
          </w:p>
          <w:p w14:paraId="2DD76C3E">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u w:val="single"/>
              </w:rPr>
              <w:t xml:space="preserve">       无                      </w:t>
            </w:r>
            <w:r>
              <w:rPr>
                <w:rFonts w:hint="eastAsia" w:ascii="方正仿宋_GBK" w:hAnsi="方正仿宋_GBK" w:eastAsia="方正仿宋_GBK" w:cs="方正仿宋_GBK"/>
                <w:sz w:val="18"/>
                <w:szCs w:val="18"/>
              </w:rPr>
              <w:t xml:space="preserve">。 </w:t>
            </w:r>
          </w:p>
        </w:tc>
      </w:tr>
      <w:tr w14:paraId="46CA8C5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9ECC6BC">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1E52D4CB">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z w:val="18"/>
                <w:szCs w:val="18"/>
              </w:rPr>
              <w:t>专用条款5.1.3</w:t>
            </w:r>
          </w:p>
        </w:tc>
        <w:tc>
          <w:tcPr>
            <w:tcW w:w="3582" w:type="dxa"/>
            <w:vAlign w:val="center"/>
          </w:tcPr>
          <w:p w14:paraId="29CDAA5B">
            <w:pPr>
              <w:adjustRightInd w:val="0"/>
              <w:snapToGrid w:val="0"/>
              <w:ind w:firstLine="360" w:firstLineChars="200"/>
              <w:rPr>
                <w:rFonts w:ascii="方正仿宋_GBK" w:hAnsi="方正仿宋_GBK" w:eastAsia="方正仿宋_GBK" w:cs="方正仿宋_GBK"/>
                <w:kern w:val="0"/>
                <w:sz w:val="18"/>
                <w:szCs w:val="18"/>
              </w:rPr>
            </w:pPr>
            <w:r>
              <w:rPr>
                <w:rFonts w:hint="eastAsia" w:ascii="方正仿宋_GBK" w:hAnsi="方正仿宋_GBK" w:eastAsia="方正仿宋_GBK" w:cs="方正仿宋_GBK"/>
                <w:kern w:val="0"/>
                <w:sz w:val="18"/>
                <w:szCs w:val="18"/>
              </w:rPr>
              <w:t>5.1.3 （补充）：</w:t>
            </w:r>
          </w:p>
          <w:p w14:paraId="49009DEF">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kern w:val="0"/>
                <w:sz w:val="18"/>
                <w:szCs w:val="18"/>
              </w:rPr>
              <w:t>承包人应提供检验、测试及试验任何材料或设备通常所需要的协助，包括劳力、电力、燃料、储藏室、仪器及仪表，并应在这些材料或设备等用于工程之前，按监理人的选择和要求，提供材料样品以供试验。</w:t>
            </w:r>
          </w:p>
        </w:tc>
        <w:tc>
          <w:tcPr>
            <w:tcW w:w="4455" w:type="dxa"/>
            <w:vAlign w:val="center"/>
          </w:tcPr>
          <w:p w14:paraId="185E67FB">
            <w:pPr>
              <w:adjustRightInd w:val="0"/>
              <w:snapToGrid w:val="0"/>
              <w:ind w:firstLine="361" w:firstLineChars="200"/>
              <w:rPr>
                <w:rFonts w:ascii="方正仿宋_GBK" w:hAnsi="方正仿宋_GBK" w:eastAsia="方正仿宋_GBK" w:cs="方正仿宋_GBK"/>
                <w:b/>
                <w:bCs/>
                <w:kern w:val="0"/>
                <w:sz w:val="18"/>
                <w:szCs w:val="18"/>
              </w:rPr>
            </w:pPr>
            <w:r>
              <w:rPr>
                <w:rFonts w:hint="eastAsia" w:ascii="方正仿宋_GBK" w:hAnsi="方正仿宋_GBK" w:eastAsia="方正仿宋_GBK" w:cs="方正仿宋_GBK"/>
                <w:b/>
                <w:bCs/>
                <w:kern w:val="0"/>
                <w:sz w:val="18"/>
                <w:szCs w:val="18"/>
              </w:rPr>
              <w:t>修改为：</w:t>
            </w:r>
          </w:p>
          <w:p w14:paraId="2065E547">
            <w:pPr>
              <w:adjustRightInd w:val="0"/>
              <w:snapToGrid w:val="0"/>
              <w:ind w:firstLine="360" w:firstLineChars="200"/>
              <w:rPr>
                <w:rFonts w:ascii="方正仿宋_GBK" w:hAnsi="方正仿宋_GBK" w:eastAsia="方正仿宋_GBK" w:cs="方正仿宋_GBK"/>
                <w:kern w:val="0"/>
                <w:sz w:val="18"/>
                <w:szCs w:val="18"/>
              </w:rPr>
            </w:pPr>
            <w:r>
              <w:rPr>
                <w:rFonts w:hint="eastAsia" w:ascii="方正仿宋_GBK" w:hAnsi="方正仿宋_GBK" w:eastAsia="方正仿宋_GBK" w:cs="方正仿宋_GBK"/>
                <w:kern w:val="0"/>
                <w:sz w:val="18"/>
                <w:szCs w:val="18"/>
              </w:rPr>
              <w:t>5.1.3（补充）：</w:t>
            </w:r>
          </w:p>
          <w:p w14:paraId="777FC193">
            <w:pPr>
              <w:adjustRightInd w:val="0"/>
              <w:snapToGrid w:val="0"/>
              <w:ind w:firstLine="360" w:firstLineChars="200"/>
              <w:rPr>
                <w:rFonts w:ascii="方正仿宋_GBK" w:hAnsi="方正仿宋_GBK" w:eastAsia="方正仿宋_GBK" w:cs="方正仿宋_GBK"/>
                <w:kern w:val="0"/>
                <w:sz w:val="18"/>
                <w:szCs w:val="18"/>
              </w:rPr>
            </w:pPr>
            <w:r>
              <w:rPr>
                <w:rFonts w:hint="eastAsia" w:ascii="方正仿宋_GBK" w:hAnsi="方正仿宋_GBK" w:eastAsia="方正仿宋_GBK" w:cs="方正仿宋_GBK"/>
                <w:kern w:val="0"/>
                <w:sz w:val="18"/>
                <w:szCs w:val="18"/>
              </w:rPr>
              <w:t>承包人应提供检验、测试及试验任何材料或设备通常所需要的协助，包括劳力、电力、燃料、储藏室、仪器及仪表，并应在这些材料或设备等用于工程之前，按监理人的选择和要求，提供材料样品以供试验。</w:t>
            </w:r>
          </w:p>
          <w:p w14:paraId="185DEA7A">
            <w:pPr>
              <w:adjustRightInd w:val="0"/>
              <w:snapToGrid w:val="0"/>
              <w:ind w:firstLine="360" w:firstLineChars="200"/>
              <w:rPr>
                <w:rFonts w:ascii="方正仿宋_GBK" w:hAnsi="方正仿宋_GBK" w:eastAsia="方正仿宋_GBK" w:cs="方正仿宋_GBK"/>
                <w:sz w:val="18"/>
                <w:szCs w:val="18"/>
                <w:u w:val="single"/>
              </w:rPr>
            </w:pPr>
            <w:r>
              <w:rPr>
                <w:rFonts w:hint="eastAsia" w:ascii="方正仿宋_GBK" w:hAnsi="方正仿宋_GBK" w:eastAsia="方正仿宋_GBK" w:cs="方正仿宋_GBK"/>
                <w:kern w:val="0"/>
                <w:sz w:val="18"/>
                <w:szCs w:val="18"/>
              </w:rPr>
              <w:t>承包人负责采购的水泵、电梯、行车、防火涂料、动力箱、检修配电箱、CAFS灭火系统、电缆、地脚螺栓、接地材料、及其他业主认为重要的乙供设备或材料，应满足业主提供的技术规范要求。承包人需提供质量可靠、性能优越的设备。</w:t>
            </w:r>
          </w:p>
        </w:tc>
      </w:tr>
      <w:tr w14:paraId="49D1D02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62C4EC9">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425E1B5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361C1450">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z w:val="18"/>
                <w:szCs w:val="18"/>
              </w:rPr>
              <w:t>5.1.4（增加）</w:t>
            </w:r>
          </w:p>
        </w:tc>
        <w:tc>
          <w:tcPr>
            <w:tcW w:w="3582" w:type="dxa"/>
            <w:vAlign w:val="center"/>
          </w:tcPr>
          <w:p w14:paraId="523EDC3A">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5.1.4（增加）：</w:t>
            </w:r>
          </w:p>
          <w:p w14:paraId="0A49C07E">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承包人所采购的材料和工程设备所使用的原材料及其制成品质量必须达到国家标准或行业标准、施工验收规范以及设计技术要求，承包人应对其质量负完全责任。</w:t>
            </w:r>
          </w:p>
          <w:p w14:paraId="4ED04D2E">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采购的材料和工程设备不符合设计或有关标准要求时，承包人应在监理人要求的合理期限内将不符合设计或有关标准要求的材料、工程设备运出施工现场，并重新采购符合要求的材料、工程设备，由此增加的费用和（或）延误的工期，由承包人承担。</w:t>
            </w:r>
          </w:p>
          <w:p w14:paraId="47BE0ECC">
            <w:pPr>
              <w:widowControl/>
              <w:adjustRightInd w:val="0"/>
              <w:snapToGrid w:val="0"/>
              <w:jc w:val="left"/>
              <w:rPr>
                <w:rFonts w:ascii="方正仿宋_GBK" w:hAnsi="方正仿宋_GBK" w:eastAsia="方正仿宋_GBK" w:cs="方正仿宋_GBK"/>
                <w:sz w:val="18"/>
                <w:szCs w:val="18"/>
              </w:rPr>
            </w:pPr>
          </w:p>
        </w:tc>
        <w:tc>
          <w:tcPr>
            <w:tcW w:w="4455" w:type="dxa"/>
            <w:vAlign w:val="center"/>
          </w:tcPr>
          <w:p w14:paraId="42E4CCAD">
            <w:pPr>
              <w:widowControl/>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5.1.4（增加）修改为：</w:t>
            </w:r>
          </w:p>
          <w:p w14:paraId="13B57288">
            <w:pPr>
              <w:widowControl/>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承包人所采购的材料和工程设备所使用的原材料及其制成品质量必须达到国家标准或行业标准、施工验收规范以及设计技术要求，承包人应对其质量负完全责任。</w:t>
            </w:r>
          </w:p>
          <w:p w14:paraId="6BEF7BD4">
            <w:pPr>
              <w:widowControl/>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承包人采购的材料和工程设备不符合设计或有关标准要求时，承包人应在监理人要求的合理期限内将不符合设计或有关标准要求的材料、工程设备运出施工现场，并重新采购符合要求的材料、工程设备，由此增加的费用和（或）延误工期所造成的损失，由承包人承担。</w:t>
            </w:r>
          </w:p>
          <w:p w14:paraId="75F28932">
            <w:pPr>
              <w:widowControl/>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对承包人提供的材料和工程设备，承包人应会同监理人进行检验和交货验收，查验材料合格证明和产品合格证书，并按合同约定和监理人指示，进行材料的抽样检验和工程设备的检验测试，检验和测试结果应提交监理人，所需费用由承包人承担。</w:t>
            </w:r>
          </w:p>
          <w:p w14:paraId="2F2F7096">
            <w:pPr>
              <w:widowControl/>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承包人负责采购的材料设备应满足业主提供的技术规范要求并征得审查同意。承包人采购的设备材料到现场后，监理人将组织对其进行抽检，抽检不满足国家标准或设计要求的，承包人应立即退场并重新采购合格材料，由此增加的费用和延误的工期由承包人承担，同时视为承包人违约，需按照合同金额</w:t>
            </w:r>
            <w:r>
              <w:rPr>
                <w:rFonts w:hint="eastAsia" w:ascii="方正仿宋_GBK" w:hAnsi="方正仿宋_GBK" w:eastAsia="方正仿宋_GBK" w:cs="方正仿宋_GBK"/>
                <w:snapToGrid w:val="0"/>
                <w:kern w:val="0"/>
                <w:sz w:val="18"/>
                <w:szCs w:val="18"/>
                <w:u w:val="single"/>
                <w:lang w:val="en-US" w:eastAsia="zh-CN"/>
              </w:rPr>
              <w:t xml:space="preserve"> / </w:t>
            </w:r>
            <w:r>
              <w:rPr>
                <w:rFonts w:hint="eastAsia" w:ascii="方正仿宋_GBK" w:hAnsi="方正仿宋_GBK" w:eastAsia="方正仿宋_GBK" w:cs="方正仿宋_GBK"/>
                <w:snapToGrid w:val="0"/>
                <w:kern w:val="0"/>
                <w:sz w:val="18"/>
                <w:szCs w:val="18"/>
              </w:rPr>
              <w:t>%向发包人承担违约责任，违约金发包人有权直接从应付工程款或履约保证金计扣，质保期到期，承包人存在违约金未付的，在办理质保金结算时，发包人有权进行抵扣。</w:t>
            </w:r>
          </w:p>
          <w:p w14:paraId="7B4D7FBA">
            <w:pPr>
              <w:widowControl/>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由于承包人采购的泵、电梯、防火涂料、CAFS灭火系统、所有电力电缆、控制电缆及电缆桥架、户内外端子箱、电源箱、检修箱、起重设备等乙供材料设备故障引起报警及以上影响，或不按设计要求规范使用电缆中间接头等情况的，除承担本合同其他条款约定的违约责任外，尚应扣除质保金的10%。</w:t>
            </w:r>
          </w:p>
          <w:p w14:paraId="3C72347B">
            <w:pPr>
              <w:autoSpaceDE w:val="0"/>
              <w:autoSpaceDN w:val="0"/>
              <w:adjustRightInd w:val="0"/>
              <w:ind w:firstLine="360" w:firstLineChars="20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承包人负责采购的材料，由发包人或监理人明确封样管理范围，经发包人、监理人和设计等单位确认规格、质量、数量、供货期等要求后进行封样，所需费用由承包人承担。</w:t>
            </w:r>
          </w:p>
        </w:tc>
      </w:tr>
      <w:tr w14:paraId="34A988C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0D361FE">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3CDE4ABC">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专用</w:t>
            </w:r>
            <w:r>
              <w:rPr>
                <w:rStyle w:val="51"/>
                <w:rFonts w:hint="default"/>
                <w:color w:val="auto"/>
                <w:sz w:val="18"/>
                <w:szCs w:val="18"/>
              </w:rPr>
              <w:t>5.1.5</w:t>
            </w:r>
          </w:p>
        </w:tc>
        <w:tc>
          <w:tcPr>
            <w:tcW w:w="3582" w:type="dxa"/>
            <w:vAlign w:val="center"/>
          </w:tcPr>
          <w:p w14:paraId="7623FFB9">
            <w:pPr>
              <w:widowControl/>
              <w:autoSpaceDE w:val="0"/>
              <w:adjustRightInd w:val="0"/>
              <w:snapToGrid w:val="0"/>
              <w:spacing w:line="300" w:lineRule="auto"/>
              <w:textAlignment w:val="center"/>
              <w:rPr>
                <w:rStyle w:val="51"/>
                <w:rFonts w:hint="default"/>
                <w:color w:val="auto"/>
                <w:sz w:val="18"/>
                <w:szCs w:val="18"/>
              </w:rPr>
            </w:pPr>
            <w:r>
              <w:rPr>
                <w:rStyle w:val="51"/>
                <w:rFonts w:hint="default"/>
                <w:color w:val="auto"/>
                <w:sz w:val="18"/>
                <w:szCs w:val="18"/>
              </w:rPr>
              <w:t>5.1.5 （增加）：</w:t>
            </w:r>
          </w:p>
          <w:p w14:paraId="5D2BE404">
            <w:pPr>
              <w:widowControl/>
              <w:autoSpaceDE w:val="0"/>
              <w:adjustRightInd w:val="0"/>
              <w:snapToGrid w:val="0"/>
              <w:spacing w:line="300" w:lineRule="auto"/>
              <w:textAlignment w:val="center"/>
              <w:rPr>
                <w:rStyle w:val="51"/>
                <w:rFonts w:hint="default"/>
                <w:color w:val="auto"/>
                <w:sz w:val="18"/>
                <w:szCs w:val="18"/>
              </w:rPr>
            </w:pPr>
            <w:r>
              <w:rPr>
                <w:rStyle w:val="51"/>
                <w:rFonts w:hint="default"/>
                <w:color w:val="auto"/>
                <w:sz w:val="18"/>
                <w:szCs w:val="18"/>
              </w:rPr>
              <w:t>承包人在现场加工制作的预制件，必须首先征得监理人的同意，严格按图加工制作，并应有相应的材料检验合格的证明。</w:t>
            </w:r>
          </w:p>
          <w:p w14:paraId="51F5BD15">
            <w:pPr>
              <w:widowControl/>
              <w:autoSpaceDE w:val="0"/>
              <w:adjustRightInd w:val="0"/>
              <w:snapToGrid w:val="0"/>
              <w:spacing w:line="300" w:lineRule="auto"/>
              <w:textAlignment w:val="center"/>
              <w:rPr>
                <w:rFonts w:ascii="方正仿宋_GBK" w:hAnsi="方正仿宋_GBK" w:eastAsia="方正仿宋_GBK" w:cs="方正仿宋_GBK"/>
                <w:color w:val="000000" w:themeColor="text1"/>
                <w:sz w:val="18"/>
                <w:szCs w:val="18"/>
              </w:rPr>
            </w:pPr>
            <w:r>
              <w:rPr>
                <w:rStyle w:val="51"/>
                <w:rFonts w:hint="default"/>
                <w:color w:val="auto"/>
                <w:sz w:val="18"/>
                <w:szCs w:val="18"/>
              </w:rPr>
              <w:t>承包人选定的砂、石、水、水泥、水泥掺加剂、钢筋、砼试块等必须按规范规定抽样，送至省级及以上建设行政管理部门批准的质量检验部门进行检验；送检样品必须由监理人见证取样，工程中使用的材料与送检样品必须一致，检验项目必须满足现行国家标准或行业标准。</w:t>
            </w:r>
          </w:p>
        </w:tc>
        <w:tc>
          <w:tcPr>
            <w:tcW w:w="4455" w:type="dxa"/>
          </w:tcPr>
          <w:p w14:paraId="36E0D519">
            <w:pPr>
              <w:widowControl/>
              <w:autoSpaceDE w:val="0"/>
              <w:adjustRightInd w:val="0"/>
              <w:snapToGrid w:val="0"/>
              <w:spacing w:line="300" w:lineRule="auto"/>
              <w:textAlignment w:val="center"/>
              <w:rPr>
                <w:rStyle w:val="51"/>
                <w:rFonts w:hint="default"/>
                <w:color w:val="auto"/>
                <w:sz w:val="18"/>
                <w:szCs w:val="18"/>
              </w:rPr>
            </w:pPr>
            <w:r>
              <w:rPr>
                <w:rStyle w:val="51"/>
                <w:rFonts w:hint="default"/>
                <w:color w:val="auto"/>
                <w:sz w:val="18"/>
                <w:szCs w:val="18"/>
              </w:rPr>
              <w:t>5.1.5 （增加）：</w:t>
            </w:r>
          </w:p>
          <w:p w14:paraId="7BF8C066">
            <w:pPr>
              <w:widowControl/>
              <w:autoSpaceDE w:val="0"/>
              <w:adjustRightInd w:val="0"/>
              <w:snapToGrid w:val="0"/>
              <w:spacing w:line="300" w:lineRule="auto"/>
              <w:textAlignment w:val="center"/>
              <w:rPr>
                <w:rStyle w:val="51"/>
                <w:rFonts w:hint="default"/>
                <w:color w:val="auto"/>
                <w:sz w:val="18"/>
                <w:szCs w:val="18"/>
              </w:rPr>
            </w:pPr>
            <w:r>
              <w:rPr>
                <w:rStyle w:val="51"/>
                <w:rFonts w:hint="default"/>
                <w:color w:val="auto"/>
                <w:sz w:val="18"/>
                <w:szCs w:val="18"/>
              </w:rPr>
              <w:t>承包人在现场加工制作的预制件，必须首先征得监理人的同意，严格按图加工制作，并应有相应的材料检验合格的证明。</w:t>
            </w:r>
          </w:p>
          <w:p w14:paraId="789F3A5C">
            <w:pPr>
              <w:widowControl/>
              <w:autoSpaceDE w:val="0"/>
              <w:adjustRightInd w:val="0"/>
              <w:snapToGrid w:val="0"/>
              <w:spacing w:line="300" w:lineRule="auto"/>
              <w:textAlignment w:val="center"/>
              <w:rPr>
                <w:rStyle w:val="51"/>
                <w:rFonts w:hint="default"/>
                <w:color w:val="auto"/>
                <w:sz w:val="18"/>
                <w:szCs w:val="18"/>
              </w:rPr>
            </w:pPr>
            <w:r>
              <w:rPr>
                <w:rStyle w:val="51"/>
                <w:rFonts w:hint="default"/>
                <w:color w:val="auto"/>
                <w:sz w:val="18"/>
                <w:szCs w:val="18"/>
              </w:rPr>
              <w:t>承包人选定的砂、石、水、水泥、水泥掺加剂、钢筋、砼试块等必须按规范规定抽样，送至省级及以上建设行政管理部门批准的质量检验部门进行检验；送检样品必须由监理人见证取样，工程中使用的材料与送检样品必须一致，检验项目必须满足现行国家标准或行业标准。</w:t>
            </w:r>
          </w:p>
          <w:p w14:paraId="6305EF47">
            <w:pPr>
              <w:widowControl/>
              <w:autoSpaceDE w:val="0"/>
              <w:adjustRightInd w:val="0"/>
              <w:snapToGrid w:val="0"/>
              <w:spacing w:line="300" w:lineRule="auto"/>
              <w:textAlignment w:val="center"/>
              <w:rPr>
                <w:rFonts w:ascii="方正仿宋_GBK" w:hAnsi="方正仿宋_GBK" w:eastAsia="方正仿宋_GBK" w:cs="方正仿宋_GBK"/>
                <w:color w:val="000000" w:themeColor="text1"/>
                <w:sz w:val="18"/>
                <w:szCs w:val="18"/>
              </w:rPr>
            </w:pPr>
            <w:r>
              <w:rPr>
                <w:rStyle w:val="51"/>
                <w:rFonts w:hint="default"/>
                <w:color w:val="auto"/>
                <w:sz w:val="18"/>
                <w:szCs w:val="18"/>
              </w:rPr>
              <w:t>施工承包人负责采购的进口设备或跨省域运输的设备所需木质包装箱应符合国家及地方政府关于外来物种入侵（包括但不限于国家或地方政府禁止的虫卵、污染物等外来物种）的各类检疫检测要求，相关检疫检测所需费用由施工承包人自行负责。</w:t>
            </w:r>
          </w:p>
        </w:tc>
      </w:tr>
      <w:tr w14:paraId="4251DBC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7567001">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4380C994">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专用条款5.2.1</w:t>
            </w:r>
          </w:p>
        </w:tc>
        <w:tc>
          <w:tcPr>
            <w:tcW w:w="3582" w:type="dxa"/>
            <w:vAlign w:val="center"/>
          </w:tcPr>
          <w:p w14:paraId="04673850">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5.2.1 发包人提供的材料和工程设备的名称如下：</w:t>
            </w:r>
          </w:p>
          <w:p w14:paraId="7610BF53">
            <w:pPr>
              <w:widowControl/>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变电站工程：一、二次设备、支柱绝缘子、管母及配套金具、电力电缆等设备及材料（以工程量清单及相关合同文件为准）。</w:t>
            </w:r>
          </w:p>
          <w:p w14:paraId="0B86DCD3">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线路工程：导线、地线、铁塔（不含地脚螺栓、插入角钢）、绝缘子、金具、OPGW及其配套金具（以工程量清单及合同文件为准）。</w:t>
            </w:r>
          </w:p>
        </w:tc>
        <w:tc>
          <w:tcPr>
            <w:tcW w:w="4455" w:type="dxa"/>
            <w:vAlign w:val="center"/>
          </w:tcPr>
          <w:p w14:paraId="5D2E80F8">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5.2.1修改为：</w:t>
            </w:r>
          </w:p>
          <w:p w14:paraId="6D376523">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发包人提供的材料和工程设备的名称如下：</w:t>
            </w:r>
          </w:p>
          <w:p w14:paraId="76D33191">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变电站工程：建筑钢结构、压型钢板、暖通空调、构支架、一、二次设备、支柱绝缘子、管母及配套金具、35kV及以上电压等级的电力电缆等设备及材料（以工程量清单及相关合同文件为准）。注：发包人供应的材料损耗量已按《电网工程建设预算编制与计算规定（</w:t>
            </w:r>
            <w:r>
              <w:rPr>
                <w:rFonts w:hint="eastAsia" w:ascii="方正仿宋_GBK" w:hAnsi="方正仿宋_GBK" w:eastAsia="方正仿宋_GBK" w:cs="方正仿宋_GBK"/>
                <w:sz w:val="18"/>
                <w:szCs w:val="18"/>
                <w:lang w:val="en-US" w:eastAsia="zh-CN"/>
              </w:rPr>
              <w:t>2025</w:t>
            </w:r>
            <w:r>
              <w:rPr>
                <w:rFonts w:hint="eastAsia" w:ascii="方正仿宋_GBK" w:hAnsi="方正仿宋_GBK" w:eastAsia="方正仿宋_GBK" w:cs="方正仿宋_GBK"/>
                <w:sz w:val="18"/>
                <w:szCs w:val="18"/>
              </w:rPr>
              <w:t>版）》配套定额损耗量供应，因承包人原因所增加的部分必须到原供应厂家采购，费用自负，发包人负责协助协调。</w:t>
            </w:r>
          </w:p>
          <w:p w14:paraId="1AAFB328">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线路工程：导线、地线、铁塔（不含地脚螺栓、插入角钢）、绝缘子、金具、OPGW及其配套金具（以工程量清单及合同文件为准）。</w:t>
            </w:r>
          </w:p>
        </w:tc>
      </w:tr>
      <w:tr w14:paraId="7368DE2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102C524">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137D62E3">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1E994DD8">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6.1.4（新增）</w:t>
            </w:r>
          </w:p>
        </w:tc>
        <w:tc>
          <w:tcPr>
            <w:tcW w:w="3582" w:type="dxa"/>
            <w:vAlign w:val="center"/>
          </w:tcPr>
          <w:p w14:paraId="576D7810">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无</w:t>
            </w:r>
          </w:p>
        </w:tc>
        <w:tc>
          <w:tcPr>
            <w:tcW w:w="4455" w:type="dxa"/>
            <w:vAlign w:val="center"/>
          </w:tcPr>
          <w:p w14:paraId="3F32CF56">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6.1.4（增加）：</w:t>
            </w:r>
          </w:p>
          <w:p w14:paraId="6A25B05E">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（1）各承包单位分别负责站内各自施工区域的卫生清扫。交叉施工时，各个承包人负责自身施工区域的卫生清扫，做到工完料尽场地清，各承包人负责自身施工设备、材料和工机具的保卫工作。</w:t>
            </w:r>
          </w:p>
          <w:p w14:paraId="7EC4E354">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（2）临时施工电源的管理由</w:t>
            </w:r>
            <w:r>
              <w:rPr>
                <w:rFonts w:hint="eastAsia" w:ascii="方正仿宋_GBK" w:hAnsi="方正仿宋_GBK" w:eastAsia="方正仿宋_GBK" w:cs="方正仿宋_GBK"/>
                <w:sz w:val="18"/>
                <w:szCs w:val="18"/>
                <w:lang w:val="en-US" w:eastAsia="zh-CN"/>
              </w:rPr>
              <w:t>电气安装</w:t>
            </w:r>
            <w:r>
              <w:rPr>
                <w:rFonts w:hint="eastAsia" w:ascii="方正仿宋_GBK" w:hAnsi="方正仿宋_GBK" w:eastAsia="方正仿宋_GBK" w:cs="方正仿宋_GBK"/>
                <w:sz w:val="18"/>
                <w:szCs w:val="18"/>
              </w:rPr>
              <w:t>包牵头负责。正式站用电设备的任何临时投运部分由安装包负责照看、运行、管理、维护。</w:t>
            </w:r>
          </w:p>
          <w:p w14:paraId="6C2BFA38">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（3）建筑物室内临时照明由土建单位装设并维护。</w:t>
            </w:r>
          </w:p>
          <w:p w14:paraId="70808685">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（4）集中办公区固话及外网通讯接入及维护由</w:t>
            </w:r>
            <w:r>
              <w:rPr>
                <w:rFonts w:hint="eastAsia" w:ascii="方正仿宋_GBK" w:hAnsi="方正仿宋_GBK" w:eastAsia="方正仿宋_GBK" w:cs="方正仿宋_GBK"/>
                <w:sz w:val="18"/>
                <w:szCs w:val="18"/>
                <w:lang w:val="en-US" w:eastAsia="zh-CN"/>
              </w:rPr>
              <w:t>电气安装</w:t>
            </w:r>
            <w:r>
              <w:rPr>
                <w:rFonts w:hint="eastAsia" w:ascii="方正仿宋_GBK" w:hAnsi="方正仿宋_GBK" w:eastAsia="方正仿宋_GBK" w:cs="方正仿宋_GBK"/>
                <w:sz w:val="18"/>
                <w:szCs w:val="18"/>
              </w:rPr>
              <w:t>包负责。各参建单位分别承担自己范围内的费用。</w:t>
            </w:r>
          </w:p>
          <w:p w14:paraId="7626781B">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（5）</w:t>
            </w:r>
            <w:r>
              <w:rPr>
                <w:rFonts w:hint="eastAsia" w:ascii="方正仿宋_GBK" w:hAnsi="方正仿宋_GBK" w:eastAsia="方正仿宋_GBK" w:cs="方正仿宋_GBK"/>
                <w:sz w:val="18"/>
                <w:szCs w:val="18"/>
                <w:lang w:val="en-US" w:eastAsia="zh-CN"/>
              </w:rPr>
              <w:t>电气安装</w:t>
            </w:r>
            <w:r>
              <w:rPr>
                <w:rFonts w:hint="eastAsia" w:ascii="方正仿宋_GBK" w:hAnsi="方正仿宋_GBK" w:eastAsia="方正仿宋_GBK" w:cs="方正仿宋_GBK"/>
                <w:sz w:val="18"/>
                <w:szCs w:val="18"/>
              </w:rPr>
              <w:t>包负责制作、维护、管理临建及站区公共区域图牌及安全体验区设施、集中办公区内所有设施，费用由各承包单位按照合同比例分摊。</w:t>
            </w:r>
          </w:p>
        </w:tc>
      </w:tr>
      <w:tr w14:paraId="1B65A85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692906A">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319F8DF7">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23C25BC4">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6.2</w:t>
            </w:r>
          </w:p>
        </w:tc>
        <w:tc>
          <w:tcPr>
            <w:tcW w:w="3582" w:type="dxa"/>
            <w:vAlign w:val="center"/>
          </w:tcPr>
          <w:p w14:paraId="54B84068">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6.2 发包人提供的施工设备和临时设施</w:t>
            </w:r>
          </w:p>
          <w:p w14:paraId="0AF2CA89">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 xml:space="preserve">所有施工设备或装备均由承包人根据自身施工需要提供，发包人不提供任何有关的施工设备。发包人的现场办公场所，由承包人解决，费用含在合同价格中。设计及监理的现场办公场所由其自行负责。 </w:t>
            </w:r>
          </w:p>
        </w:tc>
        <w:tc>
          <w:tcPr>
            <w:tcW w:w="4455" w:type="dxa"/>
            <w:vAlign w:val="center"/>
          </w:tcPr>
          <w:p w14:paraId="2AAB7216">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6.2发包人提供的施工设备和临时设施修改为：</w:t>
            </w:r>
          </w:p>
          <w:p w14:paraId="7A5D7EBF">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所有施工设备或装备均由承包人根据自身施工需要提供，发包人不提供任何有关的施工设备。发包人及现场运行、物资、监理、设计的现场集中办公场所，由承包人负责解决，费用含在承包人合同价格中。</w:t>
            </w:r>
          </w:p>
        </w:tc>
      </w:tr>
      <w:tr w14:paraId="3361AB7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1420ABC">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42837718">
            <w:pPr>
              <w:widowControl/>
              <w:adjustRightInd w:val="0"/>
              <w:snapToGrid w:val="0"/>
              <w:rPr>
                <w:rFonts w:ascii="方正仿宋_GBK" w:hAnsi="方正仿宋_GBK" w:eastAsia="方正仿宋_GBK" w:cs="方正仿宋_GBK"/>
                <w:color w:val="000000" w:themeColor="text1"/>
                <w:sz w:val="18"/>
                <w:szCs w:val="18"/>
              </w:rPr>
            </w:pPr>
          </w:p>
        </w:tc>
        <w:tc>
          <w:tcPr>
            <w:tcW w:w="3582" w:type="dxa"/>
            <w:vAlign w:val="center"/>
          </w:tcPr>
          <w:p w14:paraId="7EA3BA49">
            <w:pPr>
              <w:widowControl/>
              <w:autoSpaceDE w:val="0"/>
              <w:adjustRightInd w:val="0"/>
              <w:snapToGrid w:val="0"/>
              <w:spacing w:line="300" w:lineRule="auto"/>
              <w:textAlignment w:val="center"/>
              <w:rPr>
                <w:rFonts w:ascii="方正仿宋_GBK" w:hAnsi="方正仿宋_GBK" w:eastAsia="方正仿宋_GBK" w:cs="方正仿宋_GBK"/>
                <w:snapToGrid w:val="0"/>
                <w:color w:val="000000" w:themeColor="text1"/>
                <w:kern w:val="0"/>
                <w:sz w:val="18"/>
                <w:szCs w:val="18"/>
              </w:rPr>
            </w:pPr>
          </w:p>
        </w:tc>
        <w:tc>
          <w:tcPr>
            <w:tcW w:w="4455" w:type="dxa"/>
          </w:tcPr>
          <w:p w14:paraId="7722FE30">
            <w:pPr>
              <w:widowControl/>
              <w:autoSpaceDE w:val="0"/>
              <w:adjustRightInd w:val="0"/>
              <w:snapToGrid w:val="0"/>
              <w:spacing w:line="300" w:lineRule="auto"/>
              <w:textAlignment w:val="center"/>
              <w:rPr>
                <w:rFonts w:ascii="方正仿宋_GBK" w:hAnsi="方正仿宋_GBK" w:eastAsia="方正仿宋_GBK" w:cs="方正仿宋_GBK"/>
                <w:snapToGrid w:val="0"/>
                <w:color w:val="000000" w:themeColor="text1"/>
                <w:kern w:val="0"/>
                <w:sz w:val="18"/>
                <w:szCs w:val="18"/>
              </w:rPr>
            </w:pPr>
          </w:p>
        </w:tc>
      </w:tr>
      <w:tr w14:paraId="560D5AC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04" w:hRule="atLeast"/>
        </w:trPr>
        <w:tc>
          <w:tcPr>
            <w:tcW w:w="1040" w:type="dxa"/>
            <w:vAlign w:val="center"/>
          </w:tcPr>
          <w:p w14:paraId="6A9D4F39">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0346944E">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专用条款9.2.1</w:t>
            </w:r>
          </w:p>
        </w:tc>
        <w:tc>
          <w:tcPr>
            <w:tcW w:w="3582" w:type="dxa"/>
            <w:vAlign w:val="center"/>
          </w:tcPr>
          <w:p w14:paraId="1AB62690">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9.2.1 承包人在现场应遵守并落实所有现行的有关安全、文明施工的规章制度要求。除非本合同另有约定，自在施工场地开始工作直到工程全部移交为止，承包人应：</w:t>
            </w:r>
          </w:p>
          <w:p w14:paraId="36F55D34">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（1）全面负责在施工场地上施工的人员的安全，并使施工场地和工程保持良好的秩序，以避免发生人身事故。</w:t>
            </w:r>
          </w:p>
          <w:p w14:paraId="0417AA6E">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（2）为了保护工程或为了公众及其他人员的安全及方便，在监理人或任何有权机关所要求的时间和地点、以其自己的费用提供并维修所有的照明、护栏、围墙、警告标志及守卫设施。</w:t>
            </w:r>
          </w:p>
          <w:p w14:paraId="4B305B0F">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3）按合同约定履行安全职责,执行监理人有关安全工作的指示,并合同约定的期限内，按合同约定的安全工作内容，编制施工安全措施计划报送监理人审批。承包人应在工程开工7天前，按合同约定的安全工作内容，编制施工安全措施计划报送监理人审批。  </w:t>
            </w:r>
          </w:p>
          <w:p w14:paraId="71EA7533">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加强施工作业安全管理，特别应加强易燃、易爆材料、火工器材、有毒与腐蚀性材料和其他危险品的管理，以及对爆破作业和地下工程施工等危险作业的管理。承包人应根据国家有关规定布置消防器材，保证消防通道畅通，做好防火防盗工作。</w:t>
            </w:r>
          </w:p>
          <w:p w14:paraId="2B4BBF3B">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（5）严格按照国家安全标准制定施工安全操作规程，配备必要的安全生产和劳动保护设施，加强对承包人人员的安全教育，并发放安全工作手册和劳动保护用具。</w:t>
            </w:r>
          </w:p>
          <w:p w14:paraId="24FD3572">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（6）按监理人的指示制定应对灾害的紧急预案，报送监理人审批。承包人还应按预案做好安全检查，配置必要的救助物资和器材，切实保护好有关人员的人身和财产安全。</w:t>
            </w:r>
          </w:p>
          <w:p w14:paraId="08F48943">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7）建立以项目经理为第一安全责任人的各级安全施工责任制。项目承包范围内所有参建人员（包括劳务分包商人员、临时用工）均应纳入项目安全管理网络；制订各级人员的安全职责，建立和健全安全保证体系和监督体系；应指派一位常驻工地的专职安全员，专职安全员应能胜任此项工作，并有权发布各种指示及采取防止事故发生的预防措施。</w:t>
            </w:r>
          </w:p>
          <w:p w14:paraId="206BB072">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8）对项目现场安全健康与环境工作负全面责任，负责经常性的内部安全检查，至少每月进行一次对项目现场的安全监督检查，监督安全隐患的整改。参加发包人、监理人组织的安全大检查工作，对发现的问题应在限期内完成整改。</w:t>
            </w:r>
          </w:p>
          <w:p w14:paraId="35BCA8A9">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（9）建立健全符合工程实际情况、具有可操作性的安全管理制度，建立安全管理、监督网络，根据工程的进展配备足够的安全管理资源，并确保实施到位。</w:t>
            </w:r>
          </w:p>
          <w:p w14:paraId="7D02F776">
            <w:pPr>
              <w:pStyle w:val="2"/>
              <w:rPr>
                <w:rFonts w:ascii="方正仿宋_GBK" w:hAnsi="方正仿宋_GBK" w:eastAsia="方正仿宋_GBK" w:cs="方正仿宋_GBK"/>
              </w:rPr>
            </w:pPr>
          </w:p>
          <w:p w14:paraId="27F31A76">
            <w:pPr>
              <w:widowControl/>
              <w:adjustRightInd w:val="0"/>
              <w:snapToGrid w:val="0"/>
              <w:jc w:val="left"/>
              <w:rPr>
                <w:rFonts w:ascii="方正仿宋_GBK" w:hAnsi="方正仿宋_GBK" w:eastAsia="方正仿宋_GBK" w:cs="方正仿宋_GBK"/>
                <w:color w:val="000000" w:themeColor="text1"/>
                <w:sz w:val="18"/>
                <w:szCs w:val="18"/>
              </w:rPr>
            </w:pPr>
          </w:p>
        </w:tc>
        <w:tc>
          <w:tcPr>
            <w:tcW w:w="4455" w:type="dxa"/>
            <w:vAlign w:val="center"/>
          </w:tcPr>
          <w:p w14:paraId="672CDCA1">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9.2.1 承包人在现场应遵守并落实所有现行的有关安全、文明施工的规章制度要求。强化风险管控，二级及以上的重大风险按要求做到“挂牌督查”和主要负责人“到岗到位”检查、落实安全措施及监护工作。除非本合同另有约定，自在施工场地开始工作直到工程全部移交为止，承包人应：</w:t>
            </w:r>
          </w:p>
          <w:p w14:paraId="4E9C48CA">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（1）全面负责在施工场地上施工的人员的安全，并使施工场地和工程保持良好的秩序，以避免发生人身事故。</w:t>
            </w:r>
          </w:p>
          <w:p w14:paraId="314186AC">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（2）为了保护工程或为了公众及其他人员的安全及方便，在监理人或任何有权机关所要求的时间和地点、以其自己的费用提供并维修所有的照明、护栏、围墙、警告标志及守卫设施。</w:t>
            </w:r>
          </w:p>
          <w:p w14:paraId="6588FB70">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3）按合同约定履行安全职责,执行监理人有关安全工作的指示,并合同约定的期限内，按合同约定的安全工作内容，编制施工安全措施计划报送监理人审批。承包人应在工程开工7天前，按合同约定的安全工作内容，编制施工安全措施计划报送监理人审批。  </w:t>
            </w:r>
          </w:p>
          <w:p w14:paraId="5230C8F0">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加强施工作业安全管理，特别应加强易燃、易爆材料、火工器材、有毒与腐蚀性材料和其他危险品的管理，以及对爆破作业和地下工程施工等危险作业的管理。承包人应根据国家有关规定布置消防器材，保证消防通道畅通，做好防火防盗工作。</w:t>
            </w:r>
          </w:p>
          <w:p w14:paraId="20844BF1">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（5）严格按照国家安全标准制定施工安全操作规程，配备必要的安全生产和劳动保护设施，加强对承包人人员的安全教育，并发放安全工作手册和劳动保护用具。</w:t>
            </w:r>
          </w:p>
          <w:p w14:paraId="634589D7">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（6）按监理人的指示制定应对灾害的紧急预案，报送监理人审批。承包人还应按预案做好安全检查，配置必要的救助物资和器材，切实保护好有关人员的人身和财产安全。</w:t>
            </w:r>
          </w:p>
          <w:p w14:paraId="50E56067">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7）建立以项目经理为第一安全责任人的各级安全施工责任制。项目承包范围内所有参建人员（包括劳务分包商人员、临时用工）均应纳入项目安全管理网络；制订各级人员的安全职责，建立和健全安全保证体系和监督体系；应指派一位常驻工地的专职安全员，专职安全员应能胜任此项工作，并有权发布各种指示及采取防止事故发生的预防措施。</w:t>
            </w:r>
          </w:p>
          <w:p w14:paraId="1FE22FDF">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8）对项目现场安全健康与环境工作负全面责任，负责经常性的内部安全检查，至少每月进行一次对项目现场的安全监督检查，监督安全隐患的整改。参加发包人、监理人组织的安全大检查工作，对发现的问题应在限期内完成整改。</w:t>
            </w:r>
          </w:p>
          <w:p w14:paraId="1CAFC575">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（9）建立健全符合工程实际情况、具有可操作性的安全管理制度，建立安全管理、监督网络，根据工程的进展配备足够的安全管理资源，并确保实施到位。</w:t>
            </w:r>
          </w:p>
          <w:p w14:paraId="30C93DCD">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（10）建筑物施工时室外脚手架宜采用盘扣式脚手架，并使用冲孔钢板网保护施工安全。承包人在施工前应编制详细施工方案，报监理、业主单位审核批准。</w:t>
            </w:r>
          </w:p>
        </w:tc>
      </w:tr>
      <w:tr w14:paraId="421C062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04" w:hRule="atLeast"/>
        </w:trPr>
        <w:tc>
          <w:tcPr>
            <w:tcW w:w="1040" w:type="dxa"/>
            <w:vAlign w:val="center"/>
          </w:tcPr>
          <w:p w14:paraId="10AAA33F">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45C165E2">
            <w:pPr>
              <w:widowControl/>
              <w:rPr>
                <w:rFonts w:ascii="方正仿宋_GBK" w:hAnsi="方正仿宋_GBK" w:eastAsia="方正仿宋_GBK" w:cs="方正仿宋_GBK"/>
                <w:sz w:val="18"/>
                <w:szCs w:val="18"/>
              </w:rPr>
            </w:pPr>
            <w:r>
              <w:rPr>
                <w:rFonts w:hint="eastAsia" w:ascii="方正仿宋_GBK" w:hAnsi="方正仿宋_GBK" w:eastAsia="方正仿宋_GBK" w:cs="方正仿宋_GBK"/>
                <w:kern w:val="0"/>
                <w:sz w:val="18"/>
                <w:szCs w:val="18"/>
              </w:rPr>
              <w:t>专用条款9.2.2</w:t>
            </w:r>
          </w:p>
        </w:tc>
        <w:tc>
          <w:tcPr>
            <w:tcW w:w="3582" w:type="dxa"/>
            <w:vAlign w:val="center"/>
          </w:tcPr>
          <w:p w14:paraId="448008DB">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9.2.2 承包人应按下表约定的时间将下列文件提交发包人及监理人： </w:t>
            </w:r>
          </w:p>
          <w:p w14:paraId="36C5E91D">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（3）工程安全管理台帐和施工安全风险管理及风险控制方案；</w:t>
            </w:r>
          </w:p>
        </w:tc>
        <w:tc>
          <w:tcPr>
            <w:tcW w:w="4455" w:type="dxa"/>
            <w:vAlign w:val="center"/>
          </w:tcPr>
          <w:p w14:paraId="42F4CAF6">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9.2.2 承包人应按下表约定的时间将下列文件提交发包人及监理人： </w:t>
            </w:r>
          </w:p>
          <w:p w14:paraId="36FF3B5E">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（3）工程安全管理台帐和施工安全管控措施；</w:t>
            </w:r>
          </w:p>
        </w:tc>
      </w:tr>
      <w:tr w14:paraId="678928A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04" w:hRule="atLeast"/>
        </w:trPr>
        <w:tc>
          <w:tcPr>
            <w:tcW w:w="1040" w:type="dxa"/>
            <w:vAlign w:val="center"/>
          </w:tcPr>
          <w:p w14:paraId="039203DC">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09F77045">
            <w:pPr>
              <w:widowControl/>
              <w:rPr>
                <w:rFonts w:ascii="方正仿宋_GBK" w:hAnsi="方正仿宋_GBK" w:eastAsia="方正仿宋_GBK" w:cs="方正仿宋_GBK"/>
                <w:sz w:val="18"/>
                <w:szCs w:val="18"/>
              </w:rPr>
            </w:pPr>
            <w:r>
              <w:rPr>
                <w:rFonts w:hint="eastAsia" w:ascii="方正仿宋_GBK" w:hAnsi="方正仿宋_GBK" w:eastAsia="方正仿宋_GBK" w:cs="方正仿宋_GBK"/>
                <w:kern w:val="0"/>
                <w:sz w:val="18"/>
                <w:szCs w:val="18"/>
              </w:rPr>
              <w:t>专用条款9.3.1</w:t>
            </w:r>
          </w:p>
        </w:tc>
        <w:tc>
          <w:tcPr>
            <w:tcW w:w="3582" w:type="dxa"/>
            <w:vAlign w:val="center"/>
          </w:tcPr>
          <w:p w14:paraId="392C3DF6">
            <w:pPr>
              <w:autoSpaceDE w:val="0"/>
              <w:autoSpaceDN w:val="0"/>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9.3.1 承包人是项目治安保卫工作的责任主体。除合同另有约定外，承包人应与当地公安部门协商，在现场建立治安管理机构或联防组织，统一管理施工场地的治安保卫事项，合理安排保卫人员值班，履行治安保卫职责。</w:t>
            </w:r>
          </w:p>
        </w:tc>
        <w:tc>
          <w:tcPr>
            <w:tcW w:w="4455" w:type="dxa"/>
            <w:vAlign w:val="center"/>
          </w:tcPr>
          <w:p w14:paraId="01F6505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kern w:val="0"/>
                <w:sz w:val="18"/>
                <w:szCs w:val="18"/>
              </w:rPr>
              <w:t>9.3.1 承包人是项目治安保卫工作的责任主体。除合同另有约定外，承包人应与当地公安部门协商，与公安部门、应急管理部门、公共医疗部门签订《安全生产应急救援联动协议》，在现场建立治安管理机构或联防组织，统一管理施工场地的治安保卫事项，合理安排保卫人员值班，履行治安保卫职责。</w:t>
            </w:r>
          </w:p>
        </w:tc>
      </w:tr>
      <w:tr w14:paraId="2A268AC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04" w:hRule="atLeast"/>
        </w:trPr>
        <w:tc>
          <w:tcPr>
            <w:tcW w:w="1040" w:type="dxa"/>
            <w:vAlign w:val="center"/>
          </w:tcPr>
          <w:p w14:paraId="13FBB0FF">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41B20175">
            <w:pPr>
              <w:widowControl/>
              <w:rPr>
                <w:rFonts w:ascii="方正仿宋_GBK" w:hAnsi="方正仿宋_GBK" w:eastAsia="方正仿宋_GBK" w:cs="方正仿宋_GBK"/>
                <w:sz w:val="18"/>
                <w:szCs w:val="18"/>
              </w:rPr>
            </w:pPr>
            <w:r>
              <w:rPr>
                <w:rFonts w:hint="eastAsia" w:ascii="方正仿宋_GBK" w:hAnsi="方正仿宋_GBK" w:eastAsia="方正仿宋_GBK" w:cs="方正仿宋_GBK"/>
                <w:kern w:val="0"/>
                <w:sz w:val="18"/>
                <w:szCs w:val="18"/>
              </w:rPr>
              <w:t>专用条款9.4.8</w:t>
            </w:r>
          </w:p>
        </w:tc>
        <w:tc>
          <w:tcPr>
            <w:tcW w:w="3582" w:type="dxa"/>
            <w:vAlign w:val="center"/>
          </w:tcPr>
          <w:p w14:paraId="7211EE94">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9.4.8 承包人应切实做好以下环保施工工作：</w:t>
            </w:r>
          </w:p>
          <w:p w14:paraId="78DC2A0D">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（1）严格落实设计文件中有关环保、水保的设计和施工，制定具体的行之有效的环保施工方案；</w:t>
            </w:r>
          </w:p>
          <w:p w14:paraId="0C761867">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（2）项目部设立环保监督管理专职岗位，定期对环保、水保施工进行监督检查；</w:t>
            </w:r>
          </w:p>
          <w:p w14:paraId="40039FEE">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（3）认真配合竣工环保、水保验收工作，确保环保、水保设施与主体工程同时施工、同时竣工验收、同时投产；</w:t>
            </w:r>
          </w:p>
          <w:p w14:paraId="2122A091">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（4）发生污染事故，应及时采取措施，妥善处理，并在发生事故1小时内向发包人报告；发生重大污染事故时，应立即采取措施，及时处理，并在发生事故后立即向发包人报告。</w:t>
            </w:r>
          </w:p>
          <w:p w14:paraId="675EDD60">
            <w:pPr>
              <w:adjustRightInd w:val="0"/>
              <w:snapToGrid w:val="0"/>
              <w:rPr>
                <w:rFonts w:ascii="方正仿宋_GBK" w:hAnsi="方正仿宋_GBK" w:eastAsia="方正仿宋_GBK" w:cs="方正仿宋_GBK"/>
                <w:color w:val="000000" w:themeColor="text1"/>
                <w:sz w:val="18"/>
                <w:szCs w:val="18"/>
              </w:rPr>
            </w:pPr>
          </w:p>
        </w:tc>
        <w:tc>
          <w:tcPr>
            <w:tcW w:w="4455" w:type="dxa"/>
            <w:vAlign w:val="center"/>
          </w:tcPr>
          <w:p w14:paraId="6FE22A86">
            <w:pPr>
              <w:adjustRightInd w:val="0"/>
              <w:snapToGrid w:val="0"/>
              <w:rPr>
                <w:rFonts w:ascii="方正仿宋_GBK" w:hAnsi="方正仿宋_GBK" w:eastAsia="方正仿宋_GBK" w:cs="方正仿宋_GBK"/>
                <w:kern w:val="0"/>
                <w:sz w:val="18"/>
                <w:szCs w:val="18"/>
              </w:rPr>
            </w:pPr>
            <w:r>
              <w:rPr>
                <w:rFonts w:hint="eastAsia" w:ascii="方正仿宋_GBK" w:hAnsi="方正仿宋_GBK" w:eastAsia="方正仿宋_GBK" w:cs="方正仿宋_GBK"/>
                <w:kern w:val="0"/>
                <w:sz w:val="18"/>
                <w:szCs w:val="18"/>
              </w:rPr>
              <w:t>9.4.8修改为：</w:t>
            </w:r>
          </w:p>
          <w:p w14:paraId="68645DBF">
            <w:pPr>
              <w:adjustRightInd w:val="0"/>
              <w:snapToGrid w:val="0"/>
              <w:rPr>
                <w:rFonts w:ascii="方正仿宋_GBK" w:hAnsi="方正仿宋_GBK" w:eastAsia="方正仿宋_GBK" w:cs="方正仿宋_GBK"/>
                <w:kern w:val="0"/>
                <w:sz w:val="18"/>
                <w:szCs w:val="18"/>
              </w:rPr>
            </w:pPr>
            <w:r>
              <w:rPr>
                <w:rFonts w:hint="eastAsia" w:ascii="方正仿宋_GBK" w:hAnsi="方正仿宋_GBK" w:eastAsia="方正仿宋_GBK" w:cs="方正仿宋_GBK"/>
                <w:kern w:val="0"/>
                <w:sz w:val="18"/>
                <w:szCs w:val="18"/>
              </w:rPr>
              <w:t xml:space="preserve"> 承包人应切实做好以下环保施工工作：</w:t>
            </w:r>
          </w:p>
          <w:p w14:paraId="20084650">
            <w:pPr>
              <w:adjustRightInd w:val="0"/>
              <w:snapToGrid w:val="0"/>
              <w:rPr>
                <w:rFonts w:ascii="方正仿宋_GBK" w:hAnsi="方正仿宋_GBK" w:eastAsia="方正仿宋_GBK" w:cs="方正仿宋_GBK"/>
                <w:kern w:val="0"/>
                <w:sz w:val="18"/>
                <w:szCs w:val="18"/>
              </w:rPr>
            </w:pPr>
            <w:r>
              <w:rPr>
                <w:rFonts w:hint="eastAsia" w:ascii="方正仿宋_GBK" w:hAnsi="方正仿宋_GBK" w:eastAsia="方正仿宋_GBK" w:cs="方正仿宋_GBK"/>
                <w:kern w:val="0"/>
                <w:sz w:val="18"/>
                <w:szCs w:val="18"/>
              </w:rPr>
              <w:t>（1）严格落实设计文件中有关环保、水保的设计和施工，制定具体的行之有效的环保施工方案；环保方案及环保设施需到当地环保部门进行备案。</w:t>
            </w:r>
          </w:p>
          <w:p w14:paraId="4968967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项目部设立环保水保管理专职岗位，定期对环保、水保施工进行监督检查。承包人应按照《中华人民共和国固体废弃物污染环境防治法》，与当地有资质处理建筑施工、生活垃圾的单位建立联系，及时处理工程建设过程中产生的垃圾并做好相关记录和签证。</w:t>
            </w:r>
          </w:p>
          <w:p w14:paraId="6E8FB0C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（3）认真配合竣工环保、水保验收工作，确保环保、水保设施与主体工程同时施工、同时竣工验收、同时投产；</w:t>
            </w:r>
          </w:p>
          <w:p w14:paraId="14DD24E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（4）发生污染事故，应及时采取措施，妥善处理，并在发生事故1小时内向发包人报告；发生重大污染事故时，应立即采取措施，及时处理，并在发生事故后立即向发包人报告。</w:t>
            </w:r>
          </w:p>
          <w:p w14:paraId="12A1A3D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（5）针对现场产生的工程建筑垃圾，施工单位应办理建筑垃圾消纳许可证，或委托有资质的单位处理，不得私自掩埋、倾倒。</w:t>
            </w:r>
          </w:p>
          <w:p w14:paraId="3BF0FA7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kern w:val="0"/>
                <w:sz w:val="18"/>
                <w:szCs w:val="18"/>
              </w:rPr>
              <w:t>（6）</w:t>
            </w:r>
            <w:r>
              <w:rPr>
                <w:rFonts w:hint="eastAsia" w:ascii="方正仿宋_GBK" w:hAnsi="方正仿宋_GBK" w:eastAsia="方正仿宋_GBK" w:cs="方正仿宋_GBK"/>
                <w:kern w:val="0"/>
                <w:sz w:val="18"/>
                <w:szCs w:val="18"/>
                <w:lang w:val="en-US" w:eastAsia="zh-CN"/>
              </w:rPr>
              <w:t>承包</w:t>
            </w:r>
            <w:r>
              <w:rPr>
                <w:rFonts w:hint="eastAsia" w:ascii="方正仿宋_GBK" w:hAnsi="方正仿宋_GBK" w:eastAsia="方正仿宋_GBK" w:cs="方正仿宋_GBK"/>
                <w:kern w:val="0"/>
                <w:sz w:val="18"/>
                <w:szCs w:val="18"/>
              </w:rPr>
              <w:t>人现场踏勘应收集、了解当地环水保特殊要求，工程建设期间产生的生活、生产废水综合治理后应满足当地政府排放要求，相关费用在投标报价时应综合考虑。</w:t>
            </w:r>
          </w:p>
        </w:tc>
      </w:tr>
      <w:tr w14:paraId="49779DB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C293C3F">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5A4F38A1">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7453DD0E">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9.6</w:t>
            </w:r>
          </w:p>
        </w:tc>
        <w:tc>
          <w:tcPr>
            <w:tcW w:w="3582" w:type="dxa"/>
            <w:vAlign w:val="center"/>
          </w:tcPr>
          <w:p w14:paraId="74E3A92A">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9.6 安全文明施工费（增加）：</w:t>
            </w:r>
          </w:p>
          <w:p w14:paraId="49F6BB43">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9.6.1 安全文明施工费计入合同价。此项费用由承包人提出申请，经监理人审核，发包人批准后，规范、足额使用，专款专用。</w:t>
            </w:r>
          </w:p>
          <w:p w14:paraId="220F0DA7">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9.6.2 安全文明施工费的支付：</w:t>
            </w:r>
          </w:p>
          <w:p w14:paraId="7DDA5190">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承包人根据施工组织设计、专项施工方案中的安全措施安排以及按相关规定作出的策划，列出安全文明施工费的使用计划，报监理人审核、发包人批准；在工程建设过程中，发包人及监理人对承包人施工组织设计及专项施工方案中的安全措施以及文明施工措施的落实情况进行监督。</w:t>
            </w:r>
          </w:p>
          <w:p w14:paraId="0715AF48">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承包人根据安全措施以及文明施工策划的实施情况，向发包人提出支付申请，监理人根据实际情况进行核实并签署意见，经过监理人确认并经发包人批准后将安全文明施工费分批支付。若承包人未落实或完全落实施工安全措施和文明施工策划，监理人有权责令其立即整改，对承包人拒不整改或不及时整改的，监理人应拒绝核签支付申请，并及时向发包人报告，提出下达停工令建议，发包人签署停工令，直至承包人整改到位。</w:t>
            </w:r>
          </w:p>
          <w:p w14:paraId="5724874B">
            <w:pPr>
              <w:widowControl/>
              <w:adjustRightInd w:val="0"/>
              <w:snapToGrid w:val="0"/>
              <w:jc w:val="left"/>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z w:val="18"/>
                <w:szCs w:val="18"/>
              </w:rPr>
              <w:t>(3)承包人对安全文明施工费应专款专用，承包人应在财务账目中单独列项备查，不得挪作他用，否则发包人有权责令其限期改正；逾期未改正的，可以责令其暂停施工，由此增加的费用和（或）延误的工期由承包人承担。</w:t>
            </w:r>
          </w:p>
        </w:tc>
        <w:tc>
          <w:tcPr>
            <w:tcW w:w="4455" w:type="dxa"/>
            <w:vAlign w:val="center"/>
          </w:tcPr>
          <w:p w14:paraId="457FB5B4">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9.6 安全文明施工费（增加）修改为：</w:t>
            </w:r>
          </w:p>
          <w:p w14:paraId="16ADA2D7">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9.6.1安全文明施工费按照《国网（基建3）187-2019  国家电网有限公司输变电工程安全文明施工标准化管理办法》执行，由承包人提出申请，经监理人审核，发包人批准后，规范、足额使用，专款专用。</w:t>
            </w:r>
          </w:p>
          <w:p w14:paraId="1C7D2DA3">
            <w:pPr>
              <w:widowControl/>
              <w:adjustRightInd w:val="0"/>
              <w:snapToGrid w:val="0"/>
              <w:jc w:val="left"/>
              <w:rPr>
                <w:rFonts w:ascii="方正仿宋_GBK" w:hAnsi="方正仿宋_GBK" w:eastAsia="方正仿宋_GBK" w:cs="方正仿宋_GBK"/>
                <w:sz w:val="18"/>
                <w:szCs w:val="18"/>
              </w:rPr>
            </w:pPr>
          </w:p>
          <w:p w14:paraId="15FB654C">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9.6.2不适用。</w:t>
            </w:r>
          </w:p>
        </w:tc>
      </w:tr>
      <w:tr w14:paraId="1787851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4EB0E2C">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44624AA2">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29A9453B">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9.8.2</w:t>
            </w:r>
          </w:p>
        </w:tc>
        <w:tc>
          <w:tcPr>
            <w:tcW w:w="3582" w:type="dxa"/>
            <w:vAlign w:val="center"/>
          </w:tcPr>
          <w:p w14:paraId="06F36DD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9.8.2 安全考核违约金</w:t>
            </w:r>
          </w:p>
          <w:p w14:paraId="075B1EAF">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违反合同对安全文明施工、保卫及环境保护的有关规定，出现安全事故或不满足安全文明施工管理要求的情况时，应向发包人支付安全考核违约金。发包人将在事实清楚的前提下，书面通知承包人扣款金额；日常检查中发包人扣款时，将开具扣款通知单，可在进行合同价款结算时依据存根汇总后，书面通知承包人后扣除。所扣款项以合同约定的数额为限，在合同结算时执行。支付安全违约金并不减轻或免除承包人的安全文明施工责任。</w:t>
            </w:r>
          </w:p>
          <w:p w14:paraId="02F9240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安全考核违约金标准如下：</w:t>
            </w:r>
          </w:p>
          <w:p w14:paraId="207C8C4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（1）发生重大安全事故（二级及以上人身、电网、设备安全事件）或人身死亡事故（四级及以上人身安全事件），违约金为签约合同价的2%。</w:t>
            </w:r>
          </w:p>
          <w:p w14:paraId="29835A4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（2）发生人身重伤事故（四级及以上人身安全事件），1人•次违约金为签约合同价的6‰、2人•次违约金为签约合同价的1.2%、3人•次及以上违约金为签约合同价的2%。</w:t>
            </w:r>
          </w:p>
          <w:p w14:paraId="23FA6CE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（3）发生设备事故或火灾事故或负主要责任的交通事故，视事故的性质和严重程度，违约金为签约合同价的4‰～2%。</w:t>
            </w:r>
          </w:p>
          <w:p w14:paraId="01F3691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（4）发生因工程建设而造成的电网停电事故，视事故影响的大小和严重程度，违约金为签约合同价的4‰～2%。</w:t>
            </w:r>
          </w:p>
          <w:p w14:paraId="0CF798A7">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（5）发包人组织安全监督检查时，未能达到标准要求的，每次违约金为签约合同价的2‰。</w:t>
            </w:r>
          </w:p>
        </w:tc>
        <w:tc>
          <w:tcPr>
            <w:tcW w:w="4455" w:type="dxa"/>
            <w:vAlign w:val="center"/>
          </w:tcPr>
          <w:p w14:paraId="27FC747B">
            <w:pPr>
              <w:adjustRightInd/>
              <w:snapToGrid/>
              <w:spacing w:line="240" w:lineRule="exac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9.8.2 安全考核违约金</w:t>
            </w:r>
          </w:p>
          <w:p w14:paraId="69076806">
            <w:pPr>
              <w:adjustRightInd/>
              <w:snapToGrid/>
              <w:spacing w:line="240" w:lineRule="exac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违反合同对安全文明施工、保卫及环境保护的有关规定，出现安全事故或不满足安全文明施工管理要求的情况时，应向发包人支付安全考核违约金。发包人将在事实清楚的前提下，书面通知承包人扣款金额；日常检查中发包人扣款时，将开具扣款通知单，可在进行合同价款结算时依据存根汇总后，书面通知承包人后扣除。所扣款项以合同约定的数额为限，在合同结算时执行。支付安全违约金并不减轻或免除承包人的安全文明施工责任。</w:t>
            </w:r>
          </w:p>
          <w:p w14:paraId="0D8945FD">
            <w:pPr>
              <w:adjustRightInd/>
              <w:snapToGrid/>
              <w:spacing w:line="240" w:lineRule="exac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安全考核违约金标准如下：</w:t>
            </w:r>
          </w:p>
          <w:p w14:paraId="4098C4EF">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（1）发生重大安全事故（二级及以上人身、电网、设备安全事件）或人身死亡事故（四级及以上人身安全事件），违约金为签约合同价的2%。</w:t>
            </w:r>
          </w:p>
          <w:p w14:paraId="5211D3C5">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（2）发生人身重伤事故（四级及以上人身安全事件），1人•次违约金为签约合同价的6‰、2人•次违约金为签约合同价的1.2%、3人•次及以上违约金为签约合同价的2%。</w:t>
            </w:r>
          </w:p>
          <w:p w14:paraId="49F69973">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（3）发生设备事故或火灾事故或负主要责任的交通事故，视事故的性质和严重程度，违约金为签约合同价的4‰～2%。</w:t>
            </w:r>
          </w:p>
          <w:p w14:paraId="06E7BF2D">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（4）发生因工程建设而造成的电网停电事故，视事故影响的大小和严重程度，违约金为签约合同价的4‰～2%。</w:t>
            </w:r>
          </w:p>
          <w:p w14:paraId="7FEA8809">
            <w:pPr>
              <w:spacing w:line="240" w:lineRule="exact"/>
              <w:rPr>
                <w:rFonts w:ascii="方正仿宋_GBK" w:hAnsi="方正仿宋_GBK" w:eastAsia="方正仿宋_GBK" w:cs="方正仿宋_GBK"/>
              </w:rPr>
            </w:pPr>
            <w:r>
              <w:rPr>
                <w:rFonts w:hint="eastAsia" w:ascii="方正仿宋_GBK" w:hAnsi="方正仿宋_GBK" w:eastAsia="方正仿宋_GBK" w:cs="方正仿宋_GBK"/>
                <w:kern w:val="2"/>
              </w:rPr>
              <w:t>（5）发包人组织安全监督检查时，未能达到标准要求的，每次支付签约合同价2‰的安全违约金。</w:t>
            </w:r>
          </w:p>
          <w:p w14:paraId="64980426">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6）发生因工程建设引起的六级及以上电网及设备安全事件，每次违约金为签约合同价的0.75%；发生六级以上、四级以下人身事件，每次违约金为签约合同价的0.75%；发生六级以上及以上施工机械设备事件，每次违约金为签约合同价的0.75%。</w:t>
            </w:r>
          </w:p>
          <w:p w14:paraId="0AB1394D">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（7）发生对公司造成影响的安全稳定事件，每次违约金为签约合同价的0.75%；发生环境污染事件的，每次违约金为签约合同价的0.75%；发生基建信息安全事件，每次违约金为签约合同价的0.75%。</w:t>
            </w:r>
          </w:p>
          <w:p w14:paraId="30D01BB5">
            <w:pPr>
              <w:adjustRightInd/>
              <w:snapToGrid/>
              <w:spacing w:line="240" w:lineRule="exact"/>
              <w:rPr>
                <w:rFonts w:hint="eastAsia"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（8）发生被地方政府查处的重大安全隐患，每次违约金为签约合同价的0.75%。</w:t>
            </w:r>
          </w:p>
          <w:p w14:paraId="60D470AC">
            <w:pPr>
              <w:snapToGrid/>
              <w:spacing w:line="240" w:lineRule="exact"/>
              <w:ind w:firstLine="0" w:firstLineChars="0"/>
              <w:jc w:val="left"/>
              <w:rPr>
                <w:rFonts w:ascii="方正仿宋_GBK" w:hAnsi="方正仿宋_GBK" w:eastAsia="方正仿宋_GBK" w:cs="方正仿宋_GBK"/>
                <w:color w:val="000000" w:themeColor="text1"/>
              </w:rPr>
            </w:pPr>
            <w:r>
              <w:rPr>
                <w:rStyle w:val="53"/>
                <w:rFonts w:hint="eastAsia" w:ascii="方正仿宋_GBK" w:hAnsi="方正仿宋_GBK" w:eastAsia="方正仿宋_GBK" w:cs="方正仿宋_GBK"/>
                <w:bCs/>
                <w:kern w:val="0"/>
                <w:sz w:val="18"/>
                <w:szCs w:val="18"/>
              </w:rPr>
              <w:t>（</w:t>
            </w:r>
            <w:r>
              <w:rPr>
                <w:rStyle w:val="53"/>
                <w:rFonts w:hint="eastAsia" w:ascii="方正仿宋_GBK" w:hAnsi="方正仿宋_GBK" w:eastAsia="方正仿宋_GBK" w:cs="方正仿宋_GBK"/>
                <w:bCs/>
                <w:kern w:val="0"/>
                <w:sz w:val="18"/>
                <w:szCs w:val="18"/>
                <w:lang w:val="en-US" w:eastAsia="zh-CN"/>
              </w:rPr>
              <w:t>9</w:t>
            </w:r>
            <w:r>
              <w:rPr>
                <w:rStyle w:val="53"/>
                <w:rFonts w:hint="eastAsia" w:ascii="方正仿宋_GBK" w:hAnsi="方正仿宋_GBK" w:eastAsia="方正仿宋_GBK" w:cs="方正仿宋_GBK"/>
                <w:bCs/>
                <w:kern w:val="0"/>
                <w:sz w:val="18"/>
                <w:szCs w:val="18"/>
              </w:rPr>
              <w:t>）发生国家电网公司查出的严重违章或重大安全隐患，每次违约金为签约合同价的0.2%，并在年度及季度资信评价中按五级安全事件扣除分数。</w:t>
            </w:r>
            <w:r>
              <w:rPr>
                <w:rStyle w:val="53"/>
                <w:rFonts w:hint="eastAsia" w:ascii="方正仿宋_GBK" w:hAnsi="方正仿宋_GBK" w:eastAsia="方正仿宋_GBK" w:cs="方正仿宋_GBK"/>
                <w:bCs/>
                <w:kern w:val="0"/>
                <w:sz w:val="18"/>
                <w:szCs w:val="18"/>
              </w:rPr>
              <w:br w:type="textWrapping"/>
            </w:r>
            <w:r>
              <w:rPr>
                <w:rStyle w:val="53"/>
                <w:rFonts w:hint="eastAsia" w:ascii="方正仿宋_GBK" w:hAnsi="方正仿宋_GBK" w:eastAsia="方正仿宋_GBK" w:cs="方正仿宋_GBK"/>
                <w:bCs/>
                <w:kern w:val="0"/>
                <w:sz w:val="18"/>
                <w:szCs w:val="18"/>
              </w:rPr>
              <w:t>（</w:t>
            </w:r>
            <w:r>
              <w:rPr>
                <w:rStyle w:val="53"/>
                <w:rFonts w:hint="eastAsia" w:ascii="方正仿宋_GBK" w:hAnsi="方正仿宋_GBK" w:eastAsia="方正仿宋_GBK" w:cs="方正仿宋_GBK"/>
                <w:bCs/>
                <w:kern w:val="0"/>
                <w:sz w:val="18"/>
                <w:szCs w:val="18"/>
                <w:lang w:val="en-US" w:eastAsia="zh-CN"/>
              </w:rPr>
              <w:t>10</w:t>
            </w:r>
            <w:r>
              <w:rPr>
                <w:rStyle w:val="53"/>
                <w:rFonts w:hint="eastAsia" w:ascii="方正仿宋_GBK" w:hAnsi="方正仿宋_GBK" w:eastAsia="方正仿宋_GBK" w:cs="方正仿宋_GBK"/>
                <w:bCs/>
                <w:kern w:val="0"/>
                <w:sz w:val="18"/>
                <w:szCs w:val="18"/>
              </w:rPr>
              <w:t>）发生国家电网公司查出的一般违章累计达到3次或3项，违约金为签约合同价的0.1%。</w:t>
            </w:r>
            <w:r>
              <w:rPr>
                <w:rStyle w:val="53"/>
                <w:rFonts w:hint="eastAsia" w:ascii="方正仿宋_GBK" w:hAnsi="方正仿宋_GBK" w:eastAsia="方正仿宋_GBK" w:cs="方正仿宋_GBK"/>
                <w:bCs/>
                <w:kern w:val="0"/>
                <w:sz w:val="18"/>
                <w:szCs w:val="18"/>
              </w:rPr>
              <w:br w:type="textWrapping"/>
            </w:r>
            <w:r>
              <w:rPr>
                <w:rStyle w:val="53"/>
                <w:rFonts w:hint="eastAsia" w:ascii="方正仿宋_GBK" w:hAnsi="方正仿宋_GBK" w:eastAsia="方正仿宋_GBK" w:cs="方正仿宋_GBK"/>
                <w:bCs/>
                <w:kern w:val="0"/>
                <w:sz w:val="18"/>
                <w:szCs w:val="18"/>
              </w:rPr>
              <w:t>（</w:t>
            </w:r>
            <w:r>
              <w:rPr>
                <w:rStyle w:val="53"/>
                <w:rFonts w:hint="eastAsia" w:ascii="方正仿宋_GBK" w:hAnsi="方正仿宋_GBK" w:eastAsia="方正仿宋_GBK" w:cs="方正仿宋_GBK"/>
                <w:bCs/>
                <w:kern w:val="0"/>
                <w:sz w:val="18"/>
                <w:szCs w:val="18"/>
                <w:lang w:val="en-US" w:eastAsia="zh-CN"/>
              </w:rPr>
              <w:t>11</w:t>
            </w:r>
            <w:r>
              <w:rPr>
                <w:rStyle w:val="53"/>
                <w:rFonts w:hint="eastAsia" w:ascii="方正仿宋_GBK" w:hAnsi="方正仿宋_GBK" w:eastAsia="方正仿宋_GBK" w:cs="方正仿宋_GBK"/>
                <w:bCs/>
                <w:kern w:val="0"/>
                <w:sz w:val="18"/>
                <w:szCs w:val="18"/>
              </w:rPr>
              <w:t>）发生公司查出的严重违章，包括现场安全督查和远程视频督查，每项违约金为签订合同价的0.5‰；发生公司查出的一般违章，包括现场安全督查和远程视频督查，累计每5项违约金为签订合同价的0.1‰。</w:t>
            </w:r>
          </w:p>
        </w:tc>
      </w:tr>
      <w:tr w14:paraId="5C7F2FC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0DC12C3">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6D11AFC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5DC648A8">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9.10.2</w:t>
            </w:r>
          </w:p>
        </w:tc>
        <w:tc>
          <w:tcPr>
            <w:tcW w:w="3582" w:type="dxa"/>
            <w:vAlign w:val="center"/>
          </w:tcPr>
          <w:p w14:paraId="2CA589FF">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对现场常驻人员实施“一人一卡”实名制全程管控，每人配备一张加密“国网芯”信息卡；对现场作业实施“一点一机”全覆盖信息管控，为项目部、作业班组配备经注册的终端机；强化施工安全风险分级管控，三级及以上风险作业应使用施工风险作业监控平台，确保施工现场风险管控措施落实情况和人员到岗到位情况的实时、可视化管理（变电工程适用）</w:t>
            </w:r>
          </w:p>
        </w:tc>
        <w:tc>
          <w:tcPr>
            <w:tcW w:w="4455" w:type="dxa"/>
          </w:tcPr>
          <w:p w14:paraId="45946CCA">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对现场常驻人员实施“一人一卡”实名制全程管控，每人配备一张加密“国网芯”信息卡；对现场作业实施“一点一机”全覆盖信息管控，为项目部、作业班组配备经注册的终端机；强化施工安全风险分级管控，应配备相关监控设备及流量卡，严格落实作业现场视频监控要求，实现五级以上作业风险全覆盖、三级及以上风险作业配置专用布控球，布控球应具备“一发多收”、APN等接入公司施工风险作业监控平台的功能，确保施工现场风险管控措施落实情况和人员到岗到位情况的实时、可视化管理（变电工程适用）。</w:t>
            </w:r>
          </w:p>
        </w:tc>
      </w:tr>
      <w:tr w14:paraId="57B9082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AB21796">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511D6396">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专用</w:t>
            </w:r>
            <w:r>
              <w:rPr>
                <w:rStyle w:val="51"/>
                <w:rFonts w:hint="default"/>
                <w:color w:val="auto"/>
                <w:sz w:val="18"/>
                <w:szCs w:val="18"/>
              </w:rPr>
              <w:t xml:space="preserve">9.12 </w:t>
            </w:r>
          </w:p>
        </w:tc>
        <w:tc>
          <w:tcPr>
            <w:tcW w:w="3582" w:type="dxa"/>
            <w:vAlign w:val="center"/>
          </w:tcPr>
          <w:p w14:paraId="539A1385">
            <w:pPr>
              <w:widowControl/>
              <w:autoSpaceDE w:val="0"/>
              <w:adjustRightInd w:val="0"/>
              <w:snapToGrid w:val="0"/>
              <w:spacing w:line="300" w:lineRule="auto"/>
              <w:textAlignment w:val="center"/>
              <w:rPr>
                <w:rStyle w:val="51"/>
                <w:rFonts w:hint="default"/>
                <w:color w:val="auto"/>
                <w:sz w:val="18"/>
                <w:szCs w:val="18"/>
              </w:rPr>
            </w:pPr>
            <w:r>
              <w:rPr>
                <w:rStyle w:val="51"/>
                <w:rFonts w:hint="default"/>
                <w:color w:val="auto"/>
                <w:sz w:val="18"/>
                <w:szCs w:val="18"/>
              </w:rPr>
              <w:t>9.12 （增加）：</w:t>
            </w:r>
          </w:p>
          <w:p w14:paraId="0E82C953">
            <w:pPr>
              <w:widowControl/>
              <w:autoSpaceDE w:val="0"/>
              <w:adjustRightInd w:val="0"/>
              <w:snapToGrid w:val="0"/>
              <w:spacing w:line="300" w:lineRule="auto"/>
              <w:textAlignment w:val="center"/>
              <w:rPr>
                <w:rStyle w:val="51"/>
                <w:rFonts w:hint="default"/>
                <w:color w:val="auto"/>
                <w:sz w:val="18"/>
                <w:szCs w:val="18"/>
              </w:rPr>
            </w:pPr>
            <w:r>
              <w:rPr>
                <w:rStyle w:val="51"/>
                <w:rFonts w:hint="default"/>
                <w:color w:val="auto"/>
                <w:sz w:val="18"/>
                <w:szCs w:val="18"/>
              </w:rPr>
              <w:t>关于安全文明施工、保卫、水土保持和环境保护的其他约定：</w:t>
            </w:r>
          </w:p>
          <w:p w14:paraId="766EC18A">
            <w:pPr>
              <w:widowControl/>
              <w:autoSpaceDE w:val="0"/>
              <w:adjustRightInd w:val="0"/>
              <w:snapToGrid w:val="0"/>
              <w:spacing w:line="300" w:lineRule="auto"/>
              <w:textAlignment w:val="center"/>
              <w:rPr>
                <w:rFonts w:ascii="方正仿宋_GBK" w:hAnsi="方正仿宋_GBK" w:eastAsia="方正仿宋_GBK" w:cs="方正仿宋_GBK"/>
                <w:color w:val="000000" w:themeColor="text1"/>
                <w:sz w:val="18"/>
                <w:szCs w:val="18"/>
              </w:rPr>
            </w:pPr>
            <w:permStart w:id="10" w:edGrp="everyone"/>
            <w:permEnd w:id="10"/>
            <w:r>
              <w:rPr>
                <w:rStyle w:val="51"/>
                <w:rFonts w:hint="default"/>
                <w:color w:val="auto"/>
                <w:sz w:val="18"/>
                <w:szCs w:val="18"/>
              </w:rPr>
              <w:t>。</w:t>
            </w:r>
          </w:p>
        </w:tc>
        <w:tc>
          <w:tcPr>
            <w:tcW w:w="4455" w:type="dxa"/>
          </w:tcPr>
          <w:p w14:paraId="405F0696">
            <w:pPr>
              <w:widowControl/>
              <w:autoSpaceDE w:val="0"/>
              <w:adjustRightInd w:val="0"/>
              <w:snapToGrid w:val="0"/>
              <w:spacing w:line="300" w:lineRule="auto"/>
              <w:textAlignment w:val="center"/>
              <w:rPr>
                <w:rStyle w:val="51"/>
                <w:rFonts w:hint="default"/>
                <w:color w:val="auto"/>
                <w:sz w:val="18"/>
                <w:szCs w:val="18"/>
              </w:rPr>
            </w:pPr>
            <w:r>
              <w:rPr>
                <w:rFonts w:hint="eastAsia" w:ascii="方正仿宋_GBK" w:hAnsi="方正仿宋_GBK" w:eastAsia="方正仿宋_GBK" w:cs="方正仿宋_GBK"/>
              </w:rPr>
              <w:t>增加：</w:t>
            </w:r>
            <w:r>
              <w:rPr>
                <w:rFonts w:hint="eastAsia" w:ascii="方正仿宋_GBK" w:hAnsi="方正仿宋_GBK" w:eastAsia="方正仿宋_GBK" w:cs="方正仿宋_GBK"/>
              </w:rPr>
              <w:br w:type="textWrapping"/>
            </w:r>
            <w:r>
              <w:rPr>
                <w:rStyle w:val="51"/>
                <w:rFonts w:hint="default"/>
                <w:color w:val="auto"/>
                <w:sz w:val="18"/>
                <w:szCs w:val="18"/>
              </w:rPr>
              <w:t>9.12.1环境保护</w:t>
            </w:r>
          </w:p>
          <w:p w14:paraId="01B6EFDE">
            <w:pPr>
              <w:widowControl/>
              <w:autoSpaceDE w:val="0"/>
              <w:adjustRightInd w:val="0"/>
              <w:snapToGrid w:val="0"/>
              <w:spacing w:line="300" w:lineRule="auto"/>
              <w:textAlignment w:val="center"/>
              <w:rPr>
                <w:rStyle w:val="51"/>
                <w:rFonts w:hint="default"/>
                <w:color w:val="auto"/>
                <w:sz w:val="18"/>
                <w:szCs w:val="18"/>
              </w:rPr>
            </w:pPr>
            <w:r>
              <w:rPr>
                <w:rStyle w:val="51"/>
                <w:rFonts w:hint="default"/>
                <w:color w:val="auto"/>
                <w:sz w:val="18"/>
                <w:szCs w:val="18"/>
              </w:rPr>
              <w:t>9.12.1.1环境保护施工要求</w:t>
            </w:r>
            <w:r>
              <w:rPr>
                <w:rStyle w:val="51"/>
                <w:rFonts w:hint="default"/>
                <w:color w:val="auto"/>
                <w:sz w:val="18"/>
                <w:szCs w:val="18"/>
              </w:rPr>
              <w:br w:type="textWrapping"/>
            </w:r>
            <w:r>
              <w:rPr>
                <w:rStyle w:val="51"/>
                <w:rFonts w:hint="default"/>
                <w:color w:val="auto"/>
                <w:sz w:val="18"/>
                <w:szCs w:val="18"/>
              </w:rPr>
              <w:t>9.12.1.1.1严格按照经批复的环境影响报告书（表）和本合同约定组织施工，制定详细的环境保护管理策划文件和环保专项施工方案，并报监理单位审查、业主单位审批。</w:t>
            </w:r>
            <w:r>
              <w:rPr>
                <w:rStyle w:val="51"/>
                <w:rFonts w:hint="default"/>
                <w:color w:val="auto"/>
                <w:sz w:val="18"/>
                <w:szCs w:val="18"/>
              </w:rPr>
              <w:br w:type="textWrapping"/>
            </w:r>
            <w:r>
              <w:rPr>
                <w:rStyle w:val="51"/>
                <w:rFonts w:hint="default"/>
                <w:color w:val="auto"/>
                <w:sz w:val="18"/>
                <w:szCs w:val="18"/>
              </w:rPr>
              <w:t>9.12.1.1.2按照批准的环境保护管理策划文件和环保专项施工方案，合理安排施工顺序和施工工艺，确保施工期环境得到有效防护，特别是位于生态敏感区内的施工标段。</w:t>
            </w:r>
            <w:r>
              <w:rPr>
                <w:rStyle w:val="51"/>
                <w:rFonts w:hint="default"/>
                <w:color w:val="auto"/>
                <w:sz w:val="18"/>
                <w:szCs w:val="18"/>
              </w:rPr>
              <w:br w:type="textWrapping"/>
            </w:r>
            <w:r>
              <w:rPr>
                <w:rStyle w:val="51"/>
                <w:rFonts w:hint="default"/>
                <w:color w:val="auto"/>
                <w:sz w:val="18"/>
                <w:szCs w:val="18"/>
              </w:rPr>
              <w:t>9.12.1.1.3 负责采购、安装和维护环境保护设施设备，确保其正常运行和使用，确保“三同时”的有效推进。</w:t>
            </w:r>
            <w:r>
              <w:rPr>
                <w:rStyle w:val="51"/>
                <w:rFonts w:hint="default"/>
                <w:color w:val="auto"/>
                <w:sz w:val="18"/>
                <w:szCs w:val="18"/>
              </w:rPr>
              <w:br w:type="textWrapping"/>
            </w:r>
            <w:r>
              <w:rPr>
                <w:rStyle w:val="51"/>
                <w:rFonts w:hint="default"/>
                <w:color w:val="auto"/>
                <w:sz w:val="18"/>
                <w:szCs w:val="18"/>
              </w:rPr>
              <w:t>9.12.1.1.4 施工过程中应按照环境影响报告书和环境保护专项设计说明的要求，采取有效的防护措施，防止施工过程中的大气污染、水污染、土壤污染、噪声污染、固体废弃物乱丢乱弃等情况的发生，确保达标排放，确保环境保护临时措施费的专款专用。</w:t>
            </w:r>
            <w:r>
              <w:rPr>
                <w:rStyle w:val="51"/>
                <w:rFonts w:hint="default"/>
                <w:color w:val="auto"/>
                <w:sz w:val="18"/>
                <w:szCs w:val="18"/>
              </w:rPr>
              <w:br w:type="textWrapping"/>
            </w:r>
            <w:r>
              <w:rPr>
                <w:rStyle w:val="51"/>
                <w:rFonts w:hint="default"/>
                <w:color w:val="auto"/>
                <w:sz w:val="18"/>
                <w:szCs w:val="18"/>
              </w:rPr>
              <w:t>9.12.1.1.5 配合建设单位和相关部门开展的环境保护检查、环境保护验收、“回头看”等监督检查工作，提供必要的资料和条件。</w:t>
            </w:r>
            <w:r>
              <w:rPr>
                <w:rStyle w:val="51"/>
                <w:rFonts w:hint="default"/>
                <w:color w:val="auto"/>
                <w:sz w:val="18"/>
                <w:szCs w:val="18"/>
              </w:rPr>
              <w:br w:type="textWrapping"/>
            </w:r>
            <w:r>
              <w:rPr>
                <w:rStyle w:val="51"/>
                <w:rFonts w:hint="default"/>
                <w:color w:val="auto"/>
                <w:sz w:val="18"/>
                <w:szCs w:val="18"/>
              </w:rPr>
              <w:t>9.12.1.2 对施工过程中产生的弃渣、废包装物等建筑垃圾和生活垃圾进行妥善处理，按照指定的地点堆放或处置，避免随意倾倒造成水土流失。</w:t>
            </w:r>
            <w:r>
              <w:rPr>
                <w:rStyle w:val="51"/>
                <w:rFonts w:hint="default"/>
                <w:color w:val="auto"/>
                <w:sz w:val="18"/>
                <w:szCs w:val="18"/>
              </w:rPr>
              <w:br w:type="textWrapping"/>
            </w:r>
            <w:r>
              <w:rPr>
                <w:rStyle w:val="51"/>
                <w:rFonts w:hint="default"/>
                <w:color w:val="auto"/>
                <w:sz w:val="18"/>
                <w:szCs w:val="18"/>
              </w:rPr>
              <w:t>9.12.1.3 若施工现场出现环境保护异常情况和重大问题，发包人将向承包人发送整改通知单，限期整改。</w:t>
            </w:r>
            <w:r>
              <w:rPr>
                <w:rStyle w:val="51"/>
                <w:rFonts w:hint="default"/>
                <w:color w:val="auto"/>
                <w:sz w:val="18"/>
                <w:szCs w:val="18"/>
              </w:rPr>
              <w:br w:type="textWrapping"/>
            </w:r>
            <w:r>
              <w:rPr>
                <w:rStyle w:val="51"/>
                <w:rFonts w:hint="default"/>
                <w:color w:val="auto"/>
                <w:sz w:val="18"/>
                <w:szCs w:val="18"/>
              </w:rPr>
              <w:t>9.12.1.4 接受甲方的监督检查，对甲方提出的整改意见应认真落实整改。</w:t>
            </w:r>
            <w:r>
              <w:rPr>
                <w:rStyle w:val="51"/>
                <w:rFonts w:hint="default"/>
                <w:color w:val="auto"/>
                <w:sz w:val="18"/>
                <w:szCs w:val="18"/>
              </w:rPr>
              <w:br w:type="textWrapping"/>
            </w:r>
            <w:r>
              <w:rPr>
                <w:rStyle w:val="51"/>
                <w:rFonts w:hint="default"/>
                <w:color w:val="auto"/>
                <w:sz w:val="18"/>
                <w:szCs w:val="18"/>
              </w:rPr>
              <w:t>9.12.2水土保持</w:t>
            </w:r>
            <w:r>
              <w:rPr>
                <w:rStyle w:val="51"/>
                <w:rFonts w:hint="default"/>
                <w:color w:val="auto"/>
                <w:sz w:val="18"/>
                <w:szCs w:val="18"/>
              </w:rPr>
              <w:br w:type="textWrapping"/>
            </w:r>
            <w:r>
              <w:rPr>
                <w:rStyle w:val="51"/>
                <w:rFonts w:hint="default"/>
                <w:color w:val="auto"/>
                <w:sz w:val="18"/>
                <w:szCs w:val="18"/>
              </w:rPr>
              <w:t>9.12.2.1 水土保持施工要求</w:t>
            </w:r>
            <w:r>
              <w:rPr>
                <w:rStyle w:val="51"/>
                <w:rFonts w:hint="default"/>
                <w:color w:val="auto"/>
                <w:sz w:val="18"/>
                <w:szCs w:val="18"/>
              </w:rPr>
              <w:br w:type="textWrapping"/>
            </w:r>
            <w:r>
              <w:rPr>
                <w:rStyle w:val="51"/>
                <w:rFonts w:hint="default"/>
                <w:color w:val="auto"/>
                <w:sz w:val="18"/>
                <w:szCs w:val="18"/>
              </w:rPr>
              <w:t>9.12.2.1.1 严格按照经批复的水土保持方案和本合同约定组织施工，制定详细的水土保持实施计划，并报建设单位和监理单位备案。</w:t>
            </w:r>
            <w:r>
              <w:rPr>
                <w:rStyle w:val="51"/>
                <w:rFonts w:hint="default"/>
                <w:color w:val="auto"/>
                <w:sz w:val="18"/>
                <w:szCs w:val="18"/>
              </w:rPr>
              <w:br w:type="textWrapping"/>
            </w:r>
            <w:r>
              <w:rPr>
                <w:rStyle w:val="51"/>
                <w:rFonts w:hint="default"/>
                <w:color w:val="auto"/>
                <w:sz w:val="18"/>
                <w:szCs w:val="18"/>
              </w:rPr>
              <w:t>9.12.2.1.2 按照批准的施工组织设计，合理安排施工顺序和施工工艺，尽量减少对原地貌、植被的扰动和破坏。</w:t>
            </w:r>
            <w:r>
              <w:rPr>
                <w:rStyle w:val="51"/>
                <w:rFonts w:hint="default"/>
                <w:color w:val="auto"/>
                <w:sz w:val="18"/>
                <w:szCs w:val="18"/>
              </w:rPr>
              <w:br w:type="textWrapping"/>
            </w:r>
            <w:r>
              <w:rPr>
                <w:rStyle w:val="51"/>
                <w:rFonts w:hint="default"/>
                <w:color w:val="auto"/>
                <w:sz w:val="18"/>
                <w:szCs w:val="18"/>
              </w:rPr>
              <w:t>9.12.2.1.3 负责采购、安装和维护水土保持设施设备，确保其正常运行和使用。</w:t>
            </w:r>
            <w:r>
              <w:rPr>
                <w:rStyle w:val="51"/>
                <w:rFonts w:hint="default"/>
                <w:color w:val="auto"/>
                <w:sz w:val="18"/>
                <w:szCs w:val="18"/>
              </w:rPr>
              <w:br w:type="textWrapping"/>
            </w:r>
            <w:r>
              <w:rPr>
                <w:rStyle w:val="51"/>
                <w:rFonts w:hint="default"/>
                <w:color w:val="auto"/>
                <w:sz w:val="18"/>
                <w:szCs w:val="18"/>
              </w:rPr>
              <w:t>9.12.2.1.4 采取有效的防护措施，防止施工过程中的水土流失、土壤扰动和植被破坏等情况的发生，如修建临时排水设施、设置拦挡设施、进行表土剥离和保存等。</w:t>
            </w:r>
            <w:r>
              <w:rPr>
                <w:rStyle w:val="51"/>
                <w:rFonts w:hint="default"/>
                <w:color w:val="auto"/>
                <w:sz w:val="18"/>
                <w:szCs w:val="18"/>
              </w:rPr>
              <w:br w:type="textWrapping"/>
            </w:r>
            <w:r>
              <w:rPr>
                <w:rStyle w:val="51"/>
                <w:rFonts w:hint="default"/>
                <w:color w:val="auto"/>
                <w:sz w:val="18"/>
                <w:szCs w:val="18"/>
              </w:rPr>
              <w:t>9.12.2.1.5 配合建设单位和相关部门开展的水土保持监督检查、监测和验收工作，提供必要的资料和条件。</w:t>
            </w:r>
            <w:r>
              <w:rPr>
                <w:rStyle w:val="51"/>
                <w:rFonts w:hint="default"/>
                <w:color w:val="auto"/>
                <w:sz w:val="18"/>
                <w:szCs w:val="18"/>
              </w:rPr>
              <w:br w:type="textWrapping"/>
            </w:r>
            <w:r>
              <w:rPr>
                <w:rStyle w:val="51"/>
                <w:rFonts w:hint="default"/>
                <w:color w:val="auto"/>
                <w:sz w:val="18"/>
                <w:szCs w:val="18"/>
              </w:rPr>
              <w:t>9.12.2.2 对施工过程中产生的弃土、弃渣等废弃物进行妥善处理，按照指定的地点堆放或处置，避免随意倾倒造成水土流失。</w:t>
            </w:r>
            <w:r>
              <w:rPr>
                <w:rStyle w:val="51"/>
                <w:rFonts w:hint="default"/>
                <w:color w:val="auto"/>
                <w:sz w:val="18"/>
                <w:szCs w:val="18"/>
              </w:rPr>
              <w:br w:type="textWrapping"/>
            </w:r>
            <w:r>
              <w:rPr>
                <w:rStyle w:val="51"/>
                <w:rFonts w:hint="default"/>
                <w:color w:val="auto"/>
                <w:sz w:val="18"/>
                <w:szCs w:val="18"/>
              </w:rPr>
              <w:t>9.12.2.3 若施工现场出现水土保持异常情况和重大问题，发包人将向承包人发送水土保持整改通知单，限期整改。</w:t>
            </w:r>
            <w:r>
              <w:rPr>
                <w:rStyle w:val="51"/>
                <w:rFonts w:hint="default"/>
                <w:color w:val="auto"/>
                <w:sz w:val="18"/>
                <w:szCs w:val="18"/>
              </w:rPr>
              <w:br w:type="textWrapping"/>
            </w:r>
            <w:r>
              <w:rPr>
                <w:rStyle w:val="51"/>
                <w:rFonts w:hint="default"/>
                <w:color w:val="auto"/>
                <w:sz w:val="18"/>
                <w:szCs w:val="18"/>
              </w:rPr>
              <w:t>9.12.2.4 接受甲方的监督检查，对甲方提出的整改意见应认真落实整改。</w:t>
            </w:r>
          </w:p>
          <w:p w14:paraId="54F73BFB">
            <w:pPr>
              <w:widowControl/>
              <w:autoSpaceDE w:val="0"/>
              <w:adjustRightInd w:val="0"/>
              <w:snapToGrid w:val="0"/>
              <w:spacing w:line="300" w:lineRule="auto"/>
              <w:textAlignment w:val="center"/>
              <w:rPr>
                <w:rStyle w:val="51"/>
                <w:rFonts w:hint="default"/>
                <w:color w:val="auto"/>
                <w:sz w:val="18"/>
                <w:szCs w:val="18"/>
              </w:rPr>
            </w:pPr>
            <w:r>
              <w:rPr>
                <w:rStyle w:val="51"/>
                <w:rFonts w:hint="default"/>
                <w:color w:val="auto"/>
                <w:sz w:val="18"/>
                <w:szCs w:val="18"/>
              </w:rPr>
              <w:t>9.12.3 环水保考核违约金标准如下：</w:t>
            </w:r>
          </w:p>
          <w:p w14:paraId="6E10E009">
            <w:pPr>
              <w:widowControl/>
              <w:autoSpaceDE w:val="0"/>
              <w:adjustRightInd w:val="0"/>
              <w:snapToGrid w:val="0"/>
              <w:spacing w:line="300" w:lineRule="auto"/>
              <w:textAlignment w:val="center"/>
              <w:rPr>
                <w:rStyle w:val="51"/>
                <w:rFonts w:hint="default"/>
                <w:color w:val="auto"/>
                <w:sz w:val="18"/>
                <w:szCs w:val="18"/>
              </w:rPr>
            </w:pPr>
            <w:r>
              <w:rPr>
                <w:rStyle w:val="51"/>
                <w:rFonts w:hint="default"/>
                <w:color w:val="auto"/>
                <w:sz w:val="18"/>
                <w:szCs w:val="18"/>
              </w:rPr>
              <w:t>9.12.3.1 未按照计划足额落实安全文明施工费的环保、水保措施，按月考核，每次违约金为签约合同价的2‰。</w:t>
            </w:r>
          </w:p>
          <w:p w14:paraId="1E8F9B8A">
            <w:pPr>
              <w:widowControl/>
              <w:autoSpaceDE w:val="0"/>
              <w:adjustRightInd w:val="0"/>
              <w:snapToGrid w:val="0"/>
              <w:spacing w:line="300" w:lineRule="auto"/>
              <w:textAlignment w:val="center"/>
              <w:rPr>
                <w:rStyle w:val="51"/>
                <w:rFonts w:hint="default"/>
                <w:color w:val="auto"/>
                <w:sz w:val="18"/>
                <w:szCs w:val="18"/>
              </w:rPr>
            </w:pPr>
            <w:r>
              <w:rPr>
                <w:rStyle w:val="51"/>
                <w:rFonts w:hint="default"/>
                <w:color w:val="auto"/>
                <w:sz w:val="18"/>
                <w:szCs w:val="18"/>
              </w:rPr>
              <w:t>9.12.3.2 发生国网公司或行政机关查处的较大或严重问题，被通报、纳入重点关注名单等处罚，每次违约金为签约合同价的5‰。</w:t>
            </w:r>
          </w:p>
          <w:p w14:paraId="2ED24F81">
            <w:pPr>
              <w:widowControl/>
              <w:autoSpaceDE w:val="0"/>
              <w:adjustRightInd w:val="0"/>
              <w:snapToGrid w:val="0"/>
              <w:spacing w:line="300" w:lineRule="auto"/>
              <w:textAlignment w:val="center"/>
              <w:rPr>
                <w:rFonts w:ascii="方正仿宋_GBK" w:hAnsi="方正仿宋_GBK" w:eastAsia="方正仿宋_GBK" w:cs="方正仿宋_GBK"/>
                <w:color w:val="000000" w:themeColor="text1"/>
                <w:sz w:val="18"/>
                <w:szCs w:val="18"/>
              </w:rPr>
            </w:pPr>
            <w:r>
              <w:rPr>
                <w:rStyle w:val="51"/>
                <w:rFonts w:hint="default"/>
                <w:color w:val="auto"/>
                <w:sz w:val="18"/>
                <w:szCs w:val="18"/>
              </w:rPr>
              <w:t>9.12.3.3 因风险应急管控不规范，发生一般及以上突发环境事件，每次违约金为签约合同价的5‰。</w:t>
            </w:r>
          </w:p>
        </w:tc>
      </w:tr>
      <w:tr w14:paraId="17BE829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BBBD39D">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7B266A0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55C63D4A">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11.1.2</w:t>
            </w:r>
          </w:p>
        </w:tc>
        <w:tc>
          <w:tcPr>
            <w:tcW w:w="3582" w:type="dxa"/>
            <w:vAlign w:val="center"/>
          </w:tcPr>
          <w:p w14:paraId="455F07A0">
            <w:pPr>
              <w:adjustRightInd w:val="0"/>
              <w:snapToGrid w:val="0"/>
              <w:rPr>
                <w:rFonts w:ascii="方正仿宋_GBK" w:hAnsi="方正仿宋_GBK" w:eastAsia="方正仿宋_GBK" w:cs="方正仿宋_GBK"/>
                <w:color w:val="000000" w:themeColor="text1"/>
                <w:sz w:val="18"/>
                <w:szCs w:val="18"/>
                <w:u w:val="single"/>
              </w:rPr>
            </w:pPr>
            <w:r>
              <w:rPr>
                <w:rFonts w:hint="eastAsia" w:ascii="方正仿宋_GBK" w:hAnsi="方正仿宋_GBK" w:eastAsia="方正仿宋_GBK" w:cs="方正仿宋_GBK"/>
                <w:sz w:val="18"/>
                <w:szCs w:val="18"/>
              </w:rPr>
              <w:t>无</w:t>
            </w:r>
          </w:p>
        </w:tc>
        <w:tc>
          <w:tcPr>
            <w:tcW w:w="4455" w:type="dxa"/>
            <w:vAlign w:val="center"/>
          </w:tcPr>
          <w:p w14:paraId="0CFCBBE8">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11.1.2 修改为：承包人应按第10.1款约定的合同进度计划，向监理人提交工程开工报审表，经监理人、发包人审批后执行。开工报审表应详细说明按合同进度计划正常施工所需的施工道路、临时设施、材料设备、施工人员等施工组织措施的落实情况以及工程的进度安排。</w:t>
            </w:r>
          </w:p>
        </w:tc>
      </w:tr>
      <w:tr w14:paraId="066C2FE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927237C">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0E67054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0D53E6FC">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11.1.3</w:t>
            </w:r>
          </w:p>
        </w:tc>
        <w:tc>
          <w:tcPr>
            <w:tcW w:w="3582" w:type="dxa"/>
            <w:vAlign w:val="center"/>
          </w:tcPr>
          <w:p w14:paraId="5413253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11.1.3 工程开工需具备法律规定和下列约定的条件：</w:t>
            </w:r>
          </w:p>
          <w:p w14:paraId="1DE26EBD">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（14）承包人在工程所在地的施工注册（备案）已经完毕</w:t>
            </w:r>
          </w:p>
        </w:tc>
        <w:tc>
          <w:tcPr>
            <w:tcW w:w="4455" w:type="dxa"/>
            <w:vAlign w:val="center"/>
          </w:tcPr>
          <w:p w14:paraId="1AFAECA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11.1.3 工程开工需具备法律规定和下列约定的条件：</w:t>
            </w:r>
          </w:p>
          <w:p w14:paraId="3328EEEF">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（14）承包人在工程所在地的施工注册（备案）已经完毕</w:t>
            </w:r>
            <w:r>
              <w:rPr>
                <w:rFonts w:hint="eastAsia" w:ascii="方正仿宋_GBK" w:hAnsi="方正仿宋_GBK" w:eastAsia="方正仿宋_GBK" w:cs="方正仿宋_GBK"/>
                <w:sz w:val="18"/>
                <w:szCs w:val="18"/>
                <w:u w:val="single"/>
              </w:rPr>
              <w:t>（包括向工程属地省级能源监管办公室完成备案）</w:t>
            </w:r>
            <w:r>
              <w:rPr>
                <w:rFonts w:hint="eastAsia" w:ascii="方正仿宋_GBK" w:hAnsi="方正仿宋_GBK" w:eastAsia="方正仿宋_GBK" w:cs="方正仿宋_GBK"/>
                <w:sz w:val="18"/>
                <w:szCs w:val="18"/>
              </w:rPr>
              <w:t>；</w:t>
            </w:r>
          </w:p>
          <w:p w14:paraId="5D5BDA42">
            <w:pPr>
              <w:adjustRightInd w:val="0"/>
              <w:snapToGrid w:val="0"/>
              <w:rPr>
                <w:rFonts w:ascii="方正仿宋_GBK" w:hAnsi="方正仿宋_GBK" w:eastAsia="方正仿宋_GBK" w:cs="方正仿宋_GBK"/>
                <w:color w:val="000000" w:themeColor="text1"/>
                <w:sz w:val="18"/>
                <w:szCs w:val="18"/>
              </w:rPr>
            </w:pPr>
          </w:p>
        </w:tc>
      </w:tr>
      <w:tr w14:paraId="09102D8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0EDF756">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3D89047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0D39AE13">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11.1.4</w:t>
            </w:r>
          </w:p>
        </w:tc>
        <w:tc>
          <w:tcPr>
            <w:tcW w:w="3582" w:type="dxa"/>
            <w:vAlign w:val="center"/>
          </w:tcPr>
          <w:p w14:paraId="38BB7813">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11.1.4 承包人应在开工7天前或按照发包人的有关要求，向发包人或监理人提交下述文件，合同另有约定的，按其约定执行： </w:t>
            </w:r>
          </w:p>
          <w:p w14:paraId="2717D0BA">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（1）综合的和详细的进度计划。该进度计划应符合监理人提出的一级或二级网络核实进度计划要求；</w:t>
            </w:r>
          </w:p>
          <w:p w14:paraId="1DF2D55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（2）拟用于该工程的施工机具清单；</w:t>
            </w:r>
          </w:p>
          <w:p w14:paraId="5788C2B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（3）现场管理组织和关键人员安排；</w:t>
            </w:r>
          </w:p>
          <w:p w14:paraId="4862FE1A">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（4）劳务人员和管理人员需求计划；</w:t>
            </w:r>
          </w:p>
          <w:p w14:paraId="1918AA3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（5）质量保证大纲和质量保证手册；</w:t>
            </w:r>
          </w:p>
          <w:p w14:paraId="787E50A4">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（6）施工安全管理及风险控制方案。</w:t>
            </w:r>
          </w:p>
        </w:tc>
        <w:tc>
          <w:tcPr>
            <w:tcW w:w="4455" w:type="dxa"/>
            <w:vAlign w:val="center"/>
          </w:tcPr>
          <w:p w14:paraId="5863E86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11.1.4 修改为：</w:t>
            </w:r>
          </w:p>
          <w:p w14:paraId="681371EF">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承包人应在开工7天前或按照发包人的有关要求，向发包人或监理人提交下述文件，合同另有约定的，按其约定执行： </w:t>
            </w:r>
          </w:p>
          <w:p w14:paraId="6C70DF4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（1）综合的和详细的进度计划。该进度计划应符合监理人提出的一级或二级网络核实进度计划要求；</w:t>
            </w:r>
          </w:p>
          <w:p w14:paraId="2A0125CA">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（2）拟用于该工程的施工机具清单；</w:t>
            </w:r>
          </w:p>
          <w:p w14:paraId="12C36AA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（3）现场管理组织和关键人员安排；</w:t>
            </w:r>
          </w:p>
          <w:p w14:paraId="22375D2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（4）劳务人员和管理人员需求计划；</w:t>
            </w:r>
          </w:p>
          <w:p w14:paraId="123947F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（5）质量保证大纲和质量保证手册；</w:t>
            </w:r>
          </w:p>
          <w:p w14:paraId="0BEE555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（6）施工安全管理及风险控制方案；</w:t>
            </w:r>
          </w:p>
          <w:p w14:paraId="52EA9392">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（7）工程项目档案资料过程管控方案；</w:t>
            </w:r>
          </w:p>
        </w:tc>
      </w:tr>
      <w:tr w14:paraId="7396F24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04EC42E">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1C62147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3EE85729">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11.3</w:t>
            </w:r>
          </w:p>
        </w:tc>
        <w:tc>
          <w:tcPr>
            <w:tcW w:w="3582" w:type="dxa"/>
            <w:vAlign w:val="center"/>
          </w:tcPr>
          <w:p w14:paraId="1A53AE41">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11.3 发包人的工期延误 </w:t>
            </w:r>
          </w:p>
          <w:p w14:paraId="1250C09C">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修改为：</w:t>
            </w:r>
          </w:p>
          <w:p w14:paraId="6813A212">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在履行合同过程中，由于发包人的下列原因造成工期延误的，发包人应承担由此增加的费用和（或）同意延长工期。需要修订合同进度计划的，按照第10.2款的约定办理。</w:t>
            </w:r>
          </w:p>
          <w:p w14:paraId="07AB0528">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(1)发包人对工程进行重大设计变更；</w:t>
            </w:r>
          </w:p>
          <w:p w14:paraId="515E9A15">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（2）发包人迟延提供材料、工程设备或变更交货地点的；</w:t>
            </w:r>
          </w:p>
          <w:p w14:paraId="432C3D02">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（3）发包人要求暂停施工的；</w:t>
            </w:r>
          </w:p>
          <w:p w14:paraId="4ABCAB3B">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（4）发包人提供图纸延误的。</w:t>
            </w:r>
          </w:p>
        </w:tc>
        <w:tc>
          <w:tcPr>
            <w:tcW w:w="4455" w:type="dxa"/>
            <w:vAlign w:val="center"/>
          </w:tcPr>
          <w:p w14:paraId="7C494907">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11.3修改为：</w:t>
            </w:r>
          </w:p>
          <w:p w14:paraId="2C9496CB">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发包人的工期延误</w:t>
            </w:r>
          </w:p>
          <w:p w14:paraId="01B47E8D">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在履行合同过程中，由于发包人的下列原因造成工期延误，承包人也因此增加工程实际投入成本或增加完成其他工作，且发包人未通过其他方式对承包人增加成本或增加工作给予费用补偿的，发包人应承担由此增加的费用和（或）同意延长工期，发包人所承担的由此增加的费用按照本条款所述约定根据延误时间按合同价的一定比例进行计算。需要修订合同进度计划的，按照第10.2款的约定办理。</w:t>
            </w:r>
          </w:p>
          <w:p w14:paraId="483BA58F">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（1）发包人对工程进行重大设计变更；</w:t>
            </w:r>
          </w:p>
          <w:p w14:paraId="2E4867B5">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（2）发包人迟延提供材料、工程设备或变更交货地点的；</w:t>
            </w:r>
          </w:p>
          <w:p w14:paraId="55C8670E">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（3）发包人要求暂停施工的；</w:t>
            </w:r>
          </w:p>
          <w:p w14:paraId="3A3258FB">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（4）发包人提供图纸延误的。</w:t>
            </w:r>
          </w:p>
          <w:p w14:paraId="04DCB1A4">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发包人原因造成的实际工期较合同工期延误，且造成承包人实际施工周期延长，发包人将按如下原则给予承包人适当补偿。</w:t>
            </w:r>
          </w:p>
          <w:p w14:paraId="7181087B">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（1）工期延误6个月以内，发包人不予费用补偿；</w:t>
            </w:r>
          </w:p>
          <w:p w14:paraId="32FDB1D9">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（2）工期延误6个月（含6个月）-9个月，补偿签约合同价的1%；</w:t>
            </w:r>
          </w:p>
          <w:p w14:paraId="391945FB">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（3）工期延误9个月（含9个月）及以上，补偿签约合同价的1.5%。</w:t>
            </w:r>
          </w:p>
          <w:p w14:paraId="7DAD0D45">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工期延误计算依据为发包人在土建主体开工前交付承包人的一级网络进度计划中明确的工程竣工时间及实际竣工时间计算。双方确认，按照本条约定给予的补偿是承包人要求工期延误的唯一补偿，除此之外，承包人不得再就工期延误事宜向发包人提出任何其他费用补偿要求或主张。 </w:t>
            </w:r>
          </w:p>
          <w:p w14:paraId="053A4FB5">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具体因发包人的工期延误给予补偿费用的核算原则应根据具体单位工程分别确定，即对于本标包承包范围内的各单位工程，根据上述一级网络进度计划中明确的竣工时间为基础，发生因发包人的工期延误且达到本合同条款确定的标准的，按照该单位工程合同价为基数计算相应补偿费用。</w:t>
            </w:r>
          </w:p>
        </w:tc>
      </w:tr>
      <w:tr w14:paraId="7765179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CEE34BF">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5CEFAF6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499FA89D">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11.4</w:t>
            </w:r>
          </w:p>
        </w:tc>
        <w:tc>
          <w:tcPr>
            <w:tcW w:w="3582" w:type="dxa"/>
            <w:vAlign w:val="center"/>
          </w:tcPr>
          <w:p w14:paraId="3D83A1E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11.4异常恶劣的气候条件</w:t>
            </w:r>
          </w:p>
          <w:p w14:paraId="1AC16D9F">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修改为：</w:t>
            </w:r>
          </w:p>
          <w:p w14:paraId="262A711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由于出现合同约定的异常恶劣气候条件导致工期延误的，发包人有权根据工程需要选择延长工期或增加费用。</w:t>
            </w:r>
          </w:p>
          <w:p w14:paraId="00B12114">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出现如下异常恶劣气候条件（指对工程正常施工组织方案执行造成较大影响的，如按原定施工资源投入水平，须调整施工一级网络计划的超出工程所在地多年平均统计水平的特殊气侯条件，包括连续出现降雨、降雪、低温、冰冻或影响户外作业的高温天气等气侯条件）时，承包人应尽最大努力积极采取措施，确保施工进度，若经采取措施施工进度仍被延误的，发包人有权根据工程需要选择延长工期或增加费用：</w:t>
            </w:r>
          </w:p>
          <w:p w14:paraId="6A71638E">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 xml:space="preserve">六级以上大风、沙尘暴、暴风雨、暴风雪、冰雹以及影响户外作业的高温天气等异常恶劣气候持续1周以上，以上情况由监理人根据气象部门提供证明记录确认，及时向发包人提出书面报告。 </w:t>
            </w:r>
          </w:p>
        </w:tc>
        <w:tc>
          <w:tcPr>
            <w:tcW w:w="4455" w:type="dxa"/>
            <w:vAlign w:val="center"/>
          </w:tcPr>
          <w:p w14:paraId="6CB6523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11.4 异常恶劣的气候条件</w:t>
            </w:r>
          </w:p>
          <w:p w14:paraId="05B73B6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修改为：</w:t>
            </w:r>
          </w:p>
          <w:p w14:paraId="240B60F9">
            <w:pPr>
              <w:adjustRightInd w:val="0"/>
              <w:snapToGrid w:val="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由于出现合同约定的异常恶劣气候条件导致工期延误的，承包人应尽最大努力积极采取措施，确保施工进度，若经采取措施施工进度仍被延误的，发包人有权根据工程需要选择延长工期或调整增加合同费用。</w:t>
            </w:r>
          </w:p>
          <w:p w14:paraId="77432474">
            <w:pPr>
              <w:adjustRightInd w:val="0"/>
              <w:snapToGrid w:val="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异常恶劣气候条件”指对工程正常施工组织方案执行造成较大影响的，如按原定施工资源投入水平，须调整施工一级网络计划的特殊气候条件。包括：（1）超出工程所在地25年平均统计水平的特殊气候条件，包括连续出现降雨、降雪、低温、冰冻、高温等导致户外作业无法进行的气候条件持续7天以上。（2)六级以上大风、沙尘暴、暴风雨、暴风雪、冰雹等导致户外作业无法进行的气候条件持续7天以上。</w:t>
            </w:r>
          </w:p>
          <w:p w14:paraId="1B094030">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u w:val="single"/>
              </w:rPr>
              <w:t>出现异常恶劣气候条件时，施工单位需整理提交相关资料，监理人根据气象部门提供证明记录确认，及时向发包人提出书面报告。</w:t>
            </w:r>
          </w:p>
        </w:tc>
      </w:tr>
      <w:tr w14:paraId="7EFEFCC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F45D3DE">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1DBD0B5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13DF50D9">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11.6</w:t>
            </w:r>
          </w:p>
        </w:tc>
        <w:tc>
          <w:tcPr>
            <w:tcW w:w="3582" w:type="dxa"/>
            <w:vAlign w:val="center"/>
          </w:tcPr>
          <w:p w14:paraId="33E6A026">
            <w:pPr>
              <w:widowControl/>
              <w:autoSpaceDE w:val="0"/>
              <w:adjustRightInd w:val="0"/>
              <w:snapToGrid w:val="0"/>
              <w:spacing w:line="300" w:lineRule="auto"/>
              <w:textAlignment w:val="center"/>
              <w:rPr>
                <w:rStyle w:val="51"/>
                <w:rFonts w:hint="default"/>
                <w:color w:val="auto"/>
                <w:sz w:val="18"/>
                <w:szCs w:val="18"/>
              </w:rPr>
            </w:pPr>
            <w:r>
              <w:rPr>
                <w:rStyle w:val="51"/>
                <w:rFonts w:hint="default"/>
                <w:color w:val="auto"/>
                <w:sz w:val="18"/>
                <w:szCs w:val="18"/>
              </w:rPr>
              <w:t>11.6 工期提前</w:t>
            </w:r>
          </w:p>
          <w:p w14:paraId="3ABDFA23">
            <w:pPr>
              <w:widowControl/>
              <w:autoSpaceDE w:val="0"/>
              <w:adjustRightInd w:val="0"/>
              <w:snapToGrid w:val="0"/>
              <w:spacing w:line="300" w:lineRule="auto"/>
              <w:textAlignment w:val="center"/>
              <w:rPr>
                <w:rStyle w:val="51"/>
                <w:rFonts w:hint="default"/>
                <w:color w:val="auto"/>
                <w:sz w:val="18"/>
                <w:szCs w:val="18"/>
              </w:rPr>
            </w:pPr>
            <w:r>
              <w:rPr>
                <w:rStyle w:val="51"/>
                <w:rFonts w:hint="default"/>
                <w:color w:val="auto"/>
                <w:sz w:val="18"/>
                <w:szCs w:val="18"/>
              </w:rPr>
              <w:t>修改为：</w:t>
            </w:r>
          </w:p>
          <w:p w14:paraId="012D0A97">
            <w:pPr>
              <w:widowControl/>
              <w:autoSpaceDE w:val="0"/>
              <w:adjustRightInd w:val="0"/>
              <w:snapToGrid w:val="0"/>
              <w:spacing w:line="300" w:lineRule="auto"/>
              <w:textAlignment w:val="center"/>
              <w:rPr>
                <w:rStyle w:val="51"/>
                <w:rFonts w:hint="default"/>
                <w:color w:val="auto"/>
                <w:sz w:val="18"/>
                <w:szCs w:val="18"/>
              </w:rPr>
            </w:pPr>
            <w:r>
              <w:rPr>
                <w:rStyle w:val="51"/>
                <w:rFonts w:hint="default"/>
                <w:color w:val="auto"/>
                <w:sz w:val="18"/>
                <w:szCs w:val="18"/>
              </w:rPr>
              <w:t>发包人要求工程或其中一部分在合理工期内提前竣工时，承包人应按此要求提前竣工。承包人应在收到发包人要求后与监理人共同协商采取加快工程进度的措施和修订合同进度计划。</w:t>
            </w:r>
          </w:p>
          <w:p w14:paraId="1DF6A340">
            <w:pPr>
              <w:widowControl/>
              <w:autoSpaceDE w:val="0"/>
              <w:adjustRightInd w:val="0"/>
              <w:snapToGrid w:val="0"/>
              <w:spacing w:line="300" w:lineRule="auto"/>
              <w:textAlignment w:val="center"/>
              <w:rPr>
                <w:rFonts w:ascii="方正仿宋_GBK" w:hAnsi="方正仿宋_GBK" w:eastAsia="方正仿宋_GBK" w:cs="方正仿宋_GBK"/>
                <w:color w:val="000000" w:themeColor="text1"/>
                <w:sz w:val="18"/>
                <w:szCs w:val="18"/>
              </w:rPr>
            </w:pPr>
            <w:r>
              <w:rPr>
                <w:rStyle w:val="51"/>
                <w:rFonts w:hint="default"/>
                <w:color w:val="auto"/>
                <w:sz w:val="18"/>
                <w:szCs w:val="18"/>
              </w:rPr>
              <w:t>工期提前造成承包人费用增加的，发包人应予以补偿。</w:t>
            </w:r>
          </w:p>
        </w:tc>
        <w:tc>
          <w:tcPr>
            <w:tcW w:w="4455" w:type="dxa"/>
          </w:tcPr>
          <w:p w14:paraId="7EFAB3B2">
            <w:pPr>
              <w:widowControl/>
              <w:autoSpaceDE w:val="0"/>
              <w:adjustRightInd w:val="0"/>
              <w:snapToGrid w:val="0"/>
              <w:spacing w:line="300" w:lineRule="auto"/>
              <w:textAlignment w:val="center"/>
              <w:rPr>
                <w:rStyle w:val="51"/>
                <w:rFonts w:hint="default"/>
                <w:color w:val="auto"/>
                <w:sz w:val="18"/>
                <w:szCs w:val="18"/>
              </w:rPr>
            </w:pPr>
            <w:r>
              <w:rPr>
                <w:rStyle w:val="51"/>
                <w:rFonts w:hint="default"/>
                <w:color w:val="auto"/>
                <w:sz w:val="18"/>
                <w:szCs w:val="18"/>
              </w:rPr>
              <w:t>11.6 工期提前</w:t>
            </w:r>
          </w:p>
          <w:p w14:paraId="6704FC8F">
            <w:pPr>
              <w:widowControl/>
              <w:autoSpaceDE w:val="0"/>
              <w:adjustRightInd w:val="0"/>
              <w:snapToGrid w:val="0"/>
              <w:spacing w:line="300" w:lineRule="auto"/>
              <w:textAlignment w:val="center"/>
              <w:rPr>
                <w:rStyle w:val="51"/>
                <w:rFonts w:hint="default"/>
                <w:color w:val="auto"/>
                <w:sz w:val="18"/>
                <w:szCs w:val="18"/>
              </w:rPr>
            </w:pPr>
            <w:r>
              <w:rPr>
                <w:rStyle w:val="51"/>
                <w:rFonts w:hint="default"/>
                <w:color w:val="auto"/>
                <w:sz w:val="18"/>
                <w:szCs w:val="18"/>
              </w:rPr>
              <w:t>修改为：</w:t>
            </w:r>
          </w:p>
          <w:p w14:paraId="75E1E56A">
            <w:pPr>
              <w:autoSpaceDN w:val="0"/>
              <w:jc w:val="left"/>
              <w:textAlignment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 xml:space="preserve">发包人没有要求提前竣工，承包人自行提前竣工的，发包人不予增加费用；承包人按发包人要求提前竣工的，发包人将给予承包人如下补偿： </w:t>
            </w:r>
          </w:p>
          <w:p w14:paraId="51E6479D">
            <w:pPr>
              <w:autoSpaceDN w:val="0"/>
              <w:jc w:val="left"/>
              <w:textAlignment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1、提前竣工不足1个月的，发包人不予费用补偿；</w:t>
            </w:r>
          </w:p>
          <w:p w14:paraId="66695DA3">
            <w:pPr>
              <w:autoSpaceDN w:val="0"/>
              <w:jc w:val="left"/>
              <w:textAlignment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 xml:space="preserve">2、提前竣工1-3个月的，补偿合同总额的0.5%； </w:t>
            </w:r>
          </w:p>
          <w:p w14:paraId="413A4657">
            <w:pPr>
              <w:autoSpaceDN w:val="0"/>
              <w:jc w:val="left"/>
              <w:textAlignment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 xml:space="preserve">3、提前竣工3个月以上-6个月的，补偿合同总额的0.6-1.4%，按照线性内插法计算； </w:t>
            </w:r>
          </w:p>
          <w:p w14:paraId="12DF0C36">
            <w:pPr>
              <w:autoSpaceDN w:val="0"/>
              <w:jc w:val="left"/>
              <w:textAlignment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 xml:space="preserve">4、提前竣工6个月以上的，补偿合同总额的1.5%。 </w:t>
            </w:r>
          </w:p>
          <w:p w14:paraId="1FBF856E">
            <w:pPr>
              <w:autoSpaceDN w:val="0"/>
              <w:jc w:val="left"/>
              <w:textAlignment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本项工期提前依据工程发包人交付承包人的第一版一级网络进度计划中明确的本合同工程开工及通过特高压部组织的竣工验收时间计算。双方确认，按照本条约定给予的补偿是承包人按照发包人要求提前竣工的唯一补偿，除此之外，承包人不得再就提前竣工事宜向发包人提出任何其他费用补偿要求或主张。</w:t>
            </w:r>
          </w:p>
          <w:p w14:paraId="412C3CDB">
            <w:pPr>
              <w:widowControl/>
              <w:adjustRightInd w:val="0"/>
              <w:snapToGrid w:val="0"/>
              <w:rPr>
                <w:rFonts w:ascii="方正仿宋_GBK" w:hAnsi="方正仿宋_GBK" w:eastAsia="方正仿宋_GBK" w:cs="方正仿宋_GBK"/>
                <w:b/>
                <w:color w:val="000000" w:themeColor="text1"/>
                <w:sz w:val="18"/>
                <w:szCs w:val="18"/>
              </w:rPr>
            </w:pPr>
          </w:p>
        </w:tc>
      </w:tr>
      <w:tr w14:paraId="72A1811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F182DF6">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3750AE77">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专用条款12.1（5）</w:t>
            </w:r>
          </w:p>
        </w:tc>
        <w:tc>
          <w:tcPr>
            <w:tcW w:w="3582" w:type="dxa"/>
            <w:vAlign w:val="center"/>
          </w:tcPr>
          <w:p w14:paraId="6EF56F9B">
            <w:pPr>
              <w:adjustRightInd w:val="0"/>
              <w:snapToGrid w:val="0"/>
              <w:rPr>
                <w:rFonts w:ascii="方正仿宋_GBK" w:hAnsi="方正仿宋_GBK" w:eastAsia="方正仿宋_GBK" w:cs="方正仿宋_GBK"/>
                <w:kern w:val="0"/>
                <w:sz w:val="18"/>
                <w:szCs w:val="18"/>
                <w:u w:val="single"/>
              </w:rPr>
            </w:pPr>
            <w:r>
              <w:rPr>
                <w:rFonts w:hint="eastAsia" w:ascii="方正仿宋_GBK" w:hAnsi="方正仿宋_GBK" w:eastAsia="方正仿宋_GBK" w:cs="方正仿宋_GBK"/>
                <w:kern w:val="0"/>
                <w:sz w:val="18"/>
                <w:szCs w:val="18"/>
              </w:rPr>
              <w:t>12.1(5) 由承包人承担责任的其他暂停施工如下：</w:t>
            </w:r>
          </w:p>
          <w:p w14:paraId="713C8BD8">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w:t>
            </w:r>
          </w:p>
        </w:tc>
        <w:tc>
          <w:tcPr>
            <w:tcW w:w="4455" w:type="dxa"/>
            <w:vAlign w:val="center"/>
          </w:tcPr>
          <w:p w14:paraId="1825E4D2">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 xml:space="preserve">12.1（5）由承包人承担责任的其他暂停施工如下： </w:t>
            </w:r>
            <w:r>
              <w:rPr>
                <w:rFonts w:hint="eastAsia" w:ascii="方正仿宋_GBK" w:hAnsi="方正仿宋_GBK" w:eastAsia="方正仿宋_GBK" w:cs="方正仿宋_GBK"/>
                <w:kern w:val="0"/>
                <w:sz w:val="18"/>
                <w:szCs w:val="18"/>
                <w:u w:val="single"/>
              </w:rPr>
              <w:t>由于承包人原因引起的暂停施工造成工期延误连续 10 天及以上时，发包人有权按照专用17.4.5条对承包人进行考核。</w:t>
            </w:r>
          </w:p>
        </w:tc>
      </w:tr>
      <w:tr w14:paraId="676DFD8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BB42082">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68CA48F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4F28CE34">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12.2</w:t>
            </w:r>
          </w:p>
        </w:tc>
        <w:tc>
          <w:tcPr>
            <w:tcW w:w="3582" w:type="dxa"/>
            <w:vAlign w:val="center"/>
          </w:tcPr>
          <w:p w14:paraId="076741E7">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12.2 发包人暂停施工的责任</w:t>
            </w:r>
          </w:p>
          <w:p w14:paraId="7DD17D5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修改为：</w:t>
            </w:r>
          </w:p>
          <w:p w14:paraId="54608669">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由于发包人原因引起的暂停施工造成工期延误连续天及以上时，承包人有权要求发包人延长工期和（或）增加费用。</w:t>
            </w:r>
          </w:p>
        </w:tc>
        <w:tc>
          <w:tcPr>
            <w:tcW w:w="4455" w:type="dxa"/>
            <w:vAlign w:val="center"/>
          </w:tcPr>
          <w:p w14:paraId="1420161B">
            <w:pPr>
              <w:adjustRightInd w:val="0"/>
              <w:snapToGrid w:val="0"/>
              <w:rPr>
                <w:rFonts w:ascii="方正仿宋_GBK" w:hAnsi="方正仿宋_GBK" w:eastAsia="方正仿宋_GBK" w:cs="方正仿宋_GBK"/>
                <w:kern w:val="0"/>
                <w:sz w:val="18"/>
                <w:szCs w:val="18"/>
              </w:rPr>
            </w:pPr>
            <w:r>
              <w:rPr>
                <w:rFonts w:hint="eastAsia" w:ascii="方正仿宋_GBK" w:hAnsi="方正仿宋_GBK" w:eastAsia="方正仿宋_GBK" w:cs="方正仿宋_GBK"/>
                <w:kern w:val="0"/>
                <w:sz w:val="18"/>
                <w:szCs w:val="18"/>
              </w:rPr>
              <w:t>12.2发包人暂停施工的责任</w:t>
            </w:r>
          </w:p>
          <w:p w14:paraId="3E45D279">
            <w:pPr>
              <w:adjustRightInd w:val="0"/>
              <w:snapToGrid w:val="0"/>
              <w:rPr>
                <w:rFonts w:ascii="方正仿宋_GBK" w:hAnsi="方正仿宋_GBK" w:eastAsia="方正仿宋_GBK" w:cs="方正仿宋_GBK"/>
                <w:kern w:val="0"/>
                <w:sz w:val="18"/>
                <w:szCs w:val="18"/>
              </w:rPr>
            </w:pPr>
            <w:r>
              <w:rPr>
                <w:rFonts w:hint="eastAsia" w:ascii="方正仿宋_GBK" w:hAnsi="方正仿宋_GBK" w:eastAsia="方正仿宋_GBK" w:cs="方正仿宋_GBK"/>
                <w:kern w:val="0"/>
                <w:sz w:val="18"/>
                <w:szCs w:val="18"/>
              </w:rPr>
              <w:t>修改为：</w:t>
            </w:r>
          </w:p>
          <w:p w14:paraId="338D9F1A">
            <w:pPr>
              <w:adjustRightInd w:val="0"/>
              <w:snapToGrid w:val="0"/>
              <w:rPr>
                <w:rFonts w:ascii="方正仿宋_GBK" w:hAnsi="方正仿宋_GBK" w:eastAsia="方正仿宋_GBK" w:cs="方正仿宋_GBK"/>
                <w:kern w:val="0"/>
                <w:sz w:val="18"/>
                <w:szCs w:val="18"/>
              </w:rPr>
            </w:pPr>
            <w:r>
              <w:rPr>
                <w:rFonts w:hint="eastAsia" w:ascii="方正仿宋_GBK" w:hAnsi="方正仿宋_GBK" w:eastAsia="方正仿宋_GBK" w:cs="方正仿宋_GBK"/>
                <w:kern w:val="0"/>
                <w:sz w:val="18"/>
                <w:szCs w:val="18"/>
              </w:rPr>
              <w:t>由于发包人原因引起的暂停施工造成工期延误的，按照第11.3条执行；</w:t>
            </w:r>
          </w:p>
          <w:p w14:paraId="216373A4">
            <w:pPr>
              <w:adjustRightInd w:val="0"/>
              <w:snapToGrid w:val="0"/>
              <w:rPr>
                <w:rFonts w:ascii="方正仿宋_GBK" w:hAnsi="方正仿宋_GBK" w:eastAsia="方正仿宋_GBK" w:cs="方正仿宋_GBK"/>
                <w:kern w:val="0"/>
                <w:sz w:val="18"/>
                <w:szCs w:val="18"/>
              </w:rPr>
            </w:pPr>
            <w:r>
              <w:rPr>
                <w:rFonts w:hint="eastAsia" w:ascii="方正仿宋_GBK" w:hAnsi="方正仿宋_GBK" w:eastAsia="方正仿宋_GBK" w:cs="方正仿宋_GBK"/>
                <w:kern w:val="0"/>
                <w:sz w:val="18"/>
                <w:szCs w:val="18"/>
              </w:rPr>
              <w:t>由于发包人原因引起的本合同范围内承包人全部施工工作暂停施工连续</w:t>
            </w:r>
            <w:r>
              <w:rPr>
                <w:rFonts w:hint="eastAsia" w:ascii="方正仿宋_GBK" w:hAnsi="方正仿宋_GBK" w:eastAsia="方正仿宋_GBK" w:cs="方正仿宋_GBK"/>
                <w:kern w:val="0"/>
                <w:sz w:val="18"/>
                <w:szCs w:val="18"/>
                <w:u w:val="single"/>
              </w:rPr>
              <w:t>10</w:t>
            </w:r>
            <w:r>
              <w:rPr>
                <w:rFonts w:hint="eastAsia" w:ascii="方正仿宋_GBK" w:hAnsi="方正仿宋_GBK" w:eastAsia="方正仿宋_GBK" w:cs="方正仿宋_GBK"/>
                <w:kern w:val="0"/>
                <w:sz w:val="18"/>
                <w:szCs w:val="18"/>
              </w:rPr>
              <w:t>天以上（以现场业主项目部、监理单位签署的工作签证计算），承包人为保证合同工期，调整原施工组织设计、加大投入造成施工成本增加，发包人按如下原则补偿承包人：</w:t>
            </w:r>
          </w:p>
          <w:p w14:paraId="68C6526E">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kern w:val="0"/>
                <w:sz w:val="18"/>
                <w:szCs w:val="18"/>
              </w:rPr>
              <w:t>出现连续10天以上的暂停施工时，该次暂停施工天数可计入补偿费用核算基数，单天暂停施工补偿费用原则上按签约合同价的万分之三计算。如经发包人及监理审核并要求承包人采取增加进退场的方式来减少现场暂停施工天数的，可按签约合同价的百分之一补偿相应增加的承包人进退场费用及进退场期间的看护费用，不再另行计算进退场期间的其他暂停施工补偿费用。</w:t>
            </w:r>
          </w:p>
        </w:tc>
      </w:tr>
      <w:tr w14:paraId="7D6C057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66E608B">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2B1A30A9">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专用条款13.1.1 （补充）</w:t>
            </w:r>
          </w:p>
        </w:tc>
        <w:tc>
          <w:tcPr>
            <w:tcW w:w="3582" w:type="dxa"/>
            <w:vAlign w:val="center"/>
          </w:tcPr>
          <w:p w14:paraId="245086CE">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13.1.1.2 专项目标要求</w:t>
            </w:r>
          </w:p>
          <w:p w14:paraId="6E32D704">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35千伏及以下项目：工程质量总评为优良，分项工程合格率100％，单位工程合格率100％，观感得分率（土建）≥90％。</w:t>
            </w:r>
          </w:p>
          <w:p w14:paraId="318E2D3E">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110（66）千伏项目：工程质量总评为优良，分项工程合格率100％，单位工程合格率100％，观感得分率（土建）≥90％。</w:t>
            </w:r>
          </w:p>
          <w:p w14:paraId="74867255">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220千伏及以上项目：工程质量总评为优良，分项工程合格率（100％，单位工程合格率100％，观感得分率（土建）≥95％；通过达标投产考核；不发生因工程建设原因造成的六级及以上工程质量事件。</w:t>
            </w:r>
          </w:p>
          <w:p w14:paraId="29D59CC0">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其他目标： 。</w:t>
            </w:r>
          </w:p>
        </w:tc>
        <w:tc>
          <w:tcPr>
            <w:tcW w:w="4455" w:type="dxa"/>
          </w:tcPr>
          <w:p w14:paraId="51230ADE">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修改为：</w:t>
            </w:r>
          </w:p>
          <w:p w14:paraId="37BAF4C5">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13.1.1.2 专项目标要求</w:t>
            </w:r>
          </w:p>
          <w:p w14:paraId="5B4E242C">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工程质量总评为优良，分项工程合格率100％、单位工程优良率100％，观感得分率≥95％；</w:t>
            </w:r>
          </w:p>
        </w:tc>
      </w:tr>
      <w:tr w14:paraId="42CA4CB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E1AA82A">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75DA77C5">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专用条款13.2.6</w:t>
            </w:r>
          </w:p>
        </w:tc>
        <w:tc>
          <w:tcPr>
            <w:tcW w:w="3582" w:type="dxa"/>
            <w:vAlign w:val="center"/>
          </w:tcPr>
          <w:p w14:paraId="1E07FF9C">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13.2.6 承包人应建立健全施工质量的检验制度，按规定组织内部的质量检查验收工作；严格工序管理，做好隐蔽工程的质量检查和记录。</w:t>
            </w:r>
          </w:p>
        </w:tc>
        <w:tc>
          <w:tcPr>
            <w:tcW w:w="4455" w:type="dxa"/>
            <w:vAlign w:val="center"/>
          </w:tcPr>
          <w:p w14:paraId="3CC46633">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13.2.6（增加）修改为：承包人应建立健全施工质量的检验制度，按规定组织内部的质量检查验收工作；严格工序管理，做好隐蔽工程的质量检查和记录；做实三级（班组、项目部、公司）质量检验，规范验收数据实测实量及实时实地记录，确保验收数据真实、可追溯，以实测实量数据有效验证工程实体质量及质量管理行为，严厉打击验收走形式、弄虚作假。</w:t>
            </w:r>
          </w:p>
        </w:tc>
      </w:tr>
      <w:tr w14:paraId="01BF32D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E43F067">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14C48182">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专用条款13.2.18（新增）</w:t>
            </w:r>
          </w:p>
        </w:tc>
        <w:tc>
          <w:tcPr>
            <w:tcW w:w="3582" w:type="dxa"/>
            <w:vAlign w:val="center"/>
          </w:tcPr>
          <w:p w14:paraId="566EF96B">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　无</w:t>
            </w:r>
          </w:p>
        </w:tc>
        <w:tc>
          <w:tcPr>
            <w:tcW w:w="4455" w:type="dxa"/>
            <w:vAlign w:val="center"/>
          </w:tcPr>
          <w:p w14:paraId="3FA06EA2">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13.2.18（增加）：施工过程中，承包人要根据质量评价相关要求每半年进行一次自查和闭环整改。承包人负责中电建协全过程质量管控、质量评价、创优咨询检查、达标投产验收等专项工作。负责申报材料和汇报材料编制、会务组织和迎检工作。</w:t>
            </w:r>
          </w:p>
        </w:tc>
      </w:tr>
      <w:tr w14:paraId="6BF69F9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11B9FD7">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3D9A29D2">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专用条款13.2.19（新增）</w:t>
            </w:r>
          </w:p>
        </w:tc>
        <w:tc>
          <w:tcPr>
            <w:tcW w:w="3582" w:type="dxa"/>
            <w:vAlign w:val="center"/>
          </w:tcPr>
          <w:p w14:paraId="1181C36A">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　无</w:t>
            </w:r>
          </w:p>
        </w:tc>
        <w:tc>
          <w:tcPr>
            <w:tcW w:w="4455" w:type="dxa"/>
            <w:vAlign w:val="center"/>
          </w:tcPr>
          <w:p w14:paraId="62071E2A">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13.2.19（增加）：承包人必须在开工前将本工程所开展的科技项目、工法、群众性创新项目、QC小组、专利计划上报业主项目部审核，建设管理单位职能部门批准。承包人在工程进展过程中进行项目实施、总结，每半年形成项目报告，报业主项目部审查。承包人以建设管理单位和承包人联合身份每年参加省部级评比，参加中国电力建设企业协会组织的电力建设科学技术进步奖、电力建设工法、电力建设优秀质量管理（QC）小组成果等评审，并确保获省部级及以上成果奖（包括但不限于科技成果2项，电力行业及以上工法1项，国家电网公司工法1项，QC成果3项，专利3项）并确保将获奖成果用于本工程的国家优质工程奖或鲁班奖的评选中，所有成果归发包人及承包人双方所有。承包人每半年向建设管理单位汇报工作完成情况，并在成果形成后及时向建设管理单位上报，及时汇报参加评奖及获奖成果情况。所有相关工作同时要符合国网公司的规定要求，符合业主项目部的工作要求。</w:t>
            </w:r>
          </w:p>
          <w:p w14:paraId="3C88167F">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需开展并取得获奖成果的科技创新工作（科技项目、工法等内容），包括但不限于以下内容：（1）工法：工法成果相关的策划、研究、DVD制作工作要符合国网公司及电力建设工法的要求，确保通过国网公司工法的评审及获得中电建协工法评奖。（2）科技项目：承包人应在投标报价中考虑因此项工作（策划、研究、采购设备、申报专利、查新、报奖）增加的相关费用。（3）专利申报。（4）职工技术创新研究。（5）标准规范修订等增加的相关费用。</w:t>
            </w:r>
          </w:p>
          <w:p w14:paraId="011B847C">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 xml:space="preserve">   每个承包人按照建设管理单位安排开展1-2项课题（科技项目或管理提升项目等）的研究工作，负责研究课题所召开的专项调研、专题研讨会议、集中工作、成果制作、成果出版所需的各项会务费用。具体项目由建设管理单位制定。承包人科研能力不能满足项目需要时，应委托第三方科研院所开展相关科研工作，并承担相关费用。</w:t>
            </w:r>
          </w:p>
        </w:tc>
      </w:tr>
      <w:tr w14:paraId="63B3B4D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4785495">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52F81788">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专用条款13.2.20（新增）</w:t>
            </w:r>
          </w:p>
        </w:tc>
        <w:tc>
          <w:tcPr>
            <w:tcW w:w="3582" w:type="dxa"/>
            <w:vAlign w:val="center"/>
          </w:tcPr>
          <w:p w14:paraId="1779DEE7">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　无</w:t>
            </w:r>
          </w:p>
        </w:tc>
        <w:tc>
          <w:tcPr>
            <w:tcW w:w="4455" w:type="dxa"/>
            <w:vAlign w:val="center"/>
          </w:tcPr>
          <w:p w14:paraId="76341892">
            <w:pPr>
              <w:widowControl/>
              <w:adjustRightInd w:val="0"/>
              <w:snapToGrid w:val="0"/>
              <w:jc w:val="left"/>
              <w:rPr>
                <w:rFonts w:ascii="方正仿宋_GBK" w:hAnsi="方正仿宋_GBK" w:eastAsia="方正仿宋_GBK" w:cs="方正仿宋_GBK"/>
                <w:color w:val="000000" w:themeColor="text1"/>
              </w:rPr>
            </w:pPr>
            <w:r>
              <w:rPr>
                <w:rFonts w:hint="eastAsia" w:ascii="方正仿宋_GBK" w:hAnsi="方正仿宋_GBK" w:eastAsia="方正仿宋_GBK" w:cs="方正仿宋_GBK"/>
                <w:sz w:val="18"/>
                <w:szCs w:val="18"/>
              </w:rPr>
              <w:t>13.2.20（增加）：作为工程创优的必备条件，所有工程要通过新技术应用专项评价和绿色施工专项评价。承包人应对新技术应用和绿色施工措施给予充分的关注和重视，并将职责自始至终的落实到人。承包人在开工前要编制绿色施工方案及新技术实施方案（包括国家推广节能项目应用、电力建设五新应用与研发、建设部十项技术应用等）；在过程中每半年要汇报工作情况，建设管理单位组织对其进行检查。在过程中，要组织人员配合绿色施工及新技术专项评价的迎接检查工作（包括材料编写等各种文件提供、迎接专家咨询检查等工作）；工程竣工前后要组织对相关工作进行总结，形成规范性成果；工程投产后，负责绿色施工及新技术专项评价所相关的成果整理、总结、上报工作，负责迎接绿色施工及新技术专项评价的验收相关工作。负责落实建设管理单位绿色施工及新技术专项评价相关的一切工作安排。</w:t>
            </w:r>
          </w:p>
        </w:tc>
      </w:tr>
      <w:tr w14:paraId="71218CF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45B3446">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5662C3A1">
            <w:pPr>
              <w:widowControl/>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kern w:val="0"/>
                <w:sz w:val="18"/>
                <w:szCs w:val="18"/>
              </w:rPr>
              <w:t>专用条款13.2.21（新增）</w:t>
            </w:r>
          </w:p>
        </w:tc>
        <w:tc>
          <w:tcPr>
            <w:tcW w:w="3582" w:type="dxa"/>
            <w:vAlign w:val="center"/>
          </w:tcPr>
          <w:p w14:paraId="1514146C">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　无</w:t>
            </w:r>
          </w:p>
        </w:tc>
        <w:tc>
          <w:tcPr>
            <w:tcW w:w="4455" w:type="dxa"/>
            <w:vAlign w:val="center"/>
          </w:tcPr>
          <w:p w14:paraId="48B30437">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13.2.21（增加）：承包人负责所有质量检查和创优相关会议的承办工作，包括但不限于质量专项检查、地基基础及结构验收、质量评价咨询检查、新技术专项评价评比、绿色施工专项评价评比、各阶段创优咨询检查、网优检查、中国电力优质工程检查、国家优质工程检查，负责所有的会务工作和费用。</w:t>
            </w:r>
          </w:p>
        </w:tc>
      </w:tr>
      <w:tr w14:paraId="6AC3742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9432E53">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16A36B7C">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专用条款13.2.22（新增）</w:t>
            </w:r>
          </w:p>
        </w:tc>
        <w:tc>
          <w:tcPr>
            <w:tcW w:w="3582" w:type="dxa"/>
            <w:vAlign w:val="center"/>
          </w:tcPr>
          <w:p w14:paraId="0C3EE645">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　无</w:t>
            </w:r>
          </w:p>
        </w:tc>
        <w:tc>
          <w:tcPr>
            <w:tcW w:w="4455" w:type="dxa"/>
            <w:vAlign w:val="center"/>
          </w:tcPr>
          <w:p w14:paraId="68F717A2">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13.2.22（增加）：承包人要高度重视工程亮点照片和视频材料的拍摄和收集工作，为创优积累重要素材。每半年承包商负责向业主项目部上交符合工程国优申报要求的亮点照片、亮点视频、创新照片、隐蔽工程验收照片（每处隐蔽工程验收合格前必须留有照片，包括但不限于钢筋、回填土、接地等），必须通过业主项目部审查合格，声像照片质量要满足高清片制作标准，像素不小于1920*1080。影像资料拍摄和收集整理还要满足《输变电工程安全质量过程控制数码照片管理工作要求》（基建安质〔2016〕56号）、《换流站工程档案管理手册》及建设管理单位的要求。以上照片文件定期每月25日前将上月材料报建设管理单位备存。</w:t>
            </w:r>
          </w:p>
        </w:tc>
      </w:tr>
      <w:tr w14:paraId="2C7388D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2941F3B">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684B60A5">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专用条款13.2.23（新增）</w:t>
            </w:r>
          </w:p>
        </w:tc>
        <w:tc>
          <w:tcPr>
            <w:tcW w:w="3582" w:type="dxa"/>
            <w:vAlign w:val="center"/>
          </w:tcPr>
          <w:p w14:paraId="45D2B0C3">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　无</w:t>
            </w:r>
          </w:p>
        </w:tc>
        <w:tc>
          <w:tcPr>
            <w:tcW w:w="4455" w:type="dxa"/>
            <w:vAlign w:val="center"/>
          </w:tcPr>
          <w:p w14:paraId="32CBC78E">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 xml:space="preserve"> 13.2.23（增加）：承包人应随工程进度取得并归档相关质量检测报告。承包人选择的有资质的试验室必须得到监理和业主的批准。试验结果必须及时上报监理和业主项目部。承包人有义务按照业主或监理要求对有争议的部位配合进行质量检测及试验，以确认其质量是否达到标准。</w:t>
            </w:r>
          </w:p>
        </w:tc>
      </w:tr>
      <w:tr w14:paraId="360F448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DFA5506">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28ED8566">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专用条款13.2.24（新增）</w:t>
            </w:r>
          </w:p>
        </w:tc>
        <w:tc>
          <w:tcPr>
            <w:tcW w:w="3582" w:type="dxa"/>
            <w:vAlign w:val="center"/>
          </w:tcPr>
          <w:p w14:paraId="2E78427E">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无</w:t>
            </w:r>
          </w:p>
        </w:tc>
        <w:tc>
          <w:tcPr>
            <w:tcW w:w="4455" w:type="dxa"/>
          </w:tcPr>
          <w:p w14:paraId="682186D2">
            <w:pPr>
              <w:widowControl/>
              <w:adjustRightInd w:val="0"/>
              <w:snapToGrid w:val="0"/>
              <w:jc w:val="left"/>
              <w:rPr>
                <w:rFonts w:ascii="方正仿宋_GBK" w:hAnsi="方正仿宋_GBK" w:eastAsia="方正仿宋_GBK" w:cs="方正仿宋_GBK"/>
                <w:color w:val="000000" w:themeColor="text1"/>
                <w:sz w:val="18"/>
                <w:szCs w:val="18"/>
                <w:u w:val="single"/>
              </w:rPr>
            </w:pPr>
            <w:r>
              <w:rPr>
                <w:rFonts w:hint="eastAsia" w:ascii="方正仿宋_GBK" w:hAnsi="方正仿宋_GBK" w:eastAsia="方正仿宋_GBK" w:cs="方正仿宋_GBK"/>
                <w:sz w:val="18"/>
                <w:szCs w:val="18"/>
              </w:rPr>
              <w:t>13.2.24 （增加）：</w:t>
            </w:r>
            <w:r>
              <w:rPr>
                <w:rFonts w:hint="eastAsia" w:ascii="方正仿宋_GBK" w:hAnsi="方正仿宋_GBK" w:eastAsia="方正仿宋_GBK" w:cs="方正仿宋_GBK"/>
                <w:sz w:val="18"/>
                <w:szCs w:val="18"/>
                <w:lang w:val="en-US" w:eastAsia="zh-CN"/>
              </w:rPr>
              <w:t>管廊</w:t>
            </w:r>
            <w:r>
              <w:rPr>
                <w:rFonts w:hint="eastAsia" w:ascii="方正仿宋_GBK" w:hAnsi="方正仿宋_GBK" w:eastAsia="方正仿宋_GBK" w:cs="方正仿宋_GBK"/>
                <w:sz w:val="18"/>
                <w:szCs w:val="18"/>
              </w:rPr>
              <w:t>工程将推广应用工程现场人员管理系统实践，利用“云、大、物、移”信息化工具实现对现场人员以及车辆、重要工器具的进出场等信息的全面及时掌控，强化工程建设管理、分包队伍管理等薄弱环节，保障电网基建安全，将各项安全质量的管控措施落地生根。施工单位按照业主项目部的要求参与和配合系统建设，负责系统建设和使用、日常维护相关费用，各承包人安排专人负责。“智慧工地”的投入由</w:t>
            </w:r>
            <w:r>
              <w:rPr>
                <w:rFonts w:hint="eastAsia" w:ascii="方正仿宋_GBK" w:hAnsi="方正仿宋_GBK" w:eastAsia="方正仿宋_GBK" w:cs="方正仿宋_GBK"/>
                <w:sz w:val="18"/>
                <w:szCs w:val="18"/>
                <w:lang w:val="en-US" w:eastAsia="zh-CN"/>
              </w:rPr>
              <w:t>电气安装</w:t>
            </w:r>
            <w:r>
              <w:rPr>
                <w:rFonts w:hint="eastAsia" w:ascii="方正仿宋_GBK" w:hAnsi="方正仿宋_GBK" w:eastAsia="方正仿宋_GBK" w:cs="方正仿宋_GBK"/>
                <w:sz w:val="18"/>
                <w:szCs w:val="18"/>
              </w:rPr>
              <w:t>包牵头负责，各施工单位按合同比例分摊。其中由智慧安装工作产生的费用，由电气承包人自行考虑，不参与分摊。</w:t>
            </w:r>
          </w:p>
        </w:tc>
      </w:tr>
      <w:tr w14:paraId="6334F25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38FE0EA">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02B0DAE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6378469D">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13.8.2</w:t>
            </w:r>
          </w:p>
        </w:tc>
        <w:tc>
          <w:tcPr>
            <w:tcW w:w="3582" w:type="dxa"/>
            <w:vAlign w:val="center"/>
          </w:tcPr>
          <w:p w14:paraId="55FCD2E1">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13.8.2 质量考核违约金</w:t>
            </w:r>
          </w:p>
          <w:p w14:paraId="7417652D">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违反合同对质量管理的有关规定，出现质量缺陷或造成质量事件时，应向发包人支付质量考核违约金。发包人将在事实清楚的前提下，书面通知承包人扣款金额；日常检查中发包人扣款时，将开具扣款通知单，可在进行合同价款结算时依据存根汇总后，书面通知承包人后扣除。所扣款项以合同约定的数额为限，在合同结算时执行。支付质量违约金并不减轻或免除承包人的质量责任。</w:t>
            </w:r>
          </w:p>
          <w:p w14:paraId="75BBE5AB">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质量考核违约金标准如下：</w:t>
            </w:r>
          </w:p>
          <w:p w14:paraId="38612322">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（1）发生重大工程质量事故（二级及以上质量事件）支付签约合同价的1%。</w:t>
            </w:r>
          </w:p>
          <w:p w14:paraId="4474CEED">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（2）发生较大质量事故（三级质量事件），每次支付签约合同价的5‰。</w:t>
            </w:r>
          </w:p>
          <w:p w14:paraId="5B3B2818">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（3）发生一般质量事故（四级质量事件），每次支付签约合同价的2‰。</w:t>
            </w:r>
          </w:p>
          <w:p w14:paraId="09A5F3AC">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（4）发包人组织质量检查时，未能达到标准要求且未在规定期限完成整改消缺的，每次支付签约合同价的1‰。</w:t>
            </w:r>
          </w:p>
        </w:tc>
        <w:tc>
          <w:tcPr>
            <w:tcW w:w="4455" w:type="dxa"/>
            <w:vAlign w:val="center"/>
          </w:tcPr>
          <w:p w14:paraId="0C0C8756">
            <w:pPr>
              <w:snapToGrid w:val="0"/>
              <w:spacing w:line="360" w:lineRule="exact"/>
              <w:ind w:firstLine="360" w:firstLineChars="200"/>
              <w:jc w:val="left"/>
              <w:rPr>
                <w:rStyle w:val="53"/>
                <w:rFonts w:ascii="方正仿宋_GBK" w:hAnsi="方正仿宋_GBK" w:eastAsia="方正仿宋_GBK" w:cs="方正仿宋_GBK"/>
                <w:bCs/>
                <w:kern w:val="0"/>
                <w:sz w:val="18"/>
                <w:szCs w:val="18"/>
              </w:rPr>
            </w:pPr>
            <w:r>
              <w:rPr>
                <w:rStyle w:val="53"/>
                <w:rFonts w:hint="eastAsia" w:ascii="方正仿宋_GBK" w:hAnsi="方正仿宋_GBK" w:eastAsia="方正仿宋_GBK" w:cs="方正仿宋_GBK"/>
                <w:bCs/>
                <w:kern w:val="0"/>
                <w:sz w:val="18"/>
                <w:szCs w:val="18"/>
              </w:rPr>
              <w:t>专用条款13.8.2质量考核违约金修改为：</w:t>
            </w:r>
          </w:p>
          <w:p w14:paraId="72E17144">
            <w:pPr>
              <w:snapToGrid w:val="0"/>
              <w:spacing w:line="360" w:lineRule="exact"/>
              <w:ind w:firstLine="360" w:firstLineChars="200"/>
              <w:jc w:val="left"/>
              <w:rPr>
                <w:rFonts w:ascii="方正仿宋_GBK" w:hAnsi="方正仿宋_GBK" w:eastAsia="方正仿宋_GBK" w:cs="方正仿宋_GBK"/>
                <w:sz w:val="18"/>
                <w:szCs w:val="18"/>
              </w:rPr>
            </w:pPr>
            <w:r>
              <w:rPr>
                <w:rStyle w:val="53"/>
                <w:rFonts w:hint="eastAsia" w:ascii="方正仿宋_GBK" w:hAnsi="方正仿宋_GBK" w:eastAsia="方正仿宋_GBK" w:cs="方正仿宋_GBK"/>
                <w:bCs/>
                <w:kern w:val="0"/>
                <w:sz w:val="18"/>
                <w:szCs w:val="18"/>
              </w:rPr>
              <w:t>在承包人违反合同对质量管理的有关规定，出现质量缺陷或造成质量事件时，发包人有权依合同的约定对承包人扣减质量违约金。发包人将在事实清楚的前提下，书面通知承包人扣款金额；日常检查中发包人扣款时，将开具扣款通知单，在进行合同价款结算时依据存根汇总后，书面通知承包人后扣除。所扣款项以合同约定的数额为限，在合同结算时执行。扣除质量违约金并不减轻或免除承包人的质量责任。</w:t>
            </w:r>
          </w:p>
          <w:p w14:paraId="72307621">
            <w:pPr>
              <w:snapToGrid w:val="0"/>
              <w:spacing w:line="360" w:lineRule="exact"/>
              <w:ind w:firstLine="360" w:firstLineChars="200"/>
              <w:jc w:val="left"/>
              <w:rPr>
                <w:rStyle w:val="53"/>
                <w:rFonts w:ascii="方正仿宋_GBK" w:hAnsi="方正仿宋_GBK" w:eastAsia="方正仿宋_GBK" w:cs="方正仿宋_GBK"/>
                <w:bCs/>
                <w:kern w:val="0"/>
                <w:sz w:val="18"/>
                <w:szCs w:val="18"/>
              </w:rPr>
            </w:pPr>
            <w:r>
              <w:rPr>
                <w:rStyle w:val="53"/>
                <w:rFonts w:hint="eastAsia" w:ascii="方正仿宋_GBK" w:hAnsi="方正仿宋_GBK" w:eastAsia="方正仿宋_GBK" w:cs="方正仿宋_GBK"/>
                <w:bCs/>
                <w:kern w:val="0"/>
                <w:sz w:val="18"/>
                <w:szCs w:val="18"/>
              </w:rPr>
              <w:t>质量违约金扣除标准如下：</w:t>
            </w:r>
          </w:p>
          <w:p w14:paraId="4D8FD3B5">
            <w:pPr>
              <w:snapToGrid w:val="0"/>
              <w:spacing w:line="360" w:lineRule="exact"/>
              <w:ind w:firstLine="360" w:firstLineChars="200"/>
              <w:jc w:val="left"/>
              <w:rPr>
                <w:rStyle w:val="53"/>
                <w:rFonts w:ascii="方正仿宋_GBK" w:hAnsi="方正仿宋_GBK" w:eastAsia="方正仿宋_GBK" w:cs="方正仿宋_GBK"/>
                <w:bCs/>
                <w:kern w:val="0"/>
                <w:sz w:val="18"/>
                <w:szCs w:val="18"/>
              </w:rPr>
            </w:pPr>
            <w:r>
              <w:rPr>
                <w:rStyle w:val="53"/>
                <w:rFonts w:hint="eastAsia" w:ascii="方正仿宋_GBK" w:hAnsi="方正仿宋_GBK" w:eastAsia="方正仿宋_GBK" w:cs="方正仿宋_GBK"/>
                <w:bCs/>
                <w:kern w:val="0"/>
                <w:sz w:val="18"/>
                <w:szCs w:val="18"/>
              </w:rPr>
              <w:t>（1）对发生重大工程质量事故（二级及以上质量事件）的承包人，扣除签约合同价的1.5%。</w:t>
            </w:r>
          </w:p>
          <w:p w14:paraId="0C7F5186">
            <w:pPr>
              <w:snapToGrid w:val="0"/>
              <w:spacing w:line="360" w:lineRule="exact"/>
              <w:ind w:firstLine="360" w:firstLineChars="200"/>
              <w:jc w:val="left"/>
              <w:rPr>
                <w:rStyle w:val="53"/>
                <w:rFonts w:ascii="方正仿宋_GBK" w:hAnsi="方正仿宋_GBK" w:eastAsia="方正仿宋_GBK" w:cs="方正仿宋_GBK"/>
                <w:bCs/>
                <w:kern w:val="0"/>
                <w:sz w:val="18"/>
                <w:szCs w:val="18"/>
              </w:rPr>
            </w:pPr>
            <w:r>
              <w:rPr>
                <w:rStyle w:val="53"/>
                <w:rFonts w:hint="eastAsia" w:ascii="方正仿宋_GBK" w:hAnsi="方正仿宋_GBK" w:eastAsia="方正仿宋_GBK" w:cs="方正仿宋_GBK"/>
                <w:bCs/>
                <w:kern w:val="0"/>
                <w:sz w:val="18"/>
                <w:szCs w:val="18"/>
              </w:rPr>
              <w:t>（2）对发生较大质量事故（三级质量事件）的承包人，每次扣签约合同价的7.5‰。</w:t>
            </w:r>
          </w:p>
          <w:p w14:paraId="29A38364">
            <w:pPr>
              <w:snapToGrid w:val="0"/>
              <w:spacing w:line="360" w:lineRule="exact"/>
              <w:ind w:firstLine="360" w:firstLineChars="200"/>
              <w:jc w:val="left"/>
              <w:rPr>
                <w:rStyle w:val="53"/>
                <w:rFonts w:ascii="方正仿宋_GBK" w:hAnsi="方正仿宋_GBK" w:eastAsia="方正仿宋_GBK" w:cs="方正仿宋_GBK"/>
                <w:bCs/>
                <w:kern w:val="0"/>
                <w:sz w:val="18"/>
                <w:szCs w:val="18"/>
              </w:rPr>
            </w:pPr>
            <w:r>
              <w:rPr>
                <w:rStyle w:val="53"/>
                <w:rFonts w:hint="eastAsia" w:ascii="方正仿宋_GBK" w:hAnsi="方正仿宋_GBK" w:eastAsia="方正仿宋_GBK" w:cs="方正仿宋_GBK"/>
                <w:bCs/>
                <w:kern w:val="0"/>
                <w:sz w:val="18"/>
                <w:szCs w:val="18"/>
              </w:rPr>
              <w:t>（3）对发生一般质量事故（四级质量事件）的承包人，每次扣签约合同价的3‰。</w:t>
            </w:r>
          </w:p>
          <w:p w14:paraId="0EBD0124">
            <w:pPr>
              <w:snapToGrid w:val="0"/>
              <w:spacing w:line="360" w:lineRule="exact"/>
              <w:ind w:firstLine="360" w:firstLineChars="200"/>
              <w:jc w:val="left"/>
              <w:rPr>
                <w:rStyle w:val="53"/>
                <w:rFonts w:ascii="方正仿宋_GBK" w:hAnsi="方正仿宋_GBK" w:eastAsia="方正仿宋_GBK" w:cs="方正仿宋_GBK"/>
                <w:bCs/>
                <w:kern w:val="0"/>
                <w:sz w:val="18"/>
                <w:szCs w:val="18"/>
              </w:rPr>
            </w:pPr>
            <w:r>
              <w:rPr>
                <w:rStyle w:val="53"/>
                <w:rFonts w:hint="eastAsia" w:ascii="方正仿宋_GBK" w:hAnsi="方正仿宋_GBK" w:eastAsia="方正仿宋_GBK" w:cs="方正仿宋_GBK"/>
                <w:bCs/>
                <w:kern w:val="0"/>
                <w:sz w:val="18"/>
                <w:szCs w:val="18"/>
              </w:rPr>
              <w:t>（4）发包人组织质量检查时，对未能达到标准要求且未在规定期限完成整改消缺的承包人，每次扣签约合同价的1.5‰。</w:t>
            </w:r>
          </w:p>
          <w:p w14:paraId="394A003B">
            <w:pPr>
              <w:snapToGrid w:val="0"/>
              <w:spacing w:line="360" w:lineRule="exact"/>
              <w:ind w:firstLine="360" w:firstLineChars="200"/>
              <w:jc w:val="left"/>
              <w:rPr>
                <w:rStyle w:val="53"/>
                <w:rFonts w:ascii="方正仿宋_GBK" w:hAnsi="方正仿宋_GBK" w:eastAsia="方正仿宋_GBK" w:cs="方正仿宋_GBK"/>
                <w:bCs/>
                <w:kern w:val="0"/>
                <w:sz w:val="18"/>
                <w:szCs w:val="18"/>
              </w:rPr>
            </w:pPr>
            <w:r>
              <w:rPr>
                <w:rStyle w:val="53"/>
                <w:rFonts w:hint="eastAsia" w:ascii="方正仿宋_GBK" w:hAnsi="方正仿宋_GBK" w:eastAsia="方正仿宋_GBK" w:cs="方正仿宋_GBK"/>
                <w:bCs/>
                <w:kern w:val="0"/>
                <w:sz w:val="18"/>
                <w:szCs w:val="18"/>
              </w:rPr>
              <w:t>（5）对造成五级质量事件负主要责任的承包人，扣签约合同价的1‰；</w:t>
            </w:r>
          </w:p>
          <w:p w14:paraId="750CC8B1">
            <w:pPr>
              <w:snapToGrid w:val="0"/>
              <w:spacing w:line="360" w:lineRule="exact"/>
              <w:ind w:firstLine="360" w:firstLineChars="200"/>
              <w:jc w:val="left"/>
              <w:rPr>
                <w:rStyle w:val="53"/>
                <w:rFonts w:ascii="方正仿宋_GBK" w:hAnsi="方正仿宋_GBK" w:eastAsia="方正仿宋_GBK" w:cs="方正仿宋_GBK"/>
                <w:bCs/>
                <w:kern w:val="0"/>
                <w:sz w:val="18"/>
                <w:szCs w:val="18"/>
              </w:rPr>
            </w:pPr>
            <w:r>
              <w:rPr>
                <w:rStyle w:val="53"/>
                <w:rFonts w:hint="eastAsia" w:ascii="方正仿宋_GBK" w:hAnsi="方正仿宋_GBK" w:eastAsia="方正仿宋_GBK" w:cs="方正仿宋_GBK"/>
                <w:bCs/>
                <w:kern w:val="0"/>
                <w:sz w:val="18"/>
                <w:szCs w:val="18"/>
              </w:rPr>
              <w:t>（6）对造成六级质量事件负主要责任的承包人，扣签约合同价的0.5‰；</w:t>
            </w:r>
          </w:p>
          <w:p w14:paraId="2F3403F8">
            <w:pPr>
              <w:snapToGrid w:val="0"/>
              <w:spacing w:line="360" w:lineRule="exact"/>
              <w:ind w:firstLine="360" w:firstLineChars="200"/>
              <w:jc w:val="left"/>
              <w:rPr>
                <w:rStyle w:val="53"/>
                <w:rFonts w:ascii="方正仿宋_GBK" w:hAnsi="方正仿宋_GBK" w:eastAsia="方正仿宋_GBK" w:cs="方正仿宋_GBK"/>
                <w:bCs/>
                <w:kern w:val="0"/>
                <w:sz w:val="18"/>
                <w:szCs w:val="18"/>
              </w:rPr>
            </w:pPr>
            <w:r>
              <w:rPr>
                <w:rStyle w:val="53"/>
                <w:rFonts w:hint="eastAsia" w:ascii="方正仿宋_GBK" w:hAnsi="方正仿宋_GBK" w:eastAsia="方正仿宋_GBK" w:cs="方正仿宋_GBK"/>
                <w:bCs/>
                <w:kern w:val="0"/>
                <w:sz w:val="18"/>
                <w:szCs w:val="18"/>
              </w:rPr>
              <w:t>（7）对造成七级及以下质量事件负主要责任的承包人，扣签约合同价的0.2‰。</w:t>
            </w:r>
          </w:p>
          <w:p w14:paraId="289D5531">
            <w:pPr>
              <w:snapToGrid w:val="0"/>
              <w:spacing w:line="360" w:lineRule="exact"/>
              <w:ind w:firstLine="360" w:firstLineChars="200"/>
              <w:jc w:val="left"/>
              <w:rPr>
                <w:rStyle w:val="53"/>
                <w:rFonts w:ascii="方正仿宋_GBK" w:hAnsi="方正仿宋_GBK" w:eastAsia="方正仿宋_GBK" w:cs="方正仿宋_GBK"/>
                <w:bCs/>
                <w:kern w:val="0"/>
                <w:sz w:val="18"/>
                <w:szCs w:val="18"/>
              </w:rPr>
            </w:pPr>
            <w:r>
              <w:rPr>
                <w:rStyle w:val="53"/>
                <w:rFonts w:hint="eastAsia" w:ascii="方正仿宋_GBK" w:hAnsi="方正仿宋_GBK" w:eastAsia="方正仿宋_GBK" w:cs="方正仿宋_GBK"/>
                <w:bCs/>
                <w:kern w:val="0"/>
                <w:sz w:val="18"/>
                <w:szCs w:val="18"/>
              </w:rPr>
              <w:t>（8）对工程梳理的标准工艺清单未应用100%的承包人，扣签约合同价的0.2‰。</w:t>
            </w:r>
          </w:p>
          <w:p w14:paraId="0DC9D376">
            <w:pPr>
              <w:spacing w:line="360" w:lineRule="exact"/>
              <w:ind w:firstLine="360" w:firstLineChars="200"/>
              <w:rPr>
                <w:rStyle w:val="53"/>
                <w:rFonts w:ascii="方正仿宋_GBK" w:hAnsi="方正仿宋_GBK" w:eastAsia="方正仿宋_GBK" w:cs="方正仿宋_GBK"/>
                <w:bCs/>
                <w:kern w:val="0"/>
                <w:sz w:val="18"/>
                <w:szCs w:val="18"/>
              </w:rPr>
            </w:pPr>
            <w:r>
              <w:rPr>
                <w:rStyle w:val="53"/>
                <w:rFonts w:hint="eastAsia" w:ascii="方正仿宋_GBK" w:hAnsi="方正仿宋_GBK" w:eastAsia="方正仿宋_GBK" w:cs="方正仿宋_GBK"/>
                <w:bCs/>
                <w:kern w:val="0"/>
                <w:sz w:val="18"/>
                <w:szCs w:val="18"/>
              </w:rPr>
              <w:t>（9）对投运时出现严重缺陷的承包人，扣签约合同价的0.2‰。</w:t>
            </w:r>
          </w:p>
          <w:p w14:paraId="62D27DAD">
            <w:pPr>
              <w:spacing w:line="360" w:lineRule="exact"/>
              <w:ind w:firstLine="360" w:firstLineChars="200"/>
              <w:rPr>
                <w:rStyle w:val="53"/>
                <w:rFonts w:ascii="方正仿宋_GBK" w:hAnsi="方正仿宋_GBK" w:eastAsia="方正仿宋_GBK" w:cs="方正仿宋_GBK"/>
                <w:bCs/>
                <w:kern w:val="0"/>
                <w:sz w:val="18"/>
                <w:szCs w:val="18"/>
              </w:rPr>
            </w:pPr>
            <w:r>
              <w:rPr>
                <w:rStyle w:val="53"/>
                <w:rFonts w:hint="eastAsia" w:ascii="方正仿宋_GBK" w:hAnsi="方正仿宋_GBK" w:eastAsia="方正仿宋_GBK" w:cs="方正仿宋_GBK"/>
                <w:bCs/>
                <w:kern w:val="0"/>
                <w:sz w:val="18"/>
                <w:szCs w:val="18"/>
              </w:rPr>
              <w:t>（10）工程达标投产复检时，检查表中承包人负主要责任的“基本符合”项达到5项，扣签约合同价的0.1‰；检查表中存在承包人负主要责任的“不符合”项，扣签约合同价的0.5‰。</w:t>
            </w:r>
          </w:p>
          <w:p w14:paraId="15BE39E9">
            <w:pPr>
              <w:widowControl/>
              <w:adjustRightInd w:val="0"/>
              <w:snapToGrid w:val="0"/>
              <w:jc w:val="left"/>
              <w:rPr>
                <w:rStyle w:val="53"/>
                <w:rFonts w:hint="eastAsia" w:ascii="方正仿宋_GBK" w:hAnsi="方正仿宋_GBK" w:eastAsia="方正仿宋_GBK" w:cs="方正仿宋_GBK"/>
                <w:bCs/>
                <w:kern w:val="0"/>
                <w:sz w:val="18"/>
                <w:szCs w:val="18"/>
              </w:rPr>
            </w:pPr>
            <w:r>
              <w:rPr>
                <w:rStyle w:val="53"/>
                <w:rFonts w:hint="eastAsia" w:ascii="方正仿宋_GBK" w:hAnsi="方正仿宋_GBK" w:eastAsia="方正仿宋_GBK" w:cs="方正仿宋_GBK"/>
                <w:bCs/>
                <w:kern w:val="0"/>
                <w:sz w:val="18"/>
                <w:szCs w:val="18"/>
              </w:rPr>
              <w:t>（11）工程标杆工地、标杆工程、国网优质工程检查时，检查评分表中承包人负主要责任的“不足”项和扣分项累计达到10项，扣签约合同价的0.1‰；评分表中存在承包人负主要责任的否决项影响工程创优的，扣签约合同价的0.5‰。</w:t>
            </w:r>
          </w:p>
          <w:p w14:paraId="7621ADE6">
            <w:pPr>
              <w:widowControl/>
              <w:adjustRightInd w:val="0"/>
              <w:snapToGrid w:val="0"/>
              <w:ind w:firstLine="360" w:firstLineChars="200"/>
              <w:jc w:val="left"/>
              <w:rPr>
                <w:rStyle w:val="53"/>
                <w:rFonts w:ascii="方正仿宋_GBK" w:hAnsi="方正仿宋_GBK" w:eastAsia="方正仿宋_GBK" w:cs="方正仿宋_GBK"/>
                <w:bCs/>
                <w:kern w:val="0"/>
                <w:sz w:val="18"/>
                <w:szCs w:val="18"/>
              </w:rPr>
            </w:pPr>
            <w:r>
              <w:rPr>
                <w:rStyle w:val="53"/>
                <w:rFonts w:hint="eastAsia" w:ascii="方正仿宋_GBK" w:hAnsi="方正仿宋_GBK" w:eastAsia="方正仿宋_GBK" w:cs="方正仿宋_GBK"/>
                <w:bCs/>
                <w:kern w:val="0"/>
                <w:sz w:val="18"/>
                <w:szCs w:val="18"/>
                <w:lang w:eastAsia="zh-CN"/>
              </w:rPr>
              <w:t>（</w:t>
            </w:r>
            <w:r>
              <w:rPr>
                <w:rStyle w:val="53"/>
                <w:rFonts w:hint="eastAsia" w:ascii="方正仿宋_GBK" w:hAnsi="方正仿宋_GBK" w:eastAsia="方正仿宋_GBK" w:cs="方正仿宋_GBK"/>
                <w:bCs/>
                <w:kern w:val="0"/>
                <w:sz w:val="18"/>
                <w:szCs w:val="18"/>
                <w:lang w:val="en-US" w:eastAsia="zh-CN"/>
              </w:rPr>
              <w:t>12</w:t>
            </w:r>
            <w:r>
              <w:rPr>
                <w:rStyle w:val="53"/>
                <w:rFonts w:hint="eastAsia" w:ascii="方正仿宋_GBK" w:hAnsi="方正仿宋_GBK" w:eastAsia="方正仿宋_GBK" w:cs="方正仿宋_GBK"/>
                <w:bCs/>
                <w:kern w:val="0"/>
                <w:sz w:val="18"/>
                <w:szCs w:val="18"/>
                <w:lang w:eastAsia="zh-CN"/>
              </w:rPr>
              <w:t>）</w:t>
            </w:r>
            <w:r>
              <w:rPr>
                <w:rStyle w:val="53"/>
                <w:rFonts w:ascii="方正仿宋_GBK" w:hAnsi="方正仿宋_GBK" w:eastAsia="方正仿宋_GBK" w:cs="方正仿宋_GBK"/>
                <w:bCs/>
                <w:kern w:val="0"/>
                <w:sz w:val="18"/>
                <w:szCs w:val="18"/>
              </w:rPr>
              <w:t>工程建设过程中，工程参加国网公司专项检查、质量监督检查或建设管理单位专项检查，检查组查出因承包人原因产生的质量方面问题和缺陷（包括现场和资料），每1项承包人每次支付签约合同价的0.003%。</w:t>
            </w:r>
          </w:p>
          <w:p w14:paraId="789F2B24">
            <w:pPr>
              <w:widowControl/>
              <w:adjustRightInd w:val="0"/>
              <w:snapToGrid w:val="0"/>
              <w:ind w:firstLine="360" w:firstLineChars="200"/>
              <w:jc w:val="left"/>
              <w:rPr>
                <w:rStyle w:val="53"/>
                <w:rFonts w:ascii="方正仿宋_GBK" w:hAnsi="方正仿宋_GBK" w:eastAsia="方正仿宋_GBK" w:cs="方正仿宋_GBK"/>
                <w:bCs/>
                <w:kern w:val="0"/>
                <w:sz w:val="18"/>
                <w:szCs w:val="18"/>
              </w:rPr>
            </w:pPr>
            <w:r>
              <w:rPr>
                <w:rStyle w:val="53"/>
                <w:rFonts w:hint="eastAsia" w:ascii="方正仿宋_GBK" w:hAnsi="方正仿宋_GBK" w:eastAsia="方正仿宋_GBK" w:cs="方正仿宋_GBK"/>
                <w:bCs/>
                <w:kern w:val="0"/>
                <w:sz w:val="18"/>
                <w:szCs w:val="18"/>
                <w:lang w:eastAsia="zh-CN"/>
              </w:rPr>
              <w:t>（</w:t>
            </w:r>
            <w:r>
              <w:rPr>
                <w:rStyle w:val="53"/>
                <w:rFonts w:hint="eastAsia" w:ascii="方正仿宋_GBK" w:hAnsi="方正仿宋_GBK" w:eastAsia="方正仿宋_GBK" w:cs="方正仿宋_GBK"/>
                <w:bCs/>
                <w:kern w:val="0"/>
                <w:sz w:val="18"/>
                <w:szCs w:val="18"/>
                <w:lang w:val="en-US" w:eastAsia="zh-CN"/>
              </w:rPr>
              <w:t>13</w:t>
            </w:r>
            <w:r>
              <w:rPr>
                <w:rStyle w:val="53"/>
                <w:rFonts w:hint="eastAsia" w:ascii="方正仿宋_GBK" w:hAnsi="方正仿宋_GBK" w:eastAsia="方正仿宋_GBK" w:cs="方正仿宋_GBK"/>
                <w:bCs/>
                <w:kern w:val="0"/>
                <w:sz w:val="18"/>
                <w:szCs w:val="18"/>
                <w:lang w:eastAsia="zh-CN"/>
              </w:rPr>
              <w:t>）</w:t>
            </w:r>
            <w:r>
              <w:rPr>
                <w:rStyle w:val="53"/>
                <w:rFonts w:ascii="方正仿宋_GBK" w:hAnsi="方正仿宋_GBK" w:eastAsia="方正仿宋_GBK" w:cs="方正仿宋_GBK"/>
                <w:bCs/>
                <w:kern w:val="0"/>
                <w:sz w:val="18"/>
                <w:szCs w:val="18"/>
              </w:rPr>
              <w:t>工程试运行结束后，仍存在未消除的质量缺陷（含运行单位提出在缺陷单上的、质量监督检查中提出、建设管理单位各项检查时提出），每条承包人支付签约合同价的0.01%；工程试运行后出现运行单位提出通报的质量问题，每次承包人支付签约合同价的0.1%；出现国网总部部门通报的质量问题，每次承包人支付签约合同价的0.3%</w:t>
            </w:r>
          </w:p>
          <w:p w14:paraId="215A82D7">
            <w:pPr>
              <w:widowControl/>
              <w:adjustRightInd w:val="0"/>
              <w:snapToGrid w:val="0"/>
              <w:ind w:firstLine="360" w:firstLineChars="200"/>
              <w:jc w:val="left"/>
              <w:rPr>
                <w:rFonts w:ascii="方正仿宋_GBK" w:hAnsi="方正仿宋_GBK" w:eastAsia="方正仿宋_GBK" w:cs="方正仿宋_GBK"/>
                <w:color w:val="000000" w:themeColor="text1"/>
                <w:sz w:val="18"/>
                <w:szCs w:val="18"/>
              </w:rPr>
            </w:pPr>
            <w:r>
              <w:rPr>
                <w:rStyle w:val="53"/>
                <w:rFonts w:hint="eastAsia" w:ascii="方正仿宋_GBK" w:hAnsi="方正仿宋_GBK" w:eastAsia="方正仿宋_GBK" w:cs="方正仿宋_GBK"/>
                <w:bCs/>
                <w:kern w:val="0"/>
                <w:sz w:val="18"/>
                <w:szCs w:val="18"/>
                <w:lang w:eastAsia="zh-CN"/>
              </w:rPr>
              <w:t>（</w:t>
            </w:r>
            <w:r>
              <w:rPr>
                <w:rStyle w:val="53"/>
                <w:rFonts w:hint="eastAsia" w:ascii="方正仿宋_GBK" w:hAnsi="方正仿宋_GBK" w:eastAsia="方正仿宋_GBK" w:cs="方正仿宋_GBK"/>
                <w:bCs/>
                <w:kern w:val="0"/>
                <w:sz w:val="18"/>
                <w:szCs w:val="18"/>
                <w:lang w:val="en-US" w:eastAsia="zh-CN"/>
              </w:rPr>
              <w:t>14</w:t>
            </w:r>
            <w:r>
              <w:rPr>
                <w:rStyle w:val="53"/>
                <w:rFonts w:hint="eastAsia" w:ascii="方正仿宋_GBK" w:hAnsi="方正仿宋_GBK" w:eastAsia="方正仿宋_GBK" w:cs="方正仿宋_GBK"/>
                <w:bCs/>
                <w:kern w:val="0"/>
                <w:sz w:val="18"/>
                <w:szCs w:val="18"/>
                <w:lang w:eastAsia="zh-CN"/>
              </w:rPr>
              <w:t>）</w:t>
            </w:r>
            <w:r>
              <w:rPr>
                <w:rStyle w:val="53"/>
                <w:rFonts w:ascii="方正仿宋_GBK" w:hAnsi="方正仿宋_GBK" w:eastAsia="方正仿宋_GBK" w:cs="方正仿宋_GBK"/>
                <w:bCs/>
                <w:kern w:val="0"/>
                <w:sz w:val="18"/>
                <w:szCs w:val="18"/>
              </w:rPr>
              <w:t>工程竣工预验收时，建设管理单位组织标准工艺应用评价，标准工艺应用率未达到100%，承包人支付签约合同价的0.15%；管理工作评价得分率低于95%，承包人每次支付签约合同价的0.15%。对于业主项目部安排的标准工艺研究项目，未按时上报研究成果或未通过国网公司评审，承包人每次支付签约合同价的0.02%。</w:t>
            </w:r>
          </w:p>
        </w:tc>
      </w:tr>
      <w:tr w14:paraId="4B907E0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5B35589">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550D1FEE">
            <w:pPr>
              <w:widowControl/>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 xml:space="preserve">专用条款15.4.3 </w:t>
            </w:r>
          </w:p>
        </w:tc>
        <w:tc>
          <w:tcPr>
            <w:tcW w:w="3582" w:type="dxa"/>
            <w:vAlign w:val="center"/>
          </w:tcPr>
          <w:p w14:paraId="7424EF0F">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15.4.3 修改为：</w:t>
            </w:r>
          </w:p>
          <w:p w14:paraId="713734C7">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工程量清单中无适用或类似子目的单价，由双方按以下原则确定变更工作的单价：</w:t>
            </w:r>
          </w:p>
          <w:p w14:paraId="36409728">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工程量清单中无适用或类似子目的单价的，由承包人根据变更工程资料、计量规则和计价办法、变更提出时信息价格和承包人报价折扣率提出变更工程项的单价，报发包人确定后调整。承包人报价折扣率=（中标价/投标最高限价）×100%</w:t>
            </w:r>
            <w:r>
              <w:rPr>
                <w:rFonts w:hint="eastAsia" w:ascii="方正仿宋_GBK" w:hAnsi="方正仿宋_GBK" w:eastAsia="方正仿宋_GBK" w:cs="方正仿宋_GBK"/>
                <w:sz w:val="18"/>
                <w:szCs w:val="18"/>
              </w:rPr>
              <w:footnoteReference w:id="0"/>
            </w:r>
            <w:r>
              <w:rPr>
                <w:rFonts w:hint="eastAsia" w:ascii="方正仿宋_GBK" w:hAnsi="方正仿宋_GBK" w:eastAsia="方正仿宋_GBK" w:cs="方正仿宋_GBK"/>
                <w:sz w:val="18"/>
                <w:szCs w:val="18"/>
              </w:rPr>
              <w:t>。</w:t>
            </w:r>
          </w:p>
          <w:p w14:paraId="7621168F">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工程量清单中无适用或类似子目的单价，且信息价缺价的，由承包人根据变更工程资料、计量规则、计价办法和通过市场调查取得合法依据的市场价格，按照本项第（1）条方式提出变更工程项综合单价，报发包人确定后调整。</w:t>
            </w:r>
          </w:p>
          <w:p w14:paraId="5A50D0C5">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（3）在合同履行过程中，因分部分项工程量清单漏项或非承包人原因的工程变更，引起措施项目发生变化，造成施工组织设计或施工方案变更，调整原则如下:</w:t>
            </w:r>
          </w:p>
          <w:p w14:paraId="110551D7">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a.以综合单价形式计价的措施项目，措施项目综合单价不作调整，工程量按实际工程进行调整。</w:t>
            </w:r>
          </w:p>
          <w:p w14:paraId="38313D74">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b.以“项”计价的措施项目，原措施费中已有的措施项目，按原有措施费的组价方法调整；原措施费中没有的措施项目，由承包人根据措施项目变更情况，提出适当的措施费变更，经发包人确认后调整。</w:t>
            </w:r>
          </w:p>
          <w:p w14:paraId="0D16C075">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（4）因项目特征或工程量发生变更的，按下列原则确定综合单价。</w:t>
            </w:r>
          </w:p>
          <w:p w14:paraId="5542605D">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a.因招标工程量清单特征描述不符，且该变化引起该项目工程造价增减变化的。应按实际施工的项目特征和承包人报价折扣率重新确定综合单价。</w:t>
            </w:r>
          </w:p>
          <w:p w14:paraId="52F8563E">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b.因招标工程量清单缺项，应按上述规定确定单价，并调整合同价款。</w:t>
            </w:r>
          </w:p>
          <w:p w14:paraId="67F99BA6">
            <w:pPr>
              <w:widowControl/>
              <w:adjustRightInd w:val="0"/>
              <w:snapToGrid w:val="0"/>
              <w:jc w:val="left"/>
              <w:rPr>
                <w:rFonts w:ascii="方正仿宋_GBK" w:hAnsi="方正仿宋_GBK" w:eastAsia="方正仿宋_GBK" w:cs="方正仿宋_GBK"/>
                <w:color w:val="000000" w:themeColor="text1"/>
                <w:kern w:val="0"/>
                <w:sz w:val="18"/>
                <w:szCs w:val="18"/>
              </w:rPr>
            </w:pPr>
          </w:p>
        </w:tc>
        <w:tc>
          <w:tcPr>
            <w:tcW w:w="4455" w:type="dxa"/>
            <w:vAlign w:val="center"/>
          </w:tcPr>
          <w:p w14:paraId="54F40528">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15.4.3修改为：</w:t>
            </w:r>
          </w:p>
          <w:p w14:paraId="54644E8F">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 变更的估价原则</w:t>
            </w:r>
          </w:p>
          <w:p w14:paraId="7308F996">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（1）工程变更估价执行国家能源局批准的《电力建设工程工程量清单计价规范变电工程》（中国电力行业标准DL/T 5341－2021）（以下简称：2021版清单计价规范）中提出的工程变更管理规定（参见2021版清单计价规范9.3）。发包人依据2021版清单计价规范为基础，结合国网公司直流输电工程管理制度及相关要求，对其中部分内容修订而成的2021版清单计价规范专用条款应优先于2021版清单计价规范，本专用条款中另有约定的，优先于2021版清单计价规范专用条款。</w:t>
            </w:r>
          </w:p>
          <w:p w14:paraId="5B0E014A">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 xml:space="preserve">（2）工程量清单中无适用或类似子目的单价的，由承包人根据变更工程资料、计量规则和计价办法提出变更工程项的单价，报发包人审核。发包人依据 </w:t>
            </w:r>
            <w:r>
              <w:rPr>
                <w:rFonts w:hint="eastAsia" w:ascii="方正仿宋_GBK" w:hAnsi="方正仿宋_GBK" w:eastAsia="方正仿宋_GBK" w:cs="方正仿宋_GBK"/>
                <w:sz w:val="18"/>
                <w:szCs w:val="18"/>
                <w:lang w:val="en-US" w:eastAsia="zh-CN"/>
              </w:rPr>
              <w:t>2025</w:t>
            </w:r>
            <w:r>
              <w:rPr>
                <w:rFonts w:hint="eastAsia" w:ascii="方正仿宋_GBK" w:hAnsi="方正仿宋_GBK" w:eastAsia="方正仿宋_GBK" w:cs="方正仿宋_GBK"/>
                <w:sz w:val="18"/>
                <w:szCs w:val="18"/>
              </w:rPr>
              <w:t xml:space="preserve"> 版电力建设工程定额和费用计算规定确定综合单价，承包人结算单价=发包人确定的综合单价*97%。发包人确定的综合单价中如有直接采用实际采购的设备或装材价格直接计列的费用项，且除税金或其他强制性收费项目外未以此类实际采购费用为基数计取其他费用的，此部分实际采购费用可不参与下浮计算，直接计入结算价中。</w:t>
            </w:r>
          </w:p>
        </w:tc>
      </w:tr>
      <w:tr w14:paraId="281ED77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3959C02">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18A8142A">
            <w:pPr>
              <w:widowControl/>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w:t>
            </w:r>
            <w:r>
              <w:rPr>
                <w:rFonts w:hint="eastAsia" w:ascii="方正仿宋_GBK" w:hAnsi="方正仿宋_GBK" w:eastAsia="方正仿宋_GBK" w:cs="方正仿宋_GBK"/>
                <w:snapToGrid w:val="0"/>
                <w:kern w:val="0"/>
                <w:sz w:val="18"/>
                <w:szCs w:val="18"/>
              </w:rPr>
              <w:t>15.6.3</w:t>
            </w:r>
          </w:p>
        </w:tc>
        <w:tc>
          <w:tcPr>
            <w:tcW w:w="3582" w:type="dxa"/>
            <w:vAlign w:val="center"/>
          </w:tcPr>
          <w:p w14:paraId="2281C1F6">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15.6.3 关于暂列金额的其他约定如下：</w:t>
            </w:r>
          </w:p>
          <w:p w14:paraId="6453070C">
            <w:pPr>
              <w:autoSpaceDE w:val="0"/>
              <w:autoSpaceDN w:val="0"/>
              <w:adjustRightInd w:val="0"/>
              <w:snapToGrid w:val="0"/>
              <w:jc w:val="left"/>
              <w:rPr>
                <w:rFonts w:ascii="方正仿宋_GBK" w:hAnsi="方正仿宋_GBK" w:eastAsia="方正仿宋_GBK" w:cs="方正仿宋_GBK"/>
                <w:snapToGrid w:val="0"/>
                <w:kern w:val="0"/>
                <w:sz w:val="18"/>
                <w:szCs w:val="18"/>
                <w:u w:val="single"/>
              </w:rPr>
            </w:pPr>
          </w:p>
          <w:p w14:paraId="2BCAFA8B">
            <w:pPr>
              <w:autoSpaceDE w:val="0"/>
              <w:autoSpaceDN w:val="0"/>
              <w:adjustRightInd w:val="0"/>
              <w:snapToGrid w:val="0"/>
              <w:jc w:val="left"/>
              <w:rPr>
                <w:rFonts w:ascii="方正仿宋_GBK" w:hAnsi="方正仿宋_GBK" w:eastAsia="方正仿宋_GBK" w:cs="方正仿宋_GBK"/>
                <w:snapToGrid w:val="0"/>
                <w:kern w:val="0"/>
                <w:sz w:val="18"/>
                <w:szCs w:val="18"/>
                <w:u w:val="single"/>
              </w:rPr>
            </w:pPr>
          </w:p>
          <w:p w14:paraId="19A95695">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w:t>
            </w:r>
          </w:p>
          <w:p w14:paraId="2DE5B409">
            <w:pPr>
              <w:widowControl/>
              <w:jc w:val="left"/>
              <w:rPr>
                <w:rFonts w:ascii="方正仿宋_GBK" w:hAnsi="方正仿宋_GBK" w:eastAsia="方正仿宋_GBK" w:cs="方正仿宋_GBK"/>
                <w:color w:val="000000" w:themeColor="text1"/>
                <w:sz w:val="18"/>
                <w:szCs w:val="18"/>
              </w:rPr>
            </w:pPr>
          </w:p>
        </w:tc>
        <w:tc>
          <w:tcPr>
            <w:tcW w:w="4455" w:type="dxa"/>
            <w:vAlign w:val="center"/>
          </w:tcPr>
          <w:p w14:paraId="564AA6B0">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15.6.3 关于暂列金额的其他约定如下：</w:t>
            </w:r>
          </w:p>
          <w:p w14:paraId="3799EE08">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u w:val="single"/>
              </w:rPr>
              <w:t xml:space="preserve">  详见合同附件《国家电网有限公司特高压换流站电力建设工程工程量清单规范（2021年版）应用工作指南》。</w:t>
            </w:r>
          </w:p>
        </w:tc>
      </w:tr>
      <w:tr w14:paraId="351B989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DCD0B3A">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5213AA42">
            <w:pPr>
              <w:widowControl/>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w:t>
            </w:r>
            <w:r>
              <w:rPr>
                <w:rFonts w:hint="eastAsia" w:ascii="方正仿宋_GBK" w:hAnsi="方正仿宋_GBK" w:eastAsia="方正仿宋_GBK" w:cs="方正仿宋_GBK"/>
                <w:sz w:val="18"/>
                <w:szCs w:val="18"/>
              </w:rPr>
              <w:t>15.8.1</w:t>
            </w:r>
          </w:p>
        </w:tc>
        <w:tc>
          <w:tcPr>
            <w:tcW w:w="3582" w:type="dxa"/>
            <w:vAlign w:val="center"/>
          </w:tcPr>
          <w:p w14:paraId="25FC9815">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15.8.1 发包人在工程量清单中给定暂估价的材料、工程设备属于依法必须招标的范围并达到规定的规模标准的，由发包人和承包人以招标的方式选择供应商。发包人和承包人的权利义务关系按以下约定执行：</w:t>
            </w:r>
          </w:p>
          <w:p w14:paraId="3542949F">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z w:val="18"/>
                <w:szCs w:val="18"/>
              </w:rPr>
              <w:t xml:space="preserve">。 </w:t>
            </w:r>
          </w:p>
          <w:p w14:paraId="23E59F8E">
            <w:pPr>
              <w:widowControl/>
              <w:jc w:val="left"/>
              <w:rPr>
                <w:rFonts w:ascii="方正仿宋_GBK" w:hAnsi="方正仿宋_GBK" w:eastAsia="方正仿宋_GBK" w:cs="方正仿宋_GBK"/>
                <w:color w:val="000000" w:themeColor="text1"/>
                <w:sz w:val="18"/>
                <w:szCs w:val="18"/>
              </w:rPr>
            </w:pPr>
          </w:p>
        </w:tc>
        <w:tc>
          <w:tcPr>
            <w:tcW w:w="4455" w:type="dxa"/>
            <w:vAlign w:val="center"/>
          </w:tcPr>
          <w:p w14:paraId="5CE00BDD">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15.8.1 发包人在工程量清单中给定暂估价的材料、工程设备属于依法必须招标的范围并达到规定的规模标准的，由发包人和承包人以招标的方式选择供应商。发包人和承包人的权利义务关系按以下约定执行：</w:t>
            </w:r>
          </w:p>
          <w:p w14:paraId="620D6F71">
            <w:pPr>
              <w:widowControl/>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u w:val="single"/>
              </w:rPr>
              <w:t>详见合同附件《国家电网有限公司特高压换流站电力建设工程工程量清单规范（2021年版）应用工作指南》。</w:t>
            </w:r>
          </w:p>
        </w:tc>
      </w:tr>
      <w:tr w14:paraId="0226304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717E54C">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68C4892F">
            <w:pPr>
              <w:widowControl/>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专用条款16.1（1）</w:t>
            </w:r>
          </w:p>
        </w:tc>
        <w:tc>
          <w:tcPr>
            <w:tcW w:w="3582" w:type="dxa"/>
            <w:vAlign w:val="center"/>
          </w:tcPr>
          <w:p w14:paraId="7D85CF08">
            <w:pPr>
              <w:rPr>
                <w:rFonts w:ascii="方正仿宋_GBK" w:hAnsi="方正仿宋_GBK" w:eastAsia="方正仿宋_GBK" w:cs="方正仿宋_GBK"/>
                <w:snapToGrid w:val="0"/>
                <w:sz w:val="18"/>
                <w:szCs w:val="18"/>
              </w:rPr>
            </w:pPr>
            <w:r>
              <w:rPr>
                <w:rFonts w:hint="eastAsia" w:ascii="方正仿宋_GBK" w:hAnsi="方正仿宋_GBK" w:eastAsia="方正仿宋_GBK" w:cs="方正仿宋_GBK"/>
                <w:kern w:val="0"/>
                <w:sz w:val="18"/>
                <w:szCs w:val="18"/>
              </w:rPr>
              <w:t>16.1（1）</w:t>
            </w:r>
            <w:r>
              <w:rPr>
                <w:rFonts w:hint="eastAsia" w:ascii="方正仿宋_GBK" w:hAnsi="方正仿宋_GBK" w:eastAsia="方正仿宋_GBK" w:cs="方正仿宋_GBK"/>
                <w:snapToGrid w:val="0"/>
                <w:sz w:val="18"/>
                <w:szCs w:val="18"/>
              </w:rPr>
              <w:t>合同价格包括签约合同价以及按照合同约定进行的调整；</w:t>
            </w:r>
          </w:p>
          <w:p w14:paraId="71AF17C4">
            <w:pPr>
              <w:widowControl/>
              <w:jc w:val="left"/>
              <w:rPr>
                <w:rFonts w:ascii="方正仿宋_GBK" w:hAnsi="方正仿宋_GBK" w:eastAsia="方正仿宋_GBK" w:cs="方正仿宋_GBK"/>
                <w:color w:val="000000" w:themeColor="text1"/>
                <w:kern w:val="0"/>
                <w:sz w:val="18"/>
                <w:szCs w:val="18"/>
              </w:rPr>
            </w:pPr>
          </w:p>
        </w:tc>
        <w:tc>
          <w:tcPr>
            <w:tcW w:w="4455" w:type="dxa"/>
            <w:vAlign w:val="center"/>
          </w:tcPr>
          <w:p w14:paraId="5E69BF16">
            <w:pPr>
              <w:widowControl/>
              <w:adjustRightInd w:val="0"/>
              <w:snapToGrid w:val="0"/>
              <w:jc w:val="left"/>
              <w:rPr>
                <w:rFonts w:ascii="方正仿宋_GBK" w:hAnsi="方正仿宋_GBK" w:eastAsia="方正仿宋_GBK" w:cs="方正仿宋_GBK"/>
                <w:color w:val="000000" w:themeColor="text1"/>
                <w:kern w:val="0"/>
                <w:sz w:val="18"/>
                <w:szCs w:val="18"/>
                <w:u w:val="single"/>
              </w:rPr>
            </w:pPr>
            <w:r>
              <w:rPr>
                <w:rFonts w:hint="eastAsia" w:ascii="方正仿宋_GBK" w:hAnsi="方正仿宋_GBK" w:eastAsia="方正仿宋_GBK" w:cs="方正仿宋_GBK"/>
                <w:sz w:val="18"/>
                <w:szCs w:val="18"/>
              </w:rPr>
              <w:t>16.1（1）修改为：合同价格包括签约合同价以及按照合同约定进行的调整。本工程签约合同价见合同协议书，最终合同价格根据工程结算时的工程量、总价子目（如有）以及根据合同约定需增减的其他费用确定。中标综合单价（包括分部分项单价、措施单价等）和单列包干费用为固定价，在合同有效期间保持不变，不因不可抗力事件等因素而调整，合同另有约定时除外。</w:t>
            </w:r>
          </w:p>
        </w:tc>
      </w:tr>
      <w:tr w14:paraId="13664AE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8756B70">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2E18B342">
            <w:pPr>
              <w:widowControl/>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kern w:val="0"/>
                <w:sz w:val="18"/>
                <w:szCs w:val="18"/>
              </w:rPr>
              <w:t>专用条款</w:t>
            </w:r>
            <w:r>
              <w:rPr>
                <w:rFonts w:hint="eastAsia" w:ascii="方正仿宋_GBK" w:hAnsi="方正仿宋_GBK" w:eastAsia="方正仿宋_GBK" w:cs="方正仿宋_GBK"/>
                <w:snapToGrid w:val="0"/>
                <w:sz w:val="18"/>
                <w:szCs w:val="18"/>
              </w:rPr>
              <w:t>16.1</w:t>
            </w:r>
            <w:r>
              <w:rPr>
                <w:rFonts w:hint="eastAsia" w:ascii="方正仿宋_GBK" w:hAnsi="方正仿宋_GBK" w:eastAsia="方正仿宋_GBK" w:cs="方正仿宋_GBK"/>
                <w:kern w:val="0"/>
                <w:sz w:val="18"/>
                <w:szCs w:val="18"/>
              </w:rPr>
              <w:t>（4）</w:t>
            </w:r>
          </w:p>
        </w:tc>
        <w:tc>
          <w:tcPr>
            <w:tcW w:w="3582" w:type="dxa"/>
            <w:vAlign w:val="center"/>
          </w:tcPr>
          <w:p w14:paraId="2A61C8D7">
            <w:pPr>
              <w:rPr>
                <w:rFonts w:ascii="方正仿宋_GBK" w:hAnsi="方正仿宋_GBK" w:eastAsia="方正仿宋_GBK" w:cs="方正仿宋_GBK"/>
                <w:snapToGrid w:val="0"/>
                <w:sz w:val="18"/>
                <w:szCs w:val="18"/>
              </w:rPr>
            </w:pPr>
            <w:r>
              <w:rPr>
                <w:rFonts w:hint="eastAsia" w:ascii="方正仿宋_GBK" w:hAnsi="方正仿宋_GBK" w:eastAsia="方正仿宋_GBK" w:cs="方正仿宋_GBK"/>
                <w:snapToGrid w:val="0"/>
                <w:sz w:val="18"/>
                <w:szCs w:val="18"/>
              </w:rPr>
              <w:t>16.1（4）工程量清单对应的综合单价与实际完成此清单工作内容的费用存在显著价格差异时，调整原则执行现行的国家电网有限公司输变电工程工程量清单计价规范及下列约定：</w:t>
            </w:r>
          </w:p>
          <w:p w14:paraId="76362279">
            <w:pPr>
              <w:overflowPunct w:val="0"/>
              <w:rPr>
                <w:rFonts w:ascii="方正仿宋_GBK" w:hAnsi="方正仿宋_GBK" w:eastAsia="方正仿宋_GBK" w:cs="方正仿宋_GBK"/>
                <w:snapToGrid w:val="0"/>
                <w:sz w:val="18"/>
                <w:szCs w:val="18"/>
              </w:rPr>
            </w:pPr>
            <w:r>
              <w:rPr>
                <w:rFonts w:hint="eastAsia" w:ascii="方正仿宋_GBK" w:hAnsi="方正仿宋_GBK" w:eastAsia="方正仿宋_GBK" w:cs="方正仿宋_GBK"/>
                <w:snapToGrid w:val="0"/>
                <w:sz w:val="18"/>
                <w:szCs w:val="18"/>
              </w:rPr>
              <w:t>①合同价格形式为总价合同的，工程量的调整范围及超过约定范围的单价确定方式：</w:t>
            </w:r>
          </w:p>
          <w:p w14:paraId="2C2C1E61">
            <w:pPr>
              <w:overflowPunct w:val="0"/>
              <w:rPr>
                <w:rFonts w:ascii="方正仿宋_GBK" w:hAnsi="方正仿宋_GBK" w:eastAsia="方正仿宋_GBK" w:cs="方正仿宋_GBK"/>
                <w:snapToGrid w:val="0"/>
                <w:sz w:val="18"/>
                <w:szCs w:val="18"/>
              </w:rPr>
            </w:pPr>
            <w:r>
              <w:rPr>
                <w:rFonts w:hint="eastAsia" w:ascii="方正仿宋_GBK" w:hAnsi="方正仿宋_GBK" w:eastAsia="方正仿宋_GBK" w:cs="方正仿宋_GBK"/>
                <w:snapToGrid w:val="0"/>
                <w:sz w:val="18"/>
                <w:szCs w:val="18"/>
              </w:rPr>
              <w:t>。</w:t>
            </w:r>
          </w:p>
          <w:p w14:paraId="3A89A715">
            <w:pPr>
              <w:kinsoku w:val="0"/>
              <w:overflowPunct w:val="0"/>
              <w:autoSpaceDE w:val="0"/>
              <w:autoSpaceDN w:val="0"/>
              <w:adjustRightInd w:val="0"/>
              <w:snapToGrid w:val="0"/>
              <w:rPr>
                <w:rFonts w:ascii="方正仿宋_GBK" w:hAnsi="方正仿宋_GBK" w:eastAsia="方正仿宋_GBK" w:cs="方正仿宋_GBK"/>
                <w:snapToGrid w:val="0"/>
                <w:sz w:val="18"/>
                <w:szCs w:val="18"/>
              </w:rPr>
            </w:pPr>
            <w:r>
              <w:rPr>
                <w:rFonts w:hint="eastAsia" w:ascii="方正仿宋_GBK" w:hAnsi="方正仿宋_GBK" w:eastAsia="方正仿宋_GBK" w:cs="方正仿宋_GBK"/>
                <w:snapToGrid w:val="0"/>
                <w:sz w:val="18"/>
                <w:szCs w:val="18"/>
              </w:rPr>
              <w:t>②合同价格形式为单价合同的，工程量偏差超过±%时，综合单价的调整方式：</w:t>
            </w:r>
          </w:p>
          <w:p w14:paraId="6F9E404F">
            <w:pPr>
              <w:kinsoku w:val="0"/>
              <w:overflowPunct w:val="0"/>
              <w:autoSpaceDE w:val="0"/>
              <w:autoSpaceDN w:val="0"/>
              <w:adjustRightInd w:val="0"/>
              <w:snapToGrid w:val="0"/>
              <w:rPr>
                <w:rFonts w:ascii="方正仿宋_GBK" w:hAnsi="方正仿宋_GBK" w:eastAsia="方正仿宋_GBK" w:cs="方正仿宋_GBK"/>
                <w:snapToGrid w:val="0"/>
                <w:sz w:val="18"/>
                <w:szCs w:val="18"/>
                <w:u w:val="single"/>
              </w:rPr>
            </w:pPr>
          </w:p>
          <w:p w14:paraId="1E917894">
            <w:pPr>
              <w:kinsoku w:val="0"/>
              <w:overflowPunct w:val="0"/>
              <w:autoSpaceDE w:val="0"/>
              <w:autoSpaceDN w:val="0"/>
              <w:adjustRightInd w:val="0"/>
              <w:snapToGrid w:val="0"/>
              <w:rPr>
                <w:rFonts w:ascii="方正仿宋_GBK" w:hAnsi="方正仿宋_GBK" w:eastAsia="方正仿宋_GBK" w:cs="方正仿宋_GBK"/>
                <w:snapToGrid w:val="0"/>
                <w:sz w:val="18"/>
                <w:szCs w:val="18"/>
              </w:rPr>
            </w:pPr>
            <w:r>
              <w:rPr>
                <w:rFonts w:hint="eastAsia" w:ascii="方正仿宋_GBK" w:hAnsi="方正仿宋_GBK" w:eastAsia="方正仿宋_GBK" w:cs="方正仿宋_GBK"/>
                <w:snapToGrid w:val="0"/>
                <w:sz w:val="18"/>
                <w:szCs w:val="18"/>
              </w:rPr>
              <w:t>。</w:t>
            </w:r>
          </w:p>
          <w:p w14:paraId="78A89C7F">
            <w:pPr>
              <w:rPr>
                <w:rFonts w:ascii="方正仿宋_GBK" w:hAnsi="方正仿宋_GBK" w:eastAsia="方正仿宋_GBK" w:cs="方正仿宋_GBK"/>
                <w:snapToGrid w:val="0"/>
                <w:sz w:val="18"/>
                <w:szCs w:val="18"/>
                <w:u w:val="single"/>
              </w:rPr>
            </w:pPr>
            <w:r>
              <w:rPr>
                <w:rFonts w:hint="eastAsia" w:ascii="方正仿宋_GBK" w:hAnsi="方正仿宋_GBK" w:eastAsia="方正仿宋_GBK" w:cs="方正仿宋_GBK"/>
                <w:snapToGrid w:val="0"/>
                <w:sz w:val="18"/>
                <w:szCs w:val="18"/>
              </w:rPr>
              <w:t>③其他：</w:t>
            </w:r>
          </w:p>
          <w:p w14:paraId="3CDABE05">
            <w:pPr>
              <w:rPr>
                <w:rFonts w:ascii="方正仿宋_GBK" w:hAnsi="方正仿宋_GBK" w:eastAsia="方正仿宋_GBK" w:cs="方正仿宋_GBK"/>
                <w:snapToGrid w:val="0"/>
                <w:sz w:val="18"/>
                <w:szCs w:val="18"/>
                <w:u w:val="single"/>
              </w:rPr>
            </w:pPr>
          </w:p>
          <w:p w14:paraId="1DD08C1B">
            <w:pPr>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sz w:val="18"/>
                <w:szCs w:val="18"/>
              </w:rPr>
              <w:t>。</w:t>
            </w:r>
          </w:p>
        </w:tc>
        <w:tc>
          <w:tcPr>
            <w:tcW w:w="4455" w:type="dxa"/>
            <w:vAlign w:val="center"/>
          </w:tcPr>
          <w:p w14:paraId="5822D6C2">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16.1（4）工程量清单对应的综合单价与实际完成此清单工作内容的费用存在显著价格差异时，调整原则执行现行的国家电网有限公司输变电工程工程量清单计价规范及下列约定：</w:t>
            </w:r>
          </w:p>
          <w:p w14:paraId="7CC5ED66">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①合同价格形式为总价合同的，工程量的调整范围及超过约定范围的单价确定方式：</w:t>
            </w:r>
            <w:r>
              <w:rPr>
                <w:rFonts w:hint="eastAsia" w:ascii="方正仿宋_GBK" w:hAnsi="方正仿宋_GBK" w:eastAsia="方正仿宋_GBK" w:cs="方正仿宋_GBK"/>
                <w:kern w:val="0"/>
                <w:sz w:val="18"/>
                <w:szCs w:val="18"/>
                <w:u w:val="single"/>
              </w:rPr>
              <w:t xml:space="preserve">不予调整。 </w:t>
            </w:r>
          </w:p>
          <w:p w14:paraId="2E5FA256">
            <w:pPr>
              <w:widowControl/>
              <w:adjustRightInd w:val="0"/>
              <w:snapToGrid w:val="0"/>
              <w:jc w:val="left"/>
              <w:rPr>
                <w:rFonts w:ascii="方正仿宋_GBK" w:hAnsi="方正仿宋_GBK" w:eastAsia="方正仿宋_GBK" w:cs="方正仿宋_GBK"/>
                <w:kern w:val="0"/>
                <w:sz w:val="18"/>
                <w:szCs w:val="18"/>
                <w:u w:val="single"/>
              </w:rPr>
            </w:pPr>
            <w:r>
              <w:rPr>
                <w:rFonts w:hint="eastAsia" w:ascii="方正仿宋_GBK" w:hAnsi="方正仿宋_GBK" w:eastAsia="方正仿宋_GBK" w:cs="方正仿宋_GBK"/>
                <w:sz w:val="18"/>
                <w:szCs w:val="18"/>
              </w:rPr>
              <w:t>②合同价格形式为单价合同的，工程量偏差超过±</w:t>
            </w:r>
            <w:r>
              <w:rPr>
                <w:rFonts w:hint="eastAsia" w:ascii="方正仿宋_GBK" w:hAnsi="方正仿宋_GBK" w:eastAsia="方正仿宋_GBK" w:cs="方正仿宋_GBK"/>
                <w:sz w:val="18"/>
                <w:szCs w:val="18"/>
                <w:u w:val="single"/>
              </w:rPr>
              <w:t>15</w:t>
            </w:r>
            <w:r>
              <w:rPr>
                <w:rFonts w:hint="eastAsia" w:ascii="方正仿宋_GBK" w:hAnsi="方正仿宋_GBK" w:eastAsia="方正仿宋_GBK" w:cs="方正仿宋_GBK"/>
                <w:sz w:val="18"/>
                <w:szCs w:val="18"/>
              </w:rPr>
              <w:t>%时，综合单价的调整方式：</w:t>
            </w:r>
            <w:r>
              <w:rPr>
                <w:rFonts w:hint="eastAsia" w:ascii="方正仿宋_GBK" w:hAnsi="方正仿宋_GBK" w:eastAsia="方正仿宋_GBK" w:cs="方正仿宋_GBK"/>
                <w:kern w:val="0"/>
                <w:sz w:val="18"/>
                <w:szCs w:val="18"/>
                <w:u w:val="single"/>
              </w:rPr>
              <w:t xml:space="preserve">详见合同附件《国家电网有限公司特高压换流站电力建设工程工程量清单规范(2021年版）应用工作指南》计价规范专用条款9.6.2条。 </w:t>
            </w:r>
          </w:p>
          <w:p w14:paraId="031C5A3E">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③其他：</w:t>
            </w:r>
            <w:r>
              <w:rPr>
                <w:rFonts w:hint="eastAsia" w:ascii="方正仿宋_GBK" w:hAnsi="方正仿宋_GBK" w:eastAsia="方正仿宋_GBK" w:cs="方正仿宋_GBK"/>
                <w:kern w:val="0"/>
                <w:sz w:val="18"/>
                <w:szCs w:val="18"/>
                <w:u w:val="single"/>
              </w:rPr>
              <w:t xml:space="preserve">  经合同各方共同确认该工程量清单项目的综合单价明显偏离正常合理范围的，详见合同附件《国家电网有限公司特高压换流站电力建设工程工程量清单规范(2021年版）应用工作指南》计价规范专用条款9.3.1条。</w:t>
            </w:r>
          </w:p>
        </w:tc>
      </w:tr>
      <w:tr w14:paraId="4B6C57E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9BFFBFE">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636D4C7C">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专用条款16.1（5）</w:t>
            </w:r>
          </w:p>
        </w:tc>
        <w:tc>
          <w:tcPr>
            <w:tcW w:w="3582" w:type="dxa"/>
            <w:vAlign w:val="center"/>
          </w:tcPr>
          <w:p w14:paraId="56BDC375">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　无</w:t>
            </w:r>
          </w:p>
        </w:tc>
        <w:tc>
          <w:tcPr>
            <w:tcW w:w="4455" w:type="dxa"/>
            <w:vAlign w:val="center"/>
          </w:tcPr>
          <w:p w14:paraId="4076CFAC">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16.1（5）增加：</w:t>
            </w:r>
          </w:p>
          <w:p w14:paraId="66ABE8C8">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双方确定签约合同价中已充分考虑且包括了以下费用，除合同另有约定外，结算时合同价格不予调整：</w:t>
            </w:r>
          </w:p>
          <w:p w14:paraId="6CB9BC67">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（1）承包人按规定办理各种施工手续所需费用。</w:t>
            </w:r>
          </w:p>
          <w:p w14:paraId="7889B809">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承包人施工临时场地、过路过桥费、进退场费、正常施工条件或招标资料对应的施工条件下所需采取的各项措施费、施工过程中的环卫费、建筑垃圾处理费等。超出招标文件规定及合同约定的施工条件，而另行增加的各种特殊施工措施性费用，可适当予以补偿。</w:t>
            </w:r>
          </w:p>
          <w:p w14:paraId="695F6C08">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（3）发包人采购的材料、设备（即甲供材料、设备）的卸车或配合卸车、保管费及合同规定由承包人负责的站外运输费用。</w:t>
            </w:r>
          </w:p>
          <w:p w14:paraId="06B07A86">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（4）设备材料在站区围墙内发生的二次或多次倒运发生的费用。</w:t>
            </w:r>
          </w:p>
          <w:p w14:paraId="37C38444">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（5）土石方在站内外的周转及倒运发生的费用：含承包人在站内外的土石方的二次或多次临时周转、倒运及碾压、淤泥土的现场翻晒、水土保持措施、场地复垦费用。</w:t>
            </w:r>
          </w:p>
          <w:p w14:paraId="2768FDE4">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（6）承包人围墙内场地平整的费用（包括可能发生的多次平整），及最终按设计零米标高的精平费用。</w:t>
            </w:r>
          </w:p>
          <w:p w14:paraId="5EE59619">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（7）承包人施工过程中产生的弃土倒运（建筑工程施工结束后，经设计明确界定为永久弃土除外，其转运至永久弃土场所必须的开挖、装卸、运输及永久弃土场的土方平整费用可另行计入结算）。</w:t>
            </w:r>
          </w:p>
          <w:p w14:paraId="365DB39B">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（8）桩间土方施工难度增加费。</w:t>
            </w:r>
          </w:p>
          <w:p w14:paraId="1D4F43E8">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施工排水及降水措施增加费（本项目费用涉及范围包括简易泵坑明排水或井点降水等，由于设计单位招标提资与现场实际开挖情况发生重大差异导致的排水措施增加费除外，应按照合同约定另行核算。如在招标工程量清单中单独列出本项目，可另行计算。）。</w:t>
            </w:r>
          </w:p>
          <w:p w14:paraId="210FA152">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（10）混凝土由于水平或垂直运输方式（包括泵车、罐车及管道泵送等）不同，而增加的施工费用。</w:t>
            </w:r>
          </w:p>
          <w:p w14:paraId="55068E09">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（11）混凝土施工工艺美观措施费及未经设计、监理同意而增加的各种添加剂、超出设计要求的基础二次灌浆材料等增加的费用。</w:t>
            </w:r>
          </w:p>
          <w:p w14:paraId="1E4588A2">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（12）承包人采购材料的价格变动未超过基准价±8%费用。</w:t>
            </w:r>
          </w:p>
          <w:p w14:paraId="2EF0C1D3">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（13）承包人配合其它承包人的配合费用，配合工程质量监督、竣工预验收、竣工验收、环保、水保、档案等专项验收、达标投产及评优、后评估工作等的费用。 </w:t>
            </w:r>
          </w:p>
          <w:p w14:paraId="54C9072A">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14）承包人以各种原因提出要求补偿的费用，包括但不限于：合同目标工期内由于承包人自身造成的误工、窝工费，天气等自然因素引起的承包人窝工或施工降效费（不包括因发包人原因造成的窝工以及因自然灾害导致的窝工或施工降效），承包人自行赶工费，交叉施工降效费，承包人为争创国优或鲁班奖而提高标准等而增加的费用，属于承包人应整改、消缺的费用，承包人施工用水、施工用电费，承包人施工期间对周边地方的干扰赔偿费，承包人用于防治流行性疾病的费用（含低风险区域或三级响应及以下防控措施状态的常态化流行性疾病防控措施费用，不含中、高风险状态或达到二级响应及以上防控措施状态的流行性疾病防控措施费用）。因发包人提出的工期调整原因造成的措施性费用增加除外。</w:t>
            </w:r>
          </w:p>
          <w:p w14:paraId="7E323BD1">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15）未经发包人同意，承包人发生爆破开挖、碾碎回填、现场风化处理的费用，承包人自行外购回填砂或碎石而增加的费用，承包人自行在站内或站外进行预制构件的预制，或采购预制构件所发生的价差及站外运输所发生的费用。</w:t>
            </w:r>
          </w:p>
        </w:tc>
      </w:tr>
      <w:tr w14:paraId="3CCB29A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712DA4D">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34C427F0">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专用条款16.2.4</w:t>
            </w:r>
          </w:p>
        </w:tc>
        <w:tc>
          <w:tcPr>
            <w:tcW w:w="3582" w:type="dxa"/>
            <w:vAlign w:val="center"/>
          </w:tcPr>
          <w:p w14:paraId="23E37A90">
            <w:pPr>
              <w:autoSpaceDN w:val="0"/>
              <w:jc w:val="left"/>
              <w:textAlignment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16.2.4 物价波动引起的价格调整</w:t>
            </w:r>
          </w:p>
          <w:p w14:paraId="6188FB2A">
            <w:pPr>
              <w:autoSpaceDN w:val="0"/>
              <w:jc w:val="left"/>
              <w:textAlignment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因物价波动引起的价格调整，经发包人与承包人协商同意，按照如下约定处理：</w:t>
            </w:r>
          </w:p>
          <w:p w14:paraId="5397335F">
            <w:pPr>
              <w:autoSpaceDN w:val="0"/>
              <w:jc w:val="left"/>
              <w:textAlignment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（1）人工单价发生变化时，以投标时电力工程造价与定额管理总站发布的工程所在地人工调整系数为基准，按工程施工期电力工程造价与定额管理总站发布的人工单价调整系数进行补差。</w:t>
            </w:r>
          </w:p>
          <w:p w14:paraId="6C16FC14">
            <w:pPr>
              <w:autoSpaceDN w:val="0"/>
              <w:jc w:val="left"/>
              <w:textAlignment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2）承包人采购的可调整材料调整为：变电站建筑工程、线路工程包括砂、水泥、石子（或商品混凝土）、砖、钢材，以工程所在地投标截止日前一个月的信息价为基准价，施工期（工程开工至建筑工程转序验收或线路工程基础完工验收时间为准）内平均信息价变动超过基准价±5%（不含±5%）时，变动超过±5%部分给予调整。</w:t>
            </w:r>
          </w:p>
          <w:p w14:paraId="54D0D024">
            <w:pPr>
              <w:autoSpaceDN w:val="0"/>
              <w:jc w:val="left"/>
              <w:textAlignment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（3）机械、安装工程定额材料价格发生变化时，以投标时电力工程造价与定额管理总站发布的工程所在地价格调整系数为基准，按工程施工期电力工程造价与定额管理总站发布的价格调整系数进行补差。</w:t>
            </w:r>
          </w:p>
          <w:p w14:paraId="75546509">
            <w:pPr>
              <w:autoSpaceDN w:val="0"/>
              <w:jc w:val="left"/>
              <w:textAlignment w:val="center"/>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sz w:val="18"/>
                <w:szCs w:val="18"/>
              </w:rPr>
              <w:t>（4）人工、材料、机械价格调整费用不作为其他费用的计取基数，只计取税金。</w:t>
            </w:r>
          </w:p>
        </w:tc>
        <w:tc>
          <w:tcPr>
            <w:tcW w:w="4455" w:type="dxa"/>
          </w:tcPr>
          <w:p w14:paraId="6961BCD0">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16.2.4 修改为：</w:t>
            </w:r>
          </w:p>
          <w:p w14:paraId="220A8497">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物价波动引起的价格调整</w:t>
            </w:r>
          </w:p>
          <w:p w14:paraId="49BC05B4">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因物价波动引起的价格调整，经发包人与承包人协商同意，按照如下约定处理：</w:t>
            </w:r>
          </w:p>
          <w:p w14:paraId="4BC631AA">
            <w:pPr>
              <w:widowControl/>
              <w:numPr>
                <w:ilvl w:val="0"/>
                <w:numId w:val="6"/>
              </w:numPr>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人工单价发生变化时，以电力工程造价与定额管理总站发布的投标截止日前一个月工程所在地人工调整系数为基准，按电力工程造价与定额管理总站发布的工程施工期人工单价调整系数进行补差。</w:t>
            </w:r>
          </w:p>
          <w:p w14:paraId="27A3F61F">
            <w:pPr>
              <w:widowControl/>
              <w:numPr>
                <w:ilvl w:val="0"/>
                <w:numId w:val="6"/>
              </w:numPr>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承包人采购的可调整材料调整为：</w:t>
            </w:r>
          </w:p>
          <w:p w14:paraId="61CE3B02">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变电站桩基工程、建筑工程、线路工程包括砂、石子、胶凝材料（如水泥、石灰等）、砖、钢材、有色金属以及商品混凝土、预制构件等。</w:t>
            </w:r>
          </w:p>
          <w:p w14:paraId="0C5CD7D2">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安装工程包括接地主材、电缆、管母、软导线、防火材料等。</w:t>
            </w:r>
          </w:p>
          <w:p w14:paraId="3CFD2A55">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以工程所在地投标截止日前一个月（基准日）的可适用于本工程的信息价（含经发包人确认的公开价格信息网站公布价）为基准价（部分地方性材料信息价来源见下表）；无对应信息价的可以采用基准日现货或期货价格指数平均价格为基准价；既无信息价又无类似价格指数作参照的，则以第三方（经发包人确认的市场主管部门或单位、行业协会等）出具的可适用于本工程的价格支撑材料作为基准价依据；无法取得其他来源的基准价时，经发包人确认的自公开市场取得的价格凭证可作为核定基准价的参考。</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3"/>
              <w:gridCol w:w="5014"/>
              <w:gridCol w:w="1875"/>
            </w:tblGrid>
            <w:tr w14:paraId="079C4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tcPr>
                <w:p w14:paraId="79B42A21">
                  <w:pPr>
                    <w:jc w:val="center"/>
                    <w:rPr>
                      <w:rFonts w:ascii="方正仿宋_GBK" w:hAnsi="方正仿宋_GBK" w:eastAsia="方正仿宋_GBK" w:cs="方正仿宋_GBK"/>
                      <w:color w:val="000000" w:themeColor="text1"/>
                      <w:sz w:val="15"/>
                      <w:szCs w:val="15"/>
                    </w:rPr>
                  </w:pPr>
                  <w:r>
                    <w:rPr>
                      <w:rFonts w:hint="eastAsia" w:ascii="方正仿宋_GBK" w:hAnsi="方正仿宋_GBK" w:eastAsia="方正仿宋_GBK" w:cs="方正仿宋_GBK"/>
                      <w:color w:val="000000" w:themeColor="text1"/>
                      <w:sz w:val="15"/>
                      <w:szCs w:val="15"/>
                    </w:rPr>
                    <w:t>地方性材料名称</w:t>
                  </w:r>
                </w:p>
              </w:tc>
              <w:tc>
                <w:tcPr>
                  <w:tcW w:w="5014" w:type="dxa"/>
                </w:tcPr>
                <w:p w14:paraId="61E57528">
                  <w:pPr>
                    <w:jc w:val="left"/>
                    <w:rPr>
                      <w:rFonts w:ascii="方正仿宋_GBK" w:hAnsi="方正仿宋_GBK" w:eastAsia="方正仿宋_GBK" w:cs="方正仿宋_GBK"/>
                      <w:color w:val="000000" w:themeColor="text1"/>
                      <w:sz w:val="15"/>
                      <w:szCs w:val="15"/>
                    </w:rPr>
                  </w:pPr>
                  <w:r>
                    <w:rPr>
                      <w:rFonts w:hint="eastAsia" w:ascii="方正仿宋_GBK" w:hAnsi="方正仿宋_GBK" w:eastAsia="方正仿宋_GBK" w:cs="方正仿宋_GBK"/>
                      <w:color w:val="000000" w:themeColor="text1"/>
                      <w:sz w:val="15"/>
                      <w:szCs w:val="15"/>
                    </w:rPr>
                    <w:t>信息价来源</w:t>
                  </w:r>
                </w:p>
              </w:tc>
              <w:tc>
                <w:tcPr>
                  <w:tcW w:w="1875" w:type="dxa"/>
                </w:tcPr>
                <w:p w14:paraId="573C9CA7">
                  <w:pPr>
                    <w:rPr>
                      <w:rFonts w:ascii="方正仿宋_GBK" w:hAnsi="方正仿宋_GBK" w:eastAsia="方正仿宋_GBK" w:cs="方正仿宋_GBK"/>
                      <w:color w:val="000000" w:themeColor="text1"/>
                    </w:rPr>
                  </w:pPr>
                  <w:r>
                    <w:rPr>
                      <w:rFonts w:hint="eastAsia" w:ascii="方正仿宋_GBK" w:hAnsi="方正仿宋_GBK" w:eastAsia="方正仿宋_GBK" w:cs="方正仿宋_GBK"/>
                      <w:color w:val="000000" w:themeColor="text1"/>
                      <w:sz w:val="18"/>
                      <w:szCs w:val="18"/>
                    </w:rPr>
                    <w:t>信息价之外所增加运距（km）</w:t>
                  </w:r>
                </w:p>
              </w:tc>
            </w:tr>
            <w:tr w14:paraId="31F40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vAlign w:val="center"/>
                </w:tcPr>
                <w:p w14:paraId="3C47E4AE">
                  <w:pPr>
                    <w:rPr>
                      <w:rFonts w:ascii="方正仿宋_GBK" w:hAnsi="方正仿宋_GBK" w:eastAsia="方正仿宋_GBK" w:cs="方正仿宋_GBK"/>
                      <w:color w:val="000000" w:themeColor="text1"/>
                      <w:sz w:val="15"/>
                      <w:szCs w:val="15"/>
                    </w:rPr>
                  </w:pPr>
                  <w:r>
                    <w:rPr>
                      <w:rFonts w:hint="eastAsia" w:ascii="方正仿宋_GBK" w:hAnsi="方正仿宋_GBK" w:eastAsia="方正仿宋_GBK" w:cs="方正仿宋_GBK"/>
                      <w:color w:val="000000" w:themeColor="text1"/>
                      <w:sz w:val="15"/>
                      <w:szCs w:val="15"/>
                    </w:rPr>
                    <w:t>砂、石子、石灰、砖</w:t>
                  </w:r>
                </w:p>
              </w:tc>
              <w:tc>
                <w:tcPr>
                  <w:tcW w:w="5014" w:type="dxa"/>
                  <w:vAlign w:val="center"/>
                </w:tcPr>
                <w:p w14:paraId="2E00E21B">
                  <w:pPr>
                    <w:jc w:val="left"/>
                    <w:rPr>
                      <w:rFonts w:ascii="方正仿宋_GBK" w:hAnsi="方正仿宋_GBK" w:eastAsia="方正仿宋_GBK" w:cs="方正仿宋_GBK"/>
                      <w:color w:val="000000" w:themeColor="text1"/>
                      <w:sz w:val="15"/>
                      <w:szCs w:val="15"/>
                    </w:rPr>
                  </w:pPr>
                  <w:r>
                    <w:rPr>
                      <w:rFonts w:hint="eastAsia" w:ascii="方正仿宋_GBK" w:hAnsi="方正仿宋_GBK" w:eastAsia="方正仿宋_GBK" w:cs="方正仿宋_GBK"/>
                      <w:color w:val="000000" w:themeColor="text1"/>
                      <w:sz w:val="15"/>
                      <w:szCs w:val="15"/>
                    </w:rPr>
                    <w:t>××县信息价(××工程造价信息网)</w:t>
                  </w:r>
                </w:p>
              </w:tc>
              <w:tc>
                <w:tcPr>
                  <w:tcW w:w="1875" w:type="dxa"/>
                  <w:vAlign w:val="center"/>
                </w:tcPr>
                <w:p w14:paraId="628477DB">
                  <w:pPr>
                    <w:jc w:val="center"/>
                    <w:rPr>
                      <w:rFonts w:ascii="方正仿宋_GBK" w:hAnsi="方正仿宋_GBK" w:eastAsia="方正仿宋_GBK" w:cs="方正仿宋_GBK"/>
                      <w:color w:val="000000" w:themeColor="text1"/>
                      <w:sz w:val="18"/>
                      <w:szCs w:val="18"/>
                    </w:rPr>
                  </w:pPr>
                </w:p>
              </w:tc>
            </w:tr>
            <w:tr w14:paraId="3609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tcPr>
                <w:p w14:paraId="51865C53">
                  <w:pPr>
                    <w:rPr>
                      <w:rFonts w:ascii="方正仿宋_GBK" w:hAnsi="方正仿宋_GBK" w:eastAsia="方正仿宋_GBK" w:cs="方正仿宋_GBK"/>
                      <w:color w:val="000000" w:themeColor="text1"/>
                      <w:sz w:val="15"/>
                      <w:szCs w:val="15"/>
                    </w:rPr>
                  </w:pPr>
                  <w:r>
                    <w:rPr>
                      <w:rFonts w:hint="eastAsia" w:ascii="方正仿宋_GBK" w:hAnsi="方正仿宋_GBK" w:eastAsia="方正仿宋_GBK" w:cs="方正仿宋_GBK"/>
                      <w:color w:val="000000" w:themeColor="text1"/>
                      <w:sz w:val="15"/>
                      <w:szCs w:val="15"/>
                    </w:rPr>
                    <w:t>水泥</w:t>
                  </w:r>
                </w:p>
              </w:tc>
              <w:tc>
                <w:tcPr>
                  <w:tcW w:w="5014" w:type="dxa"/>
                  <w:vAlign w:val="center"/>
                </w:tcPr>
                <w:p w14:paraId="026E9475">
                  <w:pPr>
                    <w:jc w:val="left"/>
                    <w:rPr>
                      <w:rFonts w:ascii="方正仿宋_GBK" w:hAnsi="方正仿宋_GBK" w:eastAsia="方正仿宋_GBK" w:cs="方正仿宋_GBK"/>
                      <w:color w:val="000000" w:themeColor="text1"/>
                      <w:sz w:val="15"/>
                      <w:szCs w:val="15"/>
                    </w:rPr>
                  </w:pPr>
                  <w:r>
                    <w:rPr>
                      <w:rFonts w:hint="eastAsia" w:ascii="方正仿宋_GBK" w:hAnsi="方正仿宋_GBK" w:eastAsia="方正仿宋_GBK" w:cs="方正仿宋_GBK"/>
                      <w:color w:val="000000" w:themeColor="text1"/>
                      <w:sz w:val="15"/>
                      <w:szCs w:val="15"/>
                    </w:rPr>
                    <w:t>××县信息价(××工程造价信息网)</w:t>
                  </w:r>
                </w:p>
              </w:tc>
              <w:tc>
                <w:tcPr>
                  <w:tcW w:w="1875" w:type="dxa"/>
                  <w:vAlign w:val="center"/>
                </w:tcPr>
                <w:p w14:paraId="70967D7F">
                  <w:pPr>
                    <w:jc w:val="center"/>
                    <w:rPr>
                      <w:rFonts w:ascii="方正仿宋_GBK" w:hAnsi="方正仿宋_GBK" w:eastAsia="方正仿宋_GBK" w:cs="方正仿宋_GBK"/>
                      <w:color w:val="000000" w:themeColor="text1"/>
                      <w:sz w:val="18"/>
                      <w:szCs w:val="18"/>
                    </w:rPr>
                  </w:pPr>
                </w:p>
              </w:tc>
            </w:tr>
            <w:tr w14:paraId="2FA98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tcPr>
                <w:p w14:paraId="6C0BEE42">
                  <w:pPr>
                    <w:rPr>
                      <w:rFonts w:ascii="方正仿宋_GBK" w:hAnsi="方正仿宋_GBK" w:eastAsia="方正仿宋_GBK" w:cs="方正仿宋_GBK"/>
                      <w:color w:val="000000" w:themeColor="text1"/>
                      <w:sz w:val="15"/>
                      <w:szCs w:val="15"/>
                    </w:rPr>
                  </w:pPr>
                  <w:r>
                    <w:rPr>
                      <w:rFonts w:hint="eastAsia" w:ascii="方正仿宋_GBK" w:hAnsi="方正仿宋_GBK" w:eastAsia="方正仿宋_GBK" w:cs="方正仿宋_GBK"/>
                      <w:color w:val="000000" w:themeColor="text1"/>
                      <w:sz w:val="15"/>
                      <w:szCs w:val="15"/>
                    </w:rPr>
                    <w:t>钢材</w:t>
                  </w:r>
                </w:p>
              </w:tc>
              <w:tc>
                <w:tcPr>
                  <w:tcW w:w="5014" w:type="dxa"/>
                </w:tcPr>
                <w:p w14:paraId="78A281A3">
                  <w:pPr>
                    <w:jc w:val="left"/>
                    <w:rPr>
                      <w:rFonts w:ascii="方正仿宋_GBK" w:hAnsi="方正仿宋_GBK" w:eastAsia="方正仿宋_GBK" w:cs="方正仿宋_GBK"/>
                      <w:color w:val="000000" w:themeColor="text1"/>
                      <w:sz w:val="15"/>
                      <w:szCs w:val="15"/>
                    </w:rPr>
                  </w:pPr>
                  <w:r>
                    <w:rPr>
                      <w:rFonts w:hint="eastAsia" w:ascii="方正仿宋_GBK" w:hAnsi="方正仿宋_GBK" w:eastAsia="方正仿宋_GBK" w:cs="方正仿宋_GBK"/>
                      <w:color w:val="000000" w:themeColor="text1"/>
                      <w:sz w:val="15"/>
                      <w:szCs w:val="15"/>
                    </w:rPr>
                    <w:t>××县信息价(××工程造价信息网)</w:t>
                  </w:r>
                </w:p>
              </w:tc>
              <w:tc>
                <w:tcPr>
                  <w:tcW w:w="1875" w:type="dxa"/>
                </w:tcPr>
                <w:p w14:paraId="08E6D431">
                  <w:pPr>
                    <w:jc w:val="center"/>
                    <w:rPr>
                      <w:rFonts w:ascii="方正仿宋_GBK" w:hAnsi="方正仿宋_GBK" w:eastAsia="方正仿宋_GBK" w:cs="方正仿宋_GBK"/>
                      <w:color w:val="000000" w:themeColor="text1"/>
                      <w:sz w:val="18"/>
                      <w:szCs w:val="18"/>
                    </w:rPr>
                  </w:pPr>
                </w:p>
              </w:tc>
            </w:tr>
            <w:tr w14:paraId="3779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tcPr>
                <w:p w14:paraId="1CBE9561">
                  <w:pPr>
                    <w:rPr>
                      <w:rFonts w:ascii="方正仿宋_GBK" w:hAnsi="方正仿宋_GBK" w:eastAsia="方正仿宋_GBK" w:cs="方正仿宋_GBK"/>
                      <w:color w:val="000000" w:themeColor="text1"/>
                      <w:sz w:val="15"/>
                      <w:szCs w:val="15"/>
                    </w:rPr>
                  </w:pPr>
                  <w:r>
                    <w:rPr>
                      <w:rFonts w:hint="eastAsia" w:ascii="方正仿宋_GBK" w:hAnsi="方正仿宋_GBK" w:eastAsia="方正仿宋_GBK" w:cs="方正仿宋_GBK"/>
                      <w:color w:val="000000" w:themeColor="text1"/>
                      <w:sz w:val="15"/>
                      <w:szCs w:val="15"/>
                    </w:rPr>
                    <w:t>有色金属</w:t>
                  </w:r>
                </w:p>
              </w:tc>
              <w:tc>
                <w:tcPr>
                  <w:tcW w:w="5014" w:type="dxa"/>
                  <w:vAlign w:val="center"/>
                </w:tcPr>
                <w:p w14:paraId="2807665C">
                  <w:pPr>
                    <w:jc w:val="left"/>
                    <w:rPr>
                      <w:rFonts w:ascii="方正仿宋_GBK" w:hAnsi="方正仿宋_GBK" w:eastAsia="方正仿宋_GBK" w:cs="方正仿宋_GBK"/>
                      <w:color w:val="000000" w:themeColor="text1"/>
                      <w:sz w:val="15"/>
                      <w:szCs w:val="15"/>
                    </w:rPr>
                  </w:pPr>
                  <w:r>
                    <w:rPr>
                      <w:rFonts w:hint="eastAsia" w:ascii="方正仿宋_GBK" w:hAnsi="方正仿宋_GBK" w:eastAsia="方正仿宋_GBK" w:cs="方正仿宋_GBK"/>
                      <w:color w:val="000000" w:themeColor="text1"/>
                      <w:sz w:val="15"/>
                      <w:szCs w:val="15"/>
                    </w:rPr>
                    <w:t>××县信息价(××工程造价信息网)</w:t>
                  </w:r>
                </w:p>
              </w:tc>
              <w:tc>
                <w:tcPr>
                  <w:tcW w:w="1875" w:type="dxa"/>
                  <w:vAlign w:val="center"/>
                </w:tcPr>
                <w:p w14:paraId="001986E8">
                  <w:pPr>
                    <w:jc w:val="center"/>
                    <w:rPr>
                      <w:rFonts w:ascii="方正仿宋_GBK" w:hAnsi="方正仿宋_GBK" w:eastAsia="方正仿宋_GBK" w:cs="方正仿宋_GBK"/>
                      <w:color w:val="000000" w:themeColor="text1"/>
                      <w:sz w:val="18"/>
                      <w:szCs w:val="18"/>
                    </w:rPr>
                  </w:pPr>
                </w:p>
              </w:tc>
            </w:tr>
            <w:tr w14:paraId="027B5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tcPr>
                <w:p w14:paraId="5587103D">
                  <w:pPr>
                    <w:rPr>
                      <w:rFonts w:ascii="方正仿宋_GBK" w:hAnsi="方正仿宋_GBK" w:eastAsia="方正仿宋_GBK" w:cs="方正仿宋_GBK"/>
                      <w:color w:val="000000" w:themeColor="text1"/>
                      <w:sz w:val="15"/>
                      <w:szCs w:val="15"/>
                    </w:rPr>
                  </w:pPr>
                  <w:r>
                    <w:rPr>
                      <w:rFonts w:hint="eastAsia" w:ascii="方正仿宋_GBK" w:hAnsi="方正仿宋_GBK" w:eastAsia="方正仿宋_GBK" w:cs="方正仿宋_GBK"/>
                      <w:color w:val="000000" w:themeColor="text1"/>
                      <w:sz w:val="15"/>
                      <w:szCs w:val="15"/>
                    </w:rPr>
                    <w:t>商品混凝土</w:t>
                  </w:r>
                </w:p>
              </w:tc>
              <w:tc>
                <w:tcPr>
                  <w:tcW w:w="5014" w:type="dxa"/>
                  <w:vAlign w:val="center"/>
                </w:tcPr>
                <w:p w14:paraId="43E7F4B8">
                  <w:pPr>
                    <w:jc w:val="left"/>
                    <w:rPr>
                      <w:rFonts w:ascii="方正仿宋_GBK" w:hAnsi="方正仿宋_GBK" w:eastAsia="方正仿宋_GBK" w:cs="方正仿宋_GBK"/>
                      <w:color w:val="000000" w:themeColor="text1"/>
                      <w:sz w:val="15"/>
                      <w:szCs w:val="15"/>
                    </w:rPr>
                  </w:pPr>
                  <w:r>
                    <w:rPr>
                      <w:rFonts w:hint="eastAsia" w:ascii="方正仿宋_GBK" w:hAnsi="方正仿宋_GBK" w:eastAsia="方正仿宋_GBK" w:cs="方正仿宋_GBK"/>
                      <w:color w:val="000000" w:themeColor="text1"/>
                      <w:sz w:val="15"/>
                      <w:szCs w:val="15"/>
                    </w:rPr>
                    <w:t>××县信息价(××工程造价信息网)</w:t>
                  </w:r>
                </w:p>
              </w:tc>
              <w:tc>
                <w:tcPr>
                  <w:tcW w:w="1875" w:type="dxa"/>
                  <w:vAlign w:val="center"/>
                </w:tcPr>
                <w:p w14:paraId="07FADB99">
                  <w:pPr>
                    <w:jc w:val="center"/>
                    <w:rPr>
                      <w:rFonts w:ascii="方正仿宋_GBK" w:hAnsi="方正仿宋_GBK" w:eastAsia="方正仿宋_GBK" w:cs="方正仿宋_GBK"/>
                      <w:color w:val="000000" w:themeColor="text1"/>
                      <w:sz w:val="18"/>
                      <w:szCs w:val="18"/>
                    </w:rPr>
                  </w:pPr>
                </w:p>
              </w:tc>
            </w:tr>
          </w:tbl>
          <w:p w14:paraId="5043E65C">
            <w:pPr>
              <w:widowControl/>
              <w:adjustRightInd w:val="0"/>
              <w:snapToGrid w:val="0"/>
              <w:jc w:val="left"/>
              <w:rPr>
                <w:rFonts w:ascii="方正仿宋_GBK" w:hAnsi="方正仿宋_GBK" w:eastAsia="方正仿宋_GBK" w:cs="方正仿宋_GBK"/>
                <w:color w:val="000000" w:themeColor="text1"/>
                <w:sz w:val="18"/>
                <w:szCs w:val="18"/>
              </w:rPr>
            </w:pPr>
          </w:p>
          <w:p w14:paraId="7DF8BBA3">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施工期内平均信息价变动超过基准价±8%（不含±8%）时，变动超过±8%部分给予调整。</w:t>
            </w:r>
          </w:p>
          <w:p w14:paraId="5B8D674C">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桩基工程承包合同对应的施工期应按照承包人开工报审表批准日至全站所有桩基全部完成（以经监理和业主共同确认的施工记录时间为准）。</w:t>
            </w:r>
          </w:p>
          <w:p w14:paraId="6A8360C5">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建筑工程承包合同对应的施工期应按照承包人开工报审表批准日至全站主要建（构）筑物全部完成，经验收后交付安装单位施工时间为准。</w:t>
            </w:r>
          </w:p>
          <w:p w14:paraId="74ECB336">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安装工程承包合同对应的施工期应按照承包人开工报审表批准日至全站当期建设范围均完成分系统调试，交付站系统调试时间为准。</w:t>
            </w:r>
          </w:p>
          <w:p w14:paraId="25336CD2">
            <w:pPr>
              <w:widowControl/>
              <w:adjustRightInd w:val="0"/>
              <w:snapToGrid w:val="0"/>
              <w:rPr>
                <w:rFonts w:ascii="方正仿宋_GBK" w:hAnsi="方正仿宋_GBK" w:eastAsia="方正仿宋_GBK" w:cs="方正仿宋_GBK"/>
                <w:color w:val="000000" w:themeColor="text1"/>
              </w:rPr>
            </w:pPr>
            <w:r>
              <w:rPr>
                <w:rFonts w:hint="eastAsia" w:ascii="方正仿宋_GBK" w:hAnsi="方正仿宋_GBK" w:eastAsia="方正仿宋_GBK" w:cs="方正仿宋_GBK"/>
                <w:color w:val="000000" w:themeColor="text1"/>
                <w:sz w:val="18"/>
                <w:szCs w:val="18"/>
              </w:rPr>
              <w:t>（3）机械及安装工程消耗性材料调差约定：建筑工程机械费以投标截止日前一个月电力定额总站发布的工程所在地可调价机械台班价格为基准，按工程施工期电力定额总站发布的工程所在地可调价机械台班价格进行补差。安装工程机械及消耗性材料以投标截止日前一个月电力定额总站发布的工程所在地材机调整系数为基准，按工程施工期电力定额总站发布的工程所在地材机调整系数进行补差。</w:t>
            </w:r>
          </w:p>
        </w:tc>
      </w:tr>
      <w:tr w14:paraId="30F7FFD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46D8AC1">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0A091406">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专用条款16.3</w:t>
            </w:r>
          </w:p>
        </w:tc>
        <w:tc>
          <w:tcPr>
            <w:tcW w:w="3582" w:type="dxa"/>
            <w:vAlign w:val="center"/>
          </w:tcPr>
          <w:p w14:paraId="099219D8">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16.3 其他</w:t>
            </w:r>
          </w:p>
          <w:p w14:paraId="385C2CD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 </w:t>
            </w:r>
          </w:p>
          <w:p w14:paraId="757FB54A">
            <w:pPr>
              <w:widowControl/>
              <w:jc w:val="left"/>
              <w:rPr>
                <w:rFonts w:ascii="方正仿宋_GBK" w:hAnsi="方正仿宋_GBK" w:eastAsia="方正仿宋_GBK" w:cs="方正仿宋_GBK"/>
                <w:color w:val="000000" w:themeColor="text1"/>
                <w:sz w:val="18"/>
                <w:szCs w:val="18"/>
              </w:rPr>
            </w:pPr>
          </w:p>
        </w:tc>
        <w:tc>
          <w:tcPr>
            <w:tcW w:w="4455" w:type="dxa"/>
            <w:vAlign w:val="center"/>
          </w:tcPr>
          <w:p w14:paraId="01D43166">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16.3 其他补充为：</w:t>
            </w:r>
          </w:p>
          <w:p w14:paraId="40660C1C">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kern w:val="0"/>
                <w:sz w:val="18"/>
                <w:szCs w:val="18"/>
                <w:u w:val="single"/>
              </w:rPr>
              <w:t>其他关于合同价款调整的约定详见合同附件《国家电网有限公司特高压换流站电力建设工程工程量清单规范(2021年版）应用工作指南》。</w:t>
            </w:r>
          </w:p>
        </w:tc>
      </w:tr>
      <w:tr w14:paraId="7CA7137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52E2F2D">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6F40876E">
            <w:pPr>
              <w:snapToGrid w:val="0"/>
              <w:spacing w:line="240" w:lineRule="atLeast"/>
              <w:jc w:val="left"/>
              <w:rPr>
                <w:rFonts w:ascii="方正仿宋_GBK" w:hAnsi="方正仿宋_GBK" w:eastAsia="方正仿宋_GBK" w:cs="方正仿宋_GBK"/>
                <w:color w:val="000000" w:themeColor="text1"/>
                <w:kern w:val="0"/>
                <w:sz w:val="18"/>
                <w:szCs w:val="18"/>
              </w:rPr>
            </w:pPr>
            <w:r>
              <w:rPr>
                <w:rStyle w:val="53"/>
                <w:rFonts w:hint="eastAsia" w:ascii="方正仿宋_GBK" w:hAnsi="方正仿宋_GBK" w:eastAsia="方正仿宋_GBK" w:cs="方正仿宋_GBK"/>
                <w:kern w:val="0"/>
                <w:sz w:val="18"/>
                <w:szCs w:val="18"/>
              </w:rPr>
              <w:t>专用条款第17.1.2条</w:t>
            </w:r>
          </w:p>
        </w:tc>
        <w:tc>
          <w:tcPr>
            <w:tcW w:w="3582" w:type="dxa"/>
            <w:vAlign w:val="center"/>
          </w:tcPr>
          <w:p w14:paraId="3D53ACAE">
            <w:pPr>
              <w:snapToGrid w:val="0"/>
              <w:spacing w:line="240" w:lineRule="atLeast"/>
              <w:ind w:firstLine="360" w:firstLineChars="200"/>
              <w:jc w:val="left"/>
              <w:rPr>
                <w:rStyle w:val="53"/>
                <w:rFonts w:ascii="方正仿宋_GBK" w:hAnsi="方正仿宋_GBK" w:eastAsia="方正仿宋_GBK" w:cs="方正仿宋_GBK"/>
                <w:kern w:val="0"/>
                <w:sz w:val="18"/>
                <w:szCs w:val="18"/>
              </w:rPr>
            </w:pPr>
            <w:r>
              <w:rPr>
                <w:rStyle w:val="53"/>
                <w:rFonts w:hint="eastAsia" w:ascii="方正仿宋_GBK" w:hAnsi="方正仿宋_GBK" w:eastAsia="方正仿宋_GBK" w:cs="方正仿宋_GBK"/>
                <w:kern w:val="0"/>
                <w:sz w:val="18"/>
                <w:szCs w:val="18"/>
              </w:rPr>
              <w:t>17.1.2计量方法（补充）：</w:t>
            </w:r>
          </w:p>
          <w:p w14:paraId="55A648A9">
            <w:pPr>
              <w:snapToGrid w:val="0"/>
              <w:spacing w:line="240" w:lineRule="atLeast"/>
              <w:ind w:firstLine="360" w:firstLineChars="200"/>
              <w:jc w:val="left"/>
              <w:rPr>
                <w:rStyle w:val="53"/>
                <w:rFonts w:ascii="方正仿宋_GBK" w:hAnsi="方正仿宋_GBK" w:eastAsia="方正仿宋_GBK" w:cs="方正仿宋_GBK"/>
                <w:kern w:val="0"/>
                <w:sz w:val="18"/>
                <w:szCs w:val="18"/>
              </w:rPr>
            </w:pPr>
            <w:r>
              <w:rPr>
                <w:rStyle w:val="53"/>
                <w:rFonts w:hint="eastAsia" w:ascii="方正仿宋_GBK" w:hAnsi="方正仿宋_GBK" w:eastAsia="方正仿宋_GBK" w:cs="方正仿宋_GBK"/>
                <w:kern w:val="0"/>
                <w:sz w:val="18"/>
                <w:szCs w:val="18"/>
              </w:rPr>
              <w:t>工程的计量应以净值为准，除非合同另有约定。</w:t>
            </w:r>
          </w:p>
          <w:p w14:paraId="4907EBE0">
            <w:pPr>
              <w:snapToGrid w:val="0"/>
              <w:spacing w:line="240" w:lineRule="atLeast"/>
              <w:ind w:firstLine="360" w:firstLineChars="200"/>
              <w:jc w:val="left"/>
              <w:rPr>
                <w:rFonts w:ascii="方正仿宋_GBK" w:hAnsi="方正仿宋_GBK" w:eastAsia="方正仿宋_GBK" w:cs="方正仿宋_GBK"/>
                <w:color w:val="000000" w:themeColor="text1"/>
                <w:sz w:val="18"/>
                <w:szCs w:val="18"/>
              </w:rPr>
            </w:pPr>
            <w:r>
              <w:rPr>
                <w:rStyle w:val="53"/>
                <w:rFonts w:hint="eastAsia" w:ascii="方正仿宋_GBK" w:hAnsi="方正仿宋_GBK" w:eastAsia="方正仿宋_GBK" w:cs="方正仿宋_GBK"/>
                <w:kern w:val="0"/>
                <w:sz w:val="18"/>
                <w:szCs w:val="18"/>
              </w:rPr>
              <w:t>承包人有责任对合同约定的工作内容的工程量进行测算或计量。监理人、发包人中的任何一方有权对工作内容中的任何工程量进行计量或不计量。但任何一方或多方共同的计量结果，均不应成为任何一方要求变更、调整合同价格的理由。</w:t>
            </w:r>
          </w:p>
        </w:tc>
        <w:tc>
          <w:tcPr>
            <w:tcW w:w="4455" w:type="dxa"/>
            <w:vAlign w:val="center"/>
          </w:tcPr>
          <w:p w14:paraId="4977EABD">
            <w:pPr>
              <w:snapToGrid w:val="0"/>
              <w:spacing w:line="240" w:lineRule="atLeast"/>
              <w:jc w:val="left"/>
              <w:rPr>
                <w:rStyle w:val="53"/>
                <w:rFonts w:ascii="方正仿宋_GBK" w:hAnsi="方正仿宋_GBK" w:eastAsia="方正仿宋_GBK" w:cs="方正仿宋_GBK"/>
                <w:b/>
                <w:kern w:val="0"/>
                <w:sz w:val="18"/>
                <w:szCs w:val="18"/>
              </w:rPr>
            </w:pPr>
            <w:r>
              <w:rPr>
                <w:rStyle w:val="53"/>
                <w:rFonts w:hint="eastAsia" w:ascii="方正仿宋_GBK" w:hAnsi="方正仿宋_GBK" w:eastAsia="方正仿宋_GBK" w:cs="方正仿宋_GBK"/>
                <w:b/>
                <w:kern w:val="0"/>
                <w:sz w:val="18"/>
                <w:szCs w:val="18"/>
              </w:rPr>
              <w:t>修改为：</w:t>
            </w:r>
          </w:p>
          <w:p w14:paraId="2480B221">
            <w:pPr>
              <w:snapToGrid w:val="0"/>
              <w:spacing w:line="240" w:lineRule="atLeast"/>
              <w:ind w:firstLine="360" w:firstLineChars="200"/>
              <w:jc w:val="left"/>
              <w:rPr>
                <w:rStyle w:val="53"/>
                <w:rFonts w:ascii="方正仿宋_GBK" w:hAnsi="方正仿宋_GBK" w:eastAsia="方正仿宋_GBK" w:cs="方正仿宋_GBK"/>
                <w:kern w:val="0"/>
                <w:sz w:val="18"/>
                <w:szCs w:val="18"/>
              </w:rPr>
            </w:pPr>
            <w:r>
              <w:rPr>
                <w:rStyle w:val="53"/>
                <w:rFonts w:hint="eastAsia" w:ascii="方正仿宋_GBK" w:hAnsi="方正仿宋_GBK" w:eastAsia="方正仿宋_GBK" w:cs="方正仿宋_GBK"/>
                <w:kern w:val="0"/>
                <w:sz w:val="18"/>
                <w:szCs w:val="18"/>
              </w:rPr>
              <w:t>17.1.2计量方法（补充）：</w:t>
            </w:r>
          </w:p>
          <w:p w14:paraId="49F6D361">
            <w:pPr>
              <w:snapToGrid w:val="0"/>
              <w:spacing w:line="240" w:lineRule="atLeast"/>
              <w:ind w:firstLine="360" w:firstLineChars="200"/>
              <w:jc w:val="left"/>
              <w:rPr>
                <w:rFonts w:ascii="方正仿宋_GBK" w:hAnsi="方正仿宋_GBK" w:eastAsia="方正仿宋_GBK" w:cs="方正仿宋_GBK"/>
                <w:color w:val="000000" w:themeColor="text1"/>
                <w:sz w:val="18"/>
                <w:szCs w:val="18"/>
              </w:rPr>
            </w:pPr>
            <w:r>
              <w:rPr>
                <w:rStyle w:val="53"/>
                <w:rFonts w:hint="eastAsia" w:ascii="方正仿宋_GBK" w:hAnsi="方正仿宋_GBK" w:eastAsia="方正仿宋_GBK" w:cs="方正仿宋_GBK"/>
                <w:kern w:val="0"/>
                <w:sz w:val="18"/>
                <w:szCs w:val="18"/>
              </w:rPr>
              <w:t>工程的结算工程量依据审定的施工图工程量（包括发包人认可的设计变更、签证）计算；中华人民共和国电力行业标准《电力建设工程工程量清单计价规范》（DL/T 5745-2021）、《电力建设工程工程量清单计算规范 变电工程》（DL/T 5341-2021）及招标文件明确的工程量计算规则。承包人有责任对合同约定的工作内容的工程量进行测算或计量。监理人、发包人中的任何一方有权对工作内容中的任何工程量进行计量或不计量。但任何一方或多方共同的计量结果，均不应成为任何一方要求变更、调整合同价格的理由。</w:t>
            </w:r>
          </w:p>
        </w:tc>
      </w:tr>
      <w:tr w14:paraId="756F7EA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970A2D7">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100E443F">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190953B9">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17.1.3</w:t>
            </w:r>
          </w:p>
        </w:tc>
        <w:tc>
          <w:tcPr>
            <w:tcW w:w="3582" w:type="dxa"/>
            <w:vAlign w:val="center"/>
          </w:tcPr>
          <w:p w14:paraId="2F857B21">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17.1.3 计量周期：</w:t>
            </w:r>
          </w:p>
          <w:p w14:paraId="7D8F8EAC">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 xml:space="preserve">按月计量。  </w:t>
            </w:r>
          </w:p>
        </w:tc>
        <w:tc>
          <w:tcPr>
            <w:tcW w:w="4455" w:type="dxa"/>
            <w:vAlign w:val="center"/>
          </w:tcPr>
          <w:p w14:paraId="5BB5ED28">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17.1.3修改为：计量周期：</w:t>
            </w:r>
          </w:p>
          <w:p w14:paraId="65937AE0">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按月计量，自愿申报。</w:t>
            </w:r>
          </w:p>
        </w:tc>
      </w:tr>
      <w:tr w14:paraId="041587D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446904A">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6A21C90C">
            <w:pPr>
              <w:widowControl/>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kern w:val="0"/>
                <w:sz w:val="18"/>
                <w:szCs w:val="18"/>
              </w:rPr>
              <w:t>专用条款17.2.1</w:t>
            </w:r>
          </w:p>
        </w:tc>
        <w:tc>
          <w:tcPr>
            <w:tcW w:w="3582" w:type="dxa"/>
            <w:vAlign w:val="center"/>
          </w:tcPr>
          <w:p w14:paraId="6ACAAA67">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17.2.1 预付款的额度和预付办法如下：</w:t>
            </w:r>
          </w:p>
          <w:p w14:paraId="326CD485">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（2）工程预付款的支付时间：在具备施工条件的前提下，发包人应在双方签订合同后的一个月内或约定的开工日期前7天内预付工程款。</w:t>
            </w:r>
          </w:p>
          <w:p w14:paraId="17270BB4">
            <w:pPr>
              <w:widowControl/>
              <w:adjustRightInd w:val="0"/>
              <w:snapToGrid w:val="0"/>
              <w:jc w:val="left"/>
              <w:rPr>
                <w:rFonts w:ascii="方正仿宋_GBK" w:hAnsi="方正仿宋_GBK" w:eastAsia="方正仿宋_GBK" w:cs="方正仿宋_GBK"/>
                <w:color w:val="000000" w:themeColor="text1"/>
                <w:sz w:val="18"/>
                <w:szCs w:val="18"/>
              </w:rPr>
            </w:pPr>
          </w:p>
        </w:tc>
        <w:tc>
          <w:tcPr>
            <w:tcW w:w="4455" w:type="dxa"/>
          </w:tcPr>
          <w:p w14:paraId="3D799A65">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17.2.1修改为：</w:t>
            </w:r>
          </w:p>
          <w:p w14:paraId="4B920FD0">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预付款的额度和预付办法如下：                                                    （2）工程预付款的支付时间：发包人应在双方签订合同后，在具备施工条件的前提下，发包人收到承包人提供的预付款收据和工程预付款支付报审表、开工报审表、履约保函或保险保单</w:t>
            </w:r>
            <w:r>
              <w:rPr>
                <w:rFonts w:hint="eastAsia" w:ascii="方正仿宋_GBK" w:hAnsi="方正仿宋_GBK" w:eastAsia="方正仿宋_GBK" w:cs="方正仿宋_GBK"/>
                <w:sz w:val="18"/>
                <w:szCs w:val="18"/>
                <w:lang w:eastAsia="zh-CN"/>
              </w:rPr>
              <w:t>等材料</w:t>
            </w:r>
            <w:r>
              <w:rPr>
                <w:rFonts w:hint="eastAsia" w:ascii="方正仿宋_GBK" w:hAnsi="方正仿宋_GBK" w:eastAsia="方正仿宋_GBK" w:cs="方正仿宋_GBK"/>
                <w:sz w:val="18"/>
                <w:szCs w:val="18"/>
              </w:rPr>
              <w:t>，核实承包人提供的相关预付款申请资料后60个工作日内将预付款支付给承包人。</w:t>
            </w:r>
          </w:p>
        </w:tc>
      </w:tr>
      <w:tr w14:paraId="449AE02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EA2F86B">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356BA8D4">
            <w:pPr>
              <w:widowControl/>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kern w:val="0"/>
                <w:sz w:val="18"/>
                <w:szCs w:val="18"/>
              </w:rPr>
              <w:t>专用条款</w:t>
            </w:r>
            <w:r>
              <w:rPr>
                <w:rFonts w:hint="eastAsia" w:ascii="方正仿宋_GBK" w:hAnsi="方正仿宋_GBK" w:eastAsia="方正仿宋_GBK" w:cs="方正仿宋_GBK"/>
                <w:sz w:val="18"/>
                <w:szCs w:val="18"/>
              </w:rPr>
              <w:t>17.2.3</w:t>
            </w:r>
          </w:p>
        </w:tc>
        <w:tc>
          <w:tcPr>
            <w:tcW w:w="3582" w:type="dxa"/>
            <w:vAlign w:val="center"/>
          </w:tcPr>
          <w:p w14:paraId="5D8523C6">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17.2.3 款预付款扣回与还清</w:t>
            </w:r>
          </w:p>
          <w:p w14:paraId="56DF2BAC">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 xml:space="preserve">预付款的扣回办法如下： </w:t>
            </w:r>
          </w:p>
          <w:p w14:paraId="05570EE0">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当工程价款支付至合同价款的50%时，开始抵扣工程预付款，每次扣除当月进度款的60%，扣完为止。</w:t>
            </w:r>
          </w:p>
        </w:tc>
        <w:tc>
          <w:tcPr>
            <w:tcW w:w="4455" w:type="dxa"/>
          </w:tcPr>
          <w:p w14:paraId="24F2E0BB">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17.2.3 款预付款扣回与还清</w:t>
            </w:r>
          </w:p>
          <w:p w14:paraId="0B80F52D">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themeColor="text1"/>
                <w:sz w:val="18"/>
                <w:szCs w:val="18"/>
              </w:rPr>
              <w:t>预付款的扣回办法如下：</w:t>
            </w:r>
          </w:p>
          <w:p w14:paraId="256CB5E5">
            <w:pPr>
              <w:widowControl/>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sz w:val="18"/>
                <w:szCs w:val="18"/>
              </w:rPr>
              <w:t>发包人在支付承包人的工程进度款时，扣除当期工程进度款(扣除暂列金额和安全文明措施费)的20%用于抵扣工程预付款，剩下的80%为承包人当期应得工程进度款，其中人工费用应拨付至承包人开设的农民工工资款专用账户。承包人在申报最后一笔进度款时，应将剩余未抵扣完的预付款一次性抵扣完毕。</w:t>
            </w:r>
          </w:p>
        </w:tc>
      </w:tr>
      <w:tr w14:paraId="2C0FB92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8183429">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6122536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kern w:val="0"/>
                <w:sz w:val="18"/>
                <w:szCs w:val="18"/>
              </w:rPr>
              <w:t>专用条款</w:t>
            </w:r>
            <w:r>
              <w:rPr>
                <w:rFonts w:hint="eastAsia" w:ascii="方正仿宋_GBK" w:hAnsi="方正仿宋_GBK" w:eastAsia="方正仿宋_GBK" w:cs="方正仿宋_GBK"/>
                <w:sz w:val="18"/>
                <w:szCs w:val="18"/>
              </w:rPr>
              <w:t>17.2.4</w:t>
            </w:r>
          </w:p>
          <w:p w14:paraId="0070EEC3">
            <w:pPr>
              <w:widowControl/>
              <w:rPr>
                <w:rFonts w:ascii="方正仿宋_GBK" w:hAnsi="方正仿宋_GBK" w:eastAsia="方正仿宋_GBK" w:cs="方正仿宋_GBK"/>
                <w:color w:val="000000" w:themeColor="text1"/>
                <w:kern w:val="0"/>
                <w:sz w:val="18"/>
                <w:szCs w:val="18"/>
              </w:rPr>
            </w:pPr>
          </w:p>
        </w:tc>
        <w:tc>
          <w:tcPr>
            <w:tcW w:w="3582" w:type="dxa"/>
            <w:vAlign w:val="center"/>
          </w:tcPr>
          <w:p w14:paraId="2F54A7E3">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17.2.4 （增加）：</w:t>
            </w:r>
          </w:p>
          <w:p w14:paraId="2FE7D42B">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在完成以下工作后，承包人可申请支付预付款：</w:t>
            </w:r>
          </w:p>
          <w:p w14:paraId="7CA9BF89">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（1）合同生效并且发包人收到履约保函；</w:t>
            </w:r>
          </w:p>
          <w:p w14:paraId="51A24E9F">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（2）承包人开工准备工作已完成。</w:t>
            </w:r>
          </w:p>
          <w:p w14:paraId="44FA6E4D">
            <w:pPr>
              <w:widowControl/>
              <w:adjustRightInd w:val="0"/>
              <w:snapToGrid w:val="0"/>
              <w:rPr>
                <w:rFonts w:ascii="方正仿宋_GBK" w:hAnsi="方正仿宋_GBK" w:eastAsia="方正仿宋_GBK" w:cs="方正仿宋_GBK"/>
                <w:color w:val="000000" w:themeColor="text1"/>
                <w:sz w:val="18"/>
                <w:szCs w:val="18"/>
              </w:rPr>
            </w:pPr>
          </w:p>
        </w:tc>
        <w:tc>
          <w:tcPr>
            <w:tcW w:w="4455" w:type="dxa"/>
          </w:tcPr>
          <w:p w14:paraId="0BA23061">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17.2.4（增加）：</w:t>
            </w:r>
          </w:p>
          <w:p w14:paraId="59B0D518">
            <w:pPr>
              <w:widowControl/>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在完成以下工作后，承包人可申请支付工程预付款，工程预付款支付依据性资料如下：</w:t>
            </w:r>
          </w:p>
          <w:p w14:paraId="2C12A92D">
            <w:pPr>
              <w:widowControl/>
              <w:adjustRightInd w:val="0"/>
              <w:snapToGrid w:val="0"/>
              <w:ind w:firstLine="360" w:firstLineChars="20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（1）合同生效并且发包人收到履约保函或工程履约保证保险；</w:t>
            </w:r>
          </w:p>
          <w:p w14:paraId="7D0CA845">
            <w:pPr>
              <w:widowControl/>
              <w:adjustRightInd w:val="0"/>
              <w:snapToGrid w:val="0"/>
              <w:ind w:firstLine="360" w:firstLineChars="20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（2）承包人开工准备工作已完成，且发包人收到开工报审表。</w:t>
            </w:r>
          </w:p>
          <w:p w14:paraId="12688630">
            <w:pPr>
              <w:widowControl/>
              <w:adjustRightInd w:val="0"/>
              <w:snapToGrid w:val="0"/>
              <w:ind w:firstLine="360" w:firstLineChars="20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（3）工程预付款报审表。</w:t>
            </w:r>
          </w:p>
          <w:p w14:paraId="7677C55A">
            <w:pPr>
              <w:widowControl/>
              <w:adjustRightInd w:val="0"/>
              <w:snapToGrid w:val="0"/>
              <w:ind w:firstLine="360" w:firstLineChars="20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u w:val="single"/>
              </w:rPr>
              <w:t>（4）工程预付款收据（按需）。</w:t>
            </w:r>
          </w:p>
        </w:tc>
      </w:tr>
      <w:tr w14:paraId="773EB27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B78DF87">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6A32922F">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w:t>
            </w:r>
            <w:r>
              <w:rPr>
                <w:rFonts w:hint="eastAsia" w:ascii="方正仿宋_GBK" w:hAnsi="方正仿宋_GBK" w:eastAsia="方正仿宋_GBK" w:cs="方正仿宋_GBK"/>
                <w:sz w:val="18"/>
                <w:szCs w:val="18"/>
              </w:rPr>
              <w:t xml:space="preserve">17.2.5 </w:t>
            </w:r>
          </w:p>
        </w:tc>
        <w:tc>
          <w:tcPr>
            <w:tcW w:w="3582" w:type="dxa"/>
            <w:vAlign w:val="center"/>
          </w:tcPr>
          <w:p w14:paraId="6C0AB944">
            <w:pPr>
              <w:autoSpaceDE w:val="0"/>
              <w:autoSpaceDN w:val="0"/>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17.2.5 （增加）：</w:t>
            </w:r>
          </w:p>
          <w:p w14:paraId="03083B07">
            <w:pPr>
              <w:autoSpaceDE w:val="0"/>
              <w:autoSpaceDN w:val="0"/>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符合合同约定的预付款支付条件时，承包人向监理人报送符合发包人要求的预付款支付报审表，经监理人核实、签证并签署意见后，由承包人报发包人，发包人收到上述资料后，在7个工作日内完成审核批准并通知承包人提供有效发票或税务收据，发包人收到承包人提供的有效发票或税务收据等票据后7个工作日内将预付款支付给承包人。</w:t>
            </w:r>
          </w:p>
        </w:tc>
        <w:tc>
          <w:tcPr>
            <w:tcW w:w="4455" w:type="dxa"/>
          </w:tcPr>
          <w:p w14:paraId="2624972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17.2.5 （增加）：</w:t>
            </w:r>
          </w:p>
          <w:p w14:paraId="1170DF78">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符合合同约定的预付款支付条件时，承包人向监理人报送符合发包人要求的工程预付款报审表（表中分别列明工程预付款、安全文明施工费预付款），经监理人核实、签证并签署意见后，由承包人报发包人，发包人收到上述资料后，在7个工作日内完成审核批准并通知承包人提供有效收据，发包人收到承包人提供的有效收据等票据后如期将预付款支付给承包人。</w:t>
            </w:r>
          </w:p>
        </w:tc>
      </w:tr>
      <w:tr w14:paraId="0C2176E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27AD251">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4676FF27">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专用条款17.3.2（补充）</w:t>
            </w:r>
          </w:p>
        </w:tc>
        <w:tc>
          <w:tcPr>
            <w:tcW w:w="3582" w:type="dxa"/>
            <w:vAlign w:val="center"/>
          </w:tcPr>
          <w:p w14:paraId="62DCF86B">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17.3.2 （补充）：</w:t>
            </w:r>
          </w:p>
          <w:p w14:paraId="613FC265">
            <w:pPr>
              <w:widowControl/>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承包人在每次申请进度款时，应向监理人提交符合发包人要求的工程形象进度表、完成投资额统计表、进度款报审表及价款结算单，经监理人核实、签证并签署意见后，由承包人报发包人。</w:t>
            </w:r>
          </w:p>
        </w:tc>
        <w:tc>
          <w:tcPr>
            <w:tcW w:w="4455" w:type="dxa"/>
            <w:vAlign w:val="center"/>
          </w:tcPr>
          <w:p w14:paraId="3EDB3DA2">
            <w:pPr>
              <w:widowControl/>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17.3.2进度付款申请单（补充）：</w:t>
            </w:r>
          </w:p>
          <w:p w14:paraId="2DB82A55">
            <w:pPr>
              <w:widowControl/>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工程进度款按照“按月计量，自愿申报”原则进行。承包人在每次申请进度款时，应向监理人提交符合发包人要求的进度款报审表及附件，经监理人核实、签证并签署意见后，由承包人报发包人。所申报每期进度款中，应明确所含人工费金额。                                                    工程进度款报审相关表格按照发包人要求的工程进度款申报及审核工作相关规定执行。</w:t>
            </w:r>
          </w:p>
        </w:tc>
      </w:tr>
      <w:tr w14:paraId="62B76B1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9A8FEBC">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6E73FF88">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66AE769E">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17.3.3（2）</w:t>
            </w:r>
          </w:p>
        </w:tc>
        <w:tc>
          <w:tcPr>
            <w:tcW w:w="3582" w:type="dxa"/>
            <w:vAlign w:val="center"/>
          </w:tcPr>
          <w:p w14:paraId="0E6FBAF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17.3.3 （2）修改为：</w:t>
            </w:r>
          </w:p>
          <w:p w14:paraId="7DD27BF0">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发包人收到上述资料后，如确认资料符合要求，应在14个工作日内完成审核并通知监理人向承包人出具经发包人签认的进度付款证书。如资料不合要求，发包人应及时通知承包人，由承包人将资料修改后重新申报。发包人应在签发进度付款证书后的28天内，将进度应付款支付给承包人。</w:t>
            </w:r>
          </w:p>
        </w:tc>
        <w:tc>
          <w:tcPr>
            <w:tcW w:w="4455" w:type="dxa"/>
            <w:vAlign w:val="center"/>
          </w:tcPr>
          <w:p w14:paraId="7586C928">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17.3.3（2）修改为：</w:t>
            </w:r>
          </w:p>
          <w:p w14:paraId="3C6741C5">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发包人收到上述资料后，如确认资料符合要求，应在14个工作日内完成审核并通知监理人向承包人出具经发包人签认的进度付款证书。如资料不合要求，发包人应及时通知承包人，由承包人将资料修改后重新申报。发包人应在签发进度付款证书后的60天内，且收到承包人提供的增值税发票后，将审核通过的进度应付款（含本期需支付的农民工工资）支付给承包人。</w:t>
            </w:r>
          </w:p>
        </w:tc>
      </w:tr>
      <w:tr w14:paraId="070EFE5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2A6A50A">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4DE40F33">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697CD2A6">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17.3.3（5）</w:t>
            </w:r>
          </w:p>
        </w:tc>
        <w:tc>
          <w:tcPr>
            <w:tcW w:w="3582" w:type="dxa"/>
            <w:vAlign w:val="center"/>
          </w:tcPr>
          <w:p w14:paraId="1FE0435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17.3.3 （5）（增加）：</w:t>
            </w:r>
          </w:p>
          <w:p w14:paraId="5FA46F0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进度付款证书和支付时间的其他约定如下：</w:t>
            </w:r>
          </w:p>
          <w:p w14:paraId="425E021D">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发包人应在签发进度付款证书后的天内，向承包人按不高于阶段结算计量工程价款的90%向承包人支付工程进度款。</w:t>
            </w:r>
          </w:p>
        </w:tc>
        <w:tc>
          <w:tcPr>
            <w:tcW w:w="4455" w:type="dxa"/>
            <w:vAlign w:val="center"/>
          </w:tcPr>
          <w:p w14:paraId="66E1E1A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17.3.3（5）（增加）：修改为：</w:t>
            </w:r>
          </w:p>
          <w:p w14:paraId="702264D4">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进度付款证书和支付时间的其他约定如下：发包人应在签发进度付款证书后的60天内，向承包人按不低于阶段结算计量工程价款的80%支付工程进度款，且工程进度款累计支付金额不高于原合同价款的90%，剩余工程价款应在工程验收并完成结算批复后，以经确认的竣工结算合同为结算依据，扣除合同约定的工程质保金后办理单项工程结算支付申请手续。发包人负责核实承包人提供的相关结算款申请资料后，如期办理工程结算款的支付手续。在结算过程中，若发生进度款支付超出实际已完成工程价款的情况，承包人应按规定在结算后30日内向发包人返还多收到的工程进度款。</w:t>
            </w:r>
          </w:p>
        </w:tc>
      </w:tr>
      <w:tr w14:paraId="4BE3B99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80E8FA6">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55F5F14A">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专用条款17.3.6</w:t>
            </w:r>
          </w:p>
        </w:tc>
        <w:tc>
          <w:tcPr>
            <w:tcW w:w="3582" w:type="dxa"/>
            <w:vAlign w:val="center"/>
          </w:tcPr>
          <w:p w14:paraId="0B21719B">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无</w:t>
            </w:r>
          </w:p>
        </w:tc>
        <w:tc>
          <w:tcPr>
            <w:tcW w:w="4455" w:type="dxa"/>
            <w:vAlign w:val="center"/>
          </w:tcPr>
          <w:p w14:paraId="21C5B836">
            <w:pPr>
              <w:adjustRightInd w:val="0"/>
              <w:snapToGrid w:val="0"/>
              <w:rPr>
                <w:rFonts w:ascii="方正仿宋_GBK" w:hAnsi="方正仿宋_GBK" w:eastAsia="方正仿宋_GBK" w:cs="方正仿宋_GBK"/>
                <w:sz w:val="18"/>
                <w:szCs w:val="18"/>
                <w:u w:val="single"/>
              </w:rPr>
            </w:pPr>
            <w:r>
              <w:rPr>
                <w:rFonts w:hint="eastAsia" w:ascii="方正仿宋_GBK" w:hAnsi="方正仿宋_GBK" w:eastAsia="方正仿宋_GBK" w:cs="方正仿宋_GBK"/>
                <w:b/>
                <w:sz w:val="18"/>
                <w:szCs w:val="18"/>
                <w:u w:val="single"/>
              </w:rPr>
              <w:t>17.3.6（增加）：</w:t>
            </w:r>
          </w:p>
          <w:p w14:paraId="74AF6E52">
            <w:pPr>
              <w:adjustRightInd w:val="0"/>
              <w:snapToGrid w:val="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额外工作款：额外工作款指承包人根据合同约定，有权得到支付的合同价之外的款项。额外工作款与进度款同期支付。承包人完成的合同以外的新增或零星项目工程价款的支付方式如下：</w:t>
            </w:r>
          </w:p>
          <w:p w14:paraId="364F3A17">
            <w:pPr>
              <w:adjustRightInd w:val="0"/>
              <w:snapToGrid w:val="0"/>
              <w:rPr>
                <w:rFonts w:ascii="方正仿宋_GBK" w:hAnsi="方正仿宋_GBK" w:eastAsia="方正仿宋_GBK" w:cs="方正仿宋_GBK"/>
                <w:sz w:val="18"/>
                <w:szCs w:val="18"/>
                <w:u w:val="single"/>
              </w:rPr>
            </w:pPr>
            <w:r>
              <w:rPr>
                <w:rFonts w:hint="eastAsia" w:ascii="方正仿宋_GBK" w:hAnsi="方正仿宋_GBK" w:eastAsia="方正仿宋_GBK" w:cs="方正仿宋_GBK"/>
                <w:b/>
                <w:bCs/>
                <w:sz w:val="18"/>
                <w:szCs w:val="18"/>
                <w:u w:val="single"/>
              </w:rPr>
              <w:t>（1）新增完整的单项（位）工程：</w:t>
            </w:r>
            <w:r>
              <w:rPr>
                <w:rFonts w:hint="eastAsia" w:ascii="方正仿宋_GBK" w:hAnsi="方正仿宋_GBK" w:eastAsia="方正仿宋_GBK" w:cs="方正仿宋_GBK"/>
                <w:sz w:val="18"/>
                <w:szCs w:val="18"/>
                <w:u w:val="single"/>
              </w:rPr>
              <w:t>在14日内，由发包人委托设计方编制施工图预算，在此基础上双方协商确定合同价款后办理补充合同。</w:t>
            </w:r>
          </w:p>
          <w:p w14:paraId="32999054">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b/>
                <w:bCs/>
                <w:sz w:val="18"/>
                <w:szCs w:val="18"/>
                <w:u w:val="single"/>
              </w:rPr>
              <w:t>（2）其他零星项目：</w:t>
            </w:r>
            <w:r>
              <w:rPr>
                <w:rFonts w:hint="eastAsia" w:ascii="方正仿宋_GBK" w:hAnsi="方正仿宋_GBK" w:eastAsia="方正仿宋_GBK" w:cs="方正仿宋_GBK"/>
                <w:sz w:val="18"/>
                <w:szCs w:val="18"/>
                <w:u w:val="single"/>
              </w:rPr>
              <w:t>承包人应在接受发包人要求的7日内就用工数量和单价、机械台班数量和单价使用材料和金额等向发包人提出施工签证，经设计方、监理人签署意见，并最终经发包人签证后施工。如未办理补充合同或发包人未签证，承包人施工后发生争议的，责任由承包人自负。</w:t>
            </w:r>
          </w:p>
          <w:p w14:paraId="129ABFF9">
            <w:pPr>
              <w:adjustRightInd w:val="0"/>
              <w:snapToGrid w:val="0"/>
              <w:rPr>
                <w:rFonts w:ascii="方正仿宋_GBK" w:hAnsi="方正仿宋_GBK" w:eastAsia="方正仿宋_GBK" w:cs="方正仿宋_GBK"/>
                <w:color w:val="000000" w:themeColor="text1"/>
                <w:sz w:val="18"/>
                <w:szCs w:val="18"/>
              </w:rPr>
            </w:pPr>
          </w:p>
        </w:tc>
      </w:tr>
      <w:tr w14:paraId="578D232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CE05546">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3F8BF3F8">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专用条款17.4.1</w:t>
            </w:r>
          </w:p>
        </w:tc>
        <w:tc>
          <w:tcPr>
            <w:tcW w:w="3582" w:type="dxa"/>
            <w:vAlign w:val="center"/>
          </w:tcPr>
          <w:p w14:paraId="0D8D9BF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17.4.1 质量保证金为合同结算价格的3％。质量保证金有效期限从颁发工程竣工证书后至承包人完成工程并修补全部缺陷，且发包人根据有关条款发出保修证书。承包人应在竣工结算报告经发、承包双方确认后30日内，向发包人提供质量保证金保函或工程质量保证保险。承包人提供质量保证金保函的，质量保证金保函应为中国注册的具有担保经营业务资格的银行或有关金融机构开具；承包人投保工程质量保证保险的，保险公司应具有建设工程类保证保险经营业务资格，且相关建设工程质量保证保险产品应经银行保险监管部门审批或备案。</w:t>
            </w:r>
          </w:p>
          <w:p w14:paraId="2AC1256D">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发包人在收到质量保证金保函或工程质量保证保险后向承包人支付质量保证金。逾期不提交或者质量保证金保函或工程质量保证保险不符合要求的，视为承包人选择以现金保证金替代质量保证金保函或工程质量保证保险，发包人将向承包人支付扣除上述保证金后的剩余结算金额。质量保证金应在结算批复下达后一次性从竣工结算款中预留。</w:t>
            </w:r>
          </w:p>
        </w:tc>
        <w:tc>
          <w:tcPr>
            <w:tcW w:w="4455" w:type="dxa"/>
            <w:vAlign w:val="center"/>
          </w:tcPr>
          <w:p w14:paraId="1309CB8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17.4.1修改为：</w:t>
            </w:r>
          </w:p>
          <w:p w14:paraId="5B357F89">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z w:val="18"/>
                <w:szCs w:val="18"/>
              </w:rPr>
              <w:t>质量保证金为合同结算价格的3％。质量保证金有效期限从工程竣工验收合格之日至承包人完成工程并修补全部缺陷，且发包人根据有关条款发出保修证书，最长不超过24 个月。承包人应在竣工结算报告经发、承包双方确认后30日内，向发包人提供质量保证金保函或工程质量保证保险。承包人提供质量保证金保函的，质量保证金保函应为中国注册的具有担保经营业务资格的银行或有关金融机构开具；承包人投保工程质量保证保险的，保险公司应具有建设工程类保证保险经营业务资格，且相关建设工程质量保证保险产品应经银行保险监管部门审批或备案。</w:t>
            </w:r>
          </w:p>
          <w:p w14:paraId="1E6B83BC">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发包人在收到质量保证金保函或工程质量保证保险后向承包人支付质量保证金。逾期不提交或者质量保证金保函或工程质量保证保险不符合要求的，视为承包人选择以现金保证金替代质量保证金保函或工程质量保证保险，发包人将向承包人支付扣除上述保证金后的剩余结算金额。质量保证金应在结算批复下达后一次性从竣工结算款中预留。</w:t>
            </w:r>
          </w:p>
        </w:tc>
      </w:tr>
      <w:tr w14:paraId="747C56E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7469D34">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2AE3D55F">
            <w:pPr>
              <w:widowControl/>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kern w:val="0"/>
                <w:sz w:val="18"/>
                <w:szCs w:val="18"/>
              </w:rPr>
              <w:t>专用条款17.4.2</w:t>
            </w:r>
          </w:p>
        </w:tc>
        <w:tc>
          <w:tcPr>
            <w:tcW w:w="3582" w:type="dxa"/>
            <w:vAlign w:val="center"/>
          </w:tcPr>
          <w:p w14:paraId="46C994C7">
            <w:pPr>
              <w:adjustRightInd w:val="0"/>
              <w:snapToGrid w:val="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z w:val="18"/>
                <w:szCs w:val="18"/>
              </w:rPr>
              <w:t>无</w:t>
            </w:r>
          </w:p>
        </w:tc>
        <w:tc>
          <w:tcPr>
            <w:tcW w:w="4455" w:type="dxa"/>
            <w:vAlign w:val="center"/>
          </w:tcPr>
          <w:p w14:paraId="31141E82">
            <w:pPr>
              <w:widowControl/>
              <w:jc w:val="left"/>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z w:val="18"/>
                <w:szCs w:val="18"/>
              </w:rPr>
              <w:t>17.4.2 修改为：在通用合同条款第1.1.4.5目约定的缺陷责任期满后28天内，承包人应向发包人申请到期应返还承包人剩余的质量保证金金额（或质量保证金保函），发包人应在14天内会同承包人按照合同约定的内容核实承包人是否完成缺陷责任。如无异议，发包人应当在核实后将剩余保证金（或质量保证金保函）返还承包人。缺陷责任期满后，承包人未及时申请到期应返还承包人的质量保证金（或质量保证金保函），造成承包人的损失以及由此引发的责任应由承包人自行承担。</w:t>
            </w:r>
          </w:p>
        </w:tc>
      </w:tr>
      <w:tr w14:paraId="362D2D6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59" w:hRule="atLeast"/>
        </w:trPr>
        <w:tc>
          <w:tcPr>
            <w:tcW w:w="1040" w:type="dxa"/>
            <w:vAlign w:val="center"/>
          </w:tcPr>
          <w:p w14:paraId="5C831B27">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109B18D3">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专用条款17.4.3</w:t>
            </w:r>
            <w:r>
              <w:rPr>
                <w:rFonts w:hint="eastAsia" w:ascii="方正仿宋_GBK" w:hAnsi="方正仿宋_GBK" w:eastAsia="方正仿宋_GBK" w:cs="方正仿宋_GBK"/>
                <w:snapToGrid w:val="0"/>
                <w:kern w:val="0"/>
                <w:sz w:val="18"/>
                <w:szCs w:val="18"/>
              </w:rPr>
              <w:t>（补充）</w:t>
            </w:r>
          </w:p>
        </w:tc>
        <w:tc>
          <w:tcPr>
            <w:tcW w:w="3582" w:type="dxa"/>
            <w:vAlign w:val="center"/>
          </w:tcPr>
          <w:p w14:paraId="1AD7028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17.4.3质量保证金按照以下约定扣减（补充）：</w:t>
            </w:r>
          </w:p>
          <w:p w14:paraId="39DCA1C9">
            <w:pPr>
              <w:adjustRightInd w:val="0"/>
              <w:snapToGrid w:val="0"/>
              <w:rPr>
                <w:rFonts w:ascii="方正仿宋_GBK" w:hAnsi="方正仿宋_GBK" w:eastAsia="方正仿宋_GBK" w:cs="方正仿宋_GBK"/>
                <w:sz w:val="18"/>
                <w:szCs w:val="18"/>
              </w:rPr>
            </w:pPr>
          </w:p>
          <w:p w14:paraId="24E16052">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 xml:space="preserve">                                                                     。</w:t>
            </w:r>
          </w:p>
        </w:tc>
        <w:tc>
          <w:tcPr>
            <w:tcW w:w="4455" w:type="dxa"/>
            <w:vAlign w:val="center"/>
          </w:tcPr>
          <w:p w14:paraId="07196379">
            <w:pPr>
              <w:widowControl/>
              <w:jc w:val="left"/>
              <w:rPr>
                <w:rFonts w:ascii="方正仿宋_GBK" w:hAnsi="方正仿宋_GBK" w:eastAsia="方正仿宋_GBK" w:cs="方正仿宋_GBK"/>
                <w:kern w:val="0"/>
                <w:sz w:val="18"/>
                <w:szCs w:val="18"/>
              </w:rPr>
            </w:pPr>
            <w:r>
              <w:rPr>
                <w:rFonts w:hint="eastAsia" w:ascii="方正仿宋_GBK" w:hAnsi="方正仿宋_GBK" w:eastAsia="方正仿宋_GBK" w:cs="方正仿宋_GBK"/>
                <w:kern w:val="0"/>
                <w:sz w:val="18"/>
                <w:szCs w:val="18"/>
              </w:rPr>
              <w:t>17.4.3质量保证金（质量保证金保函）按照以下约定扣减（补充）：</w:t>
            </w:r>
          </w:p>
          <w:p w14:paraId="0ED15B0E">
            <w:pPr>
              <w:adjustRightInd w:val="0"/>
              <w:snapToGrid w:val="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质量保证金按照约定扣减完成后一次性支付剩余部分。工程缺陷责任期满，承包人凭相关单位确认保修工作全部完成的“工程质量保证金付款报审表”签字即可申请全额支付工程质量保证金或退还质量保证金保函。</w:t>
            </w:r>
          </w:p>
          <w:p w14:paraId="64FF16B4">
            <w:pPr>
              <w:adjustRightInd w:val="0"/>
              <w:snapToGrid w:val="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增加：如用质量保证金保函替代工程质量保证金的，保函到期前三个月，承包人开始办理由相关单位签署意见的“工程质量保证金付款报审表”。承包人如不能在质量保证金保函到期前一个月将该表办理完成，则办理保函续期；续期质量保证金保函应不晚于缺陷责任期结束前15天提供，续期时长根据工程具体情况确定，最长不超过一年。如续期保函的提交晚于上述时间点，则发包人则有权向提供保函的各商业银行或财务公司发出无条件扣款通知，办理质量保证金扣款事宜。</w:t>
            </w:r>
          </w:p>
          <w:p w14:paraId="18253734">
            <w:pPr>
              <w:adjustRightInd w:val="0"/>
              <w:snapToGrid w:val="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如每遗留1条缺陷，则扣除工程质量保证金的1%。</w:t>
            </w:r>
          </w:p>
          <w:p w14:paraId="02CA5841">
            <w:pPr>
              <w:adjustRightInd w:val="0"/>
              <w:snapToGrid w:val="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1）工程档案自查、预验收以及专项验收等档案专项检查工作配合不到位，且发现问题，未按要求进行整改闭环，则扣除质量保证金的10%；工程竣工后，未按规定办理完成竣工资料归档移交工作，竣工资料的准确性、规范性、系统性不满足档案管理要求，则扣除质量保证金的10%；在项目档案专项验收检查中，因承包商自身资料问题，对项目管理造成不良影响，则扣除质量保证金20%。</w:t>
            </w:r>
          </w:p>
          <w:p w14:paraId="7FBF678C">
            <w:pPr>
              <w:adjustRightInd w:val="0"/>
              <w:snapToGrid w:val="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（2）在收到发包人最终结算合同后15天内，承包人应按照ERP系统中调整后的WBS架构提供全口径施工价款结算分析表，如未能及时正确提供，造成竣工决算报告编制工作滞后，则扣除质量保证金10%。</w:t>
            </w:r>
          </w:p>
          <w:p w14:paraId="158A97C6">
            <w:pPr>
              <w:adjustRightInd w:val="0"/>
              <w:snapToGrid w:val="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3）工程在达标投产复检、四个专项评价、国家电网公司输变电优质工程金银奖、中国电力行业优质工程、国家级优质工程检查中，检查组查出因承包人原因产生的问题和缺陷（包括现场和资料），每1项扣质量保证金的0.1%。</w:t>
            </w:r>
          </w:p>
          <w:p w14:paraId="3BB407DA">
            <w:pPr>
              <w:adjustRightInd w:val="0"/>
              <w:snapToGrid w:val="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工程在电力行业优质工程申报时，未取得专项验收合格证明，缺1项扣质量保证金的5%。</w:t>
            </w:r>
          </w:p>
          <w:p w14:paraId="0C51A639">
            <w:pPr>
              <w:adjustRightInd w:val="0"/>
              <w:snapToGrid w:val="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工程在电力行业优质工程申报时，承包人未实现取得省（部）级及以上专利、工法、科技成果、QC小组成果奖的目标，缺1项扣质量保证金的2%。</w:t>
            </w:r>
          </w:p>
          <w:p w14:paraId="680D0FA4">
            <w:pPr>
              <w:adjustRightInd w:val="0"/>
              <w:snapToGrid w:val="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在国家优质工程申报前，如因承包人责任工程未取得新技术应用专项评价，扣质量保证金的5%。</w:t>
            </w:r>
          </w:p>
          <w:p w14:paraId="6E072F03">
            <w:pPr>
              <w:adjustRightInd w:val="0"/>
              <w:snapToGrid w:val="0"/>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在国家优质工程申报前，如因承包人责任工程未取得绿色施工专项评价，扣质量保证金的5%。</w:t>
            </w:r>
          </w:p>
          <w:p w14:paraId="392A2FAD">
            <w:pPr>
              <w:adjustRightInd w:val="0"/>
              <w:snapToGrid w:val="0"/>
              <w:rPr>
                <w:rFonts w:hint="eastAsia"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在电力行业优质工程申报时，建设管理单位对参建单位提供工程亮点照片和视频资料的质量进行评比排名，该项工作完成较差承包人扣质量保证金的5%。该项工作完成较差是指照片和视频资料的质量或数量不满足优质工程汇报片制作标准，对优质工程汇报片制作带来影响的。</w:t>
            </w:r>
          </w:p>
          <w:p w14:paraId="4241251C">
            <w:pPr>
              <w:adjustRightInd w:val="0"/>
              <w:snapToGrid w:val="0"/>
              <w:rPr>
                <w:rFonts w:hint="eastAsia" w:ascii="方正仿宋_GBK" w:hAnsi="方正仿宋_GBK" w:eastAsia="方正仿宋_GBK" w:cs="方正仿宋_GBK"/>
                <w:color w:val="000000" w:themeColor="text1"/>
                <w:kern w:val="0"/>
                <w:sz w:val="18"/>
                <w:szCs w:val="18"/>
                <w:lang w:eastAsia="zh-CN"/>
              </w:rPr>
            </w:pPr>
            <w:r>
              <w:rPr>
                <w:rFonts w:hint="eastAsia" w:ascii="方正仿宋_GBK" w:hAnsi="方正仿宋_GBK" w:eastAsia="方正仿宋_GBK" w:cs="方正仿宋_GBK"/>
                <w:sz w:val="18"/>
                <w:szCs w:val="18"/>
                <w:u w:val="single"/>
              </w:rPr>
              <w:t>档案问题、结算资料延迟、创优未达标、科技成果未获奖等情形，视为承包人违约，需按照合同金额</w:t>
            </w:r>
            <w:r>
              <w:rPr>
                <w:rFonts w:hint="eastAsia" w:ascii="方正仿宋_GBK" w:hAnsi="方正仿宋_GBK" w:eastAsia="方正仿宋_GBK" w:cs="方正仿宋_GBK"/>
                <w:sz w:val="18"/>
                <w:szCs w:val="18"/>
                <w:u w:val="single"/>
                <w:lang w:val="en-US" w:eastAsia="zh-CN"/>
              </w:rPr>
              <w:t xml:space="preserve"> / </w:t>
            </w:r>
            <w:r>
              <w:rPr>
                <w:rFonts w:hint="eastAsia" w:ascii="方正仿宋_GBK" w:hAnsi="方正仿宋_GBK" w:eastAsia="方正仿宋_GBK" w:cs="方正仿宋_GBK"/>
                <w:sz w:val="18"/>
                <w:szCs w:val="18"/>
                <w:u w:val="single"/>
              </w:rPr>
              <w:t>%向发包人承担违约责任，违约金发包人有权直接从应付工程款或履约保证金计扣，质保期到期，承包人存在违约金未付的，在办理质保金结算时，发包人有权进行抵扣</w:t>
            </w:r>
            <w:r>
              <w:rPr>
                <w:rFonts w:hint="eastAsia" w:ascii="方正仿宋_GBK" w:hAnsi="方正仿宋_GBK" w:eastAsia="方正仿宋_GBK" w:cs="方正仿宋_GBK"/>
                <w:sz w:val="18"/>
                <w:szCs w:val="18"/>
                <w:u w:val="single"/>
                <w:lang w:eastAsia="zh-CN"/>
              </w:rPr>
              <w:t>。</w:t>
            </w:r>
          </w:p>
        </w:tc>
      </w:tr>
      <w:tr w14:paraId="45D1AA6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669F7C8">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0BC18EDA">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专用条款17.4.4（新增）</w:t>
            </w:r>
          </w:p>
        </w:tc>
        <w:tc>
          <w:tcPr>
            <w:tcW w:w="3582" w:type="dxa"/>
            <w:vAlign w:val="center"/>
          </w:tcPr>
          <w:p w14:paraId="4350C40E">
            <w:pPr>
              <w:widowControl/>
              <w:jc w:val="left"/>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kern w:val="0"/>
                <w:sz w:val="18"/>
                <w:szCs w:val="18"/>
              </w:rPr>
              <w:t>无</w:t>
            </w:r>
          </w:p>
        </w:tc>
        <w:tc>
          <w:tcPr>
            <w:tcW w:w="4455" w:type="dxa"/>
          </w:tcPr>
          <w:p w14:paraId="085C5C7A">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17.4.4（新增）：</w:t>
            </w:r>
          </w:p>
          <w:p w14:paraId="77C30538">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b/>
                <w:sz w:val="18"/>
                <w:szCs w:val="18"/>
              </w:rPr>
              <w:t>考核违约金</w:t>
            </w:r>
            <w:r>
              <w:rPr>
                <w:rFonts w:hint="eastAsia" w:ascii="方正仿宋_GBK" w:hAnsi="方正仿宋_GBK" w:eastAsia="方正仿宋_GBK" w:cs="方正仿宋_GBK"/>
                <w:sz w:val="18"/>
                <w:szCs w:val="18"/>
              </w:rPr>
              <w:t>包括</w:t>
            </w:r>
            <w:r>
              <w:rPr>
                <w:rFonts w:hint="eastAsia" w:ascii="方正仿宋_GBK" w:hAnsi="方正仿宋_GBK" w:eastAsia="方正仿宋_GBK" w:cs="方正仿宋_GBK"/>
                <w:b/>
                <w:sz w:val="18"/>
                <w:szCs w:val="18"/>
              </w:rPr>
              <w:t>安全违约金、质量违约金、现场违约金</w:t>
            </w:r>
            <w:r>
              <w:rPr>
                <w:rFonts w:hint="eastAsia" w:ascii="方正仿宋_GBK" w:hAnsi="方正仿宋_GBK" w:eastAsia="方正仿宋_GBK" w:cs="方正仿宋_GBK"/>
                <w:b/>
                <w:sz w:val="18"/>
                <w:szCs w:val="18"/>
                <w:highlight w:val="none"/>
                <w:lang w:eastAsia="zh-CN"/>
              </w:rPr>
              <w:t>、</w:t>
            </w:r>
            <w:r>
              <w:rPr>
                <w:rFonts w:hint="eastAsia" w:ascii="方正仿宋_GBK" w:hAnsi="方正仿宋_GBK" w:eastAsia="方正仿宋_GBK" w:cs="方正仿宋_GBK"/>
                <w:b/>
                <w:sz w:val="18"/>
                <w:szCs w:val="18"/>
                <w:highlight w:val="none"/>
                <w:lang w:val="en-US" w:eastAsia="zh-CN"/>
              </w:rPr>
              <w:t>环水保违约金</w:t>
            </w:r>
            <w:r>
              <w:rPr>
                <w:rFonts w:hint="eastAsia" w:ascii="方正仿宋_GBK" w:hAnsi="方正仿宋_GBK" w:eastAsia="方正仿宋_GBK" w:cs="方正仿宋_GBK"/>
                <w:b/>
                <w:sz w:val="18"/>
                <w:szCs w:val="18"/>
              </w:rPr>
              <w:t>。</w:t>
            </w:r>
          </w:p>
          <w:p w14:paraId="51938D5B">
            <w:pPr>
              <w:adjustRightInd w:val="0"/>
              <w:snapToGrid w:val="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z w:val="18"/>
                <w:szCs w:val="18"/>
              </w:rPr>
              <w:t>承包人未实现考核目标的，应按合同约定支付考核违约金，并按照第22.1.2项的约定承担违约责任。</w:t>
            </w:r>
          </w:p>
        </w:tc>
      </w:tr>
      <w:tr w14:paraId="7820AA3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D82A644">
            <w:pPr>
              <w:pStyle w:val="39"/>
              <w:widowControl/>
              <w:numPr>
                <w:ilvl w:val="0"/>
                <w:numId w:val="3"/>
              </w:numPr>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7F5A5030">
            <w:pPr>
              <w:widowControl/>
              <w:rPr>
                <w:rFonts w:ascii="方正仿宋_GBK" w:hAnsi="方正仿宋_GBK" w:eastAsia="方正仿宋_GBK" w:cs="方正仿宋_GBK"/>
                <w:kern w:val="0"/>
                <w:sz w:val="18"/>
                <w:szCs w:val="18"/>
              </w:rPr>
            </w:pPr>
            <w:r>
              <w:rPr>
                <w:rFonts w:hint="eastAsia" w:ascii="方正仿宋_GBK" w:hAnsi="方正仿宋_GBK" w:eastAsia="方正仿宋_GBK" w:cs="方正仿宋_GBK"/>
                <w:kern w:val="0"/>
                <w:sz w:val="18"/>
                <w:szCs w:val="18"/>
              </w:rPr>
              <w:t>专用条款</w:t>
            </w:r>
          </w:p>
          <w:p w14:paraId="69F69909">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17.4.5（新增）</w:t>
            </w:r>
          </w:p>
        </w:tc>
        <w:tc>
          <w:tcPr>
            <w:tcW w:w="3582" w:type="dxa"/>
            <w:vAlign w:val="center"/>
          </w:tcPr>
          <w:p w14:paraId="383E7C4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kern w:val="0"/>
                <w:sz w:val="18"/>
                <w:szCs w:val="18"/>
              </w:rPr>
              <w:t>无</w:t>
            </w:r>
          </w:p>
          <w:p w14:paraId="1B7581B6">
            <w:pPr>
              <w:widowControl/>
              <w:jc w:val="left"/>
              <w:rPr>
                <w:rFonts w:ascii="方正仿宋_GBK" w:hAnsi="方正仿宋_GBK" w:eastAsia="方正仿宋_GBK" w:cs="方正仿宋_GBK"/>
                <w:snapToGrid w:val="0"/>
                <w:color w:val="000000" w:themeColor="text1"/>
                <w:kern w:val="0"/>
                <w:sz w:val="18"/>
                <w:szCs w:val="18"/>
              </w:rPr>
            </w:pPr>
          </w:p>
        </w:tc>
        <w:tc>
          <w:tcPr>
            <w:tcW w:w="4455" w:type="dxa"/>
            <w:vAlign w:val="center"/>
          </w:tcPr>
          <w:p w14:paraId="75C6956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17.4.5考核违约金的执行（增加）：</w:t>
            </w:r>
          </w:p>
          <w:p w14:paraId="62528F7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考核违约金按照以下方式执行：</w:t>
            </w:r>
          </w:p>
          <w:p w14:paraId="7D799BA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17.4.5.1安全考核违约金按照以下方式执行：</w:t>
            </w:r>
          </w:p>
          <w:p w14:paraId="54C00EE4">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（1）发生重大安全事故（二级及以上人身、电网、设备安全事件）或人身死亡事故（四级及以上人身安全事件），违约金为签约合同价的2%。</w:t>
            </w:r>
          </w:p>
          <w:p w14:paraId="0E5FD0AC">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（2）发生人身重伤事故（四级及以上人身安全事件），1人•次违约金为签约合同价的6‰、2人•次违约金为签约合同价的1.2%、3人•次及以上违约金为签约合同价的2%。</w:t>
            </w:r>
          </w:p>
          <w:p w14:paraId="1D917858">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（3）发生设备事故或火灾事故或负主要责任的交通事故，视事故的性质和严重程度，违约金为签约合同价的4‰～2%。</w:t>
            </w:r>
          </w:p>
          <w:p w14:paraId="220D91B8">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（4）发生因工程建设而造成的电网停电事故，视事故影响的大小和严重程度，违约金为签约合同价的4‰～2%。</w:t>
            </w:r>
          </w:p>
          <w:p w14:paraId="53344664">
            <w:pPr>
              <w:pStyle w:val="2"/>
              <w:rPr>
                <w:rFonts w:ascii="方正仿宋_GBK" w:hAnsi="方正仿宋_GBK" w:eastAsia="方正仿宋_GBK" w:cs="方正仿宋_GBK"/>
              </w:rPr>
            </w:pPr>
            <w:r>
              <w:rPr>
                <w:rFonts w:hint="eastAsia" w:ascii="方正仿宋_GBK" w:hAnsi="方正仿宋_GBK" w:eastAsia="方正仿宋_GBK" w:cs="方正仿宋_GBK"/>
                <w:kern w:val="2"/>
              </w:rPr>
              <w:t>（5）发包人组织安全监督检查时，未能达到标准要求的，每次支付签约合同价2‰的安全违约金。</w:t>
            </w:r>
          </w:p>
          <w:p w14:paraId="4DABA459">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6）发生因工程建设引起的六级及以上电网及设备安全事件，每次违约金为签约合同价的0.75%；发生六级以上、四级以下人身事件，每次违约金为签约合同价的0.75%；发生六级以上及以上施工机械设备事件，每次违约金为签约合同价的0.75%。</w:t>
            </w:r>
          </w:p>
          <w:p w14:paraId="04FCEB9F">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（7）发生对公司造成影响的安全稳定事件，每次违约金为签约合同价的0.75%；发生环境污染事件的，每次违约金为签约合同价的0.75%；发生基建信息安全事件，每次违约金为签约合同价的0.75%。</w:t>
            </w:r>
          </w:p>
          <w:p w14:paraId="5E424DBD">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（8）发生被地方政府查处的重大安全隐患，每次违约金为签约合同价的0.75%。</w:t>
            </w:r>
          </w:p>
          <w:p w14:paraId="18E25938">
            <w:pPr>
              <w:adjustRightInd w:val="0"/>
              <w:snapToGrid w:val="0"/>
              <w:rPr>
                <w:rFonts w:hint="eastAsia" w:ascii="方正仿宋_GBK" w:hAnsi="方正仿宋_GBK" w:eastAsia="方正仿宋_GBK" w:cs="方正仿宋_GBK"/>
                <w:sz w:val="18"/>
                <w:szCs w:val="18"/>
              </w:rPr>
            </w:pPr>
            <w:r>
              <w:rPr>
                <w:rStyle w:val="53"/>
                <w:rFonts w:hint="eastAsia" w:ascii="方正仿宋_GBK" w:hAnsi="方正仿宋_GBK" w:eastAsia="方正仿宋_GBK" w:cs="方正仿宋_GBK"/>
                <w:bCs/>
                <w:kern w:val="0"/>
                <w:sz w:val="18"/>
                <w:szCs w:val="18"/>
              </w:rPr>
              <w:t>（</w:t>
            </w:r>
            <w:r>
              <w:rPr>
                <w:rStyle w:val="53"/>
                <w:rFonts w:hint="eastAsia" w:ascii="方正仿宋_GBK" w:hAnsi="方正仿宋_GBK" w:eastAsia="方正仿宋_GBK" w:cs="方正仿宋_GBK"/>
                <w:bCs/>
                <w:kern w:val="0"/>
                <w:sz w:val="18"/>
                <w:szCs w:val="18"/>
                <w:lang w:val="en-US" w:eastAsia="zh-CN"/>
              </w:rPr>
              <w:t>9</w:t>
            </w:r>
            <w:r>
              <w:rPr>
                <w:rStyle w:val="53"/>
                <w:rFonts w:hint="eastAsia" w:ascii="方正仿宋_GBK" w:hAnsi="方正仿宋_GBK" w:eastAsia="方正仿宋_GBK" w:cs="方正仿宋_GBK"/>
                <w:bCs/>
                <w:kern w:val="0"/>
                <w:sz w:val="18"/>
                <w:szCs w:val="18"/>
              </w:rPr>
              <w:t>）发生国家电网公司查出的严重违章或重大安全隐患，每次违约金为签约合同价的0.2%，并在年度及季度资信评价中按五级安全事件扣除分数。</w:t>
            </w:r>
            <w:r>
              <w:rPr>
                <w:rStyle w:val="53"/>
                <w:rFonts w:hint="eastAsia" w:ascii="方正仿宋_GBK" w:hAnsi="方正仿宋_GBK" w:eastAsia="方正仿宋_GBK" w:cs="方正仿宋_GBK"/>
                <w:bCs/>
                <w:kern w:val="0"/>
                <w:sz w:val="18"/>
                <w:szCs w:val="18"/>
              </w:rPr>
              <w:br w:type="textWrapping"/>
            </w:r>
            <w:r>
              <w:rPr>
                <w:rStyle w:val="53"/>
                <w:rFonts w:hint="eastAsia" w:ascii="方正仿宋_GBK" w:hAnsi="方正仿宋_GBK" w:eastAsia="方正仿宋_GBK" w:cs="方正仿宋_GBK"/>
                <w:bCs/>
                <w:kern w:val="0"/>
                <w:sz w:val="18"/>
                <w:szCs w:val="18"/>
              </w:rPr>
              <w:t>（</w:t>
            </w:r>
            <w:r>
              <w:rPr>
                <w:rStyle w:val="53"/>
                <w:rFonts w:hint="eastAsia" w:ascii="方正仿宋_GBK" w:hAnsi="方正仿宋_GBK" w:eastAsia="方正仿宋_GBK" w:cs="方正仿宋_GBK"/>
                <w:bCs/>
                <w:kern w:val="0"/>
                <w:sz w:val="18"/>
                <w:szCs w:val="18"/>
                <w:lang w:val="en-US" w:eastAsia="zh-CN"/>
              </w:rPr>
              <w:t>10</w:t>
            </w:r>
            <w:r>
              <w:rPr>
                <w:rStyle w:val="53"/>
                <w:rFonts w:hint="eastAsia" w:ascii="方正仿宋_GBK" w:hAnsi="方正仿宋_GBK" w:eastAsia="方正仿宋_GBK" w:cs="方正仿宋_GBK"/>
                <w:bCs/>
                <w:kern w:val="0"/>
                <w:sz w:val="18"/>
                <w:szCs w:val="18"/>
              </w:rPr>
              <w:t>）发生国家电网公司查出的一般违章累计达到3次或3项，违约金为签约合同价的0.1%。</w:t>
            </w:r>
            <w:r>
              <w:rPr>
                <w:rStyle w:val="53"/>
                <w:rFonts w:hint="eastAsia" w:ascii="方正仿宋_GBK" w:hAnsi="方正仿宋_GBK" w:eastAsia="方正仿宋_GBK" w:cs="方正仿宋_GBK"/>
                <w:bCs/>
                <w:kern w:val="0"/>
                <w:sz w:val="18"/>
                <w:szCs w:val="18"/>
              </w:rPr>
              <w:br w:type="textWrapping"/>
            </w:r>
            <w:r>
              <w:rPr>
                <w:rStyle w:val="53"/>
                <w:rFonts w:hint="eastAsia" w:ascii="方正仿宋_GBK" w:hAnsi="方正仿宋_GBK" w:eastAsia="方正仿宋_GBK" w:cs="方正仿宋_GBK"/>
                <w:bCs/>
                <w:kern w:val="0"/>
                <w:sz w:val="18"/>
                <w:szCs w:val="18"/>
              </w:rPr>
              <w:t>（</w:t>
            </w:r>
            <w:r>
              <w:rPr>
                <w:rStyle w:val="53"/>
                <w:rFonts w:hint="eastAsia" w:ascii="方正仿宋_GBK" w:hAnsi="方正仿宋_GBK" w:eastAsia="方正仿宋_GBK" w:cs="方正仿宋_GBK"/>
                <w:bCs/>
                <w:kern w:val="0"/>
                <w:sz w:val="18"/>
                <w:szCs w:val="18"/>
                <w:lang w:val="en-US" w:eastAsia="zh-CN"/>
              </w:rPr>
              <w:t>11</w:t>
            </w:r>
            <w:r>
              <w:rPr>
                <w:rStyle w:val="53"/>
                <w:rFonts w:hint="eastAsia" w:ascii="方正仿宋_GBK" w:hAnsi="方正仿宋_GBK" w:eastAsia="方正仿宋_GBK" w:cs="方正仿宋_GBK"/>
                <w:bCs/>
                <w:kern w:val="0"/>
                <w:sz w:val="18"/>
                <w:szCs w:val="18"/>
              </w:rPr>
              <w:t>）发生公司查出的严重违章，包括现场安全督查和远程视频督查，每项违约金为签订合同价的0.5‰；发生公司查出的一般违章，包括现场安全督查和远程视频督查，累计每5项违约金为签订合同价的0.1‰。</w:t>
            </w:r>
          </w:p>
          <w:p w14:paraId="4C789AB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17.4.5.2质量违约金按照以下约定执行：</w:t>
            </w:r>
          </w:p>
          <w:p w14:paraId="229131EB">
            <w:pPr>
              <w:adjustRightInd w:val="0"/>
              <w:snapToGrid w:val="0"/>
              <w:rPr>
                <w:rFonts w:hint="eastAsia"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（1）对发生重大工程质量事故（二级及以上质量事件）的承包人，扣除签约合同价的1.5%。</w:t>
            </w:r>
          </w:p>
          <w:p w14:paraId="1C4E8009">
            <w:pPr>
              <w:adjustRightInd w:val="0"/>
              <w:snapToGrid w:val="0"/>
              <w:rPr>
                <w:rFonts w:hint="eastAsia"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（2）对发生较大质量事故（三级质量事件）的承包人，每次扣签约合同价的7.5‰。</w:t>
            </w:r>
          </w:p>
          <w:p w14:paraId="5BC01842">
            <w:pPr>
              <w:adjustRightInd w:val="0"/>
              <w:snapToGrid w:val="0"/>
              <w:rPr>
                <w:rFonts w:hint="eastAsia"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（3）对发生一般质量事故（四级质量事件）的承包人，每次扣签约合同价的3‰。</w:t>
            </w:r>
          </w:p>
          <w:p w14:paraId="0D1EA5FF">
            <w:pPr>
              <w:adjustRightInd w:val="0"/>
              <w:snapToGrid w:val="0"/>
              <w:rPr>
                <w:rFonts w:hint="eastAsia"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（4）发包人组织质量检查时，对未能达到标准要求且未在规定期限完成整改消缺的承包人，每次扣签约合同价的1.5‰。</w:t>
            </w:r>
          </w:p>
          <w:p w14:paraId="7795E292">
            <w:pPr>
              <w:adjustRightInd w:val="0"/>
              <w:snapToGrid w:val="0"/>
              <w:rPr>
                <w:rFonts w:hint="eastAsia"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（5）对造成五级质量事件负主要责任的承包人，扣签约合同价的1‰；</w:t>
            </w:r>
          </w:p>
          <w:p w14:paraId="58AF59F0">
            <w:pPr>
              <w:adjustRightInd w:val="0"/>
              <w:snapToGrid w:val="0"/>
              <w:rPr>
                <w:rFonts w:hint="eastAsia"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（6）对造成六级质量事件负主要责任的承包人，扣签约合同价的0.5‰；</w:t>
            </w:r>
          </w:p>
          <w:p w14:paraId="0905F331">
            <w:pPr>
              <w:adjustRightInd w:val="0"/>
              <w:snapToGrid w:val="0"/>
              <w:rPr>
                <w:rFonts w:hint="eastAsia"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（7）对造成七级及以下质量事件负主要责任的承包人，扣签约合同价的0.2‰。</w:t>
            </w:r>
          </w:p>
          <w:p w14:paraId="2C1863B2">
            <w:pPr>
              <w:adjustRightInd w:val="0"/>
              <w:snapToGrid w:val="0"/>
              <w:rPr>
                <w:rFonts w:hint="eastAsia"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（8）对工程梳理的标准工艺清单未应用100%的承包人，扣签约合同价的0.2‰。</w:t>
            </w:r>
          </w:p>
          <w:p w14:paraId="2EE48963">
            <w:pPr>
              <w:adjustRightInd w:val="0"/>
              <w:snapToGrid w:val="0"/>
              <w:rPr>
                <w:rFonts w:hint="eastAsia"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（9）对投运时出现严重缺陷的承包人，扣签约合同价的0.2‰。</w:t>
            </w:r>
          </w:p>
          <w:p w14:paraId="724A2157">
            <w:pPr>
              <w:adjustRightInd w:val="0"/>
              <w:snapToGrid w:val="0"/>
              <w:rPr>
                <w:rFonts w:hint="eastAsia"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（10）工程达标投产复检时，检查表中承包人负主要责任的“基本符合”项达到5项，扣签约合同价的0.1‰；检查表中存在承包人负主要责任的“不符合”项，扣签约合同价的0.5‰。</w:t>
            </w:r>
          </w:p>
          <w:p w14:paraId="33F03D25">
            <w:pPr>
              <w:adjustRightInd w:val="0"/>
              <w:snapToGrid w:val="0"/>
              <w:rPr>
                <w:rFonts w:hint="eastAsia"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11）工程标杆工地、标杆工程、国网优质工程检查时，检查评分表中承包人负主要责任的“不足”项和扣分项累计达到10项，扣签约合同价的0.1‰；评分表中存在承包人负主要责任的否决项影响工程创优的，扣签约合同价的0.5‰。</w:t>
            </w:r>
          </w:p>
          <w:p w14:paraId="26F1231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lang w:eastAsia="zh-CN"/>
              </w:rPr>
              <w:t>（</w:t>
            </w:r>
            <w:r>
              <w:rPr>
                <w:rFonts w:hint="eastAsia" w:ascii="方正仿宋_GBK" w:hAnsi="方正仿宋_GBK" w:eastAsia="方正仿宋_GBK" w:cs="方正仿宋_GBK"/>
                <w:sz w:val="18"/>
                <w:szCs w:val="18"/>
                <w:lang w:val="en-US" w:eastAsia="zh-CN"/>
              </w:rPr>
              <w:t>12</w:t>
            </w:r>
            <w:r>
              <w:rPr>
                <w:rFonts w:hint="eastAsia" w:ascii="方正仿宋_GBK" w:hAnsi="方正仿宋_GBK" w:eastAsia="方正仿宋_GBK" w:cs="方正仿宋_GBK"/>
                <w:sz w:val="18"/>
                <w:szCs w:val="18"/>
                <w:lang w:eastAsia="zh-CN"/>
              </w:rPr>
              <w:t>）</w:t>
            </w:r>
            <w:r>
              <w:rPr>
                <w:rFonts w:hint="eastAsia" w:ascii="方正仿宋_GBK" w:hAnsi="方正仿宋_GBK" w:eastAsia="方正仿宋_GBK" w:cs="方正仿宋_GBK"/>
                <w:sz w:val="18"/>
                <w:szCs w:val="18"/>
              </w:rPr>
              <w:t>工程建设过程中，工程参加国网公司专项检查、质量监督检查或建设管理单位专项检查，检查组查出因承包人原因产生的质量方面问题和缺陷（包括现场和资料），每1项承包人每次支付签约合同价的0.003%。</w:t>
            </w:r>
          </w:p>
          <w:p w14:paraId="3053B394">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lang w:eastAsia="zh-CN"/>
              </w:rPr>
              <w:t>（</w:t>
            </w:r>
            <w:r>
              <w:rPr>
                <w:rFonts w:hint="eastAsia" w:ascii="方正仿宋_GBK" w:hAnsi="方正仿宋_GBK" w:eastAsia="方正仿宋_GBK" w:cs="方正仿宋_GBK"/>
                <w:sz w:val="18"/>
                <w:szCs w:val="18"/>
                <w:lang w:val="en-US" w:eastAsia="zh-CN"/>
              </w:rPr>
              <w:t>13</w:t>
            </w:r>
            <w:r>
              <w:rPr>
                <w:rFonts w:hint="eastAsia" w:ascii="方正仿宋_GBK" w:hAnsi="方正仿宋_GBK" w:eastAsia="方正仿宋_GBK" w:cs="方正仿宋_GBK"/>
                <w:sz w:val="18"/>
                <w:szCs w:val="18"/>
                <w:lang w:eastAsia="zh-CN"/>
              </w:rPr>
              <w:t>）</w:t>
            </w:r>
            <w:r>
              <w:rPr>
                <w:rFonts w:hint="eastAsia" w:ascii="方正仿宋_GBK" w:hAnsi="方正仿宋_GBK" w:eastAsia="方正仿宋_GBK" w:cs="方正仿宋_GBK"/>
                <w:sz w:val="18"/>
                <w:szCs w:val="18"/>
              </w:rPr>
              <w:t>工程试运行结束后，仍存在未消除的质量缺陷（含运行单位提出在缺陷单上的、质量监督检查中提出、建设管理单位各项检查时提出），每条承包人支付签约合同价的0.01%；工程试运行后出现运行单位提出通报的质量问题，每次承包人支付签约合同价的0.1%；出现国网总部部门通报的质量问题，每次承包人支付签约合同价的0.3%</w:t>
            </w:r>
          </w:p>
          <w:p w14:paraId="3D2C827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lang w:eastAsia="zh-CN"/>
              </w:rPr>
              <w:t>（</w:t>
            </w:r>
            <w:r>
              <w:rPr>
                <w:rFonts w:hint="eastAsia" w:ascii="方正仿宋_GBK" w:hAnsi="方正仿宋_GBK" w:eastAsia="方正仿宋_GBK" w:cs="方正仿宋_GBK"/>
                <w:sz w:val="18"/>
                <w:szCs w:val="18"/>
                <w:lang w:val="en-US" w:eastAsia="zh-CN"/>
              </w:rPr>
              <w:t>14</w:t>
            </w:r>
            <w:r>
              <w:rPr>
                <w:rFonts w:hint="eastAsia" w:ascii="方正仿宋_GBK" w:hAnsi="方正仿宋_GBK" w:eastAsia="方正仿宋_GBK" w:cs="方正仿宋_GBK"/>
                <w:sz w:val="18"/>
                <w:szCs w:val="18"/>
                <w:lang w:eastAsia="zh-CN"/>
              </w:rPr>
              <w:t>）</w:t>
            </w:r>
            <w:r>
              <w:rPr>
                <w:rFonts w:hint="eastAsia" w:ascii="方正仿宋_GBK" w:hAnsi="方正仿宋_GBK" w:eastAsia="方正仿宋_GBK" w:cs="方正仿宋_GBK"/>
                <w:sz w:val="18"/>
                <w:szCs w:val="18"/>
              </w:rPr>
              <w:t>工程竣工预验收时，建设管理单位组织标准工艺应用评价，标准工艺应用率未达到100%，承包人支付签约合同价的0.</w:t>
            </w:r>
            <w:r>
              <w:rPr>
                <w:rFonts w:hint="default" w:ascii="方正仿宋_GBK" w:hAnsi="方正仿宋_GBK" w:eastAsia="方正仿宋_GBK" w:cs="方正仿宋_GBK"/>
                <w:sz w:val="18"/>
                <w:szCs w:val="18"/>
                <w:lang w:val="en-US"/>
              </w:rPr>
              <w:t>15</w:t>
            </w:r>
            <w:r>
              <w:rPr>
                <w:rFonts w:hint="eastAsia" w:ascii="方正仿宋_GBK" w:hAnsi="方正仿宋_GBK" w:eastAsia="方正仿宋_GBK" w:cs="方正仿宋_GBK"/>
                <w:sz w:val="18"/>
                <w:szCs w:val="18"/>
              </w:rPr>
              <w:t>%；管理工作评价得分率低于95%，承包人每次支付签约合同价的0.15%。对于业主项目部安排的标准工艺研究项目，未按时上报研究成果或未通过国网公司评审，承包人每次支付签约合同价的0.02%。</w:t>
            </w:r>
          </w:p>
          <w:p w14:paraId="473BCC0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17.4.5.3现场</w:t>
            </w:r>
            <w:r>
              <w:rPr>
                <w:rFonts w:hint="eastAsia" w:ascii="方正仿宋_GBK" w:hAnsi="方正仿宋_GBK" w:eastAsia="方正仿宋_GBK" w:cs="方正仿宋_GBK"/>
                <w:sz w:val="18"/>
                <w:szCs w:val="18"/>
                <w:lang w:val="en-US" w:eastAsia="zh-CN"/>
              </w:rPr>
              <w:t>考核</w:t>
            </w:r>
            <w:r>
              <w:rPr>
                <w:rFonts w:hint="eastAsia" w:ascii="方正仿宋_GBK" w:hAnsi="方正仿宋_GBK" w:eastAsia="方正仿宋_GBK" w:cs="方正仿宋_GBK"/>
                <w:sz w:val="18"/>
                <w:szCs w:val="18"/>
              </w:rPr>
              <w:t>金按照以下约定执行：</w:t>
            </w:r>
          </w:p>
          <w:p w14:paraId="37DD2D7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现场</w:t>
            </w:r>
            <w:r>
              <w:rPr>
                <w:rFonts w:hint="eastAsia" w:ascii="方正仿宋_GBK" w:hAnsi="方正仿宋_GBK" w:eastAsia="方正仿宋_GBK" w:cs="方正仿宋_GBK"/>
                <w:sz w:val="18"/>
                <w:szCs w:val="18"/>
                <w:lang w:eastAsia="zh-CN"/>
              </w:rPr>
              <w:t>考核</w:t>
            </w:r>
            <w:r>
              <w:rPr>
                <w:rFonts w:hint="eastAsia" w:ascii="方正仿宋_GBK" w:hAnsi="方正仿宋_GBK" w:eastAsia="方正仿宋_GBK" w:cs="方正仿宋_GBK"/>
                <w:sz w:val="18"/>
                <w:szCs w:val="18"/>
              </w:rPr>
              <w:t>金与过程评价成绩对应关系见下表。过程评价成绩执行合同附件：《施工承包商现场过程评价细则》。</w:t>
            </w:r>
          </w:p>
          <w:tbl>
            <w:tblPr>
              <w:tblStyle w:val="16"/>
              <w:tblW w:w="38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3"/>
              <w:gridCol w:w="2154"/>
            </w:tblGrid>
            <w:tr w14:paraId="507D3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3" w:type="dxa"/>
                </w:tcPr>
                <w:p w14:paraId="467F2E74">
                  <w:pPr>
                    <w:adjustRightInd w:val="0"/>
                    <w:snapToGrid w:val="0"/>
                    <w:jc w:val="center"/>
                    <w:rPr>
                      <w:rFonts w:ascii="方正仿宋_GBK" w:hAnsi="方正仿宋_GBK" w:eastAsia="方正仿宋_GBK" w:cs="方正仿宋_GBK"/>
                      <w:b/>
                      <w:sz w:val="18"/>
                      <w:szCs w:val="18"/>
                    </w:rPr>
                  </w:pPr>
                  <w:r>
                    <w:rPr>
                      <w:rFonts w:hint="eastAsia" w:ascii="方正仿宋_GBK" w:hAnsi="方正仿宋_GBK" w:eastAsia="方正仿宋_GBK" w:cs="方正仿宋_GBK"/>
                      <w:b/>
                      <w:sz w:val="18"/>
                      <w:szCs w:val="18"/>
                    </w:rPr>
                    <w:t>过程评价成绩(分)</w:t>
                  </w:r>
                </w:p>
              </w:tc>
              <w:tc>
                <w:tcPr>
                  <w:tcW w:w="2154" w:type="dxa"/>
                </w:tcPr>
                <w:p w14:paraId="2173BFEF">
                  <w:pPr>
                    <w:adjustRightInd w:val="0"/>
                    <w:snapToGrid w:val="0"/>
                    <w:jc w:val="center"/>
                    <w:rPr>
                      <w:rFonts w:ascii="方正仿宋_GBK" w:hAnsi="方正仿宋_GBK" w:eastAsia="方正仿宋_GBK" w:cs="方正仿宋_GBK"/>
                      <w:b/>
                      <w:sz w:val="18"/>
                      <w:szCs w:val="18"/>
                    </w:rPr>
                  </w:pPr>
                  <w:r>
                    <w:rPr>
                      <w:rFonts w:hint="eastAsia" w:ascii="方正仿宋_GBK" w:hAnsi="方正仿宋_GBK" w:eastAsia="方正仿宋_GBK" w:cs="方正仿宋_GBK"/>
                      <w:b/>
                      <w:sz w:val="18"/>
                      <w:szCs w:val="18"/>
                    </w:rPr>
                    <w:t>现场</w:t>
                  </w:r>
                  <w:r>
                    <w:rPr>
                      <w:rFonts w:hint="eastAsia" w:ascii="方正仿宋_GBK" w:hAnsi="方正仿宋_GBK" w:eastAsia="方正仿宋_GBK" w:cs="方正仿宋_GBK"/>
                      <w:b/>
                      <w:sz w:val="18"/>
                      <w:szCs w:val="18"/>
                      <w:lang w:eastAsia="zh-CN"/>
                    </w:rPr>
                    <w:t>考核</w:t>
                  </w:r>
                  <w:r>
                    <w:rPr>
                      <w:rFonts w:hint="eastAsia" w:ascii="方正仿宋_GBK" w:hAnsi="方正仿宋_GBK" w:eastAsia="方正仿宋_GBK" w:cs="方正仿宋_GBK"/>
                      <w:b/>
                      <w:sz w:val="18"/>
                      <w:szCs w:val="18"/>
                    </w:rPr>
                    <w:t>金</w:t>
                  </w:r>
                </w:p>
              </w:tc>
            </w:tr>
            <w:tr w14:paraId="446B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39B2E22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f&lt;80</w:t>
                  </w:r>
                </w:p>
              </w:tc>
              <w:tc>
                <w:tcPr>
                  <w:tcW w:w="2154" w:type="dxa"/>
                </w:tcPr>
                <w:p w14:paraId="6D377CF3">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合同结算总额*（-2%）</w:t>
                  </w:r>
                </w:p>
              </w:tc>
            </w:tr>
            <w:tr w14:paraId="44CAD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720F8E1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80≤f＜85</w:t>
                  </w:r>
                </w:p>
              </w:tc>
              <w:tc>
                <w:tcPr>
                  <w:tcW w:w="2154" w:type="dxa"/>
                </w:tcPr>
                <w:p w14:paraId="45239923">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合同结算总额*（-1.6%）</w:t>
                  </w:r>
                </w:p>
              </w:tc>
            </w:tr>
            <w:tr w14:paraId="65694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008545D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85≤f＜90</w:t>
                  </w:r>
                </w:p>
              </w:tc>
              <w:tc>
                <w:tcPr>
                  <w:tcW w:w="2154" w:type="dxa"/>
                </w:tcPr>
                <w:p w14:paraId="20248C4A">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合同结算总额*（-1.2%）</w:t>
                  </w:r>
                </w:p>
              </w:tc>
            </w:tr>
            <w:tr w14:paraId="591A3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24019D1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90≤f＜95</w:t>
                  </w:r>
                </w:p>
              </w:tc>
              <w:tc>
                <w:tcPr>
                  <w:tcW w:w="2154" w:type="dxa"/>
                </w:tcPr>
                <w:p w14:paraId="0B28878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合同结算总额*（-0.8%）</w:t>
                  </w:r>
                </w:p>
              </w:tc>
            </w:tr>
            <w:tr w14:paraId="30923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05894A2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95≤f＜99</w:t>
                  </w:r>
                </w:p>
              </w:tc>
              <w:tc>
                <w:tcPr>
                  <w:tcW w:w="2154" w:type="dxa"/>
                </w:tcPr>
                <w:p w14:paraId="3D5108F2">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合同结算总额*（-0.4%）</w:t>
                  </w:r>
                </w:p>
              </w:tc>
            </w:tr>
            <w:tr w14:paraId="598F8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68FA5CC4">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99≤f≤100</w:t>
                  </w:r>
                </w:p>
              </w:tc>
              <w:tc>
                <w:tcPr>
                  <w:tcW w:w="2154" w:type="dxa"/>
                </w:tcPr>
                <w:p w14:paraId="0EAEB92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合同结算总额*0</w:t>
                  </w:r>
                </w:p>
              </w:tc>
            </w:tr>
            <w:tr w14:paraId="1C06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43CB29B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100＜f≤102</w:t>
                  </w:r>
                </w:p>
              </w:tc>
              <w:tc>
                <w:tcPr>
                  <w:tcW w:w="2154" w:type="dxa"/>
                </w:tcPr>
                <w:p w14:paraId="75F715C4">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合同结算总额*0.5%</w:t>
                  </w:r>
                </w:p>
              </w:tc>
            </w:tr>
            <w:tr w14:paraId="62FF1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5C2F404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102＜f≤106</w:t>
                  </w:r>
                </w:p>
              </w:tc>
              <w:tc>
                <w:tcPr>
                  <w:tcW w:w="2154" w:type="dxa"/>
                </w:tcPr>
                <w:p w14:paraId="321DB61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合同结算总额*1%</w:t>
                  </w:r>
                </w:p>
              </w:tc>
            </w:tr>
            <w:tr w14:paraId="2D005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33C260F7">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106＜f≤110</w:t>
                  </w:r>
                </w:p>
              </w:tc>
              <w:tc>
                <w:tcPr>
                  <w:tcW w:w="2154" w:type="dxa"/>
                </w:tcPr>
                <w:p w14:paraId="23F9582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合同结算总额*1.5%</w:t>
                  </w:r>
                </w:p>
              </w:tc>
            </w:tr>
          </w:tbl>
          <w:p w14:paraId="086E11DC">
            <w:pPr>
              <w:adjustRightInd w:val="0"/>
              <w:snapToGrid w:val="0"/>
              <w:rPr>
                <w:rFonts w:ascii="方正仿宋_GBK" w:hAnsi="方正仿宋_GBK" w:eastAsia="方正仿宋_GBK" w:cs="方正仿宋_GBK"/>
                <w:snapToGrid w:val="0"/>
                <w:color w:val="000000" w:themeColor="text1"/>
                <w:kern w:val="0"/>
                <w:sz w:val="18"/>
                <w:szCs w:val="18"/>
              </w:rPr>
            </w:pPr>
          </w:p>
        </w:tc>
      </w:tr>
      <w:tr w14:paraId="584EB72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9314A8A">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056176E6">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w:t>
            </w:r>
            <w:r>
              <w:rPr>
                <w:rFonts w:hint="eastAsia" w:ascii="方正仿宋_GBK" w:hAnsi="方正仿宋_GBK" w:eastAsia="方正仿宋_GBK" w:cs="方正仿宋_GBK"/>
                <w:snapToGrid w:val="0"/>
                <w:kern w:val="0"/>
                <w:sz w:val="18"/>
                <w:szCs w:val="18"/>
              </w:rPr>
              <w:t>17.5.1（1）</w:t>
            </w:r>
          </w:p>
        </w:tc>
        <w:tc>
          <w:tcPr>
            <w:tcW w:w="3582" w:type="dxa"/>
            <w:vAlign w:val="center"/>
          </w:tcPr>
          <w:p w14:paraId="1B043404">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17.5.1（1）修改为：</w:t>
            </w:r>
          </w:p>
          <w:p w14:paraId="6F060F66">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①承包人应按照下列期限内向监理人提交8份竣工付款申请单及相关竣工结算资料：</w:t>
            </w:r>
          </w:p>
          <w:p w14:paraId="1D7BA52C">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220千伏及以上输变电工程，应于输变电工程竣工验收后15日内编制完成并提交；110千伏及以下输变电工程，应于输变电工程竣工验收后10日内编制完成并提交。</w:t>
            </w:r>
          </w:p>
          <w:p w14:paraId="4BFC3910">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如承包人未在本合同约定的时间内提供完整的工程竣工结算资料，经发包人催促后14天内仍未提供或没有明确答复，发包人有权根据已有资料进行审查，责任由承包人自负。除合同另有约定外，竣工付款申请单应包括下列内容：竣工结算合同价格、发包人已支付承包人的工程价款、应扣留的违约金、应支付的竣工付款金额、索赔清单及其索赔费用、由发包人提供的材料/设备等剩余实物清单等。</w:t>
            </w:r>
          </w:p>
          <w:p w14:paraId="33A82822">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承包人未按合同约定的期限及时报送工程结算文件的，每延期一天，应向发包人支付签约合同价%的违约金。</w:t>
            </w:r>
          </w:p>
          <w:p w14:paraId="5BA7271B">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 xml:space="preserve">除合同已有约定外，竣工付款申请单还需包含的其他内容如下： </w:t>
            </w:r>
          </w:p>
          <w:p w14:paraId="19C9CA54">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a.竣工结算由承包人编制，发包人核对。实行总承包的工程，由总承包人对竣工结算的编制负总责。</w:t>
            </w:r>
          </w:p>
          <w:p w14:paraId="6A504844">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b.办理工程竣工结算价款的依据：</w:t>
            </w:r>
          </w:p>
          <w:p w14:paraId="142AAB15">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施工合同；</w:t>
            </w:r>
          </w:p>
          <w:p w14:paraId="0635A2BA">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国家相关标准和国家电网有限公司相关管理规定；</w:t>
            </w:r>
          </w:p>
          <w:p w14:paraId="69D8A83C">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工程竣工图纸（施工图纸、变更）及其他资料；</w:t>
            </w:r>
          </w:p>
          <w:p w14:paraId="1DA79ED8">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双方确认的工程量；</w:t>
            </w:r>
          </w:p>
          <w:p w14:paraId="423CF849">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双方确认追加（减）的工程价款；</w:t>
            </w:r>
          </w:p>
          <w:p w14:paraId="67FA68D6">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双方确认的索赔、现场签证事项及价款；</w:t>
            </w:r>
          </w:p>
          <w:p w14:paraId="42C4838B">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投标文件；</w:t>
            </w:r>
          </w:p>
          <w:p w14:paraId="17C03D24">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招标文件；</w:t>
            </w:r>
          </w:p>
          <w:p w14:paraId="6F7FDCD2">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其他依据。</w:t>
            </w:r>
          </w:p>
          <w:p w14:paraId="3B858253">
            <w:pPr>
              <w:autoSpaceDE w:val="0"/>
              <w:autoSpaceDN w:val="0"/>
              <w:adjustRightInd w:val="0"/>
              <w:snapToGrid w:val="0"/>
              <w:ind w:firstLine="360" w:firstLineChars="200"/>
              <w:jc w:val="left"/>
              <w:rPr>
                <w:rFonts w:ascii="方正仿宋_GBK" w:hAnsi="方正仿宋_GBK" w:eastAsia="方正仿宋_GBK" w:cs="方正仿宋_GBK"/>
              </w:rPr>
            </w:pPr>
            <w:r>
              <w:rPr>
                <w:rFonts w:hint="eastAsia" w:ascii="方正仿宋_GBK" w:hAnsi="方正仿宋_GBK" w:eastAsia="方正仿宋_GBK" w:cs="方正仿宋_GBK"/>
                <w:snapToGrid w:val="0"/>
                <w:kern w:val="0"/>
                <w:sz w:val="18"/>
                <w:szCs w:val="18"/>
              </w:rPr>
              <w:t>c.竣工结算资料由承包人按照施工合同、各类补充合同或发包人书面委托、工程结算有效签证、阶段结算资料等进行汇总编制。施工结算文件中应包含承包人申请结算的全部费用及相关依据，未在规定时间内提交结算资料和结算资料不齐全的项目不计入工程结算。</w:t>
            </w:r>
          </w:p>
        </w:tc>
        <w:tc>
          <w:tcPr>
            <w:tcW w:w="4455" w:type="dxa"/>
            <w:vAlign w:val="center"/>
          </w:tcPr>
          <w:p w14:paraId="19458635">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修改为：</w:t>
            </w:r>
          </w:p>
          <w:p w14:paraId="4F9E947B">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17.5.1（1）</w:t>
            </w:r>
          </w:p>
          <w:p w14:paraId="7E964765">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①承包人应在工程竣工验收签证书颁发后10个工作日内向监理人提交8份竣工付款申请单及相关竣工结算资料。</w:t>
            </w:r>
          </w:p>
          <w:p w14:paraId="04F90F0B">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如承包人未在本合同约定的时间内提供完整的工程竣工结算资料，经发包人催促后14天内仍未提供或没有明确答复，发包人有权根据已有资料进行审查，责任由承包人自负。除合同另有约定外，竣工付款申请单应包括下列内容：竣工结算合同价格、发包人已支付承包人的工程价款、应扣留的违约金、应支付的竣工付款金额、索赔清单及其索赔费用、由发包人提供的材料/设备等剩余实物清单等。</w:t>
            </w:r>
          </w:p>
          <w:p w14:paraId="37B11511">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承包人未按合同约定的期限及时报送工程结算文件的，每延期一天，应向发包人支付签约合同价0.001%的违约金。</w:t>
            </w:r>
          </w:p>
          <w:p w14:paraId="6CC91F4D">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 xml:space="preserve">除合同已有约定外，竣工付款申请单还需包含的其他内容如下： </w:t>
            </w:r>
          </w:p>
          <w:p w14:paraId="2DFDD18B">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a.竣工结算由承包人编制，发包人核对。实行总承包的工程，由总承包人对竣工结算的编制负总责。</w:t>
            </w:r>
          </w:p>
          <w:p w14:paraId="74EAC6B7">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b.办理工程竣工结算价款的依据：</w:t>
            </w:r>
          </w:p>
          <w:p w14:paraId="6372082E">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施工合同；</w:t>
            </w:r>
          </w:p>
          <w:p w14:paraId="49683074">
            <w:pPr>
              <w:autoSpaceDE w:val="0"/>
              <w:autoSpaceDN w:val="0"/>
              <w:adjustRightInd w:val="0"/>
              <w:snapToGrid w:val="0"/>
              <w:ind w:firstLine="360" w:firstLineChars="200"/>
              <w:jc w:val="left"/>
              <w:rPr>
                <w:rFonts w:ascii="方正仿宋_GBK" w:hAnsi="方正仿宋_GBK" w:eastAsia="方正仿宋_GBK" w:cs="方正仿宋_GBK"/>
              </w:rPr>
            </w:pPr>
            <w:r>
              <w:rPr>
                <w:rFonts w:hint="eastAsia" w:ascii="方正仿宋_GBK" w:hAnsi="方正仿宋_GBK" w:eastAsia="方正仿宋_GBK" w:cs="方正仿宋_GBK"/>
                <w:snapToGrid w:val="0"/>
                <w:kern w:val="0"/>
                <w:sz w:val="18"/>
                <w:szCs w:val="18"/>
              </w:rPr>
              <w:t>各类补充合同或发包人书面委托；</w:t>
            </w:r>
          </w:p>
          <w:p w14:paraId="260F2BD6">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国家相关标准和国家电网有限公司相关管理规定；</w:t>
            </w:r>
          </w:p>
          <w:p w14:paraId="13FABA8E">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工程竣工图纸（施工图纸、变更）及其他资料；</w:t>
            </w:r>
          </w:p>
          <w:p w14:paraId="71BFBF7B">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双方确认的工程量；</w:t>
            </w:r>
          </w:p>
          <w:p w14:paraId="091FC025">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双方确认追加（减）的工程价款；</w:t>
            </w:r>
          </w:p>
          <w:p w14:paraId="002B889B">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双方确认的索赔、现场签证事项及价款；</w:t>
            </w:r>
          </w:p>
          <w:p w14:paraId="4122E568">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投标文件；</w:t>
            </w:r>
          </w:p>
          <w:p w14:paraId="7E80322B">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招标文件；</w:t>
            </w:r>
          </w:p>
          <w:p w14:paraId="56D99891">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其他依据。</w:t>
            </w:r>
          </w:p>
          <w:p w14:paraId="79553A42">
            <w:pPr>
              <w:pStyle w:val="9"/>
              <w:rPr>
                <w:rFonts w:ascii="方正仿宋_GBK" w:hAnsi="方正仿宋_GBK" w:eastAsia="方正仿宋_GBK" w:cs="方正仿宋_GBK"/>
              </w:rPr>
            </w:pPr>
            <w:r>
              <w:rPr>
                <w:rFonts w:hint="eastAsia" w:ascii="方正仿宋_GBK" w:hAnsi="方正仿宋_GBK" w:eastAsia="方正仿宋_GBK" w:cs="方正仿宋_GBK"/>
                <w:snapToGrid w:val="0"/>
                <w:kern w:val="0"/>
                <w:sz w:val="18"/>
                <w:szCs w:val="18"/>
              </w:rPr>
              <w:t>c.竣工结算资料由承包人按照施工合同、各类补充合同或发包人书面委托、工程结算有效签证、阶段结算资料等进行汇总编制。施工结算文件中应包含承包人申请结算的全部费用及相关依据，未在规定时间内提交结算资料和结算资料不齐全的项目不计入工程结算。</w:t>
            </w:r>
          </w:p>
        </w:tc>
      </w:tr>
      <w:tr w14:paraId="2BA7E48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A9ED836">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1F282862">
            <w:pPr>
              <w:widowControl/>
              <w:rPr>
                <w:rFonts w:hint="eastAsia" w:ascii="方正仿宋_GBK" w:hAnsi="方正仿宋_GBK" w:eastAsia="方正仿宋_GBK" w:cs="方正仿宋_GBK"/>
                <w:kern w:val="0"/>
                <w:sz w:val="18"/>
                <w:szCs w:val="18"/>
                <w:highlight w:val="none"/>
                <w:lang w:val="en-US" w:eastAsia="zh-CN" w:bidi="ar-SA"/>
              </w:rPr>
            </w:pPr>
            <w:r>
              <w:rPr>
                <w:rFonts w:hint="eastAsia" w:ascii="方正仿宋_GBK" w:hAnsi="方正仿宋_GBK" w:eastAsia="方正仿宋_GBK" w:cs="方正仿宋_GBK"/>
                <w:snapToGrid w:val="0"/>
                <w:kern w:val="0"/>
                <w:sz w:val="18"/>
                <w:szCs w:val="18"/>
                <w:highlight w:val="none"/>
              </w:rPr>
              <w:t>专用条款17.</w:t>
            </w:r>
            <w:r>
              <w:rPr>
                <w:rFonts w:hint="eastAsia" w:ascii="方正仿宋_GBK" w:hAnsi="方正仿宋_GBK" w:eastAsia="方正仿宋_GBK" w:cs="方正仿宋_GBK"/>
                <w:snapToGrid w:val="0"/>
                <w:kern w:val="0"/>
                <w:sz w:val="18"/>
                <w:szCs w:val="18"/>
                <w:highlight w:val="none"/>
                <w:lang w:val="en-US" w:eastAsia="zh-CN"/>
              </w:rPr>
              <w:t>5.2（2）</w:t>
            </w:r>
          </w:p>
        </w:tc>
        <w:tc>
          <w:tcPr>
            <w:tcW w:w="3582" w:type="dxa"/>
            <w:vAlign w:val="center"/>
          </w:tcPr>
          <w:p w14:paraId="22C0C7F7">
            <w:pPr>
              <w:autoSpaceDE w:val="0"/>
              <w:autoSpaceDN w:val="0"/>
              <w:adjustRightInd w:val="0"/>
              <w:snapToGrid w:val="0"/>
              <w:ind w:firstLine="360" w:firstLineChars="200"/>
              <w:jc w:val="left"/>
              <w:rPr>
                <w:rFonts w:hint="eastAsia" w:ascii="方正仿宋_GBK" w:hAnsi="方正仿宋_GBK" w:eastAsia="方正仿宋_GBK" w:cs="方正仿宋_GBK"/>
                <w:snapToGrid w:val="0"/>
                <w:kern w:val="0"/>
                <w:sz w:val="18"/>
                <w:szCs w:val="18"/>
                <w:highlight w:val="none"/>
                <w:lang w:val="en-US" w:eastAsia="zh-CN" w:bidi="ar-SA"/>
              </w:rPr>
            </w:pPr>
            <w:r>
              <w:rPr>
                <w:rFonts w:hint="eastAsia" w:ascii="方正仿宋_GBK" w:hAnsi="方正仿宋_GBK" w:eastAsia="方正仿宋_GBK" w:cs="方正仿宋_GBK"/>
                <w:snapToGrid w:val="0"/>
                <w:kern w:val="0"/>
                <w:sz w:val="18"/>
                <w:szCs w:val="18"/>
                <w:highlight w:val="none"/>
              </w:rPr>
              <w:t>发包人审核完毕后，承包人同意由发包人委托具有相应资质的中介机构就竣工结算进行审核或审计，且发包人和承包人同意以该审核或审计结论作为本合同工程竣工结算依据。但是，在法律、行政法规明确规定的前提下，若政府有关审计机关或财政等行政机关按照法律规定对项目进行审计或财政评审的，发包人和承包人同意以审计机关作出的审计报告、财政评审机构作出的评审结论据实调整工程价款。</w:t>
            </w:r>
          </w:p>
        </w:tc>
        <w:tc>
          <w:tcPr>
            <w:tcW w:w="4455" w:type="dxa"/>
            <w:vAlign w:val="center"/>
          </w:tcPr>
          <w:p w14:paraId="28E722DD">
            <w:pPr>
              <w:pStyle w:val="9"/>
              <w:rPr>
                <w:rFonts w:hint="eastAsia" w:ascii="方正仿宋_GBK" w:hAnsi="方正仿宋_GBK" w:eastAsia="方正仿宋_GBK" w:cs="方正仿宋_GBK"/>
                <w:snapToGrid w:val="0"/>
                <w:kern w:val="0"/>
                <w:sz w:val="18"/>
                <w:szCs w:val="18"/>
                <w:highlight w:val="none"/>
                <w:lang w:val="en-US" w:eastAsia="zh-CN" w:bidi="ar-SA"/>
              </w:rPr>
            </w:pPr>
            <w:r>
              <w:rPr>
                <w:rFonts w:hint="eastAsia" w:ascii="方正仿宋_GBK" w:hAnsi="方正仿宋_GBK" w:eastAsia="方正仿宋_GBK" w:cs="方正仿宋_GBK"/>
                <w:snapToGrid w:val="0"/>
                <w:kern w:val="0"/>
                <w:sz w:val="18"/>
                <w:szCs w:val="18"/>
                <w:highlight w:val="none"/>
              </w:rPr>
              <w:t>发包人审核完毕后，承包人同意由发包人委托具有相应资质的中介机构就竣工结算进行审核或审计，且发包人和承包人同意以该审核或审计结论作为本合同工程竣工结算依据。但是，在法律、行政法规明确规定的前提下，若政府有关审计机关或财政等行政机关按照法律规定对项目进行审计或财政评审的，发包人和承包人同意以审计机关作出的审计报告、财政评审机构作出的评审结论据实调整工程价款</w:t>
            </w:r>
            <w:r>
              <w:rPr>
                <w:rFonts w:hint="eastAsia" w:ascii="方正仿宋_GBK" w:hAnsi="方正仿宋_GBK" w:eastAsia="方正仿宋_GBK" w:cs="方正仿宋_GBK"/>
                <w:snapToGrid w:val="0"/>
                <w:kern w:val="0"/>
                <w:sz w:val="18"/>
                <w:szCs w:val="18"/>
                <w:highlight w:val="none"/>
                <w:lang w:eastAsia="zh-CN"/>
              </w:rPr>
              <w:t>（</w:t>
            </w:r>
            <w:r>
              <w:rPr>
                <w:rFonts w:hint="eastAsia" w:ascii="方正仿宋_GBK" w:hAnsi="方正仿宋_GBK" w:eastAsia="方正仿宋_GBK" w:cs="方正仿宋_GBK"/>
                <w:snapToGrid w:val="0"/>
                <w:kern w:val="0"/>
                <w:sz w:val="18"/>
                <w:szCs w:val="18"/>
                <w:highlight w:val="none"/>
                <w:lang w:val="en-US" w:eastAsia="zh-CN"/>
              </w:rPr>
              <w:t>承包人为中小企业的除外</w:t>
            </w:r>
            <w:r>
              <w:rPr>
                <w:rFonts w:hint="eastAsia" w:ascii="方正仿宋_GBK" w:hAnsi="方正仿宋_GBK" w:eastAsia="方正仿宋_GBK" w:cs="方正仿宋_GBK"/>
                <w:snapToGrid w:val="0"/>
                <w:kern w:val="0"/>
                <w:sz w:val="18"/>
                <w:szCs w:val="18"/>
                <w:highlight w:val="none"/>
                <w:lang w:eastAsia="zh-CN"/>
              </w:rPr>
              <w:t>）</w:t>
            </w:r>
            <w:r>
              <w:rPr>
                <w:rFonts w:hint="eastAsia" w:ascii="方正仿宋_GBK" w:hAnsi="方正仿宋_GBK" w:eastAsia="方正仿宋_GBK" w:cs="方正仿宋_GBK"/>
                <w:snapToGrid w:val="0"/>
                <w:kern w:val="0"/>
                <w:sz w:val="18"/>
                <w:szCs w:val="18"/>
                <w:highlight w:val="none"/>
              </w:rPr>
              <w:t>。</w:t>
            </w:r>
          </w:p>
        </w:tc>
      </w:tr>
      <w:tr w14:paraId="471BA4F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6279ACD">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695FE43F">
            <w:pPr>
              <w:widowControl/>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专用条款17.6</w:t>
            </w:r>
          </w:p>
        </w:tc>
        <w:tc>
          <w:tcPr>
            <w:tcW w:w="3582" w:type="dxa"/>
            <w:vAlign w:val="center"/>
          </w:tcPr>
          <w:p w14:paraId="7726D50D">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17.6.1 承包人应在缺陷责任期终止证书签发后14个工作日内向监理人提交份最终结清申请单，并提供相关证明材料。</w:t>
            </w:r>
          </w:p>
        </w:tc>
        <w:tc>
          <w:tcPr>
            <w:tcW w:w="4455" w:type="dxa"/>
            <w:vAlign w:val="center"/>
          </w:tcPr>
          <w:p w14:paraId="4F72FC42">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17.6 最终结清</w:t>
            </w:r>
          </w:p>
          <w:p w14:paraId="552BD391">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17.6.1 承包人应在缺陷责任期终止证书签发后14个工作日内向监理人提交</w:t>
            </w:r>
            <w:r>
              <w:rPr>
                <w:rFonts w:hint="eastAsia" w:ascii="方正仿宋_GBK" w:hAnsi="方正仿宋_GBK" w:eastAsia="方正仿宋_GBK" w:cs="方正仿宋_GBK"/>
                <w:snapToGrid w:val="0"/>
                <w:kern w:val="0"/>
                <w:sz w:val="18"/>
                <w:szCs w:val="18"/>
                <w:u w:val="single"/>
              </w:rPr>
              <w:t xml:space="preserve">  8   </w:t>
            </w:r>
            <w:r>
              <w:rPr>
                <w:rFonts w:hint="eastAsia" w:ascii="方正仿宋_GBK" w:hAnsi="方正仿宋_GBK" w:eastAsia="方正仿宋_GBK" w:cs="方正仿宋_GBK"/>
                <w:snapToGrid w:val="0"/>
                <w:kern w:val="0"/>
                <w:sz w:val="18"/>
                <w:szCs w:val="18"/>
              </w:rPr>
              <w:t>份最终结清申请单，并提供相关证明材料。</w:t>
            </w:r>
          </w:p>
        </w:tc>
      </w:tr>
      <w:tr w14:paraId="316B05A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530619E">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7E911BDB">
            <w:pPr>
              <w:widowControl/>
              <w:jc w:val="righ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kern w:val="0"/>
                <w:sz w:val="18"/>
                <w:szCs w:val="18"/>
              </w:rPr>
              <w:t>专用条款17.7</w:t>
            </w:r>
          </w:p>
        </w:tc>
        <w:tc>
          <w:tcPr>
            <w:tcW w:w="3582" w:type="dxa"/>
            <w:vAlign w:val="center"/>
          </w:tcPr>
          <w:p w14:paraId="3DB39C5D">
            <w:pPr>
              <w:widowControl/>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kern w:val="0"/>
                <w:sz w:val="18"/>
                <w:szCs w:val="18"/>
              </w:rPr>
              <w:t>　</w:t>
            </w:r>
            <w:r>
              <w:rPr>
                <w:rFonts w:hint="eastAsia" w:ascii="方正仿宋_GBK" w:hAnsi="方正仿宋_GBK" w:eastAsia="方正仿宋_GBK" w:cs="方正仿宋_GBK"/>
                <w:snapToGrid w:val="0"/>
                <w:kern w:val="0"/>
                <w:sz w:val="18"/>
                <w:szCs w:val="18"/>
              </w:rPr>
              <w:t>17.7 承包人应开具增值税专用发票。</w:t>
            </w:r>
          </w:p>
        </w:tc>
        <w:tc>
          <w:tcPr>
            <w:tcW w:w="4455" w:type="dxa"/>
            <w:vAlign w:val="center"/>
          </w:tcPr>
          <w:p w14:paraId="19326518">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17.7修改为：</w:t>
            </w:r>
          </w:p>
          <w:p w14:paraId="290F3366">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承包人应开具增值税专用发票。发票抬头均应为出资单位。即：</w:t>
            </w:r>
          </w:p>
          <w:p w14:paraId="49309A86">
            <w:pPr>
              <w:wordWrap/>
              <w:adjustRightInd w:val="0"/>
              <w:snapToGrid w:val="0"/>
              <w:spacing w:line="240" w:lineRule="auto"/>
              <w:ind w:firstLine="360" w:firstLineChars="200"/>
              <w:jc w:val="left"/>
              <w:rPr>
                <w:rFonts w:hint="eastAsia" w:ascii="方正仿宋_GBK" w:hAnsi="方正仿宋_GBK" w:eastAsia="方正仿宋_GBK" w:cs="方正仿宋_GBK"/>
                <w:sz w:val="18"/>
                <w:szCs w:val="18"/>
                <w:lang w:val="zh-CN"/>
              </w:rPr>
            </w:pPr>
            <w:r>
              <w:rPr>
                <w:rFonts w:hint="eastAsia" w:ascii="方正仿宋_GBK" w:hAnsi="方正仿宋_GBK" w:eastAsia="方正仿宋_GBK" w:cs="方正仿宋_GBK"/>
                <w:sz w:val="18"/>
                <w:szCs w:val="18"/>
                <w:lang w:val="en-US" w:eastAsia="zh-CN"/>
              </w:rPr>
              <w:t>芜湖GIL管廊工程</w:t>
            </w:r>
            <w:r>
              <w:rPr>
                <w:rFonts w:hint="eastAsia" w:ascii="方正仿宋_GBK" w:hAnsi="方正仿宋_GBK" w:eastAsia="方正仿宋_GBK" w:cs="方正仿宋_GBK"/>
                <w:sz w:val="18"/>
                <w:szCs w:val="18"/>
                <w:lang w:val="zh-CN"/>
              </w:rPr>
              <w:t>：</w:t>
            </w:r>
          </w:p>
          <w:p w14:paraId="3FF30EC8">
            <w:pPr>
              <w:adjustRightInd w:val="0"/>
              <w:snapToGrid w:val="0"/>
              <w:ind w:firstLine="360" w:firstLineChars="200"/>
              <w:jc w:val="left"/>
              <w:rPr>
                <w:rFonts w:hint="eastAsia" w:ascii="方正仿宋_GBK" w:hAnsi="方正仿宋_GBK" w:eastAsia="方正仿宋_GBK" w:cs="方正仿宋_GBK"/>
                <w:sz w:val="18"/>
                <w:szCs w:val="18"/>
                <w:lang w:val="zh-CN"/>
              </w:rPr>
            </w:pPr>
            <w:r>
              <w:rPr>
                <w:rFonts w:hint="eastAsia" w:ascii="方正仿宋_GBK" w:hAnsi="方正仿宋_GBK" w:eastAsia="方正仿宋_GBK" w:cs="方正仿宋_GBK"/>
                <w:sz w:val="18"/>
                <w:szCs w:val="18"/>
                <w:lang w:val="zh-CN"/>
              </w:rPr>
              <w:t>名称：</w:t>
            </w:r>
            <w:r>
              <w:rPr>
                <w:rFonts w:hint="eastAsia" w:ascii="方正仿宋_GBK" w:hAnsi="方正仿宋_GBK" w:eastAsia="方正仿宋_GBK" w:cs="方正仿宋_GBK"/>
                <w:snapToGrid/>
                <w:kern w:val="2"/>
                <w:sz w:val="18"/>
                <w:szCs w:val="18"/>
                <w:u w:val="none"/>
                <w:lang w:val="zh-CN"/>
              </w:rPr>
              <w:t>国网</w:t>
            </w:r>
            <w:r>
              <w:rPr>
                <w:rFonts w:hint="eastAsia" w:ascii="方正仿宋_GBK" w:hAnsi="方正仿宋_GBK" w:eastAsia="方正仿宋_GBK" w:cs="方正仿宋_GBK"/>
                <w:snapToGrid/>
                <w:kern w:val="2"/>
                <w:sz w:val="18"/>
                <w:szCs w:val="18"/>
                <w:u w:val="none"/>
                <w:lang w:val="zh-CN" w:eastAsia="zh-CN"/>
              </w:rPr>
              <w:t>浙江</w:t>
            </w:r>
            <w:r>
              <w:rPr>
                <w:rFonts w:hint="eastAsia" w:ascii="方正仿宋_GBK" w:hAnsi="方正仿宋_GBK" w:eastAsia="方正仿宋_GBK" w:cs="方正仿宋_GBK"/>
                <w:snapToGrid/>
                <w:kern w:val="2"/>
                <w:sz w:val="18"/>
                <w:szCs w:val="18"/>
                <w:u w:val="none"/>
                <w:lang w:val="zh-CN"/>
              </w:rPr>
              <w:t>省电力有限公司</w:t>
            </w:r>
          </w:p>
          <w:p w14:paraId="7C20DE15">
            <w:pPr>
              <w:adjustRightInd w:val="0"/>
              <w:snapToGrid w:val="0"/>
              <w:ind w:firstLine="360" w:firstLineChars="200"/>
              <w:rPr>
                <w:rFonts w:hint="eastAsia" w:ascii="方正仿宋_GBK" w:hAnsi="方正仿宋_GBK" w:eastAsia="方正仿宋_GBK" w:cs="方正仿宋_GBK"/>
                <w:sz w:val="18"/>
                <w:szCs w:val="18"/>
                <w:lang w:val="zh-CN"/>
              </w:rPr>
            </w:pPr>
            <w:r>
              <w:rPr>
                <w:rFonts w:hint="eastAsia" w:ascii="方正仿宋_GBK" w:hAnsi="方正仿宋_GBK" w:eastAsia="方正仿宋_GBK" w:cs="方正仿宋_GBK"/>
                <w:sz w:val="18"/>
                <w:szCs w:val="18"/>
                <w:lang w:val="zh-CN"/>
              </w:rPr>
              <w:t>纳税人识别号：</w:t>
            </w:r>
            <w:r>
              <w:rPr>
                <w:rFonts w:hint="eastAsia" w:ascii="方正仿宋_GBK" w:hAnsi="方正仿宋_GBK" w:eastAsia="方正仿宋_GBK" w:cs="方正仿宋_GBK"/>
                <w:snapToGrid/>
                <w:kern w:val="2"/>
                <w:sz w:val="18"/>
                <w:szCs w:val="18"/>
                <w:u w:val="none"/>
                <w:lang w:val="zh-CN"/>
              </w:rPr>
              <w:t>913</w:t>
            </w:r>
            <w:r>
              <w:rPr>
                <w:rFonts w:hint="eastAsia" w:ascii="方正仿宋_GBK" w:hAnsi="方正仿宋_GBK" w:eastAsia="方正仿宋_GBK" w:cs="方正仿宋_GBK"/>
                <w:snapToGrid/>
                <w:kern w:val="2"/>
                <w:sz w:val="18"/>
                <w:szCs w:val="18"/>
                <w:u w:val="none"/>
                <w:lang w:val="zh-CN" w:eastAsia="zh-CN"/>
              </w:rPr>
              <w:t>30000142911635Y</w:t>
            </w:r>
          </w:p>
          <w:p w14:paraId="1B271079">
            <w:pPr>
              <w:adjustRightInd w:val="0"/>
              <w:snapToGrid w:val="0"/>
              <w:ind w:firstLine="360" w:firstLineChars="200"/>
              <w:rPr>
                <w:rFonts w:hint="eastAsia" w:ascii="方正仿宋_GBK" w:hAnsi="方正仿宋_GBK" w:eastAsia="方正仿宋_GBK" w:cs="方正仿宋_GBK"/>
                <w:sz w:val="18"/>
                <w:szCs w:val="18"/>
                <w:lang w:val="zh-CN"/>
              </w:rPr>
            </w:pPr>
            <w:r>
              <w:rPr>
                <w:rFonts w:hint="eastAsia" w:ascii="方正仿宋_GBK" w:hAnsi="方正仿宋_GBK" w:eastAsia="方正仿宋_GBK" w:cs="方正仿宋_GBK"/>
                <w:sz w:val="18"/>
                <w:szCs w:val="18"/>
                <w:lang w:val="zh-CN"/>
              </w:rPr>
              <w:t>开户行：</w:t>
            </w:r>
            <w:r>
              <w:rPr>
                <w:rFonts w:hint="eastAsia" w:ascii="方正仿宋_GBK" w:hAnsi="方正仿宋_GBK" w:eastAsia="方正仿宋_GBK" w:cs="方正仿宋_GBK"/>
                <w:snapToGrid/>
                <w:kern w:val="2"/>
                <w:sz w:val="18"/>
                <w:szCs w:val="18"/>
                <w:u w:val="none"/>
                <w:lang w:val="zh-CN" w:eastAsia="zh-CN"/>
              </w:rPr>
              <w:t>工行杭州体育场路</w:t>
            </w:r>
            <w:r>
              <w:rPr>
                <w:rFonts w:hint="eastAsia" w:ascii="方正仿宋_GBK" w:hAnsi="方正仿宋_GBK" w:eastAsia="方正仿宋_GBK" w:cs="方正仿宋_GBK"/>
                <w:snapToGrid/>
                <w:kern w:val="2"/>
                <w:sz w:val="18"/>
                <w:szCs w:val="18"/>
                <w:u w:val="none"/>
                <w:lang w:val="zh-CN"/>
              </w:rPr>
              <w:t>支行</w:t>
            </w:r>
          </w:p>
          <w:p w14:paraId="0BCBCEB0">
            <w:pPr>
              <w:adjustRightInd w:val="0"/>
              <w:snapToGrid w:val="0"/>
              <w:ind w:firstLine="360" w:firstLineChars="200"/>
              <w:rPr>
                <w:rFonts w:hint="eastAsia" w:ascii="方正仿宋_GBK" w:hAnsi="方正仿宋_GBK" w:eastAsia="方正仿宋_GBK" w:cs="方正仿宋_GBK"/>
                <w:sz w:val="18"/>
                <w:szCs w:val="18"/>
                <w:lang w:val="zh-CN"/>
              </w:rPr>
            </w:pPr>
            <w:r>
              <w:rPr>
                <w:rFonts w:hint="eastAsia" w:ascii="方正仿宋_GBK" w:hAnsi="方正仿宋_GBK" w:eastAsia="方正仿宋_GBK" w:cs="方正仿宋_GBK"/>
                <w:sz w:val="18"/>
                <w:szCs w:val="18"/>
                <w:lang w:val="zh-CN"/>
              </w:rPr>
              <w:t>账号：</w:t>
            </w:r>
            <w:r>
              <w:rPr>
                <w:rFonts w:hint="eastAsia" w:ascii="方正仿宋_GBK" w:hAnsi="方正仿宋_GBK" w:eastAsia="方正仿宋_GBK" w:cs="方正仿宋_GBK"/>
                <w:snapToGrid/>
                <w:kern w:val="2"/>
                <w:sz w:val="18"/>
                <w:szCs w:val="18"/>
                <w:u w:val="none"/>
                <w:lang w:val="zh-CN" w:eastAsia="zh-CN"/>
              </w:rPr>
              <w:t>1202021009003400122</w:t>
            </w:r>
          </w:p>
          <w:p w14:paraId="58BCC5AA">
            <w:pPr>
              <w:adjustRightInd w:val="0"/>
              <w:snapToGrid w:val="0"/>
              <w:ind w:firstLine="360" w:firstLineChars="200"/>
              <w:rPr>
                <w:rFonts w:hint="eastAsia" w:ascii="方正仿宋_GBK" w:hAnsi="方正仿宋_GBK" w:eastAsia="方正仿宋_GBK" w:cs="方正仿宋_GBK"/>
                <w:sz w:val="18"/>
                <w:szCs w:val="18"/>
                <w:lang w:val="zh-CN"/>
              </w:rPr>
            </w:pPr>
            <w:r>
              <w:rPr>
                <w:rFonts w:hint="eastAsia" w:ascii="方正仿宋_GBK" w:hAnsi="方正仿宋_GBK" w:eastAsia="方正仿宋_GBK" w:cs="方正仿宋_GBK"/>
                <w:sz w:val="18"/>
                <w:szCs w:val="18"/>
                <w:lang w:val="zh-CN"/>
              </w:rPr>
              <w:t xml:space="preserve">电话: </w:t>
            </w:r>
            <w:r>
              <w:rPr>
                <w:rFonts w:hint="eastAsia" w:ascii="方正仿宋_GBK" w:hAnsi="方正仿宋_GBK" w:eastAsia="方正仿宋_GBK" w:cs="方正仿宋_GBK"/>
                <w:snapToGrid/>
                <w:kern w:val="2"/>
                <w:sz w:val="18"/>
                <w:szCs w:val="18"/>
                <w:u w:val="none"/>
                <w:lang w:val="zh-CN"/>
              </w:rPr>
              <w:t>05</w:t>
            </w:r>
            <w:r>
              <w:rPr>
                <w:rFonts w:hint="eastAsia" w:ascii="方正仿宋_GBK" w:hAnsi="方正仿宋_GBK" w:eastAsia="方正仿宋_GBK" w:cs="方正仿宋_GBK"/>
                <w:snapToGrid/>
                <w:kern w:val="2"/>
                <w:sz w:val="18"/>
                <w:szCs w:val="18"/>
                <w:u w:val="none"/>
                <w:lang w:val="zh-CN" w:eastAsia="zh-CN"/>
              </w:rPr>
              <w:t>7</w:t>
            </w:r>
            <w:r>
              <w:rPr>
                <w:rFonts w:hint="eastAsia" w:ascii="方正仿宋_GBK" w:hAnsi="方正仿宋_GBK" w:eastAsia="方正仿宋_GBK" w:cs="方正仿宋_GBK"/>
                <w:snapToGrid/>
                <w:kern w:val="2"/>
                <w:sz w:val="18"/>
                <w:szCs w:val="18"/>
                <w:u w:val="none"/>
                <w:lang w:val="zh-CN"/>
              </w:rPr>
              <w:t>1—</w:t>
            </w:r>
            <w:r>
              <w:rPr>
                <w:rFonts w:hint="eastAsia" w:ascii="方正仿宋_GBK" w:hAnsi="方正仿宋_GBK" w:eastAsia="方正仿宋_GBK" w:cs="方正仿宋_GBK"/>
                <w:snapToGrid/>
                <w:kern w:val="2"/>
                <w:sz w:val="18"/>
                <w:szCs w:val="18"/>
                <w:u w:val="none"/>
                <w:lang w:val="zh-CN" w:eastAsia="zh-CN"/>
              </w:rPr>
              <w:t>51102856</w:t>
            </w:r>
          </w:p>
          <w:p w14:paraId="0852F512">
            <w:pPr>
              <w:adjustRightInd w:val="0"/>
              <w:snapToGrid w:val="0"/>
              <w:ind w:firstLine="360" w:firstLineChars="200"/>
              <w:rPr>
                <w:rFonts w:hint="eastAsia" w:ascii="方正仿宋_GBK" w:hAnsi="方正仿宋_GBK" w:eastAsia="方正仿宋_GBK" w:cs="方正仿宋_GBK"/>
                <w:sz w:val="18"/>
                <w:szCs w:val="18"/>
                <w:lang w:val="zh-CN"/>
              </w:rPr>
            </w:pPr>
            <w:r>
              <w:rPr>
                <w:rFonts w:hint="eastAsia" w:ascii="方正仿宋_GBK" w:hAnsi="方正仿宋_GBK" w:eastAsia="方正仿宋_GBK" w:cs="方正仿宋_GBK"/>
                <w:sz w:val="18"/>
                <w:szCs w:val="18"/>
                <w:lang w:val="zh-CN"/>
              </w:rPr>
              <w:t>地址：</w:t>
            </w:r>
            <w:r>
              <w:rPr>
                <w:rFonts w:hint="eastAsia" w:ascii="方正仿宋_GBK" w:hAnsi="方正仿宋_GBK" w:eastAsia="方正仿宋_GBK" w:cs="方正仿宋_GBK"/>
                <w:snapToGrid/>
                <w:kern w:val="2"/>
                <w:sz w:val="18"/>
                <w:szCs w:val="18"/>
                <w:u w:val="none"/>
                <w:lang w:val="zh-CN" w:eastAsia="zh-CN"/>
              </w:rPr>
              <w:t>杭州</w:t>
            </w:r>
            <w:r>
              <w:rPr>
                <w:rFonts w:hint="eastAsia" w:ascii="方正仿宋_GBK" w:hAnsi="方正仿宋_GBK" w:eastAsia="方正仿宋_GBK" w:cs="方正仿宋_GBK"/>
                <w:snapToGrid/>
                <w:kern w:val="2"/>
                <w:sz w:val="18"/>
                <w:szCs w:val="18"/>
                <w:u w:val="none"/>
                <w:lang w:val="zh-CN"/>
              </w:rPr>
              <w:t>市</w:t>
            </w:r>
            <w:r>
              <w:rPr>
                <w:rFonts w:hint="eastAsia" w:ascii="方正仿宋_GBK" w:hAnsi="方正仿宋_GBK" w:eastAsia="方正仿宋_GBK" w:cs="方正仿宋_GBK"/>
                <w:snapToGrid/>
                <w:kern w:val="2"/>
                <w:sz w:val="18"/>
                <w:szCs w:val="18"/>
                <w:u w:val="none"/>
                <w:lang w:val="zh-CN" w:eastAsia="zh-CN"/>
              </w:rPr>
              <w:t>黄龙</w:t>
            </w:r>
            <w:r>
              <w:rPr>
                <w:rFonts w:hint="eastAsia" w:ascii="方正仿宋_GBK" w:hAnsi="方正仿宋_GBK" w:eastAsia="方正仿宋_GBK" w:cs="方正仿宋_GBK"/>
                <w:snapToGrid/>
                <w:kern w:val="2"/>
                <w:sz w:val="18"/>
                <w:szCs w:val="18"/>
                <w:u w:val="none"/>
                <w:lang w:val="zh-CN"/>
              </w:rPr>
              <w:t>路</w:t>
            </w:r>
            <w:r>
              <w:rPr>
                <w:rFonts w:hint="eastAsia" w:ascii="方正仿宋_GBK" w:hAnsi="方正仿宋_GBK" w:eastAsia="方正仿宋_GBK" w:cs="方正仿宋_GBK"/>
                <w:snapToGrid/>
                <w:kern w:val="2"/>
                <w:sz w:val="18"/>
                <w:szCs w:val="18"/>
                <w:u w:val="none"/>
                <w:lang w:val="zh-CN" w:eastAsia="zh-CN"/>
              </w:rPr>
              <w:t>8</w:t>
            </w:r>
            <w:r>
              <w:rPr>
                <w:rFonts w:hint="eastAsia" w:ascii="方正仿宋_GBK" w:hAnsi="方正仿宋_GBK" w:eastAsia="方正仿宋_GBK" w:cs="方正仿宋_GBK"/>
                <w:snapToGrid/>
                <w:kern w:val="2"/>
                <w:sz w:val="18"/>
                <w:szCs w:val="18"/>
                <w:u w:val="none"/>
                <w:lang w:val="zh-CN"/>
              </w:rPr>
              <w:t>号</w:t>
            </w:r>
          </w:p>
          <w:p w14:paraId="5AAAD20D">
            <w:pPr>
              <w:adjustRightInd w:val="0"/>
              <w:snapToGrid w:val="0"/>
              <w:ind w:firstLine="360" w:firstLineChars="20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u w:val="single"/>
              </w:rPr>
              <w:t>承包人必须在增值税发票开票日期30日内将取得的增值税发票随工程资金付款手续一并送达发包人。承包人应按当期完成工程量计算的金额开具发票。如承包人应提供而未提供增值税发票，发包人有权拒绝支付当期工程进度款。</w:t>
            </w:r>
          </w:p>
        </w:tc>
      </w:tr>
      <w:tr w14:paraId="6AD65BD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CFB64CB">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0763BD91">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napToGrid w:val="0"/>
                <w:kern w:val="0"/>
                <w:sz w:val="18"/>
                <w:szCs w:val="18"/>
              </w:rPr>
              <w:t>专用条款17.8.1</w:t>
            </w:r>
          </w:p>
        </w:tc>
        <w:tc>
          <w:tcPr>
            <w:tcW w:w="3582" w:type="dxa"/>
            <w:vAlign w:val="center"/>
          </w:tcPr>
          <w:p w14:paraId="2AE4D4C8">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17.8.1为全面保障农民工工资按时足额支付，人工费用按以下第种方式计算：</w:t>
            </w:r>
          </w:p>
          <w:p w14:paraId="6C150CA0">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（1）通过预算定额，依据现场实际已完工程量进行计算。</w:t>
            </w:r>
          </w:p>
          <w:p w14:paraId="7DF15735">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（2）通过工程量清单计价，依据现场实际已完工程量进行计算。</w:t>
            </w:r>
          </w:p>
          <w:p w14:paraId="23436BDB">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（3）其他：。</w:t>
            </w:r>
          </w:p>
        </w:tc>
        <w:tc>
          <w:tcPr>
            <w:tcW w:w="4455" w:type="dxa"/>
            <w:vAlign w:val="center"/>
          </w:tcPr>
          <w:p w14:paraId="46AD81A2">
            <w:pPr>
              <w:snapToGrid w:val="0"/>
              <w:rPr>
                <w:rFonts w:ascii="方正仿宋_GBK" w:hAnsi="方正仿宋_GBK" w:eastAsia="方正仿宋_GBK" w:cs="方正仿宋_GBK"/>
                <w:color w:val="000000"/>
                <w:kern w:val="0"/>
                <w:sz w:val="18"/>
                <w:szCs w:val="18"/>
              </w:rPr>
            </w:pPr>
            <w:r>
              <w:rPr>
                <w:rFonts w:hint="eastAsia" w:ascii="方正仿宋_GBK" w:hAnsi="方正仿宋_GBK" w:eastAsia="方正仿宋_GBK" w:cs="方正仿宋_GBK"/>
                <w:color w:val="000000"/>
                <w:kern w:val="0"/>
                <w:sz w:val="18"/>
                <w:szCs w:val="18"/>
              </w:rPr>
              <w:t>17.8.1为全面保障农民工工资按时足额支付，农民工费用按以下第</w:t>
            </w:r>
            <w:permStart w:id="11" w:edGrp="everyone"/>
            <w:r>
              <w:rPr>
                <w:rFonts w:hint="eastAsia" w:ascii="方正仿宋_GBK" w:hAnsi="方正仿宋_GBK" w:eastAsia="方正仿宋_GBK" w:cs="方正仿宋_GBK"/>
                <w:color w:val="000000"/>
                <w:kern w:val="0"/>
                <w:sz w:val="18"/>
                <w:szCs w:val="18"/>
                <w:u w:val="single"/>
              </w:rPr>
              <w:t>（2）或（3）</w:t>
            </w:r>
            <w:permEnd w:id="11"/>
            <w:r>
              <w:rPr>
                <w:rFonts w:hint="eastAsia" w:ascii="方正仿宋_GBK" w:hAnsi="方正仿宋_GBK" w:eastAsia="方正仿宋_GBK" w:cs="方正仿宋_GBK"/>
                <w:color w:val="000000"/>
                <w:kern w:val="0"/>
                <w:sz w:val="18"/>
                <w:szCs w:val="18"/>
              </w:rPr>
              <w:t>种方式计算：</w:t>
            </w:r>
          </w:p>
          <w:p w14:paraId="46F0C530">
            <w:pPr>
              <w:numPr>
                <w:ilvl w:val="0"/>
                <w:numId w:val="7"/>
              </w:numPr>
              <w:snapToGrid w:val="0"/>
              <w:rPr>
                <w:rFonts w:ascii="方正仿宋_GBK" w:hAnsi="方正仿宋_GBK" w:eastAsia="方正仿宋_GBK" w:cs="方正仿宋_GBK"/>
                <w:color w:val="000000"/>
                <w:kern w:val="0"/>
                <w:sz w:val="18"/>
                <w:szCs w:val="18"/>
              </w:rPr>
            </w:pPr>
            <w:r>
              <w:rPr>
                <w:rFonts w:hint="eastAsia" w:ascii="方正仿宋_GBK" w:hAnsi="方正仿宋_GBK" w:eastAsia="方正仿宋_GBK" w:cs="方正仿宋_GBK"/>
                <w:color w:val="000000"/>
                <w:kern w:val="0"/>
                <w:sz w:val="18"/>
                <w:szCs w:val="18"/>
              </w:rPr>
              <w:t>通过预算定额，依据现场实际已完工程量进行计算。</w:t>
            </w:r>
          </w:p>
          <w:p w14:paraId="78255553">
            <w:pPr>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kern w:val="0"/>
                <w:sz w:val="18"/>
                <w:szCs w:val="18"/>
              </w:rPr>
              <w:t>（2）通过工程量清单计价，依据现场实际已完工程量进行计算。</w:t>
            </w:r>
          </w:p>
          <w:p w14:paraId="3C5E0842">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color w:val="000000"/>
                <w:kern w:val="0"/>
                <w:sz w:val="18"/>
                <w:szCs w:val="18"/>
              </w:rPr>
              <w:t>（3）其他：</w:t>
            </w:r>
            <w:permStart w:id="12" w:edGrp="everyone"/>
            <w:r>
              <w:rPr>
                <w:rFonts w:hint="eastAsia" w:ascii="方正仿宋_GBK" w:hAnsi="方正仿宋_GBK" w:eastAsia="方正仿宋_GBK" w:cs="方正仿宋_GBK"/>
                <w:sz w:val="18"/>
                <w:szCs w:val="18"/>
              </w:rPr>
              <w:t>由施工单位根据现场农民工工资实际发放需求确定</w:t>
            </w:r>
            <w:permEnd w:id="12"/>
            <w:r>
              <w:rPr>
                <w:rFonts w:hint="eastAsia" w:ascii="方正仿宋_GBK" w:hAnsi="方正仿宋_GBK" w:eastAsia="方正仿宋_GBK" w:cs="方正仿宋_GBK"/>
                <w:color w:val="000000"/>
                <w:kern w:val="0"/>
                <w:sz w:val="18"/>
                <w:szCs w:val="18"/>
              </w:rPr>
              <w:t>。</w:t>
            </w:r>
          </w:p>
        </w:tc>
      </w:tr>
      <w:tr w14:paraId="4579402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D678F90">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49A94E6C">
            <w:pPr>
              <w:widowControl/>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专用条款17.8.2</w:t>
            </w:r>
          </w:p>
        </w:tc>
        <w:tc>
          <w:tcPr>
            <w:tcW w:w="3582" w:type="dxa"/>
            <w:vAlign w:val="center"/>
          </w:tcPr>
          <w:p w14:paraId="3798B10F">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17.8.2人工费用拨付周期不得超过1个月，具体为：</w:t>
            </w:r>
          </w:p>
          <w:p w14:paraId="539ADBA0">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□按月拨付</w:t>
            </w:r>
          </w:p>
          <w:p w14:paraId="2F88C367">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□按周拨付</w:t>
            </w:r>
          </w:p>
          <w:p w14:paraId="6FACD38B">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□其他：。</w:t>
            </w:r>
          </w:p>
          <w:p w14:paraId="411E890E">
            <w:pPr>
              <w:adjustRightInd w:val="0"/>
              <w:snapToGrid w:val="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kern w:val="0"/>
                <w:sz w:val="18"/>
                <w:szCs w:val="18"/>
              </w:rPr>
              <w:t>承包人应在人工费用到达专用账户后日内支付给农民工。</w:t>
            </w:r>
          </w:p>
        </w:tc>
        <w:tc>
          <w:tcPr>
            <w:tcW w:w="4455" w:type="dxa"/>
            <w:vAlign w:val="center"/>
          </w:tcPr>
          <w:p w14:paraId="5CF39B84">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17.8.2人工费用拨付周期不得超过1个月，具体为：</w:t>
            </w:r>
          </w:p>
          <w:p w14:paraId="6D46B2AC">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√按月拨付。</w:t>
            </w:r>
          </w:p>
          <w:p w14:paraId="1B60FB6A">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□按周拨付</w:t>
            </w:r>
          </w:p>
          <w:p w14:paraId="6C47C831">
            <w:pPr>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□其他：。</w:t>
            </w:r>
          </w:p>
          <w:p w14:paraId="2EC198D9">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napToGrid w:val="0"/>
                <w:kern w:val="0"/>
                <w:sz w:val="18"/>
                <w:szCs w:val="18"/>
              </w:rPr>
              <w:t>承包人应在人工费用到达专用账户后</w:t>
            </w:r>
            <w:r>
              <w:rPr>
                <w:rFonts w:hint="eastAsia" w:ascii="方正仿宋_GBK" w:hAnsi="方正仿宋_GBK" w:eastAsia="方正仿宋_GBK" w:cs="方正仿宋_GBK"/>
                <w:snapToGrid w:val="0"/>
                <w:kern w:val="0"/>
                <w:sz w:val="18"/>
                <w:szCs w:val="18"/>
                <w:u w:val="single"/>
              </w:rPr>
              <w:t xml:space="preserve">  3  </w:t>
            </w:r>
            <w:r>
              <w:rPr>
                <w:rFonts w:hint="eastAsia" w:ascii="方正仿宋_GBK" w:hAnsi="方正仿宋_GBK" w:eastAsia="方正仿宋_GBK" w:cs="方正仿宋_GBK"/>
                <w:snapToGrid w:val="0"/>
                <w:kern w:val="0"/>
                <w:sz w:val="18"/>
                <w:szCs w:val="18"/>
              </w:rPr>
              <w:t>日内支付给农民工。</w:t>
            </w:r>
          </w:p>
        </w:tc>
      </w:tr>
      <w:tr w14:paraId="5BA74F2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39300BE">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1BFDAEE2">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专用条款18.2.3</w:t>
            </w:r>
          </w:p>
        </w:tc>
        <w:tc>
          <w:tcPr>
            <w:tcW w:w="3582" w:type="dxa"/>
            <w:vAlign w:val="center"/>
          </w:tcPr>
          <w:p w14:paraId="3C7EA31A">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18.2.3 竣工资料</w:t>
            </w:r>
          </w:p>
          <w:p w14:paraId="140A4D03">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承包人应提交的工程竣工资料的内容、要求及份数如下：</w:t>
            </w:r>
          </w:p>
          <w:p w14:paraId="0546870F">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（1）工程竣工资料包括：</w:t>
            </w:r>
          </w:p>
          <w:p w14:paraId="165A58C4">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工程开、竣工报告；</w:t>
            </w:r>
          </w:p>
          <w:p w14:paraId="2718368B">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施工记录、工程检验与评定记录；</w:t>
            </w:r>
          </w:p>
          <w:p w14:paraId="707A3CDA">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施工图会审纪要；</w:t>
            </w:r>
          </w:p>
          <w:p w14:paraId="2EB5BBAA">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设计变更通知；</w:t>
            </w:r>
          </w:p>
          <w:p w14:paraId="0A4CEF88">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材料代用清单；</w:t>
            </w:r>
          </w:p>
          <w:p w14:paraId="695FEC2B">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重大补偿协议、合同等相关外协文件资料；</w:t>
            </w:r>
          </w:p>
          <w:p w14:paraId="688D8D1F">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材料、加工件出厂质量合格证明或试验报告；</w:t>
            </w:r>
          </w:p>
          <w:p w14:paraId="1B0DCAF6">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施工试验报告；</w:t>
            </w:r>
          </w:p>
          <w:p w14:paraId="2ED83DE9">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施工缺陷处理明细表及附图；</w:t>
            </w:r>
          </w:p>
          <w:p w14:paraId="01437FE7">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发包人、监理人与承包人往来的技术文件；</w:t>
            </w:r>
          </w:p>
          <w:p w14:paraId="3F57C8BC">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声像资料素材。</w:t>
            </w:r>
          </w:p>
          <w:p w14:paraId="253EC6EA">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（2）要求：</w:t>
            </w:r>
          </w:p>
          <w:p w14:paraId="3A9B6568">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a.在通过监理人初检、发包人会同运行单位进行的预验收后，承包人确认所承包的全部工程均达到质量标准，移交的工程资料齐备后，应写出申请竣工验收报告，提交发包人竣工验收，此报告应同时提交监理人。</w:t>
            </w:r>
          </w:p>
          <w:p w14:paraId="6163DD68">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b.竣工验收时，要首先核查承包人应移交的工程资料和施工记录（施工检查记录、隐蔽工程记录等）。工程资料不全或施工记录不能如实反映施工的实际情况，则不能组织验收。</w:t>
            </w:r>
          </w:p>
          <w:p w14:paraId="57B6B14C">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c.本工程要求承包人进行有关声像素材的拍摄与初步整理。施工过程中，承包人必须对隐蔽工程、关键工序、重要工序及重要活动按照发包人相关拍摄要求进行过程拍摄，通过录像、图片等形式形成文件资料，并作为竣工验收资料的重要组成部分。</w:t>
            </w:r>
          </w:p>
          <w:p w14:paraId="1BC522D5">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d.竣工移交资料质量要求：档案归档率100％，资料准确率100％，案卷合格率100％。档案归档率100％：按发包人的档案相关管理规定移交的归档资料齐全、完整，一项不缺。电子版必须与纸质文件一致，不可遗漏。资料准确率100％：竣工图真实、准确，与设计变更一致；施工记录必须按原始记录填写，数据准确，并经监理人员检查合格签署意见；各项文件必须原件归档，复印件、复写件不能归档；各种记录和文件签字、盖章完备，签字一律使用签字笔；监理意见、质检报告签发一律手签。案卷合格率100％：案卷题名准确、规范；组卷系统、规范；装订整齐。电子版文件中的手签部分计算机录入，外来文件要求对方提供电子版或扫描保存。</w:t>
            </w:r>
          </w:p>
          <w:p w14:paraId="38BE76B0">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e.竣工移交资料归档时间：本工程由设计人编制竣工图。设计人修改合格的全套竣工图，由施工、监理人审核、盖章、组卷归档，与竣工资料一起于启动投运后28天内归档。</w:t>
            </w:r>
          </w:p>
          <w:p w14:paraId="35CA8232">
            <w:pPr>
              <w:adjustRightInd w:val="0"/>
              <w:snapToGrid w:val="0"/>
              <w:ind w:firstLine="360" w:firstLineChars="20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（3）份数：除竣工图外的其他竣工资料通过监理移交四套（一正三副），并按要求提供一套电子版竣工资料。</w:t>
            </w:r>
          </w:p>
        </w:tc>
        <w:tc>
          <w:tcPr>
            <w:tcW w:w="4455" w:type="dxa"/>
            <w:vAlign w:val="center"/>
          </w:tcPr>
          <w:p w14:paraId="46AA4628">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18.2.3修改为：</w:t>
            </w:r>
          </w:p>
          <w:p w14:paraId="56069629">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竣工资料</w:t>
            </w:r>
          </w:p>
          <w:p w14:paraId="3C6DD8AC">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承包人应提交的工程竣工资料的内容、要求及份数如下：</w:t>
            </w:r>
          </w:p>
          <w:p w14:paraId="7E41031E">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（1）工程竣工资料包括：</w:t>
            </w:r>
          </w:p>
          <w:p w14:paraId="6716608B">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工程开、竣工申请资料；</w:t>
            </w:r>
          </w:p>
          <w:p w14:paraId="29B37F91">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施工记录、工程检验与评定记录；</w:t>
            </w:r>
          </w:p>
          <w:p w14:paraId="59BBFF62">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施工图会审纪要；</w:t>
            </w:r>
          </w:p>
          <w:p w14:paraId="5A4D7556">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设计变更通知；</w:t>
            </w:r>
          </w:p>
          <w:p w14:paraId="636A92F6">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材料代用清单；</w:t>
            </w:r>
          </w:p>
          <w:p w14:paraId="494F63BE">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重大补偿协议、合同等相关外协文件资料；</w:t>
            </w:r>
          </w:p>
          <w:p w14:paraId="3855F9DB">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材料、加工件出厂质量合格证明或试验报告；</w:t>
            </w:r>
          </w:p>
          <w:p w14:paraId="3783C554">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施工试验报告；</w:t>
            </w:r>
          </w:p>
          <w:p w14:paraId="539C2257">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施工缺陷处理明细表及附图；</w:t>
            </w:r>
          </w:p>
          <w:p w14:paraId="14764D96">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发包人、监理人与承包人往来的技术文件；</w:t>
            </w:r>
          </w:p>
          <w:p w14:paraId="7788679A">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声像资料素材：根据国网公司基建管理以及《国家电网有限公司电网建设项目档案管理办法》等要求进行有关声像素材的拍摄、整理与归档。</w:t>
            </w:r>
          </w:p>
          <w:p w14:paraId="4BB837CC">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（2）要求：</w:t>
            </w:r>
          </w:p>
          <w:p w14:paraId="7378D940">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a.在通过监理人初检、发包人会同运行单位进行的预验收后，承包人确认所承包的全部工程均达到质量标准，移交的工程资料齐备后，应写出申请竣工验收报告，提交发包人竣工验收，此报告应同时提交监理人。</w:t>
            </w:r>
          </w:p>
          <w:p w14:paraId="4616FF6D">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b.竣工验收时，要首先核查承包人应移交的工程资料和施工记录（施工检查记录、隐蔽工程记录等）。工程资料不全或施工记录不能如实反映施工的实际情况，则不能组织验收。</w:t>
            </w:r>
          </w:p>
          <w:p w14:paraId="48A04E04">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c.本工程要求承包人进行有关声像素材的拍摄与初步整理。施工过程中，承包人必须对隐蔽工程、关键工序、重要工序及重要活动按照发包人相关拍摄要求进行过程拍摄，通过录像、图片等形式形成文件资料，并作为竣工验收资料的重要组成部分。</w:t>
            </w:r>
          </w:p>
          <w:p w14:paraId="4D7A931C">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d.竣工移交资料质量要求：按《国家电网有限公司电网建设项目档案管理办法》等要求执行。</w:t>
            </w:r>
          </w:p>
          <w:p w14:paraId="2FFCC2BE">
            <w:pPr>
              <w:adjustRightInd w:val="0"/>
              <w:snapToGrid w:val="0"/>
              <w:ind w:firstLine="360" w:firstLineChars="20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e.竣工移交资料归档时间：本工程由设计人编制竣工图。设计人修改合格的全套竣工图，监理人审核、盖章后，设计人组卷，于启动投运后</w:t>
            </w:r>
            <w:r>
              <w:rPr>
                <w:rFonts w:hint="eastAsia" w:ascii="方正仿宋_GBK" w:hAnsi="方正仿宋_GBK" w:eastAsia="方正仿宋_GBK" w:cs="方正仿宋_GBK"/>
                <w:sz w:val="18"/>
                <w:szCs w:val="18"/>
                <w:u w:val="single"/>
              </w:rPr>
              <w:t>一个月内</w:t>
            </w:r>
            <w:r>
              <w:rPr>
                <w:rFonts w:hint="eastAsia" w:ascii="方正仿宋_GBK" w:hAnsi="方正仿宋_GBK" w:eastAsia="方正仿宋_GBK" w:cs="方正仿宋_GBK"/>
                <w:sz w:val="18"/>
                <w:szCs w:val="18"/>
              </w:rPr>
              <w:t>归档。</w:t>
            </w:r>
          </w:p>
          <w:p w14:paraId="0C666088">
            <w:pPr>
              <w:adjustRightInd w:val="0"/>
              <w:snapToGrid w:val="0"/>
              <w:ind w:firstLine="360" w:firstLineChars="20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（3）份数：除竣工图外的其他竣工资料通过监理移交四套（一正三副），正本要求原件。</w:t>
            </w:r>
          </w:p>
        </w:tc>
      </w:tr>
      <w:tr w14:paraId="0FA9A56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C88319F">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2BEF5DB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7695EFA0">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18.4.3</w:t>
            </w:r>
          </w:p>
        </w:tc>
        <w:tc>
          <w:tcPr>
            <w:tcW w:w="3582" w:type="dxa"/>
            <w:vAlign w:val="center"/>
          </w:tcPr>
          <w:p w14:paraId="07D7A0BF">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18.4.3（增加）：</w:t>
            </w:r>
          </w:p>
          <w:p w14:paraId="2120CCB2">
            <w:pPr>
              <w:adjustRightInd w:val="0"/>
              <w:snapToGrid w:val="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z w:val="18"/>
                <w:szCs w:val="18"/>
              </w:rPr>
              <w:t>单位工程的中间验收按国家电网有限公司输变电工程验收管理相关规定执行。</w:t>
            </w:r>
          </w:p>
        </w:tc>
        <w:tc>
          <w:tcPr>
            <w:tcW w:w="4455" w:type="dxa"/>
            <w:vAlign w:val="center"/>
          </w:tcPr>
          <w:p w14:paraId="1371870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18.4.3（增加）：</w:t>
            </w:r>
          </w:p>
          <w:p w14:paraId="49F7FA61">
            <w:pPr>
              <w:adjustRightInd w:val="0"/>
              <w:snapToGrid w:val="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z w:val="18"/>
                <w:szCs w:val="18"/>
              </w:rPr>
              <w:t>单位工程的中间验收按国家电网有限公司输变电工程质量验收管理相关规定执行。</w:t>
            </w:r>
          </w:p>
        </w:tc>
      </w:tr>
      <w:tr w14:paraId="2DF5F25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65F95D5">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2BF111C3">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专用条款</w:t>
            </w:r>
          </w:p>
          <w:p w14:paraId="62229211">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18.7.10</w:t>
            </w:r>
          </w:p>
        </w:tc>
        <w:tc>
          <w:tcPr>
            <w:tcW w:w="3582" w:type="dxa"/>
            <w:vAlign w:val="center"/>
          </w:tcPr>
          <w:p w14:paraId="554B869B">
            <w:pPr>
              <w:adjustRightInd w:val="0"/>
              <w:snapToGrid w:val="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z w:val="18"/>
                <w:szCs w:val="18"/>
              </w:rPr>
              <w:t>18.7.10启动试运通过验收后，发包人应负责召集验收委员开会，听取并审议试运和移交工作情况的汇报，并在“联合试运转验收交接书”上签字。</w:t>
            </w:r>
          </w:p>
        </w:tc>
        <w:tc>
          <w:tcPr>
            <w:tcW w:w="4455" w:type="dxa"/>
            <w:vAlign w:val="center"/>
          </w:tcPr>
          <w:p w14:paraId="08E5EC4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修改为：</w:t>
            </w:r>
          </w:p>
          <w:p w14:paraId="2642C04B">
            <w:pPr>
              <w:adjustRightInd w:val="0"/>
              <w:snapToGrid w:val="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z w:val="18"/>
                <w:szCs w:val="18"/>
              </w:rPr>
              <w:t>18.7.10启动试运通过验收后，发包人应负责召集验收委员开会，听取并审议试运和移交工作情况的汇报，并在“启动验收证书”上签字。</w:t>
            </w:r>
          </w:p>
        </w:tc>
      </w:tr>
      <w:tr w14:paraId="50D1A51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36E5340">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15D3144C">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专用条款18.7.11</w:t>
            </w:r>
          </w:p>
        </w:tc>
        <w:tc>
          <w:tcPr>
            <w:tcW w:w="3582" w:type="dxa"/>
            <w:vAlign w:val="center"/>
          </w:tcPr>
          <w:p w14:paraId="5D4AE70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18.7.11 技术资料的移交工作由监理人负责。移交工作应符合现行验收规范、规程和验收检查组的决定。承包人应在整套启动试运验收移交试运行后28天内，将竣工图等完整的竣工资料移交发包人。少量有特殊情况的资料，经发包人同意后可延期移交，但最迟不能超过试运行期。承包人移交的竣工资料需符合以下要求：</w:t>
            </w:r>
          </w:p>
          <w:p w14:paraId="008C23CF">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（1）移交的工程资料和施工记录必须符合发包人的档案管理要求；</w:t>
            </w:r>
          </w:p>
          <w:p w14:paraId="436F597D">
            <w:pPr>
              <w:adjustRightInd w:val="0"/>
              <w:snapToGrid w:val="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z w:val="18"/>
                <w:szCs w:val="18"/>
              </w:rPr>
              <w:t>（2）施工记录必须为原始记录，经现场质量监理人员检查合格并签署意见。</w:t>
            </w:r>
          </w:p>
        </w:tc>
        <w:tc>
          <w:tcPr>
            <w:tcW w:w="4455" w:type="dxa"/>
            <w:vAlign w:val="center"/>
          </w:tcPr>
          <w:p w14:paraId="0846FA8F">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修改为：</w:t>
            </w:r>
          </w:p>
          <w:p w14:paraId="1510938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18.7.11技术资料的移交工作由监理人负责。技术资料的移交工作由监理人负责。移交工作应符合现行验收规范、规程和验收检查组的决定。承包人应在整套启动试运验收移交试运行后28天内，将完整的竣工资料移交发包人。少量有特殊情况的资料，经发包人同意后可延期移交，最迟不能超过正式投运期后的两个月。承包人移交的竣工资料需符合以下要求：</w:t>
            </w:r>
          </w:p>
          <w:p w14:paraId="66759F12">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（1）移交的工程资料和施工记录必须符合发包人的档案管理要求；</w:t>
            </w:r>
          </w:p>
          <w:p w14:paraId="6C032D6D">
            <w:pPr>
              <w:adjustRightInd w:val="0"/>
              <w:snapToGrid w:val="0"/>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z w:val="18"/>
                <w:szCs w:val="18"/>
              </w:rPr>
              <w:t>（2）施工记录必须为原始记录，经现场质量监理人员检查合格并签署意见。</w:t>
            </w:r>
          </w:p>
        </w:tc>
      </w:tr>
      <w:tr w14:paraId="7A61C50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1040" w:type="dxa"/>
            <w:vAlign w:val="center"/>
          </w:tcPr>
          <w:p w14:paraId="50EFAEDD">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02BFA169">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w:t>
            </w:r>
            <w:r>
              <w:rPr>
                <w:rFonts w:hint="eastAsia" w:ascii="方正仿宋_GBK" w:hAnsi="方正仿宋_GBK" w:eastAsia="方正仿宋_GBK" w:cs="方正仿宋_GBK"/>
                <w:snapToGrid w:val="0"/>
                <w:kern w:val="0"/>
                <w:sz w:val="18"/>
                <w:szCs w:val="18"/>
              </w:rPr>
              <w:t>18.8.1</w:t>
            </w:r>
          </w:p>
        </w:tc>
        <w:tc>
          <w:tcPr>
            <w:tcW w:w="3582" w:type="dxa"/>
            <w:vAlign w:val="center"/>
          </w:tcPr>
          <w:p w14:paraId="7F4542CC">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18.8.1 除合同另有约定外，承包人应按合同约定进行工程及工程设备试运行，负责提供试运行所需的人员、器材和必要的条件，并承担全部试运行费用。试运行自发包人或监理人宣布联合试运转结束之日开始，试运行天数按现行规定或按合同下列约定（如有）执行。</w:t>
            </w:r>
          </w:p>
          <w:p w14:paraId="1068624E">
            <w:pPr>
              <w:autoSpaceDE w:val="0"/>
              <w:autoSpaceDN w:val="0"/>
              <w:adjustRightInd w:val="0"/>
              <w:snapToGrid w:val="0"/>
              <w:jc w:val="left"/>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kern w:val="0"/>
                <w:sz w:val="18"/>
                <w:szCs w:val="18"/>
              </w:rPr>
              <w:t>工程试运行天数为</w:t>
            </w:r>
            <w:r>
              <w:rPr>
                <w:rFonts w:hint="eastAsia" w:ascii="方正仿宋_GBK" w:hAnsi="方正仿宋_GBK" w:eastAsia="方正仿宋_GBK" w:cs="方正仿宋_GBK"/>
                <w:sz w:val="18"/>
                <w:szCs w:val="18"/>
              </w:rPr>
              <w:t>天</w:t>
            </w:r>
            <w:r>
              <w:rPr>
                <w:rFonts w:hint="eastAsia" w:ascii="方正仿宋_GBK" w:hAnsi="方正仿宋_GBK" w:eastAsia="方正仿宋_GBK" w:cs="方正仿宋_GBK"/>
                <w:snapToGrid w:val="0"/>
                <w:kern w:val="0"/>
                <w:sz w:val="18"/>
                <w:szCs w:val="18"/>
              </w:rPr>
              <w:t>。</w:t>
            </w:r>
          </w:p>
        </w:tc>
        <w:tc>
          <w:tcPr>
            <w:tcW w:w="4455" w:type="dxa"/>
            <w:vAlign w:val="center"/>
          </w:tcPr>
          <w:p w14:paraId="6B772684">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18.8.1 除合同另有约定外，承包人应按合同约定进行工程及工程设备试运行，负责提供试运行所需的人员、器材和必要的条件，并承担全部试运行费用。试运行自发包人或监理人宣布联合试运转结束之日开始，试运行天数按现行规定或按合同下列约定（如有）执行。</w:t>
            </w:r>
          </w:p>
          <w:p w14:paraId="2D261442">
            <w:pPr>
              <w:widowControl/>
              <w:autoSpaceDE w:val="0"/>
              <w:autoSpaceDN w:val="0"/>
              <w:adjustRightInd w:val="0"/>
              <w:snapToGrid w:val="0"/>
              <w:jc w:val="left"/>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snapToGrid w:val="0"/>
                <w:kern w:val="0"/>
                <w:sz w:val="18"/>
                <w:szCs w:val="18"/>
              </w:rPr>
              <w:t>工程试运行天数为</w:t>
            </w:r>
            <w:r>
              <w:rPr>
                <w:rFonts w:hint="eastAsia" w:ascii="方正仿宋_GBK" w:hAnsi="方正仿宋_GBK" w:eastAsia="方正仿宋_GBK" w:cs="方正仿宋_GBK"/>
                <w:sz w:val="18"/>
                <w:szCs w:val="18"/>
                <w:u w:val="single"/>
              </w:rPr>
              <w:t xml:space="preserve">   7  </w:t>
            </w:r>
            <w:r>
              <w:rPr>
                <w:rFonts w:hint="eastAsia" w:ascii="方正仿宋_GBK" w:hAnsi="方正仿宋_GBK" w:eastAsia="方正仿宋_GBK" w:cs="方正仿宋_GBK"/>
                <w:sz w:val="18"/>
                <w:szCs w:val="18"/>
              </w:rPr>
              <w:t>天</w:t>
            </w:r>
            <w:r>
              <w:rPr>
                <w:rFonts w:hint="eastAsia" w:ascii="方正仿宋_GBK" w:hAnsi="方正仿宋_GBK" w:eastAsia="方正仿宋_GBK" w:cs="方正仿宋_GBK"/>
                <w:snapToGrid w:val="0"/>
                <w:kern w:val="0"/>
                <w:sz w:val="18"/>
                <w:szCs w:val="18"/>
              </w:rPr>
              <w:t>。</w:t>
            </w:r>
          </w:p>
        </w:tc>
      </w:tr>
      <w:tr w14:paraId="3BF370D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0DF7C61">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540FA6C6">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专用条款19.1</w:t>
            </w:r>
          </w:p>
        </w:tc>
        <w:tc>
          <w:tcPr>
            <w:tcW w:w="3582" w:type="dxa"/>
            <w:vAlign w:val="center"/>
          </w:tcPr>
          <w:p w14:paraId="5980D682">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19.1 缺陷责任期的起算时间</w:t>
            </w:r>
          </w:p>
          <w:p w14:paraId="7557125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修改为：</w:t>
            </w:r>
          </w:p>
          <w:p w14:paraId="5DB3804C">
            <w:pPr>
              <w:adjustRightInd w:val="0"/>
              <w:snapToGrid w:val="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z w:val="18"/>
                <w:szCs w:val="18"/>
              </w:rPr>
              <w:t>缺陷责任期自第18.8.6项约定的实际竣工日期起计算。在全部工程竣工验收前，已经发包人提前验收的单位工程、分单项、分项、分部工程，其缺陷责任期的起算日期均自实际竣工日期起计算。</w:t>
            </w:r>
          </w:p>
        </w:tc>
        <w:tc>
          <w:tcPr>
            <w:tcW w:w="4455" w:type="dxa"/>
            <w:vAlign w:val="center"/>
          </w:tcPr>
          <w:p w14:paraId="5BCBD73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修改为：</w:t>
            </w:r>
          </w:p>
          <w:p w14:paraId="5F15981D">
            <w:pPr>
              <w:adjustRightInd w:val="0"/>
              <w:snapToGrid w:val="0"/>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z w:val="18"/>
                <w:szCs w:val="18"/>
              </w:rPr>
              <w:t>19.1缺陷责任期的起算时间修改为：缺陷责任期自第18.8.6项约定的从工程通过竣工验收之日起计算。在全部工程竣工验收前，已经发包人提前验收的单位工程、分单项、分项、分部工程，其缺陷责任期的起算日期均自通过竣工验收之日起计算。因承包人原因导致工程无法按合同约定期限进行竣工验收的，缺陷责任期从</w:t>
            </w:r>
            <w:r>
              <w:rPr>
                <w:rFonts w:hint="eastAsia" w:ascii="方正仿宋_GBK" w:hAnsi="方正仿宋_GBK" w:eastAsia="方正仿宋_GBK" w:cs="方正仿宋_GBK"/>
                <w:sz w:val="18"/>
                <w:szCs w:val="18"/>
                <w:lang w:eastAsia="zh-CN"/>
              </w:rPr>
              <w:t>全部工程</w:t>
            </w:r>
            <w:r>
              <w:rPr>
                <w:rFonts w:hint="eastAsia" w:ascii="方正仿宋_GBK" w:hAnsi="方正仿宋_GBK" w:eastAsia="方正仿宋_GBK" w:cs="方正仿宋_GBK"/>
                <w:sz w:val="18"/>
                <w:szCs w:val="18"/>
              </w:rPr>
              <w:t>实际通过竣工验收之日起计算。</w:t>
            </w:r>
          </w:p>
        </w:tc>
      </w:tr>
      <w:tr w14:paraId="33F145B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5E7725B">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02DC458B">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w:t>
            </w:r>
            <w:r>
              <w:rPr>
                <w:rFonts w:hint="eastAsia" w:ascii="方正仿宋_GBK" w:hAnsi="方正仿宋_GBK" w:eastAsia="方正仿宋_GBK" w:cs="方正仿宋_GBK"/>
                <w:snapToGrid w:val="0"/>
                <w:kern w:val="0"/>
                <w:sz w:val="18"/>
                <w:szCs w:val="18"/>
              </w:rPr>
              <w:t>20.1</w:t>
            </w:r>
          </w:p>
        </w:tc>
        <w:tc>
          <w:tcPr>
            <w:tcW w:w="3582" w:type="dxa"/>
            <w:vAlign w:val="center"/>
          </w:tcPr>
          <w:p w14:paraId="1EC4F098">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20.1 工程保险</w:t>
            </w:r>
          </w:p>
          <w:p w14:paraId="4DAEE064">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建筑工程一切险和安装工程一切险由发包人投保。具体的投保内容、保险金额、保险期限等有关内容如下</w:t>
            </w:r>
            <w:r>
              <w:rPr>
                <w:rStyle w:val="20"/>
                <w:rFonts w:hint="default" w:ascii="方正仿宋_GBK" w:hAnsi="方正仿宋_GBK" w:eastAsia="方正仿宋_GBK" w:cs="方正仿宋_GBK"/>
                <w:snapToGrid w:val="0"/>
                <w:sz w:val="18"/>
                <w:szCs w:val="18"/>
              </w:rPr>
              <w:footnoteReference w:id="1"/>
            </w:r>
            <w:r>
              <w:rPr>
                <w:rFonts w:hint="eastAsia" w:ascii="方正仿宋_GBK" w:hAnsi="方正仿宋_GBK" w:eastAsia="方正仿宋_GBK" w:cs="方正仿宋_GBK"/>
                <w:snapToGrid w:val="0"/>
                <w:kern w:val="0"/>
                <w:sz w:val="18"/>
                <w:szCs w:val="18"/>
              </w:rPr>
              <w:t xml:space="preserve">： </w:t>
            </w:r>
          </w:p>
          <w:p w14:paraId="21CEC64C">
            <w:pPr>
              <w:autoSpaceDE w:val="0"/>
              <w:autoSpaceDN w:val="0"/>
              <w:adjustRightInd w:val="0"/>
              <w:snapToGrid w:val="0"/>
              <w:jc w:val="left"/>
              <w:rPr>
                <w:rFonts w:ascii="方正仿宋_GBK" w:hAnsi="方正仿宋_GBK" w:eastAsia="方正仿宋_GBK" w:cs="方正仿宋_GBK"/>
                <w:snapToGrid w:val="0"/>
                <w:color w:val="000000" w:themeColor="text1"/>
                <w:kern w:val="0"/>
                <w:sz w:val="18"/>
                <w:szCs w:val="18"/>
              </w:rPr>
            </w:pPr>
          </w:p>
        </w:tc>
        <w:tc>
          <w:tcPr>
            <w:tcW w:w="4455" w:type="dxa"/>
            <w:vAlign w:val="center"/>
          </w:tcPr>
          <w:p w14:paraId="2A77BDC9">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20.1 工程保险</w:t>
            </w:r>
          </w:p>
          <w:p w14:paraId="123E1B23">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建筑工程一切险和安装工程一切险由发包人投保。具体的投保内容、保险金额、保险期限等有关内容如下</w:t>
            </w:r>
            <w:r>
              <w:rPr>
                <w:rStyle w:val="20"/>
                <w:rFonts w:hint="default" w:ascii="方正仿宋_GBK" w:hAnsi="方正仿宋_GBK" w:eastAsia="方正仿宋_GBK" w:cs="方正仿宋_GBK"/>
                <w:snapToGrid w:val="0"/>
                <w:sz w:val="18"/>
                <w:szCs w:val="18"/>
              </w:rPr>
              <w:footnoteReference w:id="2"/>
            </w:r>
            <w:r>
              <w:rPr>
                <w:rFonts w:hint="eastAsia" w:ascii="方正仿宋_GBK" w:hAnsi="方正仿宋_GBK" w:eastAsia="方正仿宋_GBK" w:cs="方正仿宋_GBK"/>
                <w:snapToGrid w:val="0"/>
                <w:kern w:val="0"/>
                <w:sz w:val="18"/>
                <w:szCs w:val="18"/>
              </w:rPr>
              <w:t xml:space="preserve">： </w:t>
            </w:r>
          </w:p>
          <w:p w14:paraId="4AD636B7">
            <w:pPr>
              <w:autoSpaceDE w:val="0"/>
              <w:autoSpaceDN w:val="0"/>
              <w:adjustRightInd w:val="0"/>
              <w:snapToGrid w:val="0"/>
              <w:ind w:firstLine="360" w:firstLineChars="200"/>
              <w:jc w:val="left"/>
              <w:rPr>
                <w:rFonts w:ascii="方正仿宋_GBK" w:hAnsi="方正仿宋_GBK" w:eastAsia="方正仿宋_GBK" w:cs="方正仿宋_GBK"/>
                <w:sz w:val="18"/>
                <w:szCs w:val="18"/>
                <w:u w:val="single"/>
              </w:rPr>
            </w:pPr>
            <w:r>
              <w:rPr>
                <w:rFonts w:hint="eastAsia" w:ascii="方正仿宋_GBK" w:hAnsi="方正仿宋_GBK" w:eastAsia="方正仿宋_GBK" w:cs="方正仿宋_GBK"/>
                <w:sz w:val="18"/>
                <w:szCs w:val="18"/>
                <w:u w:val="single"/>
              </w:rPr>
              <w:t>承包人/发包人应购买并在本合同生效后至工程启动竣工验收签证书颁发之日止的期间内维持建筑和安装工程一切险，保险金额不低于被保险工程完成时的总价值，包括设备费用、原材料费用、安装费、建造费、运保费、关税、其他税项和相关费用，以及由发包人提供的原材料和设备的费用</w:t>
            </w:r>
          </w:p>
          <w:p w14:paraId="6969CE52">
            <w:pPr>
              <w:autoSpaceDE w:val="0"/>
              <w:autoSpaceDN w:val="0"/>
              <w:adjustRightInd w:val="0"/>
              <w:snapToGrid w:val="0"/>
              <w:ind w:firstLine="360" w:firstLineChars="200"/>
              <w:jc w:val="left"/>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z w:val="18"/>
                <w:szCs w:val="18"/>
                <w:u w:val="single"/>
              </w:rPr>
              <w:t>建筑和安装工程一切险应包括对构成工程或将并入工程的所有工程设备、材料或其他物品（不含施工机具）的下列风险：（1）直接因某些风险而对工程设备、材料造成实质上的损失和损害，包括暴风、暴雨、洪水、地震、冰雹、火灾、爆炸、暴动及内乱、第三方恶意行为及飞行物或交通工具造成的损失和损害；（2）工程启动或调试期间发生的机械和电气故障的风险。</w:t>
            </w:r>
          </w:p>
        </w:tc>
      </w:tr>
      <w:tr w14:paraId="72132B2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157FFC7">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0AE94F85">
            <w:pPr>
              <w:widowControl/>
              <w:rPr>
                <w:rFonts w:ascii="方正仿宋_GBK" w:hAnsi="方正仿宋_GBK" w:eastAsia="方正仿宋_GBK" w:cs="方正仿宋_GBK"/>
                <w:color w:val="000000" w:themeColor="text1"/>
                <w:kern w:val="0"/>
                <w:sz w:val="18"/>
                <w:szCs w:val="18"/>
              </w:rPr>
            </w:pPr>
            <w:r>
              <w:rPr>
                <w:rFonts w:hint="eastAsia" w:ascii="方正仿宋_GBK" w:hAnsi="方正仿宋_GBK" w:eastAsia="方正仿宋_GBK" w:cs="方正仿宋_GBK"/>
                <w:kern w:val="0"/>
                <w:sz w:val="18"/>
                <w:szCs w:val="18"/>
              </w:rPr>
              <w:t>专用条款</w:t>
            </w:r>
            <w:r>
              <w:rPr>
                <w:rFonts w:hint="eastAsia" w:ascii="方正仿宋_GBK" w:hAnsi="方正仿宋_GBK" w:eastAsia="方正仿宋_GBK" w:cs="方正仿宋_GBK"/>
                <w:snapToGrid w:val="0"/>
                <w:kern w:val="0"/>
                <w:sz w:val="18"/>
                <w:szCs w:val="18"/>
              </w:rPr>
              <w:t>20.4.2</w:t>
            </w:r>
          </w:p>
        </w:tc>
        <w:tc>
          <w:tcPr>
            <w:tcW w:w="3582" w:type="dxa"/>
            <w:vAlign w:val="center"/>
          </w:tcPr>
          <w:p w14:paraId="1DDE2E06">
            <w:pPr>
              <w:autoSpaceDE w:val="0"/>
              <w:autoSpaceDN w:val="0"/>
              <w:adjustRightInd w:val="0"/>
              <w:snapToGrid w:val="0"/>
              <w:ind w:firstLine="360" w:firstLineChars="200"/>
              <w:jc w:val="left"/>
              <w:rPr>
                <w:rFonts w:ascii="方正仿宋_GBK" w:hAnsi="方正仿宋_GBK" w:eastAsia="方正仿宋_GBK" w:cs="方正仿宋_GBK"/>
                <w:snapToGrid w:val="0"/>
                <w:color w:val="000000" w:themeColor="text1"/>
                <w:kern w:val="0"/>
                <w:sz w:val="18"/>
                <w:szCs w:val="18"/>
              </w:rPr>
            </w:pPr>
            <w:r>
              <w:rPr>
                <w:rFonts w:hint="eastAsia" w:ascii="方正仿宋_GBK" w:hAnsi="方正仿宋_GBK" w:eastAsia="方正仿宋_GBK" w:cs="方正仿宋_GBK"/>
                <w:snapToGrid w:val="0"/>
                <w:kern w:val="0"/>
                <w:sz w:val="18"/>
                <w:szCs w:val="18"/>
              </w:rPr>
              <w:t>20.4.2 在缺陷责任期终止证书颁发前，第三者责任险由发包人投保。具体的投保内容、保险金额、保险期限等有关内容如下</w:t>
            </w:r>
            <w:r>
              <w:rPr>
                <w:rStyle w:val="20"/>
                <w:rFonts w:hint="default" w:ascii="方正仿宋_GBK" w:hAnsi="方正仿宋_GBK" w:eastAsia="方正仿宋_GBK" w:cs="方正仿宋_GBK"/>
                <w:snapToGrid w:val="0"/>
                <w:sz w:val="18"/>
                <w:szCs w:val="18"/>
              </w:rPr>
              <w:footnoteReference w:id="3"/>
            </w:r>
            <w:r>
              <w:rPr>
                <w:rFonts w:hint="eastAsia" w:ascii="方正仿宋_GBK" w:hAnsi="方正仿宋_GBK" w:eastAsia="方正仿宋_GBK" w:cs="方正仿宋_GBK"/>
                <w:snapToGrid w:val="0"/>
                <w:kern w:val="0"/>
                <w:sz w:val="18"/>
                <w:szCs w:val="18"/>
              </w:rPr>
              <w:t xml:space="preserve">： </w:t>
            </w:r>
            <w:r>
              <w:rPr>
                <w:rFonts w:hint="eastAsia" w:ascii="方正仿宋_GBK" w:hAnsi="方正仿宋_GBK" w:eastAsia="方正仿宋_GBK" w:cs="方正仿宋_GBK"/>
                <w:sz w:val="18"/>
                <w:szCs w:val="18"/>
              </w:rPr>
              <w:t xml:space="preserve">。 </w:t>
            </w:r>
          </w:p>
        </w:tc>
        <w:tc>
          <w:tcPr>
            <w:tcW w:w="4455" w:type="dxa"/>
            <w:vAlign w:val="center"/>
          </w:tcPr>
          <w:p w14:paraId="4B9640D5">
            <w:pPr>
              <w:autoSpaceDE w:val="0"/>
              <w:autoSpaceDN w:val="0"/>
              <w:adjustRightInd w:val="0"/>
              <w:snapToGrid w:val="0"/>
              <w:ind w:firstLine="360" w:firstLineChars="200"/>
              <w:jc w:val="left"/>
              <w:rPr>
                <w:rFonts w:ascii="方正仿宋_GBK" w:hAnsi="方正仿宋_GBK" w:eastAsia="方正仿宋_GBK" w:cs="方正仿宋_GBK"/>
                <w:sz w:val="18"/>
                <w:szCs w:val="18"/>
                <w:u w:val="single"/>
              </w:rPr>
            </w:pPr>
            <w:r>
              <w:rPr>
                <w:rFonts w:hint="eastAsia" w:ascii="方正仿宋_GBK" w:hAnsi="方正仿宋_GBK" w:eastAsia="方正仿宋_GBK" w:cs="方正仿宋_GBK"/>
                <w:snapToGrid w:val="0"/>
                <w:kern w:val="0"/>
                <w:sz w:val="18"/>
                <w:szCs w:val="18"/>
              </w:rPr>
              <w:t>20.4.2 在缺陷责任期终止证书颁发前，第三者责任险由发包人投保。具体的投保内容、责任限额、保险期限等有关内容如下</w:t>
            </w:r>
            <w:r>
              <w:rPr>
                <w:rStyle w:val="20"/>
                <w:rFonts w:hint="default" w:ascii="方正仿宋_GBK" w:hAnsi="方正仿宋_GBK" w:eastAsia="方正仿宋_GBK" w:cs="方正仿宋_GBK"/>
                <w:snapToGrid w:val="0"/>
                <w:sz w:val="18"/>
                <w:szCs w:val="18"/>
              </w:rPr>
              <w:footnoteReference w:id="4"/>
            </w:r>
            <w:r>
              <w:rPr>
                <w:rFonts w:hint="eastAsia" w:ascii="方正仿宋_GBK" w:hAnsi="方正仿宋_GBK" w:eastAsia="方正仿宋_GBK" w:cs="方正仿宋_GBK"/>
                <w:snapToGrid w:val="0"/>
                <w:kern w:val="0"/>
                <w:sz w:val="18"/>
                <w:szCs w:val="18"/>
              </w:rPr>
              <w:t xml:space="preserve">： </w:t>
            </w:r>
          </w:p>
          <w:p w14:paraId="1B7E5809">
            <w:pPr>
              <w:autoSpaceDE w:val="0"/>
              <w:autoSpaceDN w:val="0"/>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u w:val="single"/>
              </w:rPr>
              <w:t xml:space="preserve">   第三者责任险应保护发包人和/或承包人不因发生与工程直接相关意外事故造成工地内及邻近区域第三方人身伤害、死亡和/或第三方财产损失而被索赔。责任限额执行保险合同及国家、国家电网有限公司相关文件规定要求。保险期限与工程保险保持一致。</w:t>
            </w:r>
          </w:p>
        </w:tc>
      </w:tr>
      <w:tr w14:paraId="61161F3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E4F3B07">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65E09C65">
            <w:pPr>
              <w:widowControl/>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kern w:val="0"/>
                <w:sz w:val="18"/>
                <w:szCs w:val="18"/>
              </w:rPr>
              <w:t>专用条款</w:t>
            </w:r>
            <w:r>
              <w:rPr>
                <w:rFonts w:hint="eastAsia" w:ascii="方正仿宋_GBK" w:hAnsi="方正仿宋_GBK" w:eastAsia="方正仿宋_GBK" w:cs="方正仿宋_GBK"/>
                <w:snapToGrid w:val="0"/>
                <w:kern w:val="0"/>
                <w:sz w:val="18"/>
                <w:szCs w:val="18"/>
              </w:rPr>
              <w:t>20.6.1</w:t>
            </w:r>
          </w:p>
        </w:tc>
        <w:tc>
          <w:tcPr>
            <w:tcW w:w="3582" w:type="dxa"/>
            <w:vAlign w:val="center"/>
          </w:tcPr>
          <w:p w14:paraId="274FF527">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20.6.1 保险凭证</w:t>
            </w:r>
          </w:p>
          <w:p w14:paraId="7CBF31D4">
            <w:pPr>
              <w:autoSpaceDE w:val="0"/>
              <w:autoSpaceDN w:val="0"/>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承包人应在合同生效后日内提交所投保险生效的证据和保险单副本。</w:t>
            </w:r>
          </w:p>
        </w:tc>
        <w:tc>
          <w:tcPr>
            <w:tcW w:w="4455" w:type="dxa"/>
            <w:vAlign w:val="center"/>
          </w:tcPr>
          <w:p w14:paraId="61C34955">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20.6.1 保险凭证</w:t>
            </w:r>
          </w:p>
          <w:p w14:paraId="6CF6A6A4">
            <w:pPr>
              <w:autoSpaceDE w:val="0"/>
              <w:autoSpaceDN w:val="0"/>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承包人应在合同生效后</w:t>
            </w:r>
            <w:r>
              <w:rPr>
                <w:rFonts w:hint="eastAsia" w:ascii="方正仿宋_GBK" w:hAnsi="方正仿宋_GBK" w:eastAsia="方正仿宋_GBK" w:cs="方正仿宋_GBK"/>
                <w:snapToGrid w:val="0"/>
                <w:kern w:val="0"/>
                <w:sz w:val="18"/>
                <w:szCs w:val="18"/>
                <w:u w:val="single"/>
              </w:rPr>
              <w:t xml:space="preserve">  60   </w:t>
            </w:r>
            <w:r>
              <w:rPr>
                <w:rFonts w:hint="eastAsia" w:ascii="方正仿宋_GBK" w:hAnsi="方正仿宋_GBK" w:eastAsia="方正仿宋_GBK" w:cs="方正仿宋_GBK"/>
                <w:snapToGrid w:val="0"/>
                <w:kern w:val="0"/>
                <w:sz w:val="18"/>
                <w:szCs w:val="18"/>
              </w:rPr>
              <w:t>日内提交所投保险生效的证据和保险单副本。</w:t>
            </w:r>
          </w:p>
        </w:tc>
      </w:tr>
      <w:tr w14:paraId="212954D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A009016">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207E2E94">
            <w:pPr>
              <w:widowControl/>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kern w:val="0"/>
                <w:sz w:val="18"/>
                <w:szCs w:val="18"/>
              </w:rPr>
              <w:t>专用条款</w:t>
            </w:r>
            <w:r>
              <w:rPr>
                <w:rFonts w:hint="eastAsia" w:ascii="方正仿宋_GBK" w:hAnsi="方正仿宋_GBK" w:eastAsia="方正仿宋_GBK" w:cs="方正仿宋_GBK"/>
                <w:sz w:val="18"/>
                <w:szCs w:val="18"/>
              </w:rPr>
              <w:t>20.6.10（增加）</w:t>
            </w:r>
          </w:p>
        </w:tc>
        <w:tc>
          <w:tcPr>
            <w:tcW w:w="3582" w:type="dxa"/>
            <w:vAlign w:val="center"/>
          </w:tcPr>
          <w:p w14:paraId="32D9B5E3">
            <w:pPr>
              <w:autoSpaceDE w:val="0"/>
              <w:autoSpaceDN w:val="0"/>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无</w:t>
            </w:r>
          </w:p>
        </w:tc>
        <w:tc>
          <w:tcPr>
            <w:tcW w:w="4455" w:type="dxa"/>
            <w:vAlign w:val="center"/>
          </w:tcPr>
          <w:p w14:paraId="4BA8DA04">
            <w:pPr>
              <w:autoSpaceDE w:val="0"/>
              <w:autoSpaceDN w:val="0"/>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20.6.10（增加）：</w:t>
            </w:r>
          </w:p>
          <w:p w14:paraId="4E205916">
            <w:pPr>
              <w:autoSpaceDE w:val="0"/>
              <w:autoSpaceDN w:val="0"/>
              <w:adjustRightInd w:val="0"/>
              <w:snapToGrid w:val="0"/>
              <w:jc w:val="lef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1.承包人应按照《安全生产责任保险实施办法》（安监总办〔2017〕140号）规定投保安全生产责任保险。</w:t>
            </w:r>
          </w:p>
          <w:p w14:paraId="4115FED6">
            <w:pPr>
              <w:autoSpaceDE w:val="0"/>
              <w:autoSpaceDN w:val="0"/>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2.承包人应按照《建设工程安全管理条例》第三十八条要求，为施工现场从事危险作业的人员办理意外伤害保险。意外伤害保险期限自建设工程开工之日起至竣工验收合格止。</w:t>
            </w:r>
          </w:p>
        </w:tc>
      </w:tr>
      <w:tr w14:paraId="2E9919E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2C2E95D">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11B04BE7">
            <w:pPr>
              <w:widowControl/>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kern w:val="0"/>
                <w:sz w:val="18"/>
                <w:szCs w:val="18"/>
              </w:rPr>
              <w:t>专用条款</w:t>
            </w:r>
            <w:r>
              <w:rPr>
                <w:rFonts w:hint="eastAsia" w:ascii="方正仿宋_GBK" w:hAnsi="方正仿宋_GBK" w:eastAsia="方正仿宋_GBK" w:cs="方正仿宋_GBK"/>
                <w:sz w:val="18"/>
                <w:szCs w:val="18"/>
              </w:rPr>
              <w:t>22.1.1（14）（新增）</w:t>
            </w:r>
          </w:p>
        </w:tc>
        <w:tc>
          <w:tcPr>
            <w:tcW w:w="3582" w:type="dxa"/>
            <w:vAlign w:val="center"/>
          </w:tcPr>
          <w:p w14:paraId="40E7EF62">
            <w:pPr>
              <w:autoSpaceDE w:val="0"/>
              <w:autoSpaceDN w:val="0"/>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无</w:t>
            </w:r>
          </w:p>
        </w:tc>
        <w:tc>
          <w:tcPr>
            <w:tcW w:w="4455" w:type="dxa"/>
            <w:vAlign w:val="center"/>
          </w:tcPr>
          <w:p w14:paraId="7470F093">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b/>
                <w:bCs/>
                <w:snapToGrid w:val="0"/>
                <w:kern w:val="0"/>
                <w:sz w:val="18"/>
                <w:szCs w:val="18"/>
              </w:rPr>
              <w:t>22.1.1（14）（增加）：</w:t>
            </w:r>
          </w:p>
          <w:p w14:paraId="2F1DBFD8">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 xml:space="preserve">有下列情形之一的，属于承包人违约： </w:t>
            </w:r>
          </w:p>
          <w:p w14:paraId="224ADF84">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 xml:space="preserve">1）承包人项目经理因“不能胜任所承担的工程任务，发包人要求更换”原因被要求变更项目经理的。 </w:t>
            </w:r>
          </w:p>
          <w:p w14:paraId="46DC563B">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 xml:space="preserve">2）半年内两次以上以“变更工作单位”或“罹患严重疾病需要治疗或者修养，时间在一个月以上或者超过合同工期二分之一以上”理由变更项目经理的。 </w:t>
            </w:r>
          </w:p>
          <w:p w14:paraId="52D49F3F">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3）拟选派项目经理以项目经理变更前的业绩作为招标文件对项目经理要求业绩之一的。</w:t>
            </w:r>
          </w:p>
          <w:p w14:paraId="210412CB">
            <w:pPr>
              <w:autoSpaceDE w:val="0"/>
              <w:autoSpaceDN w:val="0"/>
              <w:adjustRightInd w:val="0"/>
              <w:snapToGrid w:val="0"/>
              <w:jc w:val="left"/>
              <w:rPr>
                <w:rFonts w:ascii="方正仿宋_GBK" w:hAnsi="方正仿宋_GBK" w:eastAsia="方正仿宋_GBK" w:cs="方正仿宋_GBK"/>
                <w:snapToGrid w:val="0"/>
                <w:kern w:val="0"/>
                <w:sz w:val="18"/>
                <w:szCs w:val="18"/>
                <w:u w:val="single"/>
              </w:rPr>
            </w:pPr>
            <w:r>
              <w:rPr>
                <w:rFonts w:hint="eastAsia" w:ascii="方正仿宋_GBK" w:hAnsi="方正仿宋_GBK" w:eastAsia="方正仿宋_GBK" w:cs="方正仿宋_GBK"/>
                <w:snapToGrid w:val="0"/>
                <w:kern w:val="0"/>
                <w:sz w:val="18"/>
                <w:szCs w:val="18"/>
                <w:u w:val="single"/>
              </w:rPr>
              <w:t>4）未先征得发包人同意而擅自更换项目经理的;或更换项目经理未按照4.6.6(4)要求提供必要证明文件的;或继任项目经理低于原项目经理资格条件的;或未按照4.6.6(1)要求进行</w:t>
            </w:r>
            <w:r>
              <w:rPr>
                <w:rFonts w:hint="eastAsia" w:ascii="方正仿宋_GBK" w:hAnsi="方正仿宋_GBK" w:eastAsia="方正仿宋_GBK" w:cs="方正仿宋_GBK"/>
                <w:snapToGrid w:val="0"/>
                <w:kern w:val="0"/>
                <w:sz w:val="18"/>
                <w:szCs w:val="18"/>
                <w:u w:val="single"/>
                <w:lang w:val="en-US" w:eastAsia="zh-CN"/>
              </w:rPr>
              <w:t>执业资格证书</w:t>
            </w:r>
            <w:r>
              <w:rPr>
                <w:rFonts w:hint="eastAsia" w:ascii="方正仿宋_GBK" w:hAnsi="方正仿宋_GBK" w:eastAsia="方正仿宋_GBK" w:cs="方正仿宋_GBK"/>
                <w:snapToGrid w:val="0"/>
                <w:kern w:val="0"/>
                <w:sz w:val="18"/>
                <w:szCs w:val="18"/>
                <w:u w:val="single"/>
              </w:rPr>
              <w:t>管理的。</w:t>
            </w:r>
          </w:p>
          <w:p w14:paraId="3047D795">
            <w:pPr>
              <w:autoSpaceDE w:val="0"/>
              <w:autoSpaceDN w:val="0"/>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承包人未按照国家有关规定、国家电网有限公司规章制度、项目环保水保方案及批复、设计文件等要求开展现场环保水保施工工作，存在环保水保问题的。</w:t>
            </w:r>
          </w:p>
        </w:tc>
      </w:tr>
      <w:tr w14:paraId="42CF6C6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1AE5D32">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4DBA903D">
            <w:pPr>
              <w:snapToGrid w:val="0"/>
              <w:spacing w:line="240" w:lineRule="atLeast"/>
              <w:jc w:val="left"/>
              <w:rPr>
                <w:rFonts w:ascii="方正仿宋_GBK" w:hAnsi="方正仿宋_GBK" w:eastAsia="方正仿宋_GBK" w:cs="方正仿宋_GBK"/>
                <w:color w:val="000000" w:themeColor="text1"/>
                <w:sz w:val="18"/>
                <w:szCs w:val="18"/>
              </w:rPr>
            </w:pPr>
            <w:r>
              <w:rPr>
                <w:rStyle w:val="53"/>
                <w:rFonts w:hint="eastAsia" w:ascii="方正仿宋_GBK" w:hAnsi="方正仿宋_GBK" w:eastAsia="方正仿宋_GBK" w:cs="方正仿宋_GBK"/>
                <w:kern w:val="0"/>
                <w:sz w:val="18"/>
                <w:szCs w:val="18"/>
              </w:rPr>
              <w:t>专用条款22.1.1（15）</w:t>
            </w:r>
            <w:r>
              <w:rPr>
                <w:rFonts w:hint="eastAsia" w:ascii="方正仿宋_GBK" w:hAnsi="方正仿宋_GBK" w:eastAsia="方正仿宋_GBK" w:cs="方正仿宋_GBK"/>
                <w:b/>
                <w:sz w:val="18"/>
                <w:szCs w:val="18"/>
              </w:rPr>
              <w:t>（增加）</w:t>
            </w:r>
          </w:p>
        </w:tc>
        <w:tc>
          <w:tcPr>
            <w:tcW w:w="3582" w:type="dxa"/>
            <w:vAlign w:val="center"/>
          </w:tcPr>
          <w:p w14:paraId="1A3CC9FF">
            <w:pPr>
              <w:snapToGrid w:val="0"/>
              <w:spacing w:line="240" w:lineRule="atLeast"/>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新增</w:t>
            </w:r>
          </w:p>
        </w:tc>
        <w:tc>
          <w:tcPr>
            <w:tcW w:w="4455" w:type="dxa"/>
            <w:vAlign w:val="center"/>
          </w:tcPr>
          <w:p w14:paraId="5C37F07F">
            <w:pPr>
              <w:autoSpaceDE w:val="0"/>
              <w:autoSpaceDN w:val="0"/>
              <w:adjustRightInd w:val="0"/>
              <w:snapToGrid w:val="0"/>
              <w:jc w:val="left"/>
              <w:rPr>
                <w:rStyle w:val="53"/>
                <w:rFonts w:ascii="方正仿宋_GBK" w:hAnsi="方正仿宋_GBK" w:eastAsia="方正仿宋_GBK" w:cs="方正仿宋_GBK"/>
                <w:snapToGrid w:val="0"/>
                <w:kern w:val="0"/>
                <w:sz w:val="18"/>
                <w:szCs w:val="18"/>
              </w:rPr>
            </w:pPr>
            <w:r>
              <w:rPr>
                <w:rStyle w:val="53"/>
                <w:rFonts w:hint="eastAsia" w:ascii="方正仿宋_GBK" w:hAnsi="方正仿宋_GBK" w:eastAsia="方正仿宋_GBK" w:cs="方正仿宋_GBK"/>
                <w:snapToGrid w:val="0"/>
                <w:kern w:val="0"/>
                <w:sz w:val="18"/>
                <w:szCs w:val="18"/>
              </w:rPr>
              <w:t>22.1.1（15）增加</w:t>
            </w:r>
          </w:p>
          <w:p w14:paraId="10412DED">
            <w:pPr>
              <w:autoSpaceDE w:val="0"/>
              <w:autoSpaceDN w:val="0"/>
              <w:adjustRightInd w:val="0"/>
              <w:snapToGrid w:val="0"/>
              <w:jc w:val="left"/>
              <w:rPr>
                <w:rStyle w:val="53"/>
                <w:rFonts w:ascii="方正仿宋_GBK" w:hAnsi="方正仿宋_GBK" w:eastAsia="方正仿宋_GBK" w:cs="方正仿宋_GBK"/>
                <w:snapToGrid w:val="0"/>
                <w:kern w:val="0"/>
                <w:sz w:val="18"/>
                <w:szCs w:val="18"/>
              </w:rPr>
            </w:pPr>
            <w:r>
              <w:rPr>
                <w:rStyle w:val="53"/>
                <w:rFonts w:hint="eastAsia" w:ascii="方正仿宋_GBK" w:hAnsi="方正仿宋_GBK" w:eastAsia="方正仿宋_GBK" w:cs="方正仿宋_GBK"/>
                <w:snapToGrid w:val="0"/>
                <w:kern w:val="0"/>
                <w:sz w:val="18"/>
                <w:szCs w:val="18"/>
              </w:rPr>
              <w:t>各施工承包人应严格落实《国务院办公厅转发国家发改委关于在重点工程项目中大力实施以工代赈 促进当地群众就业增收工作方案的通知》（国办函〔2022〕58号）、《国家发展改革委等部门关于印发2022年度适用以工代振的国家重点工程项目清单的通知》（发改振兴〔2022〕1563号）等有关以工代赈的要求，做好以工代赈工作，充分吸纳带动更多项目所在地群众实现就近就业增收；同时，充分吸纳中西部欠发达地区农民工参与工程项目建设。重点包括不限于：</w:t>
            </w:r>
          </w:p>
          <w:p w14:paraId="1B53DDD2">
            <w:pPr>
              <w:autoSpaceDE w:val="0"/>
              <w:autoSpaceDN w:val="0"/>
              <w:adjustRightInd w:val="0"/>
              <w:snapToGrid w:val="0"/>
              <w:jc w:val="left"/>
              <w:rPr>
                <w:rStyle w:val="53"/>
                <w:rFonts w:ascii="方正仿宋_GBK" w:hAnsi="方正仿宋_GBK" w:eastAsia="方正仿宋_GBK" w:cs="方正仿宋_GBK"/>
                <w:snapToGrid w:val="0"/>
                <w:kern w:val="0"/>
                <w:sz w:val="18"/>
                <w:szCs w:val="18"/>
              </w:rPr>
            </w:pPr>
            <w:r>
              <w:rPr>
                <w:rStyle w:val="53"/>
                <w:rFonts w:hint="eastAsia" w:ascii="方正仿宋_GBK" w:hAnsi="方正仿宋_GBK" w:eastAsia="方正仿宋_GBK" w:cs="方正仿宋_GBK"/>
                <w:snapToGrid w:val="0"/>
                <w:kern w:val="0"/>
                <w:sz w:val="18"/>
                <w:szCs w:val="18"/>
              </w:rPr>
              <w:t>1.及时掌握属地政府和上级单位有关要求，尽量扩充以工代赈就业岗位，合理确定以工代赈劳务报酬标准，尽可能增加劳务报酬发放规模。</w:t>
            </w:r>
          </w:p>
          <w:p w14:paraId="6DE0183A">
            <w:pPr>
              <w:autoSpaceDE w:val="0"/>
              <w:autoSpaceDN w:val="0"/>
              <w:adjustRightInd w:val="0"/>
              <w:snapToGrid w:val="0"/>
              <w:jc w:val="left"/>
              <w:rPr>
                <w:rStyle w:val="53"/>
                <w:rFonts w:ascii="方正仿宋_GBK" w:hAnsi="方正仿宋_GBK" w:eastAsia="方正仿宋_GBK" w:cs="方正仿宋_GBK"/>
                <w:snapToGrid w:val="0"/>
                <w:kern w:val="0"/>
                <w:sz w:val="18"/>
                <w:szCs w:val="18"/>
              </w:rPr>
            </w:pPr>
            <w:r>
              <w:rPr>
                <w:rStyle w:val="53"/>
                <w:rFonts w:hint="eastAsia" w:ascii="方正仿宋_GBK" w:hAnsi="方正仿宋_GBK" w:eastAsia="方正仿宋_GBK" w:cs="方正仿宋_GBK"/>
                <w:snapToGrid w:val="0"/>
                <w:kern w:val="0"/>
                <w:sz w:val="18"/>
                <w:szCs w:val="18"/>
              </w:rPr>
              <w:t>2.及时与项目所在地县政府充分沟通，按照当地政府要求，充分利用项目施工场地机械设备等，开展劳动技能培训和安全生产培训。组织工程项目有针对性地开展劳动技能培训和安全生产培训，培养熟练劳动力。</w:t>
            </w:r>
          </w:p>
          <w:p w14:paraId="0B891B59">
            <w:pPr>
              <w:autoSpaceDE w:val="0"/>
              <w:autoSpaceDN w:val="0"/>
              <w:adjustRightInd w:val="0"/>
              <w:snapToGrid w:val="0"/>
              <w:jc w:val="left"/>
              <w:rPr>
                <w:rStyle w:val="53"/>
                <w:rFonts w:ascii="方正仿宋_GBK" w:hAnsi="方正仿宋_GBK" w:eastAsia="方正仿宋_GBK" w:cs="方正仿宋_GBK"/>
                <w:snapToGrid w:val="0"/>
                <w:kern w:val="0"/>
                <w:sz w:val="18"/>
                <w:szCs w:val="18"/>
              </w:rPr>
            </w:pPr>
            <w:r>
              <w:rPr>
                <w:rStyle w:val="53"/>
                <w:rFonts w:hint="eastAsia" w:ascii="方正仿宋_GBK" w:hAnsi="方正仿宋_GBK" w:eastAsia="方正仿宋_GBK" w:cs="方正仿宋_GBK"/>
                <w:snapToGrid w:val="0"/>
                <w:kern w:val="0"/>
                <w:sz w:val="18"/>
                <w:szCs w:val="18"/>
              </w:rPr>
              <w:t>3.规范用工名册和劳务报酬发放台账，经务工人员签字确认后，原则上将劳务报酬通过银行卡发放至本人，并将劳务报酬发放台账送县级相关部门备案。坚决杜绝劳务报酬发放过程中拖欠克扣、弄虚作假等行为。</w:t>
            </w:r>
          </w:p>
          <w:p w14:paraId="65DE171B">
            <w:pPr>
              <w:autoSpaceDE w:val="0"/>
              <w:autoSpaceDN w:val="0"/>
              <w:adjustRightInd w:val="0"/>
              <w:snapToGrid w:val="0"/>
              <w:jc w:val="left"/>
              <w:rPr>
                <w:rFonts w:ascii="方正仿宋_GBK" w:hAnsi="方正仿宋_GBK" w:eastAsia="方正仿宋_GBK" w:cs="方正仿宋_GBK"/>
                <w:color w:val="000000" w:themeColor="text1"/>
                <w:sz w:val="18"/>
                <w:szCs w:val="18"/>
              </w:rPr>
            </w:pPr>
            <w:r>
              <w:rPr>
                <w:rStyle w:val="53"/>
                <w:rFonts w:hint="eastAsia" w:ascii="方正仿宋_GBK" w:hAnsi="方正仿宋_GBK" w:eastAsia="方正仿宋_GBK" w:cs="方正仿宋_GBK"/>
                <w:snapToGrid w:val="0"/>
                <w:kern w:val="0"/>
                <w:sz w:val="18"/>
                <w:szCs w:val="18"/>
              </w:rPr>
              <w:t>做好以工代赈策划、执行、统计、自评价工作，积极配合竣工验收评价等工作。</w:t>
            </w:r>
          </w:p>
        </w:tc>
      </w:tr>
      <w:tr w14:paraId="07F5066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DFD6A14">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75FAC720">
            <w:pPr>
              <w:widowControl/>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kern w:val="0"/>
                <w:sz w:val="18"/>
                <w:szCs w:val="18"/>
              </w:rPr>
              <w:t>专用条款</w:t>
            </w:r>
            <w:r>
              <w:rPr>
                <w:rFonts w:hint="eastAsia" w:ascii="方正仿宋_GBK" w:hAnsi="方正仿宋_GBK" w:eastAsia="方正仿宋_GBK" w:cs="方正仿宋_GBK"/>
                <w:snapToGrid w:val="0"/>
                <w:kern w:val="0"/>
                <w:sz w:val="18"/>
                <w:szCs w:val="18"/>
              </w:rPr>
              <w:t>22.1.2</w:t>
            </w:r>
          </w:p>
        </w:tc>
        <w:tc>
          <w:tcPr>
            <w:tcW w:w="3582" w:type="dxa"/>
            <w:vAlign w:val="center"/>
          </w:tcPr>
          <w:p w14:paraId="4DC4CF57">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22.1.2 修改为：</w:t>
            </w:r>
          </w:p>
          <w:p w14:paraId="4529BE30">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（1）承包人发生第22.1.1（1）目约定的违约情况时，承包人应向发包人支付签约合同价的%的违约金，且发包人有权解除本合同。</w:t>
            </w:r>
          </w:p>
          <w:p w14:paraId="0279EEAC">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（2）承包人发生第22.1.1（4）目约定的违约情况时，每延误一日，承包人应向发包人支付签约合同价‰的违约金；延误超过60日的，发包人有权解除合同，承包人应向发包人支付签约合同价%的违约金。</w:t>
            </w:r>
          </w:p>
          <w:p w14:paraId="38AC04F6">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 xml:space="preserve">（3）承包人发生第22.1.1（6）目约定的违约情况时，发包人可通知承包人立即解除合同，可按以下约定的违约责任进行处理： </w:t>
            </w:r>
          </w:p>
          <w:p w14:paraId="5125081E">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z w:val="18"/>
                <w:szCs w:val="18"/>
              </w:rPr>
              <w:t>承包人应在30天内向发包人退还所有已支付费用，并支付签约合同价%的违约金。</w:t>
            </w:r>
          </w:p>
          <w:p w14:paraId="3E7986E6">
            <w:pPr>
              <w:autoSpaceDE w:val="0"/>
              <w:autoSpaceDN w:val="0"/>
              <w:adjustRightInd w:val="0"/>
              <w:snapToGrid w:val="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4）承包人发生第22.1.1（8）目约定的违约情况时，承包人应及时负责采取有效措施直至符合规定标准，承包人应向发包人支付签约签约合同价%的违约金，并应承担由此引起的一切额外费用，且发包人有权解除合同。</w:t>
            </w:r>
          </w:p>
          <w:p w14:paraId="4359551D">
            <w:pPr>
              <w:pStyle w:val="48"/>
              <w:ind w:firstLine="0" w:firstLineChars="0"/>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5）承包人发生除第22.1.1（4）、（6）、（8）目约定以外的其他违约情况时，发包人或监理人可向承包人发出整改通知，要求其在指定的期限内改正，由于以上原因造成工程延期交付的视同延误工期，承包人应按照本条第22.1.2（2）目约定的方式承担违约责任，并承担其违约所引起的费用增加和（或）工期延误责任；</w:t>
            </w:r>
            <w:r>
              <w:rPr>
                <w:rFonts w:hint="eastAsia" w:ascii="方正仿宋_GBK" w:hAnsi="方正仿宋_GBK" w:eastAsia="方正仿宋_GBK" w:cs="方正仿宋_GBK"/>
                <w:sz w:val="18"/>
                <w:szCs w:val="18"/>
              </w:rPr>
              <w:t>若承包人逾期整改，或整改后不符合发包人要求的，发包人有权解除合同，承包人应向发包人支付签约合同价%的违约金，并应承担由此引起的一切额外费用。</w:t>
            </w:r>
          </w:p>
          <w:p w14:paraId="22568196">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（6）施工期间发生重大责任事故的，承包人应承担全部事故责任，承包人应向发包人支付签约合同价%的违约金，并应承担由此引起的一切额外费用，且发包人有权解除合同。</w:t>
            </w:r>
          </w:p>
          <w:p w14:paraId="2E7E6EC6">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（7）承包人违反本合同通用条款第1.11款约定义务的，</w:t>
            </w:r>
            <w:r>
              <w:rPr>
                <w:rFonts w:hint="eastAsia" w:ascii="方正仿宋_GBK" w:hAnsi="方正仿宋_GBK" w:eastAsia="方正仿宋_GBK" w:cs="方正仿宋_GBK"/>
                <w:sz w:val="18"/>
                <w:szCs w:val="18"/>
              </w:rPr>
              <w:t>发包人有权要求承包人承担合同价%的违约金，并有权解除本合同。</w:t>
            </w:r>
            <w:r>
              <w:rPr>
                <w:rFonts w:hint="eastAsia" w:ascii="方正仿宋_GBK" w:hAnsi="方正仿宋_GBK" w:eastAsia="方正仿宋_GBK" w:cs="方正仿宋_GBK"/>
                <w:snapToGrid w:val="0"/>
                <w:kern w:val="0"/>
                <w:sz w:val="18"/>
                <w:szCs w:val="18"/>
              </w:rPr>
              <w:t xml:space="preserve">承包人未经发包人同意转让或许可第三方使用发包人所有的技术成果和知识产权的，所获收益归发包人所有。 </w:t>
            </w:r>
          </w:p>
          <w:p w14:paraId="49C48F4B">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（8）承包人违反</w:t>
            </w:r>
            <w:r>
              <w:rPr>
                <w:rFonts w:hint="eastAsia" w:ascii="方正仿宋_GBK" w:hAnsi="方正仿宋_GBK" w:eastAsia="方正仿宋_GBK" w:cs="方正仿宋_GBK"/>
                <w:sz w:val="18"/>
                <w:szCs w:val="18"/>
              </w:rPr>
              <w:t>本合同</w:t>
            </w:r>
            <w:r>
              <w:rPr>
                <w:rFonts w:hint="eastAsia" w:ascii="方正仿宋_GBK" w:hAnsi="方正仿宋_GBK" w:eastAsia="方正仿宋_GBK" w:cs="方正仿宋_GBK"/>
                <w:snapToGrid w:val="0"/>
                <w:kern w:val="0"/>
                <w:sz w:val="18"/>
                <w:szCs w:val="18"/>
              </w:rPr>
              <w:t>通用条款</w:t>
            </w:r>
            <w:r>
              <w:rPr>
                <w:rFonts w:hint="eastAsia" w:ascii="方正仿宋_GBK" w:hAnsi="方正仿宋_GBK" w:eastAsia="方正仿宋_GBK" w:cs="方正仿宋_GBK"/>
                <w:sz w:val="18"/>
                <w:szCs w:val="18"/>
              </w:rPr>
              <w:t>第1.12款约定义务的</w:t>
            </w:r>
            <w:r>
              <w:rPr>
                <w:rFonts w:hint="eastAsia" w:ascii="方正仿宋_GBK" w:hAnsi="方正仿宋_GBK" w:eastAsia="方正仿宋_GBK" w:cs="方正仿宋_GBK"/>
                <w:snapToGrid w:val="0"/>
                <w:kern w:val="0"/>
                <w:sz w:val="18"/>
                <w:szCs w:val="18"/>
              </w:rPr>
              <w:t>，</w:t>
            </w:r>
            <w:r>
              <w:rPr>
                <w:rFonts w:hint="eastAsia" w:ascii="方正仿宋_GBK" w:hAnsi="方正仿宋_GBK" w:eastAsia="方正仿宋_GBK" w:cs="方正仿宋_GBK"/>
                <w:sz w:val="18"/>
                <w:szCs w:val="18"/>
              </w:rPr>
              <w:t>应向发包人支付</w:t>
            </w:r>
            <w:r>
              <w:rPr>
                <w:rFonts w:hint="eastAsia" w:ascii="方正仿宋_GBK" w:hAnsi="方正仿宋_GBK" w:eastAsia="方正仿宋_GBK" w:cs="方正仿宋_GBK"/>
                <w:snapToGrid w:val="0"/>
                <w:sz w:val="18"/>
                <w:szCs w:val="18"/>
              </w:rPr>
              <w:t>签约合同价%</w:t>
            </w:r>
            <w:r>
              <w:rPr>
                <w:rFonts w:hint="eastAsia" w:ascii="方正仿宋_GBK" w:hAnsi="方正仿宋_GBK" w:eastAsia="方正仿宋_GBK" w:cs="方正仿宋_GBK"/>
                <w:sz w:val="18"/>
                <w:szCs w:val="18"/>
              </w:rPr>
              <w:t>的违约金，并</w:t>
            </w:r>
            <w:r>
              <w:rPr>
                <w:rFonts w:hint="eastAsia" w:ascii="方正仿宋_GBK" w:hAnsi="方正仿宋_GBK" w:eastAsia="方正仿宋_GBK" w:cs="方正仿宋_GBK"/>
                <w:snapToGrid w:val="0"/>
                <w:kern w:val="0"/>
                <w:sz w:val="18"/>
                <w:szCs w:val="18"/>
              </w:rPr>
              <w:t>应承担一切法律责任。</w:t>
            </w:r>
          </w:p>
          <w:p w14:paraId="49219EFD">
            <w:pPr>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 xml:space="preserve">（9）若因承包人违约导致合同解除的，则合同结算金额按经发包人确认后的实际工程量结算确认，但承包人应向发包人承担签约合同价%的违约金。 </w:t>
            </w:r>
          </w:p>
          <w:p w14:paraId="6432373A">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（10）承包人发生第22.1.1（11）目约定的违约情况时，承包人应向发包人支付签约合同价%的违约金，并应承担相应法律责任。</w:t>
            </w:r>
          </w:p>
          <w:p w14:paraId="24CB7DF7">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（11）承包人发生第22.1.1（12）目约定的违约情况时，承包人应向发包人支付签约合同价%的违约金，并应承担相应法律责任。</w:t>
            </w:r>
          </w:p>
          <w:p w14:paraId="5CA09466">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（12）承包人发生第22.1.1（13）目约定的违约情况时，承包人应向发包人支付签约合同价%的违约金，并应承担相应法律责任。</w:t>
            </w:r>
          </w:p>
          <w:p w14:paraId="1AD14B81">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（13）承包人违约除应承担相应违约责任外，发包人向承包人主张权利所产生的费用亦由承包方承担。</w:t>
            </w:r>
          </w:p>
          <w:p w14:paraId="5DE3597E">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（14）承包人应支付和承担的所有违约金及赔偿金，发包人可以直接从应付给承包人的任何款项中扣除。</w:t>
            </w:r>
          </w:p>
          <w:p w14:paraId="565D7A7D">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15）承包人违反17.4.1条约定，逾期不提交质量保证金担保或者提交的质量保证金担保不符合要求的，如不能发生视为承包人选择以现金保证金替代质量保证金保函或工程质量保证保险的后果，承包人应立即向发包人提供现金担保或银行担保，应向发包人支付质量保证金金额%的违约金，并应承担由此给发包人造成的全部损失。</w:t>
            </w:r>
          </w:p>
          <w:p w14:paraId="6E7DEFEF">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（16）承包人应承担的其他违约责任：</w:t>
            </w:r>
          </w:p>
          <w:p w14:paraId="4BA90C0D">
            <w:pPr>
              <w:autoSpaceDE w:val="0"/>
              <w:autoSpaceDN w:val="0"/>
              <w:adjustRightInd w:val="0"/>
              <w:snapToGrid w:val="0"/>
              <w:jc w:val="left"/>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napToGrid w:val="0"/>
                <w:kern w:val="0"/>
                <w:sz w:val="18"/>
                <w:szCs w:val="18"/>
              </w:rPr>
              <w:t xml:space="preserve">。 </w:t>
            </w:r>
          </w:p>
        </w:tc>
        <w:tc>
          <w:tcPr>
            <w:tcW w:w="4455" w:type="dxa"/>
            <w:vAlign w:val="center"/>
          </w:tcPr>
          <w:p w14:paraId="1836C1EE">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22.1.2 修改为：</w:t>
            </w:r>
          </w:p>
          <w:p w14:paraId="6497C3B7">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（1）承包人发生第22.1.1（1）目约定的违约情况时，承包人应向发包人支付签约合同价的</w:t>
            </w:r>
            <w:r>
              <w:rPr>
                <w:rFonts w:hint="eastAsia" w:ascii="方正仿宋_GBK" w:hAnsi="方正仿宋_GBK" w:eastAsia="方正仿宋_GBK" w:cs="方正仿宋_GBK"/>
                <w:snapToGrid w:val="0"/>
                <w:kern w:val="0"/>
                <w:sz w:val="18"/>
                <w:szCs w:val="18"/>
                <w:u w:val="single"/>
              </w:rPr>
              <w:t xml:space="preserve">  10   </w:t>
            </w:r>
            <w:r>
              <w:rPr>
                <w:rFonts w:hint="eastAsia" w:ascii="方正仿宋_GBK" w:hAnsi="方正仿宋_GBK" w:eastAsia="方正仿宋_GBK" w:cs="方正仿宋_GBK"/>
                <w:snapToGrid w:val="0"/>
                <w:kern w:val="0"/>
                <w:sz w:val="18"/>
                <w:szCs w:val="18"/>
              </w:rPr>
              <w:t xml:space="preserve"> %的违约金，且发包人有权解除本合同。</w:t>
            </w:r>
          </w:p>
          <w:p w14:paraId="431A7FF9">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（2）承包人发生第22.1.1（4）目约定的违约情况时，每延误一日，承包人应向发包人支付签约合同价</w:t>
            </w:r>
            <w:r>
              <w:rPr>
                <w:rFonts w:hint="eastAsia" w:ascii="方正仿宋_GBK" w:hAnsi="方正仿宋_GBK" w:eastAsia="方正仿宋_GBK" w:cs="方正仿宋_GBK"/>
                <w:snapToGrid w:val="0"/>
                <w:kern w:val="0"/>
                <w:sz w:val="18"/>
                <w:szCs w:val="18"/>
                <w:u w:val="single"/>
              </w:rPr>
              <w:t xml:space="preserve">  0.2   </w:t>
            </w:r>
            <w:r>
              <w:rPr>
                <w:rFonts w:hint="eastAsia" w:ascii="方正仿宋_GBK" w:hAnsi="方正仿宋_GBK" w:eastAsia="方正仿宋_GBK" w:cs="方正仿宋_GBK"/>
                <w:snapToGrid w:val="0"/>
                <w:kern w:val="0"/>
                <w:sz w:val="18"/>
                <w:szCs w:val="18"/>
              </w:rPr>
              <w:t>‰的违约金；延误超过60日的，发包人有权解除合同，承包人应向发包人支付签约合同价</w:t>
            </w:r>
            <w:r>
              <w:rPr>
                <w:rFonts w:hint="eastAsia" w:ascii="方正仿宋_GBK" w:hAnsi="方正仿宋_GBK" w:eastAsia="方正仿宋_GBK" w:cs="方正仿宋_GBK"/>
                <w:snapToGrid w:val="0"/>
                <w:kern w:val="0"/>
                <w:sz w:val="18"/>
                <w:szCs w:val="18"/>
                <w:u w:val="single"/>
              </w:rPr>
              <w:t xml:space="preserve">  10   </w:t>
            </w:r>
            <w:r>
              <w:rPr>
                <w:rFonts w:hint="eastAsia" w:ascii="方正仿宋_GBK" w:hAnsi="方正仿宋_GBK" w:eastAsia="方正仿宋_GBK" w:cs="方正仿宋_GBK"/>
                <w:snapToGrid w:val="0"/>
                <w:kern w:val="0"/>
                <w:sz w:val="18"/>
                <w:szCs w:val="18"/>
              </w:rPr>
              <w:t xml:space="preserve"> %的违约金。</w:t>
            </w:r>
          </w:p>
          <w:p w14:paraId="08D52548">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 xml:space="preserve">（3）承包人发生第22.1.1（6）目约定的违约情况时，发包人可通知承包人立即解除合同，可按以下约定的违约责任进行处理： </w:t>
            </w:r>
          </w:p>
          <w:p w14:paraId="0DDEEEBA">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承包人应在30天内向发包人退还所有已支付费用，并支付签约合同价</w:t>
            </w:r>
            <w:r>
              <w:rPr>
                <w:rFonts w:hint="eastAsia" w:ascii="方正仿宋_GBK" w:hAnsi="方正仿宋_GBK" w:eastAsia="方正仿宋_GBK" w:cs="方正仿宋_GBK"/>
                <w:snapToGrid w:val="0"/>
                <w:kern w:val="0"/>
                <w:sz w:val="18"/>
                <w:szCs w:val="18"/>
                <w:u w:val="single"/>
              </w:rPr>
              <w:t xml:space="preserve">  20   </w:t>
            </w:r>
            <w:r>
              <w:rPr>
                <w:rFonts w:hint="eastAsia" w:ascii="方正仿宋_GBK" w:hAnsi="方正仿宋_GBK" w:eastAsia="方正仿宋_GBK" w:cs="方正仿宋_GBK"/>
                <w:snapToGrid w:val="0"/>
                <w:kern w:val="0"/>
                <w:sz w:val="18"/>
                <w:szCs w:val="18"/>
              </w:rPr>
              <w:t xml:space="preserve"> %的违约金。</w:t>
            </w:r>
          </w:p>
          <w:p w14:paraId="5FAC70C8">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（4）承包人发生第22.1.1（8）目约定的违约情况时，承包人应及时负责采取有效措施直至符合规定标准，承包人应向发包人支付签约合同价</w:t>
            </w:r>
            <w:r>
              <w:rPr>
                <w:rFonts w:hint="eastAsia" w:ascii="方正仿宋_GBK" w:hAnsi="方正仿宋_GBK" w:eastAsia="方正仿宋_GBK" w:cs="方正仿宋_GBK"/>
                <w:snapToGrid w:val="0"/>
                <w:kern w:val="0"/>
                <w:sz w:val="18"/>
                <w:szCs w:val="18"/>
                <w:u w:val="single"/>
              </w:rPr>
              <w:t xml:space="preserve">  10   </w:t>
            </w:r>
            <w:r>
              <w:rPr>
                <w:rFonts w:hint="eastAsia" w:ascii="方正仿宋_GBK" w:hAnsi="方正仿宋_GBK" w:eastAsia="方正仿宋_GBK" w:cs="方正仿宋_GBK"/>
                <w:snapToGrid w:val="0"/>
                <w:kern w:val="0"/>
                <w:sz w:val="18"/>
                <w:szCs w:val="18"/>
              </w:rPr>
              <w:t xml:space="preserve"> %的违约金，并应承担由此引起的一切额外费用，且发包人有权解除合同。</w:t>
            </w:r>
          </w:p>
          <w:p w14:paraId="0C607824">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 xml:space="preserve">（5）承包人发生除第22.1.1（4）、（6）、（8）目约定以外的其他违约情况时，发包人或监理人可向承包人发出整改通知，要求其在指定的期限内改正，由于以上原因造成工程延期交付的视同延误工期，承包人应按照本条第22.1.2（2）目约定的方式承担违约责任，并承担其违约所引起的费用增加和（或）工期延误责任；若承包人逾期整改，或整改后不符合发包人要求的，发包人有权解除合同，承包人应向发包人支付签约合同价 </w:t>
            </w:r>
            <w:r>
              <w:rPr>
                <w:rFonts w:hint="eastAsia" w:ascii="方正仿宋_GBK" w:hAnsi="方正仿宋_GBK" w:eastAsia="方正仿宋_GBK" w:cs="方正仿宋_GBK"/>
                <w:snapToGrid w:val="0"/>
                <w:kern w:val="0"/>
                <w:sz w:val="18"/>
                <w:szCs w:val="18"/>
                <w:u w:val="single"/>
              </w:rPr>
              <w:t xml:space="preserve">10    </w:t>
            </w:r>
            <w:r>
              <w:rPr>
                <w:rFonts w:hint="eastAsia" w:ascii="方正仿宋_GBK" w:hAnsi="方正仿宋_GBK" w:eastAsia="方正仿宋_GBK" w:cs="方正仿宋_GBK"/>
                <w:snapToGrid w:val="0"/>
                <w:kern w:val="0"/>
                <w:sz w:val="18"/>
                <w:szCs w:val="18"/>
              </w:rPr>
              <w:t xml:space="preserve"> %的违约金，并应承担由此引起的一切额外费用。</w:t>
            </w:r>
          </w:p>
          <w:p w14:paraId="201897A3">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（6）施工期间发生重大责任事故的，承包人应承担全部事故责任，承包人应向发包人支付签约合同价</w:t>
            </w:r>
            <w:r>
              <w:rPr>
                <w:rFonts w:hint="eastAsia" w:ascii="方正仿宋_GBK" w:hAnsi="方正仿宋_GBK" w:eastAsia="方正仿宋_GBK" w:cs="方正仿宋_GBK"/>
                <w:snapToGrid w:val="0"/>
                <w:kern w:val="0"/>
                <w:sz w:val="18"/>
                <w:szCs w:val="18"/>
                <w:u w:val="single"/>
              </w:rPr>
              <w:t xml:space="preserve">  10   </w:t>
            </w:r>
            <w:r>
              <w:rPr>
                <w:rFonts w:hint="eastAsia" w:ascii="方正仿宋_GBK" w:hAnsi="方正仿宋_GBK" w:eastAsia="方正仿宋_GBK" w:cs="方正仿宋_GBK"/>
                <w:snapToGrid w:val="0"/>
                <w:kern w:val="0"/>
                <w:sz w:val="18"/>
                <w:szCs w:val="18"/>
              </w:rPr>
              <w:t xml:space="preserve"> %的违约金，并应承担由此引起的一切额外费用，且发包人有权解除合同。</w:t>
            </w:r>
          </w:p>
          <w:p w14:paraId="66FCDD1F">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（7）承包人违反本合同通用条款第1.11款约定义务的，发包人有权要求承包人承担合同价</w:t>
            </w:r>
            <w:r>
              <w:rPr>
                <w:rFonts w:hint="eastAsia" w:ascii="方正仿宋_GBK" w:hAnsi="方正仿宋_GBK" w:eastAsia="方正仿宋_GBK" w:cs="方正仿宋_GBK"/>
                <w:snapToGrid w:val="0"/>
                <w:kern w:val="0"/>
                <w:sz w:val="18"/>
                <w:szCs w:val="18"/>
                <w:u w:val="single"/>
              </w:rPr>
              <w:t xml:space="preserve">  5 </w:t>
            </w:r>
            <w:r>
              <w:rPr>
                <w:rFonts w:hint="eastAsia" w:ascii="方正仿宋_GBK" w:hAnsi="方正仿宋_GBK" w:eastAsia="方正仿宋_GBK" w:cs="方正仿宋_GBK"/>
                <w:snapToGrid w:val="0"/>
                <w:kern w:val="0"/>
                <w:sz w:val="18"/>
                <w:szCs w:val="18"/>
              </w:rPr>
              <w:t xml:space="preserve"> %的违约金，并有权解除本合同。承包人未经发包人同意转让或许可第三方使用发包人所有的技术成果和知识产权的，所获收益归发包人所有。 </w:t>
            </w:r>
          </w:p>
          <w:p w14:paraId="7A44DEC9">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（8）承包人违反本合同通用条款第1.12款约定义务的，应向发包人支付签约合同价</w:t>
            </w:r>
            <w:r>
              <w:rPr>
                <w:rFonts w:hint="eastAsia" w:ascii="方正仿宋_GBK" w:hAnsi="方正仿宋_GBK" w:eastAsia="方正仿宋_GBK" w:cs="方正仿宋_GBK"/>
                <w:snapToGrid w:val="0"/>
                <w:kern w:val="0"/>
                <w:sz w:val="18"/>
                <w:szCs w:val="18"/>
                <w:u w:val="single"/>
              </w:rPr>
              <w:t xml:space="preserve">  5 </w:t>
            </w:r>
            <w:r>
              <w:rPr>
                <w:rFonts w:hint="eastAsia" w:ascii="方正仿宋_GBK" w:hAnsi="方正仿宋_GBK" w:eastAsia="方正仿宋_GBK" w:cs="方正仿宋_GBK"/>
                <w:snapToGrid w:val="0"/>
                <w:kern w:val="0"/>
                <w:sz w:val="18"/>
                <w:szCs w:val="18"/>
              </w:rPr>
              <w:t xml:space="preserve"> %的违约金，并应承担一切法律责任。</w:t>
            </w:r>
          </w:p>
          <w:p w14:paraId="7B0397D2">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（9）若因承包人违约导致合同解除的，则合同结算金额按经发包人确认后的实际工程量结算确认，但承包人应向发包人承担签约合同价</w:t>
            </w:r>
            <w:r>
              <w:rPr>
                <w:rFonts w:hint="eastAsia" w:ascii="方正仿宋_GBK" w:hAnsi="方正仿宋_GBK" w:eastAsia="方正仿宋_GBK" w:cs="方正仿宋_GBK"/>
                <w:snapToGrid w:val="0"/>
                <w:kern w:val="0"/>
                <w:sz w:val="18"/>
                <w:szCs w:val="18"/>
                <w:u w:val="single"/>
              </w:rPr>
              <w:t xml:space="preserve">  20 </w:t>
            </w:r>
            <w:r>
              <w:rPr>
                <w:rFonts w:hint="eastAsia" w:ascii="方正仿宋_GBK" w:hAnsi="方正仿宋_GBK" w:eastAsia="方正仿宋_GBK" w:cs="方正仿宋_GBK"/>
                <w:snapToGrid w:val="0"/>
                <w:kern w:val="0"/>
                <w:sz w:val="18"/>
                <w:szCs w:val="18"/>
              </w:rPr>
              <w:t xml:space="preserve"> %的违约金。 </w:t>
            </w:r>
          </w:p>
          <w:p w14:paraId="051B1415">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（10）承包人发生第22.1.1（11）目约定的违约情况时，承包人应向发包人支付签约合同价</w:t>
            </w:r>
            <w:r>
              <w:rPr>
                <w:rFonts w:hint="eastAsia" w:ascii="方正仿宋_GBK" w:hAnsi="方正仿宋_GBK" w:eastAsia="方正仿宋_GBK" w:cs="方正仿宋_GBK"/>
                <w:snapToGrid w:val="0"/>
                <w:kern w:val="0"/>
                <w:sz w:val="18"/>
                <w:szCs w:val="18"/>
                <w:u w:val="single"/>
              </w:rPr>
              <w:t xml:space="preserve">20   </w:t>
            </w:r>
            <w:r>
              <w:rPr>
                <w:rFonts w:hint="eastAsia" w:ascii="方正仿宋_GBK" w:hAnsi="方正仿宋_GBK" w:eastAsia="方正仿宋_GBK" w:cs="方正仿宋_GBK"/>
                <w:snapToGrid w:val="0"/>
                <w:kern w:val="0"/>
                <w:sz w:val="18"/>
                <w:szCs w:val="18"/>
              </w:rPr>
              <w:t xml:space="preserve"> %的违约金，并应承担相应法律责任。</w:t>
            </w:r>
          </w:p>
          <w:p w14:paraId="60C67880">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 xml:space="preserve">（11）承包人发生第22.1.1（12）目约定的违约情况时，承包人应向发包人支付签约合同价 </w:t>
            </w:r>
            <w:r>
              <w:rPr>
                <w:rFonts w:hint="eastAsia" w:ascii="方正仿宋_GBK" w:hAnsi="方正仿宋_GBK" w:eastAsia="方正仿宋_GBK" w:cs="方正仿宋_GBK"/>
                <w:snapToGrid w:val="0"/>
                <w:kern w:val="0"/>
                <w:sz w:val="18"/>
                <w:szCs w:val="18"/>
                <w:u w:val="single"/>
              </w:rPr>
              <w:t xml:space="preserve">10    </w:t>
            </w:r>
            <w:r>
              <w:rPr>
                <w:rFonts w:hint="eastAsia" w:ascii="方正仿宋_GBK" w:hAnsi="方正仿宋_GBK" w:eastAsia="方正仿宋_GBK" w:cs="方正仿宋_GBK"/>
                <w:snapToGrid w:val="0"/>
                <w:kern w:val="0"/>
                <w:sz w:val="18"/>
                <w:szCs w:val="18"/>
              </w:rPr>
              <w:t>%的违约金，并应承担相应法律责任。</w:t>
            </w:r>
          </w:p>
          <w:p w14:paraId="4DE7122C">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（12）承包人发生第22.1.1（13）目约定的违约情况时，承包人应向发包人支付签约合同价</w:t>
            </w:r>
            <w:r>
              <w:rPr>
                <w:rFonts w:hint="eastAsia" w:ascii="方正仿宋_GBK" w:hAnsi="方正仿宋_GBK" w:eastAsia="方正仿宋_GBK" w:cs="方正仿宋_GBK"/>
                <w:snapToGrid w:val="0"/>
                <w:kern w:val="0"/>
                <w:sz w:val="18"/>
                <w:szCs w:val="18"/>
                <w:u w:val="single"/>
              </w:rPr>
              <w:t xml:space="preserve"> 10   </w:t>
            </w:r>
            <w:r>
              <w:rPr>
                <w:rFonts w:hint="eastAsia" w:ascii="方正仿宋_GBK" w:hAnsi="方正仿宋_GBK" w:eastAsia="方正仿宋_GBK" w:cs="方正仿宋_GBK"/>
                <w:snapToGrid w:val="0"/>
                <w:kern w:val="0"/>
                <w:sz w:val="18"/>
                <w:szCs w:val="18"/>
              </w:rPr>
              <w:t xml:space="preserve"> %的违约金，并应承担相应法律责任。</w:t>
            </w:r>
          </w:p>
          <w:p w14:paraId="611F1FD6">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（13）承包人按合同约定应支付的违约金低于给发包人造成的损失的，并应就差额部分向发包人进行赔偿，应承担的赔偿金额不以签约合同价为限。</w:t>
            </w:r>
          </w:p>
          <w:p w14:paraId="2D31BCCF">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（14）承包人违约除应承担相应违约责任外，发包人向承包人主张权利所产生的费用亦由承包方承担。</w:t>
            </w:r>
          </w:p>
          <w:p w14:paraId="4E14A7CD">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15）承包人违反17.4.1条约定，逾期不提交质量保证金担保或者提交的质量保证金担保不符合要求的，如不能发生视为承包人选择以现金保证金替代质量保证金保函或工程质量保证保险的后果，承包人应立即向发包人提供现金担保或银行担保，应向发包人支付质量保证金金额</w:t>
            </w:r>
            <w:r>
              <w:rPr>
                <w:rFonts w:hint="eastAsia" w:ascii="方正仿宋_GBK" w:hAnsi="方正仿宋_GBK" w:eastAsia="方正仿宋_GBK" w:cs="方正仿宋_GBK"/>
                <w:snapToGrid w:val="0"/>
                <w:kern w:val="0"/>
                <w:sz w:val="18"/>
                <w:szCs w:val="18"/>
                <w:u w:val="single"/>
              </w:rPr>
              <w:t>10</w:t>
            </w:r>
            <w:r>
              <w:rPr>
                <w:rFonts w:hint="eastAsia" w:ascii="方正仿宋_GBK" w:hAnsi="方正仿宋_GBK" w:eastAsia="方正仿宋_GBK" w:cs="方正仿宋_GBK"/>
                <w:snapToGrid w:val="0"/>
                <w:kern w:val="0"/>
                <w:sz w:val="18"/>
                <w:szCs w:val="18"/>
              </w:rPr>
              <w:t>%的违约金，并应承担由此给发包人造成的全部损失。</w:t>
            </w:r>
          </w:p>
          <w:p w14:paraId="716F48CF">
            <w:pPr>
              <w:autoSpaceDE w:val="0"/>
              <w:autoSpaceDN w:val="0"/>
              <w:adjustRightInd w:val="0"/>
              <w:snapToGrid w:val="0"/>
              <w:jc w:val="left"/>
              <w:rPr>
                <w:rFonts w:ascii="方正仿宋_GBK" w:hAnsi="方正仿宋_GBK" w:eastAsia="方正仿宋_GBK" w:cs="方正仿宋_GBK"/>
                <w:snapToGrid w:val="0"/>
                <w:kern w:val="0"/>
                <w:sz w:val="18"/>
                <w:szCs w:val="18"/>
              </w:rPr>
            </w:pPr>
            <w:r>
              <w:rPr>
                <w:rFonts w:hint="eastAsia" w:ascii="方正仿宋_GBK" w:hAnsi="方正仿宋_GBK" w:eastAsia="方正仿宋_GBK" w:cs="方正仿宋_GBK"/>
                <w:snapToGrid w:val="0"/>
                <w:kern w:val="0"/>
                <w:sz w:val="18"/>
                <w:szCs w:val="18"/>
              </w:rPr>
              <w:t>（16）承包人应承担的其他违约责任：</w:t>
            </w:r>
            <w:permStart w:id="13" w:edGrp="everyone"/>
            <w:r>
              <w:rPr>
                <w:rFonts w:hint="eastAsia" w:ascii="方正仿宋_GBK" w:hAnsi="方正仿宋_GBK" w:eastAsia="方正仿宋_GBK" w:cs="方正仿宋_GBK"/>
                <w:snapToGrid w:val="0"/>
                <w:kern w:val="0"/>
                <w:sz w:val="18"/>
                <w:szCs w:val="18"/>
                <w:u w:val="single"/>
              </w:rPr>
              <w:t xml:space="preserve"> 施工承包人发生</w:t>
            </w:r>
            <w:r>
              <w:rPr>
                <w:rFonts w:hint="eastAsia" w:ascii="方正仿宋_GBK" w:hAnsi="方正仿宋_GBK" w:eastAsia="方正仿宋_GBK" w:cs="方正仿宋_GBK"/>
                <w:snapToGrid w:val="0"/>
                <w:kern w:val="0"/>
                <w:sz w:val="18"/>
                <w:szCs w:val="18"/>
              </w:rPr>
              <w:t>第22.1.1（14）目约定的违约情况时，承包人应向发包人支付签约合同价4‰的违约金</w:t>
            </w:r>
            <w:r>
              <w:rPr>
                <w:rFonts w:hint="eastAsia" w:ascii="方正仿宋_GBK" w:hAnsi="方正仿宋_GBK" w:eastAsia="方正仿宋_GBK" w:cs="方正仿宋_GBK"/>
                <w:snapToGrid w:val="0"/>
                <w:kern w:val="0"/>
                <w:sz w:val="18"/>
                <w:szCs w:val="18"/>
                <w:lang w:eastAsia="zh-CN"/>
              </w:rPr>
              <w:t>，且发包人有权解除本合同</w:t>
            </w:r>
            <w:permEnd w:id="13"/>
            <w:r>
              <w:rPr>
                <w:rFonts w:hint="eastAsia" w:ascii="方正仿宋_GBK" w:hAnsi="方正仿宋_GBK" w:eastAsia="方正仿宋_GBK" w:cs="方正仿宋_GBK"/>
                <w:snapToGrid w:val="0"/>
                <w:kern w:val="0"/>
                <w:sz w:val="18"/>
                <w:szCs w:val="18"/>
              </w:rPr>
              <w:t>。</w:t>
            </w:r>
          </w:p>
          <w:p w14:paraId="687E2ACD">
            <w:pPr>
              <w:autoSpaceDE w:val="0"/>
              <w:autoSpaceDN w:val="0"/>
              <w:adjustRightInd w:val="0"/>
              <w:snapToGrid w:val="0"/>
              <w:jc w:val="left"/>
              <w:rPr>
                <w:rFonts w:ascii="方正仿宋_GBK" w:hAnsi="方正仿宋_GBK" w:eastAsia="方正仿宋_GBK" w:cs="方正仿宋_GBK"/>
                <w:color w:val="000000" w:themeColor="text1"/>
              </w:rPr>
            </w:pPr>
            <w:r>
              <w:rPr>
                <w:rFonts w:hint="eastAsia" w:ascii="方正仿宋_GBK" w:hAnsi="方正仿宋_GBK" w:eastAsia="方正仿宋_GBK" w:cs="方正仿宋_GBK"/>
                <w:snapToGrid w:val="0"/>
                <w:kern w:val="0"/>
                <w:sz w:val="18"/>
                <w:szCs w:val="18"/>
              </w:rPr>
              <w:t>（17）承包人发生第22.1.1（14）目约定的违约情况时，存在严重环保水保问题，或一般环保水保问题整改后不符合发包人要求，或受到环保、水保部门处罚的，承包人应向发包人支付签约合同价[10]%的违约金，并应承担相应法律责任。</w:t>
            </w:r>
          </w:p>
        </w:tc>
      </w:tr>
      <w:tr w14:paraId="7A90FFD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3CA47AA">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567F222C">
            <w:pPr>
              <w:widowControl/>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专用条款22.4</w:t>
            </w:r>
          </w:p>
        </w:tc>
        <w:tc>
          <w:tcPr>
            <w:tcW w:w="3582" w:type="dxa"/>
            <w:vAlign w:val="center"/>
          </w:tcPr>
          <w:p w14:paraId="3441041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22.4 （增加）</w:t>
            </w:r>
          </w:p>
          <w:p w14:paraId="099CD7DF">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任何一方违反合同义务，应按照合同约定支付违约金的，但应当支付的违约金总额累计以不超过签约合同价格的%为限。但是，违约方应支付的违约金低于给对方造成的损失的，应就差额部分进行赔偿，且承担的赔偿金额不以签约合同价为限。</w:t>
            </w:r>
          </w:p>
        </w:tc>
        <w:tc>
          <w:tcPr>
            <w:tcW w:w="4455" w:type="dxa"/>
            <w:vAlign w:val="center"/>
          </w:tcPr>
          <w:p w14:paraId="6CAA8C3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22.4 （增加）</w:t>
            </w:r>
          </w:p>
          <w:p w14:paraId="12312489">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任何一方违反合同义务，应按照合同约定支付违约金的，但应当支付的违约金总额累计以不超过签约合同价格的</w:t>
            </w:r>
            <w:r>
              <w:rPr>
                <w:rFonts w:hint="eastAsia" w:ascii="方正仿宋_GBK" w:hAnsi="方正仿宋_GBK" w:eastAsia="方正仿宋_GBK" w:cs="方正仿宋_GBK"/>
                <w:sz w:val="18"/>
                <w:szCs w:val="18"/>
                <w:u w:val="single"/>
              </w:rPr>
              <w:t>30</w:t>
            </w:r>
            <w:r>
              <w:rPr>
                <w:rFonts w:hint="eastAsia" w:ascii="方正仿宋_GBK" w:hAnsi="方正仿宋_GBK" w:eastAsia="方正仿宋_GBK" w:cs="方正仿宋_GBK"/>
                <w:sz w:val="18"/>
                <w:szCs w:val="18"/>
              </w:rPr>
              <w:t>%为限。但是，违约方应支付的违约金低于给对方造成的损失的，应就差额部分进行赔偿，且承担的赔偿金额不以签约合同价为限。</w:t>
            </w:r>
          </w:p>
        </w:tc>
      </w:tr>
      <w:tr w14:paraId="0F6D615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7AAC5BB">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2BBC54EF">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 xml:space="preserve">专用条款24.1 </w:t>
            </w:r>
          </w:p>
        </w:tc>
        <w:tc>
          <w:tcPr>
            <w:tcW w:w="3582" w:type="dxa"/>
            <w:vAlign w:val="center"/>
          </w:tcPr>
          <w:p w14:paraId="54485CB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24.1 争议的解决方式</w:t>
            </w:r>
          </w:p>
          <w:p w14:paraId="3B24C82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因合同及合同有关事项发生的争议，合同当事人友好协商不成、不愿提请争议评审或者不接受争议评审组意见的，按以下第     种方式处理 ：</w:t>
            </w:r>
          </w:p>
          <w:p w14:paraId="6B1587A2">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（1）仲裁：提交仲裁 ，按照申请仲裁时该仲裁机构有效的仲裁规则 进行仲裁。仲裁裁决是终局的，对双方均有约束力。</w:t>
            </w:r>
          </w:p>
          <w:p w14:paraId="1309F2E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（2）诉讼：向 所在地人民法院提起诉讼。</w:t>
            </w:r>
          </w:p>
          <w:p w14:paraId="2B1CAA11">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在争议解决期间，合同中未涉及争议部分的条款仍须履行。</w:t>
            </w:r>
          </w:p>
        </w:tc>
        <w:tc>
          <w:tcPr>
            <w:tcW w:w="4455" w:type="dxa"/>
            <w:vAlign w:val="center"/>
          </w:tcPr>
          <w:p w14:paraId="26C4AC58">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24.1 争议的解决方式</w:t>
            </w:r>
          </w:p>
          <w:p w14:paraId="5E5A23B8">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因合同及合同有关事项发生的争议，合同当事人友好协商不成、不愿提请争议评审或者不接受争议评审组意见的，按以下第2 种方式处理：</w:t>
            </w:r>
          </w:p>
          <w:p w14:paraId="16ABDDB3">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（1）仲裁：提交</w:t>
            </w:r>
            <w:r>
              <w:rPr>
                <w:rFonts w:hint="eastAsia" w:ascii="方正仿宋_GBK" w:hAnsi="方正仿宋_GBK" w:eastAsia="方正仿宋_GBK" w:cs="方正仿宋_GBK"/>
                <w:sz w:val="18"/>
                <w:szCs w:val="18"/>
                <w:u w:val="single"/>
              </w:rPr>
              <w:t xml:space="preserve">  / </w:t>
            </w:r>
            <w:r>
              <w:rPr>
                <w:rFonts w:hint="eastAsia" w:ascii="方正仿宋_GBK" w:hAnsi="方正仿宋_GBK" w:eastAsia="方正仿宋_GBK" w:cs="方正仿宋_GBK"/>
                <w:sz w:val="18"/>
                <w:szCs w:val="18"/>
              </w:rPr>
              <w:t>仲裁，按照申请仲裁时该仲裁机构有效的仲裁规则进行仲裁。仲裁裁决是终局的，对双方均有约束力。</w:t>
            </w:r>
          </w:p>
          <w:p w14:paraId="032EEFA6">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（2）诉讼：向</w:t>
            </w:r>
            <w:r>
              <w:rPr>
                <w:rFonts w:hint="eastAsia" w:ascii="方正仿宋_GBK" w:hAnsi="方正仿宋_GBK" w:eastAsia="方正仿宋_GBK" w:cs="方正仿宋_GBK"/>
                <w:sz w:val="18"/>
                <w:szCs w:val="18"/>
                <w:u w:val="single"/>
              </w:rPr>
              <w:t>工程项目</w:t>
            </w:r>
            <w:r>
              <w:rPr>
                <w:rFonts w:hint="eastAsia" w:ascii="方正仿宋_GBK" w:hAnsi="方正仿宋_GBK" w:eastAsia="方正仿宋_GBK" w:cs="方正仿宋_GBK"/>
                <w:sz w:val="18"/>
                <w:szCs w:val="18"/>
              </w:rPr>
              <w:t>所在地人民法院提起诉讼。在争议解决期间，合同中未涉及争议部分的条款仍须履行。</w:t>
            </w:r>
          </w:p>
        </w:tc>
      </w:tr>
      <w:tr w14:paraId="296F28E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C650E19">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5EB7226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合同附件</w:t>
            </w:r>
          </w:p>
        </w:tc>
        <w:tc>
          <w:tcPr>
            <w:tcW w:w="3582" w:type="dxa"/>
            <w:vAlign w:val="center"/>
          </w:tcPr>
          <w:p w14:paraId="6A27DC9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合同附件</w:t>
            </w:r>
          </w:p>
          <w:p w14:paraId="4B5F424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附件1：价格表</w:t>
            </w:r>
          </w:p>
          <w:p w14:paraId="7A4750D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附件2：规章制度清单</w:t>
            </w:r>
          </w:p>
          <w:p w14:paraId="59F56F6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附件3：施工分包计划</w:t>
            </w:r>
          </w:p>
          <w:p w14:paraId="5D9DB08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附件4：履约保函</w:t>
            </w:r>
          </w:p>
          <w:p w14:paraId="45F943C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附件5：安全协议</w:t>
            </w:r>
          </w:p>
          <w:p w14:paraId="2DA4E584">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附件6：建设工程廉洁规范</w:t>
            </w:r>
          </w:p>
          <w:p w14:paraId="2534E6A8">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附件7：工程质量保修书</w:t>
            </w:r>
          </w:p>
          <w:p w14:paraId="37C6F7B4">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附件8：工程投入的关键人员名单</w:t>
            </w:r>
          </w:p>
          <w:p w14:paraId="0C60FFF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附件9：…………</w:t>
            </w:r>
          </w:p>
          <w:p w14:paraId="0CC4ECAD">
            <w:pPr>
              <w:adjustRightInd w:val="0"/>
              <w:snapToGrid w:val="0"/>
              <w:rPr>
                <w:rFonts w:ascii="方正仿宋_GBK" w:hAnsi="方正仿宋_GBK" w:eastAsia="方正仿宋_GBK" w:cs="方正仿宋_GBK"/>
                <w:sz w:val="18"/>
                <w:szCs w:val="18"/>
              </w:rPr>
            </w:pPr>
          </w:p>
        </w:tc>
        <w:tc>
          <w:tcPr>
            <w:tcW w:w="4455" w:type="dxa"/>
            <w:vAlign w:val="center"/>
          </w:tcPr>
          <w:p w14:paraId="660F4532">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合同附件</w:t>
            </w:r>
          </w:p>
          <w:p w14:paraId="4365D5A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附件1：价格表</w:t>
            </w:r>
          </w:p>
          <w:p w14:paraId="3699688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附件2：规章制度清单</w:t>
            </w:r>
          </w:p>
          <w:p w14:paraId="0E09E7D4">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附件3：施工分包计划</w:t>
            </w:r>
          </w:p>
          <w:p w14:paraId="5E3D636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附件4：履约保函</w:t>
            </w:r>
          </w:p>
          <w:p w14:paraId="0BC9028A">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附件5：安全协议</w:t>
            </w:r>
          </w:p>
          <w:p w14:paraId="68A7C194">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附件6：建设工程廉洁规范</w:t>
            </w:r>
          </w:p>
          <w:p w14:paraId="7632DB8A">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附件7：工程质量保修书</w:t>
            </w:r>
          </w:p>
          <w:p w14:paraId="2F769C4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附件8：工程投入的关键人员名单</w:t>
            </w:r>
          </w:p>
          <w:p w14:paraId="309C2E9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附件9：承包范围及接口</w:t>
            </w:r>
          </w:p>
          <w:p w14:paraId="78BC7AF3">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附件10：特高压换流站工程安全文明施工标准化实施方案</w:t>
            </w:r>
          </w:p>
          <w:p w14:paraId="2E56664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附件11：国家电网有限公司特高压换流站电力建设工程工程量清单规范（2021版）应用工作指南</w:t>
            </w:r>
          </w:p>
          <w:p w14:paraId="1313B513">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附件12：施工承包商现场过程评价细则</w:t>
            </w:r>
          </w:p>
          <w:p w14:paraId="7A6E153F">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附件13：中标通知书</w:t>
            </w:r>
          </w:p>
          <w:p w14:paraId="3A51D97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附件14：澄清</w:t>
            </w:r>
          </w:p>
          <w:p w14:paraId="4926BB5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附件15：质量保证金保函</w:t>
            </w:r>
          </w:p>
          <w:p w14:paraId="098746F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附件16：变电（换流）站典型环保水保问题清单</w:t>
            </w:r>
          </w:p>
          <w:p w14:paraId="7A5F3A53">
            <w:pPr>
              <w:adjustRightInd w:val="0"/>
              <w:snapToGrid w:val="0"/>
              <w:rPr>
                <w:rFonts w:ascii="方正仿宋_GBK" w:hAnsi="方正仿宋_GBK" w:eastAsia="方正仿宋_GBK" w:cs="方正仿宋_GBK"/>
                <w:sz w:val="18"/>
                <w:szCs w:val="18"/>
              </w:rPr>
            </w:pPr>
          </w:p>
        </w:tc>
      </w:tr>
      <w:tr w14:paraId="3EBD47B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1A3761D">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71C13609">
            <w:pPr>
              <w:snapToGrid w:val="0"/>
              <w:spacing w:line="240" w:lineRule="atLeast"/>
              <w:jc w:val="left"/>
              <w:rPr>
                <w:rFonts w:ascii="方正仿宋_GBK" w:hAnsi="方正仿宋_GBK" w:eastAsia="方正仿宋_GBK" w:cs="方正仿宋_GBK"/>
                <w:sz w:val="18"/>
                <w:szCs w:val="18"/>
              </w:rPr>
            </w:pPr>
            <w:r>
              <w:rPr>
                <w:rFonts w:hint="eastAsia" w:ascii="方正仿宋_GBK" w:hAnsi="方正仿宋_GBK" w:eastAsia="方正仿宋_GBK" w:cs="方正仿宋_GBK"/>
                <w:kern w:val="0"/>
                <w:sz w:val="18"/>
                <w:szCs w:val="18"/>
              </w:rPr>
              <w:t>附件2：规章制度清单</w:t>
            </w:r>
          </w:p>
        </w:tc>
        <w:tc>
          <w:tcPr>
            <w:tcW w:w="3582" w:type="dxa"/>
            <w:vAlign w:val="center"/>
          </w:tcPr>
          <w:p w14:paraId="7CCE8979">
            <w:pPr>
              <w:snapToGrid w:val="0"/>
              <w:spacing w:line="240" w:lineRule="atLeast"/>
              <w:rPr>
                <w:rFonts w:ascii="方正仿宋_GBK" w:hAnsi="方正仿宋_GBK" w:eastAsia="方正仿宋_GBK" w:cs="方正仿宋_GBK"/>
                <w:sz w:val="18"/>
                <w:szCs w:val="18"/>
              </w:rPr>
            </w:pPr>
          </w:p>
        </w:tc>
        <w:tc>
          <w:tcPr>
            <w:tcW w:w="4455" w:type="dxa"/>
            <w:vAlign w:val="center"/>
          </w:tcPr>
          <w:p w14:paraId="4C3B12DD">
            <w:pPr>
              <w:adjustRightInd w:val="0"/>
              <w:snapToGrid w:val="0"/>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增加：</w:t>
            </w:r>
          </w:p>
          <w:p w14:paraId="2BB3F74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《国家电网有限公司输变电工程建设质量管理规定》</w:t>
            </w:r>
          </w:p>
          <w:p w14:paraId="62B66EA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color w:val="000000"/>
                <w:sz w:val="18"/>
                <w:szCs w:val="18"/>
              </w:rPr>
              <w:t xml:space="preserve">《国网安监部关于优化调整严重违章查治工作的通知}(安监二[2024]24号)》 </w:t>
            </w:r>
          </w:p>
        </w:tc>
      </w:tr>
      <w:tr w14:paraId="52A4315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64D72CD">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09DE4ECB">
            <w:pPr>
              <w:snapToGrid w:val="0"/>
              <w:spacing w:line="240" w:lineRule="atLeast"/>
              <w:jc w:val="left"/>
              <w:rPr>
                <w:rFonts w:ascii="方正仿宋_GBK" w:hAnsi="方正仿宋_GBK" w:eastAsia="方正仿宋_GBK" w:cs="方正仿宋_GBK"/>
              </w:rPr>
            </w:pPr>
            <w:r>
              <w:rPr>
                <w:rFonts w:hint="eastAsia" w:ascii="方正仿宋_GBK" w:hAnsi="方正仿宋_GBK" w:eastAsia="方正仿宋_GBK" w:cs="方正仿宋_GBK"/>
              </w:rPr>
              <w:t>附件4：履约保函</w:t>
            </w:r>
          </w:p>
          <w:p w14:paraId="7EB04697">
            <w:pPr>
              <w:pStyle w:val="9"/>
              <w:rPr>
                <w:rFonts w:ascii="方正仿宋_GBK" w:hAnsi="方正仿宋_GBK" w:eastAsia="方正仿宋_GBK" w:cs="方正仿宋_GBK"/>
                <w:sz w:val="18"/>
                <w:szCs w:val="18"/>
              </w:rPr>
            </w:pPr>
            <w:r>
              <w:rPr>
                <w:rFonts w:hint="eastAsia" w:ascii="方正仿宋_GBK" w:hAnsi="方正仿宋_GBK" w:eastAsia="方正仿宋_GBK" w:cs="方正仿宋_GBK"/>
                <w:kern w:val="0"/>
                <w:sz w:val="18"/>
                <w:szCs w:val="18"/>
              </w:rPr>
              <w:t>附件15：质保金保函</w:t>
            </w:r>
          </w:p>
        </w:tc>
        <w:tc>
          <w:tcPr>
            <w:tcW w:w="3582" w:type="dxa"/>
            <w:vAlign w:val="center"/>
          </w:tcPr>
          <w:p w14:paraId="7F16AF3F">
            <w:pPr>
              <w:snapToGrid w:val="0"/>
              <w:spacing w:line="240" w:lineRule="atLeast"/>
              <w:rPr>
                <w:rFonts w:ascii="方正仿宋_GBK" w:hAnsi="方正仿宋_GBK" w:eastAsia="方正仿宋_GBK" w:cs="方正仿宋_GBK"/>
                <w:sz w:val="18"/>
                <w:szCs w:val="18"/>
              </w:rPr>
            </w:pPr>
          </w:p>
        </w:tc>
        <w:tc>
          <w:tcPr>
            <w:tcW w:w="4455" w:type="dxa"/>
            <w:vAlign w:val="center"/>
          </w:tcPr>
          <w:p w14:paraId="54991888">
            <w:pPr>
              <w:adjustRightInd w:val="0"/>
              <w:snapToGrid w:val="0"/>
              <w:rPr>
                <w:rFonts w:ascii="方正仿宋_GBK" w:hAnsi="方正仿宋_GBK" w:eastAsia="方正仿宋_GBK" w:cs="方正仿宋_GBK"/>
              </w:rPr>
            </w:pPr>
            <w:r>
              <w:rPr>
                <w:rFonts w:hint="eastAsia" w:ascii="方正仿宋_GBK" w:hAnsi="方正仿宋_GBK" w:eastAsia="方正仿宋_GBK" w:cs="方正仿宋_GBK"/>
              </w:rPr>
              <w:t>新增：</w:t>
            </w:r>
          </w:p>
          <w:p w14:paraId="7F2F175A">
            <w:pPr>
              <w:pStyle w:val="9"/>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备注：若选择中国电力财务有限公司出具保函的，可选择使用中国电力财务有限公司提供的保函格式文本。</w:t>
            </w:r>
          </w:p>
        </w:tc>
      </w:tr>
      <w:tr w14:paraId="66D267B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62C33EE">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059EA5B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附件5 ：安全协议书</w:t>
            </w:r>
          </w:p>
        </w:tc>
        <w:tc>
          <w:tcPr>
            <w:tcW w:w="3582" w:type="dxa"/>
            <w:vAlign w:val="center"/>
          </w:tcPr>
          <w:p w14:paraId="2F0106D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无</w:t>
            </w:r>
          </w:p>
        </w:tc>
        <w:tc>
          <w:tcPr>
            <w:tcW w:w="4455" w:type="dxa"/>
            <w:vAlign w:val="center"/>
          </w:tcPr>
          <w:p w14:paraId="6F9289B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 xml:space="preserve">《国家电网公司输变电优质工程创建工作手册 》 </w:t>
            </w:r>
          </w:p>
        </w:tc>
      </w:tr>
      <w:tr w14:paraId="427205D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FD552A8">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0888CBC4">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附件5 ：安全协议书</w:t>
            </w:r>
          </w:p>
        </w:tc>
        <w:tc>
          <w:tcPr>
            <w:tcW w:w="3582" w:type="dxa"/>
            <w:vAlign w:val="center"/>
          </w:tcPr>
          <w:p w14:paraId="48C47CA9">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无</w:t>
            </w:r>
          </w:p>
        </w:tc>
        <w:tc>
          <w:tcPr>
            <w:tcW w:w="4455" w:type="dxa"/>
            <w:vAlign w:val="center"/>
          </w:tcPr>
          <w:p w14:paraId="26D15C6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五、执行标准（不限于）</w:t>
            </w:r>
          </w:p>
          <w:p w14:paraId="7177DE32">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 国家电网有限公司有关规程、通用制度及规定：</w:t>
            </w:r>
          </w:p>
          <w:p w14:paraId="69B4AD3F">
            <w:pPr>
              <w:adjustRightInd w:val="0"/>
              <w:snapToGrid w:val="0"/>
              <w:rPr>
                <w:rFonts w:ascii="方正仿宋_GBK" w:hAnsi="方正仿宋_GBK" w:eastAsia="方正仿宋_GBK" w:cs="方正仿宋_GBK"/>
                <w:color w:val="000000" w:themeColor="text1"/>
                <w:sz w:val="18"/>
                <w:szCs w:val="18"/>
              </w:rPr>
            </w:pPr>
            <w:r>
              <w:rPr>
                <w:rFonts w:hint="eastAsia" w:ascii="方正仿宋_GBK" w:hAnsi="方正仿宋_GBK" w:eastAsia="方正仿宋_GBK" w:cs="方正仿宋_GBK"/>
                <w:sz w:val="18"/>
                <w:szCs w:val="18"/>
              </w:rPr>
              <w:t>（6）</w:t>
            </w:r>
            <w:r>
              <w:rPr>
                <w:rFonts w:hint="eastAsia" w:ascii="方正仿宋_GBK" w:hAnsi="方正仿宋_GBK" w:eastAsia="方正仿宋_GBK" w:cs="方正仿宋_GBK"/>
                <w:strike/>
                <w:sz w:val="18"/>
                <w:szCs w:val="18"/>
              </w:rPr>
              <w:t>国家电网公司输变电工程流动红旗竞赛管理办法；</w:t>
            </w:r>
            <w:r>
              <w:rPr>
                <w:rFonts w:hint="eastAsia" w:ascii="方正仿宋_GBK" w:hAnsi="方正仿宋_GBK" w:eastAsia="方正仿宋_GBK" w:cs="方正仿宋_GBK"/>
                <w:sz w:val="18"/>
                <w:szCs w:val="18"/>
              </w:rPr>
              <w:t>（删除）</w:t>
            </w:r>
          </w:p>
        </w:tc>
      </w:tr>
      <w:tr w14:paraId="02D8F2A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F91804F">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33F81D64">
            <w:pPr>
              <w:adjustRightInd w:val="0"/>
              <w:snapToGrid w:val="0"/>
              <w:rPr>
                <w:rFonts w:ascii="方正仿宋_GBK" w:hAnsi="方正仿宋_GBK" w:eastAsia="方正仿宋_GBK" w:cs="方正仿宋_GBK"/>
                <w:color w:val="000000"/>
                <w:kern w:val="0"/>
                <w:sz w:val="18"/>
                <w:szCs w:val="18"/>
              </w:rPr>
            </w:pPr>
            <w:r>
              <w:rPr>
                <w:rFonts w:hint="eastAsia" w:ascii="方正仿宋_GBK" w:hAnsi="方正仿宋_GBK" w:eastAsia="方正仿宋_GBK" w:cs="方正仿宋_GBK"/>
                <w:color w:val="000000"/>
                <w:kern w:val="0"/>
                <w:sz w:val="18"/>
                <w:szCs w:val="18"/>
              </w:rPr>
              <w:t>合同附件5 ：安全协议书中</w:t>
            </w:r>
          </w:p>
          <w:p w14:paraId="4D0C261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color w:val="000000"/>
                <w:kern w:val="0"/>
                <w:sz w:val="18"/>
                <w:szCs w:val="18"/>
              </w:rPr>
              <w:t>五、执行标准</w:t>
            </w:r>
          </w:p>
        </w:tc>
        <w:tc>
          <w:tcPr>
            <w:tcW w:w="3582" w:type="dxa"/>
            <w:vAlign w:val="center"/>
          </w:tcPr>
          <w:p w14:paraId="7632BC2A">
            <w:pPr>
              <w:adjustRightInd w:val="0"/>
              <w:snapToGrid w:val="0"/>
              <w:ind w:firstLine="360" w:firstLineChars="200"/>
              <w:rPr>
                <w:rFonts w:ascii="方正仿宋_GBK" w:hAnsi="方正仿宋_GBK" w:eastAsia="方正仿宋_GBK" w:cs="方正仿宋_GBK"/>
                <w:sz w:val="18"/>
                <w:szCs w:val="18"/>
              </w:rPr>
            </w:pPr>
          </w:p>
        </w:tc>
        <w:tc>
          <w:tcPr>
            <w:tcW w:w="4455" w:type="dxa"/>
            <w:vAlign w:val="center"/>
          </w:tcPr>
          <w:p w14:paraId="3E6EC6A1">
            <w:pPr>
              <w:autoSpaceDN w:val="0"/>
              <w:jc w:val="left"/>
              <w:textAlignment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增加</w:t>
            </w:r>
          </w:p>
          <w:p w14:paraId="292F958D">
            <w:pPr>
              <w:autoSpaceDN w:val="0"/>
              <w:jc w:val="left"/>
              <w:textAlignment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（37）国家电网有限公司环境保护管理办法；</w:t>
            </w:r>
          </w:p>
          <w:p w14:paraId="2FCE7480">
            <w:pPr>
              <w:autoSpaceDN w:val="0"/>
              <w:jc w:val="left"/>
              <w:textAlignment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（38）国家电网公司环境保护监督规定；</w:t>
            </w:r>
          </w:p>
          <w:p w14:paraId="4988D29A">
            <w:pPr>
              <w:autoSpaceDN w:val="0"/>
              <w:jc w:val="left"/>
              <w:textAlignment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（39）国家电网有限公司电网建设项目水土保持管理办法；</w:t>
            </w:r>
          </w:p>
          <w:p w14:paraId="4FDD9C1A">
            <w:pPr>
              <w:autoSpaceDN w:val="0"/>
              <w:jc w:val="left"/>
              <w:textAlignment w:val="center"/>
              <w:rPr>
                <w:rFonts w:ascii="方正仿宋_GBK" w:hAnsi="方正仿宋_GBK" w:eastAsia="方正仿宋_GBK" w:cs="方正仿宋_GBK"/>
                <w:color w:val="000000"/>
                <w:sz w:val="18"/>
                <w:szCs w:val="18"/>
              </w:rPr>
            </w:pPr>
            <w:r>
              <w:rPr>
                <w:rFonts w:hint="eastAsia" w:ascii="方正仿宋_GBK" w:hAnsi="方正仿宋_GBK" w:eastAsia="方正仿宋_GBK" w:cs="方正仿宋_GBK"/>
                <w:color w:val="000000"/>
                <w:sz w:val="18"/>
                <w:szCs w:val="18"/>
              </w:rPr>
              <w:t>（40）国家电网有限公司电网建设项目水土保持设施验收管理办法；</w:t>
            </w:r>
          </w:p>
          <w:p w14:paraId="424D4A4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color w:val="000000"/>
                <w:sz w:val="18"/>
                <w:szCs w:val="18"/>
              </w:rPr>
              <w:t>（41）国家电网有限公司电网废弃物环境无害化处置监督管理办法；</w:t>
            </w:r>
          </w:p>
        </w:tc>
      </w:tr>
      <w:tr w14:paraId="7817EA3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87DC6FD">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7701396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附件5 ：安全协议书</w:t>
            </w:r>
          </w:p>
        </w:tc>
        <w:tc>
          <w:tcPr>
            <w:tcW w:w="3582" w:type="dxa"/>
            <w:vAlign w:val="center"/>
          </w:tcPr>
          <w:p w14:paraId="566CF5C3">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七、甲方安全文明施工管理责任、权利和义务</w:t>
            </w:r>
          </w:p>
          <w:p w14:paraId="133BDBE2">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负责审核批准乙方的项目安全文明施工费使用计划。负责在工程开工时，向乙方支付不低于当年施工进度计划的安全文明施工费总额的60%作为安全文明施工费预付款。负责控制安全文明施工费得到有效使用。乙方应在每月工程进度款支付申请同时单独申报安全文明施工费。</w:t>
            </w:r>
          </w:p>
        </w:tc>
        <w:tc>
          <w:tcPr>
            <w:tcW w:w="4455" w:type="dxa"/>
            <w:vAlign w:val="center"/>
          </w:tcPr>
          <w:p w14:paraId="5412B8E8">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七、甲方安全文明施工管理责任、权利和义务</w:t>
            </w:r>
          </w:p>
          <w:p w14:paraId="4C9314D2">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（9）负责审核批准乙方的项目安全文明施工费使用计划。负责在工程开工支付工程预付款时，向乙方支付不低于合同中安全文明施工费总额的</w:t>
            </w:r>
            <w:r>
              <w:rPr>
                <w:rFonts w:hint="eastAsia" w:ascii="方正仿宋_GBK" w:hAnsi="方正仿宋_GBK" w:eastAsia="方正仿宋_GBK" w:cs="方正仿宋_GBK"/>
                <w:b/>
                <w:bCs/>
                <w:sz w:val="18"/>
                <w:szCs w:val="18"/>
              </w:rPr>
              <w:t>50%</w:t>
            </w:r>
            <w:r>
              <w:rPr>
                <w:rFonts w:hint="eastAsia" w:ascii="方正仿宋_GBK" w:hAnsi="方正仿宋_GBK" w:eastAsia="方正仿宋_GBK" w:cs="方正仿宋_GBK"/>
                <w:sz w:val="18"/>
                <w:szCs w:val="18"/>
              </w:rPr>
              <w:t>作为安全文明施工费预付款。负责控制安全文明施工费得到有效使用。乙方应在每月工程进度款支付申请时一并申请并单独列示安全文明施工费。</w:t>
            </w:r>
          </w:p>
        </w:tc>
      </w:tr>
      <w:tr w14:paraId="2BE6430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1E626EE">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47477E53">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附件5 ：安全协议书</w:t>
            </w:r>
          </w:p>
        </w:tc>
        <w:tc>
          <w:tcPr>
            <w:tcW w:w="3582" w:type="dxa"/>
            <w:vAlign w:val="center"/>
          </w:tcPr>
          <w:p w14:paraId="376954AD">
            <w:pPr>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八、乙方安全文明施工管理责任、权利和义务</w:t>
            </w:r>
          </w:p>
          <w:p w14:paraId="721C934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14）负责遵守主体工程不得专业分包的合同约定，其他非主体工程分包必须经建设管理单位书面同意。专业承包或专业分包的变电站（包括换流站）建筑工程不允许再进行专业分包；变电站（包括换流站）安装工程的主体工程是指构支架组立和一次、二次等电气设备安装工程，电气调试。送电线路工程项目的主体工程，是指送电线路（包括直流换流站的接地及线路）工程的杆塔组立、架线和附件安装。</w:t>
            </w:r>
          </w:p>
          <w:p w14:paraId="33AE85D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15）专业分包、劳务分包安全管理必须符合国家、行业、国家电网公司规定，并报监理单位备案。使用省外分包商的，必须要求分包商向当地电力监管部门备案。专业分包、劳务分包合同中必须明确发、承包双方的安全施工责任，并实行安全风险抵押金等行之有效的管理措施，以强化工程分包商、劳务分包商的安全责任意识。</w:t>
            </w:r>
          </w:p>
          <w:p w14:paraId="521E0F34">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16）负责对工程分包商的施工安全行为监督。对于危险性较大的（如有可能引发火灾、爆炸、触电、高处坠落和电网、设备事故等事故）施工作业，负责事先进行安全技术交底，严格审查分包商的施工组织措施。</w:t>
            </w:r>
          </w:p>
          <w:p w14:paraId="0803E77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（17）负责对劳务分包人员的安全技术交底和安全培训。</w:t>
            </w:r>
          </w:p>
          <w:p w14:paraId="6072CE7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18）开工前，负责组织施工人员分工种进行安全教育和安全规程考试，并将考试合格人员名单（包括临时增补或调换人员）与考试成绩报给监理备案。起重机械操作人员、起重工、安装拆卸工、爆破作业人员、焊工、架子工、高处作业人员等特种作业人员必须持有相关部门核发的合格有效的上岗资格证书，并报监理审核备案。</w:t>
            </w:r>
          </w:p>
          <w:p w14:paraId="46CA69C4">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（19）负责对中、小型机械实行“定机定人”管理。</w:t>
            </w:r>
          </w:p>
          <w:p w14:paraId="1C728F2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20）乙方在施工期间所使用的各种机械设备及工器具等均应由乙方自备，乙方进入施工现场的各种设备以及工器具必须整洁完好无破损并符合规程规范等安全要求。乙方必须租赁的特种设备（起重机械等），应由双方有关人员办理租赁合同及安全协议手续。租赁的各种设备以及工器具，租赁方必须进行检验，并做好检验记录。</w:t>
            </w:r>
          </w:p>
          <w:p w14:paraId="47B8843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21）负责建立进场员工安规考试台帐、职工体检台帐、施工机械（机具）管理台帐、安全工器具管理和检验台帐、特种作业人员台帐。起重机械、物料提升机等特种设备必须取得政府授权检测机构检验合格并颁发的“安全检验合格证”，并负责向监理报审。</w:t>
            </w:r>
          </w:p>
          <w:p w14:paraId="1652BD2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（22）变电施工现场施工用电严格执行“三相五线制”的用电方式，线路施工现场按当地临时用电方式进行，严格施工用电管理，确保一机一闸一保护。</w:t>
            </w:r>
          </w:p>
          <w:p w14:paraId="5327B7B7">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（23）负责在工程项目应急工作组的组织下，编制人身事故、火灾事故、触电事故等事故应急预案，并进行培训、演练。</w:t>
            </w:r>
          </w:p>
          <w:p w14:paraId="5DF12722">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（24）负责在改、扩建工程中，严格执行工作票制度等生产运行管理制度。对自身展放的带电运行屏上的搭接电缆的回路编号、端子牌号、芯线的正确性以及待接入时段的防误碰保护负安全责任。</w:t>
            </w:r>
          </w:p>
          <w:p w14:paraId="4473466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25）对施工现场运行单位及其他施工单位设立的各类安全防护设施、遮栏、安全标志牌、警告牌和接地线等不得擅自拆除、更动。如确实需要拆除、更动的，应经运行单位或监理指派的安全管理人员的同意，办理手续，并采取必要、可靠的安全措施后方能拆除、更动现场安全防护设施，否则对擅自拆除、更动所造成的后果负责。</w:t>
            </w:r>
          </w:p>
          <w:p w14:paraId="49491AF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（26）负责在施工期间对地下管线、光缆及高压架空线的保护，在遇有情况时，负责及时向甲方和有关部门联系，采取保护措施方可施工，不得冒险作业。</w:t>
            </w:r>
          </w:p>
          <w:p w14:paraId="4DAF111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27）对甲方、建设管理单位、监理及上级单位和人员的违章反安全生产规定、制度的指令有权拒绝执行，对甲方强行指定购置不符合国家标准的安全设施和防护用品的行为有权拒绝，对甲方、监理在安全管理工作中存在的问题有权提出意见和改进建议。在预见有重大危险发生时，乙方应认真排查工程关键节点，分析重大危险源点，制定相应的应急预案，并强化实施过程的安全监督，全力规避安全风险。</w:t>
            </w:r>
          </w:p>
        </w:tc>
        <w:tc>
          <w:tcPr>
            <w:tcW w:w="4455" w:type="dxa"/>
            <w:vAlign w:val="center"/>
          </w:tcPr>
          <w:p w14:paraId="7E20EDF7">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八、乙方安全文明施工管理责任、权利和义务</w:t>
            </w:r>
          </w:p>
          <w:p w14:paraId="2E2AAE50">
            <w:pPr>
              <w:adjustRightInd w:val="0"/>
              <w:snapToGrid w:val="0"/>
              <w:rPr>
                <w:rFonts w:ascii="方正仿宋_GBK" w:hAnsi="方正仿宋_GBK" w:eastAsia="方正仿宋_GBK" w:cs="方正仿宋_GBK"/>
                <w:sz w:val="18"/>
                <w:szCs w:val="18"/>
              </w:rPr>
            </w:pPr>
          </w:p>
          <w:p w14:paraId="1922E2B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14）负责遵守主体工程不得专业分包的合同约定，其他非主体工程分包必须经建设管理单位书面同意。专业承包或专业分包的变电站（包括换流站）建筑工程不允许再进行专业分包；变电站（包括换流站）安装工程的主体工程是指构支架组立和一次、二次等电气设备安装工程，电气调试。送电线路工程项目的主体工程，是指送电线路（包括直流换流站的接地及线路）工程的杆塔组立、架线和附件安装。</w:t>
            </w:r>
          </w:p>
          <w:p w14:paraId="177ADF4F">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15）专业分包、劳务分包安全管理必须符合国家、行业、国家电网有限公司规定，并报监理单位备案。专业分包、劳务分包合同中必须明确发、承包双方的安全施工责任，并实行安全风险抵押金等行之有效的管理措施，以强化工程分包商、劳务分包商的安全责任意识。</w:t>
            </w:r>
          </w:p>
          <w:p w14:paraId="5B3C891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16）负责对工程分包商的施工安全行为监督。对于危险性较大的（如有可能引发火灾、爆炸、触电、高处坠落和电网、设备事故等事故）施工作业，负责事先进行安全技术交底，严格审查分包商的施工组织措施。</w:t>
            </w:r>
          </w:p>
          <w:p w14:paraId="7922FB7C">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（17）负责对劳务分包人员的安全技术交底和安全培训。</w:t>
            </w:r>
          </w:p>
          <w:p w14:paraId="3767577F">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18）开工前，负责组织施工人员分工种进行安全教育和安全规程考试，并将考试合格人员名单（包括临时增补或调换人员）与考试成绩报给监理备案。起重机械操作人员、起重工、安装拆卸工、爆破作业人员、焊工、架子工、高处作业人员等特种作业人员必须持有相关部门核发的合格有效的上岗资格证书，并报监理审核备案。</w:t>
            </w:r>
          </w:p>
          <w:p w14:paraId="1BB74C7F">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（19）负责对中、小型机械实行“定机定人”管理。</w:t>
            </w:r>
          </w:p>
          <w:p w14:paraId="1F361C34">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20）乙方在施工期间所使用的各种机械设备及工器具等均应由乙方自备，乙方进入施工现场的各种设备以及工器具必须整洁完好无破损并符合规程规范等安全要求。乙方必须租赁的特种设备（起重机械等），应由双方有关人员办理租赁合同及安全协议手续。租赁的各种设备以及工器具，租赁方必须进行检验，并做好检验记录。</w:t>
            </w:r>
          </w:p>
          <w:p w14:paraId="6617069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21）负责建立进场员工安规考试台帐、职工体检台帐、施工机械（机具）管理台帐、安全工器具管理和检验台帐、特种作业人员台帐。起重机械、物料提升机等特种设备必须取得政府授权检测机构检验合格并颁发的“安全检验合格证”，并负责向监理报审。</w:t>
            </w:r>
          </w:p>
          <w:p w14:paraId="644ADA6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（22）变电施工现场施工用电严格执行“三相五线制”的用电方式，线路施工现场按当地临时用电方式进行，严格施工用电管理，确保一机一闸一保护。</w:t>
            </w:r>
          </w:p>
          <w:p w14:paraId="2D91C1C3">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（23）负责在工程项目应急工作组的组织下，编制人身事故、火灾事故、触电事故等事故应急预案，并进行培训、演练。</w:t>
            </w:r>
          </w:p>
          <w:p w14:paraId="3BB57C0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（24）负责在改、扩建工程中，严格执行工作票制度等生产运行管理制度。对自身展放的带电运行屏上的搭接电缆的回路编号、端子牌号、芯线的正确性以及待接入时段的防误碰保护负安全责任。</w:t>
            </w:r>
          </w:p>
          <w:p w14:paraId="43E7352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25）对施工现场运行单位及其他施工单位设立的各类安全防护设施、遮栏、安全标志牌、警告牌和接地线等不得擅自拆除、更动。如确实需要拆除、更动的，应经运行单位或监理指派的安全管理人员的同意，办理手续，并采取必要、可靠的安全措施后方能拆除、更动现场安全防护设施，否则对擅自拆除、更动所造成的后果负责。</w:t>
            </w:r>
          </w:p>
          <w:p w14:paraId="5388CBA0">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（26）负责在施工期间对地下管线、光缆及高压架空线的保护，在遇有情况时，负责及时向甲方和有关部门联系，采取保护措施方可施工，不得冒险作业。</w:t>
            </w:r>
          </w:p>
          <w:p w14:paraId="062D451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27）对甲方、建设管理单位、监理及上级单位和人员的违章反安全生产规定、制度的指令有权拒绝执行，对甲方强行指定购置不符合国家标准的安全设施和防护用品的行为有权拒绝，对甲方、监理在安全管理工作中存在的问题有权提出意见和改进建议。在预见有重大危险发生时，乙方应认真排查工程关键节点，分析重大危险源点，制定相应的应急预案，并强化实施过程的安全监督，全力规避安全风险。</w:t>
            </w:r>
          </w:p>
          <w:p w14:paraId="42FC791E">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(28)与其他单位在同一区域进行作业施工，可能危及生产安全的，应当签订安全生产管理协议，明确各自的安全生产管理职责和应当采取的安全措施，并制定专职安全生产管理人员进行安全检查与协调。安全生产管理协议应报备监理项目部。</w:t>
            </w:r>
          </w:p>
          <w:p w14:paraId="69BD0F2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（29）负责在现场配置应急处置物资，预防现场各类应急事故。</w:t>
            </w:r>
          </w:p>
          <w:p w14:paraId="01A8E713">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（30）常态化开展疫情防控工作，按照要求及时发放疫情防控物资，并督促施工人员规范使用。</w:t>
            </w:r>
          </w:p>
        </w:tc>
      </w:tr>
      <w:tr w14:paraId="1BAE681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E0A3063">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0307009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附件5 ：安全协议书十</w:t>
            </w:r>
          </w:p>
        </w:tc>
        <w:tc>
          <w:tcPr>
            <w:tcW w:w="3582" w:type="dxa"/>
            <w:vAlign w:val="center"/>
          </w:tcPr>
          <w:p w14:paraId="2C299FB9">
            <w:pPr>
              <w:adjustRightInd w:val="0"/>
              <w:snapToGrid w:val="0"/>
              <w:spacing w:line="240" w:lineRule="exac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 安全违约金支付标准</w:t>
            </w:r>
          </w:p>
          <w:p w14:paraId="7E00C2A8">
            <w:pPr>
              <w:adjustRightInd w:val="0"/>
              <w:snapToGrid w:val="0"/>
              <w:spacing w:line="240" w:lineRule="exac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（1）发生重大安全事故（二级及以上人身、电网、设备安全事件）或人身死亡事故（四级及以上人身安全事件），支付签约合同价2%的安全违约金。</w:t>
            </w:r>
          </w:p>
          <w:p w14:paraId="7CEE6A4E">
            <w:pPr>
              <w:adjustRightInd w:val="0"/>
              <w:snapToGrid w:val="0"/>
              <w:spacing w:line="240" w:lineRule="exac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（2）发生人身重伤事故（四级及以上人身安全事件），一人•次，支付签约合同价6‰的安全违约金；二人•次，支付签约合同价1.2%的安全违约；三人•次及以上，支付签约合同价2%的安全违约金。</w:t>
            </w:r>
          </w:p>
          <w:p w14:paraId="602E36A1">
            <w:pPr>
              <w:adjustRightInd w:val="0"/>
              <w:snapToGrid w:val="0"/>
              <w:spacing w:line="240" w:lineRule="exac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（3）发生设备事故或火灾事故或负主要责任的交通事故，视事故的性质和严重程度，支付签约合同价4‰～2%的安全违约金。</w:t>
            </w:r>
          </w:p>
          <w:p w14:paraId="3CB5DE66">
            <w:pPr>
              <w:adjustRightInd w:val="0"/>
              <w:snapToGrid w:val="0"/>
              <w:spacing w:line="240" w:lineRule="exac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（4）发生因工程建设而造成的电网停电事故，视事故影响的大小和严重程度，支付签约合同价4‰～2%的安全违约金。</w:t>
            </w:r>
          </w:p>
          <w:p w14:paraId="33567022">
            <w:pPr>
              <w:adjustRightInd w:val="0"/>
              <w:snapToGrid w:val="0"/>
              <w:spacing w:line="240" w:lineRule="exact"/>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（5）发包人组织安全监督检查时，未能达到标准要求的，每次支付签约合同价2‰的安全违约金。</w:t>
            </w:r>
          </w:p>
        </w:tc>
        <w:tc>
          <w:tcPr>
            <w:tcW w:w="4455" w:type="dxa"/>
            <w:vAlign w:val="center"/>
          </w:tcPr>
          <w:p w14:paraId="1701C2EA">
            <w:pPr>
              <w:spacing w:line="240" w:lineRule="exact"/>
              <w:rPr>
                <w:rFonts w:ascii="方正仿宋_GBK" w:hAnsi="方正仿宋_GBK" w:eastAsia="方正仿宋_GBK" w:cs="方正仿宋_GBK"/>
                <w:sz w:val="18"/>
                <w:szCs w:val="18"/>
              </w:rPr>
            </w:pPr>
            <w:r>
              <w:rPr>
                <w:rFonts w:hint="eastAsia" w:ascii="方正仿宋_GBK" w:hAnsi="方正仿宋_GBK" w:eastAsia="方正仿宋_GBK" w:cs="方正仿宋_GBK"/>
                <w:b/>
                <w:bCs/>
                <w:kern w:val="0"/>
                <w:sz w:val="18"/>
                <w:szCs w:val="18"/>
              </w:rPr>
              <w:t>修改为：</w:t>
            </w:r>
          </w:p>
          <w:p w14:paraId="3D12357D">
            <w:pPr>
              <w:spacing w:line="240" w:lineRule="exact"/>
              <w:rPr>
                <w:rFonts w:ascii="方正仿宋_GBK" w:hAnsi="方正仿宋_GBK" w:eastAsia="方正仿宋_GBK" w:cs="方正仿宋_GBK"/>
                <w:kern w:val="0"/>
                <w:sz w:val="18"/>
                <w:szCs w:val="18"/>
              </w:rPr>
            </w:pPr>
            <w:r>
              <w:rPr>
                <w:rFonts w:hint="eastAsia" w:ascii="方正仿宋_GBK" w:hAnsi="方正仿宋_GBK" w:eastAsia="方正仿宋_GBK" w:cs="方正仿宋_GBK"/>
                <w:sz w:val="18"/>
                <w:szCs w:val="18"/>
              </w:rPr>
              <w:t>2. 安全违约金支付标准</w:t>
            </w:r>
          </w:p>
          <w:p w14:paraId="0C6A4195">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（1）发生重大安全事故（二级及以上人身、电网、设备安全事件）或人身死亡事故（四级及以上人身安全事件），违约金为签约合同价的2%。</w:t>
            </w:r>
          </w:p>
          <w:p w14:paraId="17B08572">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（2）发生人身重伤事故（四级及以上人身安全事件），1人•次违约金为签约合同价的6‰、2人•次违约金为签约合同价的1.2%、3人•次及以上违约金为签约合同价的2%。</w:t>
            </w:r>
          </w:p>
          <w:p w14:paraId="4E76477E">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（3）发生设备事故或火灾事故或负主要责任的交通事故，视事故的性质和严重程度，违约金为签约合同价的4‰～2%。</w:t>
            </w:r>
          </w:p>
          <w:p w14:paraId="6692943C">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（4）发生因工程建设而造成的电网停电事故，视事故影响的大小和严重程度，违约金为签约合同价的4‰～2%。</w:t>
            </w:r>
          </w:p>
          <w:p w14:paraId="0BC09B81">
            <w:pPr>
              <w:pStyle w:val="2"/>
              <w:rPr>
                <w:rFonts w:ascii="方正仿宋_GBK" w:hAnsi="方正仿宋_GBK" w:eastAsia="方正仿宋_GBK" w:cs="方正仿宋_GBK"/>
              </w:rPr>
            </w:pPr>
            <w:r>
              <w:rPr>
                <w:rFonts w:hint="eastAsia" w:ascii="方正仿宋_GBK" w:hAnsi="方正仿宋_GBK" w:eastAsia="方正仿宋_GBK" w:cs="方正仿宋_GBK"/>
                <w:kern w:val="2"/>
              </w:rPr>
              <w:t>（5）发包人组织安全监督检查时，未能达到标准要求的，每次支付签约合同价2‰的安全违约金。</w:t>
            </w:r>
          </w:p>
          <w:p w14:paraId="5ADA411F">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6）发生因工程建设引起的六级及以上电网及设备安全事件，每次违约金为签约合同价的0.75%；发生六级以上、四级以下人身事件，每次违约金为签约合同价的0.75%；发生六级以上及以上施工机械设备事件，每次违约金为签约合同价的0.75%。</w:t>
            </w:r>
          </w:p>
          <w:p w14:paraId="66DAC639">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（7）发生对公司造成影响的安全稳定事件，每次违约金为签约合同价的0.75%；发生环境污染事件的，每次违约金为签约合同价的0.75%；发生基建信息安全事件，每次违约金为签约合同价的0.75%。</w:t>
            </w:r>
          </w:p>
          <w:p w14:paraId="3A6FC0E1">
            <w:pPr>
              <w:spacing w:line="240" w:lineRule="exact"/>
              <w:rPr>
                <w:rFonts w:ascii="方正仿宋_GBK" w:hAnsi="方正仿宋_GBK" w:eastAsia="方正仿宋_GBK" w:cs="方正仿宋_GBK"/>
                <w:bCs/>
                <w:kern w:val="0"/>
                <w:sz w:val="18"/>
                <w:szCs w:val="18"/>
              </w:rPr>
            </w:pPr>
            <w:r>
              <w:rPr>
                <w:rFonts w:hint="eastAsia" w:ascii="方正仿宋_GBK" w:hAnsi="方正仿宋_GBK" w:eastAsia="方正仿宋_GBK" w:cs="方正仿宋_GBK"/>
                <w:bCs/>
                <w:kern w:val="0"/>
                <w:sz w:val="18"/>
                <w:szCs w:val="18"/>
              </w:rPr>
              <w:t>（8）发生被地方政府查处的重大安全隐患，每次违约金为签约合同价的0.75%。</w:t>
            </w:r>
          </w:p>
          <w:p w14:paraId="62E3ECC0">
            <w:pPr>
              <w:spacing w:line="240" w:lineRule="exact"/>
              <w:rPr>
                <w:rFonts w:ascii="方正仿宋_GBK" w:hAnsi="方正仿宋_GBK" w:eastAsia="方正仿宋_GBK" w:cs="方正仿宋_GBK"/>
                <w:sz w:val="18"/>
                <w:szCs w:val="18"/>
              </w:rPr>
            </w:pPr>
            <w:r>
              <w:rPr>
                <w:rStyle w:val="53"/>
                <w:rFonts w:hint="eastAsia" w:ascii="方正仿宋_GBK" w:hAnsi="方正仿宋_GBK" w:eastAsia="方正仿宋_GBK" w:cs="方正仿宋_GBK"/>
                <w:bCs/>
                <w:kern w:val="0"/>
                <w:sz w:val="18"/>
                <w:szCs w:val="18"/>
              </w:rPr>
              <w:t>（</w:t>
            </w:r>
            <w:r>
              <w:rPr>
                <w:rStyle w:val="53"/>
                <w:rFonts w:hint="eastAsia" w:ascii="方正仿宋_GBK" w:hAnsi="方正仿宋_GBK" w:eastAsia="方正仿宋_GBK" w:cs="方正仿宋_GBK"/>
                <w:bCs/>
                <w:kern w:val="0"/>
                <w:sz w:val="18"/>
                <w:szCs w:val="18"/>
                <w:lang w:val="en-US" w:eastAsia="zh-CN"/>
              </w:rPr>
              <w:t>9</w:t>
            </w:r>
            <w:r>
              <w:rPr>
                <w:rStyle w:val="53"/>
                <w:rFonts w:hint="eastAsia" w:ascii="方正仿宋_GBK" w:hAnsi="方正仿宋_GBK" w:eastAsia="方正仿宋_GBK" w:cs="方正仿宋_GBK"/>
                <w:bCs/>
                <w:kern w:val="0"/>
                <w:sz w:val="18"/>
                <w:szCs w:val="18"/>
              </w:rPr>
              <w:t>）发生国家电网公司查出的严重违章或重大安全隐患，每次违约金为签约合同价的0.2%，并在年度及季度资信评价中按五级安全事件扣除分数。</w:t>
            </w:r>
            <w:r>
              <w:rPr>
                <w:rStyle w:val="53"/>
                <w:rFonts w:hint="eastAsia" w:ascii="方正仿宋_GBK" w:hAnsi="方正仿宋_GBK" w:eastAsia="方正仿宋_GBK" w:cs="方正仿宋_GBK"/>
                <w:bCs/>
                <w:kern w:val="0"/>
                <w:sz w:val="18"/>
                <w:szCs w:val="18"/>
              </w:rPr>
              <w:br w:type="textWrapping"/>
            </w:r>
            <w:r>
              <w:rPr>
                <w:rStyle w:val="53"/>
                <w:rFonts w:hint="eastAsia" w:ascii="方正仿宋_GBK" w:hAnsi="方正仿宋_GBK" w:eastAsia="方正仿宋_GBK" w:cs="方正仿宋_GBK"/>
                <w:bCs/>
                <w:kern w:val="0"/>
                <w:sz w:val="18"/>
                <w:szCs w:val="18"/>
              </w:rPr>
              <w:t>（</w:t>
            </w:r>
            <w:r>
              <w:rPr>
                <w:rStyle w:val="53"/>
                <w:rFonts w:hint="eastAsia" w:ascii="方正仿宋_GBK" w:hAnsi="方正仿宋_GBK" w:eastAsia="方正仿宋_GBK" w:cs="方正仿宋_GBK"/>
                <w:bCs/>
                <w:kern w:val="0"/>
                <w:sz w:val="18"/>
                <w:szCs w:val="18"/>
                <w:lang w:val="en-US" w:eastAsia="zh-CN"/>
              </w:rPr>
              <w:t>10</w:t>
            </w:r>
            <w:r>
              <w:rPr>
                <w:rStyle w:val="53"/>
                <w:rFonts w:hint="eastAsia" w:ascii="方正仿宋_GBK" w:hAnsi="方正仿宋_GBK" w:eastAsia="方正仿宋_GBK" w:cs="方正仿宋_GBK"/>
                <w:bCs/>
                <w:kern w:val="0"/>
                <w:sz w:val="18"/>
                <w:szCs w:val="18"/>
              </w:rPr>
              <w:t>）发生国家电网公司查出的一般违章累计达到3次或3项，违约金为签约合同价的0.1%。</w:t>
            </w:r>
            <w:r>
              <w:rPr>
                <w:rStyle w:val="53"/>
                <w:rFonts w:hint="eastAsia" w:ascii="方正仿宋_GBK" w:hAnsi="方正仿宋_GBK" w:eastAsia="方正仿宋_GBK" w:cs="方正仿宋_GBK"/>
                <w:bCs/>
                <w:kern w:val="0"/>
                <w:sz w:val="18"/>
                <w:szCs w:val="18"/>
              </w:rPr>
              <w:br w:type="textWrapping"/>
            </w:r>
            <w:r>
              <w:rPr>
                <w:rStyle w:val="53"/>
                <w:rFonts w:hint="eastAsia" w:ascii="方正仿宋_GBK" w:hAnsi="方正仿宋_GBK" w:eastAsia="方正仿宋_GBK" w:cs="方正仿宋_GBK"/>
                <w:bCs/>
                <w:kern w:val="0"/>
                <w:sz w:val="18"/>
                <w:szCs w:val="18"/>
              </w:rPr>
              <w:t>（</w:t>
            </w:r>
            <w:r>
              <w:rPr>
                <w:rStyle w:val="53"/>
                <w:rFonts w:hint="eastAsia" w:ascii="方正仿宋_GBK" w:hAnsi="方正仿宋_GBK" w:eastAsia="方正仿宋_GBK" w:cs="方正仿宋_GBK"/>
                <w:bCs/>
                <w:kern w:val="0"/>
                <w:sz w:val="18"/>
                <w:szCs w:val="18"/>
                <w:lang w:val="en-US" w:eastAsia="zh-CN"/>
              </w:rPr>
              <w:t>11</w:t>
            </w:r>
            <w:r>
              <w:rPr>
                <w:rStyle w:val="53"/>
                <w:rFonts w:hint="eastAsia" w:ascii="方正仿宋_GBK" w:hAnsi="方正仿宋_GBK" w:eastAsia="方正仿宋_GBK" w:cs="方正仿宋_GBK"/>
                <w:bCs/>
                <w:kern w:val="0"/>
                <w:sz w:val="18"/>
                <w:szCs w:val="18"/>
              </w:rPr>
              <w:t>）发生公司查出的严重违章，包括现场安全督查和远程视频督查，每项违约金为签订合同价的0.5‰；发生公司查出的一般违章，包括现场安全督查和远程视频督查，累计每5项违约金为签订合同价的0.1‰。</w:t>
            </w:r>
          </w:p>
        </w:tc>
      </w:tr>
      <w:tr w14:paraId="614DB6F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C80C575">
            <w:pPr>
              <w:pStyle w:val="39"/>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rPr>
            </w:pPr>
          </w:p>
        </w:tc>
        <w:tc>
          <w:tcPr>
            <w:tcW w:w="954" w:type="dxa"/>
            <w:vAlign w:val="center"/>
          </w:tcPr>
          <w:p w14:paraId="3AFFF5A7">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附件5 ：安全协议书十一（1）</w:t>
            </w:r>
          </w:p>
        </w:tc>
        <w:tc>
          <w:tcPr>
            <w:tcW w:w="3582" w:type="dxa"/>
            <w:vAlign w:val="center"/>
          </w:tcPr>
          <w:p w14:paraId="66BD7A04">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十一、安全文明施工费</w:t>
            </w:r>
          </w:p>
          <w:p w14:paraId="6B74ABEA">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1、本工程暂定计列</w:t>
            </w:r>
            <w:permStart w:id="14" w:edGrp="everyone"/>
            <w:permEnd w:id="14"/>
            <w:r>
              <w:rPr>
                <w:rFonts w:hint="eastAsia" w:ascii="方正仿宋_GBK" w:hAnsi="方正仿宋_GBK" w:eastAsia="方正仿宋_GBK" w:cs="方正仿宋_GBK"/>
                <w:sz w:val="18"/>
                <w:szCs w:val="18"/>
              </w:rPr>
              <w:t>万元作为安全文明施工费。</w:t>
            </w:r>
          </w:p>
          <w:p w14:paraId="44D3C1E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2、安全文明施工费使用范围（变电、线路工程分别根据实际情况从以下选项中选择使用）：</w:t>
            </w:r>
          </w:p>
          <w:p w14:paraId="6CB48924">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执行国家电网公司安全文明施工标准化管理办法：</w:t>
            </w:r>
          </w:p>
          <w:p w14:paraId="64C67AD5">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h. 绝缘安全网和绝缘绳购置、租赁、运转、检测、维护保养费用；</w:t>
            </w:r>
          </w:p>
          <w:p w14:paraId="2182739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i. 验电器、绝缘棒、工作接地线和保安接地线等预防雷击和近电作业防护设施购置、租赁、运转、检测、维护保养费用；</w:t>
            </w:r>
          </w:p>
          <w:p w14:paraId="5F654978">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j. 有害气体室内或地下工程装设的强制通风装置或有害气体监测装置购置、租赁、运转、检测、维护保养费用；</w:t>
            </w:r>
          </w:p>
          <w:p w14:paraId="6C4226D6">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k.施工机械上的各种保护及保险装置购置、检测、维护保养费用，小型起重工器具检测、维护、保养费用，配合施工方案、作业指导书安全控制措施采用的临时设施采购、租赁、运转费用；</w:t>
            </w:r>
          </w:p>
        </w:tc>
        <w:tc>
          <w:tcPr>
            <w:tcW w:w="4455" w:type="dxa"/>
            <w:vAlign w:val="center"/>
          </w:tcPr>
          <w:p w14:paraId="7B687ED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十一、安全文明施工费</w:t>
            </w:r>
          </w:p>
          <w:p w14:paraId="5091B381">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1、本工程合同暂定计列</w:t>
            </w:r>
            <w:permStart w:id="15" w:edGrp="everyone"/>
            <w:permEnd w:id="15"/>
            <w:r>
              <w:rPr>
                <w:rFonts w:hint="eastAsia" w:ascii="方正仿宋_GBK" w:hAnsi="方正仿宋_GBK" w:eastAsia="方正仿宋_GBK" w:cs="方正仿宋_GBK"/>
                <w:sz w:val="18"/>
                <w:szCs w:val="18"/>
              </w:rPr>
              <w:t>万元作为安全文明施工费。在工程开工支付工程预付款时，承包人可按照安全文明施工费总额的50%向发包人申请安全文明施工费预付款，并开具收据。以后每期安全文明施工费可随工程进度款一并申请并单独列示，随工程进度款一并开具增值税专用发票，按照安全文明施工费预付款比例同比例逐期抵扣预付款。承包人应对安全文明施工费专款专用，在财务账目中单独列项备查，不得挪作他用，否则发包人有权要求其限期改正；逾期未改正的，造成的损失和延误的工期由承包人承担。</w:t>
            </w:r>
          </w:p>
          <w:p w14:paraId="002B671D">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2、安全文明施工费使用范围（变电、线路工程分别根据实际情况从以下选项中选择使用）：</w:t>
            </w:r>
          </w:p>
          <w:p w14:paraId="4FBF31A2">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执行国家电网有限公司输变电工程建设安全文明施工规程：</w:t>
            </w:r>
          </w:p>
          <w:p w14:paraId="2A31D722">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g. 绝缘安全网和绝缘绳购置、租赁、运转、检测、维护保养费用；</w:t>
            </w:r>
          </w:p>
          <w:p w14:paraId="22284A2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h. 验电器、绝缘棒、工作接地线和保安接地线等预防雷击和近电作业防护设施购置、租赁、运转、检测、维护保养费用；</w:t>
            </w:r>
          </w:p>
          <w:p w14:paraId="05B98539">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i. 有害气体室内或地下工程装设的强制通风装置或有害气体监测装置购置、租赁、运转、检测、维护保养费用；</w:t>
            </w:r>
          </w:p>
          <w:p w14:paraId="5AA08BDB">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j.施工机械上的各种保护及保险装置购置、检测、维护保养费用，小型起重工器具检测、维护、保养费用，配合施工方案、作业指导书安全控制措施采用的临时设施采购、租赁、运转费用；</w:t>
            </w:r>
          </w:p>
          <w:p w14:paraId="114DB992">
            <w:pPr>
              <w:adjustRightInd w:val="0"/>
              <w:snapToGrid w:val="0"/>
              <w:rPr>
                <w:rFonts w:ascii="方正仿宋_GBK" w:hAnsi="方正仿宋_GBK" w:eastAsia="方正仿宋_GBK" w:cs="方正仿宋_GBK"/>
                <w:sz w:val="18"/>
                <w:szCs w:val="18"/>
              </w:rPr>
            </w:pPr>
            <w:r>
              <w:rPr>
                <w:rFonts w:hint="eastAsia" w:ascii="方正仿宋_GBK" w:hAnsi="方正仿宋_GBK" w:eastAsia="方正仿宋_GBK" w:cs="方正仿宋_GBK"/>
                <w:sz w:val="18"/>
                <w:szCs w:val="18"/>
              </w:rPr>
              <w:t>k.为施工作业配备的防风、防腐、防尘、防水浸、防雷击等设施、设备购置、运转费用，防治边帮滑坡的设施及与之相关的配合费用。</w:t>
            </w:r>
          </w:p>
        </w:tc>
      </w:tr>
    </w:tbl>
    <w:p w14:paraId="1839F76C">
      <w:pPr>
        <w:jc w:val="center"/>
        <w:rPr>
          <w:rFonts w:ascii="方正仿宋_GBK" w:hAnsi="方正仿宋_GBK" w:eastAsia="方正仿宋_GBK" w:cs="方正仿宋_GBK"/>
          <w:sz w:val="18"/>
          <w:szCs w:val="18"/>
        </w:rPr>
        <w:sectPr>
          <w:footerReference r:id="rId4" w:type="default"/>
          <w:pgSz w:w="11906" w:h="16838"/>
          <w:pgMar w:top="1081" w:right="1247" w:bottom="1560" w:left="1247" w:header="851" w:footer="992" w:gutter="0"/>
          <w:cols w:space="720" w:num="1"/>
          <w:docGrid w:type="lines" w:linePitch="312" w:charSpace="0"/>
        </w:sectPr>
      </w:pPr>
    </w:p>
    <w:p w14:paraId="2B5C8DC8">
      <w:pPr>
        <w:pStyle w:val="2"/>
        <w:rPr>
          <w:rFonts w:ascii="方正仿宋_GBK" w:hAnsi="方正仿宋_GBK" w:eastAsia="方正仿宋_GBK" w:cs="方正仿宋_GBK"/>
        </w:rPr>
      </w:pPr>
    </w:p>
    <w:p w14:paraId="55761880">
      <w:pPr>
        <w:topLinePunct/>
        <w:snapToGrid w:val="0"/>
        <w:spacing w:line="240" w:lineRule="atLeast"/>
        <w:jc w:val="left"/>
        <w:rPr>
          <w:rFonts w:ascii="方正黑体_GBK" w:hAnsi="方正黑体_GBK" w:eastAsia="方正黑体_GBK" w:cs="方正黑体_GBK"/>
          <w:sz w:val="24"/>
          <w:szCs w:val="24"/>
        </w:rPr>
      </w:pPr>
      <w:r>
        <w:rPr>
          <w:rFonts w:hint="eastAsia" w:ascii="方正黑体_GBK" w:hAnsi="方正黑体_GBK" w:eastAsia="方正黑体_GBK" w:cs="方正黑体_GBK"/>
          <w:sz w:val="24"/>
          <w:szCs w:val="24"/>
        </w:rPr>
        <w:t>附件11</w:t>
      </w:r>
      <w:r>
        <w:rPr>
          <w:rFonts w:ascii="方正黑体_GBK" w:hAnsi="方正黑体_GBK" w:eastAsia="方正黑体_GBK" w:cs="方正黑体_GBK"/>
          <w:sz w:val="24"/>
          <w:szCs w:val="24"/>
        </w:rPr>
        <w:t>：</w:t>
      </w:r>
    </w:p>
    <w:p w14:paraId="096CBE05">
      <w:pPr>
        <w:topLinePunct/>
        <w:snapToGrid w:val="0"/>
        <w:spacing w:line="240" w:lineRule="atLeast"/>
        <w:jc w:val="center"/>
        <w:rPr>
          <w:rFonts w:ascii="方正黑体_GBK" w:hAnsi="方正黑体_GBK" w:eastAsia="方正黑体_GBK" w:cs="方正黑体_GBK"/>
          <w:sz w:val="24"/>
          <w:szCs w:val="24"/>
        </w:rPr>
      </w:pPr>
      <w:r>
        <w:rPr>
          <w:rFonts w:hint="eastAsia" w:ascii="方正黑体_GBK" w:hAnsi="方正黑体_GBK" w:eastAsia="方正黑体_GBK" w:cs="方正黑体_GBK"/>
          <w:sz w:val="24"/>
          <w:szCs w:val="24"/>
        </w:rPr>
        <w:t>施工承包商过程考核实施细则</w:t>
      </w:r>
    </w:p>
    <w:p w14:paraId="26262F3D">
      <w:pPr>
        <w:numPr>
          <w:ilvl w:val="0"/>
          <w:numId w:val="8"/>
        </w:numPr>
        <w:topLinePunct/>
        <w:snapToGrid w:val="0"/>
        <w:spacing w:beforeLines="50" w:afterLines="50" w:line="240" w:lineRule="atLeast"/>
        <w:outlineLvl w:val="0"/>
        <w:rPr>
          <w:rFonts w:ascii="方正楷体_GBK" w:hAnsi="方正楷体_GBK" w:eastAsia="方正楷体_GBK" w:cs="方正楷体_GBK"/>
          <w:b/>
          <w:bCs/>
          <w:sz w:val="24"/>
          <w:szCs w:val="24"/>
        </w:rPr>
      </w:pPr>
      <w:r>
        <w:rPr>
          <w:rFonts w:hint="eastAsia" w:ascii="方正楷体_GBK" w:hAnsi="方正楷体_GBK" w:eastAsia="方正楷体_GBK" w:cs="方正楷体_GBK"/>
          <w:b/>
          <w:bCs/>
          <w:sz w:val="24"/>
          <w:szCs w:val="24"/>
        </w:rPr>
        <w:t>总则</w:t>
      </w:r>
    </w:p>
    <w:p w14:paraId="4BF18E64">
      <w:pPr>
        <w:topLinePunct/>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为进一步贯彻落实国家电网有限公司关于基建标准化管理体系建设的要求，加强施工承包商建设和责任制的落实，规范施工行为，激励施工人员发挥积极性和创造性，全面提高工程建设和管理水平，结合变电站现场建设实际，特制定本细则。本办法用于变电站工程施工的考核评价工作。</w:t>
      </w:r>
    </w:p>
    <w:p w14:paraId="222651A3">
      <w:pPr>
        <w:numPr>
          <w:ilvl w:val="0"/>
          <w:numId w:val="8"/>
        </w:numPr>
        <w:topLinePunct/>
        <w:snapToGrid w:val="0"/>
        <w:spacing w:beforeLines="50" w:afterLines="50" w:line="240" w:lineRule="atLeast"/>
        <w:outlineLvl w:val="0"/>
        <w:rPr>
          <w:rFonts w:ascii="方正楷体_GBK" w:hAnsi="方正楷体_GBK" w:eastAsia="方正楷体_GBK" w:cs="方正楷体_GBK"/>
          <w:b/>
          <w:bCs/>
          <w:sz w:val="24"/>
          <w:szCs w:val="24"/>
        </w:rPr>
      </w:pPr>
      <w:r>
        <w:rPr>
          <w:rFonts w:hint="eastAsia" w:ascii="方正楷体_GBK" w:hAnsi="方正楷体_GBK" w:eastAsia="方正楷体_GBK" w:cs="方正楷体_GBK"/>
          <w:b/>
          <w:bCs/>
          <w:sz w:val="24"/>
          <w:szCs w:val="24"/>
        </w:rPr>
        <w:t>考核评价方式</w:t>
      </w:r>
    </w:p>
    <w:p w14:paraId="7E05EFDE">
      <w:pPr>
        <w:topLinePunct/>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业主项目部负责对施工承包商进行阶段性考核评价，考核期为合同约定的工期，按月进行考核。业主项目部在工程施工过程中组织相关专责，通过资料查阅和现场实际检查的方式，对施工承包商进行检查评价，并按“施工承包商现场考核表”进行过程考核打分，形成考核评价意见。</w:t>
      </w:r>
    </w:p>
    <w:p w14:paraId="78D85001">
      <w:pPr>
        <w:topLinePunct/>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对于考核评价中发现的主要问题，业主项目部对整改情况进行复查。在施工合同最终结算前，汇总评价情况及相关记录，上报建设管理单位审核。</w:t>
      </w:r>
    </w:p>
    <w:p w14:paraId="7ABA108B">
      <w:pPr>
        <w:numPr>
          <w:ilvl w:val="0"/>
          <w:numId w:val="8"/>
        </w:numPr>
        <w:topLinePunct/>
        <w:snapToGrid w:val="0"/>
        <w:spacing w:beforeLines="50" w:afterLines="50" w:line="240" w:lineRule="atLeast"/>
        <w:outlineLvl w:val="0"/>
        <w:rPr>
          <w:rFonts w:ascii="方正楷体_GBK" w:hAnsi="方正楷体_GBK" w:eastAsia="方正楷体_GBK" w:cs="方正楷体_GBK"/>
          <w:b/>
          <w:bCs/>
          <w:sz w:val="24"/>
          <w:szCs w:val="24"/>
        </w:rPr>
      </w:pPr>
      <w:r>
        <w:rPr>
          <w:rFonts w:hint="eastAsia" w:ascii="方正楷体_GBK" w:hAnsi="方正楷体_GBK" w:eastAsia="方正楷体_GBK" w:cs="方正楷体_GBK"/>
          <w:b/>
          <w:bCs/>
          <w:sz w:val="24"/>
          <w:szCs w:val="24"/>
        </w:rPr>
        <w:t>考核标准</w:t>
      </w:r>
    </w:p>
    <w:p w14:paraId="6A6CBF62">
      <w:pPr>
        <w:numPr>
          <w:ilvl w:val="0"/>
          <w:numId w:val="9"/>
        </w:numPr>
        <w:topLinePunct/>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对施工承包商在一个考核周期内工作开展情况进行考核评价的满分为</w:t>
      </w:r>
      <w:r>
        <w:rPr>
          <w:rFonts w:ascii="方正仿宋_GBK" w:hAnsi="方正仿宋_GBK" w:eastAsia="方正仿宋_GBK" w:cs="方正仿宋_GBK"/>
          <w:sz w:val="24"/>
          <w:szCs w:val="24"/>
        </w:rPr>
        <w:t>100分（</w:t>
      </w:r>
      <w:r>
        <w:rPr>
          <w:rFonts w:hint="eastAsia" w:ascii="方正仿宋_GBK" w:hAnsi="方正仿宋_GBK" w:eastAsia="方正仿宋_GBK" w:cs="方正仿宋_GBK"/>
          <w:sz w:val="24"/>
          <w:szCs w:val="24"/>
        </w:rPr>
        <w:t>涵盖项目部配置、策划管理、项目管理、安全管理、质量管理、技术管理、环水保管理、造价管理和工作成绩等</w:t>
      </w:r>
      <w:r>
        <w:rPr>
          <w:rFonts w:ascii="方正仿宋_GBK" w:hAnsi="方正仿宋_GBK" w:eastAsia="方正仿宋_GBK" w:cs="方正仿宋_GBK"/>
          <w:sz w:val="24"/>
          <w:szCs w:val="24"/>
        </w:rPr>
        <w:t>9部分）</w:t>
      </w:r>
      <w:r>
        <w:rPr>
          <w:rFonts w:hint="eastAsia" w:ascii="方正仿宋_GBK" w:hAnsi="方正仿宋_GBK" w:eastAsia="方正仿宋_GBK" w:cs="方正仿宋_GBK"/>
          <w:sz w:val="24"/>
          <w:szCs w:val="24"/>
        </w:rPr>
        <w:t>。实际得分作为施工承包商在该考核周期内的基本评价得分。</w:t>
      </w:r>
    </w:p>
    <w:p w14:paraId="7B81D43C">
      <w:pPr>
        <w:numPr>
          <w:ilvl w:val="0"/>
          <w:numId w:val="9"/>
        </w:numPr>
        <w:topLinePunct/>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为鼓励施工承包商加强管理、争先创优，另设加分项</w:t>
      </w:r>
      <w:r>
        <w:rPr>
          <w:rFonts w:ascii="方正仿宋_GBK" w:hAnsi="方正仿宋_GBK" w:eastAsia="方正仿宋_GBK" w:cs="方正仿宋_GBK"/>
          <w:sz w:val="24"/>
          <w:szCs w:val="24"/>
        </w:rPr>
        <w:t>10分，作为整个考核期内的总体评价加分，具体考核评价指标及标准见“施工</w:t>
      </w:r>
      <w:r>
        <w:rPr>
          <w:rFonts w:hint="eastAsia" w:ascii="方正仿宋_GBK" w:hAnsi="方正仿宋_GBK" w:eastAsia="方正仿宋_GBK" w:cs="方正仿宋_GBK"/>
          <w:sz w:val="24"/>
          <w:szCs w:val="24"/>
        </w:rPr>
        <w:t>项目部现场履约总体评价加分表”。</w:t>
      </w:r>
    </w:p>
    <w:p w14:paraId="36329F7E">
      <w:pPr>
        <w:numPr>
          <w:ilvl w:val="0"/>
          <w:numId w:val="9"/>
        </w:numPr>
        <w:topLinePunct/>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每次检查都应在检查表的相应栏目内，记录该次检查得分，并对扣分原因作出简要说明。</w:t>
      </w:r>
    </w:p>
    <w:p w14:paraId="7F667D8A">
      <w:pPr>
        <w:numPr>
          <w:ilvl w:val="0"/>
          <w:numId w:val="8"/>
        </w:numPr>
        <w:topLinePunct/>
        <w:snapToGrid w:val="0"/>
        <w:spacing w:beforeLines="50" w:afterLines="50" w:line="240" w:lineRule="atLeast"/>
        <w:outlineLvl w:val="0"/>
        <w:rPr>
          <w:rFonts w:ascii="方正楷体_GBK" w:hAnsi="方正楷体_GBK" w:eastAsia="方正楷体_GBK" w:cs="方正楷体_GBK"/>
          <w:b/>
          <w:bCs/>
          <w:sz w:val="24"/>
          <w:szCs w:val="24"/>
        </w:rPr>
      </w:pPr>
      <w:r>
        <w:rPr>
          <w:rFonts w:hint="eastAsia" w:ascii="方正楷体_GBK" w:hAnsi="方正楷体_GBK" w:eastAsia="方正楷体_GBK" w:cs="方正楷体_GBK"/>
          <w:b/>
          <w:bCs/>
          <w:sz w:val="24"/>
          <w:szCs w:val="24"/>
        </w:rPr>
        <w:t>考核成绩及奖惩措施</w:t>
      </w:r>
    </w:p>
    <w:p w14:paraId="3EDCEDF0">
      <w:pPr>
        <w:topLinePunct/>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考核成绩作为施工费最终结算的重要依据，与施工承包商费用结算直接挂钩。具体计算方法如下：</w:t>
      </w:r>
    </w:p>
    <w:p w14:paraId="7EE2E70A">
      <w:pPr>
        <w:numPr>
          <w:ilvl w:val="0"/>
          <w:numId w:val="10"/>
        </w:numPr>
        <w:topLinePunct/>
        <w:adjustRightInd w:val="0"/>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业主项目部在每个考核周期内对施工承包商的打分记为当期基本评价得分</w:t>
      </w:r>
      <w:r>
        <w:rPr>
          <w:rFonts w:ascii="方正仿宋_GBK" w:hAnsi="方正仿宋_GBK" w:eastAsia="方正仿宋_GBK" w:cs="方正仿宋_GBK"/>
          <w:sz w:val="24"/>
          <w:szCs w:val="24"/>
        </w:rPr>
        <w:t>a</w:t>
      </w:r>
      <w:r>
        <w:rPr>
          <w:rFonts w:hint="eastAsia" w:ascii="方正仿宋_GBK" w:hAnsi="方正仿宋_GBK" w:eastAsia="方正仿宋_GBK" w:cs="方正仿宋_GBK"/>
          <w:sz w:val="24"/>
          <w:szCs w:val="24"/>
        </w:rPr>
        <w:t>。</w:t>
      </w:r>
    </w:p>
    <w:p w14:paraId="7A3E36AD">
      <w:pPr>
        <w:numPr>
          <w:ilvl w:val="0"/>
          <w:numId w:val="10"/>
        </w:numPr>
        <w:topLinePunct/>
        <w:adjustRightInd w:val="0"/>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过程考核成绩</w:t>
      </w:r>
      <w:r>
        <w:rPr>
          <w:rFonts w:ascii="方正仿宋_GBK" w:hAnsi="方正仿宋_GBK" w:eastAsia="方正仿宋_GBK" w:cs="方正仿宋_GBK"/>
          <w:sz w:val="24"/>
          <w:szCs w:val="24"/>
        </w:rPr>
        <w:t>f为整个考核期内基本评价得分的平均值与总体评价加分c之和，即：f=(a1+a2+···+an)/n+c，其中n为整个考核期的考核评价次数，c为总体评价加分。</w:t>
      </w:r>
    </w:p>
    <w:p w14:paraId="733B8CCD">
      <w:pPr>
        <w:topLinePunct/>
        <w:adjustRightInd w:val="0"/>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其中总体评价加分根据施工单位在工程建设中做出的突出贡献，待工程结算时由建设管理单位评分。</w:t>
      </w:r>
    </w:p>
    <w:p w14:paraId="249260E7">
      <w:pPr>
        <w:topLinePunct/>
        <w:adjustRightInd w:val="0"/>
        <w:snapToGrid w:val="0"/>
        <w:spacing w:line="240" w:lineRule="atLeast"/>
        <w:ind w:firstLine="640" w:firstLineChars="200"/>
        <w:rPr>
          <w:rFonts w:ascii="方正仿宋_GBK" w:hAnsi="方正仿宋_GBK" w:eastAsia="方正仿宋_GBK" w:cs="方正仿宋_GBK"/>
          <w:sz w:val="32"/>
          <w:szCs w:val="32"/>
        </w:rPr>
      </w:pPr>
    </w:p>
    <w:p w14:paraId="4811AC84">
      <w:pPr>
        <w:topLinePunct/>
        <w:adjustRightInd w:val="0"/>
        <w:snapToGrid w:val="0"/>
        <w:spacing w:line="240" w:lineRule="atLeast"/>
        <w:ind w:firstLine="640" w:firstLineChars="200"/>
        <w:rPr>
          <w:rFonts w:ascii="方正仿宋_GBK" w:hAnsi="方正仿宋_GBK" w:eastAsia="方正仿宋_GBK" w:cs="方正仿宋_GBK"/>
          <w:sz w:val="32"/>
          <w:szCs w:val="32"/>
        </w:rPr>
        <w:sectPr>
          <w:pgSz w:w="11906" w:h="16838"/>
          <w:pgMar w:top="1701" w:right="1247" w:bottom="1560" w:left="1247" w:header="851" w:footer="992" w:gutter="0"/>
          <w:cols w:space="720" w:num="1"/>
          <w:docGrid w:type="lines" w:linePitch="312" w:charSpace="0"/>
        </w:sectPr>
      </w:pPr>
    </w:p>
    <w:p w14:paraId="135AE1B5">
      <w:pPr>
        <w:topLinePunct/>
        <w:adjustRightInd w:val="0"/>
        <w:snapToGrid w:val="0"/>
        <w:spacing w:line="240" w:lineRule="atLeast"/>
        <w:jc w:val="left"/>
        <w:rPr>
          <w:b/>
          <w:sz w:val="32"/>
          <w:szCs w:val="32"/>
        </w:rPr>
      </w:pPr>
      <w:r>
        <w:rPr>
          <w:rFonts w:hint="eastAsia" w:ascii="方正仿宋_GBK" w:hAnsi="方正仿宋_GBK" w:eastAsia="方正仿宋_GBK" w:cs="方正仿宋_GBK"/>
          <w:sz w:val="32"/>
          <w:szCs w:val="32"/>
        </w:rPr>
        <w:t>附表</w:t>
      </w:r>
    </w:p>
    <w:p w14:paraId="33DAEE85">
      <w:pPr>
        <w:topLinePunct/>
        <w:adjustRightInd w:val="0"/>
        <w:snapToGrid w:val="0"/>
        <w:spacing w:line="240" w:lineRule="atLeast"/>
        <w:jc w:val="left"/>
        <w:rPr>
          <w:b/>
          <w:sz w:val="32"/>
          <w:szCs w:val="32"/>
        </w:rPr>
      </w:pPr>
    </w:p>
    <w:p w14:paraId="044EE20E">
      <w:pPr>
        <w:spacing w:line="360" w:lineRule="auto"/>
        <w:jc w:val="center"/>
        <w:outlineLvl w:val="0"/>
        <w:rPr>
          <w:b/>
          <w:sz w:val="32"/>
          <w:szCs w:val="32"/>
        </w:rPr>
      </w:pPr>
      <w:r>
        <w:rPr>
          <w:rFonts w:hint="eastAsia"/>
          <w:b/>
          <w:sz w:val="32"/>
          <w:szCs w:val="32"/>
        </w:rPr>
        <w:t>施工项目部现场履约评价标准表</w:t>
      </w:r>
    </w:p>
    <w:tbl>
      <w:tblPr>
        <w:tblStyle w:val="15"/>
        <w:tblW w:w="1284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547"/>
        <w:gridCol w:w="1976"/>
        <w:gridCol w:w="951"/>
        <w:gridCol w:w="3348"/>
        <w:gridCol w:w="3890"/>
        <w:gridCol w:w="1117"/>
        <w:gridCol w:w="1020"/>
      </w:tblGrid>
      <w:tr w14:paraId="793F15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97" w:hRule="atLeast"/>
          <w:tblHeader/>
          <w:jc w:val="center"/>
        </w:trPr>
        <w:tc>
          <w:tcPr>
            <w:tcW w:w="547" w:type="dxa"/>
            <w:tcMar>
              <w:left w:w="28" w:type="dxa"/>
              <w:right w:w="28" w:type="dxa"/>
            </w:tcMar>
            <w:vAlign w:val="center"/>
          </w:tcPr>
          <w:p w14:paraId="403EABC8">
            <w:pPr>
              <w:spacing w:line="260" w:lineRule="exact"/>
              <w:jc w:val="center"/>
              <w:rPr>
                <w:rFonts w:ascii="宋体" w:hAnsi="宋体" w:cs="宋体"/>
                <w:b/>
                <w:sz w:val="18"/>
              </w:rPr>
            </w:pPr>
            <w:r>
              <w:rPr>
                <w:rFonts w:hint="eastAsia" w:ascii="宋体" w:hAnsi="宋体" w:cs="宋体"/>
                <w:b/>
                <w:sz w:val="18"/>
              </w:rPr>
              <w:t>序号</w:t>
            </w:r>
          </w:p>
        </w:tc>
        <w:tc>
          <w:tcPr>
            <w:tcW w:w="1976" w:type="dxa"/>
            <w:tcMar>
              <w:left w:w="28" w:type="dxa"/>
              <w:right w:w="28" w:type="dxa"/>
            </w:tcMar>
            <w:vAlign w:val="center"/>
          </w:tcPr>
          <w:p w14:paraId="2C9727B0">
            <w:pPr>
              <w:spacing w:line="260" w:lineRule="exact"/>
              <w:jc w:val="center"/>
              <w:rPr>
                <w:rFonts w:ascii="宋体" w:hAnsi="宋体" w:cs="宋体"/>
                <w:b/>
                <w:sz w:val="18"/>
              </w:rPr>
            </w:pPr>
            <w:r>
              <w:rPr>
                <w:rFonts w:hint="eastAsia" w:ascii="宋体" w:hAnsi="宋体" w:cs="宋体"/>
                <w:b/>
                <w:sz w:val="18"/>
              </w:rPr>
              <w:t>评价内容</w:t>
            </w:r>
          </w:p>
        </w:tc>
        <w:tc>
          <w:tcPr>
            <w:tcW w:w="951" w:type="dxa"/>
            <w:tcMar>
              <w:left w:w="28" w:type="dxa"/>
              <w:right w:w="28" w:type="dxa"/>
            </w:tcMar>
            <w:vAlign w:val="center"/>
          </w:tcPr>
          <w:p w14:paraId="68724108">
            <w:pPr>
              <w:spacing w:line="260" w:lineRule="exact"/>
              <w:jc w:val="center"/>
              <w:rPr>
                <w:rFonts w:ascii="宋体" w:hAnsi="宋体" w:cs="宋体"/>
                <w:b/>
                <w:sz w:val="18"/>
              </w:rPr>
            </w:pPr>
            <w:r>
              <w:rPr>
                <w:rFonts w:hint="eastAsia" w:ascii="宋体" w:hAnsi="宋体" w:cs="宋体"/>
                <w:b/>
                <w:sz w:val="18"/>
              </w:rPr>
              <w:t>标准分值</w:t>
            </w:r>
          </w:p>
        </w:tc>
        <w:tc>
          <w:tcPr>
            <w:tcW w:w="3348" w:type="dxa"/>
            <w:tcMar>
              <w:left w:w="28" w:type="dxa"/>
              <w:right w:w="28" w:type="dxa"/>
            </w:tcMar>
            <w:vAlign w:val="center"/>
          </w:tcPr>
          <w:p w14:paraId="2F07323F">
            <w:pPr>
              <w:spacing w:line="260" w:lineRule="exact"/>
              <w:jc w:val="center"/>
              <w:rPr>
                <w:rFonts w:ascii="宋体" w:hAnsi="宋体" w:cs="宋体"/>
                <w:b/>
                <w:sz w:val="18"/>
              </w:rPr>
            </w:pPr>
            <w:r>
              <w:rPr>
                <w:rFonts w:hint="eastAsia" w:ascii="宋体" w:hAnsi="宋体" w:cs="宋体"/>
                <w:b/>
                <w:sz w:val="18"/>
              </w:rPr>
              <w:t>评价标准</w:t>
            </w:r>
          </w:p>
        </w:tc>
        <w:tc>
          <w:tcPr>
            <w:tcW w:w="3890" w:type="dxa"/>
            <w:tcMar>
              <w:left w:w="28" w:type="dxa"/>
              <w:right w:w="28" w:type="dxa"/>
            </w:tcMar>
            <w:vAlign w:val="center"/>
          </w:tcPr>
          <w:p w14:paraId="7B4213FC">
            <w:pPr>
              <w:spacing w:line="260" w:lineRule="exact"/>
              <w:jc w:val="center"/>
              <w:rPr>
                <w:rFonts w:ascii="宋体" w:hAnsi="宋体" w:cs="宋体"/>
                <w:b/>
                <w:sz w:val="18"/>
              </w:rPr>
            </w:pPr>
            <w:r>
              <w:rPr>
                <w:rFonts w:hint="eastAsia" w:ascii="宋体" w:hAnsi="宋体" w:cs="宋体"/>
                <w:b/>
                <w:sz w:val="18"/>
              </w:rPr>
              <w:t>扣分标准</w:t>
            </w:r>
          </w:p>
        </w:tc>
        <w:tc>
          <w:tcPr>
            <w:tcW w:w="1117" w:type="dxa"/>
            <w:tcBorders>
              <w:right w:val="single" w:color="auto" w:sz="4" w:space="0"/>
            </w:tcBorders>
            <w:tcMar>
              <w:left w:w="28" w:type="dxa"/>
              <w:right w:w="28" w:type="dxa"/>
            </w:tcMar>
            <w:vAlign w:val="center"/>
          </w:tcPr>
          <w:p w14:paraId="6149A3F1">
            <w:pPr>
              <w:tabs>
                <w:tab w:val="left" w:pos="1127"/>
              </w:tabs>
              <w:spacing w:line="260" w:lineRule="exact"/>
              <w:jc w:val="center"/>
              <w:rPr>
                <w:rFonts w:ascii="宋体" w:hAnsi="宋体" w:cs="宋体"/>
                <w:b/>
                <w:sz w:val="18"/>
              </w:rPr>
            </w:pPr>
            <w:r>
              <w:rPr>
                <w:rFonts w:hint="eastAsia" w:ascii="宋体" w:hAnsi="宋体" w:cs="宋体"/>
                <w:b/>
                <w:sz w:val="18"/>
              </w:rPr>
              <w:t>检查得分</w:t>
            </w:r>
          </w:p>
        </w:tc>
        <w:tc>
          <w:tcPr>
            <w:tcW w:w="1020" w:type="dxa"/>
            <w:tcBorders>
              <w:left w:val="single" w:color="auto" w:sz="4" w:space="0"/>
            </w:tcBorders>
            <w:tcMar>
              <w:left w:w="28" w:type="dxa"/>
              <w:right w:w="28" w:type="dxa"/>
            </w:tcMar>
            <w:vAlign w:val="center"/>
          </w:tcPr>
          <w:p w14:paraId="4F89D1A1">
            <w:pPr>
              <w:tabs>
                <w:tab w:val="left" w:pos="1127"/>
              </w:tabs>
              <w:spacing w:line="260" w:lineRule="exact"/>
              <w:jc w:val="center"/>
              <w:rPr>
                <w:rFonts w:ascii="宋体" w:hAnsi="宋体" w:cs="宋体"/>
                <w:b/>
                <w:sz w:val="18"/>
              </w:rPr>
            </w:pPr>
            <w:r>
              <w:rPr>
                <w:rFonts w:hint="eastAsia" w:ascii="宋体" w:hAnsi="宋体" w:cs="宋体"/>
                <w:b/>
                <w:sz w:val="18"/>
              </w:rPr>
              <w:t>扣分说明</w:t>
            </w:r>
          </w:p>
        </w:tc>
      </w:tr>
      <w:tr w14:paraId="019028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455" w:hRule="atLeast"/>
          <w:jc w:val="center"/>
        </w:trPr>
        <w:tc>
          <w:tcPr>
            <w:tcW w:w="547" w:type="dxa"/>
            <w:shd w:val="clear" w:color="auto" w:fill="BFBFBF"/>
            <w:tcMar>
              <w:left w:w="28" w:type="dxa"/>
              <w:right w:w="28" w:type="dxa"/>
            </w:tcMar>
            <w:vAlign w:val="center"/>
          </w:tcPr>
          <w:p w14:paraId="3BD1E9E2">
            <w:pPr>
              <w:spacing w:line="260" w:lineRule="exact"/>
              <w:jc w:val="center"/>
              <w:rPr>
                <w:rFonts w:ascii="宋体" w:hAnsi="宋体" w:cs="宋体"/>
                <w:b/>
                <w:sz w:val="18"/>
              </w:rPr>
            </w:pPr>
            <w:r>
              <w:rPr>
                <w:rFonts w:hint="eastAsia" w:ascii="宋体" w:hAnsi="宋体" w:cs="宋体"/>
                <w:b/>
                <w:sz w:val="18"/>
              </w:rPr>
              <w:t>1</w:t>
            </w:r>
          </w:p>
        </w:tc>
        <w:tc>
          <w:tcPr>
            <w:tcW w:w="12302" w:type="dxa"/>
            <w:gridSpan w:val="6"/>
            <w:shd w:val="clear" w:color="auto" w:fill="BFBFBF"/>
            <w:tcMar>
              <w:left w:w="28" w:type="dxa"/>
              <w:right w:w="28" w:type="dxa"/>
            </w:tcMar>
            <w:vAlign w:val="center"/>
          </w:tcPr>
          <w:p w14:paraId="080D4073">
            <w:pPr>
              <w:spacing w:line="260" w:lineRule="exact"/>
              <w:rPr>
                <w:rFonts w:ascii="宋体" w:hAnsi="宋体" w:cs="宋体"/>
                <w:sz w:val="18"/>
              </w:rPr>
            </w:pPr>
            <w:r>
              <w:rPr>
                <w:rFonts w:hint="eastAsia" w:ascii="宋体" w:hAnsi="宋体" w:cs="宋体"/>
                <w:b/>
                <w:sz w:val="18"/>
              </w:rPr>
              <w:t>项目部配置（5分）</w:t>
            </w:r>
          </w:p>
        </w:tc>
      </w:tr>
      <w:tr w14:paraId="2F91E2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23BE9F1F">
            <w:pPr>
              <w:spacing w:line="260" w:lineRule="exact"/>
              <w:jc w:val="center"/>
              <w:rPr>
                <w:rFonts w:ascii="宋体" w:hAnsi="宋体" w:cs="宋体"/>
                <w:b/>
                <w:bCs/>
                <w:sz w:val="18"/>
              </w:rPr>
            </w:pPr>
            <w:r>
              <w:rPr>
                <w:rFonts w:hint="eastAsia" w:ascii="宋体" w:hAnsi="宋体" w:cs="宋体"/>
                <w:b/>
                <w:bCs/>
                <w:sz w:val="18"/>
              </w:rPr>
              <w:t>1.1</w:t>
            </w:r>
          </w:p>
        </w:tc>
        <w:tc>
          <w:tcPr>
            <w:tcW w:w="1976" w:type="dxa"/>
            <w:vMerge w:val="restart"/>
            <w:tcMar>
              <w:left w:w="28" w:type="dxa"/>
              <w:right w:w="28" w:type="dxa"/>
            </w:tcMar>
            <w:vAlign w:val="center"/>
          </w:tcPr>
          <w:p w14:paraId="6966E7BF">
            <w:pPr>
              <w:spacing w:line="260" w:lineRule="exact"/>
              <w:rPr>
                <w:rFonts w:ascii="宋体" w:hAnsi="宋体" w:cs="宋体"/>
                <w:b/>
                <w:bCs/>
                <w:sz w:val="18"/>
              </w:rPr>
            </w:pPr>
            <w:r>
              <w:rPr>
                <w:rFonts w:hint="eastAsia" w:ascii="宋体" w:hAnsi="宋体" w:cs="宋体"/>
                <w:b/>
                <w:bCs/>
                <w:sz w:val="18"/>
              </w:rPr>
              <w:t>项目部人员配置</w:t>
            </w:r>
          </w:p>
        </w:tc>
        <w:tc>
          <w:tcPr>
            <w:tcW w:w="951" w:type="dxa"/>
            <w:tcMar>
              <w:left w:w="28" w:type="dxa"/>
              <w:right w:w="28" w:type="dxa"/>
            </w:tcMar>
            <w:vAlign w:val="center"/>
          </w:tcPr>
          <w:p w14:paraId="04ED8D30">
            <w:pPr>
              <w:spacing w:line="260" w:lineRule="exact"/>
              <w:jc w:val="center"/>
              <w:rPr>
                <w:rFonts w:ascii="宋体" w:hAnsi="宋体" w:cs="宋体"/>
                <w:sz w:val="18"/>
              </w:rPr>
            </w:pPr>
            <w:r>
              <w:rPr>
                <w:rFonts w:hint="eastAsia" w:ascii="宋体" w:hAnsi="宋体" w:cs="宋体"/>
                <w:sz w:val="18"/>
              </w:rPr>
              <w:t>3</w:t>
            </w:r>
          </w:p>
        </w:tc>
        <w:tc>
          <w:tcPr>
            <w:tcW w:w="3348" w:type="dxa"/>
            <w:tcMar>
              <w:left w:w="28" w:type="dxa"/>
              <w:right w:w="28" w:type="dxa"/>
            </w:tcMar>
            <w:vAlign w:val="center"/>
          </w:tcPr>
          <w:p w14:paraId="1C0EF0B5">
            <w:pPr>
              <w:spacing w:line="260" w:lineRule="exact"/>
              <w:rPr>
                <w:rFonts w:ascii="宋体" w:hAnsi="宋体" w:cs="宋体"/>
                <w:sz w:val="18"/>
              </w:rPr>
            </w:pPr>
            <w:r>
              <w:rPr>
                <w:rFonts w:hint="eastAsia" w:ascii="宋体" w:hAnsi="宋体" w:cs="宋体"/>
                <w:sz w:val="18"/>
              </w:rPr>
              <w:t>项目部组建和管理人员任职资格符合</w:t>
            </w:r>
            <w:r>
              <w:rPr>
                <w:rFonts w:hint="eastAsia" w:ascii="宋体" w:hAnsi="宋体" w:cs="宋体"/>
                <w:sz w:val="18"/>
                <w:szCs w:val="18"/>
              </w:rPr>
              <w:t>国网公司及合同文件</w:t>
            </w:r>
            <w:r>
              <w:rPr>
                <w:rFonts w:hint="eastAsia"/>
                <w:color w:val="000000"/>
                <w:sz w:val="18"/>
                <w:szCs w:val="18"/>
              </w:rPr>
              <w:t>要求，管理人员任职资格符合要求并持证上岗，主要管理人员与合同约定一致。项目部关键人员在岗在位天数与合同约定一致。（3分）</w:t>
            </w:r>
          </w:p>
        </w:tc>
        <w:tc>
          <w:tcPr>
            <w:tcW w:w="3890" w:type="dxa"/>
            <w:tcMar>
              <w:left w:w="28" w:type="dxa"/>
              <w:right w:w="28" w:type="dxa"/>
            </w:tcMar>
            <w:vAlign w:val="center"/>
          </w:tcPr>
          <w:p w14:paraId="18A074CF">
            <w:pPr>
              <w:spacing w:line="260" w:lineRule="exact"/>
              <w:rPr>
                <w:color w:val="000000"/>
                <w:sz w:val="18"/>
                <w:szCs w:val="18"/>
              </w:rPr>
            </w:pPr>
            <w:r>
              <w:rPr>
                <w:rFonts w:hint="eastAsia"/>
                <w:color w:val="000000"/>
                <w:sz w:val="18"/>
                <w:szCs w:val="18"/>
              </w:rPr>
              <w:t>（1）无任命文件或未按要求报备，扣1分；</w:t>
            </w:r>
          </w:p>
          <w:p w14:paraId="6814EB5E">
            <w:pPr>
              <w:spacing w:line="260" w:lineRule="exact"/>
              <w:rPr>
                <w:rFonts w:ascii="宋体" w:hAnsi="宋体" w:cs="宋体"/>
                <w:sz w:val="18"/>
                <w:szCs w:val="18"/>
              </w:rPr>
            </w:pPr>
            <w:r>
              <w:rPr>
                <w:rFonts w:hint="eastAsia"/>
                <w:color w:val="000000"/>
                <w:sz w:val="18"/>
                <w:szCs w:val="18"/>
              </w:rPr>
              <w:t>（2）</w:t>
            </w:r>
            <w:r>
              <w:rPr>
                <w:rFonts w:hint="eastAsia" w:ascii="宋体" w:hAnsi="宋体" w:cs="宋体"/>
                <w:sz w:val="18"/>
                <w:szCs w:val="18"/>
              </w:rPr>
              <w:t>项目部管理人员与合同约定不一致，每人扣0.5分；项目经理或副经理、安全总监、项目总工等主要管理人员与合同约定不一致，每人扣2分（经业主批准同意并履行相应手续的，不扣分）；</w:t>
            </w:r>
          </w:p>
          <w:p w14:paraId="6313388A">
            <w:pPr>
              <w:spacing w:line="260" w:lineRule="exact"/>
              <w:rPr>
                <w:color w:val="000000"/>
                <w:sz w:val="18"/>
                <w:szCs w:val="18"/>
              </w:rPr>
            </w:pPr>
            <w:r>
              <w:rPr>
                <w:rFonts w:hint="eastAsia"/>
                <w:color w:val="000000"/>
                <w:sz w:val="18"/>
                <w:szCs w:val="18"/>
              </w:rPr>
              <w:t>（3）人员配备数量不满足要求，每缺一人扣0.5分；其他主要管理人员任职资格不符合要求每人扣0.5分；</w:t>
            </w:r>
          </w:p>
          <w:p w14:paraId="18728241">
            <w:pPr>
              <w:spacing w:line="260" w:lineRule="exact"/>
              <w:rPr>
                <w:color w:val="000000"/>
                <w:sz w:val="18"/>
                <w:szCs w:val="18"/>
              </w:rPr>
            </w:pPr>
            <w:r>
              <w:rPr>
                <w:rFonts w:hint="eastAsia"/>
                <w:color w:val="000000"/>
                <w:sz w:val="18"/>
                <w:szCs w:val="18"/>
              </w:rPr>
              <w:t>（4）无法定代表人授权书和质量终身承诺书，扣1分；</w:t>
            </w:r>
          </w:p>
          <w:p w14:paraId="61309D4A">
            <w:pPr>
              <w:tabs>
                <w:tab w:val="center" w:pos="4153"/>
                <w:tab w:val="right" w:pos="8306"/>
              </w:tabs>
              <w:spacing w:line="260" w:lineRule="exact"/>
              <w:rPr>
                <w:color w:val="000000"/>
                <w:sz w:val="18"/>
                <w:szCs w:val="18"/>
              </w:rPr>
            </w:pPr>
            <w:r>
              <w:rPr>
                <w:rFonts w:hint="eastAsia"/>
                <w:color w:val="000000"/>
                <w:sz w:val="18"/>
                <w:szCs w:val="18"/>
              </w:rPr>
              <w:t>（5）每月现场施工项目部人员未满足要求，扣1分。</w:t>
            </w:r>
          </w:p>
          <w:p w14:paraId="313BC805">
            <w:pPr>
              <w:tabs>
                <w:tab w:val="center" w:pos="4153"/>
                <w:tab w:val="right" w:pos="8306"/>
              </w:tabs>
              <w:spacing w:line="260" w:lineRule="exact"/>
              <w:rPr>
                <w:rFonts w:ascii="宋体" w:hAnsi="宋体" w:cs="宋体"/>
              </w:rPr>
            </w:pPr>
            <w:r>
              <w:rPr>
                <w:rFonts w:hint="eastAsia"/>
                <w:color w:val="000000"/>
                <w:sz w:val="18"/>
                <w:szCs w:val="18"/>
              </w:rPr>
              <w:t>（6）在岗少于合同约定天数，每人扣0.5分/天（经业主批准同意并履行相应手续，不扣分）</w:t>
            </w:r>
          </w:p>
        </w:tc>
        <w:tc>
          <w:tcPr>
            <w:tcW w:w="1117" w:type="dxa"/>
            <w:tcMar>
              <w:left w:w="28" w:type="dxa"/>
              <w:right w:w="28" w:type="dxa"/>
            </w:tcMar>
            <w:vAlign w:val="center"/>
          </w:tcPr>
          <w:p w14:paraId="52FD8070">
            <w:pPr>
              <w:spacing w:line="260" w:lineRule="exact"/>
              <w:rPr>
                <w:rFonts w:ascii="宋体" w:hAnsi="宋体" w:cs="宋体"/>
                <w:sz w:val="18"/>
              </w:rPr>
            </w:pPr>
          </w:p>
        </w:tc>
        <w:tc>
          <w:tcPr>
            <w:tcW w:w="1020" w:type="dxa"/>
            <w:tcMar>
              <w:left w:w="28" w:type="dxa"/>
              <w:right w:w="28" w:type="dxa"/>
            </w:tcMar>
            <w:vAlign w:val="center"/>
          </w:tcPr>
          <w:p w14:paraId="74B4435A">
            <w:pPr>
              <w:spacing w:line="260" w:lineRule="exact"/>
              <w:rPr>
                <w:rFonts w:ascii="宋体" w:hAnsi="宋体" w:cs="宋体"/>
                <w:sz w:val="18"/>
              </w:rPr>
            </w:pPr>
          </w:p>
        </w:tc>
      </w:tr>
      <w:tr w14:paraId="12DB72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2CCD89B6">
            <w:pPr>
              <w:spacing w:line="260" w:lineRule="exact"/>
              <w:jc w:val="center"/>
              <w:rPr>
                <w:rFonts w:ascii="宋体" w:hAnsi="宋体" w:cs="宋体"/>
                <w:b/>
                <w:bCs/>
                <w:sz w:val="18"/>
              </w:rPr>
            </w:pPr>
            <w:r>
              <w:rPr>
                <w:rFonts w:hint="eastAsia" w:ascii="宋体" w:hAnsi="宋体" w:cs="宋体"/>
                <w:b/>
                <w:bCs/>
                <w:sz w:val="18"/>
              </w:rPr>
              <w:t>1.2</w:t>
            </w:r>
          </w:p>
        </w:tc>
        <w:tc>
          <w:tcPr>
            <w:tcW w:w="1976"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7085577B">
            <w:pPr>
              <w:spacing w:line="260" w:lineRule="exact"/>
              <w:rPr>
                <w:rFonts w:ascii="宋体" w:hAnsi="宋体" w:cs="宋体"/>
                <w:b/>
                <w:bCs/>
                <w:sz w:val="18"/>
              </w:rPr>
            </w:pPr>
            <w:r>
              <w:rPr>
                <w:rFonts w:hint="eastAsia" w:ascii="宋体" w:hAnsi="宋体" w:cs="宋体"/>
                <w:b/>
                <w:bCs/>
                <w:sz w:val="18"/>
              </w:rPr>
              <w:t>项目部资源配置</w:t>
            </w:r>
          </w:p>
        </w:tc>
        <w:tc>
          <w:tcPr>
            <w:tcW w:w="951" w:type="dxa"/>
            <w:tcMar>
              <w:left w:w="28" w:type="dxa"/>
              <w:right w:w="28" w:type="dxa"/>
            </w:tcMar>
            <w:vAlign w:val="center"/>
          </w:tcPr>
          <w:p w14:paraId="462ABCBC">
            <w:pPr>
              <w:spacing w:line="260" w:lineRule="exact"/>
              <w:jc w:val="center"/>
              <w:rPr>
                <w:rFonts w:ascii="宋体" w:hAnsi="宋体" w:cs="宋体"/>
                <w:sz w:val="18"/>
              </w:rPr>
            </w:pPr>
            <w:r>
              <w:rPr>
                <w:rFonts w:hint="eastAsia" w:ascii="宋体" w:hAnsi="宋体" w:cs="宋体"/>
                <w:sz w:val="18"/>
              </w:rPr>
              <w:t>2</w:t>
            </w: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7D8348D5">
            <w:pPr>
              <w:spacing w:line="260" w:lineRule="exact"/>
              <w:rPr>
                <w:rFonts w:ascii="宋体" w:hAnsi="宋体" w:cs="宋体"/>
                <w:sz w:val="18"/>
              </w:rPr>
            </w:pPr>
            <w:r>
              <w:rPr>
                <w:rFonts w:hint="eastAsia" w:ascii="宋体" w:hAnsi="宋体" w:cs="宋体"/>
                <w:sz w:val="18"/>
              </w:rPr>
              <w:t>施工项目部办公设施、交通工具、主要施工工器具、规程规范和标准的配备满足要求；生产临建选址合理，办公及生活设施配备满足需要。（2分）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06FA9ED8">
            <w:pPr>
              <w:spacing w:line="260" w:lineRule="exact"/>
              <w:rPr>
                <w:rFonts w:ascii="宋体" w:hAnsi="宋体" w:cs="宋体"/>
                <w:sz w:val="18"/>
              </w:rPr>
            </w:pPr>
            <w:r>
              <w:rPr>
                <w:rFonts w:hint="eastAsia" w:ascii="宋体" w:hAnsi="宋体" w:cs="宋体"/>
                <w:sz w:val="18"/>
              </w:rPr>
              <w:t>（1）生产临建未按业主整体策划实施，扣1分；</w:t>
            </w:r>
          </w:p>
          <w:p w14:paraId="29198C70">
            <w:pPr>
              <w:spacing w:line="260" w:lineRule="exact"/>
              <w:rPr>
                <w:rFonts w:ascii="宋体" w:hAnsi="宋体" w:cs="宋体"/>
                <w:sz w:val="18"/>
              </w:rPr>
            </w:pPr>
            <w:r>
              <w:rPr>
                <w:rFonts w:hint="eastAsia" w:ascii="宋体" w:hAnsi="宋体" w:cs="宋体"/>
                <w:sz w:val="18"/>
              </w:rPr>
              <w:t>（2）办公及生活临建不符合安全文明施工标准要求，每处扣0.5分；工器具配置不符合合同约定或实际施工需求，每项扣0.5分。</w:t>
            </w:r>
          </w:p>
        </w:tc>
        <w:tc>
          <w:tcPr>
            <w:tcW w:w="1117" w:type="dxa"/>
            <w:tcMar>
              <w:left w:w="28" w:type="dxa"/>
              <w:right w:w="28" w:type="dxa"/>
            </w:tcMar>
            <w:vAlign w:val="center"/>
          </w:tcPr>
          <w:p w14:paraId="30648CBA">
            <w:pPr>
              <w:spacing w:line="260" w:lineRule="exact"/>
              <w:rPr>
                <w:rFonts w:ascii="宋体" w:hAnsi="宋体" w:cs="宋体"/>
                <w:sz w:val="18"/>
              </w:rPr>
            </w:pPr>
          </w:p>
        </w:tc>
        <w:tc>
          <w:tcPr>
            <w:tcW w:w="1020" w:type="dxa"/>
            <w:tcMar>
              <w:left w:w="28" w:type="dxa"/>
              <w:right w:w="28" w:type="dxa"/>
            </w:tcMar>
            <w:vAlign w:val="center"/>
          </w:tcPr>
          <w:p w14:paraId="12347443">
            <w:pPr>
              <w:spacing w:line="260" w:lineRule="exact"/>
              <w:rPr>
                <w:rFonts w:ascii="宋体" w:hAnsi="宋体" w:cs="宋体"/>
                <w:sz w:val="18"/>
              </w:rPr>
            </w:pPr>
          </w:p>
        </w:tc>
      </w:tr>
      <w:tr w14:paraId="0FB5EA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605" w:hRule="atLeast"/>
          <w:jc w:val="center"/>
        </w:trPr>
        <w:tc>
          <w:tcPr>
            <w:tcW w:w="547" w:type="dxa"/>
            <w:shd w:val="clear" w:color="auto" w:fill="BFBFBF"/>
            <w:tcMar>
              <w:left w:w="28" w:type="dxa"/>
              <w:right w:w="28" w:type="dxa"/>
            </w:tcMar>
            <w:vAlign w:val="center"/>
          </w:tcPr>
          <w:p w14:paraId="3DA7617B">
            <w:pPr>
              <w:spacing w:line="260" w:lineRule="exact"/>
              <w:jc w:val="center"/>
              <w:rPr>
                <w:rFonts w:ascii="宋体" w:hAnsi="宋体" w:cs="宋体"/>
                <w:b/>
                <w:sz w:val="18"/>
              </w:rPr>
            </w:pPr>
            <w:r>
              <w:rPr>
                <w:rFonts w:hint="eastAsia" w:ascii="宋体" w:hAnsi="宋体" w:cs="宋体"/>
                <w:b/>
                <w:sz w:val="18"/>
              </w:rPr>
              <w:t>2</w:t>
            </w:r>
          </w:p>
        </w:tc>
        <w:tc>
          <w:tcPr>
            <w:tcW w:w="12302" w:type="dxa"/>
            <w:gridSpan w:val="6"/>
            <w:shd w:val="clear" w:color="auto" w:fill="BFBFBF"/>
            <w:tcMar>
              <w:left w:w="28" w:type="dxa"/>
              <w:right w:w="28" w:type="dxa"/>
            </w:tcMar>
            <w:vAlign w:val="center"/>
          </w:tcPr>
          <w:p w14:paraId="4AF72E69">
            <w:pPr>
              <w:spacing w:line="260" w:lineRule="exact"/>
              <w:rPr>
                <w:rFonts w:ascii="宋体" w:hAnsi="宋体" w:cs="宋体"/>
                <w:sz w:val="18"/>
              </w:rPr>
            </w:pPr>
            <w:r>
              <w:rPr>
                <w:rFonts w:hint="eastAsia" w:ascii="宋体" w:hAnsi="宋体" w:cs="宋体"/>
                <w:b/>
                <w:sz w:val="18"/>
              </w:rPr>
              <w:t>策划管理（2分）</w:t>
            </w:r>
          </w:p>
        </w:tc>
      </w:tr>
      <w:tr w14:paraId="4460AF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4D14E384">
            <w:pPr>
              <w:spacing w:line="260" w:lineRule="exact"/>
              <w:jc w:val="center"/>
              <w:rPr>
                <w:rFonts w:ascii="宋体" w:hAnsi="宋体" w:cs="宋体"/>
                <w:b/>
                <w:bCs/>
                <w:sz w:val="18"/>
              </w:rPr>
            </w:pPr>
            <w:r>
              <w:rPr>
                <w:rFonts w:hint="eastAsia" w:ascii="宋体" w:hAnsi="宋体" w:cs="宋体"/>
                <w:b/>
                <w:bCs/>
                <w:sz w:val="18"/>
              </w:rPr>
              <w:t>2.1</w:t>
            </w:r>
          </w:p>
        </w:tc>
        <w:tc>
          <w:tcPr>
            <w:tcW w:w="1976" w:type="dxa"/>
            <w:tcMar>
              <w:left w:w="28" w:type="dxa"/>
              <w:right w:w="28" w:type="dxa"/>
            </w:tcMar>
            <w:vAlign w:val="center"/>
          </w:tcPr>
          <w:p w14:paraId="1063C337">
            <w:pPr>
              <w:spacing w:line="260" w:lineRule="exact"/>
              <w:rPr>
                <w:rFonts w:ascii="宋体" w:hAnsi="宋体" w:cs="宋体"/>
                <w:b/>
                <w:bCs/>
                <w:sz w:val="18"/>
              </w:rPr>
            </w:pPr>
            <w:r>
              <w:rPr>
                <w:rFonts w:hint="eastAsia" w:ascii="宋体" w:hAnsi="宋体" w:cs="宋体"/>
                <w:b/>
                <w:bCs/>
                <w:sz w:val="18"/>
              </w:rPr>
              <w:t>策划管理</w:t>
            </w:r>
          </w:p>
        </w:tc>
        <w:tc>
          <w:tcPr>
            <w:tcW w:w="951" w:type="dxa"/>
            <w:tcMar>
              <w:left w:w="28" w:type="dxa"/>
              <w:right w:w="28" w:type="dxa"/>
            </w:tcMar>
            <w:vAlign w:val="center"/>
          </w:tcPr>
          <w:p w14:paraId="2AE54B0E">
            <w:pPr>
              <w:spacing w:line="260" w:lineRule="exact"/>
              <w:jc w:val="center"/>
              <w:rPr>
                <w:rFonts w:ascii="宋体" w:hAnsi="宋体" w:cs="宋体"/>
                <w:sz w:val="18"/>
              </w:rPr>
            </w:pPr>
            <w:r>
              <w:rPr>
                <w:rFonts w:hint="eastAsia" w:ascii="宋体" w:hAnsi="宋体" w:cs="宋体"/>
                <w:sz w:val="18"/>
              </w:rPr>
              <w:t>2</w:t>
            </w:r>
          </w:p>
        </w:tc>
        <w:tc>
          <w:tcPr>
            <w:tcW w:w="3348" w:type="dxa"/>
            <w:tcMar>
              <w:left w:w="28" w:type="dxa"/>
              <w:right w:w="28" w:type="dxa"/>
            </w:tcMar>
            <w:vAlign w:val="center"/>
          </w:tcPr>
          <w:p w14:paraId="2262ED1A">
            <w:pPr>
              <w:spacing w:line="260" w:lineRule="exact"/>
              <w:rPr>
                <w:rFonts w:ascii="宋体" w:hAnsi="宋体" w:cs="宋体"/>
                <w:sz w:val="18"/>
              </w:rPr>
            </w:pPr>
            <w:r>
              <w:rPr>
                <w:rFonts w:hint="eastAsia" w:ascii="宋体" w:hAnsi="宋体" w:cs="宋体"/>
                <w:sz w:val="18"/>
              </w:rPr>
              <w:t>项目管理实施规划、强制性条文执行计划、施工安全管理及风险控制方案、施工质量通病防治措施、工程项目档案资料过程管控方案等策划文件。策划文件与实际实施一致，建设条件变化时及时修编，工程项目档案资料过程管控方案编制。（2分）</w:t>
            </w:r>
          </w:p>
        </w:tc>
        <w:tc>
          <w:tcPr>
            <w:tcW w:w="3890" w:type="dxa"/>
            <w:tcMar>
              <w:left w:w="28" w:type="dxa"/>
              <w:right w:w="28" w:type="dxa"/>
            </w:tcMar>
            <w:vAlign w:val="center"/>
          </w:tcPr>
          <w:p w14:paraId="18F1AC62">
            <w:pPr>
              <w:spacing w:line="260" w:lineRule="exact"/>
              <w:rPr>
                <w:rFonts w:ascii="宋体" w:hAnsi="宋体" w:cs="宋体"/>
                <w:sz w:val="18"/>
              </w:rPr>
            </w:pPr>
            <w:r>
              <w:rPr>
                <w:rFonts w:hint="eastAsia" w:ascii="宋体" w:hAnsi="宋体" w:cs="宋体"/>
                <w:sz w:val="18"/>
              </w:rPr>
              <w:t>（1）每缺少一项扣0.5分；</w:t>
            </w:r>
          </w:p>
          <w:p w14:paraId="47A1FE47">
            <w:pPr>
              <w:spacing w:line="260" w:lineRule="exact"/>
              <w:rPr>
                <w:rFonts w:ascii="宋体" w:hAnsi="宋体" w:cs="宋体"/>
                <w:sz w:val="18"/>
              </w:rPr>
            </w:pPr>
            <w:r>
              <w:rPr>
                <w:rFonts w:hint="eastAsia" w:ascii="宋体" w:hAnsi="宋体" w:cs="宋体"/>
                <w:sz w:val="18"/>
              </w:rPr>
              <w:t>（2）存在内容不全面、不符合要求、方案未结合工程实际、引用过期文件，报审不及时、编审批不符合要求等不规范现象，每项扣0.5分；</w:t>
            </w:r>
          </w:p>
          <w:p w14:paraId="54A2BAFF">
            <w:pPr>
              <w:spacing w:line="260" w:lineRule="exact"/>
              <w:rPr>
                <w:rFonts w:ascii="宋体" w:hAnsi="宋体" w:cs="宋体"/>
                <w:sz w:val="18"/>
              </w:rPr>
            </w:pPr>
            <w:r>
              <w:rPr>
                <w:rFonts w:hint="eastAsia" w:ascii="宋体" w:hAnsi="宋体" w:cs="宋体"/>
                <w:sz w:val="18"/>
              </w:rPr>
              <w:t>（3）修编不及时，每项扣0.5分；</w:t>
            </w:r>
          </w:p>
          <w:p w14:paraId="5C27A4D7">
            <w:pPr>
              <w:spacing w:line="260" w:lineRule="exact"/>
              <w:rPr>
                <w:rFonts w:ascii="宋体" w:hAnsi="宋体" w:cs="宋体"/>
                <w:sz w:val="18"/>
              </w:rPr>
            </w:pPr>
            <w:r>
              <w:rPr>
                <w:rFonts w:hint="eastAsia" w:ascii="宋体" w:hAnsi="宋体" w:cs="宋体"/>
                <w:sz w:val="18"/>
              </w:rPr>
              <w:t>（4）批准后的策划文件关键内容与实际实施存在明显差异，每项扣2分。</w:t>
            </w:r>
          </w:p>
        </w:tc>
        <w:tc>
          <w:tcPr>
            <w:tcW w:w="1117" w:type="dxa"/>
            <w:tcMar>
              <w:left w:w="28" w:type="dxa"/>
              <w:right w:w="28" w:type="dxa"/>
            </w:tcMar>
            <w:vAlign w:val="center"/>
          </w:tcPr>
          <w:p w14:paraId="3D647C45">
            <w:pPr>
              <w:spacing w:line="260" w:lineRule="exact"/>
              <w:rPr>
                <w:rFonts w:ascii="宋体" w:hAnsi="宋体" w:cs="宋体"/>
                <w:sz w:val="18"/>
              </w:rPr>
            </w:pPr>
          </w:p>
        </w:tc>
        <w:tc>
          <w:tcPr>
            <w:tcW w:w="1020" w:type="dxa"/>
            <w:tcMar>
              <w:left w:w="28" w:type="dxa"/>
              <w:right w:w="28" w:type="dxa"/>
            </w:tcMar>
            <w:vAlign w:val="center"/>
          </w:tcPr>
          <w:p w14:paraId="743BB89A">
            <w:pPr>
              <w:spacing w:line="260" w:lineRule="exact"/>
              <w:rPr>
                <w:rFonts w:ascii="宋体" w:hAnsi="宋体" w:cs="宋体"/>
                <w:sz w:val="18"/>
              </w:rPr>
            </w:pPr>
          </w:p>
        </w:tc>
      </w:tr>
      <w:tr w14:paraId="6C0192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15" w:hRule="atLeast"/>
          <w:jc w:val="center"/>
        </w:trPr>
        <w:tc>
          <w:tcPr>
            <w:tcW w:w="547" w:type="dxa"/>
            <w:shd w:val="clear" w:color="auto" w:fill="BFBFBF"/>
            <w:tcMar>
              <w:left w:w="28" w:type="dxa"/>
              <w:right w:w="28" w:type="dxa"/>
            </w:tcMar>
            <w:vAlign w:val="center"/>
          </w:tcPr>
          <w:p w14:paraId="1BCF384D">
            <w:pPr>
              <w:spacing w:line="260" w:lineRule="exact"/>
              <w:jc w:val="center"/>
              <w:rPr>
                <w:rFonts w:ascii="宋体" w:hAnsi="宋体" w:cs="宋体"/>
                <w:b/>
                <w:sz w:val="18"/>
              </w:rPr>
            </w:pPr>
            <w:r>
              <w:rPr>
                <w:rFonts w:hint="eastAsia" w:ascii="宋体" w:hAnsi="宋体" w:cs="宋体"/>
                <w:b/>
                <w:sz w:val="18"/>
              </w:rPr>
              <w:t>3</w:t>
            </w:r>
          </w:p>
        </w:tc>
        <w:tc>
          <w:tcPr>
            <w:tcW w:w="12302" w:type="dxa"/>
            <w:gridSpan w:val="6"/>
            <w:shd w:val="clear" w:color="auto" w:fill="BFBFBF"/>
            <w:tcMar>
              <w:left w:w="28" w:type="dxa"/>
              <w:right w:w="28" w:type="dxa"/>
            </w:tcMar>
            <w:vAlign w:val="center"/>
          </w:tcPr>
          <w:p w14:paraId="5F4A1CC3">
            <w:pPr>
              <w:spacing w:line="260" w:lineRule="exact"/>
              <w:rPr>
                <w:rFonts w:ascii="宋体" w:hAnsi="宋体" w:cs="宋体"/>
                <w:sz w:val="18"/>
              </w:rPr>
            </w:pPr>
            <w:r>
              <w:rPr>
                <w:rFonts w:hint="eastAsia" w:ascii="宋体" w:hAnsi="宋体" w:cs="宋体"/>
                <w:b/>
                <w:sz w:val="18"/>
              </w:rPr>
              <w:t>项目管理（15分）</w:t>
            </w:r>
          </w:p>
        </w:tc>
      </w:tr>
      <w:tr w14:paraId="50B494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00C0CE14">
            <w:pPr>
              <w:spacing w:line="260" w:lineRule="exact"/>
              <w:jc w:val="center"/>
              <w:rPr>
                <w:rFonts w:ascii="宋体" w:hAnsi="宋体" w:cs="宋体"/>
                <w:sz w:val="18"/>
              </w:rPr>
            </w:pPr>
            <w:r>
              <w:rPr>
                <w:rFonts w:hint="eastAsia" w:ascii="宋体" w:hAnsi="宋体" w:cs="宋体"/>
                <w:b/>
                <w:bCs/>
                <w:sz w:val="18"/>
              </w:rPr>
              <w:t>3.1</w:t>
            </w:r>
          </w:p>
        </w:tc>
        <w:tc>
          <w:tcPr>
            <w:tcW w:w="1976" w:type="dxa"/>
            <w:tcMar>
              <w:left w:w="28" w:type="dxa"/>
              <w:right w:w="28" w:type="dxa"/>
            </w:tcMar>
            <w:vAlign w:val="center"/>
          </w:tcPr>
          <w:p w14:paraId="3EE5DE45">
            <w:pPr>
              <w:spacing w:line="260" w:lineRule="exact"/>
              <w:rPr>
                <w:rFonts w:ascii="宋体" w:hAnsi="宋体" w:cs="宋体"/>
                <w:b/>
                <w:sz w:val="18"/>
              </w:rPr>
            </w:pPr>
            <w:r>
              <w:rPr>
                <w:rFonts w:hint="eastAsia" w:ascii="宋体" w:hAnsi="宋体" w:cs="宋体"/>
                <w:b/>
                <w:bCs/>
                <w:sz w:val="18"/>
              </w:rPr>
              <w:t>策划管理</w:t>
            </w:r>
          </w:p>
        </w:tc>
        <w:tc>
          <w:tcPr>
            <w:tcW w:w="951" w:type="dxa"/>
            <w:tcMar>
              <w:left w:w="28" w:type="dxa"/>
              <w:right w:w="28" w:type="dxa"/>
            </w:tcMar>
            <w:vAlign w:val="center"/>
          </w:tcPr>
          <w:p w14:paraId="216E032E">
            <w:pPr>
              <w:spacing w:line="260" w:lineRule="exact"/>
              <w:jc w:val="center"/>
              <w:rPr>
                <w:rFonts w:ascii="宋体" w:hAnsi="宋体" w:cs="宋体"/>
                <w:sz w:val="18"/>
              </w:rPr>
            </w:pPr>
            <w:r>
              <w:rPr>
                <w:rFonts w:hint="eastAsia" w:ascii="宋体" w:hAnsi="宋体" w:cs="宋体"/>
                <w:sz w:val="18"/>
              </w:rPr>
              <w:t>2</w:t>
            </w:r>
          </w:p>
        </w:tc>
        <w:tc>
          <w:tcPr>
            <w:tcW w:w="3348" w:type="dxa"/>
            <w:tcMar>
              <w:left w:w="28" w:type="dxa"/>
              <w:right w:w="28" w:type="dxa"/>
            </w:tcMar>
            <w:vAlign w:val="center"/>
          </w:tcPr>
          <w:p w14:paraId="56E473CA">
            <w:pPr>
              <w:spacing w:line="260" w:lineRule="exact"/>
              <w:rPr>
                <w:rFonts w:ascii="宋体" w:hAnsi="宋体" w:cs="宋体"/>
                <w:sz w:val="18"/>
              </w:rPr>
            </w:pPr>
            <w:r>
              <w:rPr>
                <w:rFonts w:hint="eastAsia" w:ascii="宋体" w:hAnsi="宋体" w:cs="宋体"/>
                <w:sz w:val="18"/>
              </w:rPr>
              <w:t>项目管理实施规划、强制性条文执行计划、施工安全管理及风险控制方案、施工质量通病防治措施、工程项目档案资料过程管控方案等策划文件。策划文件与实际实施一致，建设条件变化时及时修编，工程项目档案资料过程管控方案编制。（2分）</w:t>
            </w:r>
          </w:p>
        </w:tc>
        <w:tc>
          <w:tcPr>
            <w:tcW w:w="3890" w:type="dxa"/>
            <w:tcMar>
              <w:left w:w="28" w:type="dxa"/>
              <w:right w:w="28" w:type="dxa"/>
            </w:tcMar>
            <w:vAlign w:val="center"/>
          </w:tcPr>
          <w:p w14:paraId="20402394">
            <w:pPr>
              <w:spacing w:line="260" w:lineRule="exact"/>
              <w:rPr>
                <w:rFonts w:ascii="宋体" w:hAnsi="宋体" w:cs="宋体"/>
                <w:sz w:val="18"/>
              </w:rPr>
            </w:pPr>
            <w:r>
              <w:rPr>
                <w:rFonts w:hint="eastAsia" w:ascii="宋体" w:hAnsi="宋体" w:cs="宋体"/>
                <w:sz w:val="18"/>
              </w:rPr>
              <w:t>（1）存在内容不全面、不符合要求、方案未结合工程实际、引用过期文件，报审不及时、编审批不符合要求等不规范现象，每项扣0.5分；</w:t>
            </w:r>
          </w:p>
          <w:p w14:paraId="361DC5C7">
            <w:pPr>
              <w:spacing w:line="260" w:lineRule="exact"/>
              <w:rPr>
                <w:rFonts w:ascii="宋体" w:hAnsi="宋体" w:cs="宋体"/>
                <w:sz w:val="18"/>
              </w:rPr>
            </w:pPr>
            <w:r>
              <w:rPr>
                <w:rFonts w:hint="eastAsia" w:ascii="宋体" w:hAnsi="宋体" w:cs="宋体"/>
                <w:sz w:val="18"/>
              </w:rPr>
              <w:t>（2）修编不及时，每项扣0.5分；</w:t>
            </w:r>
          </w:p>
          <w:p w14:paraId="0A1ED5F6">
            <w:pPr>
              <w:spacing w:line="260" w:lineRule="exact"/>
              <w:rPr>
                <w:rFonts w:ascii="宋体" w:hAnsi="宋体" w:cs="宋体"/>
                <w:b/>
                <w:sz w:val="18"/>
              </w:rPr>
            </w:pPr>
            <w:r>
              <w:rPr>
                <w:rFonts w:hint="eastAsia" w:ascii="宋体" w:hAnsi="宋体" w:cs="宋体"/>
                <w:sz w:val="18"/>
              </w:rPr>
              <w:t>（3）批准后的策划文件关键内容与实际实施存在明显差异，每项扣1分。</w:t>
            </w:r>
          </w:p>
        </w:tc>
        <w:tc>
          <w:tcPr>
            <w:tcW w:w="1117" w:type="dxa"/>
            <w:tcMar>
              <w:left w:w="28" w:type="dxa"/>
              <w:right w:w="28" w:type="dxa"/>
            </w:tcMar>
            <w:vAlign w:val="center"/>
          </w:tcPr>
          <w:p w14:paraId="4AAB2B20">
            <w:pPr>
              <w:spacing w:line="260" w:lineRule="exact"/>
              <w:rPr>
                <w:rFonts w:ascii="宋体" w:hAnsi="宋体" w:cs="宋体"/>
                <w:sz w:val="18"/>
              </w:rPr>
            </w:pPr>
          </w:p>
        </w:tc>
        <w:tc>
          <w:tcPr>
            <w:tcW w:w="1020" w:type="dxa"/>
            <w:tcMar>
              <w:left w:w="28" w:type="dxa"/>
              <w:right w:w="28" w:type="dxa"/>
            </w:tcMar>
            <w:vAlign w:val="center"/>
          </w:tcPr>
          <w:p w14:paraId="4B4F0548">
            <w:pPr>
              <w:spacing w:line="260" w:lineRule="exact"/>
              <w:rPr>
                <w:rFonts w:ascii="宋体" w:hAnsi="宋体" w:cs="宋体"/>
                <w:sz w:val="18"/>
              </w:rPr>
            </w:pPr>
          </w:p>
        </w:tc>
      </w:tr>
      <w:tr w14:paraId="3B0B86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46A3DAF4">
            <w:pPr>
              <w:spacing w:line="260" w:lineRule="exact"/>
              <w:jc w:val="center"/>
              <w:rPr>
                <w:rFonts w:ascii="宋体" w:hAnsi="宋体" w:cs="宋体"/>
                <w:b/>
                <w:bCs/>
                <w:sz w:val="18"/>
              </w:rPr>
            </w:pPr>
            <w:r>
              <w:rPr>
                <w:rFonts w:hint="eastAsia" w:ascii="宋体" w:hAnsi="宋体" w:cs="宋体"/>
                <w:b/>
                <w:bCs/>
                <w:sz w:val="18"/>
              </w:rPr>
              <w:t>3.2</w:t>
            </w:r>
          </w:p>
        </w:tc>
        <w:tc>
          <w:tcPr>
            <w:tcW w:w="1976" w:type="dxa"/>
            <w:tcMar>
              <w:left w:w="28" w:type="dxa"/>
              <w:right w:w="28" w:type="dxa"/>
            </w:tcMar>
            <w:vAlign w:val="center"/>
          </w:tcPr>
          <w:p w14:paraId="5B0EE22A">
            <w:pPr>
              <w:spacing w:line="260" w:lineRule="exact"/>
              <w:rPr>
                <w:rFonts w:ascii="宋体" w:hAnsi="宋体" w:cs="宋体"/>
                <w:b/>
                <w:sz w:val="18"/>
              </w:rPr>
            </w:pPr>
            <w:r>
              <w:rPr>
                <w:rFonts w:hint="eastAsia" w:ascii="宋体" w:hAnsi="宋体" w:cs="宋体"/>
                <w:b/>
                <w:sz w:val="18"/>
              </w:rPr>
              <w:t>开工管理</w:t>
            </w:r>
          </w:p>
        </w:tc>
        <w:tc>
          <w:tcPr>
            <w:tcW w:w="951" w:type="dxa"/>
            <w:tcMar>
              <w:left w:w="28" w:type="dxa"/>
              <w:right w:w="28" w:type="dxa"/>
            </w:tcMar>
            <w:vAlign w:val="center"/>
          </w:tcPr>
          <w:p w14:paraId="0482F5C8">
            <w:pPr>
              <w:spacing w:line="260" w:lineRule="exact"/>
              <w:jc w:val="center"/>
              <w:rPr>
                <w:rFonts w:ascii="宋体" w:hAnsi="宋体" w:cs="宋体"/>
                <w:sz w:val="18"/>
              </w:rPr>
            </w:pPr>
            <w:r>
              <w:rPr>
                <w:rFonts w:hint="eastAsia" w:ascii="宋体" w:hAnsi="宋体" w:cs="宋体"/>
                <w:sz w:val="18"/>
              </w:rPr>
              <w:t>2</w:t>
            </w:r>
          </w:p>
        </w:tc>
        <w:tc>
          <w:tcPr>
            <w:tcW w:w="3348" w:type="dxa"/>
            <w:tcMar>
              <w:left w:w="28" w:type="dxa"/>
              <w:right w:w="28" w:type="dxa"/>
            </w:tcMar>
            <w:vAlign w:val="center"/>
          </w:tcPr>
          <w:p w14:paraId="59C31B97">
            <w:pPr>
              <w:spacing w:line="260" w:lineRule="exact"/>
              <w:rPr>
                <w:rFonts w:ascii="宋体" w:hAnsi="宋体" w:cs="宋体"/>
                <w:sz w:val="18"/>
              </w:rPr>
            </w:pPr>
            <w:r>
              <w:rPr>
                <w:rFonts w:hint="eastAsia" w:ascii="宋体" w:hAnsi="宋体" w:cs="宋体"/>
                <w:sz w:val="18"/>
              </w:rPr>
              <w:t>按要求落实标准化开工条件、上报开工报审表。（2分）</w:t>
            </w:r>
          </w:p>
        </w:tc>
        <w:tc>
          <w:tcPr>
            <w:tcW w:w="3890" w:type="dxa"/>
            <w:tcMar>
              <w:left w:w="28" w:type="dxa"/>
              <w:right w:w="28" w:type="dxa"/>
            </w:tcMar>
            <w:vAlign w:val="center"/>
          </w:tcPr>
          <w:p w14:paraId="1B840DE2">
            <w:pPr>
              <w:spacing w:line="260" w:lineRule="exact"/>
              <w:rPr>
                <w:rFonts w:ascii="宋体" w:hAnsi="宋体" w:cs="宋体"/>
                <w:sz w:val="18"/>
              </w:rPr>
            </w:pPr>
            <w:r>
              <w:rPr>
                <w:rFonts w:hint="eastAsia" w:ascii="宋体" w:hAnsi="宋体" w:cs="宋体"/>
                <w:sz w:val="18"/>
              </w:rPr>
              <w:t>（1）现场准备不充分，开工报审内容不真实，每项扣1分；</w:t>
            </w:r>
          </w:p>
          <w:p w14:paraId="1BADCEAE">
            <w:pPr>
              <w:spacing w:line="260" w:lineRule="exact"/>
              <w:rPr>
                <w:rFonts w:ascii="宋体" w:hAnsi="宋体" w:cs="宋体"/>
                <w:sz w:val="18"/>
              </w:rPr>
            </w:pPr>
            <w:r>
              <w:rPr>
                <w:rFonts w:hint="eastAsia" w:ascii="宋体" w:hAnsi="宋体" w:cs="宋体"/>
                <w:sz w:val="18"/>
              </w:rPr>
              <w:t>（2）未报审或未批准擅自开工，扣2分。</w:t>
            </w:r>
          </w:p>
        </w:tc>
        <w:tc>
          <w:tcPr>
            <w:tcW w:w="1117" w:type="dxa"/>
            <w:tcMar>
              <w:left w:w="28" w:type="dxa"/>
              <w:right w:w="28" w:type="dxa"/>
            </w:tcMar>
            <w:vAlign w:val="center"/>
          </w:tcPr>
          <w:p w14:paraId="4962E841">
            <w:pPr>
              <w:spacing w:line="260" w:lineRule="exact"/>
              <w:rPr>
                <w:rFonts w:ascii="宋体" w:hAnsi="宋体" w:cs="宋体"/>
                <w:sz w:val="18"/>
              </w:rPr>
            </w:pPr>
          </w:p>
        </w:tc>
        <w:tc>
          <w:tcPr>
            <w:tcW w:w="1020" w:type="dxa"/>
            <w:tcMar>
              <w:left w:w="28" w:type="dxa"/>
              <w:right w:w="28" w:type="dxa"/>
            </w:tcMar>
            <w:vAlign w:val="center"/>
          </w:tcPr>
          <w:p w14:paraId="32540465">
            <w:pPr>
              <w:spacing w:line="260" w:lineRule="exact"/>
              <w:rPr>
                <w:rFonts w:ascii="宋体" w:hAnsi="宋体" w:cs="宋体"/>
                <w:sz w:val="18"/>
              </w:rPr>
            </w:pPr>
          </w:p>
        </w:tc>
      </w:tr>
      <w:tr w14:paraId="12F38A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77015E1E">
            <w:pPr>
              <w:spacing w:line="260" w:lineRule="exact"/>
              <w:jc w:val="center"/>
              <w:rPr>
                <w:rFonts w:ascii="宋体" w:hAnsi="宋体" w:cs="宋体"/>
                <w:b/>
                <w:bCs/>
                <w:sz w:val="18"/>
              </w:rPr>
            </w:pPr>
            <w:r>
              <w:rPr>
                <w:rFonts w:hint="eastAsia" w:ascii="宋体" w:hAnsi="宋体" w:cs="宋体"/>
                <w:b/>
                <w:bCs/>
                <w:sz w:val="18"/>
              </w:rPr>
              <w:t>3.3</w:t>
            </w:r>
          </w:p>
        </w:tc>
        <w:tc>
          <w:tcPr>
            <w:tcW w:w="1976" w:type="dxa"/>
            <w:vMerge w:val="restart"/>
            <w:tcMar>
              <w:left w:w="28" w:type="dxa"/>
              <w:right w:w="28" w:type="dxa"/>
            </w:tcMar>
            <w:vAlign w:val="center"/>
          </w:tcPr>
          <w:p w14:paraId="53C98B76">
            <w:pPr>
              <w:spacing w:line="260" w:lineRule="exact"/>
              <w:rPr>
                <w:rFonts w:ascii="宋体" w:hAnsi="宋体" w:cs="宋体"/>
                <w:b/>
                <w:bCs/>
                <w:sz w:val="18"/>
              </w:rPr>
            </w:pPr>
            <w:r>
              <w:rPr>
                <w:rFonts w:hint="eastAsia" w:ascii="宋体" w:hAnsi="宋体" w:cs="宋体"/>
                <w:b/>
                <w:bCs/>
                <w:sz w:val="18"/>
              </w:rPr>
              <w:t>进度管理</w:t>
            </w:r>
          </w:p>
        </w:tc>
        <w:tc>
          <w:tcPr>
            <w:tcW w:w="951" w:type="dxa"/>
            <w:vMerge w:val="restart"/>
            <w:tcMar>
              <w:left w:w="28" w:type="dxa"/>
              <w:right w:w="28" w:type="dxa"/>
            </w:tcMar>
            <w:vAlign w:val="center"/>
          </w:tcPr>
          <w:p w14:paraId="2C257E68">
            <w:pPr>
              <w:spacing w:line="260" w:lineRule="exact"/>
              <w:jc w:val="center"/>
              <w:rPr>
                <w:rFonts w:ascii="宋体" w:hAnsi="宋体" w:cs="宋体"/>
                <w:sz w:val="18"/>
              </w:rPr>
            </w:pPr>
            <w:r>
              <w:rPr>
                <w:rFonts w:hint="eastAsia" w:ascii="宋体" w:hAnsi="宋体" w:cs="宋体"/>
                <w:sz w:val="18"/>
              </w:rPr>
              <w:t>4</w:t>
            </w:r>
          </w:p>
        </w:tc>
        <w:tc>
          <w:tcPr>
            <w:tcW w:w="3348" w:type="dxa"/>
            <w:tcMar>
              <w:left w:w="28" w:type="dxa"/>
              <w:right w:w="28" w:type="dxa"/>
            </w:tcMar>
            <w:vAlign w:val="center"/>
          </w:tcPr>
          <w:p w14:paraId="17841851">
            <w:pPr>
              <w:spacing w:line="260" w:lineRule="exact"/>
              <w:rPr>
                <w:rFonts w:ascii="宋体" w:hAnsi="宋体" w:cs="宋体"/>
                <w:sz w:val="18"/>
              </w:rPr>
            </w:pPr>
            <w:r>
              <w:rPr>
                <w:rFonts w:hint="eastAsia" w:ascii="宋体" w:hAnsi="宋体" w:cs="宋体"/>
                <w:sz w:val="18"/>
              </w:rPr>
              <w:t>编制施工进度计划并报审，对进度计划进行过程动态管理，落实业主方进度计划管理要求；根据工程实际，合理调配资源，保障进度计划有效执行；施工进度与计划存在偏差，无法满足进度计划节点要求时，及时滚动修编进度计划并报审。工程停复工时及时办理相关手续。（</w:t>
            </w:r>
            <w:r>
              <w:rPr>
                <w:rFonts w:hint="eastAsia" w:ascii="宋体" w:hAnsi="宋体" w:cs="宋体"/>
                <w:sz w:val="15"/>
                <w:szCs w:val="15"/>
              </w:rPr>
              <w:t>2</w:t>
            </w:r>
            <w:r>
              <w:rPr>
                <w:rFonts w:hint="eastAsia" w:ascii="宋体" w:hAnsi="宋体" w:cs="宋体"/>
                <w:sz w:val="18"/>
              </w:rPr>
              <w:t>分）</w:t>
            </w:r>
          </w:p>
        </w:tc>
        <w:tc>
          <w:tcPr>
            <w:tcW w:w="3890" w:type="dxa"/>
            <w:tcMar>
              <w:left w:w="28" w:type="dxa"/>
              <w:right w:w="28" w:type="dxa"/>
            </w:tcMar>
            <w:vAlign w:val="center"/>
          </w:tcPr>
          <w:p w14:paraId="50099640">
            <w:pPr>
              <w:spacing w:line="260" w:lineRule="exact"/>
              <w:rPr>
                <w:rFonts w:ascii="宋体" w:hAnsi="宋体" w:cs="宋体"/>
                <w:sz w:val="18"/>
              </w:rPr>
            </w:pPr>
            <w:r>
              <w:rPr>
                <w:rFonts w:hint="eastAsia" w:ascii="宋体" w:hAnsi="宋体" w:cs="宋体"/>
                <w:sz w:val="18"/>
              </w:rPr>
              <w:t>（1）未编制施工进度计划扣1分；未及时编制停电需求计划（如有）并上报，每项扣0.5分/次。</w:t>
            </w:r>
          </w:p>
          <w:p w14:paraId="595A78FA">
            <w:pPr>
              <w:spacing w:line="260" w:lineRule="exact"/>
              <w:rPr>
                <w:rFonts w:ascii="宋体" w:hAnsi="宋体" w:cs="宋体"/>
                <w:sz w:val="18"/>
              </w:rPr>
            </w:pPr>
            <w:r>
              <w:rPr>
                <w:rFonts w:hint="eastAsia" w:ascii="宋体" w:hAnsi="宋体" w:cs="宋体"/>
                <w:sz w:val="18"/>
              </w:rPr>
              <w:t>（2）施工进度计划不满足关键进度节点要求且未采取有效纠偏措施，每次扣1分；施工资源未按计划按时到位，每次扣0.5分</w:t>
            </w:r>
          </w:p>
          <w:p w14:paraId="192ED516">
            <w:pPr>
              <w:spacing w:line="260" w:lineRule="exact"/>
              <w:rPr>
                <w:rFonts w:ascii="宋体" w:hAnsi="宋体" w:cs="宋体"/>
                <w:sz w:val="18"/>
              </w:rPr>
            </w:pPr>
            <w:r>
              <w:rPr>
                <w:rFonts w:hint="eastAsia" w:ascii="宋体" w:hAnsi="宋体" w:cs="宋体"/>
                <w:sz w:val="18"/>
              </w:rPr>
              <w:t>（3）业主要求的施工措施未要求到位，每次扣0.5分；</w:t>
            </w:r>
          </w:p>
          <w:p w14:paraId="25CCA41F">
            <w:pPr>
              <w:spacing w:line="260" w:lineRule="exact"/>
              <w:rPr>
                <w:rFonts w:ascii="宋体" w:hAnsi="宋体" w:cs="宋体"/>
                <w:sz w:val="18"/>
              </w:rPr>
            </w:pPr>
            <w:r>
              <w:rPr>
                <w:rFonts w:hint="eastAsia" w:ascii="宋体" w:hAnsi="宋体" w:cs="宋体"/>
                <w:sz w:val="18"/>
              </w:rPr>
              <w:t>（4）未定期（每月）分析、总结计划执行情况，每次扣0.5分；</w:t>
            </w:r>
          </w:p>
          <w:p w14:paraId="6DF61887">
            <w:pPr>
              <w:spacing w:line="260" w:lineRule="exact"/>
              <w:rPr>
                <w:rFonts w:ascii="宋体" w:hAnsi="宋体" w:cs="宋体"/>
                <w:sz w:val="18"/>
              </w:rPr>
            </w:pPr>
            <w:r>
              <w:rPr>
                <w:rFonts w:hint="eastAsia" w:ascii="宋体" w:hAnsi="宋体" w:cs="宋体"/>
                <w:sz w:val="18"/>
              </w:rPr>
              <w:t>（5）工程停、复工未办理停复工批准手续，每次扣0.5分。</w:t>
            </w:r>
          </w:p>
        </w:tc>
        <w:tc>
          <w:tcPr>
            <w:tcW w:w="1117" w:type="dxa"/>
            <w:tcMar>
              <w:left w:w="28" w:type="dxa"/>
              <w:right w:w="28" w:type="dxa"/>
            </w:tcMar>
            <w:vAlign w:val="center"/>
          </w:tcPr>
          <w:p w14:paraId="6AC9F562">
            <w:pPr>
              <w:spacing w:line="260" w:lineRule="exact"/>
              <w:rPr>
                <w:rFonts w:ascii="宋体" w:hAnsi="宋体" w:cs="宋体"/>
                <w:sz w:val="18"/>
              </w:rPr>
            </w:pPr>
          </w:p>
        </w:tc>
        <w:tc>
          <w:tcPr>
            <w:tcW w:w="1020" w:type="dxa"/>
            <w:tcMar>
              <w:left w:w="28" w:type="dxa"/>
              <w:right w:w="28" w:type="dxa"/>
            </w:tcMar>
            <w:vAlign w:val="center"/>
          </w:tcPr>
          <w:p w14:paraId="09CCDE1C">
            <w:pPr>
              <w:spacing w:line="260" w:lineRule="exact"/>
              <w:rPr>
                <w:rFonts w:ascii="宋体" w:hAnsi="宋体" w:cs="宋体"/>
                <w:sz w:val="18"/>
              </w:rPr>
            </w:pPr>
          </w:p>
          <w:p w14:paraId="0023268D">
            <w:pPr>
              <w:spacing w:line="260" w:lineRule="exact"/>
              <w:rPr>
                <w:rFonts w:ascii="宋体" w:hAnsi="宋体" w:cs="宋体"/>
                <w:sz w:val="18"/>
              </w:rPr>
            </w:pPr>
          </w:p>
          <w:p w14:paraId="4D0439FC">
            <w:pPr>
              <w:spacing w:line="260" w:lineRule="exact"/>
              <w:rPr>
                <w:rFonts w:ascii="宋体" w:hAnsi="宋体" w:cs="宋体"/>
                <w:sz w:val="18"/>
              </w:rPr>
            </w:pPr>
          </w:p>
          <w:p w14:paraId="401CA94D">
            <w:pPr>
              <w:spacing w:line="260" w:lineRule="exact"/>
              <w:rPr>
                <w:rFonts w:ascii="宋体" w:hAnsi="宋体" w:cs="宋体"/>
                <w:sz w:val="18"/>
              </w:rPr>
            </w:pPr>
          </w:p>
          <w:p w14:paraId="698445E5">
            <w:pPr>
              <w:spacing w:line="260" w:lineRule="exact"/>
              <w:rPr>
                <w:rFonts w:ascii="宋体" w:hAnsi="宋体" w:cs="宋体"/>
                <w:sz w:val="18"/>
              </w:rPr>
            </w:pPr>
          </w:p>
          <w:p w14:paraId="4ACB2F72">
            <w:pPr>
              <w:spacing w:line="260" w:lineRule="exact"/>
              <w:rPr>
                <w:rFonts w:ascii="宋体" w:hAnsi="宋体" w:cs="宋体"/>
                <w:sz w:val="18"/>
              </w:rPr>
            </w:pPr>
          </w:p>
          <w:p w14:paraId="2FBC23FE">
            <w:pPr>
              <w:spacing w:line="260" w:lineRule="exact"/>
              <w:rPr>
                <w:rFonts w:ascii="宋体" w:hAnsi="宋体" w:cs="宋体"/>
                <w:sz w:val="18"/>
              </w:rPr>
            </w:pPr>
          </w:p>
          <w:p w14:paraId="4B445B3C">
            <w:pPr>
              <w:spacing w:line="260" w:lineRule="exact"/>
              <w:rPr>
                <w:rFonts w:ascii="宋体" w:hAnsi="宋体" w:cs="宋体"/>
                <w:sz w:val="18"/>
              </w:rPr>
            </w:pPr>
          </w:p>
          <w:p w14:paraId="64F93E52">
            <w:pPr>
              <w:spacing w:line="260" w:lineRule="exact"/>
              <w:rPr>
                <w:rFonts w:ascii="宋体" w:hAnsi="宋体" w:cs="宋体"/>
                <w:sz w:val="18"/>
              </w:rPr>
            </w:pPr>
          </w:p>
          <w:p w14:paraId="504111F5">
            <w:pPr>
              <w:spacing w:line="260" w:lineRule="exact"/>
              <w:rPr>
                <w:rFonts w:ascii="宋体" w:hAnsi="宋体" w:cs="宋体"/>
                <w:sz w:val="18"/>
              </w:rPr>
            </w:pPr>
          </w:p>
        </w:tc>
      </w:tr>
      <w:tr w14:paraId="4DD48D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Borders>
              <w:bottom w:val="single" w:color="000000" w:sz="6" w:space="0"/>
            </w:tcBorders>
            <w:tcMar>
              <w:left w:w="28" w:type="dxa"/>
              <w:right w:w="28" w:type="dxa"/>
            </w:tcMar>
            <w:vAlign w:val="center"/>
          </w:tcPr>
          <w:p w14:paraId="6626317F">
            <w:pPr>
              <w:spacing w:line="260" w:lineRule="exact"/>
              <w:jc w:val="center"/>
              <w:rPr>
                <w:rFonts w:ascii="宋体" w:hAnsi="宋体" w:cs="宋体"/>
                <w:sz w:val="18"/>
              </w:rPr>
            </w:pPr>
          </w:p>
        </w:tc>
        <w:tc>
          <w:tcPr>
            <w:tcW w:w="1976" w:type="dxa"/>
            <w:vMerge w:val="continue"/>
            <w:tcBorders>
              <w:bottom w:val="single" w:color="000000" w:sz="6" w:space="0"/>
            </w:tcBorders>
            <w:tcMar>
              <w:left w:w="28" w:type="dxa"/>
              <w:right w:w="28" w:type="dxa"/>
            </w:tcMar>
            <w:vAlign w:val="center"/>
          </w:tcPr>
          <w:p w14:paraId="20DC8F5A">
            <w:pPr>
              <w:spacing w:line="260" w:lineRule="exact"/>
              <w:rPr>
                <w:rFonts w:ascii="宋体" w:hAnsi="宋体" w:cs="宋体"/>
                <w:sz w:val="18"/>
              </w:rPr>
            </w:pPr>
          </w:p>
        </w:tc>
        <w:tc>
          <w:tcPr>
            <w:tcW w:w="951" w:type="dxa"/>
            <w:vMerge w:val="continue"/>
            <w:tcBorders>
              <w:bottom w:val="single" w:color="000000" w:sz="6" w:space="0"/>
            </w:tcBorders>
            <w:tcMar>
              <w:left w:w="28" w:type="dxa"/>
              <w:right w:w="28" w:type="dxa"/>
            </w:tcMar>
            <w:vAlign w:val="center"/>
          </w:tcPr>
          <w:p w14:paraId="00EA784F">
            <w:pPr>
              <w:spacing w:line="260" w:lineRule="exact"/>
              <w:jc w:val="center"/>
              <w:rPr>
                <w:rFonts w:ascii="宋体" w:hAnsi="宋体" w:cs="宋体"/>
                <w:sz w:val="18"/>
              </w:rPr>
            </w:pPr>
          </w:p>
        </w:tc>
        <w:tc>
          <w:tcPr>
            <w:tcW w:w="3348" w:type="dxa"/>
            <w:tcBorders>
              <w:bottom w:val="single" w:color="000000" w:sz="6" w:space="0"/>
            </w:tcBorders>
            <w:tcMar>
              <w:left w:w="28" w:type="dxa"/>
              <w:right w:w="28" w:type="dxa"/>
            </w:tcMar>
            <w:vAlign w:val="center"/>
          </w:tcPr>
          <w:p w14:paraId="6AD77BCC">
            <w:pPr>
              <w:spacing w:line="260" w:lineRule="exact"/>
              <w:rPr>
                <w:rFonts w:ascii="宋体" w:hAnsi="宋体" w:cs="宋体"/>
                <w:sz w:val="18"/>
              </w:rPr>
            </w:pPr>
            <w:r>
              <w:rPr>
                <w:rFonts w:hint="eastAsia" w:ascii="宋体" w:hAnsi="宋体" w:cs="宋体"/>
                <w:sz w:val="18"/>
              </w:rPr>
              <w:t>及时提出与进度计划相关的图纸需求、设备物资需求、工序交接需求。在各施工单位进行交叉平行施工时，其施工顺序和节点应服从业主或监理项目部统一安排。（2分）</w:t>
            </w:r>
          </w:p>
        </w:tc>
        <w:tc>
          <w:tcPr>
            <w:tcW w:w="3890" w:type="dxa"/>
            <w:tcBorders>
              <w:bottom w:val="single" w:color="000000" w:sz="6" w:space="0"/>
            </w:tcBorders>
            <w:tcMar>
              <w:left w:w="28" w:type="dxa"/>
              <w:right w:w="28" w:type="dxa"/>
            </w:tcMar>
            <w:vAlign w:val="center"/>
          </w:tcPr>
          <w:p w14:paraId="47DF97AC">
            <w:pPr>
              <w:spacing w:line="260" w:lineRule="exact"/>
              <w:rPr>
                <w:rFonts w:ascii="宋体" w:hAnsi="宋体" w:cs="宋体"/>
                <w:sz w:val="18"/>
              </w:rPr>
            </w:pPr>
            <w:r>
              <w:rPr>
                <w:rFonts w:hint="eastAsia" w:ascii="宋体" w:hAnsi="宋体" w:cs="宋体"/>
                <w:sz w:val="18"/>
              </w:rPr>
              <w:t>（1）未及时提出与进度计划相关的图纸需求、设备物资需求、工序交接需求，扣1分。</w:t>
            </w:r>
          </w:p>
          <w:p w14:paraId="398F497C">
            <w:pPr>
              <w:spacing w:line="260" w:lineRule="exact"/>
              <w:rPr>
                <w:rFonts w:ascii="宋体" w:hAnsi="宋体" w:cs="宋体"/>
                <w:sz w:val="18"/>
              </w:rPr>
            </w:pPr>
            <w:r>
              <w:rPr>
                <w:rFonts w:hint="eastAsia" w:ascii="宋体" w:hAnsi="宋体" w:cs="宋体"/>
                <w:sz w:val="18"/>
              </w:rPr>
              <w:t>（2）未按业主或监理业主项目部统一安排开展工作，每次扣0.5分。</w:t>
            </w:r>
          </w:p>
        </w:tc>
        <w:tc>
          <w:tcPr>
            <w:tcW w:w="1117" w:type="dxa"/>
            <w:tcBorders>
              <w:bottom w:val="single" w:color="000000" w:sz="6" w:space="0"/>
            </w:tcBorders>
            <w:tcMar>
              <w:left w:w="28" w:type="dxa"/>
              <w:right w:w="28" w:type="dxa"/>
            </w:tcMar>
            <w:vAlign w:val="center"/>
          </w:tcPr>
          <w:p w14:paraId="46B768A5">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1A06A2B9">
            <w:pPr>
              <w:spacing w:line="260" w:lineRule="exact"/>
              <w:rPr>
                <w:rFonts w:ascii="宋体" w:hAnsi="宋体" w:cs="宋体"/>
                <w:sz w:val="18"/>
              </w:rPr>
            </w:pPr>
          </w:p>
        </w:tc>
      </w:tr>
      <w:tr w14:paraId="5A81BF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44748414">
            <w:pPr>
              <w:spacing w:line="260" w:lineRule="exact"/>
              <w:jc w:val="center"/>
              <w:rPr>
                <w:rFonts w:ascii="宋体" w:hAnsi="宋体" w:cs="宋体"/>
                <w:sz w:val="18"/>
              </w:rPr>
            </w:pPr>
            <w:r>
              <w:rPr>
                <w:rFonts w:hint="eastAsia" w:ascii="宋体" w:hAnsi="宋体" w:cs="宋体"/>
                <w:b/>
                <w:bCs/>
                <w:sz w:val="18"/>
              </w:rPr>
              <w:t>3.4</w:t>
            </w:r>
          </w:p>
        </w:tc>
        <w:tc>
          <w:tcPr>
            <w:tcW w:w="1976" w:type="dxa"/>
            <w:vMerge w:val="restart"/>
            <w:tcMar>
              <w:left w:w="28" w:type="dxa"/>
              <w:right w:w="28" w:type="dxa"/>
            </w:tcMar>
            <w:vAlign w:val="center"/>
          </w:tcPr>
          <w:p w14:paraId="7696947E">
            <w:pPr>
              <w:spacing w:line="260" w:lineRule="exact"/>
              <w:rPr>
                <w:rFonts w:ascii="宋体" w:hAnsi="宋体" w:cs="宋体"/>
                <w:sz w:val="18"/>
              </w:rPr>
            </w:pPr>
            <w:r>
              <w:rPr>
                <w:rFonts w:hint="eastAsia" w:ascii="宋体" w:hAnsi="宋体" w:cs="宋体"/>
                <w:b/>
                <w:sz w:val="18"/>
              </w:rPr>
              <w:t>协调管理</w:t>
            </w:r>
          </w:p>
        </w:tc>
        <w:tc>
          <w:tcPr>
            <w:tcW w:w="951" w:type="dxa"/>
            <w:vMerge w:val="restart"/>
            <w:tcMar>
              <w:left w:w="28" w:type="dxa"/>
              <w:right w:w="28" w:type="dxa"/>
            </w:tcMar>
            <w:vAlign w:val="center"/>
          </w:tcPr>
          <w:p w14:paraId="45D620F7">
            <w:pPr>
              <w:spacing w:line="260" w:lineRule="exact"/>
              <w:jc w:val="center"/>
              <w:rPr>
                <w:rFonts w:ascii="宋体" w:hAnsi="宋体" w:cs="宋体"/>
                <w:sz w:val="18"/>
              </w:rPr>
            </w:pPr>
            <w:r>
              <w:rPr>
                <w:rFonts w:hint="eastAsia" w:ascii="宋体" w:hAnsi="宋体" w:cs="宋体"/>
                <w:sz w:val="18"/>
              </w:rPr>
              <w:t>3</w:t>
            </w: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tcPr>
          <w:p w14:paraId="223797B4">
            <w:pPr>
              <w:spacing w:line="260" w:lineRule="exact"/>
              <w:rPr>
                <w:rFonts w:ascii="宋体" w:hAnsi="宋体" w:cs="宋体"/>
                <w:sz w:val="18"/>
              </w:rPr>
            </w:pPr>
            <w:r>
              <w:rPr>
                <w:rFonts w:hint="eastAsia" w:ascii="宋体" w:hAnsi="宋体" w:cs="宋体"/>
                <w:sz w:val="18"/>
              </w:rPr>
              <w:t>加强外部协调，确保工程建设期间不发生因施工原因造成的上访、堵门等群体性事件，做好政府部门协调工作。（2分）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tcPr>
          <w:p w14:paraId="00AA93FA">
            <w:pPr>
              <w:spacing w:line="260" w:lineRule="exact"/>
              <w:rPr>
                <w:rFonts w:ascii="宋体" w:hAnsi="宋体" w:cs="宋体"/>
                <w:sz w:val="18"/>
              </w:rPr>
            </w:pPr>
            <w:r>
              <w:rPr>
                <w:rFonts w:ascii="宋体" w:hAnsi="宋体" w:cs="宋体"/>
                <w:sz w:val="18"/>
              </w:rPr>
              <w:t>（1）上访一次扣2分</w:t>
            </w:r>
            <w:r>
              <w:rPr>
                <w:rFonts w:hint="eastAsia" w:ascii="宋体" w:hAnsi="宋体" w:cs="宋体"/>
                <w:sz w:val="18"/>
              </w:rPr>
              <w:t>；</w:t>
            </w:r>
            <w:r>
              <w:rPr>
                <w:rFonts w:ascii="宋体" w:hAnsi="宋体" w:cs="宋体"/>
                <w:sz w:val="18"/>
              </w:rPr>
              <w:t>被政府部门处罚一次扣2分</w:t>
            </w:r>
            <w:r>
              <w:rPr>
                <w:rFonts w:hint="eastAsia" w:ascii="宋体" w:hAnsi="宋体" w:cs="宋体"/>
                <w:sz w:val="18"/>
              </w:rPr>
              <w:t>；</w:t>
            </w:r>
            <w:r>
              <w:rPr>
                <w:rFonts w:ascii="宋体" w:hAnsi="宋体" w:cs="宋体"/>
                <w:sz w:val="18"/>
              </w:rPr>
              <w:t>堵门一次扣1分</w:t>
            </w:r>
            <w:r>
              <w:rPr>
                <w:rFonts w:hint="eastAsia" w:ascii="宋体" w:hAnsi="宋体" w:cs="宋体"/>
                <w:sz w:val="18"/>
              </w:rPr>
              <w:t>；</w:t>
            </w:r>
          </w:p>
          <w:p w14:paraId="5761C0B6">
            <w:pPr>
              <w:tabs>
                <w:tab w:val="center" w:pos="4153"/>
                <w:tab w:val="right" w:pos="8306"/>
              </w:tabs>
              <w:spacing w:line="260" w:lineRule="exact"/>
              <w:rPr>
                <w:rFonts w:ascii="宋体" w:hAnsi="宋体" w:cs="宋体"/>
                <w:sz w:val="18"/>
              </w:rPr>
            </w:pPr>
            <w:r>
              <w:rPr>
                <w:rFonts w:hint="eastAsia" w:ascii="宋体" w:hAnsi="宋体" w:cs="宋体"/>
                <w:sz w:val="18"/>
              </w:rPr>
              <w:t>（2）因施工单位与劳务分包单位、所属劳务分包单位与施工队伍、劳务人员欠薪，导致的投诉合同纠纷及欠薪事件，扣2分。</w:t>
            </w:r>
          </w:p>
        </w:tc>
        <w:tc>
          <w:tcPr>
            <w:tcW w:w="1117" w:type="dxa"/>
            <w:tcMar>
              <w:left w:w="28" w:type="dxa"/>
              <w:right w:w="28" w:type="dxa"/>
            </w:tcMar>
            <w:vAlign w:val="center"/>
          </w:tcPr>
          <w:p w14:paraId="126DFFDF">
            <w:pPr>
              <w:spacing w:line="260" w:lineRule="exact"/>
              <w:rPr>
                <w:rFonts w:ascii="宋体" w:hAnsi="宋体" w:cs="宋体"/>
                <w:sz w:val="18"/>
              </w:rPr>
            </w:pPr>
          </w:p>
        </w:tc>
        <w:tc>
          <w:tcPr>
            <w:tcW w:w="1020" w:type="dxa"/>
            <w:tcMar>
              <w:left w:w="28" w:type="dxa"/>
              <w:right w:w="28" w:type="dxa"/>
            </w:tcMar>
            <w:vAlign w:val="center"/>
          </w:tcPr>
          <w:p w14:paraId="75D9CC84">
            <w:pPr>
              <w:spacing w:line="260" w:lineRule="exact"/>
              <w:rPr>
                <w:rFonts w:ascii="宋体" w:hAnsi="宋体" w:cs="宋体"/>
                <w:sz w:val="18"/>
              </w:rPr>
            </w:pPr>
          </w:p>
        </w:tc>
      </w:tr>
      <w:tr w14:paraId="7B976B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Mar>
              <w:left w:w="28" w:type="dxa"/>
              <w:right w:w="28" w:type="dxa"/>
            </w:tcMar>
            <w:vAlign w:val="center"/>
          </w:tcPr>
          <w:p w14:paraId="35BF2A0D">
            <w:pPr>
              <w:spacing w:line="260" w:lineRule="exact"/>
              <w:jc w:val="center"/>
              <w:rPr>
                <w:rFonts w:ascii="宋体" w:hAnsi="宋体" w:cs="宋体"/>
                <w:sz w:val="18"/>
              </w:rPr>
            </w:pPr>
          </w:p>
        </w:tc>
        <w:tc>
          <w:tcPr>
            <w:tcW w:w="1976" w:type="dxa"/>
            <w:vMerge w:val="continue"/>
            <w:tcMar>
              <w:left w:w="28" w:type="dxa"/>
              <w:right w:w="28" w:type="dxa"/>
            </w:tcMar>
            <w:vAlign w:val="center"/>
          </w:tcPr>
          <w:p w14:paraId="554A147A">
            <w:pPr>
              <w:spacing w:line="260" w:lineRule="exact"/>
              <w:rPr>
                <w:rFonts w:ascii="宋体" w:hAnsi="宋体" w:cs="宋体"/>
                <w:sz w:val="18"/>
              </w:rPr>
            </w:pPr>
          </w:p>
        </w:tc>
        <w:tc>
          <w:tcPr>
            <w:tcW w:w="951" w:type="dxa"/>
            <w:vMerge w:val="continue"/>
            <w:tcMar>
              <w:left w:w="28" w:type="dxa"/>
              <w:right w:w="28" w:type="dxa"/>
            </w:tcMar>
            <w:vAlign w:val="center"/>
          </w:tcPr>
          <w:p w14:paraId="6470D3A1">
            <w:pPr>
              <w:spacing w:line="260" w:lineRule="exact"/>
              <w:jc w:val="center"/>
              <w:rPr>
                <w:rFonts w:ascii="宋体" w:hAnsi="宋体" w:cs="宋体"/>
                <w:sz w:val="18"/>
              </w:rPr>
            </w:pP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06B5B6CA">
            <w:pPr>
              <w:spacing w:line="260" w:lineRule="exact"/>
              <w:rPr>
                <w:rFonts w:ascii="宋体" w:hAnsi="宋体" w:cs="宋体"/>
                <w:sz w:val="18"/>
              </w:rPr>
            </w:pPr>
            <w:r>
              <w:rPr>
                <w:rFonts w:hint="eastAsia" w:ascii="宋体" w:hAnsi="宋体" w:cs="宋体"/>
                <w:sz w:val="18"/>
              </w:rPr>
              <w:t>及时响应业主、监理项目部的各项工作要求；对内部人员需进行有效管理，杜绝出现吵架、打架斗殴等现象。（1分）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3B29FC18">
            <w:pPr>
              <w:spacing w:line="260" w:lineRule="exact"/>
              <w:rPr>
                <w:rFonts w:ascii="宋体" w:hAnsi="宋体" w:cs="宋体"/>
                <w:sz w:val="18"/>
              </w:rPr>
            </w:pPr>
            <w:r>
              <w:rPr>
                <w:rFonts w:hint="eastAsia" w:ascii="宋体" w:hAnsi="宋体" w:cs="宋体"/>
                <w:sz w:val="18"/>
              </w:rPr>
              <w:t>（1）一次不响应业主项目部的工作要求，一次扣0.5分；</w:t>
            </w:r>
          </w:p>
          <w:p w14:paraId="5AE7D68C">
            <w:pPr>
              <w:spacing w:line="260" w:lineRule="exact"/>
              <w:rPr>
                <w:rFonts w:ascii="宋体" w:hAnsi="宋体" w:cs="宋体"/>
                <w:sz w:val="18"/>
              </w:rPr>
            </w:pPr>
            <w:r>
              <w:rPr>
                <w:rFonts w:hint="eastAsia" w:ascii="宋体" w:hAnsi="宋体" w:cs="宋体"/>
                <w:sz w:val="18"/>
              </w:rPr>
              <w:t>（2）现场出现吵架、打架斗殴等现象，一次扣0.5分。</w:t>
            </w:r>
          </w:p>
        </w:tc>
        <w:tc>
          <w:tcPr>
            <w:tcW w:w="1117" w:type="dxa"/>
            <w:tcMar>
              <w:left w:w="28" w:type="dxa"/>
              <w:right w:w="28" w:type="dxa"/>
            </w:tcMar>
            <w:vAlign w:val="center"/>
          </w:tcPr>
          <w:p w14:paraId="5C606E91">
            <w:pPr>
              <w:spacing w:line="260" w:lineRule="exact"/>
              <w:rPr>
                <w:rFonts w:ascii="宋体" w:hAnsi="宋体" w:cs="宋体"/>
                <w:sz w:val="18"/>
              </w:rPr>
            </w:pPr>
          </w:p>
        </w:tc>
        <w:tc>
          <w:tcPr>
            <w:tcW w:w="1020" w:type="dxa"/>
            <w:tcMar>
              <w:left w:w="28" w:type="dxa"/>
              <w:right w:w="28" w:type="dxa"/>
            </w:tcMar>
            <w:vAlign w:val="center"/>
          </w:tcPr>
          <w:p w14:paraId="0608BE19">
            <w:pPr>
              <w:spacing w:line="260" w:lineRule="exact"/>
              <w:rPr>
                <w:rFonts w:ascii="宋体" w:hAnsi="宋体" w:cs="宋体"/>
                <w:sz w:val="18"/>
              </w:rPr>
            </w:pPr>
          </w:p>
        </w:tc>
      </w:tr>
      <w:tr w14:paraId="24E0EA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28F57856">
            <w:pPr>
              <w:spacing w:line="260" w:lineRule="exact"/>
              <w:jc w:val="center"/>
              <w:rPr>
                <w:rFonts w:ascii="宋体" w:hAnsi="宋体" w:cs="宋体"/>
                <w:b/>
                <w:bCs/>
                <w:sz w:val="18"/>
              </w:rPr>
            </w:pPr>
            <w:r>
              <w:rPr>
                <w:rFonts w:hint="eastAsia" w:ascii="宋体" w:hAnsi="宋体" w:cs="宋体"/>
                <w:b/>
                <w:bCs/>
                <w:sz w:val="18"/>
              </w:rPr>
              <w:t>3.5</w:t>
            </w:r>
          </w:p>
        </w:tc>
        <w:tc>
          <w:tcPr>
            <w:tcW w:w="1976" w:type="dxa"/>
            <w:tcMar>
              <w:left w:w="28" w:type="dxa"/>
              <w:right w:w="28" w:type="dxa"/>
            </w:tcMar>
            <w:vAlign w:val="center"/>
          </w:tcPr>
          <w:p w14:paraId="489F8525">
            <w:pPr>
              <w:spacing w:line="260" w:lineRule="exact"/>
              <w:rPr>
                <w:rFonts w:ascii="宋体" w:hAnsi="宋体" w:cs="宋体"/>
                <w:b/>
                <w:bCs/>
                <w:sz w:val="18"/>
              </w:rPr>
            </w:pPr>
            <w:r>
              <w:rPr>
                <w:rFonts w:hint="eastAsia" w:ascii="宋体" w:hAnsi="宋体" w:cs="宋体"/>
                <w:b/>
                <w:bCs/>
                <w:sz w:val="18"/>
              </w:rPr>
              <w:t>信息管理</w:t>
            </w:r>
          </w:p>
        </w:tc>
        <w:tc>
          <w:tcPr>
            <w:tcW w:w="951" w:type="dxa"/>
            <w:tcMar>
              <w:left w:w="28" w:type="dxa"/>
              <w:right w:w="28" w:type="dxa"/>
            </w:tcMar>
            <w:vAlign w:val="center"/>
          </w:tcPr>
          <w:p w14:paraId="618B9669">
            <w:pPr>
              <w:spacing w:line="260" w:lineRule="exact"/>
              <w:jc w:val="center"/>
              <w:rPr>
                <w:rFonts w:ascii="宋体" w:hAnsi="宋体" w:cs="宋体"/>
                <w:sz w:val="18"/>
              </w:rPr>
            </w:pPr>
            <w:r>
              <w:rPr>
                <w:rFonts w:hint="eastAsia" w:ascii="宋体" w:hAnsi="宋体" w:cs="宋体"/>
                <w:sz w:val="18"/>
              </w:rPr>
              <w:t>2</w:t>
            </w: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3EB3479E">
            <w:pPr>
              <w:rPr>
                <w:rFonts w:ascii="宋体" w:hAnsi="宋体" w:cs="宋体"/>
                <w:sz w:val="18"/>
              </w:rPr>
            </w:pPr>
            <w:r>
              <w:rPr>
                <w:rFonts w:hint="eastAsia"/>
                <w:color w:val="000000"/>
                <w:sz w:val="18"/>
                <w:szCs w:val="18"/>
              </w:rPr>
              <w:t>按照业主项目部要求，完成会议材料报送、会议纪要编制工作。完成“e基建”信息录入。</w:t>
            </w:r>
            <w:r>
              <w:rPr>
                <w:rFonts w:hint="eastAsia" w:ascii="宋体" w:hAnsi="宋体" w:cs="宋体"/>
                <w:sz w:val="18"/>
              </w:rPr>
              <w:t>及时组织宣贯上级文件，来往文件记录清晰。每月编制施工月报并及时报送监理项目部。（2分）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4D38A0D7">
            <w:pPr>
              <w:spacing w:line="260" w:lineRule="exact"/>
              <w:rPr>
                <w:color w:val="000000"/>
                <w:sz w:val="18"/>
                <w:szCs w:val="18"/>
              </w:rPr>
            </w:pPr>
            <w:r>
              <w:rPr>
                <w:rFonts w:hint="eastAsia"/>
                <w:color w:val="000000"/>
                <w:sz w:val="18"/>
                <w:szCs w:val="18"/>
              </w:rPr>
              <w:t>（1）未完成会议材料报送、会议纪要编制工作，扣1分；相关材料起草不符合质量要求，每次扣0.5分；</w:t>
            </w:r>
          </w:p>
          <w:p w14:paraId="31C46065">
            <w:pPr>
              <w:spacing w:line="260" w:lineRule="exact"/>
              <w:rPr>
                <w:color w:val="000000"/>
                <w:sz w:val="18"/>
                <w:szCs w:val="18"/>
              </w:rPr>
            </w:pPr>
            <w:r>
              <w:rPr>
                <w:rFonts w:hint="eastAsia"/>
                <w:color w:val="000000"/>
                <w:sz w:val="18"/>
                <w:szCs w:val="18"/>
              </w:rPr>
              <w:t>（2）系统中关键数据录入不准确，出现缺失或错误，每次扣0.5分；</w:t>
            </w:r>
          </w:p>
          <w:p w14:paraId="4CDFBCE4">
            <w:pPr>
              <w:spacing w:line="260" w:lineRule="exact"/>
              <w:rPr>
                <w:rFonts w:ascii="宋体" w:hAnsi="宋体" w:cs="宋体"/>
                <w:sz w:val="18"/>
              </w:rPr>
            </w:pPr>
            <w:r>
              <w:rPr>
                <w:rFonts w:hint="eastAsia"/>
                <w:color w:val="000000"/>
                <w:sz w:val="18"/>
                <w:szCs w:val="18"/>
              </w:rPr>
              <w:t>（3）</w:t>
            </w:r>
            <w:r>
              <w:rPr>
                <w:rFonts w:hint="eastAsia" w:ascii="宋体" w:hAnsi="宋体" w:cs="宋体"/>
                <w:sz w:val="18"/>
              </w:rPr>
              <w:t>未编制施工月报或无实质性内容、未及时上报，每次扣0.5分。</w:t>
            </w:r>
          </w:p>
        </w:tc>
        <w:tc>
          <w:tcPr>
            <w:tcW w:w="1117" w:type="dxa"/>
            <w:tcMar>
              <w:left w:w="28" w:type="dxa"/>
              <w:right w:w="28" w:type="dxa"/>
            </w:tcMar>
            <w:vAlign w:val="center"/>
          </w:tcPr>
          <w:p w14:paraId="34BDFD63">
            <w:pPr>
              <w:spacing w:line="260" w:lineRule="exact"/>
              <w:rPr>
                <w:rFonts w:ascii="宋体" w:hAnsi="宋体" w:cs="宋体"/>
                <w:sz w:val="18"/>
              </w:rPr>
            </w:pPr>
          </w:p>
        </w:tc>
        <w:tc>
          <w:tcPr>
            <w:tcW w:w="1020" w:type="dxa"/>
            <w:tcMar>
              <w:left w:w="28" w:type="dxa"/>
              <w:right w:w="28" w:type="dxa"/>
            </w:tcMar>
            <w:vAlign w:val="center"/>
          </w:tcPr>
          <w:p w14:paraId="14DE4D19">
            <w:pPr>
              <w:spacing w:line="260" w:lineRule="exact"/>
              <w:rPr>
                <w:rFonts w:ascii="宋体" w:hAnsi="宋体" w:cs="宋体"/>
                <w:sz w:val="18"/>
              </w:rPr>
            </w:pPr>
          </w:p>
        </w:tc>
      </w:tr>
      <w:tr w14:paraId="2E9C88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36FA3753">
            <w:pPr>
              <w:spacing w:line="260" w:lineRule="exact"/>
              <w:jc w:val="center"/>
              <w:rPr>
                <w:rFonts w:ascii="宋体" w:hAnsi="宋体" w:cs="宋体"/>
                <w:b/>
                <w:bCs/>
                <w:sz w:val="18"/>
              </w:rPr>
            </w:pPr>
            <w:r>
              <w:rPr>
                <w:rFonts w:hint="eastAsia" w:ascii="宋体" w:hAnsi="宋体" w:cs="宋体"/>
                <w:b/>
                <w:bCs/>
                <w:sz w:val="18"/>
              </w:rPr>
              <w:t>3.6</w:t>
            </w:r>
          </w:p>
        </w:tc>
        <w:tc>
          <w:tcPr>
            <w:tcW w:w="1976" w:type="dxa"/>
            <w:vMerge w:val="restart"/>
            <w:tcMar>
              <w:left w:w="28" w:type="dxa"/>
              <w:right w:w="28" w:type="dxa"/>
            </w:tcMar>
            <w:vAlign w:val="center"/>
          </w:tcPr>
          <w:p w14:paraId="3EB6BBEE">
            <w:pPr>
              <w:spacing w:line="260" w:lineRule="exact"/>
              <w:rPr>
                <w:rFonts w:ascii="宋体" w:hAnsi="宋体" w:cs="宋体"/>
                <w:b/>
                <w:bCs/>
                <w:sz w:val="18"/>
              </w:rPr>
            </w:pPr>
            <w:r>
              <w:rPr>
                <w:rFonts w:hint="eastAsia" w:ascii="宋体" w:hAnsi="宋体" w:cs="宋体"/>
                <w:b/>
                <w:bCs/>
                <w:sz w:val="18"/>
              </w:rPr>
              <w:t>档案管理</w:t>
            </w:r>
          </w:p>
        </w:tc>
        <w:tc>
          <w:tcPr>
            <w:tcW w:w="951" w:type="dxa"/>
            <w:vMerge w:val="restart"/>
            <w:tcMar>
              <w:left w:w="28" w:type="dxa"/>
              <w:right w:w="28" w:type="dxa"/>
            </w:tcMar>
            <w:vAlign w:val="center"/>
          </w:tcPr>
          <w:p w14:paraId="5DBA60F7">
            <w:pPr>
              <w:spacing w:line="260" w:lineRule="exact"/>
              <w:jc w:val="center"/>
              <w:rPr>
                <w:rFonts w:ascii="宋体" w:hAnsi="宋体" w:cs="宋体"/>
                <w:sz w:val="18"/>
              </w:rPr>
            </w:pPr>
            <w:r>
              <w:rPr>
                <w:rFonts w:hint="eastAsia" w:ascii="宋体" w:hAnsi="宋体" w:cs="宋体"/>
                <w:sz w:val="18"/>
              </w:rPr>
              <w:t>2</w:t>
            </w: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7A814D64">
            <w:pPr>
              <w:spacing w:line="260" w:lineRule="exact"/>
              <w:rPr>
                <w:rFonts w:ascii="宋体" w:hAnsi="宋体" w:cs="宋体"/>
                <w:sz w:val="18"/>
              </w:rPr>
            </w:pPr>
            <w:r>
              <w:rPr>
                <w:rFonts w:hint="eastAsia" w:ascii="宋体" w:hAnsi="宋体" w:cs="宋体"/>
                <w:sz w:val="18"/>
              </w:rPr>
              <w:t>施工项目部配置专人负责档案工作，确保工程档案资料分阶段完成，工程档案完整、字体规范、载体合格，移交及时。（2分）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1B355F42">
            <w:pPr>
              <w:pStyle w:val="2"/>
              <w:spacing w:line="260" w:lineRule="exact"/>
              <w:rPr>
                <w:rFonts w:ascii="宋体" w:hAnsi="宋体" w:cs="宋体"/>
              </w:rPr>
            </w:pPr>
            <w:r>
              <w:rPr>
                <w:rFonts w:hint="eastAsia" w:ascii="宋体" w:hAnsi="宋体" w:cs="宋体"/>
              </w:rPr>
              <w:t>（</w:t>
            </w:r>
            <w:r>
              <w:rPr>
                <w:rFonts w:hint="eastAsia" w:ascii="宋体" w:hAnsi="宋体" w:cs="宋体"/>
                <w:lang w:val="en-US"/>
              </w:rPr>
              <w:t>1</w:t>
            </w:r>
            <w:r>
              <w:rPr>
                <w:rFonts w:hint="eastAsia" w:ascii="宋体" w:hAnsi="宋体" w:cs="宋体"/>
              </w:rPr>
              <w:t>）</w:t>
            </w:r>
            <w:r>
              <w:rPr>
                <w:rFonts w:hint="eastAsia" w:ascii="宋体" w:hAnsi="宋体" w:cs="宋体"/>
                <w:lang w:val="en-US"/>
              </w:rPr>
              <w:t>档案管理人员未经业主项目部批准更换，扣1分；</w:t>
            </w:r>
            <w:r>
              <w:rPr>
                <w:rFonts w:ascii="宋体" w:hAnsi="宋体" w:cs="宋体"/>
              </w:rPr>
              <w:t>未按要求分阶段开展并完成档案整理，每超出10天，扣1分</w:t>
            </w:r>
            <w:r>
              <w:rPr>
                <w:rFonts w:hint="eastAsia" w:ascii="宋体" w:hAnsi="宋体" w:cs="宋体"/>
              </w:rPr>
              <w:t>；</w:t>
            </w:r>
          </w:p>
          <w:p w14:paraId="1AD244BD">
            <w:pPr>
              <w:pStyle w:val="2"/>
              <w:spacing w:line="260" w:lineRule="exact"/>
              <w:rPr>
                <w:rFonts w:ascii="宋体" w:hAnsi="宋体" w:cs="宋体"/>
              </w:rPr>
            </w:pPr>
            <w:r>
              <w:rPr>
                <w:rFonts w:hint="eastAsia" w:ascii="宋体" w:hAnsi="宋体" w:cs="宋体"/>
              </w:rPr>
              <w:t>（</w:t>
            </w:r>
            <w:r>
              <w:rPr>
                <w:rFonts w:hint="eastAsia" w:ascii="宋体" w:hAnsi="宋体" w:cs="宋体"/>
                <w:lang w:val="en-US"/>
              </w:rPr>
              <w:t>2</w:t>
            </w:r>
            <w:r>
              <w:rPr>
                <w:rFonts w:hint="eastAsia" w:ascii="宋体" w:hAnsi="宋体" w:cs="宋体"/>
              </w:rPr>
              <w:t>）</w:t>
            </w:r>
            <w:r>
              <w:rPr>
                <w:rFonts w:hint="eastAsia" w:ascii="宋体" w:hAnsi="宋体" w:cs="宋体"/>
                <w:lang w:val="en-US"/>
              </w:rPr>
              <w:t>质量监督前档案不全扣1分；</w:t>
            </w:r>
            <w:r>
              <w:rPr>
                <w:rFonts w:ascii="宋体" w:hAnsi="宋体" w:cs="宋体"/>
              </w:rPr>
              <w:t>资料质量（包括纸质及数字化电子文件）不完整、不符合规范要求，每份文件扣0.</w:t>
            </w:r>
            <w:r>
              <w:rPr>
                <w:rFonts w:hint="eastAsia" w:ascii="宋体" w:hAnsi="宋体" w:cs="宋体"/>
                <w:lang w:val="en-US"/>
              </w:rPr>
              <w:t>5</w:t>
            </w:r>
            <w:r>
              <w:rPr>
                <w:rFonts w:ascii="宋体" w:hAnsi="宋体" w:cs="宋体"/>
              </w:rPr>
              <w:t>分</w:t>
            </w:r>
            <w:r>
              <w:rPr>
                <w:rFonts w:hint="eastAsia" w:ascii="宋体" w:hAnsi="宋体" w:cs="宋体"/>
              </w:rPr>
              <w:t>；</w:t>
            </w:r>
          </w:p>
          <w:p w14:paraId="6E7ACD9E">
            <w:pPr>
              <w:pStyle w:val="2"/>
              <w:spacing w:line="260" w:lineRule="exact"/>
              <w:rPr>
                <w:rFonts w:ascii="宋体" w:hAnsi="宋体" w:cs="宋体"/>
              </w:rPr>
            </w:pPr>
            <w:r>
              <w:rPr>
                <w:rFonts w:hint="eastAsia" w:ascii="宋体" w:hAnsi="宋体" w:cs="宋体"/>
              </w:rPr>
              <w:t>（</w:t>
            </w:r>
            <w:r>
              <w:rPr>
                <w:rFonts w:hint="eastAsia" w:ascii="宋体" w:hAnsi="宋体" w:cs="宋体"/>
                <w:lang w:val="en-US"/>
              </w:rPr>
              <w:t>3</w:t>
            </w:r>
            <w:r>
              <w:rPr>
                <w:rFonts w:hint="eastAsia" w:ascii="宋体" w:hAnsi="宋体" w:cs="宋体"/>
              </w:rPr>
              <w:t>）</w:t>
            </w:r>
            <w:r>
              <w:rPr>
                <w:rFonts w:ascii="宋体" w:hAnsi="宋体" w:cs="宋体"/>
              </w:rPr>
              <w:t>因自身原因，导致归档文件进行修改，每份文件扣0.</w:t>
            </w:r>
            <w:r>
              <w:rPr>
                <w:rFonts w:hint="eastAsia" w:ascii="宋体" w:hAnsi="宋体" w:cs="宋体"/>
                <w:lang w:val="en-US"/>
              </w:rPr>
              <w:t>5</w:t>
            </w:r>
            <w:r>
              <w:rPr>
                <w:rFonts w:ascii="宋体" w:hAnsi="宋体" w:cs="宋体"/>
              </w:rPr>
              <w:t>分。</w:t>
            </w:r>
          </w:p>
        </w:tc>
        <w:tc>
          <w:tcPr>
            <w:tcW w:w="1117" w:type="dxa"/>
            <w:tcMar>
              <w:left w:w="28" w:type="dxa"/>
              <w:right w:w="28" w:type="dxa"/>
            </w:tcMar>
            <w:vAlign w:val="center"/>
          </w:tcPr>
          <w:p w14:paraId="7E426E42">
            <w:pPr>
              <w:spacing w:line="260" w:lineRule="exact"/>
              <w:rPr>
                <w:rFonts w:ascii="宋体" w:hAnsi="宋体" w:cs="宋体"/>
                <w:sz w:val="18"/>
              </w:rPr>
            </w:pPr>
          </w:p>
        </w:tc>
        <w:tc>
          <w:tcPr>
            <w:tcW w:w="1020" w:type="dxa"/>
            <w:tcMar>
              <w:left w:w="28" w:type="dxa"/>
              <w:right w:w="28" w:type="dxa"/>
            </w:tcMar>
            <w:vAlign w:val="center"/>
          </w:tcPr>
          <w:p w14:paraId="5009334E">
            <w:pPr>
              <w:spacing w:line="260" w:lineRule="exact"/>
              <w:rPr>
                <w:rFonts w:ascii="宋体" w:hAnsi="宋体" w:cs="宋体"/>
                <w:sz w:val="18"/>
              </w:rPr>
            </w:pPr>
          </w:p>
        </w:tc>
      </w:tr>
      <w:tr w14:paraId="2AD8FA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Mar>
              <w:left w:w="28" w:type="dxa"/>
              <w:right w:w="28" w:type="dxa"/>
            </w:tcMar>
            <w:vAlign w:val="center"/>
          </w:tcPr>
          <w:p w14:paraId="11FB3537">
            <w:pPr>
              <w:spacing w:line="260" w:lineRule="exact"/>
              <w:jc w:val="center"/>
              <w:rPr>
                <w:rFonts w:ascii="宋体" w:hAnsi="宋体" w:cs="宋体"/>
                <w:sz w:val="18"/>
              </w:rPr>
            </w:pPr>
          </w:p>
        </w:tc>
        <w:tc>
          <w:tcPr>
            <w:tcW w:w="1976" w:type="dxa"/>
            <w:vMerge w:val="continue"/>
            <w:tcMar>
              <w:left w:w="28" w:type="dxa"/>
              <w:right w:w="28" w:type="dxa"/>
            </w:tcMar>
            <w:vAlign w:val="center"/>
          </w:tcPr>
          <w:p w14:paraId="6A9E5809">
            <w:pPr>
              <w:spacing w:line="260" w:lineRule="exact"/>
              <w:rPr>
                <w:rFonts w:ascii="宋体" w:hAnsi="宋体" w:cs="宋体"/>
                <w:sz w:val="18"/>
              </w:rPr>
            </w:pPr>
          </w:p>
        </w:tc>
        <w:tc>
          <w:tcPr>
            <w:tcW w:w="951" w:type="dxa"/>
            <w:vMerge w:val="continue"/>
            <w:tcMar>
              <w:left w:w="28" w:type="dxa"/>
              <w:right w:w="28" w:type="dxa"/>
            </w:tcMar>
            <w:vAlign w:val="center"/>
          </w:tcPr>
          <w:p w14:paraId="524B9E86">
            <w:pPr>
              <w:spacing w:line="260" w:lineRule="exact"/>
              <w:jc w:val="center"/>
              <w:rPr>
                <w:rFonts w:ascii="宋体" w:hAnsi="宋体" w:cs="宋体"/>
                <w:sz w:val="18"/>
              </w:rPr>
            </w:pP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7C7581DE">
            <w:pPr>
              <w:spacing w:line="260" w:lineRule="exact"/>
              <w:rPr>
                <w:rFonts w:ascii="宋体" w:hAnsi="宋体" w:cs="宋体"/>
                <w:sz w:val="18"/>
              </w:rPr>
            </w:pPr>
            <w:r>
              <w:rPr>
                <w:rFonts w:hint="eastAsia" w:ascii="宋体" w:hAnsi="宋体" w:cs="宋体"/>
                <w:sz w:val="18"/>
              </w:rPr>
              <w:t>按照公司管理制度，采集、管理施工过程安全、质量控制数码照片。按照每周拍摄工程单位工程、分部工程、分项工程照片，照片分总体、局部、细节照片，照片质量必须符合要求，按要求提交安全质量亮点照片数量齐全。（1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411F92EF">
            <w:pPr>
              <w:spacing w:line="260" w:lineRule="exact"/>
              <w:rPr>
                <w:rFonts w:ascii="宋体" w:hAnsi="宋体" w:cs="宋体"/>
                <w:sz w:val="18"/>
              </w:rPr>
            </w:pPr>
            <w:r>
              <w:rPr>
                <w:rFonts w:hint="eastAsia" w:ascii="宋体" w:hAnsi="宋体" w:cs="宋体"/>
                <w:sz w:val="18"/>
              </w:rPr>
              <w:t>（1）有弄虚作假问题，每张扣0.5分；</w:t>
            </w:r>
          </w:p>
          <w:p w14:paraId="47DE8147">
            <w:pPr>
              <w:spacing w:line="260" w:lineRule="exact"/>
              <w:rPr>
                <w:rFonts w:ascii="宋体" w:hAnsi="宋体" w:cs="宋体"/>
                <w:sz w:val="18"/>
              </w:rPr>
            </w:pPr>
            <w:r>
              <w:rPr>
                <w:rFonts w:hint="eastAsia" w:ascii="宋体" w:hAnsi="宋体" w:cs="宋体"/>
                <w:sz w:val="18"/>
              </w:rPr>
              <w:t>（2）缺项、主题不明确、数量不足、未按要求分类整理、不规范或不满足要求，每张扣0.1分；</w:t>
            </w:r>
          </w:p>
          <w:p w14:paraId="5B5D2F04">
            <w:pPr>
              <w:spacing w:line="260" w:lineRule="exact"/>
              <w:rPr>
                <w:rFonts w:ascii="宋体" w:hAnsi="宋体" w:cs="宋体"/>
                <w:sz w:val="18"/>
              </w:rPr>
            </w:pPr>
            <w:r>
              <w:rPr>
                <w:rFonts w:hint="eastAsia" w:ascii="宋体" w:hAnsi="宋体" w:cs="宋体"/>
                <w:sz w:val="18"/>
              </w:rPr>
              <w:t>（3）未按要求整理、移交，扣0.5分。</w:t>
            </w:r>
          </w:p>
        </w:tc>
        <w:tc>
          <w:tcPr>
            <w:tcW w:w="1117" w:type="dxa"/>
            <w:tcMar>
              <w:left w:w="28" w:type="dxa"/>
              <w:right w:w="28" w:type="dxa"/>
            </w:tcMar>
            <w:vAlign w:val="center"/>
          </w:tcPr>
          <w:p w14:paraId="1D55D7E1">
            <w:pPr>
              <w:spacing w:line="260" w:lineRule="exact"/>
              <w:rPr>
                <w:rFonts w:ascii="宋体" w:hAnsi="宋体" w:cs="宋体"/>
                <w:sz w:val="18"/>
              </w:rPr>
            </w:pPr>
          </w:p>
        </w:tc>
        <w:tc>
          <w:tcPr>
            <w:tcW w:w="1020" w:type="dxa"/>
            <w:tcMar>
              <w:left w:w="28" w:type="dxa"/>
              <w:right w:w="28" w:type="dxa"/>
            </w:tcMar>
            <w:vAlign w:val="center"/>
          </w:tcPr>
          <w:p w14:paraId="06FCD1F4">
            <w:pPr>
              <w:spacing w:line="260" w:lineRule="exact"/>
              <w:rPr>
                <w:rFonts w:ascii="宋体" w:hAnsi="宋体" w:cs="宋体"/>
                <w:sz w:val="18"/>
              </w:rPr>
            </w:pPr>
          </w:p>
        </w:tc>
      </w:tr>
      <w:tr w14:paraId="616D97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45" w:hRule="atLeast"/>
          <w:jc w:val="center"/>
        </w:trPr>
        <w:tc>
          <w:tcPr>
            <w:tcW w:w="547" w:type="dxa"/>
            <w:shd w:val="clear" w:color="auto" w:fill="BFBFBF"/>
            <w:tcMar>
              <w:left w:w="28" w:type="dxa"/>
              <w:right w:w="28" w:type="dxa"/>
            </w:tcMar>
            <w:vAlign w:val="center"/>
          </w:tcPr>
          <w:p w14:paraId="2BE44276">
            <w:pPr>
              <w:spacing w:line="260" w:lineRule="exact"/>
              <w:jc w:val="center"/>
              <w:rPr>
                <w:rFonts w:ascii="宋体" w:hAnsi="宋体" w:cs="宋体"/>
                <w:b/>
                <w:sz w:val="18"/>
              </w:rPr>
            </w:pPr>
            <w:r>
              <w:rPr>
                <w:rFonts w:hint="eastAsia" w:ascii="宋体" w:hAnsi="宋体" w:cs="宋体"/>
                <w:b/>
                <w:sz w:val="18"/>
              </w:rPr>
              <w:t>4</w:t>
            </w:r>
          </w:p>
        </w:tc>
        <w:tc>
          <w:tcPr>
            <w:tcW w:w="12302" w:type="dxa"/>
            <w:gridSpan w:val="6"/>
            <w:shd w:val="clear" w:color="auto" w:fill="BFBFBF"/>
            <w:tcMar>
              <w:left w:w="28" w:type="dxa"/>
              <w:right w:w="28" w:type="dxa"/>
            </w:tcMar>
            <w:vAlign w:val="center"/>
          </w:tcPr>
          <w:p w14:paraId="773DD853">
            <w:pPr>
              <w:spacing w:line="260" w:lineRule="exact"/>
              <w:rPr>
                <w:rFonts w:ascii="宋体" w:hAnsi="宋体" w:cs="宋体"/>
                <w:b/>
                <w:sz w:val="18"/>
              </w:rPr>
            </w:pPr>
            <w:r>
              <w:rPr>
                <w:rFonts w:hint="eastAsia" w:ascii="宋体" w:hAnsi="宋体" w:cs="宋体"/>
                <w:b/>
                <w:sz w:val="18"/>
              </w:rPr>
              <w:t>安全管理（22分）</w:t>
            </w:r>
          </w:p>
        </w:tc>
      </w:tr>
      <w:tr w14:paraId="382D93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shd w:val="clear" w:color="auto" w:fill="FFFFFF"/>
            <w:tcMar>
              <w:left w:w="28" w:type="dxa"/>
              <w:right w:w="28" w:type="dxa"/>
            </w:tcMar>
            <w:vAlign w:val="center"/>
          </w:tcPr>
          <w:p w14:paraId="0D61FBAC">
            <w:pPr>
              <w:spacing w:line="260" w:lineRule="exact"/>
              <w:jc w:val="center"/>
              <w:rPr>
                <w:b/>
                <w:bCs/>
              </w:rPr>
            </w:pPr>
            <w:r>
              <w:rPr>
                <w:rFonts w:hint="eastAsia" w:ascii="宋体" w:hAnsi="宋体" w:cs="宋体"/>
                <w:b/>
                <w:bCs/>
                <w:sz w:val="18"/>
              </w:rPr>
              <w:t>4.1</w:t>
            </w:r>
          </w:p>
        </w:tc>
        <w:tc>
          <w:tcPr>
            <w:tcW w:w="1976" w:type="dxa"/>
            <w:shd w:val="clear" w:color="auto" w:fill="FFFFFF"/>
            <w:tcMar>
              <w:left w:w="28" w:type="dxa"/>
              <w:right w:w="28" w:type="dxa"/>
            </w:tcMar>
            <w:vAlign w:val="center"/>
          </w:tcPr>
          <w:p w14:paraId="7D1C618C">
            <w:pPr>
              <w:spacing w:line="260" w:lineRule="exact"/>
              <w:ind w:right="53"/>
              <w:jc w:val="left"/>
              <w:rPr>
                <w:b/>
                <w:bCs/>
                <w:color w:val="000000"/>
                <w:sz w:val="18"/>
                <w:szCs w:val="18"/>
              </w:rPr>
            </w:pPr>
            <w:r>
              <w:rPr>
                <w:rFonts w:hint="eastAsia" w:ascii="宋体" w:hAnsi="宋体" w:cs="宋体"/>
                <w:b/>
                <w:bCs/>
                <w:sz w:val="18"/>
              </w:rPr>
              <w:t>安全风险管理</w:t>
            </w:r>
          </w:p>
        </w:tc>
        <w:tc>
          <w:tcPr>
            <w:tcW w:w="951" w:type="dxa"/>
            <w:shd w:val="clear" w:color="auto" w:fill="FFFFFF"/>
            <w:tcMar>
              <w:left w:w="28" w:type="dxa"/>
              <w:right w:w="28" w:type="dxa"/>
            </w:tcMar>
            <w:vAlign w:val="center"/>
          </w:tcPr>
          <w:p w14:paraId="403745F6">
            <w:pPr>
              <w:spacing w:line="260" w:lineRule="exact"/>
              <w:jc w:val="center"/>
              <w:rPr>
                <w:color w:val="000000"/>
                <w:sz w:val="18"/>
                <w:szCs w:val="18"/>
              </w:rPr>
            </w:pPr>
            <w:r>
              <w:rPr>
                <w:rFonts w:hint="eastAsia" w:ascii="宋体" w:hAnsi="宋体" w:cs="宋体"/>
                <w:sz w:val="18"/>
              </w:rPr>
              <w:t>2</w:t>
            </w:r>
          </w:p>
        </w:tc>
        <w:tc>
          <w:tcPr>
            <w:tcW w:w="3348" w:type="dxa"/>
            <w:shd w:val="clear" w:color="auto" w:fill="FFFFFF"/>
            <w:tcMar>
              <w:left w:w="28" w:type="dxa"/>
              <w:right w:w="28" w:type="dxa"/>
            </w:tcMar>
          </w:tcPr>
          <w:p w14:paraId="634A55BA">
            <w:pPr>
              <w:rPr>
                <w:color w:val="000000"/>
                <w:sz w:val="18"/>
                <w:szCs w:val="18"/>
              </w:rPr>
            </w:pPr>
            <w:r>
              <w:rPr>
                <w:rFonts w:hint="eastAsia" w:ascii="宋体" w:hAnsi="宋体" w:cs="宋体"/>
                <w:sz w:val="18"/>
              </w:rPr>
              <w:t>开展施工风险识别、评估，制定风险评估措施并在施工中落实。对现场作业风险进行复测，加强重点工序及作业内容的管控，按要求做好安全监护及到岗履职。</w:t>
            </w:r>
            <w:r>
              <w:rPr>
                <w:rFonts w:hint="eastAsia"/>
                <w:color w:val="000000"/>
                <w:sz w:val="18"/>
                <w:szCs w:val="18"/>
              </w:rPr>
              <w:t>（2分）</w:t>
            </w:r>
          </w:p>
        </w:tc>
        <w:tc>
          <w:tcPr>
            <w:tcW w:w="3890" w:type="dxa"/>
            <w:shd w:val="clear" w:color="auto" w:fill="FFFFFF"/>
            <w:tcMar>
              <w:left w:w="28" w:type="dxa"/>
              <w:right w:w="28" w:type="dxa"/>
            </w:tcMar>
          </w:tcPr>
          <w:p w14:paraId="778C2299">
            <w:pPr>
              <w:spacing w:line="260" w:lineRule="exact"/>
              <w:rPr>
                <w:rFonts w:ascii="宋体" w:hAnsi="宋体" w:cs="宋体"/>
                <w:sz w:val="18"/>
              </w:rPr>
            </w:pPr>
            <w:r>
              <w:rPr>
                <w:rFonts w:hint="eastAsia" w:ascii="宋体" w:hAnsi="宋体" w:cs="宋体"/>
                <w:sz w:val="18"/>
              </w:rPr>
              <w:t>（1）未按规定开展相关工作，每项扣1分；</w:t>
            </w:r>
          </w:p>
          <w:p w14:paraId="3C2C4714">
            <w:pPr>
              <w:spacing w:line="260" w:lineRule="exact"/>
              <w:rPr>
                <w:color w:val="000000"/>
                <w:sz w:val="18"/>
                <w:szCs w:val="18"/>
              </w:rPr>
            </w:pPr>
            <w:r>
              <w:rPr>
                <w:rFonts w:hint="eastAsia" w:ascii="宋体" w:hAnsi="宋体" w:cs="宋体"/>
                <w:sz w:val="18"/>
              </w:rPr>
              <w:t>（2）工作开展不规范或不符合要求，每项扣0.5分。</w:t>
            </w:r>
          </w:p>
        </w:tc>
        <w:tc>
          <w:tcPr>
            <w:tcW w:w="1117" w:type="dxa"/>
            <w:shd w:val="clear" w:color="auto" w:fill="FFFFFF"/>
            <w:tcMar>
              <w:left w:w="28" w:type="dxa"/>
              <w:right w:w="28" w:type="dxa"/>
            </w:tcMar>
            <w:vAlign w:val="center"/>
          </w:tcPr>
          <w:p w14:paraId="7D99D46A">
            <w:pPr>
              <w:jc w:val="center"/>
              <w:rPr>
                <w:rFonts w:ascii="宋体" w:hAnsi="宋体" w:cs="宋体"/>
                <w:b/>
                <w:sz w:val="18"/>
              </w:rPr>
            </w:pPr>
          </w:p>
        </w:tc>
        <w:tc>
          <w:tcPr>
            <w:tcW w:w="1020" w:type="dxa"/>
            <w:shd w:val="clear" w:color="auto" w:fill="FFFFFF"/>
            <w:tcMar>
              <w:left w:w="28" w:type="dxa"/>
              <w:right w:w="28" w:type="dxa"/>
            </w:tcMar>
            <w:vAlign w:val="center"/>
          </w:tcPr>
          <w:p w14:paraId="6D4C13AF">
            <w:pPr>
              <w:jc w:val="center"/>
              <w:rPr>
                <w:rFonts w:ascii="宋体" w:hAnsi="宋体" w:cs="宋体"/>
                <w:b/>
                <w:sz w:val="18"/>
              </w:rPr>
            </w:pPr>
          </w:p>
        </w:tc>
      </w:tr>
      <w:tr w14:paraId="5B7E40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shd w:val="clear" w:color="auto" w:fill="FFFFFF"/>
            <w:tcMar>
              <w:left w:w="28" w:type="dxa"/>
              <w:right w:w="28" w:type="dxa"/>
            </w:tcMar>
            <w:vAlign w:val="center"/>
          </w:tcPr>
          <w:p w14:paraId="3012BEB6">
            <w:pPr>
              <w:spacing w:line="260" w:lineRule="exact"/>
              <w:jc w:val="center"/>
              <w:rPr>
                <w:b/>
                <w:bCs/>
              </w:rPr>
            </w:pPr>
            <w:r>
              <w:rPr>
                <w:rFonts w:hint="eastAsia" w:ascii="宋体" w:hAnsi="宋体" w:cs="宋体"/>
                <w:b/>
                <w:bCs/>
                <w:sz w:val="18"/>
              </w:rPr>
              <w:t>4.2</w:t>
            </w:r>
          </w:p>
        </w:tc>
        <w:tc>
          <w:tcPr>
            <w:tcW w:w="1976" w:type="dxa"/>
            <w:shd w:val="clear" w:color="auto" w:fill="FFFFFF"/>
            <w:tcMar>
              <w:left w:w="28" w:type="dxa"/>
              <w:right w:w="28" w:type="dxa"/>
            </w:tcMar>
            <w:vAlign w:val="center"/>
          </w:tcPr>
          <w:p w14:paraId="31EFBF93">
            <w:pPr>
              <w:spacing w:line="260" w:lineRule="exact"/>
              <w:ind w:right="53"/>
              <w:jc w:val="left"/>
              <w:rPr>
                <w:b/>
                <w:bCs/>
                <w:color w:val="000000"/>
                <w:sz w:val="18"/>
                <w:szCs w:val="18"/>
              </w:rPr>
            </w:pPr>
            <w:r>
              <w:rPr>
                <w:rFonts w:hint="eastAsia" w:ascii="宋体" w:hAnsi="宋体" w:cs="宋体"/>
                <w:b/>
                <w:bCs/>
                <w:sz w:val="18"/>
              </w:rPr>
              <w:t>隐患排查治理</w:t>
            </w:r>
          </w:p>
        </w:tc>
        <w:tc>
          <w:tcPr>
            <w:tcW w:w="951" w:type="dxa"/>
            <w:shd w:val="clear" w:color="auto" w:fill="FFFFFF"/>
            <w:tcMar>
              <w:left w:w="28" w:type="dxa"/>
              <w:right w:w="28" w:type="dxa"/>
            </w:tcMar>
            <w:vAlign w:val="center"/>
          </w:tcPr>
          <w:p w14:paraId="53A129AD">
            <w:pPr>
              <w:spacing w:line="260" w:lineRule="exact"/>
              <w:jc w:val="center"/>
              <w:rPr>
                <w:color w:val="000000"/>
                <w:sz w:val="18"/>
                <w:szCs w:val="18"/>
              </w:rPr>
            </w:pPr>
            <w:r>
              <w:rPr>
                <w:rFonts w:hint="eastAsia" w:ascii="宋体" w:hAnsi="宋体" w:cs="宋体"/>
                <w:sz w:val="18"/>
              </w:rPr>
              <w:t>2</w:t>
            </w:r>
          </w:p>
        </w:tc>
        <w:tc>
          <w:tcPr>
            <w:tcW w:w="3348" w:type="dxa"/>
            <w:shd w:val="clear" w:color="auto" w:fill="FFFFFF"/>
            <w:tcMar>
              <w:left w:w="28" w:type="dxa"/>
              <w:right w:w="28" w:type="dxa"/>
            </w:tcMar>
            <w:vAlign w:val="center"/>
          </w:tcPr>
          <w:p w14:paraId="1B98FDC8">
            <w:pPr>
              <w:spacing w:line="260" w:lineRule="exact"/>
              <w:rPr>
                <w:rFonts w:ascii="宋体" w:hAnsi="宋体" w:cs="宋体"/>
                <w:sz w:val="18"/>
              </w:rPr>
            </w:pPr>
            <w:r>
              <w:rPr>
                <w:rFonts w:hint="eastAsia" w:ascii="宋体" w:hAnsi="宋体" w:cs="宋体"/>
                <w:sz w:val="18"/>
              </w:rPr>
              <w:t>定期组织隐患排查评估、定级和治理。（2分）</w:t>
            </w:r>
          </w:p>
        </w:tc>
        <w:tc>
          <w:tcPr>
            <w:tcW w:w="3890" w:type="dxa"/>
            <w:shd w:val="clear" w:color="auto" w:fill="FFFFFF"/>
            <w:tcMar>
              <w:left w:w="28" w:type="dxa"/>
              <w:right w:w="28" w:type="dxa"/>
            </w:tcMar>
          </w:tcPr>
          <w:p w14:paraId="4A77FD5E">
            <w:pPr>
              <w:spacing w:line="260" w:lineRule="exact"/>
              <w:rPr>
                <w:rFonts w:ascii="宋体" w:hAnsi="宋体" w:cs="宋体"/>
                <w:sz w:val="18"/>
              </w:rPr>
            </w:pPr>
            <w:r>
              <w:rPr>
                <w:rFonts w:hint="eastAsia" w:ascii="宋体" w:hAnsi="宋体" w:cs="宋体"/>
                <w:sz w:val="18"/>
              </w:rPr>
              <w:t>（1）未及时开展隐患排查评估、定级，每次扣0.5分；</w:t>
            </w:r>
          </w:p>
          <w:p w14:paraId="4565DD23">
            <w:pPr>
              <w:spacing w:line="260" w:lineRule="exact"/>
              <w:rPr>
                <w:rFonts w:ascii="宋体" w:hAnsi="宋体" w:cs="宋体"/>
                <w:sz w:val="18"/>
              </w:rPr>
            </w:pPr>
            <w:r>
              <w:rPr>
                <w:rFonts w:hint="eastAsia" w:ascii="宋体" w:hAnsi="宋体" w:cs="宋体"/>
                <w:sz w:val="18"/>
              </w:rPr>
              <w:t>（2）隐患评估定级未及时上报审核，每次扣0.5分；</w:t>
            </w:r>
          </w:p>
          <w:p w14:paraId="40FDA133">
            <w:pPr>
              <w:spacing w:line="260" w:lineRule="exact"/>
              <w:rPr>
                <w:rFonts w:ascii="宋体" w:hAnsi="宋体" w:cs="宋体"/>
                <w:sz w:val="18"/>
              </w:rPr>
            </w:pPr>
            <w:r>
              <w:rPr>
                <w:rFonts w:hint="eastAsia" w:ascii="宋体" w:hAnsi="宋体" w:cs="宋体"/>
                <w:sz w:val="18"/>
              </w:rPr>
              <w:t>（3）针对排查出的隐患，未制定整改措施，或整改措施不到位，每次扣0.5分。</w:t>
            </w:r>
          </w:p>
        </w:tc>
        <w:tc>
          <w:tcPr>
            <w:tcW w:w="1117" w:type="dxa"/>
            <w:shd w:val="clear" w:color="auto" w:fill="FFFFFF"/>
            <w:tcMar>
              <w:left w:w="28" w:type="dxa"/>
              <w:right w:w="28" w:type="dxa"/>
            </w:tcMar>
            <w:vAlign w:val="center"/>
          </w:tcPr>
          <w:p w14:paraId="6B7BA7C9">
            <w:pPr>
              <w:jc w:val="center"/>
              <w:rPr>
                <w:rFonts w:ascii="宋体" w:hAnsi="宋体" w:cs="宋体"/>
                <w:b/>
                <w:sz w:val="18"/>
              </w:rPr>
            </w:pPr>
          </w:p>
        </w:tc>
        <w:tc>
          <w:tcPr>
            <w:tcW w:w="1020" w:type="dxa"/>
            <w:shd w:val="clear" w:color="auto" w:fill="FFFFFF"/>
            <w:tcMar>
              <w:left w:w="28" w:type="dxa"/>
              <w:right w:w="28" w:type="dxa"/>
            </w:tcMar>
            <w:vAlign w:val="center"/>
          </w:tcPr>
          <w:p w14:paraId="11F1A64F">
            <w:pPr>
              <w:jc w:val="center"/>
              <w:rPr>
                <w:rFonts w:ascii="宋体" w:hAnsi="宋体" w:cs="宋体"/>
                <w:b/>
                <w:sz w:val="18"/>
              </w:rPr>
            </w:pPr>
          </w:p>
        </w:tc>
      </w:tr>
      <w:tr w14:paraId="7E538FED">
        <w:tblPrEx>
          <w:tblCellMar>
            <w:top w:w="0" w:type="dxa"/>
            <w:left w:w="57" w:type="dxa"/>
            <w:bottom w:w="0" w:type="dxa"/>
            <w:right w:w="57" w:type="dxa"/>
          </w:tblCellMar>
        </w:tblPrEx>
        <w:trPr>
          <w:jc w:val="center"/>
        </w:trPr>
        <w:tc>
          <w:tcPr>
            <w:tcW w:w="547" w:type="dxa"/>
            <w:vMerge w:val="restart"/>
            <w:shd w:val="clear" w:color="auto" w:fill="FFFFFF"/>
            <w:tcMar>
              <w:left w:w="28" w:type="dxa"/>
              <w:right w:w="28" w:type="dxa"/>
            </w:tcMar>
            <w:vAlign w:val="center"/>
          </w:tcPr>
          <w:p w14:paraId="43D2710B">
            <w:pPr>
              <w:spacing w:line="260" w:lineRule="exact"/>
              <w:jc w:val="center"/>
              <w:rPr>
                <w:b/>
                <w:bCs/>
              </w:rPr>
            </w:pPr>
            <w:r>
              <w:rPr>
                <w:rFonts w:hint="eastAsia" w:ascii="宋体" w:hAnsi="宋体" w:cs="宋体"/>
                <w:b/>
                <w:bCs/>
                <w:sz w:val="18"/>
              </w:rPr>
              <w:t>4.3</w:t>
            </w:r>
          </w:p>
        </w:tc>
        <w:tc>
          <w:tcPr>
            <w:tcW w:w="1976" w:type="dxa"/>
            <w:vMerge w:val="restart"/>
            <w:shd w:val="clear" w:color="auto" w:fill="FFFFFF"/>
            <w:tcMar>
              <w:left w:w="28" w:type="dxa"/>
              <w:right w:w="28" w:type="dxa"/>
            </w:tcMar>
            <w:vAlign w:val="center"/>
          </w:tcPr>
          <w:p w14:paraId="7CBDA229">
            <w:pPr>
              <w:spacing w:line="260" w:lineRule="exact"/>
              <w:ind w:right="53"/>
              <w:jc w:val="left"/>
              <w:rPr>
                <w:b/>
                <w:bCs/>
                <w:color w:val="000000"/>
                <w:sz w:val="18"/>
                <w:szCs w:val="18"/>
              </w:rPr>
            </w:pPr>
            <w:r>
              <w:rPr>
                <w:rFonts w:hint="eastAsia" w:ascii="宋体" w:hAnsi="宋体" w:cs="宋体"/>
                <w:b/>
                <w:bCs/>
                <w:sz w:val="18"/>
              </w:rPr>
              <w:t>安全教育培训</w:t>
            </w:r>
          </w:p>
        </w:tc>
        <w:tc>
          <w:tcPr>
            <w:tcW w:w="951" w:type="dxa"/>
            <w:vMerge w:val="restart"/>
            <w:shd w:val="clear" w:color="auto" w:fill="FFFFFF"/>
            <w:tcMar>
              <w:left w:w="28" w:type="dxa"/>
              <w:right w:w="28" w:type="dxa"/>
            </w:tcMar>
            <w:vAlign w:val="center"/>
          </w:tcPr>
          <w:p w14:paraId="28B9B2B2">
            <w:pPr>
              <w:spacing w:line="260" w:lineRule="exact"/>
              <w:jc w:val="center"/>
              <w:rPr>
                <w:color w:val="000000"/>
                <w:sz w:val="18"/>
                <w:szCs w:val="18"/>
              </w:rPr>
            </w:pPr>
            <w:r>
              <w:rPr>
                <w:rFonts w:hint="eastAsia" w:ascii="宋体" w:hAnsi="宋体" w:cs="宋体"/>
                <w:sz w:val="18"/>
              </w:rPr>
              <w:t>4</w:t>
            </w:r>
          </w:p>
        </w:tc>
        <w:tc>
          <w:tcPr>
            <w:tcW w:w="3348" w:type="dxa"/>
            <w:shd w:val="clear" w:color="auto" w:fill="FFFFFF"/>
            <w:tcMar>
              <w:left w:w="28" w:type="dxa"/>
              <w:right w:w="28" w:type="dxa"/>
            </w:tcMar>
            <w:vAlign w:val="center"/>
          </w:tcPr>
          <w:p w14:paraId="716F7DB1">
            <w:pPr>
              <w:rPr>
                <w:color w:val="000000"/>
                <w:sz w:val="18"/>
                <w:szCs w:val="18"/>
              </w:rPr>
            </w:pPr>
            <w:r>
              <w:rPr>
                <w:rFonts w:hint="eastAsia" w:ascii="宋体" w:hAnsi="宋体" w:cs="宋体"/>
                <w:sz w:val="18"/>
              </w:rPr>
              <w:t>组织全体人员进行安全教育培训，经考试合格上岗。</w:t>
            </w:r>
            <w:r>
              <w:rPr>
                <w:rFonts w:hint="eastAsia"/>
                <w:color w:val="000000"/>
                <w:sz w:val="18"/>
                <w:szCs w:val="18"/>
              </w:rPr>
              <w:t>（2分）</w:t>
            </w:r>
          </w:p>
        </w:tc>
        <w:tc>
          <w:tcPr>
            <w:tcW w:w="3890" w:type="dxa"/>
            <w:shd w:val="clear" w:color="auto" w:fill="FFFFFF"/>
            <w:tcMar>
              <w:left w:w="28" w:type="dxa"/>
              <w:right w:w="28" w:type="dxa"/>
            </w:tcMar>
            <w:vAlign w:val="center"/>
          </w:tcPr>
          <w:p w14:paraId="35307D11">
            <w:pPr>
              <w:spacing w:line="260" w:lineRule="exact"/>
              <w:rPr>
                <w:rFonts w:ascii="宋体" w:hAnsi="宋体" w:cs="宋体"/>
                <w:sz w:val="18"/>
              </w:rPr>
            </w:pPr>
            <w:r>
              <w:rPr>
                <w:rFonts w:hint="eastAsia" w:ascii="宋体" w:hAnsi="宋体" w:cs="宋体"/>
                <w:sz w:val="18"/>
              </w:rPr>
              <w:t>（1）未组织岗前安全培训教育和考试，每人扣1分；</w:t>
            </w:r>
          </w:p>
          <w:p w14:paraId="1012B24D">
            <w:pPr>
              <w:spacing w:line="260" w:lineRule="exact"/>
              <w:rPr>
                <w:rFonts w:ascii="宋体" w:hAnsi="宋体" w:cs="宋体"/>
                <w:sz w:val="18"/>
              </w:rPr>
            </w:pPr>
            <w:r>
              <w:rPr>
                <w:rFonts w:hint="eastAsia" w:ascii="宋体" w:hAnsi="宋体" w:cs="宋体"/>
                <w:sz w:val="18"/>
              </w:rPr>
              <w:t>（2）教育和培训记录存在代考/代签现象的，每人扣0.5分。</w:t>
            </w:r>
          </w:p>
          <w:p w14:paraId="3EFB6018">
            <w:pPr>
              <w:spacing w:line="260" w:lineRule="exact"/>
              <w:rPr>
                <w:color w:val="000000"/>
                <w:sz w:val="18"/>
                <w:szCs w:val="18"/>
              </w:rPr>
            </w:pPr>
            <w:r>
              <w:rPr>
                <w:rFonts w:hint="eastAsia" w:ascii="宋体" w:hAnsi="宋体" w:cs="宋体"/>
                <w:sz w:val="18"/>
              </w:rPr>
              <w:t>（3）考试结果未及时上报监理部，扣0.5分。</w:t>
            </w:r>
          </w:p>
        </w:tc>
        <w:tc>
          <w:tcPr>
            <w:tcW w:w="1117" w:type="dxa"/>
            <w:shd w:val="clear" w:color="auto" w:fill="FFFFFF"/>
            <w:tcMar>
              <w:left w:w="28" w:type="dxa"/>
              <w:right w:w="28" w:type="dxa"/>
            </w:tcMar>
            <w:vAlign w:val="center"/>
          </w:tcPr>
          <w:p w14:paraId="5FB9FD9E">
            <w:pPr>
              <w:jc w:val="center"/>
              <w:rPr>
                <w:rFonts w:ascii="宋体" w:hAnsi="宋体" w:cs="宋体"/>
                <w:b/>
                <w:sz w:val="18"/>
              </w:rPr>
            </w:pPr>
          </w:p>
        </w:tc>
        <w:tc>
          <w:tcPr>
            <w:tcW w:w="1020" w:type="dxa"/>
            <w:shd w:val="clear" w:color="auto" w:fill="FFFFFF"/>
            <w:tcMar>
              <w:left w:w="28" w:type="dxa"/>
              <w:right w:w="28" w:type="dxa"/>
            </w:tcMar>
            <w:vAlign w:val="center"/>
          </w:tcPr>
          <w:p w14:paraId="743D9FFE">
            <w:pPr>
              <w:jc w:val="center"/>
              <w:rPr>
                <w:rFonts w:ascii="宋体" w:hAnsi="宋体" w:cs="宋体"/>
                <w:b/>
                <w:sz w:val="18"/>
              </w:rPr>
            </w:pPr>
          </w:p>
        </w:tc>
      </w:tr>
      <w:tr w14:paraId="59A129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shd w:val="clear" w:color="auto" w:fill="FFFFFF"/>
            <w:tcMar>
              <w:left w:w="28" w:type="dxa"/>
              <w:right w:w="28" w:type="dxa"/>
            </w:tcMar>
            <w:vAlign w:val="center"/>
          </w:tcPr>
          <w:p w14:paraId="5B3434A6">
            <w:pPr>
              <w:spacing w:line="260" w:lineRule="exact"/>
              <w:jc w:val="center"/>
            </w:pPr>
          </w:p>
        </w:tc>
        <w:tc>
          <w:tcPr>
            <w:tcW w:w="1976" w:type="dxa"/>
            <w:vMerge w:val="continue"/>
            <w:shd w:val="clear" w:color="auto" w:fill="FFFFFF"/>
            <w:tcMar>
              <w:left w:w="28" w:type="dxa"/>
              <w:right w:w="28" w:type="dxa"/>
            </w:tcMar>
            <w:vAlign w:val="center"/>
          </w:tcPr>
          <w:p w14:paraId="6813723B">
            <w:pPr>
              <w:spacing w:line="260" w:lineRule="exact"/>
              <w:ind w:right="53"/>
              <w:jc w:val="left"/>
              <w:rPr>
                <w:color w:val="000000"/>
                <w:sz w:val="18"/>
                <w:szCs w:val="18"/>
              </w:rPr>
            </w:pPr>
          </w:p>
        </w:tc>
        <w:tc>
          <w:tcPr>
            <w:tcW w:w="951" w:type="dxa"/>
            <w:vMerge w:val="continue"/>
            <w:shd w:val="clear" w:color="auto" w:fill="FFFFFF"/>
            <w:tcMar>
              <w:left w:w="28" w:type="dxa"/>
              <w:right w:w="28" w:type="dxa"/>
            </w:tcMar>
            <w:vAlign w:val="center"/>
          </w:tcPr>
          <w:p w14:paraId="06CCA63E">
            <w:pPr>
              <w:spacing w:line="260" w:lineRule="exact"/>
              <w:jc w:val="center"/>
              <w:rPr>
                <w:color w:val="000000"/>
                <w:sz w:val="18"/>
                <w:szCs w:val="18"/>
              </w:rPr>
            </w:pPr>
          </w:p>
        </w:tc>
        <w:tc>
          <w:tcPr>
            <w:tcW w:w="3348" w:type="dxa"/>
            <w:shd w:val="clear" w:color="auto" w:fill="FFFFFF"/>
            <w:tcMar>
              <w:left w:w="28" w:type="dxa"/>
              <w:right w:w="28" w:type="dxa"/>
            </w:tcMar>
            <w:vAlign w:val="center"/>
          </w:tcPr>
          <w:p w14:paraId="63CBA76D">
            <w:pPr>
              <w:spacing w:line="260" w:lineRule="exact"/>
              <w:rPr>
                <w:color w:val="000000"/>
                <w:sz w:val="18"/>
                <w:szCs w:val="18"/>
              </w:rPr>
            </w:pPr>
            <w:r>
              <w:rPr>
                <w:rFonts w:hint="eastAsia" w:ascii="宋体" w:hAnsi="宋体" w:cs="宋体"/>
                <w:sz w:val="18"/>
              </w:rPr>
              <w:t>组织全体施工人员进行安全技术交底。</w:t>
            </w:r>
            <w:r>
              <w:rPr>
                <w:rFonts w:hint="eastAsia"/>
                <w:color w:val="000000"/>
                <w:sz w:val="18"/>
                <w:szCs w:val="18"/>
              </w:rPr>
              <w:t>（2分）</w:t>
            </w:r>
          </w:p>
        </w:tc>
        <w:tc>
          <w:tcPr>
            <w:tcW w:w="3890" w:type="dxa"/>
            <w:shd w:val="clear" w:color="auto" w:fill="FFFFFF"/>
            <w:tcMar>
              <w:left w:w="28" w:type="dxa"/>
              <w:right w:w="28" w:type="dxa"/>
            </w:tcMar>
            <w:vAlign w:val="center"/>
          </w:tcPr>
          <w:p w14:paraId="61ADAA9A">
            <w:pPr>
              <w:spacing w:line="260" w:lineRule="exact"/>
              <w:rPr>
                <w:rFonts w:ascii="宋体" w:hAnsi="宋体" w:cs="宋体"/>
                <w:sz w:val="18"/>
              </w:rPr>
            </w:pPr>
            <w:r>
              <w:rPr>
                <w:rFonts w:hint="eastAsia" w:ascii="宋体" w:hAnsi="宋体" w:cs="宋体"/>
                <w:sz w:val="18"/>
              </w:rPr>
              <w:t>（1）未进行全员安全技术交底，每次扣1分；</w:t>
            </w:r>
          </w:p>
          <w:p w14:paraId="1B0EB21C">
            <w:pPr>
              <w:spacing w:line="260" w:lineRule="exact"/>
              <w:rPr>
                <w:rFonts w:ascii="宋体" w:hAnsi="宋体" w:cs="宋体"/>
                <w:sz w:val="18"/>
              </w:rPr>
            </w:pPr>
            <w:r>
              <w:rPr>
                <w:rFonts w:hint="eastAsia" w:ascii="宋体" w:hAnsi="宋体" w:cs="宋体"/>
                <w:sz w:val="18"/>
              </w:rPr>
              <w:t>（2）未全员签字或存在代签现象，每人扣0.5分；</w:t>
            </w:r>
          </w:p>
          <w:p w14:paraId="3495C78E">
            <w:pPr>
              <w:spacing w:line="260" w:lineRule="exact"/>
              <w:rPr>
                <w:color w:val="000000"/>
                <w:sz w:val="18"/>
                <w:szCs w:val="18"/>
              </w:rPr>
            </w:pPr>
            <w:r>
              <w:rPr>
                <w:rFonts w:hint="eastAsia" w:ascii="宋体" w:hAnsi="宋体" w:cs="宋体"/>
                <w:sz w:val="18"/>
              </w:rPr>
              <w:t>（3）交底内容针对性差、过于简单，或后补交底过程材料等，每次扣0.5分。</w:t>
            </w:r>
          </w:p>
        </w:tc>
        <w:tc>
          <w:tcPr>
            <w:tcW w:w="1117" w:type="dxa"/>
            <w:shd w:val="clear" w:color="auto" w:fill="FFFFFF"/>
            <w:tcMar>
              <w:left w:w="28" w:type="dxa"/>
              <w:right w:w="28" w:type="dxa"/>
            </w:tcMar>
            <w:vAlign w:val="center"/>
          </w:tcPr>
          <w:p w14:paraId="4CD6E07C">
            <w:pPr>
              <w:jc w:val="center"/>
              <w:rPr>
                <w:rFonts w:ascii="宋体" w:hAnsi="宋体" w:cs="宋体"/>
                <w:b/>
                <w:sz w:val="18"/>
              </w:rPr>
            </w:pPr>
          </w:p>
        </w:tc>
        <w:tc>
          <w:tcPr>
            <w:tcW w:w="1020" w:type="dxa"/>
            <w:shd w:val="clear" w:color="auto" w:fill="FFFFFF"/>
            <w:tcMar>
              <w:left w:w="28" w:type="dxa"/>
              <w:right w:w="28" w:type="dxa"/>
            </w:tcMar>
            <w:vAlign w:val="center"/>
          </w:tcPr>
          <w:p w14:paraId="61210E6D">
            <w:pPr>
              <w:jc w:val="center"/>
              <w:rPr>
                <w:rFonts w:ascii="宋体" w:hAnsi="宋体" w:cs="宋体"/>
                <w:b/>
                <w:sz w:val="18"/>
              </w:rPr>
            </w:pPr>
          </w:p>
        </w:tc>
      </w:tr>
      <w:tr w14:paraId="6024B0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shd w:val="clear" w:color="auto" w:fill="FFFFFF"/>
            <w:tcMar>
              <w:left w:w="28" w:type="dxa"/>
              <w:right w:w="28" w:type="dxa"/>
            </w:tcMar>
            <w:vAlign w:val="center"/>
          </w:tcPr>
          <w:p w14:paraId="25B457A9">
            <w:pPr>
              <w:spacing w:line="260" w:lineRule="exact"/>
              <w:jc w:val="center"/>
              <w:rPr>
                <w:b/>
                <w:bCs/>
              </w:rPr>
            </w:pPr>
            <w:r>
              <w:rPr>
                <w:rFonts w:hint="eastAsia" w:ascii="宋体" w:hAnsi="宋体" w:cs="宋体"/>
                <w:b/>
                <w:bCs/>
                <w:sz w:val="18"/>
              </w:rPr>
              <w:t>4.4</w:t>
            </w:r>
          </w:p>
        </w:tc>
        <w:tc>
          <w:tcPr>
            <w:tcW w:w="1976" w:type="dxa"/>
            <w:shd w:val="clear" w:color="auto" w:fill="FFFFFF"/>
            <w:tcMar>
              <w:left w:w="28" w:type="dxa"/>
              <w:right w:w="28" w:type="dxa"/>
            </w:tcMar>
            <w:vAlign w:val="center"/>
          </w:tcPr>
          <w:p w14:paraId="5209B000">
            <w:pPr>
              <w:spacing w:line="260" w:lineRule="exact"/>
              <w:ind w:right="53"/>
              <w:jc w:val="left"/>
              <w:rPr>
                <w:b/>
                <w:bCs/>
                <w:color w:val="000000"/>
                <w:sz w:val="18"/>
                <w:szCs w:val="18"/>
              </w:rPr>
            </w:pPr>
            <w:r>
              <w:rPr>
                <w:rFonts w:hint="eastAsia" w:ascii="宋体" w:hAnsi="宋体" w:cs="宋体"/>
                <w:b/>
                <w:bCs/>
                <w:sz w:val="18"/>
              </w:rPr>
              <w:t>安全文明施工管理</w:t>
            </w:r>
          </w:p>
        </w:tc>
        <w:tc>
          <w:tcPr>
            <w:tcW w:w="951" w:type="dxa"/>
            <w:shd w:val="clear" w:color="auto" w:fill="FFFFFF"/>
            <w:tcMar>
              <w:left w:w="28" w:type="dxa"/>
              <w:right w:w="28" w:type="dxa"/>
            </w:tcMar>
            <w:vAlign w:val="center"/>
          </w:tcPr>
          <w:p w14:paraId="40273C74">
            <w:pPr>
              <w:spacing w:line="260" w:lineRule="exact"/>
              <w:jc w:val="center"/>
              <w:rPr>
                <w:color w:val="000000"/>
                <w:sz w:val="18"/>
                <w:szCs w:val="18"/>
              </w:rPr>
            </w:pPr>
            <w:r>
              <w:rPr>
                <w:rFonts w:hint="eastAsia" w:ascii="宋体" w:hAnsi="宋体" w:cs="宋体"/>
                <w:sz w:val="18"/>
              </w:rPr>
              <w:t>2</w:t>
            </w:r>
          </w:p>
        </w:tc>
        <w:tc>
          <w:tcPr>
            <w:tcW w:w="3348" w:type="dxa"/>
            <w:shd w:val="clear" w:color="auto" w:fill="FFFFFF"/>
            <w:tcMar>
              <w:left w:w="28" w:type="dxa"/>
              <w:right w:w="28" w:type="dxa"/>
            </w:tcMar>
            <w:vAlign w:val="center"/>
          </w:tcPr>
          <w:p w14:paraId="461831BA">
            <w:pPr>
              <w:spacing w:line="260" w:lineRule="exact"/>
              <w:rPr>
                <w:color w:val="000000"/>
                <w:sz w:val="18"/>
                <w:szCs w:val="18"/>
              </w:rPr>
            </w:pPr>
            <w:r>
              <w:rPr>
                <w:rFonts w:hint="eastAsia" w:ascii="宋体" w:hAnsi="宋体" w:cs="宋体"/>
                <w:sz w:val="18"/>
              </w:rPr>
              <w:t>编制并上报安全生产费使用计划，贯彻落实安全文明施工标准化要求，实现“六化”要求。（2分）</w:t>
            </w:r>
          </w:p>
        </w:tc>
        <w:tc>
          <w:tcPr>
            <w:tcW w:w="3890" w:type="dxa"/>
            <w:shd w:val="clear" w:color="auto" w:fill="FFFFFF"/>
            <w:tcMar>
              <w:left w:w="28" w:type="dxa"/>
              <w:right w:w="28" w:type="dxa"/>
            </w:tcMar>
          </w:tcPr>
          <w:p w14:paraId="7642393C">
            <w:pPr>
              <w:spacing w:line="260" w:lineRule="exact"/>
              <w:rPr>
                <w:rFonts w:ascii="宋体" w:hAnsi="宋体" w:cs="宋体"/>
                <w:sz w:val="18"/>
              </w:rPr>
            </w:pPr>
            <w:r>
              <w:rPr>
                <w:rFonts w:hint="eastAsia" w:ascii="宋体" w:hAnsi="宋体" w:cs="宋体"/>
                <w:sz w:val="18"/>
              </w:rPr>
              <w:t>（1）安全防护设施配置不统一、不规范每处扣0.</w:t>
            </w:r>
            <w:r>
              <w:rPr>
                <w:rFonts w:ascii="宋体" w:hAnsi="宋体" w:cs="宋体"/>
                <w:sz w:val="18"/>
              </w:rPr>
              <w:t xml:space="preserve">5 </w:t>
            </w:r>
            <w:r>
              <w:rPr>
                <w:rFonts w:hint="eastAsia" w:ascii="宋体" w:hAnsi="宋体" w:cs="宋体"/>
                <w:sz w:val="18"/>
              </w:rPr>
              <w:t>分；安全文明施工类物品（包括：安全帽、安全带、速差自控器、安全自锁器、下线爬梯、验电器、接地线等）的管理和使用不符合规定，每类扣0.</w:t>
            </w:r>
            <w:r>
              <w:rPr>
                <w:rFonts w:ascii="宋体" w:hAnsi="宋体" w:cs="宋体"/>
                <w:sz w:val="18"/>
              </w:rPr>
              <w:t>5</w:t>
            </w:r>
            <w:r>
              <w:rPr>
                <w:rFonts w:hint="eastAsia" w:ascii="宋体" w:hAnsi="宋体" w:cs="宋体"/>
                <w:sz w:val="18"/>
              </w:rPr>
              <w:t>分；</w:t>
            </w:r>
          </w:p>
          <w:p w14:paraId="5DD4E33F">
            <w:pPr>
              <w:spacing w:line="260" w:lineRule="exact"/>
              <w:rPr>
                <w:rFonts w:ascii="宋体" w:hAnsi="宋体" w:cs="宋体"/>
                <w:sz w:val="18"/>
              </w:rPr>
            </w:pPr>
            <w:r>
              <w:rPr>
                <w:rFonts w:hint="eastAsia" w:ascii="宋体" w:hAnsi="宋体" w:cs="宋体"/>
                <w:sz w:val="18"/>
              </w:rPr>
              <w:t>（</w:t>
            </w:r>
            <w:r>
              <w:rPr>
                <w:rFonts w:ascii="宋体" w:hAnsi="宋体" w:cs="宋体"/>
                <w:sz w:val="18"/>
              </w:rPr>
              <w:t>2</w:t>
            </w:r>
            <w:r>
              <w:rPr>
                <w:rFonts w:hint="eastAsia" w:ascii="宋体" w:hAnsi="宋体" w:cs="宋体"/>
                <w:sz w:val="18"/>
              </w:rPr>
              <w:t>）安全生产费未按月使用计划进行，每次扣0.5分；</w:t>
            </w:r>
          </w:p>
          <w:p w14:paraId="7C3C9C83">
            <w:pPr>
              <w:spacing w:line="260" w:lineRule="exact"/>
              <w:rPr>
                <w:rFonts w:ascii="宋体" w:hAnsi="宋体" w:cs="宋体"/>
                <w:sz w:val="18"/>
              </w:rPr>
            </w:pPr>
            <w:r>
              <w:rPr>
                <w:rFonts w:hint="eastAsia" w:ascii="宋体" w:hAnsi="宋体" w:cs="宋体"/>
                <w:sz w:val="18"/>
              </w:rPr>
              <w:t>（</w:t>
            </w:r>
            <w:r>
              <w:rPr>
                <w:rFonts w:ascii="宋体" w:hAnsi="宋体" w:cs="宋体"/>
                <w:sz w:val="18"/>
              </w:rPr>
              <w:t>3</w:t>
            </w:r>
            <w:r>
              <w:rPr>
                <w:rFonts w:hint="eastAsia" w:ascii="宋体" w:hAnsi="宋体" w:cs="宋体"/>
                <w:sz w:val="18"/>
              </w:rPr>
              <w:t>）安全文明施工未实行常态化管理，每次扣0.5分；安全文明施工缺陷整改不及时、不彻底，每次扣0.</w:t>
            </w:r>
            <w:r>
              <w:rPr>
                <w:rFonts w:ascii="宋体" w:hAnsi="宋体" w:cs="宋体"/>
                <w:sz w:val="18"/>
              </w:rPr>
              <w:t>5</w:t>
            </w:r>
            <w:r>
              <w:rPr>
                <w:rFonts w:hint="eastAsia" w:ascii="宋体" w:hAnsi="宋体" w:cs="宋体"/>
                <w:sz w:val="18"/>
              </w:rPr>
              <w:t>分；</w:t>
            </w:r>
          </w:p>
          <w:p w14:paraId="73330FDD">
            <w:pPr>
              <w:spacing w:line="260" w:lineRule="exact"/>
              <w:rPr>
                <w:rFonts w:ascii="宋体" w:hAnsi="宋体" w:cs="宋体"/>
                <w:sz w:val="18"/>
              </w:rPr>
            </w:pPr>
            <w:r>
              <w:rPr>
                <w:rFonts w:hint="eastAsia" w:ascii="宋体" w:hAnsi="宋体" w:cs="宋体"/>
                <w:sz w:val="18"/>
              </w:rPr>
              <w:t>（</w:t>
            </w:r>
            <w:r>
              <w:rPr>
                <w:rFonts w:ascii="宋体" w:hAnsi="宋体" w:cs="宋体"/>
                <w:sz w:val="18"/>
              </w:rPr>
              <w:t>4</w:t>
            </w:r>
            <w:r>
              <w:rPr>
                <w:rFonts w:hint="eastAsia" w:ascii="宋体" w:hAnsi="宋体" w:cs="宋体"/>
                <w:sz w:val="18"/>
              </w:rPr>
              <w:t>）现场安全文明施工形象差，被公司领导、专家组及业主项目部批评，每批评一次扣1分。</w:t>
            </w:r>
          </w:p>
          <w:p w14:paraId="7FCA1C47">
            <w:pPr>
              <w:pStyle w:val="2"/>
              <w:rPr>
                <w:lang w:val="en-US"/>
              </w:rPr>
            </w:pPr>
            <w:r>
              <w:rPr>
                <w:rFonts w:hint="eastAsia" w:ascii="宋体" w:hAnsi="宋体" w:cs="宋体"/>
                <w:szCs w:val="22"/>
              </w:rPr>
              <w:t>（</w:t>
            </w:r>
            <w:r>
              <w:rPr>
                <w:rFonts w:hint="eastAsia" w:ascii="宋体" w:hAnsi="宋体" w:cs="宋体"/>
                <w:szCs w:val="22"/>
                <w:lang w:val="en-US"/>
              </w:rPr>
              <w:t>5</w:t>
            </w:r>
            <w:r>
              <w:rPr>
                <w:rFonts w:hint="eastAsia" w:ascii="宋体" w:hAnsi="宋体" w:cs="宋体"/>
                <w:szCs w:val="22"/>
              </w:rPr>
              <w:t>）</w:t>
            </w:r>
            <w:r>
              <w:rPr>
                <w:rFonts w:hint="eastAsia" w:ascii="仿宋_GB2312" w:hAnsi="仿宋_GB2312" w:cs="仿宋_GB2312"/>
                <w:bCs/>
                <w:lang w:val="en-US"/>
              </w:rPr>
              <w:t>在现场安全文明管理上实施“6s”管理法，提升现场安全文明施工水平，大力推动参建人员素质养成，提高技能，规范作业行为。未编制场安全文明管理上实施“6s”管理法实施方案一次扣2分，未落实相关要求至少扣除1分。</w:t>
            </w:r>
          </w:p>
        </w:tc>
        <w:tc>
          <w:tcPr>
            <w:tcW w:w="1117" w:type="dxa"/>
            <w:shd w:val="clear" w:color="auto" w:fill="FFFFFF"/>
            <w:tcMar>
              <w:left w:w="28" w:type="dxa"/>
              <w:right w:w="28" w:type="dxa"/>
            </w:tcMar>
            <w:vAlign w:val="center"/>
          </w:tcPr>
          <w:p w14:paraId="483E2529">
            <w:pPr>
              <w:jc w:val="center"/>
              <w:rPr>
                <w:rFonts w:ascii="宋体" w:hAnsi="宋体" w:cs="宋体"/>
                <w:b/>
                <w:sz w:val="18"/>
              </w:rPr>
            </w:pPr>
          </w:p>
        </w:tc>
        <w:tc>
          <w:tcPr>
            <w:tcW w:w="1020" w:type="dxa"/>
            <w:shd w:val="clear" w:color="auto" w:fill="FFFFFF"/>
            <w:tcMar>
              <w:left w:w="28" w:type="dxa"/>
              <w:right w:w="28" w:type="dxa"/>
            </w:tcMar>
            <w:vAlign w:val="center"/>
          </w:tcPr>
          <w:p w14:paraId="6272437B">
            <w:pPr>
              <w:jc w:val="center"/>
              <w:rPr>
                <w:rFonts w:ascii="宋体" w:hAnsi="宋体" w:cs="宋体"/>
                <w:b/>
                <w:sz w:val="18"/>
              </w:rPr>
            </w:pPr>
          </w:p>
        </w:tc>
      </w:tr>
      <w:tr w14:paraId="5C9505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shd w:val="clear" w:color="auto" w:fill="FFFFFF"/>
            <w:tcMar>
              <w:left w:w="28" w:type="dxa"/>
              <w:right w:w="28" w:type="dxa"/>
            </w:tcMar>
            <w:vAlign w:val="center"/>
          </w:tcPr>
          <w:p w14:paraId="7BC238FC">
            <w:pPr>
              <w:spacing w:line="260" w:lineRule="exact"/>
              <w:jc w:val="center"/>
              <w:rPr>
                <w:b/>
                <w:bCs/>
              </w:rPr>
            </w:pPr>
            <w:r>
              <w:rPr>
                <w:rFonts w:hint="eastAsia" w:ascii="宋体" w:hAnsi="宋体" w:cs="宋体"/>
                <w:b/>
                <w:bCs/>
                <w:sz w:val="18"/>
              </w:rPr>
              <w:t>4.5</w:t>
            </w:r>
          </w:p>
        </w:tc>
        <w:tc>
          <w:tcPr>
            <w:tcW w:w="1976" w:type="dxa"/>
            <w:shd w:val="clear" w:color="auto" w:fill="FFFFFF"/>
            <w:tcMar>
              <w:left w:w="28" w:type="dxa"/>
              <w:right w:w="28" w:type="dxa"/>
            </w:tcMar>
            <w:vAlign w:val="center"/>
          </w:tcPr>
          <w:p w14:paraId="1E04F16B">
            <w:pPr>
              <w:pStyle w:val="49"/>
              <w:spacing w:line="260" w:lineRule="exact"/>
              <w:ind w:left="0" w:leftChars="0" w:right="53"/>
              <w:jc w:val="left"/>
              <w:rPr>
                <w:b/>
                <w:bCs/>
                <w:szCs w:val="18"/>
              </w:rPr>
            </w:pPr>
            <w:r>
              <w:rPr>
                <w:rFonts w:hint="eastAsia" w:ascii="宋体" w:hAnsi="宋体" w:cs="宋体"/>
                <w:b/>
                <w:bCs/>
              </w:rPr>
              <w:t>分包安全管理</w:t>
            </w:r>
          </w:p>
        </w:tc>
        <w:tc>
          <w:tcPr>
            <w:tcW w:w="951" w:type="dxa"/>
            <w:shd w:val="clear" w:color="auto" w:fill="FFFFFF"/>
            <w:tcMar>
              <w:left w:w="28" w:type="dxa"/>
              <w:right w:w="28" w:type="dxa"/>
            </w:tcMar>
            <w:vAlign w:val="center"/>
          </w:tcPr>
          <w:p w14:paraId="7EC5ACCC">
            <w:pPr>
              <w:spacing w:line="260" w:lineRule="exact"/>
              <w:jc w:val="center"/>
              <w:rPr>
                <w:color w:val="000000"/>
                <w:sz w:val="18"/>
                <w:szCs w:val="18"/>
              </w:rPr>
            </w:pPr>
            <w:r>
              <w:rPr>
                <w:rFonts w:hint="eastAsia" w:ascii="宋体" w:hAnsi="宋体" w:cs="宋体"/>
                <w:sz w:val="18"/>
              </w:rPr>
              <w:t>4</w:t>
            </w:r>
          </w:p>
        </w:tc>
        <w:tc>
          <w:tcPr>
            <w:tcW w:w="3348" w:type="dxa"/>
            <w:shd w:val="clear" w:color="auto" w:fill="FFFFFF"/>
            <w:tcMar>
              <w:left w:w="28" w:type="dxa"/>
              <w:right w:w="28" w:type="dxa"/>
            </w:tcMar>
            <w:vAlign w:val="center"/>
          </w:tcPr>
          <w:p w14:paraId="1C80EB85">
            <w:pPr>
              <w:spacing w:line="260" w:lineRule="exact"/>
              <w:rPr>
                <w:color w:val="000000"/>
                <w:sz w:val="18"/>
                <w:szCs w:val="18"/>
              </w:rPr>
            </w:pPr>
            <w:r>
              <w:rPr>
                <w:rFonts w:hint="eastAsia" w:ascii="宋体" w:hAnsi="宋体" w:cs="宋体"/>
                <w:sz w:val="18"/>
              </w:rPr>
              <w:t>分包队伍选用规范，在分包工程开工前报监理和业主项目部备案。对分包工程施工安全实施全过程动态管理，将分包商纳入现场施工项目部安全管理体系。</w:t>
            </w:r>
            <w:r>
              <w:rPr>
                <w:rFonts w:hint="eastAsia"/>
                <w:color w:val="000000"/>
                <w:sz w:val="18"/>
                <w:szCs w:val="18"/>
              </w:rPr>
              <w:t>（4分）</w:t>
            </w:r>
          </w:p>
        </w:tc>
        <w:tc>
          <w:tcPr>
            <w:tcW w:w="3890" w:type="dxa"/>
            <w:shd w:val="clear" w:color="auto" w:fill="FFFFFF"/>
            <w:tcMar>
              <w:left w:w="28" w:type="dxa"/>
              <w:right w:w="28" w:type="dxa"/>
            </w:tcMar>
            <w:vAlign w:val="center"/>
          </w:tcPr>
          <w:p w14:paraId="0761C797">
            <w:pPr>
              <w:spacing w:line="260" w:lineRule="exact"/>
              <w:rPr>
                <w:rFonts w:ascii="宋体" w:hAnsi="宋体" w:cs="宋体"/>
                <w:sz w:val="18"/>
              </w:rPr>
            </w:pPr>
            <w:r>
              <w:rPr>
                <w:rFonts w:hint="eastAsia" w:ascii="宋体" w:hAnsi="宋体" w:cs="宋体"/>
                <w:sz w:val="18"/>
              </w:rPr>
              <w:t>（1）分包不规范，存在转包、违规分包，每例/项扣2分；</w:t>
            </w:r>
          </w:p>
          <w:p w14:paraId="1E61E4E4">
            <w:pPr>
              <w:spacing w:line="260" w:lineRule="exact"/>
              <w:rPr>
                <w:rFonts w:ascii="宋体" w:hAnsi="宋体" w:cs="宋体"/>
                <w:sz w:val="18"/>
              </w:rPr>
            </w:pPr>
            <w:r>
              <w:rPr>
                <w:rFonts w:hint="eastAsia" w:ascii="宋体" w:hAnsi="宋体" w:cs="宋体"/>
                <w:sz w:val="18"/>
              </w:rPr>
              <w:t>（2）分包商人员和数量无法满足工程进度要求，每项扣1分；</w:t>
            </w:r>
          </w:p>
          <w:p w14:paraId="73D4D4E4">
            <w:pPr>
              <w:spacing w:line="260" w:lineRule="exact"/>
              <w:rPr>
                <w:rFonts w:ascii="宋体" w:hAnsi="宋体" w:cs="宋体"/>
                <w:sz w:val="18"/>
              </w:rPr>
            </w:pPr>
            <w:r>
              <w:rPr>
                <w:rFonts w:hint="eastAsia" w:ascii="宋体" w:hAnsi="宋体" w:cs="宋体"/>
                <w:sz w:val="18"/>
              </w:rPr>
              <w:t>（3）对分包人员未进行培训考试，未建立台账，每人次扣0.5分。</w:t>
            </w:r>
          </w:p>
          <w:p w14:paraId="77DE5611">
            <w:pPr>
              <w:spacing w:line="260" w:lineRule="exact"/>
              <w:rPr>
                <w:rFonts w:ascii="宋体" w:hAnsi="宋体" w:cs="宋体"/>
                <w:sz w:val="18"/>
              </w:rPr>
            </w:pPr>
            <w:r>
              <w:rPr>
                <w:rFonts w:hint="eastAsia" w:ascii="宋体" w:hAnsi="宋体" w:cs="宋体"/>
                <w:sz w:val="18"/>
              </w:rPr>
              <w:t>（4）劳务分包人员防护用品配置不齐全，每人次扣0.5分；</w:t>
            </w:r>
          </w:p>
          <w:p w14:paraId="0F46368D">
            <w:pPr>
              <w:spacing w:line="260" w:lineRule="exact"/>
              <w:rPr>
                <w:rFonts w:ascii="宋体" w:hAnsi="宋体" w:cs="宋体"/>
                <w:sz w:val="18"/>
              </w:rPr>
            </w:pPr>
            <w:r>
              <w:rPr>
                <w:rFonts w:hint="eastAsia" w:ascii="宋体" w:hAnsi="宋体" w:cs="宋体"/>
                <w:sz w:val="18"/>
              </w:rPr>
              <w:t>（5）动态核查分包商人员人证相符情况，如不符合每人次扣0.5分；</w:t>
            </w:r>
          </w:p>
          <w:p w14:paraId="2E62A92C">
            <w:pPr>
              <w:spacing w:line="260" w:lineRule="exact"/>
              <w:rPr>
                <w:rFonts w:ascii="宋体" w:hAnsi="宋体" w:cs="宋体"/>
                <w:sz w:val="18"/>
              </w:rPr>
            </w:pPr>
            <w:r>
              <w:rPr>
                <w:rFonts w:hint="eastAsia" w:ascii="宋体" w:hAnsi="宋体" w:cs="宋体"/>
                <w:sz w:val="18"/>
              </w:rPr>
              <w:t>（6）分包单位项目管理关键人员、作业层班组骨干岗位任职资格为与投标承诺一致、不满足要求，每人次扣0.5分；</w:t>
            </w:r>
          </w:p>
          <w:p w14:paraId="7DDF1A1F">
            <w:pPr>
              <w:spacing w:line="260" w:lineRule="exact"/>
              <w:rPr>
                <w:color w:val="000000"/>
                <w:sz w:val="18"/>
                <w:szCs w:val="18"/>
              </w:rPr>
            </w:pPr>
            <w:r>
              <w:rPr>
                <w:rFonts w:hint="eastAsia" w:ascii="宋体" w:hAnsi="宋体" w:cs="宋体"/>
                <w:sz w:val="18"/>
              </w:rPr>
              <w:t>（7）分包单位施工资质、人员配置、施工机具为满足工程需要，每项扣0.5分。</w:t>
            </w:r>
          </w:p>
        </w:tc>
        <w:tc>
          <w:tcPr>
            <w:tcW w:w="1117" w:type="dxa"/>
            <w:shd w:val="clear" w:color="auto" w:fill="FFFFFF"/>
            <w:tcMar>
              <w:left w:w="28" w:type="dxa"/>
              <w:right w:w="28" w:type="dxa"/>
            </w:tcMar>
            <w:vAlign w:val="center"/>
          </w:tcPr>
          <w:p w14:paraId="0BC48AFE">
            <w:pPr>
              <w:jc w:val="center"/>
              <w:rPr>
                <w:rFonts w:ascii="宋体" w:hAnsi="宋体" w:cs="宋体"/>
                <w:b/>
                <w:sz w:val="18"/>
              </w:rPr>
            </w:pPr>
          </w:p>
        </w:tc>
        <w:tc>
          <w:tcPr>
            <w:tcW w:w="1020" w:type="dxa"/>
            <w:shd w:val="clear" w:color="auto" w:fill="FFFFFF"/>
            <w:tcMar>
              <w:left w:w="28" w:type="dxa"/>
              <w:right w:w="28" w:type="dxa"/>
            </w:tcMar>
            <w:vAlign w:val="center"/>
          </w:tcPr>
          <w:p w14:paraId="75CF2AF3">
            <w:pPr>
              <w:jc w:val="center"/>
              <w:rPr>
                <w:rFonts w:ascii="宋体" w:hAnsi="宋体" w:cs="宋体"/>
                <w:b/>
                <w:sz w:val="18"/>
              </w:rPr>
            </w:pPr>
          </w:p>
        </w:tc>
      </w:tr>
      <w:tr w14:paraId="5F468F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shd w:val="clear" w:color="auto" w:fill="FFFFFF"/>
            <w:tcMar>
              <w:left w:w="28" w:type="dxa"/>
              <w:right w:w="28" w:type="dxa"/>
            </w:tcMar>
            <w:vAlign w:val="center"/>
          </w:tcPr>
          <w:p w14:paraId="6429C25A">
            <w:pPr>
              <w:spacing w:line="260" w:lineRule="exact"/>
              <w:jc w:val="center"/>
              <w:rPr>
                <w:b/>
                <w:bCs/>
              </w:rPr>
            </w:pPr>
            <w:r>
              <w:rPr>
                <w:rFonts w:hint="eastAsia" w:ascii="宋体" w:hAnsi="宋体" w:cs="宋体"/>
                <w:b/>
                <w:bCs/>
                <w:sz w:val="18"/>
              </w:rPr>
              <w:t>4.6</w:t>
            </w:r>
          </w:p>
        </w:tc>
        <w:tc>
          <w:tcPr>
            <w:tcW w:w="1976" w:type="dxa"/>
            <w:shd w:val="clear" w:color="auto" w:fill="FFFFFF"/>
            <w:tcMar>
              <w:left w:w="28" w:type="dxa"/>
              <w:right w:w="28" w:type="dxa"/>
            </w:tcMar>
            <w:vAlign w:val="center"/>
          </w:tcPr>
          <w:p w14:paraId="5964ADD5">
            <w:pPr>
              <w:pStyle w:val="49"/>
              <w:spacing w:line="260" w:lineRule="exact"/>
              <w:ind w:left="0" w:leftChars="0" w:right="53"/>
              <w:jc w:val="left"/>
              <w:rPr>
                <w:b/>
                <w:bCs/>
                <w:szCs w:val="18"/>
              </w:rPr>
            </w:pPr>
            <w:r>
              <w:rPr>
                <w:rFonts w:hint="eastAsia" w:ascii="宋体" w:hAnsi="宋体" w:cs="宋体"/>
                <w:b/>
                <w:bCs/>
              </w:rPr>
              <w:t>应急管理</w:t>
            </w:r>
          </w:p>
        </w:tc>
        <w:tc>
          <w:tcPr>
            <w:tcW w:w="951" w:type="dxa"/>
            <w:shd w:val="clear" w:color="auto" w:fill="FFFFFF"/>
            <w:tcMar>
              <w:left w:w="28" w:type="dxa"/>
              <w:right w:w="28" w:type="dxa"/>
            </w:tcMar>
            <w:vAlign w:val="center"/>
          </w:tcPr>
          <w:p w14:paraId="75ED73B0">
            <w:pPr>
              <w:spacing w:line="260" w:lineRule="exact"/>
              <w:jc w:val="center"/>
              <w:rPr>
                <w:color w:val="000000"/>
                <w:sz w:val="18"/>
                <w:szCs w:val="18"/>
              </w:rPr>
            </w:pPr>
            <w:r>
              <w:rPr>
                <w:rFonts w:hint="eastAsia" w:ascii="宋体" w:hAnsi="宋体" w:cs="宋体"/>
                <w:sz w:val="18"/>
              </w:rPr>
              <w:t>2</w:t>
            </w:r>
          </w:p>
        </w:tc>
        <w:tc>
          <w:tcPr>
            <w:tcW w:w="3348" w:type="dxa"/>
            <w:shd w:val="clear" w:color="auto" w:fill="FFFFFF"/>
            <w:tcMar>
              <w:left w:w="28" w:type="dxa"/>
              <w:right w:w="28" w:type="dxa"/>
            </w:tcMar>
          </w:tcPr>
          <w:p w14:paraId="1159809C">
            <w:pPr>
              <w:spacing w:line="260" w:lineRule="exact"/>
              <w:rPr>
                <w:color w:val="000000"/>
                <w:sz w:val="18"/>
                <w:szCs w:val="18"/>
              </w:rPr>
            </w:pPr>
            <w:r>
              <w:rPr>
                <w:rFonts w:hint="eastAsia" w:ascii="宋体" w:hAnsi="宋体" w:cs="宋体"/>
                <w:sz w:val="18"/>
                <w:szCs w:val="24"/>
              </w:rPr>
              <w:t>组建现场应急救援队伍，配备应急救援物资和工器具，参加应急救援知识培训和现场应急演练。</w:t>
            </w:r>
            <w:r>
              <w:rPr>
                <w:rFonts w:hint="eastAsia"/>
                <w:color w:val="000000"/>
                <w:sz w:val="18"/>
                <w:szCs w:val="18"/>
              </w:rPr>
              <w:t>（2分）</w:t>
            </w:r>
          </w:p>
        </w:tc>
        <w:tc>
          <w:tcPr>
            <w:tcW w:w="3890" w:type="dxa"/>
            <w:shd w:val="clear" w:color="auto" w:fill="FFFFFF"/>
            <w:tcMar>
              <w:left w:w="28" w:type="dxa"/>
              <w:right w:w="28" w:type="dxa"/>
            </w:tcMar>
          </w:tcPr>
          <w:p w14:paraId="784A4D8C">
            <w:pPr>
              <w:spacing w:line="260" w:lineRule="exact"/>
              <w:rPr>
                <w:rFonts w:ascii="宋体" w:hAnsi="宋体" w:cs="宋体"/>
                <w:sz w:val="18"/>
              </w:rPr>
            </w:pPr>
            <w:r>
              <w:rPr>
                <w:rFonts w:hint="eastAsia" w:ascii="宋体" w:hAnsi="宋体" w:cs="宋体"/>
                <w:sz w:val="18"/>
              </w:rPr>
              <w:t>（1）未按要求组建现场应急救援队伍，扣1分；</w:t>
            </w:r>
          </w:p>
          <w:p w14:paraId="25EF670C">
            <w:pPr>
              <w:spacing w:line="260" w:lineRule="exact"/>
              <w:rPr>
                <w:rFonts w:ascii="宋体" w:hAnsi="宋体" w:cs="宋体"/>
                <w:sz w:val="18"/>
              </w:rPr>
            </w:pPr>
            <w:r>
              <w:rPr>
                <w:rFonts w:hint="eastAsia" w:ascii="宋体" w:hAnsi="宋体" w:cs="宋体"/>
                <w:sz w:val="18"/>
              </w:rPr>
              <w:t>（2）未配备应急救援物资和工器具，或未落实管理人员及责任，扣1分；</w:t>
            </w:r>
          </w:p>
          <w:p w14:paraId="38A7D768">
            <w:pPr>
              <w:spacing w:line="260" w:lineRule="exact"/>
              <w:rPr>
                <w:rFonts w:ascii="宋体" w:hAnsi="宋体" w:cs="宋体"/>
                <w:sz w:val="18"/>
              </w:rPr>
            </w:pPr>
            <w:r>
              <w:rPr>
                <w:rFonts w:hint="eastAsia" w:ascii="宋体" w:hAnsi="宋体" w:cs="宋体"/>
                <w:sz w:val="18"/>
              </w:rPr>
              <w:t>（3）应急救援物资和工器具配备不全，每缺少一项扣0.5分；</w:t>
            </w:r>
          </w:p>
          <w:p w14:paraId="08CE195A">
            <w:pPr>
              <w:spacing w:line="260" w:lineRule="exact"/>
              <w:rPr>
                <w:color w:val="000000"/>
                <w:sz w:val="18"/>
                <w:szCs w:val="18"/>
              </w:rPr>
            </w:pPr>
            <w:r>
              <w:rPr>
                <w:rFonts w:hint="eastAsia" w:ascii="宋体" w:hAnsi="宋体" w:cs="宋体"/>
                <w:sz w:val="18"/>
              </w:rPr>
              <w:t>（4）未填写现场应急处置方案演练记录，扣0.5分。</w:t>
            </w:r>
          </w:p>
        </w:tc>
        <w:tc>
          <w:tcPr>
            <w:tcW w:w="1117" w:type="dxa"/>
            <w:shd w:val="clear" w:color="auto" w:fill="FFFFFF"/>
            <w:tcMar>
              <w:left w:w="28" w:type="dxa"/>
              <w:right w:w="28" w:type="dxa"/>
            </w:tcMar>
            <w:vAlign w:val="center"/>
          </w:tcPr>
          <w:p w14:paraId="349D15A7">
            <w:pPr>
              <w:jc w:val="center"/>
              <w:rPr>
                <w:rFonts w:ascii="宋体" w:hAnsi="宋体" w:cs="宋体"/>
                <w:b/>
                <w:sz w:val="18"/>
              </w:rPr>
            </w:pPr>
          </w:p>
        </w:tc>
        <w:tc>
          <w:tcPr>
            <w:tcW w:w="1020" w:type="dxa"/>
            <w:shd w:val="clear" w:color="auto" w:fill="FFFFFF"/>
            <w:tcMar>
              <w:left w:w="28" w:type="dxa"/>
              <w:right w:w="28" w:type="dxa"/>
            </w:tcMar>
            <w:vAlign w:val="center"/>
          </w:tcPr>
          <w:p w14:paraId="79D10E47">
            <w:pPr>
              <w:jc w:val="center"/>
              <w:rPr>
                <w:rFonts w:ascii="宋体" w:hAnsi="宋体" w:cs="宋体"/>
                <w:b/>
                <w:sz w:val="18"/>
              </w:rPr>
            </w:pPr>
          </w:p>
        </w:tc>
      </w:tr>
      <w:tr w14:paraId="2D6BC2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shd w:val="clear" w:color="auto" w:fill="FFFFFF"/>
            <w:tcMar>
              <w:left w:w="28" w:type="dxa"/>
              <w:right w:w="28" w:type="dxa"/>
            </w:tcMar>
            <w:vAlign w:val="center"/>
          </w:tcPr>
          <w:p w14:paraId="10ACF266">
            <w:pPr>
              <w:spacing w:line="260" w:lineRule="exact"/>
              <w:jc w:val="center"/>
              <w:rPr>
                <w:b/>
                <w:bCs/>
                <w:color w:val="000000"/>
                <w:sz w:val="18"/>
                <w:szCs w:val="18"/>
              </w:rPr>
            </w:pPr>
            <w:r>
              <w:rPr>
                <w:rFonts w:hint="eastAsia" w:ascii="宋体" w:hAnsi="宋体" w:cs="宋体"/>
                <w:b/>
                <w:bCs/>
                <w:sz w:val="18"/>
              </w:rPr>
              <w:t>4.7</w:t>
            </w:r>
          </w:p>
        </w:tc>
        <w:tc>
          <w:tcPr>
            <w:tcW w:w="1976" w:type="dxa"/>
            <w:vMerge w:val="restart"/>
            <w:shd w:val="clear" w:color="auto" w:fill="FFFFFF"/>
            <w:tcMar>
              <w:left w:w="28" w:type="dxa"/>
              <w:right w:w="28" w:type="dxa"/>
            </w:tcMar>
            <w:vAlign w:val="center"/>
          </w:tcPr>
          <w:p w14:paraId="2648800A">
            <w:pPr>
              <w:spacing w:line="260" w:lineRule="exact"/>
              <w:ind w:right="53"/>
              <w:jc w:val="left"/>
              <w:rPr>
                <w:b/>
                <w:bCs/>
                <w:color w:val="000000"/>
                <w:sz w:val="18"/>
                <w:szCs w:val="18"/>
              </w:rPr>
            </w:pPr>
            <w:r>
              <w:rPr>
                <w:rFonts w:hint="eastAsia" w:ascii="宋体" w:hAnsi="宋体" w:cs="宋体"/>
                <w:b/>
                <w:bCs/>
                <w:sz w:val="18"/>
              </w:rPr>
              <w:t>反违章管理</w:t>
            </w:r>
          </w:p>
        </w:tc>
        <w:tc>
          <w:tcPr>
            <w:tcW w:w="951" w:type="dxa"/>
            <w:vMerge w:val="restart"/>
            <w:shd w:val="clear" w:color="auto" w:fill="FFFFFF"/>
            <w:tcMar>
              <w:left w:w="28" w:type="dxa"/>
              <w:right w:w="28" w:type="dxa"/>
            </w:tcMar>
            <w:vAlign w:val="center"/>
          </w:tcPr>
          <w:p w14:paraId="40762048">
            <w:pPr>
              <w:spacing w:line="260" w:lineRule="exact"/>
              <w:jc w:val="center"/>
              <w:rPr>
                <w:color w:val="000000"/>
                <w:sz w:val="18"/>
                <w:szCs w:val="18"/>
              </w:rPr>
            </w:pPr>
            <w:r>
              <w:rPr>
                <w:rFonts w:hint="eastAsia" w:ascii="宋体" w:hAnsi="宋体" w:cs="宋体"/>
                <w:sz w:val="18"/>
              </w:rPr>
              <w:t>6</w:t>
            </w:r>
          </w:p>
        </w:tc>
        <w:tc>
          <w:tcPr>
            <w:tcW w:w="3348" w:type="dxa"/>
            <w:shd w:val="clear" w:color="auto" w:fill="FFFFFF"/>
            <w:tcMar>
              <w:left w:w="28" w:type="dxa"/>
              <w:right w:w="28" w:type="dxa"/>
            </w:tcMar>
          </w:tcPr>
          <w:p w14:paraId="6859CC91">
            <w:pPr>
              <w:spacing w:line="260" w:lineRule="exact"/>
              <w:rPr>
                <w:color w:val="000000"/>
                <w:sz w:val="18"/>
                <w:szCs w:val="18"/>
              </w:rPr>
            </w:pPr>
            <w:r>
              <w:rPr>
                <w:rFonts w:hint="eastAsia" w:ascii="宋体" w:hAnsi="宋体" w:cs="宋体"/>
                <w:sz w:val="18"/>
              </w:rPr>
              <w:t>组织安全及文明施工例行检查，对检查中发现的各类安全隐患及时整改闭环。</w:t>
            </w:r>
            <w:r>
              <w:rPr>
                <w:rFonts w:hint="eastAsia"/>
                <w:color w:val="000000"/>
                <w:sz w:val="18"/>
                <w:szCs w:val="18"/>
              </w:rPr>
              <w:t>（3分）</w:t>
            </w:r>
          </w:p>
        </w:tc>
        <w:tc>
          <w:tcPr>
            <w:tcW w:w="3890" w:type="dxa"/>
            <w:shd w:val="clear" w:color="auto" w:fill="FFFFFF"/>
            <w:tcMar>
              <w:left w:w="28" w:type="dxa"/>
              <w:right w:w="28" w:type="dxa"/>
            </w:tcMar>
          </w:tcPr>
          <w:p w14:paraId="10419781">
            <w:pPr>
              <w:spacing w:line="260" w:lineRule="exact"/>
              <w:rPr>
                <w:rFonts w:ascii="宋体" w:hAnsi="宋体" w:cs="宋体"/>
                <w:sz w:val="18"/>
              </w:rPr>
            </w:pPr>
            <w:r>
              <w:rPr>
                <w:rFonts w:hint="eastAsia" w:ascii="宋体" w:hAnsi="宋体" w:cs="宋体"/>
                <w:sz w:val="18"/>
              </w:rPr>
              <w:t>（1）未按规定组织安全检查，缺少一次扣1分；</w:t>
            </w:r>
          </w:p>
          <w:p w14:paraId="121DC854">
            <w:pPr>
              <w:spacing w:line="260" w:lineRule="exact"/>
              <w:rPr>
                <w:rFonts w:ascii="宋体" w:hAnsi="宋体" w:cs="宋体"/>
                <w:sz w:val="18"/>
              </w:rPr>
            </w:pPr>
            <w:r>
              <w:rPr>
                <w:rFonts w:hint="eastAsia" w:ascii="宋体" w:hAnsi="宋体" w:cs="宋体"/>
                <w:sz w:val="18"/>
              </w:rPr>
              <w:t>（2）安全检查发现的问题未及时整改，每次扣0.5分；</w:t>
            </w:r>
          </w:p>
          <w:p w14:paraId="172B08CF">
            <w:pPr>
              <w:spacing w:line="260" w:lineRule="exact"/>
              <w:rPr>
                <w:color w:val="000000"/>
                <w:sz w:val="18"/>
                <w:szCs w:val="18"/>
              </w:rPr>
            </w:pPr>
            <w:r>
              <w:rPr>
                <w:rFonts w:hint="eastAsia" w:ascii="宋体" w:hAnsi="宋体" w:cs="宋体"/>
                <w:sz w:val="18"/>
              </w:rPr>
              <w:t>（3）安全检查不认真，每次扣0.5分。</w:t>
            </w:r>
          </w:p>
        </w:tc>
        <w:tc>
          <w:tcPr>
            <w:tcW w:w="1117" w:type="dxa"/>
            <w:shd w:val="clear" w:color="auto" w:fill="FFFFFF"/>
            <w:tcMar>
              <w:left w:w="28" w:type="dxa"/>
              <w:right w:w="28" w:type="dxa"/>
            </w:tcMar>
            <w:vAlign w:val="center"/>
          </w:tcPr>
          <w:p w14:paraId="77624549">
            <w:pPr>
              <w:jc w:val="center"/>
              <w:rPr>
                <w:rFonts w:ascii="宋体" w:hAnsi="宋体" w:cs="宋体"/>
                <w:b/>
                <w:sz w:val="18"/>
              </w:rPr>
            </w:pPr>
          </w:p>
        </w:tc>
        <w:tc>
          <w:tcPr>
            <w:tcW w:w="1020" w:type="dxa"/>
            <w:shd w:val="clear" w:color="auto" w:fill="FFFFFF"/>
            <w:tcMar>
              <w:left w:w="28" w:type="dxa"/>
              <w:right w:w="28" w:type="dxa"/>
            </w:tcMar>
            <w:vAlign w:val="center"/>
          </w:tcPr>
          <w:p w14:paraId="6A2439E9">
            <w:pPr>
              <w:jc w:val="center"/>
              <w:rPr>
                <w:rFonts w:ascii="宋体" w:hAnsi="宋体" w:cs="宋体"/>
                <w:b/>
                <w:sz w:val="18"/>
              </w:rPr>
            </w:pPr>
          </w:p>
        </w:tc>
      </w:tr>
      <w:tr w14:paraId="1CBF6A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shd w:val="clear" w:color="auto" w:fill="FFFFFF"/>
            <w:tcMar>
              <w:left w:w="28" w:type="dxa"/>
              <w:right w:w="28" w:type="dxa"/>
            </w:tcMar>
            <w:vAlign w:val="center"/>
          </w:tcPr>
          <w:p w14:paraId="786B62CD">
            <w:pPr>
              <w:spacing w:line="260" w:lineRule="exact"/>
              <w:jc w:val="center"/>
              <w:rPr>
                <w:color w:val="000000"/>
                <w:sz w:val="18"/>
                <w:szCs w:val="18"/>
              </w:rPr>
            </w:pPr>
          </w:p>
        </w:tc>
        <w:tc>
          <w:tcPr>
            <w:tcW w:w="1976" w:type="dxa"/>
            <w:vMerge w:val="continue"/>
            <w:shd w:val="clear" w:color="auto" w:fill="FFFFFF"/>
            <w:tcMar>
              <w:left w:w="28" w:type="dxa"/>
              <w:right w:w="28" w:type="dxa"/>
            </w:tcMar>
            <w:vAlign w:val="center"/>
          </w:tcPr>
          <w:p w14:paraId="17A52376">
            <w:pPr>
              <w:spacing w:line="260" w:lineRule="exact"/>
              <w:ind w:right="53"/>
              <w:jc w:val="left"/>
              <w:rPr>
                <w:color w:val="000000"/>
                <w:sz w:val="18"/>
                <w:szCs w:val="18"/>
              </w:rPr>
            </w:pPr>
          </w:p>
        </w:tc>
        <w:tc>
          <w:tcPr>
            <w:tcW w:w="951" w:type="dxa"/>
            <w:vMerge w:val="continue"/>
            <w:shd w:val="clear" w:color="auto" w:fill="FFFFFF"/>
            <w:tcMar>
              <w:left w:w="28" w:type="dxa"/>
              <w:right w:w="28" w:type="dxa"/>
            </w:tcMar>
            <w:vAlign w:val="center"/>
          </w:tcPr>
          <w:p w14:paraId="4CD69E82">
            <w:pPr>
              <w:spacing w:line="260" w:lineRule="exact"/>
              <w:jc w:val="center"/>
              <w:rPr>
                <w:color w:val="000000"/>
                <w:sz w:val="18"/>
                <w:szCs w:val="18"/>
              </w:rPr>
            </w:pPr>
          </w:p>
        </w:tc>
        <w:tc>
          <w:tcPr>
            <w:tcW w:w="3348" w:type="dxa"/>
            <w:shd w:val="clear" w:color="auto" w:fill="FFFFFF"/>
            <w:tcMar>
              <w:left w:w="28" w:type="dxa"/>
              <w:right w:w="28" w:type="dxa"/>
            </w:tcMar>
          </w:tcPr>
          <w:p w14:paraId="6719861A">
            <w:pPr>
              <w:spacing w:line="260" w:lineRule="exact"/>
              <w:rPr>
                <w:color w:val="000000"/>
                <w:sz w:val="18"/>
                <w:szCs w:val="18"/>
              </w:rPr>
            </w:pPr>
            <w:r>
              <w:rPr>
                <w:rFonts w:hint="eastAsia" w:ascii="宋体" w:hAnsi="宋体" w:cs="宋体"/>
                <w:sz w:val="18"/>
              </w:rPr>
              <w:t>做好各级安全检查迎检工作，并按时完成缺陷整改闭环。</w:t>
            </w:r>
            <w:r>
              <w:rPr>
                <w:rFonts w:hint="eastAsia"/>
                <w:color w:val="000000"/>
                <w:sz w:val="18"/>
                <w:szCs w:val="18"/>
              </w:rPr>
              <w:t>（3分）</w:t>
            </w:r>
          </w:p>
        </w:tc>
        <w:tc>
          <w:tcPr>
            <w:tcW w:w="3890" w:type="dxa"/>
            <w:shd w:val="clear" w:color="auto" w:fill="FFFFFF"/>
            <w:tcMar>
              <w:left w:w="28" w:type="dxa"/>
              <w:right w:w="28" w:type="dxa"/>
            </w:tcMar>
          </w:tcPr>
          <w:p w14:paraId="32E0FDE9">
            <w:pPr>
              <w:spacing w:line="260" w:lineRule="exact"/>
              <w:rPr>
                <w:color w:val="000000"/>
                <w:sz w:val="18"/>
                <w:szCs w:val="18"/>
              </w:rPr>
            </w:pPr>
            <w:r>
              <w:rPr>
                <w:rFonts w:hint="eastAsia" w:ascii="宋体" w:hAnsi="宋体" w:cs="宋体"/>
                <w:sz w:val="18"/>
              </w:rPr>
              <w:t>未对各级安全检查所发现的问题进行整改闭环，每项扣0.5分。</w:t>
            </w:r>
          </w:p>
        </w:tc>
        <w:tc>
          <w:tcPr>
            <w:tcW w:w="1117" w:type="dxa"/>
            <w:shd w:val="clear" w:color="auto" w:fill="FFFFFF"/>
            <w:tcMar>
              <w:left w:w="28" w:type="dxa"/>
              <w:right w:w="28" w:type="dxa"/>
            </w:tcMar>
            <w:vAlign w:val="center"/>
          </w:tcPr>
          <w:p w14:paraId="61755DD2">
            <w:pPr>
              <w:jc w:val="center"/>
              <w:rPr>
                <w:rFonts w:ascii="宋体" w:hAnsi="宋体" w:cs="宋体"/>
                <w:b/>
                <w:sz w:val="18"/>
              </w:rPr>
            </w:pPr>
          </w:p>
        </w:tc>
        <w:tc>
          <w:tcPr>
            <w:tcW w:w="1020" w:type="dxa"/>
            <w:shd w:val="clear" w:color="auto" w:fill="FFFFFF"/>
            <w:tcMar>
              <w:left w:w="28" w:type="dxa"/>
              <w:right w:w="28" w:type="dxa"/>
            </w:tcMar>
            <w:vAlign w:val="center"/>
          </w:tcPr>
          <w:p w14:paraId="7F917E09">
            <w:pPr>
              <w:jc w:val="center"/>
              <w:rPr>
                <w:rFonts w:ascii="宋体" w:hAnsi="宋体" w:cs="宋体"/>
                <w:b/>
                <w:sz w:val="18"/>
              </w:rPr>
            </w:pPr>
          </w:p>
        </w:tc>
      </w:tr>
      <w:tr w14:paraId="3F2CF8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60" w:hRule="atLeast"/>
          <w:jc w:val="center"/>
        </w:trPr>
        <w:tc>
          <w:tcPr>
            <w:tcW w:w="547" w:type="dxa"/>
            <w:shd w:val="clear" w:color="auto" w:fill="BFBFBF"/>
            <w:tcMar>
              <w:left w:w="28" w:type="dxa"/>
              <w:right w:w="28" w:type="dxa"/>
            </w:tcMar>
            <w:vAlign w:val="center"/>
          </w:tcPr>
          <w:p w14:paraId="59F86146">
            <w:pPr>
              <w:spacing w:line="260" w:lineRule="exact"/>
              <w:jc w:val="center"/>
              <w:rPr>
                <w:rFonts w:ascii="宋体" w:hAnsi="宋体" w:cs="宋体"/>
                <w:b/>
                <w:sz w:val="18"/>
              </w:rPr>
            </w:pPr>
            <w:r>
              <w:rPr>
                <w:rFonts w:hint="eastAsia" w:ascii="宋体" w:hAnsi="宋体" w:cs="宋体"/>
                <w:b/>
                <w:sz w:val="18"/>
              </w:rPr>
              <w:t>5</w:t>
            </w:r>
          </w:p>
        </w:tc>
        <w:tc>
          <w:tcPr>
            <w:tcW w:w="12302" w:type="dxa"/>
            <w:gridSpan w:val="6"/>
            <w:shd w:val="clear" w:color="auto" w:fill="BFBFBF"/>
            <w:tcMar>
              <w:left w:w="28" w:type="dxa"/>
              <w:right w:w="28" w:type="dxa"/>
            </w:tcMar>
            <w:vAlign w:val="center"/>
          </w:tcPr>
          <w:p w14:paraId="40916EBF">
            <w:pPr>
              <w:spacing w:line="260" w:lineRule="exact"/>
              <w:rPr>
                <w:rFonts w:ascii="宋体" w:hAnsi="宋体" w:cs="宋体"/>
                <w:sz w:val="18"/>
              </w:rPr>
            </w:pPr>
            <w:r>
              <w:rPr>
                <w:rFonts w:hint="eastAsia" w:ascii="宋体" w:hAnsi="宋体" w:cs="宋体"/>
                <w:b/>
                <w:sz w:val="18"/>
              </w:rPr>
              <w:t>质量管理（28分）</w:t>
            </w:r>
          </w:p>
        </w:tc>
      </w:tr>
      <w:tr w14:paraId="0BEA28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788B09EB">
            <w:pPr>
              <w:spacing w:line="260" w:lineRule="exact"/>
              <w:jc w:val="center"/>
              <w:rPr>
                <w:rFonts w:ascii="宋体" w:hAnsi="宋体" w:cs="宋体"/>
                <w:b/>
                <w:bCs/>
                <w:sz w:val="18"/>
              </w:rPr>
            </w:pPr>
            <w:r>
              <w:rPr>
                <w:rFonts w:hint="eastAsia" w:ascii="宋体" w:hAnsi="宋体" w:cs="宋体"/>
                <w:b/>
                <w:bCs/>
                <w:sz w:val="18"/>
              </w:rPr>
              <w:t>5.1</w:t>
            </w:r>
          </w:p>
        </w:tc>
        <w:tc>
          <w:tcPr>
            <w:tcW w:w="1976" w:type="dxa"/>
            <w:vMerge w:val="restart"/>
            <w:tcMar>
              <w:left w:w="28" w:type="dxa"/>
              <w:right w:w="28" w:type="dxa"/>
            </w:tcMar>
            <w:vAlign w:val="center"/>
          </w:tcPr>
          <w:p w14:paraId="3DB0FCD8">
            <w:pPr>
              <w:spacing w:line="260" w:lineRule="exact"/>
              <w:ind w:right="53"/>
              <w:jc w:val="left"/>
              <w:rPr>
                <w:rFonts w:ascii="宋体" w:hAnsi="宋体" w:cs="宋体"/>
                <w:b/>
                <w:bCs/>
                <w:sz w:val="18"/>
              </w:rPr>
            </w:pPr>
            <w:r>
              <w:rPr>
                <w:rFonts w:hint="eastAsia" w:ascii="宋体" w:hAnsi="宋体" w:cs="宋体"/>
                <w:b/>
                <w:bCs/>
                <w:sz w:val="18"/>
              </w:rPr>
              <w:t>设备管理</w:t>
            </w:r>
          </w:p>
        </w:tc>
        <w:tc>
          <w:tcPr>
            <w:tcW w:w="951" w:type="dxa"/>
            <w:vMerge w:val="restart"/>
            <w:tcMar>
              <w:left w:w="28" w:type="dxa"/>
              <w:right w:w="28" w:type="dxa"/>
            </w:tcMar>
            <w:vAlign w:val="center"/>
          </w:tcPr>
          <w:p w14:paraId="31E9F219">
            <w:pPr>
              <w:spacing w:line="260" w:lineRule="exact"/>
              <w:jc w:val="center"/>
              <w:rPr>
                <w:rFonts w:ascii="宋体" w:hAnsi="宋体" w:cs="宋体"/>
                <w:sz w:val="18"/>
              </w:rPr>
            </w:pPr>
            <w:r>
              <w:rPr>
                <w:rFonts w:hint="eastAsia" w:ascii="宋体" w:hAnsi="宋体" w:cs="宋体"/>
                <w:sz w:val="18"/>
              </w:rPr>
              <w:t>4</w:t>
            </w:r>
          </w:p>
        </w:tc>
        <w:tc>
          <w:tcPr>
            <w:tcW w:w="3348" w:type="dxa"/>
            <w:tcBorders>
              <w:bottom w:val="single" w:color="000000" w:sz="6" w:space="0"/>
            </w:tcBorders>
            <w:tcMar>
              <w:left w:w="28" w:type="dxa"/>
              <w:right w:w="28" w:type="dxa"/>
            </w:tcMar>
            <w:vAlign w:val="center"/>
          </w:tcPr>
          <w:p w14:paraId="0455C399">
            <w:pPr>
              <w:pStyle w:val="49"/>
              <w:spacing w:line="240" w:lineRule="atLeast"/>
              <w:ind w:left="0" w:leftChars="0" w:rightChars="0"/>
              <w:jc w:val="left"/>
              <w:rPr>
                <w:rFonts w:ascii="宋体" w:hAnsi="宋体" w:cs="宋体"/>
                <w:color w:val="auto"/>
              </w:rPr>
            </w:pPr>
            <w:r>
              <w:rPr>
                <w:rFonts w:hint="eastAsia"/>
                <w:color w:val="auto"/>
              </w:rPr>
              <w:t>对计量器具、检测设备建立台账并报审，对试验（检测）单位资质进行报审；对主要材料或构配件、设备生产厂家的资质证明文件进行报审，对原材料进行跟踪管理。（2分）</w:t>
            </w:r>
          </w:p>
        </w:tc>
        <w:tc>
          <w:tcPr>
            <w:tcW w:w="3890" w:type="dxa"/>
            <w:tcBorders>
              <w:bottom w:val="single" w:color="000000" w:sz="6" w:space="0"/>
            </w:tcBorders>
            <w:tcMar>
              <w:left w:w="28" w:type="dxa"/>
              <w:right w:w="28" w:type="dxa"/>
            </w:tcMar>
            <w:vAlign w:val="center"/>
          </w:tcPr>
          <w:p w14:paraId="5F782368">
            <w:pPr>
              <w:rPr>
                <w:rFonts w:ascii="宋体" w:hAnsi="宋体" w:cs="宋体"/>
                <w:sz w:val="18"/>
              </w:rPr>
            </w:pPr>
            <w:r>
              <w:rPr>
                <w:rFonts w:hint="eastAsia"/>
                <w:sz w:val="18"/>
              </w:rPr>
              <w:t>（1）各类报审表、台账不完备或不规范，每项扣</w:t>
            </w:r>
            <w:r>
              <w:rPr>
                <w:sz w:val="18"/>
              </w:rPr>
              <w:t>0.</w:t>
            </w:r>
            <w:r>
              <w:rPr>
                <w:rFonts w:hint="eastAsia"/>
                <w:sz w:val="18"/>
              </w:rPr>
              <w:t>5分。（2）供货商资质、业绩报审不规范，每项扣0.5分。供货商资质、业绩造假，每项扣2分。</w:t>
            </w:r>
          </w:p>
        </w:tc>
        <w:tc>
          <w:tcPr>
            <w:tcW w:w="1117" w:type="dxa"/>
            <w:tcBorders>
              <w:bottom w:val="single" w:color="000000" w:sz="6" w:space="0"/>
            </w:tcBorders>
            <w:tcMar>
              <w:left w:w="28" w:type="dxa"/>
              <w:right w:w="28" w:type="dxa"/>
            </w:tcMar>
            <w:vAlign w:val="center"/>
          </w:tcPr>
          <w:p w14:paraId="1DF50CEA">
            <w:pPr>
              <w:topLinePunct/>
              <w:snapToGrid w:val="0"/>
              <w:spacing w:line="240" w:lineRule="atLeast"/>
              <w:rPr>
                <w:rFonts w:ascii="宋体" w:hAnsi="宋体" w:cs="宋体"/>
                <w:sz w:val="18"/>
              </w:rPr>
            </w:pPr>
          </w:p>
        </w:tc>
        <w:tc>
          <w:tcPr>
            <w:tcW w:w="1020" w:type="dxa"/>
            <w:tcBorders>
              <w:bottom w:val="single" w:color="000000" w:sz="6" w:space="0"/>
            </w:tcBorders>
            <w:tcMar>
              <w:left w:w="28" w:type="dxa"/>
              <w:right w:w="28" w:type="dxa"/>
            </w:tcMar>
            <w:vAlign w:val="center"/>
          </w:tcPr>
          <w:p w14:paraId="0E833609">
            <w:pPr>
              <w:spacing w:line="260" w:lineRule="exact"/>
              <w:rPr>
                <w:rFonts w:ascii="宋体" w:hAnsi="宋体" w:cs="宋体"/>
                <w:sz w:val="18"/>
              </w:rPr>
            </w:pPr>
          </w:p>
        </w:tc>
      </w:tr>
      <w:tr w14:paraId="70E432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Borders>
              <w:bottom w:val="single" w:color="000000" w:sz="6" w:space="0"/>
            </w:tcBorders>
            <w:tcMar>
              <w:left w:w="28" w:type="dxa"/>
              <w:right w:w="28" w:type="dxa"/>
            </w:tcMar>
            <w:vAlign w:val="center"/>
          </w:tcPr>
          <w:p w14:paraId="42ABFE6C">
            <w:pPr>
              <w:spacing w:line="260" w:lineRule="exact"/>
              <w:jc w:val="center"/>
              <w:rPr>
                <w:rFonts w:ascii="宋体" w:hAnsi="宋体" w:cs="宋体"/>
                <w:b/>
                <w:bCs/>
                <w:sz w:val="18"/>
              </w:rPr>
            </w:pPr>
          </w:p>
        </w:tc>
        <w:tc>
          <w:tcPr>
            <w:tcW w:w="1976" w:type="dxa"/>
            <w:vMerge w:val="continue"/>
            <w:tcBorders>
              <w:bottom w:val="single" w:color="000000" w:sz="6" w:space="0"/>
            </w:tcBorders>
            <w:tcMar>
              <w:left w:w="28" w:type="dxa"/>
              <w:right w:w="28" w:type="dxa"/>
            </w:tcMar>
            <w:vAlign w:val="center"/>
          </w:tcPr>
          <w:p w14:paraId="208132C4">
            <w:pPr>
              <w:spacing w:line="260" w:lineRule="exact"/>
              <w:ind w:right="53"/>
              <w:jc w:val="left"/>
              <w:rPr>
                <w:rFonts w:ascii="宋体" w:hAnsi="宋体" w:cs="宋体"/>
                <w:sz w:val="18"/>
              </w:rPr>
            </w:pPr>
          </w:p>
        </w:tc>
        <w:tc>
          <w:tcPr>
            <w:tcW w:w="951" w:type="dxa"/>
            <w:vMerge w:val="continue"/>
            <w:tcBorders>
              <w:bottom w:val="single" w:color="000000" w:sz="6" w:space="0"/>
            </w:tcBorders>
            <w:tcMar>
              <w:left w:w="28" w:type="dxa"/>
              <w:right w:w="28" w:type="dxa"/>
            </w:tcMar>
            <w:vAlign w:val="center"/>
          </w:tcPr>
          <w:p w14:paraId="4BF64E43">
            <w:pPr>
              <w:spacing w:line="260" w:lineRule="exact"/>
              <w:jc w:val="center"/>
              <w:rPr>
                <w:rFonts w:ascii="宋体" w:hAnsi="宋体" w:cs="宋体"/>
                <w:sz w:val="18"/>
              </w:rPr>
            </w:pPr>
          </w:p>
        </w:tc>
        <w:tc>
          <w:tcPr>
            <w:tcW w:w="3348" w:type="dxa"/>
            <w:tcBorders>
              <w:bottom w:val="single" w:color="000000" w:sz="6" w:space="0"/>
            </w:tcBorders>
            <w:tcMar>
              <w:left w:w="28" w:type="dxa"/>
              <w:right w:w="28" w:type="dxa"/>
            </w:tcMar>
            <w:vAlign w:val="center"/>
          </w:tcPr>
          <w:p w14:paraId="39216E65">
            <w:pPr>
              <w:spacing w:line="260" w:lineRule="exact"/>
              <w:rPr>
                <w:rFonts w:ascii="宋体" w:hAnsi="宋体" w:cs="宋体"/>
                <w:sz w:val="18"/>
              </w:rPr>
            </w:pPr>
            <w:r>
              <w:rPr>
                <w:rFonts w:hint="eastAsia" w:ascii="宋体" w:hAnsi="宋体" w:cs="宋体"/>
                <w:sz w:val="18"/>
              </w:rPr>
              <w:t>对特殊工种和特殊作业人员资格、主要施工机械/工器具/安全用具、大中型施工机械进场/出场进行检查并报审。（2分）</w:t>
            </w:r>
          </w:p>
        </w:tc>
        <w:tc>
          <w:tcPr>
            <w:tcW w:w="3890" w:type="dxa"/>
            <w:tcBorders>
              <w:bottom w:val="single" w:color="000000" w:sz="6" w:space="0"/>
            </w:tcBorders>
            <w:tcMar>
              <w:left w:w="28" w:type="dxa"/>
              <w:right w:w="28" w:type="dxa"/>
            </w:tcMar>
          </w:tcPr>
          <w:p w14:paraId="4C5DC71F">
            <w:pPr>
              <w:spacing w:line="260" w:lineRule="exact"/>
              <w:jc w:val="left"/>
              <w:rPr>
                <w:rFonts w:ascii="宋体" w:hAnsi="宋体" w:cs="宋体"/>
                <w:sz w:val="18"/>
              </w:rPr>
            </w:pPr>
            <w:r>
              <w:rPr>
                <w:rFonts w:hint="eastAsia" w:ascii="宋体" w:hAnsi="宋体" w:cs="宋体"/>
                <w:sz w:val="18"/>
              </w:rPr>
              <w:t>（1）特种作业人员未做到持有效证件上岗，每人扣0.5分；</w:t>
            </w:r>
          </w:p>
          <w:p w14:paraId="7222190C">
            <w:pPr>
              <w:spacing w:line="260" w:lineRule="exact"/>
              <w:jc w:val="left"/>
              <w:rPr>
                <w:rFonts w:ascii="宋体" w:hAnsi="宋体" w:cs="宋体"/>
                <w:sz w:val="18"/>
              </w:rPr>
            </w:pPr>
            <w:r>
              <w:rPr>
                <w:rFonts w:hint="eastAsia" w:ascii="宋体" w:hAnsi="宋体" w:cs="宋体"/>
                <w:sz w:val="18"/>
              </w:rPr>
              <w:t>（2）证件不合格、过期、存档证件复印件不清楚按无证作业，扣0.5分；</w:t>
            </w:r>
          </w:p>
          <w:p w14:paraId="131A36C2">
            <w:pPr>
              <w:spacing w:line="260" w:lineRule="exact"/>
              <w:jc w:val="left"/>
              <w:rPr>
                <w:rFonts w:ascii="宋体" w:hAnsi="宋体" w:cs="宋体"/>
                <w:sz w:val="18"/>
              </w:rPr>
            </w:pPr>
            <w:r>
              <w:rPr>
                <w:rFonts w:hint="eastAsia" w:ascii="宋体" w:hAnsi="宋体" w:cs="宋体"/>
                <w:sz w:val="18"/>
              </w:rPr>
              <w:t>（3）未向监理项目部报审特殊工种/特殊作业人员、主要施工机械/工器具/安全用具、报审大中型施工机械进场/出场，每缺一项扣0.5分。</w:t>
            </w:r>
          </w:p>
        </w:tc>
        <w:tc>
          <w:tcPr>
            <w:tcW w:w="1117" w:type="dxa"/>
            <w:tcBorders>
              <w:bottom w:val="single" w:color="000000" w:sz="6" w:space="0"/>
            </w:tcBorders>
            <w:tcMar>
              <w:left w:w="28" w:type="dxa"/>
              <w:right w:w="28" w:type="dxa"/>
            </w:tcMar>
            <w:vAlign w:val="center"/>
          </w:tcPr>
          <w:p w14:paraId="13776D96">
            <w:pPr>
              <w:topLinePunct/>
              <w:snapToGrid w:val="0"/>
              <w:spacing w:line="240" w:lineRule="atLeast"/>
              <w:rPr>
                <w:rFonts w:ascii="宋体" w:hAnsi="宋体" w:cs="宋体"/>
                <w:sz w:val="18"/>
              </w:rPr>
            </w:pPr>
          </w:p>
        </w:tc>
        <w:tc>
          <w:tcPr>
            <w:tcW w:w="1020" w:type="dxa"/>
            <w:tcBorders>
              <w:bottom w:val="single" w:color="000000" w:sz="6" w:space="0"/>
            </w:tcBorders>
            <w:tcMar>
              <w:left w:w="28" w:type="dxa"/>
              <w:right w:w="28" w:type="dxa"/>
            </w:tcMar>
            <w:vAlign w:val="center"/>
          </w:tcPr>
          <w:p w14:paraId="52F59E8A">
            <w:pPr>
              <w:spacing w:line="260" w:lineRule="exact"/>
              <w:rPr>
                <w:rFonts w:ascii="宋体" w:hAnsi="宋体" w:cs="宋体"/>
                <w:sz w:val="18"/>
              </w:rPr>
            </w:pPr>
          </w:p>
        </w:tc>
      </w:tr>
      <w:tr w14:paraId="7C3125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5A15515B">
            <w:pPr>
              <w:spacing w:line="260" w:lineRule="exact"/>
              <w:jc w:val="center"/>
              <w:rPr>
                <w:rFonts w:ascii="宋体" w:hAnsi="宋体" w:cs="宋体"/>
                <w:b/>
                <w:bCs/>
                <w:sz w:val="18"/>
              </w:rPr>
            </w:pPr>
            <w:r>
              <w:rPr>
                <w:rFonts w:hint="eastAsia" w:ascii="宋体" w:hAnsi="宋体" w:cs="宋体"/>
                <w:b/>
                <w:bCs/>
                <w:sz w:val="18"/>
              </w:rPr>
              <w:t>5.2</w:t>
            </w:r>
          </w:p>
        </w:tc>
        <w:tc>
          <w:tcPr>
            <w:tcW w:w="1976" w:type="dxa"/>
            <w:vMerge w:val="restart"/>
            <w:tcMar>
              <w:left w:w="28" w:type="dxa"/>
              <w:right w:w="28" w:type="dxa"/>
            </w:tcMar>
            <w:vAlign w:val="center"/>
          </w:tcPr>
          <w:p w14:paraId="47BC935B">
            <w:pPr>
              <w:rPr>
                <w:rFonts w:ascii="宋体" w:hAnsi="宋体" w:cs="宋体"/>
                <w:b/>
                <w:bCs/>
                <w:sz w:val="18"/>
              </w:rPr>
            </w:pPr>
            <w:r>
              <w:rPr>
                <w:rFonts w:hint="eastAsia"/>
                <w:b/>
                <w:bCs/>
                <w:color w:val="000000"/>
                <w:sz w:val="18"/>
                <w:szCs w:val="18"/>
              </w:rPr>
              <w:t>过程管理</w:t>
            </w:r>
          </w:p>
        </w:tc>
        <w:tc>
          <w:tcPr>
            <w:tcW w:w="951" w:type="dxa"/>
            <w:vMerge w:val="restart"/>
            <w:tcMar>
              <w:left w:w="28" w:type="dxa"/>
              <w:right w:w="28" w:type="dxa"/>
            </w:tcMar>
            <w:vAlign w:val="center"/>
          </w:tcPr>
          <w:p w14:paraId="54396AF0">
            <w:pPr>
              <w:spacing w:line="260" w:lineRule="exact"/>
              <w:jc w:val="center"/>
              <w:rPr>
                <w:rFonts w:ascii="宋体" w:hAnsi="宋体" w:cs="宋体"/>
                <w:sz w:val="18"/>
              </w:rPr>
            </w:pPr>
            <w:r>
              <w:rPr>
                <w:rFonts w:hint="eastAsia" w:ascii="宋体" w:hAnsi="宋体" w:cs="宋体"/>
                <w:sz w:val="18"/>
              </w:rPr>
              <w:t>5</w:t>
            </w:r>
          </w:p>
        </w:tc>
        <w:tc>
          <w:tcPr>
            <w:tcW w:w="3348" w:type="dxa"/>
            <w:tcBorders>
              <w:bottom w:val="single" w:color="000000" w:sz="6" w:space="0"/>
            </w:tcBorders>
            <w:tcMar>
              <w:left w:w="28" w:type="dxa"/>
              <w:right w:w="28" w:type="dxa"/>
            </w:tcMar>
            <w:vAlign w:val="center"/>
          </w:tcPr>
          <w:p w14:paraId="15BCBA55">
            <w:pPr>
              <w:spacing w:line="260" w:lineRule="exact"/>
              <w:rPr>
                <w:rFonts w:ascii="宋体" w:hAnsi="宋体" w:cs="宋体"/>
                <w:sz w:val="18"/>
              </w:rPr>
            </w:pPr>
            <w:r>
              <w:rPr>
                <w:rFonts w:hint="eastAsia" w:ascii="宋体" w:hAnsi="宋体" w:cs="宋体"/>
                <w:sz w:val="18"/>
              </w:rPr>
              <w:t>编制、收集设备安装记录（施工记录）及试验报告、隐蔽工程检查记录、签证书等资料。（3分）</w:t>
            </w:r>
          </w:p>
        </w:tc>
        <w:tc>
          <w:tcPr>
            <w:tcW w:w="3890" w:type="dxa"/>
            <w:tcBorders>
              <w:bottom w:val="single" w:color="000000" w:sz="6" w:space="0"/>
            </w:tcBorders>
            <w:tcMar>
              <w:left w:w="28" w:type="dxa"/>
              <w:right w:w="28" w:type="dxa"/>
            </w:tcMar>
            <w:vAlign w:val="center"/>
          </w:tcPr>
          <w:p w14:paraId="59FD21FD">
            <w:pPr>
              <w:spacing w:line="260" w:lineRule="exact"/>
              <w:rPr>
                <w:rFonts w:ascii="宋体" w:hAnsi="宋体" w:cs="宋体"/>
                <w:sz w:val="18"/>
              </w:rPr>
            </w:pPr>
            <w:r>
              <w:rPr>
                <w:rFonts w:hint="eastAsia" w:ascii="宋体" w:hAnsi="宋体" w:cs="宋体"/>
                <w:sz w:val="18"/>
              </w:rPr>
              <w:t>缺少一份扣1分；不规范每份扣0.5分。</w:t>
            </w:r>
          </w:p>
        </w:tc>
        <w:tc>
          <w:tcPr>
            <w:tcW w:w="1117" w:type="dxa"/>
            <w:tcBorders>
              <w:bottom w:val="single" w:color="000000" w:sz="6" w:space="0"/>
            </w:tcBorders>
            <w:tcMar>
              <w:left w:w="28" w:type="dxa"/>
              <w:right w:w="28" w:type="dxa"/>
            </w:tcMar>
            <w:vAlign w:val="center"/>
          </w:tcPr>
          <w:p w14:paraId="3EDA6941">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1629949C">
            <w:pPr>
              <w:spacing w:line="260" w:lineRule="exact"/>
              <w:rPr>
                <w:rFonts w:ascii="宋体" w:hAnsi="宋体" w:cs="宋体"/>
                <w:sz w:val="18"/>
              </w:rPr>
            </w:pPr>
          </w:p>
        </w:tc>
      </w:tr>
      <w:tr w14:paraId="4F6D01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Borders>
              <w:bottom w:val="single" w:color="000000" w:sz="6" w:space="0"/>
            </w:tcBorders>
            <w:tcMar>
              <w:left w:w="28" w:type="dxa"/>
              <w:right w:w="28" w:type="dxa"/>
            </w:tcMar>
            <w:vAlign w:val="center"/>
          </w:tcPr>
          <w:p w14:paraId="60D7B218">
            <w:pPr>
              <w:spacing w:line="260" w:lineRule="exact"/>
              <w:jc w:val="center"/>
              <w:rPr>
                <w:rFonts w:ascii="宋体" w:hAnsi="宋体" w:cs="宋体"/>
                <w:b/>
                <w:bCs/>
                <w:sz w:val="18"/>
              </w:rPr>
            </w:pPr>
          </w:p>
        </w:tc>
        <w:tc>
          <w:tcPr>
            <w:tcW w:w="1976" w:type="dxa"/>
            <w:vMerge w:val="continue"/>
            <w:tcBorders>
              <w:bottom w:val="single" w:color="000000" w:sz="6" w:space="0"/>
            </w:tcBorders>
            <w:tcMar>
              <w:left w:w="28" w:type="dxa"/>
              <w:right w:w="28" w:type="dxa"/>
            </w:tcMar>
            <w:vAlign w:val="center"/>
          </w:tcPr>
          <w:p w14:paraId="479DBFB3">
            <w:pPr>
              <w:rPr>
                <w:b/>
                <w:bCs/>
                <w:color w:val="000000"/>
                <w:sz w:val="18"/>
                <w:szCs w:val="18"/>
              </w:rPr>
            </w:pPr>
          </w:p>
        </w:tc>
        <w:tc>
          <w:tcPr>
            <w:tcW w:w="951" w:type="dxa"/>
            <w:vMerge w:val="continue"/>
            <w:tcBorders>
              <w:bottom w:val="single" w:color="000000" w:sz="6" w:space="0"/>
            </w:tcBorders>
            <w:tcMar>
              <w:left w:w="28" w:type="dxa"/>
              <w:right w:w="28" w:type="dxa"/>
            </w:tcMar>
            <w:vAlign w:val="center"/>
          </w:tcPr>
          <w:p w14:paraId="04CF2BD0">
            <w:pPr>
              <w:spacing w:line="260" w:lineRule="exact"/>
              <w:jc w:val="center"/>
              <w:rPr>
                <w:rFonts w:ascii="宋体" w:hAnsi="宋体" w:cs="宋体"/>
                <w:sz w:val="18"/>
              </w:rPr>
            </w:pPr>
          </w:p>
        </w:tc>
        <w:tc>
          <w:tcPr>
            <w:tcW w:w="3348" w:type="dxa"/>
            <w:tcBorders>
              <w:bottom w:val="single" w:color="000000" w:sz="6" w:space="0"/>
            </w:tcBorders>
            <w:tcMar>
              <w:left w:w="28" w:type="dxa"/>
              <w:right w:w="28" w:type="dxa"/>
            </w:tcMar>
            <w:vAlign w:val="center"/>
          </w:tcPr>
          <w:p w14:paraId="1ACECD16">
            <w:pPr>
              <w:spacing w:line="260" w:lineRule="exact"/>
              <w:ind w:right="53"/>
              <w:jc w:val="left"/>
              <w:rPr>
                <w:rFonts w:ascii="宋体" w:hAnsi="宋体" w:cs="宋体"/>
                <w:sz w:val="18"/>
              </w:rPr>
            </w:pPr>
            <w:r>
              <w:rPr>
                <w:rFonts w:hint="eastAsia" w:ascii="宋体" w:hAnsi="宋体" w:cs="宋体"/>
                <w:sz w:val="18"/>
              </w:rPr>
              <w:t>按规定开展质量检查并对质量检查发现的缺陷问题进行闭环管理。（2分）</w:t>
            </w:r>
          </w:p>
        </w:tc>
        <w:tc>
          <w:tcPr>
            <w:tcW w:w="3890" w:type="dxa"/>
            <w:tcBorders>
              <w:bottom w:val="single" w:color="000000" w:sz="6" w:space="0"/>
            </w:tcBorders>
            <w:tcMar>
              <w:left w:w="28" w:type="dxa"/>
              <w:right w:w="28" w:type="dxa"/>
            </w:tcMar>
            <w:vAlign w:val="center"/>
          </w:tcPr>
          <w:p w14:paraId="1A8B6078">
            <w:pPr>
              <w:spacing w:line="260" w:lineRule="exact"/>
              <w:rPr>
                <w:rFonts w:ascii="宋体" w:hAnsi="宋体" w:cs="宋体"/>
                <w:sz w:val="18"/>
              </w:rPr>
            </w:pPr>
            <w:r>
              <w:rPr>
                <w:rFonts w:hint="eastAsia" w:ascii="宋体" w:hAnsi="宋体" w:cs="宋体"/>
                <w:sz w:val="18"/>
              </w:rPr>
              <w:t>每缺一次扣1分，未进行闭环管理每次扣0.5分。</w:t>
            </w:r>
          </w:p>
        </w:tc>
        <w:tc>
          <w:tcPr>
            <w:tcW w:w="1117" w:type="dxa"/>
            <w:tcBorders>
              <w:bottom w:val="single" w:color="000000" w:sz="6" w:space="0"/>
            </w:tcBorders>
            <w:tcMar>
              <w:left w:w="28" w:type="dxa"/>
              <w:right w:w="28" w:type="dxa"/>
            </w:tcMar>
            <w:vAlign w:val="center"/>
          </w:tcPr>
          <w:p w14:paraId="13CDB7B5">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3714103A">
            <w:pPr>
              <w:spacing w:line="260" w:lineRule="exact"/>
              <w:rPr>
                <w:rFonts w:ascii="宋体" w:hAnsi="宋体" w:cs="宋体"/>
                <w:sz w:val="18"/>
              </w:rPr>
            </w:pPr>
          </w:p>
        </w:tc>
      </w:tr>
      <w:tr w14:paraId="251BB3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2A6F6BD8">
            <w:pPr>
              <w:spacing w:line="260" w:lineRule="exact"/>
              <w:jc w:val="center"/>
              <w:rPr>
                <w:rFonts w:ascii="宋体" w:hAnsi="宋体" w:cs="宋体"/>
                <w:b/>
                <w:bCs/>
                <w:sz w:val="18"/>
              </w:rPr>
            </w:pPr>
            <w:r>
              <w:rPr>
                <w:rFonts w:hint="eastAsia" w:ascii="宋体" w:hAnsi="宋体" w:cs="宋体"/>
                <w:b/>
                <w:bCs/>
                <w:sz w:val="18"/>
              </w:rPr>
              <w:t>5.3</w:t>
            </w:r>
          </w:p>
        </w:tc>
        <w:tc>
          <w:tcPr>
            <w:tcW w:w="1976" w:type="dxa"/>
            <w:tcBorders>
              <w:bottom w:val="single" w:color="000000" w:sz="6" w:space="0"/>
            </w:tcBorders>
            <w:tcMar>
              <w:left w:w="28" w:type="dxa"/>
              <w:right w:w="28" w:type="dxa"/>
            </w:tcMar>
            <w:vAlign w:val="center"/>
          </w:tcPr>
          <w:p w14:paraId="54C306F0">
            <w:pPr>
              <w:rPr>
                <w:b/>
                <w:bCs/>
                <w:color w:val="000000"/>
                <w:sz w:val="18"/>
                <w:szCs w:val="18"/>
              </w:rPr>
            </w:pPr>
            <w:r>
              <w:rPr>
                <w:rFonts w:hint="eastAsia"/>
                <w:b/>
                <w:bCs/>
                <w:color w:val="000000"/>
                <w:sz w:val="18"/>
                <w:szCs w:val="18"/>
              </w:rPr>
              <w:t>质量隐患管理</w:t>
            </w:r>
          </w:p>
        </w:tc>
        <w:tc>
          <w:tcPr>
            <w:tcW w:w="951" w:type="dxa"/>
            <w:tcBorders>
              <w:bottom w:val="single" w:color="000000" w:sz="6" w:space="0"/>
            </w:tcBorders>
            <w:tcMar>
              <w:left w:w="28" w:type="dxa"/>
              <w:right w:w="28" w:type="dxa"/>
            </w:tcMar>
            <w:vAlign w:val="center"/>
          </w:tcPr>
          <w:p w14:paraId="1734C4F4">
            <w:pPr>
              <w:spacing w:line="260" w:lineRule="exact"/>
              <w:jc w:val="center"/>
              <w:rPr>
                <w:rFonts w:ascii="宋体" w:hAnsi="宋体" w:cs="宋体"/>
                <w:sz w:val="18"/>
              </w:rPr>
            </w:pPr>
            <w:r>
              <w:rPr>
                <w:rFonts w:hint="eastAsia" w:ascii="宋体" w:hAnsi="宋体" w:cs="宋体"/>
                <w:sz w:val="18"/>
              </w:rPr>
              <w:t>2</w:t>
            </w:r>
          </w:p>
        </w:tc>
        <w:tc>
          <w:tcPr>
            <w:tcW w:w="3348" w:type="dxa"/>
            <w:tcBorders>
              <w:bottom w:val="single" w:color="000000" w:sz="6" w:space="0"/>
            </w:tcBorders>
            <w:tcMar>
              <w:left w:w="28" w:type="dxa"/>
              <w:right w:w="28" w:type="dxa"/>
            </w:tcMar>
          </w:tcPr>
          <w:p w14:paraId="30010345">
            <w:pPr>
              <w:spacing w:line="260" w:lineRule="exact"/>
              <w:rPr>
                <w:rFonts w:ascii="宋体" w:hAnsi="宋体" w:cs="宋体"/>
                <w:sz w:val="18"/>
              </w:rPr>
            </w:pPr>
            <w:r>
              <w:rPr>
                <w:rFonts w:hint="eastAsia" w:ascii="宋体" w:hAnsi="宋体" w:cs="宋体"/>
                <w:sz w:val="18"/>
              </w:rPr>
              <w:t>按规定开展质量隐患排查工作，并按月提交质量隐患排查报告。（2分）</w:t>
            </w:r>
          </w:p>
        </w:tc>
        <w:tc>
          <w:tcPr>
            <w:tcW w:w="3890" w:type="dxa"/>
            <w:tcBorders>
              <w:bottom w:val="single" w:color="000000" w:sz="6" w:space="0"/>
            </w:tcBorders>
            <w:tcMar>
              <w:left w:w="28" w:type="dxa"/>
              <w:right w:w="28" w:type="dxa"/>
            </w:tcMar>
          </w:tcPr>
          <w:p w14:paraId="3CD8910B">
            <w:pPr>
              <w:numPr>
                <w:ilvl w:val="0"/>
                <w:numId w:val="11"/>
              </w:numPr>
              <w:spacing w:line="260" w:lineRule="exact"/>
              <w:jc w:val="left"/>
              <w:rPr>
                <w:rFonts w:ascii="宋体" w:hAnsi="宋体" w:cs="宋体"/>
                <w:sz w:val="18"/>
              </w:rPr>
            </w:pPr>
            <w:r>
              <w:rPr>
                <w:rFonts w:hint="eastAsia" w:ascii="宋体" w:hAnsi="宋体" w:cs="宋体"/>
                <w:sz w:val="18"/>
              </w:rPr>
              <w:t>每月未开展质量隐患排查，扣1分。</w:t>
            </w:r>
          </w:p>
          <w:p w14:paraId="42E2B785">
            <w:pPr>
              <w:numPr>
                <w:ilvl w:val="0"/>
                <w:numId w:val="11"/>
              </w:numPr>
              <w:spacing w:line="260" w:lineRule="exact"/>
              <w:jc w:val="left"/>
              <w:rPr>
                <w:rFonts w:ascii="宋体" w:hAnsi="宋体" w:cs="宋体"/>
                <w:sz w:val="18"/>
              </w:rPr>
            </w:pPr>
            <w:r>
              <w:rPr>
                <w:rFonts w:hint="eastAsia" w:ascii="宋体" w:hAnsi="宋体" w:cs="宋体"/>
                <w:sz w:val="18"/>
              </w:rPr>
              <w:t>每月未提交质量隐患排查报告，扣1分。</w:t>
            </w:r>
          </w:p>
        </w:tc>
        <w:tc>
          <w:tcPr>
            <w:tcW w:w="1117" w:type="dxa"/>
            <w:tcBorders>
              <w:bottom w:val="single" w:color="000000" w:sz="6" w:space="0"/>
            </w:tcBorders>
            <w:tcMar>
              <w:left w:w="28" w:type="dxa"/>
              <w:right w:w="28" w:type="dxa"/>
            </w:tcMar>
            <w:vAlign w:val="center"/>
          </w:tcPr>
          <w:p w14:paraId="6D5BA022">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3ACE4115">
            <w:pPr>
              <w:spacing w:line="260" w:lineRule="exact"/>
              <w:rPr>
                <w:rFonts w:ascii="宋体" w:hAnsi="宋体" w:cs="宋体"/>
                <w:sz w:val="18"/>
              </w:rPr>
            </w:pPr>
          </w:p>
        </w:tc>
      </w:tr>
      <w:tr w14:paraId="37DD0C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5E43931A">
            <w:pPr>
              <w:spacing w:line="260" w:lineRule="exact"/>
              <w:jc w:val="center"/>
              <w:rPr>
                <w:rFonts w:ascii="宋体" w:hAnsi="宋体" w:cs="宋体"/>
                <w:b/>
                <w:bCs/>
                <w:sz w:val="18"/>
              </w:rPr>
            </w:pPr>
            <w:r>
              <w:rPr>
                <w:rFonts w:hint="eastAsia" w:ascii="宋体" w:hAnsi="宋体" w:cs="宋体"/>
                <w:b/>
                <w:bCs/>
                <w:sz w:val="18"/>
              </w:rPr>
              <w:t>5.4</w:t>
            </w:r>
          </w:p>
        </w:tc>
        <w:tc>
          <w:tcPr>
            <w:tcW w:w="1976" w:type="dxa"/>
            <w:tcBorders>
              <w:bottom w:val="single" w:color="000000" w:sz="6" w:space="0"/>
            </w:tcBorders>
            <w:tcMar>
              <w:left w:w="28" w:type="dxa"/>
              <w:right w:w="28" w:type="dxa"/>
            </w:tcMar>
            <w:vAlign w:val="center"/>
          </w:tcPr>
          <w:p w14:paraId="69C601A4">
            <w:pPr>
              <w:rPr>
                <w:rFonts w:ascii="宋体" w:hAnsi="宋体" w:cs="宋体"/>
                <w:sz w:val="18"/>
              </w:rPr>
            </w:pPr>
            <w:r>
              <w:rPr>
                <w:rFonts w:hint="eastAsia"/>
                <w:b/>
                <w:color w:val="000000"/>
                <w:sz w:val="18"/>
                <w:szCs w:val="18"/>
              </w:rPr>
              <w:t>质量通病管理</w:t>
            </w:r>
          </w:p>
        </w:tc>
        <w:tc>
          <w:tcPr>
            <w:tcW w:w="951" w:type="dxa"/>
            <w:tcBorders>
              <w:bottom w:val="single" w:color="000000" w:sz="6" w:space="0"/>
            </w:tcBorders>
            <w:tcMar>
              <w:left w:w="28" w:type="dxa"/>
              <w:right w:w="28" w:type="dxa"/>
            </w:tcMar>
            <w:vAlign w:val="center"/>
          </w:tcPr>
          <w:p w14:paraId="02A36519">
            <w:pPr>
              <w:spacing w:line="260" w:lineRule="exact"/>
              <w:jc w:val="center"/>
              <w:rPr>
                <w:rFonts w:ascii="宋体" w:hAnsi="宋体" w:cs="宋体"/>
                <w:sz w:val="18"/>
              </w:rPr>
            </w:pPr>
            <w:r>
              <w:rPr>
                <w:rFonts w:hint="eastAsia" w:ascii="宋体" w:hAnsi="宋体" w:cs="宋体"/>
                <w:sz w:val="18"/>
              </w:rPr>
              <w:t>2</w:t>
            </w:r>
          </w:p>
        </w:tc>
        <w:tc>
          <w:tcPr>
            <w:tcW w:w="3348" w:type="dxa"/>
            <w:tcBorders>
              <w:bottom w:val="single" w:color="000000" w:sz="6" w:space="0"/>
            </w:tcBorders>
            <w:tcMar>
              <w:left w:w="28" w:type="dxa"/>
              <w:right w:w="28" w:type="dxa"/>
            </w:tcMar>
            <w:vAlign w:val="center"/>
          </w:tcPr>
          <w:p w14:paraId="3B14AB86">
            <w:pPr>
              <w:spacing w:line="260" w:lineRule="exact"/>
              <w:rPr>
                <w:rFonts w:ascii="宋体" w:hAnsi="宋体" w:cs="宋体"/>
                <w:sz w:val="18"/>
              </w:rPr>
            </w:pPr>
            <w:r>
              <w:rPr>
                <w:rFonts w:hint="eastAsia" w:ascii="宋体" w:hAnsi="宋体" w:cs="宋体"/>
                <w:sz w:val="18"/>
              </w:rPr>
              <w:t>编写并上报质量通病防治计划和隐患排查计划。</w:t>
            </w:r>
            <w:r>
              <w:rPr>
                <w:rFonts w:hint="eastAsia" w:ascii="宋体" w:hAnsi="宋体" w:cs="宋体"/>
                <w:kern w:val="18"/>
                <w:sz w:val="18"/>
              </w:rPr>
              <w:t>落实质量通病防治措施，工程结束后进行总结。</w:t>
            </w:r>
            <w:r>
              <w:rPr>
                <w:rFonts w:hint="eastAsia" w:ascii="宋体" w:hAnsi="宋体" w:cs="宋体"/>
                <w:sz w:val="18"/>
              </w:rPr>
              <w:t>（2分）</w:t>
            </w:r>
          </w:p>
        </w:tc>
        <w:tc>
          <w:tcPr>
            <w:tcW w:w="3890" w:type="dxa"/>
            <w:tcBorders>
              <w:bottom w:val="single" w:color="000000" w:sz="6" w:space="0"/>
            </w:tcBorders>
            <w:tcMar>
              <w:left w:w="28" w:type="dxa"/>
              <w:right w:w="28" w:type="dxa"/>
            </w:tcMar>
            <w:vAlign w:val="center"/>
          </w:tcPr>
          <w:p w14:paraId="3E3AB6F4">
            <w:pPr>
              <w:spacing w:line="260" w:lineRule="exact"/>
              <w:rPr>
                <w:rFonts w:ascii="宋体" w:hAnsi="宋体" w:cs="宋体"/>
                <w:sz w:val="18"/>
              </w:rPr>
            </w:pPr>
            <w:r>
              <w:rPr>
                <w:rFonts w:hint="eastAsia" w:ascii="宋体" w:hAnsi="宋体" w:cs="宋体"/>
                <w:sz w:val="18"/>
              </w:rPr>
              <w:t>（1）未编写并上报质量通病防治计划和隐患排查计划，扣1分；</w:t>
            </w:r>
          </w:p>
          <w:p w14:paraId="28951A07">
            <w:pPr>
              <w:spacing w:line="260" w:lineRule="exact"/>
              <w:rPr>
                <w:rFonts w:ascii="宋体" w:hAnsi="宋体" w:cs="宋体"/>
                <w:sz w:val="18"/>
              </w:rPr>
            </w:pPr>
            <w:r>
              <w:rPr>
                <w:rFonts w:hint="eastAsia" w:ascii="宋体" w:hAnsi="宋体" w:cs="宋体"/>
                <w:sz w:val="18"/>
              </w:rPr>
              <w:t>（2）工程实体发现质量通病，每处扣0.5分；未按月进行隐患排查，扣0.5分；</w:t>
            </w:r>
          </w:p>
          <w:p w14:paraId="7512FC1A">
            <w:pPr>
              <w:spacing w:line="260" w:lineRule="exact"/>
              <w:rPr>
                <w:rFonts w:ascii="宋体" w:hAnsi="宋体" w:cs="宋体"/>
                <w:sz w:val="18"/>
              </w:rPr>
            </w:pPr>
            <w:r>
              <w:rPr>
                <w:rFonts w:hint="eastAsia" w:ascii="宋体" w:hAnsi="宋体" w:cs="宋体"/>
                <w:sz w:val="18"/>
              </w:rPr>
              <w:t>（3）无质量通病防治过程检查资料，扣0.5分；无通病防治工作总结，扣0.5分。</w:t>
            </w:r>
          </w:p>
        </w:tc>
        <w:tc>
          <w:tcPr>
            <w:tcW w:w="1117" w:type="dxa"/>
            <w:tcBorders>
              <w:bottom w:val="single" w:color="000000" w:sz="6" w:space="0"/>
            </w:tcBorders>
            <w:tcMar>
              <w:left w:w="28" w:type="dxa"/>
              <w:right w:w="28" w:type="dxa"/>
            </w:tcMar>
            <w:vAlign w:val="center"/>
          </w:tcPr>
          <w:p w14:paraId="3B45A036">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0A3E2458">
            <w:pPr>
              <w:spacing w:line="260" w:lineRule="exact"/>
              <w:rPr>
                <w:rFonts w:ascii="宋体" w:hAnsi="宋体" w:cs="宋体"/>
                <w:sz w:val="18"/>
              </w:rPr>
            </w:pPr>
          </w:p>
        </w:tc>
      </w:tr>
      <w:tr w14:paraId="19368B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67FB9ABD">
            <w:pPr>
              <w:spacing w:line="260" w:lineRule="exact"/>
              <w:jc w:val="center"/>
              <w:rPr>
                <w:rFonts w:ascii="宋体" w:hAnsi="宋体" w:cs="宋体"/>
                <w:b/>
                <w:bCs/>
                <w:sz w:val="18"/>
              </w:rPr>
            </w:pPr>
            <w:r>
              <w:rPr>
                <w:rFonts w:hint="eastAsia" w:ascii="宋体" w:hAnsi="宋体" w:cs="宋体"/>
                <w:b/>
                <w:bCs/>
                <w:sz w:val="18"/>
              </w:rPr>
              <w:t>5.5</w:t>
            </w:r>
          </w:p>
        </w:tc>
        <w:tc>
          <w:tcPr>
            <w:tcW w:w="1976" w:type="dxa"/>
            <w:tcBorders>
              <w:bottom w:val="single" w:color="000000" w:sz="6" w:space="0"/>
            </w:tcBorders>
            <w:tcMar>
              <w:left w:w="28" w:type="dxa"/>
              <w:right w:w="28" w:type="dxa"/>
            </w:tcMar>
            <w:vAlign w:val="center"/>
          </w:tcPr>
          <w:p w14:paraId="1AA3942E">
            <w:pPr>
              <w:rPr>
                <w:rFonts w:ascii="宋体" w:hAnsi="宋体" w:cs="宋体"/>
                <w:sz w:val="18"/>
              </w:rPr>
            </w:pPr>
            <w:r>
              <w:rPr>
                <w:rFonts w:hint="eastAsia"/>
                <w:b/>
                <w:color w:val="000000"/>
                <w:sz w:val="18"/>
                <w:szCs w:val="18"/>
              </w:rPr>
              <w:t>强制条文管理</w:t>
            </w:r>
          </w:p>
        </w:tc>
        <w:tc>
          <w:tcPr>
            <w:tcW w:w="951" w:type="dxa"/>
            <w:tcBorders>
              <w:bottom w:val="single" w:color="000000" w:sz="6" w:space="0"/>
            </w:tcBorders>
            <w:tcMar>
              <w:left w:w="28" w:type="dxa"/>
              <w:right w:w="28" w:type="dxa"/>
            </w:tcMar>
            <w:vAlign w:val="center"/>
          </w:tcPr>
          <w:p w14:paraId="53B877D3">
            <w:pPr>
              <w:spacing w:line="260" w:lineRule="exact"/>
              <w:jc w:val="center"/>
              <w:rPr>
                <w:rFonts w:ascii="宋体" w:hAnsi="宋体" w:cs="宋体"/>
                <w:sz w:val="18"/>
              </w:rPr>
            </w:pPr>
            <w:r>
              <w:rPr>
                <w:rFonts w:hint="eastAsia" w:ascii="宋体" w:hAnsi="宋体" w:cs="宋体"/>
                <w:sz w:val="18"/>
              </w:rPr>
              <w:t>2</w:t>
            </w:r>
          </w:p>
        </w:tc>
        <w:tc>
          <w:tcPr>
            <w:tcW w:w="3348" w:type="dxa"/>
            <w:tcBorders>
              <w:bottom w:val="single" w:color="000000" w:sz="6" w:space="0"/>
            </w:tcBorders>
            <w:tcMar>
              <w:left w:w="28" w:type="dxa"/>
              <w:right w:w="28" w:type="dxa"/>
            </w:tcMar>
            <w:vAlign w:val="center"/>
          </w:tcPr>
          <w:p w14:paraId="263B68FC">
            <w:pPr>
              <w:spacing w:line="260" w:lineRule="exact"/>
              <w:rPr>
                <w:rFonts w:ascii="宋体" w:hAnsi="宋体" w:cs="宋体"/>
                <w:sz w:val="18"/>
              </w:rPr>
            </w:pPr>
            <w:r>
              <w:rPr>
                <w:rFonts w:hint="eastAsia" w:ascii="宋体" w:hAnsi="宋体" w:cs="宋体"/>
                <w:sz w:val="18"/>
              </w:rPr>
              <w:t>编写并上报强条执行计划，据实记录、填写施工强制性条文执行记录。（2分）</w:t>
            </w:r>
          </w:p>
        </w:tc>
        <w:tc>
          <w:tcPr>
            <w:tcW w:w="3890" w:type="dxa"/>
            <w:tcBorders>
              <w:bottom w:val="single" w:color="000000" w:sz="6" w:space="0"/>
            </w:tcBorders>
            <w:tcMar>
              <w:left w:w="28" w:type="dxa"/>
              <w:right w:w="28" w:type="dxa"/>
            </w:tcMar>
            <w:vAlign w:val="center"/>
          </w:tcPr>
          <w:p w14:paraId="4FDA8398">
            <w:pPr>
              <w:spacing w:line="260" w:lineRule="exact"/>
              <w:rPr>
                <w:rFonts w:ascii="宋体" w:hAnsi="宋体" w:cs="宋体"/>
                <w:sz w:val="18"/>
              </w:rPr>
            </w:pPr>
            <w:r>
              <w:rPr>
                <w:rFonts w:hint="eastAsia" w:ascii="宋体" w:hAnsi="宋体" w:cs="宋体"/>
                <w:sz w:val="18"/>
              </w:rPr>
              <w:t>（1）未编制强条执行计划，扣1分；无记录，每少一份扣0.5分；</w:t>
            </w:r>
          </w:p>
          <w:p w14:paraId="470A5C2C">
            <w:pPr>
              <w:spacing w:line="260" w:lineRule="exact"/>
              <w:rPr>
                <w:rFonts w:ascii="宋体" w:hAnsi="宋体" w:cs="宋体"/>
                <w:sz w:val="18"/>
              </w:rPr>
            </w:pPr>
            <w:r>
              <w:rPr>
                <w:rFonts w:hint="eastAsia" w:ascii="宋体" w:hAnsi="宋体" w:cs="宋体"/>
                <w:sz w:val="18"/>
              </w:rPr>
              <w:t>（2）工程实物违反强制性条文规定，每处扣1分</w:t>
            </w:r>
          </w:p>
        </w:tc>
        <w:tc>
          <w:tcPr>
            <w:tcW w:w="1117" w:type="dxa"/>
            <w:tcBorders>
              <w:bottom w:val="single" w:color="000000" w:sz="6" w:space="0"/>
            </w:tcBorders>
            <w:tcMar>
              <w:left w:w="28" w:type="dxa"/>
              <w:right w:w="28" w:type="dxa"/>
            </w:tcMar>
            <w:vAlign w:val="center"/>
          </w:tcPr>
          <w:p w14:paraId="32CDEF85">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4AF95AD8">
            <w:pPr>
              <w:spacing w:line="260" w:lineRule="exact"/>
              <w:rPr>
                <w:rFonts w:ascii="宋体" w:hAnsi="宋体" w:cs="宋体"/>
                <w:sz w:val="18"/>
              </w:rPr>
            </w:pPr>
          </w:p>
        </w:tc>
      </w:tr>
      <w:tr w14:paraId="78A691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456F5EE1">
            <w:pPr>
              <w:spacing w:line="260" w:lineRule="exact"/>
              <w:jc w:val="center"/>
              <w:rPr>
                <w:rFonts w:ascii="宋体" w:hAnsi="宋体" w:cs="宋体"/>
                <w:b/>
                <w:bCs/>
                <w:sz w:val="18"/>
              </w:rPr>
            </w:pPr>
            <w:r>
              <w:rPr>
                <w:rFonts w:hint="eastAsia" w:ascii="宋体" w:hAnsi="宋体" w:cs="宋体"/>
                <w:b/>
                <w:bCs/>
                <w:sz w:val="18"/>
              </w:rPr>
              <w:t>5.6</w:t>
            </w:r>
          </w:p>
        </w:tc>
        <w:tc>
          <w:tcPr>
            <w:tcW w:w="1976" w:type="dxa"/>
            <w:tcBorders>
              <w:bottom w:val="single" w:color="000000" w:sz="6" w:space="0"/>
            </w:tcBorders>
            <w:tcMar>
              <w:left w:w="28" w:type="dxa"/>
              <w:right w:w="28" w:type="dxa"/>
            </w:tcMar>
            <w:vAlign w:val="center"/>
          </w:tcPr>
          <w:p w14:paraId="05E8C664">
            <w:pPr>
              <w:rPr>
                <w:rFonts w:ascii="宋体" w:hAnsi="宋体" w:cs="宋体"/>
                <w:sz w:val="18"/>
              </w:rPr>
            </w:pPr>
            <w:r>
              <w:rPr>
                <w:rFonts w:hint="eastAsia"/>
                <w:b/>
                <w:color w:val="000000"/>
                <w:sz w:val="18"/>
                <w:szCs w:val="18"/>
              </w:rPr>
              <w:t>标准工艺应用</w:t>
            </w:r>
          </w:p>
        </w:tc>
        <w:tc>
          <w:tcPr>
            <w:tcW w:w="951" w:type="dxa"/>
            <w:tcBorders>
              <w:bottom w:val="single" w:color="000000" w:sz="6" w:space="0"/>
            </w:tcBorders>
            <w:tcMar>
              <w:left w:w="28" w:type="dxa"/>
              <w:right w:w="28" w:type="dxa"/>
            </w:tcMar>
            <w:vAlign w:val="center"/>
          </w:tcPr>
          <w:p w14:paraId="3D3E7888">
            <w:pPr>
              <w:spacing w:line="260" w:lineRule="exact"/>
              <w:jc w:val="center"/>
              <w:rPr>
                <w:rFonts w:ascii="宋体" w:hAnsi="宋体" w:cs="宋体"/>
                <w:sz w:val="18"/>
              </w:rPr>
            </w:pPr>
            <w:r>
              <w:rPr>
                <w:rFonts w:hint="eastAsia" w:ascii="宋体" w:hAnsi="宋体" w:cs="宋体"/>
                <w:sz w:val="18"/>
              </w:rPr>
              <w:t>2</w:t>
            </w:r>
          </w:p>
        </w:tc>
        <w:tc>
          <w:tcPr>
            <w:tcW w:w="3348" w:type="dxa"/>
            <w:tcBorders>
              <w:bottom w:val="single" w:color="000000" w:sz="6" w:space="0"/>
            </w:tcBorders>
            <w:tcMar>
              <w:left w:w="28" w:type="dxa"/>
              <w:right w:w="28" w:type="dxa"/>
            </w:tcMar>
            <w:vAlign w:val="center"/>
          </w:tcPr>
          <w:p w14:paraId="19774D1E">
            <w:pPr>
              <w:spacing w:line="260" w:lineRule="exact"/>
              <w:rPr>
                <w:rFonts w:ascii="宋体" w:hAnsi="宋体" w:cs="宋体"/>
                <w:sz w:val="18"/>
              </w:rPr>
            </w:pPr>
            <w:r>
              <w:rPr>
                <w:rFonts w:hint="eastAsia" w:ascii="宋体" w:hAnsi="宋体" w:cs="宋体"/>
                <w:sz w:val="18"/>
              </w:rPr>
              <w:t>编写并上报标准工艺应用计划，</w:t>
            </w:r>
            <w:r>
              <w:rPr>
                <w:rFonts w:hint="eastAsia" w:ascii="宋体" w:hAnsi="宋体" w:cs="宋体"/>
                <w:kern w:val="18"/>
                <w:sz w:val="18"/>
              </w:rPr>
              <w:t>全面实施标准工艺，对过程标准工艺的实施情况进行检查，对质量缺陷进行闭环整改。</w:t>
            </w:r>
            <w:r>
              <w:rPr>
                <w:rFonts w:hint="eastAsia" w:ascii="宋体" w:hAnsi="宋体" w:cs="宋体"/>
                <w:sz w:val="18"/>
              </w:rPr>
              <w:t>（2分）</w:t>
            </w:r>
          </w:p>
        </w:tc>
        <w:tc>
          <w:tcPr>
            <w:tcW w:w="3890" w:type="dxa"/>
            <w:tcBorders>
              <w:bottom w:val="single" w:color="000000" w:sz="6" w:space="0"/>
            </w:tcBorders>
            <w:tcMar>
              <w:left w:w="28" w:type="dxa"/>
              <w:right w:w="28" w:type="dxa"/>
            </w:tcMar>
            <w:vAlign w:val="center"/>
          </w:tcPr>
          <w:p w14:paraId="7116DC62">
            <w:pPr>
              <w:spacing w:line="260" w:lineRule="exact"/>
              <w:rPr>
                <w:rFonts w:ascii="宋体" w:hAnsi="宋体" w:cs="宋体"/>
                <w:sz w:val="18"/>
              </w:rPr>
            </w:pPr>
            <w:r>
              <w:rPr>
                <w:rFonts w:hint="eastAsia" w:ascii="宋体" w:hAnsi="宋体" w:cs="宋体"/>
                <w:sz w:val="18"/>
              </w:rPr>
              <w:t>（1）未编制标准工艺应用计划，扣1分；缺少标准工艺宣贯和培训记录、检查记录，每次扣0.5分；</w:t>
            </w:r>
          </w:p>
          <w:p w14:paraId="1136902B">
            <w:pPr>
              <w:spacing w:line="260" w:lineRule="exact"/>
              <w:rPr>
                <w:rFonts w:ascii="宋体" w:hAnsi="宋体" w:cs="宋体"/>
                <w:sz w:val="18"/>
              </w:rPr>
            </w:pPr>
            <w:r>
              <w:rPr>
                <w:rFonts w:hint="eastAsia" w:ascii="宋体" w:hAnsi="宋体" w:cs="宋体"/>
                <w:sz w:val="18"/>
              </w:rPr>
              <w:t>（2）应采用而未采用标准工艺，每项扣1分；</w:t>
            </w:r>
          </w:p>
          <w:p w14:paraId="5A9F4BFC">
            <w:pPr>
              <w:spacing w:line="260" w:lineRule="exact"/>
              <w:rPr>
                <w:rFonts w:ascii="宋体" w:hAnsi="宋体" w:cs="宋体"/>
                <w:sz w:val="18"/>
              </w:rPr>
            </w:pPr>
            <w:r>
              <w:rPr>
                <w:rFonts w:hint="eastAsia" w:ascii="宋体" w:hAnsi="宋体" w:cs="宋体"/>
                <w:sz w:val="18"/>
              </w:rPr>
              <w:t>（3）未按要求应用“国家电网公司输变电工程工艺标准库”，每项扣0.5分。</w:t>
            </w:r>
          </w:p>
        </w:tc>
        <w:tc>
          <w:tcPr>
            <w:tcW w:w="1117" w:type="dxa"/>
            <w:tcBorders>
              <w:bottom w:val="single" w:color="000000" w:sz="6" w:space="0"/>
            </w:tcBorders>
            <w:tcMar>
              <w:left w:w="28" w:type="dxa"/>
              <w:right w:w="28" w:type="dxa"/>
            </w:tcMar>
            <w:vAlign w:val="center"/>
          </w:tcPr>
          <w:p w14:paraId="27A9D949">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34FB888A">
            <w:pPr>
              <w:spacing w:line="260" w:lineRule="exact"/>
              <w:rPr>
                <w:rFonts w:ascii="宋体" w:hAnsi="宋体" w:cs="宋体"/>
                <w:sz w:val="18"/>
              </w:rPr>
            </w:pPr>
          </w:p>
        </w:tc>
      </w:tr>
      <w:tr w14:paraId="286189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235E4BB3">
            <w:pPr>
              <w:spacing w:line="260" w:lineRule="exact"/>
              <w:jc w:val="center"/>
              <w:rPr>
                <w:rFonts w:ascii="宋体" w:hAnsi="宋体" w:cs="宋体"/>
                <w:b/>
                <w:bCs/>
                <w:sz w:val="18"/>
              </w:rPr>
            </w:pPr>
            <w:r>
              <w:rPr>
                <w:rFonts w:hint="eastAsia" w:ascii="宋体" w:hAnsi="宋体" w:cs="宋体"/>
                <w:b/>
                <w:bCs/>
                <w:sz w:val="18"/>
              </w:rPr>
              <w:t>5.7</w:t>
            </w:r>
          </w:p>
        </w:tc>
        <w:tc>
          <w:tcPr>
            <w:tcW w:w="1976" w:type="dxa"/>
            <w:tcBorders>
              <w:bottom w:val="single" w:color="000000" w:sz="6" w:space="0"/>
            </w:tcBorders>
            <w:tcMar>
              <w:left w:w="28" w:type="dxa"/>
              <w:right w:w="28" w:type="dxa"/>
            </w:tcMar>
            <w:vAlign w:val="center"/>
          </w:tcPr>
          <w:p w14:paraId="57CC4F78">
            <w:pPr>
              <w:rPr>
                <w:rFonts w:ascii="宋体" w:hAnsi="宋体" w:cs="宋体"/>
                <w:sz w:val="18"/>
              </w:rPr>
            </w:pPr>
            <w:r>
              <w:rPr>
                <w:rFonts w:hint="eastAsia"/>
                <w:b/>
                <w:color w:val="000000"/>
                <w:sz w:val="18"/>
                <w:szCs w:val="18"/>
              </w:rPr>
              <w:t>实物样板管理</w:t>
            </w:r>
          </w:p>
        </w:tc>
        <w:tc>
          <w:tcPr>
            <w:tcW w:w="951" w:type="dxa"/>
            <w:tcBorders>
              <w:bottom w:val="single" w:color="000000" w:sz="6" w:space="0"/>
            </w:tcBorders>
            <w:tcMar>
              <w:left w:w="28" w:type="dxa"/>
              <w:right w:w="28" w:type="dxa"/>
            </w:tcMar>
            <w:vAlign w:val="center"/>
          </w:tcPr>
          <w:p w14:paraId="57A3FB8C">
            <w:pPr>
              <w:spacing w:line="260" w:lineRule="exact"/>
              <w:jc w:val="center"/>
              <w:rPr>
                <w:rFonts w:ascii="宋体" w:hAnsi="宋体" w:cs="宋体"/>
                <w:sz w:val="18"/>
              </w:rPr>
            </w:pPr>
            <w:r>
              <w:rPr>
                <w:rFonts w:hint="eastAsia" w:ascii="宋体" w:hAnsi="宋体" w:cs="宋体"/>
                <w:sz w:val="18"/>
              </w:rPr>
              <w:t>3</w:t>
            </w:r>
          </w:p>
        </w:tc>
        <w:tc>
          <w:tcPr>
            <w:tcW w:w="3348" w:type="dxa"/>
            <w:tcBorders>
              <w:bottom w:val="single" w:color="000000" w:sz="6" w:space="0"/>
            </w:tcBorders>
            <w:tcMar>
              <w:left w:w="28" w:type="dxa"/>
              <w:right w:w="28" w:type="dxa"/>
            </w:tcMar>
            <w:vAlign w:val="center"/>
          </w:tcPr>
          <w:p w14:paraId="2C182ECC">
            <w:pPr>
              <w:spacing w:line="260" w:lineRule="exact"/>
              <w:rPr>
                <w:rFonts w:ascii="宋体" w:hAnsi="宋体" w:cs="宋体"/>
                <w:sz w:val="18"/>
              </w:rPr>
            </w:pPr>
            <w:r>
              <w:rPr>
                <w:rFonts w:hint="eastAsia" w:ascii="宋体" w:hAnsi="宋体" w:cs="宋体"/>
                <w:sz w:val="18"/>
              </w:rPr>
              <w:t>负责制作实物样板，并上报监理项目部、业主项目部验收，并按照审定的实物样板作为标准进行大面积施工。（3分）</w:t>
            </w:r>
          </w:p>
        </w:tc>
        <w:tc>
          <w:tcPr>
            <w:tcW w:w="3890" w:type="dxa"/>
            <w:tcBorders>
              <w:bottom w:val="single" w:color="000000" w:sz="6" w:space="0"/>
            </w:tcBorders>
            <w:tcMar>
              <w:left w:w="28" w:type="dxa"/>
              <w:right w:w="28" w:type="dxa"/>
            </w:tcMar>
            <w:vAlign w:val="center"/>
          </w:tcPr>
          <w:p w14:paraId="70B44101">
            <w:pPr>
              <w:numPr>
                <w:ilvl w:val="0"/>
                <w:numId w:val="12"/>
              </w:numPr>
              <w:spacing w:line="260" w:lineRule="exact"/>
              <w:rPr>
                <w:rFonts w:ascii="宋体" w:hAnsi="宋体" w:cs="宋体"/>
                <w:sz w:val="18"/>
              </w:rPr>
            </w:pPr>
            <w:r>
              <w:rPr>
                <w:rFonts w:hint="eastAsia" w:ascii="宋体" w:hAnsi="宋体" w:cs="宋体"/>
                <w:sz w:val="18"/>
              </w:rPr>
              <w:t>未编制样板报审表，每次扣0.5分；</w:t>
            </w:r>
          </w:p>
          <w:p w14:paraId="5DE2FCA9">
            <w:pPr>
              <w:numPr>
                <w:ilvl w:val="0"/>
                <w:numId w:val="12"/>
              </w:numPr>
              <w:spacing w:line="260" w:lineRule="exact"/>
              <w:rPr>
                <w:rFonts w:ascii="宋体" w:hAnsi="宋体" w:cs="宋体"/>
                <w:sz w:val="18"/>
              </w:rPr>
            </w:pPr>
            <w:r>
              <w:rPr>
                <w:rFonts w:hint="eastAsia" w:ascii="宋体" w:hAnsi="宋体" w:cs="宋体"/>
                <w:sz w:val="18"/>
              </w:rPr>
              <w:t>未及时制作实物样板，每次扣0.5分；</w:t>
            </w:r>
          </w:p>
          <w:p w14:paraId="19C66EF2">
            <w:pPr>
              <w:spacing w:line="260" w:lineRule="exact"/>
              <w:rPr>
                <w:rFonts w:ascii="宋体" w:hAnsi="宋体" w:cs="宋体"/>
                <w:sz w:val="18"/>
              </w:rPr>
            </w:pPr>
            <w:r>
              <w:rPr>
                <w:rFonts w:hint="eastAsia" w:ascii="宋体" w:hAnsi="宋体" w:cs="宋体"/>
                <w:sz w:val="18"/>
              </w:rPr>
              <w:t>（2）实物样板未及时申报验收，每次扣0.5分；</w:t>
            </w:r>
          </w:p>
          <w:p w14:paraId="2619A980">
            <w:pPr>
              <w:spacing w:line="260" w:lineRule="exact"/>
              <w:rPr>
                <w:rFonts w:ascii="宋体" w:hAnsi="宋体" w:cs="宋体"/>
                <w:sz w:val="18"/>
              </w:rPr>
            </w:pPr>
            <w:r>
              <w:rPr>
                <w:rFonts w:hint="eastAsia" w:ascii="宋体" w:hAnsi="宋体" w:cs="宋体"/>
                <w:sz w:val="18"/>
              </w:rPr>
              <w:t>（3）施工单位未按实物样板标准进行大面积施工，每次扣1分。</w:t>
            </w:r>
          </w:p>
        </w:tc>
        <w:tc>
          <w:tcPr>
            <w:tcW w:w="1117" w:type="dxa"/>
            <w:tcBorders>
              <w:bottom w:val="single" w:color="000000" w:sz="6" w:space="0"/>
            </w:tcBorders>
            <w:tcMar>
              <w:left w:w="28" w:type="dxa"/>
              <w:right w:w="28" w:type="dxa"/>
            </w:tcMar>
            <w:vAlign w:val="center"/>
          </w:tcPr>
          <w:p w14:paraId="5805D801">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11E717B0">
            <w:pPr>
              <w:spacing w:line="260" w:lineRule="exact"/>
              <w:rPr>
                <w:rFonts w:ascii="宋体" w:hAnsi="宋体" w:cs="宋体"/>
                <w:sz w:val="18"/>
              </w:rPr>
            </w:pPr>
          </w:p>
        </w:tc>
      </w:tr>
      <w:tr w14:paraId="602DBC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073ABB83">
            <w:pPr>
              <w:spacing w:line="260" w:lineRule="exact"/>
              <w:jc w:val="center"/>
              <w:rPr>
                <w:rFonts w:ascii="宋体" w:hAnsi="宋体" w:cs="宋体"/>
                <w:b/>
                <w:bCs/>
                <w:sz w:val="18"/>
              </w:rPr>
            </w:pPr>
            <w:r>
              <w:rPr>
                <w:rFonts w:hint="eastAsia" w:ascii="宋体" w:hAnsi="宋体" w:cs="宋体"/>
                <w:b/>
                <w:bCs/>
                <w:sz w:val="18"/>
              </w:rPr>
              <w:t>5.8</w:t>
            </w:r>
          </w:p>
        </w:tc>
        <w:tc>
          <w:tcPr>
            <w:tcW w:w="1976" w:type="dxa"/>
            <w:vMerge w:val="restart"/>
            <w:tcMar>
              <w:left w:w="28" w:type="dxa"/>
              <w:right w:w="28" w:type="dxa"/>
            </w:tcMar>
            <w:vAlign w:val="center"/>
          </w:tcPr>
          <w:p w14:paraId="69FCE467">
            <w:pPr>
              <w:rPr>
                <w:rFonts w:ascii="宋体" w:hAnsi="宋体" w:cs="宋体"/>
                <w:sz w:val="18"/>
              </w:rPr>
            </w:pPr>
            <w:r>
              <w:rPr>
                <w:rFonts w:hint="eastAsia"/>
                <w:b/>
                <w:color w:val="000000"/>
                <w:sz w:val="18"/>
                <w:szCs w:val="18"/>
              </w:rPr>
              <w:t>验收管理</w:t>
            </w:r>
          </w:p>
        </w:tc>
        <w:tc>
          <w:tcPr>
            <w:tcW w:w="951" w:type="dxa"/>
            <w:vMerge w:val="restart"/>
            <w:tcMar>
              <w:left w:w="28" w:type="dxa"/>
              <w:right w:w="28" w:type="dxa"/>
            </w:tcMar>
            <w:vAlign w:val="center"/>
          </w:tcPr>
          <w:p w14:paraId="09BC8604">
            <w:pPr>
              <w:spacing w:line="260" w:lineRule="exact"/>
              <w:jc w:val="center"/>
              <w:rPr>
                <w:rFonts w:ascii="宋体" w:hAnsi="宋体" w:cs="宋体"/>
                <w:sz w:val="18"/>
              </w:rPr>
            </w:pPr>
            <w:r>
              <w:rPr>
                <w:rFonts w:hint="eastAsia" w:ascii="宋体" w:hAnsi="宋体" w:cs="宋体"/>
                <w:sz w:val="18"/>
              </w:rPr>
              <w:t>6</w:t>
            </w:r>
          </w:p>
        </w:tc>
        <w:tc>
          <w:tcPr>
            <w:tcW w:w="3348" w:type="dxa"/>
            <w:tcBorders>
              <w:bottom w:val="single" w:color="000000" w:sz="6" w:space="0"/>
            </w:tcBorders>
            <w:tcMar>
              <w:left w:w="28" w:type="dxa"/>
              <w:right w:w="28" w:type="dxa"/>
            </w:tcMar>
          </w:tcPr>
          <w:p w14:paraId="0F8E1908">
            <w:pPr>
              <w:spacing w:line="260" w:lineRule="exact"/>
              <w:rPr>
                <w:rFonts w:ascii="宋体" w:hAnsi="宋体" w:cs="宋体"/>
                <w:sz w:val="18"/>
              </w:rPr>
            </w:pPr>
            <w:r>
              <w:rPr>
                <w:rFonts w:hint="eastAsia" w:ascii="宋体" w:hAnsi="宋体" w:cs="宋体"/>
                <w:sz w:val="18"/>
              </w:rPr>
              <w:t>编写施工单位编制质量验评划分表，并及时填写验评记录。（2分）</w:t>
            </w:r>
          </w:p>
        </w:tc>
        <w:tc>
          <w:tcPr>
            <w:tcW w:w="3890" w:type="dxa"/>
            <w:tcBorders>
              <w:bottom w:val="single" w:color="000000" w:sz="6" w:space="0"/>
            </w:tcBorders>
            <w:tcMar>
              <w:left w:w="28" w:type="dxa"/>
              <w:right w:w="28" w:type="dxa"/>
            </w:tcMar>
          </w:tcPr>
          <w:p w14:paraId="1B786AA9">
            <w:pPr>
              <w:spacing w:line="260" w:lineRule="exact"/>
              <w:jc w:val="left"/>
              <w:rPr>
                <w:rFonts w:ascii="宋体" w:hAnsi="宋体" w:cs="宋体"/>
                <w:kern w:val="18"/>
                <w:sz w:val="18"/>
              </w:rPr>
            </w:pPr>
            <w:r>
              <w:rPr>
                <w:rFonts w:hint="eastAsia" w:ascii="宋体" w:hAnsi="宋体" w:cs="宋体"/>
                <w:kern w:val="18"/>
                <w:sz w:val="18"/>
              </w:rPr>
              <w:t>（1）未及时编写施工单位编制质量验评划分表，扣1分；</w:t>
            </w:r>
          </w:p>
          <w:p w14:paraId="42B1B98F">
            <w:pPr>
              <w:spacing w:line="260" w:lineRule="exact"/>
              <w:jc w:val="left"/>
              <w:rPr>
                <w:rFonts w:ascii="宋体" w:hAnsi="宋体" w:cs="宋体"/>
                <w:sz w:val="18"/>
              </w:rPr>
            </w:pPr>
            <w:r>
              <w:rPr>
                <w:rFonts w:hint="eastAsia" w:ascii="宋体" w:hAnsi="宋体" w:cs="宋体"/>
                <w:kern w:val="18"/>
                <w:sz w:val="18"/>
              </w:rPr>
              <w:t>（2）未及时填写验评记录，每次扣0.5分。</w:t>
            </w:r>
          </w:p>
        </w:tc>
        <w:tc>
          <w:tcPr>
            <w:tcW w:w="1117" w:type="dxa"/>
            <w:tcBorders>
              <w:bottom w:val="single" w:color="000000" w:sz="6" w:space="0"/>
            </w:tcBorders>
            <w:tcMar>
              <w:left w:w="28" w:type="dxa"/>
              <w:right w:w="28" w:type="dxa"/>
            </w:tcMar>
            <w:vAlign w:val="center"/>
          </w:tcPr>
          <w:p w14:paraId="663C12FB">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329969B1">
            <w:pPr>
              <w:spacing w:line="260" w:lineRule="exact"/>
              <w:rPr>
                <w:rFonts w:ascii="宋体" w:hAnsi="宋体" w:cs="宋体"/>
                <w:sz w:val="18"/>
              </w:rPr>
            </w:pPr>
          </w:p>
        </w:tc>
      </w:tr>
      <w:tr w14:paraId="2466BB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90" w:hRule="atLeast"/>
          <w:jc w:val="center"/>
        </w:trPr>
        <w:tc>
          <w:tcPr>
            <w:tcW w:w="547" w:type="dxa"/>
            <w:vMerge w:val="continue"/>
            <w:tcMar>
              <w:left w:w="28" w:type="dxa"/>
              <w:right w:w="28" w:type="dxa"/>
            </w:tcMar>
            <w:vAlign w:val="center"/>
          </w:tcPr>
          <w:p w14:paraId="1B6DF5CE">
            <w:pPr>
              <w:spacing w:line="260" w:lineRule="exact"/>
              <w:jc w:val="center"/>
              <w:rPr>
                <w:rFonts w:ascii="宋体" w:hAnsi="宋体" w:cs="宋体"/>
                <w:sz w:val="18"/>
              </w:rPr>
            </w:pPr>
          </w:p>
        </w:tc>
        <w:tc>
          <w:tcPr>
            <w:tcW w:w="1976" w:type="dxa"/>
            <w:vMerge w:val="continue"/>
            <w:tcMar>
              <w:left w:w="28" w:type="dxa"/>
              <w:right w:w="28" w:type="dxa"/>
            </w:tcMar>
            <w:vAlign w:val="center"/>
          </w:tcPr>
          <w:p w14:paraId="1A9270D4">
            <w:pPr>
              <w:spacing w:line="260" w:lineRule="exact"/>
              <w:ind w:right="53"/>
              <w:jc w:val="left"/>
              <w:rPr>
                <w:rFonts w:ascii="宋体" w:hAnsi="宋体" w:cs="宋体"/>
                <w:sz w:val="18"/>
              </w:rPr>
            </w:pPr>
          </w:p>
        </w:tc>
        <w:tc>
          <w:tcPr>
            <w:tcW w:w="951" w:type="dxa"/>
            <w:vMerge w:val="continue"/>
            <w:tcMar>
              <w:left w:w="28" w:type="dxa"/>
              <w:right w:w="28" w:type="dxa"/>
            </w:tcMar>
            <w:vAlign w:val="center"/>
          </w:tcPr>
          <w:p w14:paraId="659009B7">
            <w:pPr>
              <w:spacing w:line="260" w:lineRule="exact"/>
              <w:jc w:val="center"/>
              <w:rPr>
                <w:rFonts w:ascii="宋体" w:hAnsi="宋体" w:cs="宋体"/>
                <w:sz w:val="18"/>
              </w:rPr>
            </w:pPr>
          </w:p>
        </w:tc>
        <w:tc>
          <w:tcPr>
            <w:tcW w:w="3348" w:type="dxa"/>
            <w:tcBorders>
              <w:bottom w:val="single" w:color="000000" w:sz="6" w:space="0"/>
            </w:tcBorders>
            <w:tcMar>
              <w:left w:w="28" w:type="dxa"/>
              <w:right w:w="28" w:type="dxa"/>
            </w:tcMar>
            <w:vAlign w:val="center"/>
          </w:tcPr>
          <w:p w14:paraId="4A693425">
            <w:pPr>
              <w:spacing w:line="260" w:lineRule="exact"/>
              <w:ind w:right="53"/>
              <w:jc w:val="left"/>
              <w:rPr>
                <w:rFonts w:ascii="宋体" w:hAnsi="宋体" w:cs="宋体"/>
                <w:sz w:val="18"/>
              </w:rPr>
            </w:pPr>
            <w:r>
              <w:rPr>
                <w:rFonts w:hint="eastAsia" w:ascii="宋体" w:hAnsi="宋体" w:cs="宋体"/>
                <w:sz w:val="18"/>
              </w:rPr>
              <w:t>执行三级自检，做好三级检验记录、工程验评记录及质量问题管理台账；配合做好监理初检、中间验收、竣工预验收、启动验收和启动试运行以及质量监督检查工作。（2分）</w:t>
            </w:r>
          </w:p>
        </w:tc>
        <w:tc>
          <w:tcPr>
            <w:tcW w:w="3890" w:type="dxa"/>
            <w:tcBorders>
              <w:bottom w:val="single" w:color="000000" w:sz="6" w:space="0"/>
            </w:tcBorders>
            <w:tcMar>
              <w:left w:w="28" w:type="dxa"/>
              <w:right w:w="28" w:type="dxa"/>
            </w:tcMar>
          </w:tcPr>
          <w:p w14:paraId="546F96DC">
            <w:pPr>
              <w:spacing w:line="260" w:lineRule="exact"/>
              <w:jc w:val="left"/>
              <w:rPr>
                <w:rFonts w:ascii="宋体" w:hAnsi="宋体" w:cs="宋体"/>
                <w:sz w:val="18"/>
              </w:rPr>
            </w:pPr>
            <w:r>
              <w:rPr>
                <w:rFonts w:hint="eastAsia" w:ascii="宋体" w:hAnsi="宋体" w:cs="宋体"/>
                <w:sz w:val="18"/>
              </w:rPr>
              <w:t>（1）三级自检记录、工程验评记录及质量问题管理台账，每缺一份扣1分；</w:t>
            </w:r>
          </w:p>
          <w:p w14:paraId="51C61777">
            <w:pPr>
              <w:spacing w:line="260" w:lineRule="exact"/>
              <w:jc w:val="left"/>
              <w:rPr>
                <w:rFonts w:ascii="宋体" w:hAnsi="宋体" w:cs="宋体"/>
                <w:sz w:val="18"/>
              </w:rPr>
            </w:pPr>
            <w:r>
              <w:rPr>
                <w:rFonts w:hint="eastAsia" w:ascii="宋体" w:hAnsi="宋体" w:cs="宋体"/>
                <w:sz w:val="18"/>
              </w:rPr>
              <w:t>（2）验收走过场，每类扣0.5分</w:t>
            </w:r>
          </w:p>
          <w:p w14:paraId="1F058C4A">
            <w:pPr>
              <w:spacing w:line="260" w:lineRule="exact"/>
              <w:jc w:val="left"/>
              <w:rPr>
                <w:rFonts w:ascii="宋体" w:hAnsi="宋体" w:cs="宋体"/>
                <w:sz w:val="18"/>
              </w:rPr>
            </w:pPr>
            <w:r>
              <w:rPr>
                <w:rFonts w:hint="eastAsia" w:ascii="宋体" w:hAnsi="宋体" w:cs="宋体"/>
                <w:sz w:val="18"/>
              </w:rPr>
              <w:t>（3）三级自检记录、工程验评记录及质量问题管理台账不真实、代签字等质量问题，每缺一份扣1分；</w:t>
            </w:r>
          </w:p>
        </w:tc>
        <w:tc>
          <w:tcPr>
            <w:tcW w:w="1117" w:type="dxa"/>
            <w:tcBorders>
              <w:bottom w:val="single" w:color="000000" w:sz="6" w:space="0"/>
            </w:tcBorders>
            <w:tcMar>
              <w:left w:w="28" w:type="dxa"/>
              <w:right w:w="28" w:type="dxa"/>
            </w:tcMar>
            <w:vAlign w:val="center"/>
          </w:tcPr>
          <w:p w14:paraId="50D9E561">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102DC740">
            <w:pPr>
              <w:spacing w:line="260" w:lineRule="exact"/>
              <w:rPr>
                <w:rFonts w:ascii="宋体" w:hAnsi="宋体" w:cs="宋体"/>
                <w:sz w:val="18"/>
              </w:rPr>
            </w:pPr>
          </w:p>
        </w:tc>
      </w:tr>
      <w:tr w14:paraId="1406E7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Borders>
              <w:bottom w:val="single" w:color="000000" w:sz="6" w:space="0"/>
            </w:tcBorders>
            <w:tcMar>
              <w:left w:w="28" w:type="dxa"/>
              <w:right w:w="28" w:type="dxa"/>
            </w:tcMar>
            <w:vAlign w:val="center"/>
          </w:tcPr>
          <w:p w14:paraId="071F8F22">
            <w:pPr>
              <w:spacing w:line="260" w:lineRule="exact"/>
              <w:jc w:val="center"/>
              <w:rPr>
                <w:rFonts w:ascii="宋体" w:hAnsi="宋体" w:cs="宋体"/>
                <w:sz w:val="18"/>
              </w:rPr>
            </w:pPr>
          </w:p>
        </w:tc>
        <w:tc>
          <w:tcPr>
            <w:tcW w:w="1976" w:type="dxa"/>
            <w:vMerge w:val="continue"/>
            <w:tcBorders>
              <w:bottom w:val="single" w:color="000000" w:sz="6" w:space="0"/>
            </w:tcBorders>
            <w:tcMar>
              <w:left w:w="28" w:type="dxa"/>
              <w:right w:w="28" w:type="dxa"/>
            </w:tcMar>
            <w:vAlign w:val="center"/>
          </w:tcPr>
          <w:p w14:paraId="31C7D5EC">
            <w:pPr>
              <w:spacing w:line="260" w:lineRule="exact"/>
              <w:ind w:right="53"/>
              <w:jc w:val="left"/>
              <w:rPr>
                <w:rFonts w:ascii="宋体" w:hAnsi="宋体" w:cs="宋体"/>
                <w:sz w:val="18"/>
              </w:rPr>
            </w:pPr>
          </w:p>
        </w:tc>
        <w:tc>
          <w:tcPr>
            <w:tcW w:w="951" w:type="dxa"/>
            <w:vMerge w:val="continue"/>
            <w:tcBorders>
              <w:bottom w:val="single" w:color="000000" w:sz="6" w:space="0"/>
            </w:tcBorders>
            <w:tcMar>
              <w:left w:w="28" w:type="dxa"/>
              <w:right w:w="28" w:type="dxa"/>
            </w:tcMar>
            <w:vAlign w:val="center"/>
          </w:tcPr>
          <w:p w14:paraId="0310D5FD">
            <w:pPr>
              <w:spacing w:line="260" w:lineRule="exact"/>
              <w:jc w:val="center"/>
              <w:rPr>
                <w:rFonts w:ascii="宋体" w:hAnsi="宋体" w:cs="宋体"/>
                <w:sz w:val="18"/>
              </w:rPr>
            </w:pPr>
          </w:p>
        </w:tc>
        <w:tc>
          <w:tcPr>
            <w:tcW w:w="3348" w:type="dxa"/>
            <w:tcBorders>
              <w:bottom w:val="single" w:color="000000" w:sz="6" w:space="0"/>
            </w:tcBorders>
            <w:tcMar>
              <w:left w:w="28" w:type="dxa"/>
              <w:right w:w="28" w:type="dxa"/>
            </w:tcMar>
            <w:vAlign w:val="center"/>
          </w:tcPr>
          <w:p w14:paraId="7F494E48">
            <w:pPr>
              <w:spacing w:line="260" w:lineRule="exact"/>
              <w:ind w:right="53"/>
              <w:jc w:val="left"/>
              <w:rPr>
                <w:rFonts w:ascii="宋体" w:hAnsi="宋体" w:cs="宋体"/>
                <w:sz w:val="18"/>
              </w:rPr>
            </w:pPr>
            <w:r>
              <w:rPr>
                <w:rFonts w:hint="eastAsia" w:ascii="宋体" w:hAnsi="宋体" w:cs="宋体"/>
                <w:sz w:val="18"/>
              </w:rPr>
              <w:t>及时对质监、验收过程发现的缺陷按时整改闭环。（2分）</w:t>
            </w:r>
          </w:p>
        </w:tc>
        <w:tc>
          <w:tcPr>
            <w:tcW w:w="3890" w:type="dxa"/>
            <w:tcBorders>
              <w:bottom w:val="single" w:color="000000" w:sz="6" w:space="0"/>
            </w:tcBorders>
            <w:tcMar>
              <w:left w:w="28" w:type="dxa"/>
              <w:right w:w="28" w:type="dxa"/>
            </w:tcMar>
          </w:tcPr>
          <w:p w14:paraId="37DCF400">
            <w:pPr>
              <w:spacing w:line="260" w:lineRule="exact"/>
              <w:jc w:val="left"/>
              <w:rPr>
                <w:rFonts w:ascii="宋体" w:hAnsi="宋体" w:cs="宋体"/>
                <w:sz w:val="18"/>
              </w:rPr>
            </w:pPr>
            <w:r>
              <w:rPr>
                <w:rFonts w:hint="eastAsia" w:ascii="宋体" w:hAnsi="宋体" w:cs="宋体"/>
                <w:sz w:val="18"/>
              </w:rPr>
              <w:t>未及时整改，每项扣1分。</w:t>
            </w:r>
          </w:p>
        </w:tc>
        <w:tc>
          <w:tcPr>
            <w:tcW w:w="1117" w:type="dxa"/>
            <w:tcBorders>
              <w:bottom w:val="single" w:color="000000" w:sz="6" w:space="0"/>
            </w:tcBorders>
            <w:tcMar>
              <w:left w:w="28" w:type="dxa"/>
              <w:right w:w="28" w:type="dxa"/>
            </w:tcMar>
            <w:vAlign w:val="center"/>
          </w:tcPr>
          <w:p w14:paraId="24D7E830">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63965051">
            <w:pPr>
              <w:spacing w:line="260" w:lineRule="exact"/>
              <w:rPr>
                <w:rFonts w:ascii="宋体" w:hAnsi="宋体" w:cs="宋体"/>
                <w:sz w:val="18"/>
              </w:rPr>
            </w:pPr>
          </w:p>
        </w:tc>
      </w:tr>
      <w:tr w14:paraId="615F82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2C27F101">
            <w:pPr>
              <w:spacing w:line="260" w:lineRule="exact"/>
              <w:jc w:val="center"/>
              <w:rPr>
                <w:rFonts w:ascii="宋体" w:hAnsi="宋体" w:cs="宋体"/>
                <w:b/>
                <w:bCs/>
                <w:sz w:val="18"/>
              </w:rPr>
            </w:pPr>
            <w:r>
              <w:rPr>
                <w:rFonts w:hint="eastAsia" w:ascii="宋体" w:hAnsi="宋体" w:cs="宋体"/>
                <w:b/>
                <w:bCs/>
                <w:sz w:val="18"/>
              </w:rPr>
              <w:t>5.9</w:t>
            </w:r>
          </w:p>
        </w:tc>
        <w:tc>
          <w:tcPr>
            <w:tcW w:w="1976" w:type="dxa"/>
            <w:tcBorders>
              <w:bottom w:val="single" w:color="000000" w:sz="6" w:space="0"/>
            </w:tcBorders>
            <w:tcMar>
              <w:left w:w="28" w:type="dxa"/>
              <w:right w:w="28" w:type="dxa"/>
            </w:tcMar>
            <w:vAlign w:val="center"/>
          </w:tcPr>
          <w:p w14:paraId="2670733A">
            <w:pPr>
              <w:spacing w:line="260" w:lineRule="exact"/>
              <w:jc w:val="center"/>
              <w:rPr>
                <w:rFonts w:ascii="宋体" w:hAnsi="宋体" w:cs="宋体"/>
                <w:b/>
                <w:bCs/>
                <w:sz w:val="18"/>
              </w:rPr>
            </w:pPr>
            <w:r>
              <w:rPr>
                <w:rFonts w:hint="eastAsia" w:ascii="宋体" w:hAnsi="宋体" w:cs="宋体"/>
                <w:b/>
                <w:bCs/>
                <w:sz w:val="18"/>
              </w:rPr>
              <w:t>典型案例及典型经验</w:t>
            </w:r>
          </w:p>
        </w:tc>
        <w:tc>
          <w:tcPr>
            <w:tcW w:w="951" w:type="dxa"/>
            <w:tcBorders>
              <w:bottom w:val="single" w:color="000000" w:sz="6" w:space="0"/>
            </w:tcBorders>
            <w:tcMar>
              <w:left w:w="28" w:type="dxa"/>
              <w:right w:w="28" w:type="dxa"/>
            </w:tcMar>
            <w:vAlign w:val="center"/>
          </w:tcPr>
          <w:p w14:paraId="36E37888">
            <w:pPr>
              <w:spacing w:line="260" w:lineRule="exact"/>
              <w:jc w:val="center"/>
              <w:rPr>
                <w:rFonts w:ascii="宋体" w:hAnsi="宋体" w:cs="宋体"/>
                <w:sz w:val="18"/>
              </w:rPr>
            </w:pPr>
            <w:r>
              <w:rPr>
                <w:rFonts w:hint="eastAsia" w:ascii="宋体" w:hAnsi="宋体" w:cs="宋体"/>
                <w:sz w:val="18"/>
              </w:rPr>
              <w:t>2</w:t>
            </w:r>
          </w:p>
        </w:tc>
        <w:tc>
          <w:tcPr>
            <w:tcW w:w="3348" w:type="dxa"/>
            <w:tcBorders>
              <w:bottom w:val="single" w:color="000000" w:sz="6" w:space="0"/>
            </w:tcBorders>
            <w:tcMar>
              <w:left w:w="28" w:type="dxa"/>
              <w:right w:w="28" w:type="dxa"/>
            </w:tcMar>
            <w:vAlign w:val="center"/>
          </w:tcPr>
          <w:p w14:paraId="323563A9">
            <w:pPr>
              <w:spacing w:line="260" w:lineRule="exact"/>
              <w:ind w:right="53"/>
              <w:jc w:val="left"/>
              <w:rPr>
                <w:rFonts w:ascii="宋体" w:hAnsi="宋体" w:cs="宋体"/>
                <w:sz w:val="18"/>
              </w:rPr>
            </w:pPr>
            <w:r>
              <w:rPr>
                <w:rFonts w:hint="eastAsia" w:ascii="宋体" w:hAnsi="宋体" w:cs="宋体"/>
                <w:sz w:val="18"/>
              </w:rPr>
              <w:t>按规定格式及时开展典型案例及典型经验的总结工作，按月提交典型案例及典型经验报告。（2分）</w:t>
            </w:r>
          </w:p>
        </w:tc>
        <w:tc>
          <w:tcPr>
            <w:tcW w:w="3890" w:type="dxa"/>
            <w:tcBorders>
              <w:bottom w:val="single" w:color="000000" w:sz="6" w:space="0"/>
            </w:tcBorders>
            <w:tcMar>
              <w:left w:w="28" w:type="dxa"/>
              <w:right w:w="28" w:type="dxa"/>
            </w:tcMar>
          </w:tcPr>
          <w:p w14:paraId="56C54DF7">
            <w:pPr>
              <w:spacing w:line="260" w:lineRule="exact"/>
              <w:jc w:val="left"/>
              <w:rPr>
                <w:rFonts w:ascii="宋体" w:hAnsi="宋体" w:cs="宋体"/>
                <w:sz w:val="18"/>
              </w:rPr>
            </w:pPr>
            <w:r>
              <w:rPr>
                <w:rFonts w:hint="eastAsia" w:ascii="宋体" w:hAnsi="宋体" w:cs="宋体"/>
                <w:sz w:val="18"/>
              </w:rPr>
              <w:t>（1）每月未开展典型案例及典型经验总结扣0.5分，每月未提交总结报告扣1分。</w:t>
            </w:r>
          </w:p>
        </w:tc>
        <w:tc>
          <w:tcPr>
            <w:tcW w:w="1117" w:type="dxa"/>
            <w:tcBorders>
              <w:bottom w:val="single" w:color="000000" w:sz="6" w:space="0"/>
            </w:tcBorders>
            <w:tcMar>
              <w:left w:w="28" w:type="dxa"/>
              <w:right w:w="28" w:type="dxa"/>
            </w:tcMar>
            <w:vAlign w:val="center"/>
          </w:tcPr>
          <w:p w14:paraId="2893A230">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4450F416">
            <w:pPr>
              <w:spacing w:line="260" w:lineRule="exact"/>
              <w:rPr>
                <w:rFonts w:ascii="宋体" w:hAnsi="宋体" w:cs="宋体"/>
                <w:sz w:val="18"/>
              </w:rPr>
            </w:pPr>
          </w:p>
        </w:tc>
      </w:tr>
      <w:tr w14:paraId="18C8B4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75" w:hRule="atLeast"/>
          <w:jc w:val="center"/>
        </w:trPr>
        <w:tc>
          <w:tcPr>
            <w:tcW w:w="547" w:type="dxa"/>
            <w:shd w:val="clear" w:color="auto" w:fill="BEBEBE"/>
            <w:tcMar>
              <w:left w:w="28" w:type="dxa"/>
              <w:right w:w="28" w:type="dxa"/>
            </w:tcMar>
            <w:vAlign w:val="center"/>
          </w:tcPr>
          <w:p w14:paraId="50AC0D1D">
            <w:pPr>
              <w:spacing w:line="260" w:lineRule="exact"/>
              <w:jc w:val="center"/>
              <w:rPr>
                <w:rFonts w:ascii="宋体" w:hAnsi="宋体" w:cs="宋体"/>
                <w:sz w:val="18"/>
                <w:szCs w:val="18"/>
              </w:rPr>
            </w:pPr>
            <w:r>
              <w:rPr>
                <w:rFonts w:hint="eastAsia" w:ascii="宋体" w:hAnsi="宋体" w:cs="宋体"/>
                <w:b/>
                <w:sz w:val="18"/>
              </w:rPr>
              <w:t>6</w:t>
            </w:r>
          </w:p>
        </w:tc>
        <w:tc>
          <w:tcPr>
            <w:tcW w:w="12302" w:type="dxa"/>
            <w:gridSpan w:val="6"/>
            <w:shd w:val="clear" w:color="auto" w:fill="BEBEBE"/>
            <w:tcMar>
              <w:left w:w="28" w:type="dxa"/>
              <w:right w:w="28" w:type="dxa"/>
            </w:tcMar>
            <w:vAlign w:val="center"/>
          </w:tcPr>
          <w:p w14:paraId="2A0F29A3">
            <w:pPr>
              <w:spacing w:line="260" w:lineRule="exact"/>
              <w:rPr>
                <w:rFonts w:ascii="宋体" w:hAnsi="宋体" w:cs="宋体"/>
                <w:sz w:val="18"/>
              </w:rPr>
            </w:pPr>
            <w:r>
              <w:rPr>
                <w:rFonts w:hint="eastAsia" w:ascii="宋体" w:hAnsi="宋体" w:cs="宋体"/>
                <w:b/>
                <w:sz w:val="18"/>
              </w:rPr>
              <w:t>技术管理（8分）</w:t>
            </w:r>
          </w:p>
        </w:tc>
      </w:tr>
      <w:tr w14:paraId="036976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549C811F">
            <w:pPr>
              <w:spacing w:line="260" w:lineRule="exact"/>
              <w:jc w:val="center"/>
              <w:rPr>
                <w:rFonts w:ascii="宋体" w:hAnsi="宋体" w:cs="宋体"/>
                <w:sz w:val="18"/>
                <w:szCs w:val="18"/>
              </w:rPr>
            </w:pPr>
            <w:r>
              <w:rPr>
                <w:rFonts w:hint="eastAsia" w:ascii="宋体" w:hAnsi="宋体" w:cs="宋体"/>
                <w:b/>
                <w:bCs/>
                <w:sz w:val="18"/>
              </w:rPr>
              <w:t>6.1</w:t>
            </w:r>
          </w:p>
        </w:tc>
        <w:tc>
          <w:tcPr>
            <w:tcW w:w="1976" w:type="dxa"/>
            <w:tcMar>
              <w:left w:w="28" w:type="dxa"/>
              <w:right w:w="28" w:type="dxa"/>
            </w:tcMar>
            <w:vAlign w:val="center"/>
          </w:tcPr>
          <w:p w14:paraId="42340967">
            <w:pPr>
              <w:spacing w:line="260" w:lineRule="exact"/>
              <w:rPr>
                <w:rFonts w:ascii="宋体" w:hAnsi="宋体" w:cs="宋体"/>
                <w:sz w:val="18"/>
                <w:szCs w:val="18"/>
              </w:rPr>
            </w:pPr>
            <w:r>
              <w:rPr>
                <w:rFonts w:hint="eastAsia" w:ascii="宋体" w:hAnsi="宋体" w:cs="宋体"/>
                <w:b/>
                <w:sz w:val="18"/>
              </w:rPr>
              <w:t>技术清单管理</w:t>
            </w:r>
          </w:p>
        </w:tc>
        <w:tc>
          <w:tcPr>
            <w:tcW w:w="951" w:type="dxa"/>
            <w:tcMar>
              <w:left w:w="28" w:type="dxa"/>
              <w:right w:w="28" w:type="dxa"/>
            </w:tcMar>
            <w:vAlign w:val="center"/>
          </w:tcPr>
          <w:p w14:paraId="537A43E5">
            <w:pPr>
              <w:spacing w:line="260" w:lineRule="exact"/>
              <w:jc w:val="center"/>
              <w:rPr>
                <w:rFonts w:ascii="宋体" w:hAnsi="宋体" w:cs="宋体"/>
                <w:sz w:val="18"/>
                <w:szCs w:val="18"/>
              </w:rPr>
            </w:pPr>
            <w:r>
              <w:rPr>
                <w:rFonts w:hint="eastAsia" w:ascii="宋体" w:hAnsi="宋体" w:cs="宋体"/>
                <w:sz w:val="18"/>
              </w:rPr>
              <w:t>1</w:t>
            </w:r>
          </w:p>
        </w:tc>
        <w:tc>
          <w:tcPr>
            <w:tcW w:w="3348" w:type="dxa"/>
            <w:tcMar>
              <w:left w:w="28" w:type="dxa"/>
              <w:right w:w="28" w:type="dxa"/>
            </w:tcMar>
          </w:tcPr>
          <w:p w14:paraId="4ED4041D">
            <w:pPr>
              <w:spacing w:line="260" w:lineRule="exact"/>
              <w:rPr>
                <w:rFonts w:ascii="宋体" w:hAnsi="宋体" w:cs="宋体"/>
                <w:sz w:val="18"/>
              </w:rPr>
            </w:pPr>
            <w:r>
              <w:rPr>
                <w:rFonts w:hint="eastAsia" w:ascii="宋体" w:hAnsi="宋体" w:cs="宋体"/>
                <w:sz w:val="18"/>
              </w:rPr>
              <w:t>建立施工方案清单并滚动更新编审批及执行情况。建立技术标准执行清单并及时进行更新。（1分）</w:t>
            </w:r>
          </w:p>
        </w:tc>
        <w:tc>
          <w:tcPr>
            <w:tcW w:w="3890" w:type="dxa"/>
            <w:tcMar>
              <w:left w:w="28" w:type="dxa"/>
              <w:right w:w="28" w:type="dxa"/>
            </w:tcMar>
          </w:tcPr>
          <w:p w14:paraId="214C8020">
            <w:pPr>
              <w:spacing w:line="260" w:lineRule="exact"/>
              <w:rPr>
                <w:rFonts w:ascii="宋体" w:hAnsi="宋体" w:cs="宋体"/>
                <w:sz w:val="18"/>
              </w:rPr>
            </w:pPr>
            <w:r>
              <w:rPr>
                <w:rFonts w:hint="eastAsia" w:ascii="宋体" w:hAnsi="宋体" w:cs="宋体"/>
                <w:sz w:val="18"/>
              </w:rPr>
              <w:t>（1）未建立清单扣1分；</w:t>
            </w:r>
          </w:p>
          <w:p w14:paraId="6AC6F932">
            <w:pPr>
              <w:spacing w:line="260" w:lineRule="exact"/>
              <w:rPr>
                <w:rFonts w:ascii="宋体" w:hAnsi="宋体" w:cs="宋体"/>
                <w:sz w:val="18"/>
                <w:szCs w:val="18"/>
              </w:rPr>
            </w:pPr>
            <w:r>
              <w:rPr>
                <w:rFonts w:hint="eastAsia" w:ascii="宋体" w:hAnsi="宋体" w:cs="宋体"/>
                <w:sz w:val="18"/>
              </w:rPr>
              <w:t>（2）有未更新项，每项扣0.5分。</w:t>
            </w:r>
          </w:p>
        </w:tc>
        <w:tc>
          <w:tcPr>
            <w:tcW w:w="1117" w:type="dxa"/>
            <w:tcMar>
              <w:left w:w="28" w:type="dxa"/>
              <w:right w:w="28" w:type="dxa"/>
            </w:tcMar>
            <w:vAlign w:val="center"/>
          </w:tcPr>
          <w:p w14:paraId="62F22654">
            <w:pPr>
              <w:spacing w:line="260" w:lineRule="exact"/>
              <w:rPr>
                <w:rFonts w:ascii="宋体" w:hAnsi="宋体" w:cs="宋体"/>
                <w:sz w:val="18"/>
              </w:rPr>
            </w:pPr>
          </w:p>
        </w:tc>
        <w:tc>
          <w:tcPr>
            <w:tcW w:w="1020" w:type="dxa"/>
            <w:tcMar>
              <w:left w:w="28" w:type="dxa"/>
              <w:right w:w="28" w:type="dxa"/>
            </w:tcMar>
            <w:vAlign w:val="center"/>
          </w:tcPr>
          <w:p w14:paraId="0665CF78">
            <w:pPr>
              <w:spacing w:line="260" w:lineRule="exact"/>
              <w:rPr>
                <w:rFonts w:ascii="宋体" w:hAnsi="宋体" w:cs="宋体"/>
                <w:sz w:val="18"/>
              </w:rPr>
            </w:pPr>
          </w:p>
        </w:tc>
      </w:tr>
      <w:tr w14:paraId="21BDFA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290DE877">
            <w:pPr>
              <w:spacing w:line="260" w:lineRule="exact"/>
              <w:jc w:val="center"/>
              <w:rPr>
                <w:rFonts w:ascii="宋体" w:hAnsi="宋体" w:cs="宋体"/>
                <w:b/>
                <w:bCs/>
                <w:sz w:val="18"/>
                <w:szCs w:val="18"/>
              </w:rPr>
            </w:pPr>
            <w:r>
              <w:rPr>
                <w:rFonts w:hint="eastAsia" w:ascii="宋体" w:hAnsi="宋体" w:cs="宋体"/>
                <w:b/>
                <w:bCs/>
                <w:sz w:val="18"/>
              </w:rPr>
              <w:t>6.2</w:t>
            </w:r>
          </w:p>
        </w:tc>
        <w:tc>
          <w:tcPr>
            <w:tcW w:w="1976" w:type="dxa"/>
            <w:vMerge w:val="restart"/>
            <w:tcMar>
              <w:left w:w="28" w:type="dxa"/>
              <w:right w:w="28" w:type="dxa"/>
            </w:tcMar>
            <w:vAlign w:val="center"/>
          </w:tcPr>
          <w:p w14:paraId="315D3E23">
            <w:pPr>
              <w:spacing w:line="260" w:lineRule="exact"/>
              <w:rPr>
                <w:rFonts w:ascii="宋体" w:hAnsi="宋体" w:cs="宋体"/>
                <w:b/>
                <w:bCs/>
                <w:sz w:val="18"/>
                <w:szCs w:val="18"/>
              </w:rPr>
            </w:pPr>
            <w:r>
              <w:rPr>
                <w:rFonts w:hint="eastAsia" w:ascii="宋体" w:hAnsi="宋体" w:cs="宋体"/>
                <w:b/>
                <w:bCs/>
                <w:sz w:val="18"/>
              </w:rPr>
              <w:t>施工技术管理</w:t>
            </w:r>
          </w:p>
        </w:tc>
        <w:tc>
          <w:tcPr>
            <w:tcW w:w="951" w:type="dxa"/>
            <w:vMerge w:val="restart"/>
            <w:tcMar>
              <w:left w:w="28" w:type="dxa"/>
              <w:right w:w="28" w:type="dxa"/>
            </w:tcMar>
            <w:vAlign w:val="center"/>
          </w:tcPr>
          <w:p w14:paraId="0EE347DE">
            <w:pPr>
              <w:spacing w:line="260" w:lineRule="exact"/>
              <w:jc w:val="center"/>
              <w:rPr>
                <w:rFonts w:ascii="宋体" w:hAnsi="宋体" w:cs="宋体"/>
                <w:sz w:val="18"/>
                <w:szCs w:val="18"/>
              </w:rPr>
            </w:pPr>
            <w:r>
              <w:rPr>
                <w:rFonts w:hint="eastAsia" w:ascii="宋体" w:hAnsi="宋体" w:cs="宋体"/>
                <w:sz w:val="18"/>
              </w:rPr>
              <w:t>4</w:t>
            </w:r>
          </w:p>
        </w:tc>
        <w:tc>
          <w:tcPr>
            <w:tcW w:w="3348" w:type="dxa"/>
            <w:tcMar>
              <w:left w:w="28" w:type="dxa"/>
              <w:right w:w="28" w:type="dxa"/>
            </w:tcMar>
            <w:vAlign w:val="center"/>
          </w:tcPr>
          <w:p w14:paraId="7394DEA1">
            <w:pPr>
              <w:spacing w:line="260" w:lineRule="exact"/>
              <w:rPr>
                <w:rFonts w:ascii="宋体" w:hAnsi="宋体" w:cs="宋体"/>
                <w:sz w:val="18"/>
              </w:rPr>
            </w:pPr>
            <w:r>
              <w:rPr>
                <w:rFonts w:hint="eastAsia" w:ascii="宋体" w:hAnsi="宋体" w:cs="宋体"/>
                <w:sz w:val="18"/>
              </w:rPr>
              <w:t>对施工图进行预检，形成预检意见。编制施工方案（措施）、作业指导书并履行审批程序，审批后进行技术交底，监督技术方案在现场的实际执行。（4分）</w:t>
            </w:r>
          </w:p>
        </w:tc>
        <w:tc>
          <w:tcPr>
            <w:tcW w:w="3890" w:type="dxa"/>
            <w:tcMar>
              <w:left w:w="28" w:type="dxa"/>
              <w:right w:w="28" w:type="dxa"/>
            </w:tcMar>
          </w:tcPr>
          <w:p w14:paraId="74AAE0E9">
            <w:pPr>
              <w:pStyle w:val="2"/>
              <w:numPr>
                <w:ilvl w:val="0"/>
                <w:numId w:val="13"/>
              </w:numPr>
              <w:rPr>
                <w:lang w:val="en-US"/>
              </w:rPr>
            </w:pPr>
            <w:r>
              <w:rPr>
                <w:rFonts w:hint="eastAsia"/>
                <w:lang w:val="en-US"/>
              </w:rPr>
              <w:t>未按施工图施工的，每次扣4分。</w:t>
            </w:r>
          </w:p>
          <w:p w14:paraId="6A4C8362">
            <w:pPr>
              <w:pStyle w:val="2"/>
              <w:numPr>
                <w:ilvl w:val="0"/>
                <w:numId w:val="13"/>
              </w:numPr>
              <w:rPr>
                <w:lang w:val="en-US"/>
              </w:rPr>
            </w:pPr>
            <w:r>
              <w:rPr>
                <w:rFonts w:hint="eastAsia"/>
                <w:lang w:val="en-US"/>
              </w:rPr>
              <w:t>无施工方案施工或未按施工方案施工的，每次扣4分。</w:t>
            </w:r>
          </w:p>
          <w:p w14:paraId="7B042BB7">
            <w:pPr>
              <w:pStyle w:val="2"/>
              <w:numPr>
                <w:ilvl w:val="0"/>
                <w:numId w:val="13"/>
              </w:numPr>
            </w:pPr>
            <w:r>
              <w:rPr>
                <w:rFonts w:ascii="宋体" w:hAnsi="宋体" w:cs="宋体"/>
              </w:rPr>
              <w:t>未按规定开展施工图预检</w:t>
            </w:r>
            <w:r>
              <w:rPr>
                <w:rFonts w:hint="eastAsia" w:ascii="宋体" w:hAnsi="宋体" w:cs="宋体"/>
                <w:lang w:val="en-US"/>
              </w:rPr>
              <w:t>或施工图预检未发现问题的，</w:t>
            </w:r>
            <w:r>
              <w:rPr>
                <w:rFonts w:ascii="宋体" w:hAnsi="宋体" w:cs="宋体"/>
              </w:rPr>
              <w:t>每次扣</w:t>
            </w:r>
            <w:r>
              <w:rPr>
                <w:rFonts w:hint="eastAsia" w:ascii="宋体" w:hAnsi="宋体" w:cs="宋体"/>
                <w:lang w:val="en-US"/>
              </w:rPr>
              <w:t>1</w:t>
            </w:r>
            <w:r>
              <w:rPr>
                <w:rFonts w:ascii="宋体" w:hAnsi="宋体" w:cs="宋体"/>
              </w:rPr>
              <w:t>分</w:t>
            </w:r>
            <w:r>
              <w:rPr>
                <w:rFonts w:hint="eastAsia" w:ascii="宋体" w:hAnsi="宋体" w:cs="宋体"/>
              </w:rPr>
              <w:t>；</w:t>
            </w:r>
          </w:p>
          <w:p w14:paraId="7EBF22A2">
            <w:pPr>
              <w:pStyle w:val="2"/>
              <w:numPr>
                <w:ilvl w:val="0"/>
                <w:numId w:val="13"/>
              </w:numPr>
              <w:rPr>
                <w:lang w:val="en-US"/>
              </w:rPr>
            </w:pPr>
            <w:r>
              <w:rPr>
                <w:rFonts w:hint="eastAsia"/>
                <w:lang w:val="en-US"/>
              </w:rPr>
              <w:t>施工方案未按规定流程报审和审核的，或未按审核意见修改的，每份扣1分；</w:t>
            </w:r>
          </w:p>
          <w:p w14:paraId="2AA35D54">
            <w:pPr>
              <w:pStyle w:val="2"/>
              <w:numPr>
                <w:ilvl w:val="0"/>
                <w:numId w:val="13"/>
              </w:numPr>
              <w:rPr>
                <w:lang w:val="en-US"/>
              </w:rPr>
            </w:pPr>
            <w:r>
              <w:rPr>
                <w:rFonts w:hint="eastAsia"/>
                <w:lang w:val="en-US"/>
              </w:rPr>
              <w:t>施工方案编审批未签字或签字手续不规范，每份扣0.5分；</w:t>
            </w:r>
          </w:p>
          <w:p w14:paraId="5C3E01C9">
            <w:pPr>
              <w:pStyle w:val="2"/>
              <w:numPr>
                <w:ilvl w:val="0"/>
                <w:numId w:val="13"/>
              </w:numPr>
              <w:rPr>
                <w:rFonts w:ascii="Times New Roman" w:hAnsi="Times New Roman"/>
                <w:szCs w:val="24"/>
              </w:rPr>
            </w:pPr>
            <w:r>
              <w:rPr>
                <w:rFonts w:hint="eastAsia"/>
                <w:lang w:val="en-US"/>
              </w:rPr>
              <w:t>未按规定在施工前进行技术交底、交底时未履行签字手续或签字手续不规范，每份扣1分；</w:t>
            </w:r>
          </w:p>
        </w:tc>
        <w:tc>
          <w:tcPr>
            <w:tcW w:w="1117" w:type="dxa"/>
            <w:tcMar>
              <w:left w:w="28" w:type="dxa"/>
              <w:right w:w="28" w:type="dxa"/>
            </w:tcMar>
            <w:vAlign w:val="center"/>
          </w:tcPr>
          <w:p w14:paraId="6D70B6ED">
            <w:pPr>
              <w:spacing w:line="260" w:lineRule="exact"/>
              <w:rPr>
                <w:rFonts w:ascii="宋体" w:hAnsi="宋体" w:cs="宋体"/>
                <w:sz w:val="18"/>
              </w:rPr>
            </w:pPr>
          </w:p>
        </w:tc>
        <w:tc>
          <w:tcPr>
            <w:tcW w:w="1020" w:type="dxa"/>
            <w:tcMar>
              <w:left w:w="28" w:type="dxa"/>
              <w:right w:w="28" w:type="dxa"/>
            </w:tcMar>
            <w:vAlign w:val="center"/>
          </w:tcPr>
          <w:p w14:paraId="6CAB4ACA">
            <w:pPr>
              <w:spacing w:line="260" w:lineRule="exact"/>
              <w:rPr>
                <w:rFonts w:ascii="宋体" w:hAnsi="宋体" w:cs="宋体"/>
                <w:sz w:val="18"/>
              </w:rPr>
            </w:pPr>
          </w:p>
        </w:tc>
      </w:tr>
      <w:tr w14:paraId="3D89F1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3F2CA17C">
            <w:pPr>
              <w:spacing w:line="260" w:lineRule="exact"/>
              <w:jc w:val="center"/>
              <w:rPr>
                <w:rFonts w:ascii="宋体" w:hAnsi="宋体" w:cs="宋体"/>
                <w:b/>
                <w:bCs/>
                <w:sz w:val="18"/>
                <w:szCs w:val="18"/>
              </w:rPr>
            </w:pPr>
            <w:r>
              <w:rPr>
                <w:rFonts w:hint="eastAsia" w:ascii="宋体" w:hAnsi="宋体" w:cs="宋体"/>
                <w:b/>
                <w:bCs/>
                <w:sz w:val="18"/>
                <w:szCs w:val="18"/>
              </w:rPr>
              <w:t>6.3</w:t>
            </w:r>
          </w:p>
        </w:tc>
        <w:tc>
          <w:tcPr>
            <w:tcW w:w="1976" w:type="dxa"/>
            <w:vMerge w:val="restart"/>
            <w:tcMar>
              <w:left w:w="28" w:type="dxa"/>
              <w:right w:w="28" w:type="dxa"/>
            </w:tcMar>
            <w:vAlign w:val="center"/>
          </w:tcPr>
          <w:p w14:paraId="72B45B16">
            <w:pPr>
              <w:spacing w:line="260" w:lineRule="exact"/>
              <w:rPr>
                <w:rFonts w:ascii="宋体" w:hAnsi="宋体" w:cs="宋体"/>
                <w:b/>
                <w:bCs/>
                <w:sz w:val="18"/>
                <w:szCs w:val="18"/>
              </w:rPr>
            </w:pPr>
            <w:r>
              <w:rPr>
                <w:rFonts w:hint="eastAsia" w:ascii="宋体" w:hAnsi="宋体" w:cs="宋体"/>
                <w:b/>
                <w:bCs/>
                <w:sz w:val="18"/>
                <w:szCs w:val="18"/>
              </w:rPr>
              <w:t>技术应用管理</w:t>
            </w:r>
          </w:p>
        </w:tc>
        <w:tc>
          <w:tcPr>
            <w:tcW w:w="951" w:type="dxa"/>
            <w:vMerge w:val="restart"/>
            <w:tcMar>
              <w:left w:w="28" w:type="dxa"/>
              <w:right w:w="28" w:type="dxa"/>
            </w:tcMar>
            <w:vAlign w:val="center"/>
          </w:tcPr>
          <w:p w14:paraId="2BC48680">
            <w:pPr>
              <w:spacing w:line="260" w:lineRule="exact"/>
              <w:jc w:val="center"/>
              <w:rPr>
                <w:rFonts w:ascii="宋体" w:hAnsi="宋体" w:cs="宋体"/>
                <w:sz w:val="18"/>
                <w:szCs w:val="18"/>
              </w:rPr>
            </w:pPr>
            <w:r>
              <w:rPr>
                <w:rFonts w:hint="eastAsia" w:ascii="宋体" w:hAnsi="宋体" w:cs="宋体"/>
                <w:sz w:val="18"/>
                <w:szCs w:val="18"/>
              </w:rPr>
              <w:t>3</w:t>
            </w:r>
          </w:p>
        </w:tc>
        <w:tc>
          <w:tcPr>
            <w:tcW w:w="3348" w:type="dxa"/>
            <w:tcMar>
              <w:left w:w="28" w:type="dxa"/>
              <w:right w:w="28" w:type="dxa"/>
            </w:tcMar>
            <w:vAlign w:val="center"/>
          </w:tcPr>
          <w:p w14:paraId="117147DF">
            <w:pPr>
              <w:spacing w:line="260" w:lineRule="exact"/>
              <w:rPr>
                <w:rFonts w:ascii="宋体" w:hAnsi="宋体" w:cs="宋体"/>
                <w:sz w:val="18"/>
                <w:szCs w:val="18"/>
              </w:rPr>
            </w:pPr>
            <w:r>
              <w:rPr>
                <w:rFonts w:hint="eastAsia" w:ascii="宋体" w:hAnsi="宋体" w:cs="宋体"/>
                <w:sz w:val="18"/>
              </w:rPr>
              <w:t>编制新技术应用方案，在施工过程中严格执行，并编写新技术应用总结，配合业主项目部申报新技术应用示范工程。（1分）</w:t>
            </w:r>
          </w:p>
        </w:tc>
        <w:tc>
          <w:tcPr>
            <w:tcW w:w="3890" w:type="dxa"/>
            <w:tcMar>
              <w:left w:w="28" w:type="dxa"/>
              <w:right w:w="28" w:type="dxa"/>
            </w:tcMar>
            <w:vAlign w:val="center"/>
          </w:tcPr>
          <w:p w14:paraId="69A1E296">
            <w:pPr>
              <w:spacing w:line="260" w:lineRule="exact"/>
              <w:rPr>
                <w:rFonts w:ascii="宋体" w:hAnsi="宋体" w:cs="宋体"/>
                <w:sz w:val="18"/>
                <w:szCs w:val="18"/>
              </w:rPr>
            </w:pPr>
            <w:r>
              <w:rPr>
                <w:rFonts w:hint="eastAsia" w:ascii="宋体" w:hAnsi="宋体" w:cs="宋体"/>
                <w:sz w:val="18"/>
              </w:rPr>
              <w:t>少实施一项扣0.5分。</w:t>
            </w:r>
          </w:p>
        </w:tc>
        <w:tc>
          <w:tcPr>
            <w:tcW w:w="1117" w:type="dxa"/>
            <w:tcMar>
              <w:left w:w="28" w:type="dxa"/>
              <w:right w:w="28" w:type="dxa"/>
            </w:tcMar>
            <w:vAlign w:val="center"/>
          </w:tcPr>
          <w:p w14:paraId="6C74C19C">
            <w:pPr>
              <w:spacing w:line="260" w:lineRule="exact"/>
              <w:rPr>
                <w:rFonts w:ascii="宋体" w:hAnsi="宋体" w:cs="宋体"/>
                <w:sz w:val="18"/>
              </w:rPr>
            </w:pPr>
          </w:p>
        </w:tc>
        <w:tc>
          <w:tcPr>
            <w:tcW w:w="1020" w:type="dxa"/>
            <w:tcMar>
              <w:left w:w="28" w:type="dxa"/>
              <w:right w:w="28" w:type="dxa"/>
            </w:tcMar>
            <w:vAlign w:val="center"/>
          </w:tcPr>
          <w:p w14:paraId="04B541D3">
            <w:pPr>
              <w:spacing w:line="260" w:lineRule="exact"/>
              <w:rPr>
                <w:rFonts w:ascii="宋体" w:hAnsi="宋体" w:cs="宋体"/>
                <w:sz w:val="18"/>
              </w:rPr>
            </w:pPr>
          </w:p>
        </w:tc>
      </w:tr>
      <w:tr w14:paraId="0F95F8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Mar>
              <w:left w:w="28" w:type="dxa"/>
              <w:right w:w="28" w:type="dxa"/>
            </w:tcMar>
            <w:vAlign w:val="center"/>
          </w:tcPr>
          <w:p w14:paraId="06CC174E">
            <w:pPr>
              <w:spacing w:line="260" w:lineRule="exact"/>
              <w:jc w:val="center"/>
              <w:rPr>
                <w:rFonts w:ascii="宋体" w:hAnsi="宋体" w:cs="宋体"/>
                <w:sz w:val="18"/>
                <w:szCs w:val="18"/>
              </w:rPr>
            </w:pPr>
          </w:p>
        </w:tc>
        <w:tc>
          <w:tcPr>
            <w:tcW w:w="1976" w:type="dxa"/>
            <w:vMerge w:val="continue"/>
            <w:tcMar>
              <w:left w:w="28" w:type="dxa"/>
              <w:right w:w="28" w:type="dxa"/>
            </w:tcMar>
            <w:vAlign w:val="center"/>
          </w:tcPr>
          <w:p w14:paraId="2EFDDBE7">
            <w:pPr>
              <w:spacing w:line="260" w:lineRule="exact"/>
              <w:rPr>
                <w:rFonts w:ascii="宋体" w:hAnsi="宋体" w:cs="宋体"/>
                <w:sz w:val="18"/>
                <w:szCs w:val="18"/>
              </w:rPr>
            </w:pPr>
          </w:p>
        </w:tc>
        <w:tc>
          <w:tcPr>
            <w:tcW w:w="951" w:type="dxa"/>
            <w:vMerge w:val="continue"/>
            <w:tcMar>
              <w:left w:w="28" w:type="dxa"/>
              <w:right w:w="28" w:type="dxa"/>
            </w:tcMar>
            <w:vAlign w:val="center"/>
          </w:tcPr>
          <w:p w14:paraId="4A127DB1">
            <w:pPr>
              <w:spacing w:line="260" w:lineRule="exact"/>
              <w:jc w:val="center"/>
              <w:rPr>
                <w:rFonts w:ascii="宋体" w:hAnsi="宋体" w:cs="宋体"/>
                <w:sz w:val="18"/>
                <w:szCs w:val="18"/>
              </w:rPr>
            </w:pPr>
          </w:p>
        </w:tc>
        <w:tc>
          <w:tcPr>
            <w:tcW w:w="3348" w:type="dxa"/>
            <w:tcMar>
              <w:left w:w="28" w:type="dxa"/>
              <w:right w:w="28" w:type="dxa"/>
            </w:tcMar>
            <w:vAlign w:val="center"/>
          </w:tcPr>
          <w:p w14:paraId="2F01FC16">
            <w:pPr>
              <w:spacing w:line="260" w:lineRule="exact"/>
              <w:rPr>
                <w:rFonts w:ascii="宋体" w:hAnsi="宋体" w:cs="宋体"/>
                <w:sz w:val="18"/>
              </w:rPr>
            </w:pPr>
            <w:r>
              <w:rPr>
                <w:rFonts w:hint="eastAsia" w:ascii="宋体" w:hAnsi="宋体" w:cs="宋体"/>
                <w:sz w:val="18"/>
                <w:szCs w:val="18"/>
              </w:rPr>
              <w:t>开展科技项目、科技进步奖、工法、QC成果奖等的申报工作。</w:t>
            </w:r>
            <w:r>
              <w:rPr>
                <w:rFonts w:hint="eastAsia" w:ascii="宋体" w:hAnsi="宋体" w:cs="宋体"/>
                <w:sz w:val="18"/>
              </w:rPr>
              <w:t>（2分）</w:t>
            </w:r>
          </w:p>
        </w:tc>
        <w:tc>
          <w:tcPr>
            <w:tcW w:w="3890" w:type="dxa"/>
            <w:tcMar>
              <w:left w:w="28" w:type="dxa"/>
              <w:right w:w="28" w:type="dxa"/>
            </w:tcMar>
            <w:vAlign w:val="center"/>
          </w:tcPr>
          <w:p w14:paraId="1B445E31">
            <w:pPr>
              <w:spacing w:line="260" w:lineRule="exact"/>
              <w:rPr>
                <w:rFonts w:ascii="宋体" w:hAnsi="宋体" w:cs="宋体"/>
                <w:sz w:val="18"/>
                <w:szCs w:val="18"/>
              </w:rPr>
            </w:pPr>
            <w:r>
              <w:rPr>
                <w:rFonts w:hint="eastAsia" w:ascii="宋体" w:hAnsi="宋体" w:cs="宋体"/>
                <w:sz w:val="18"/>
                <w:szCs w:val="18"/>
              </w:rPr>
              <w:t>（1）未在工程开工前报送科技项目、科技进步奖、工法、专利及QC成果奖申报计划的，扣1分；</w:t>
            </w:r>
          </w:p>
          <w:p w14:paraId="291BFD67">
            <w:pPr>
              <w:spacing w:line="260" w:lineRule="exact"/>
              <w:rPr>
                <w:rFonts w:ascii="宋体" w:hAnsi="宋体" w:cs="宋体"/>
                <w:sz w:val="18"/>
                <w:szCs w:val="18"/>
              </w:rPr>
            </w:pPr>
            <w:r>
              <w:rPr>
                <w:rFonts w:hint="eastAsia" w:ascii="宋体" w:hAnsi="宋体" w:cs="宋体"/>
                <w:sz w:val="18"/>
                <w:szCs w:val="18"/>
              </w:rPr>
              <w:t>（2）未每半年形成科技项目、科技进步奖、工法、专利及QC成果奖报告报业主审查的，扣1分；</w:t>
            </w:r>
          </w:p>
          <w:p w14:paraId="62C3177F">
            <w:pPr>
              <w:spacing w:line="260" w:lineRule="exact"/>
              <w:rPr>
                <w:rFonts w:ascii="宋体" w:hAnsi="宋体" w:cs="宋体"/>
                <w:sz w:val="18"/>
                <w:szCs w:val="18"/>
              </w:rPr>
            </w:pPr>
            <w:r>
              <w:rPr>
                <w:rFonts w:hint="eastAsia" w:ascii="宋体" w:hAnsi="宋体" w:cs="宋体"/>
                <w:sz w:val="18"/>
                <w:szCs w:val="18"/>
              </w:rPr>
              <w:t>（3）科技奖项申报前未向业主项目部报备，扣1分。</w:t>
            </w:r>
          </w:p>
          <w:p w14:paraId="73B0D3E7">
            <w:pPr>
              <w:spacing w:line="260" w:lineRule="exact"/>
              <w:rPr>
                <w:rFonts w:ascii="宋体" w:hAnsi="宋体" w:cs="宋体"/>
                <w:sz w:val="18"/>
                <w:szCs w:val="18"/>
              </w:rPr>
            </w:pPr>
            <w:r>
              <w:rPr>
                <w:rFonts w:hint="eastAsia" w:ascii="宋体" w:hAnsi="宋体" w:cs="宋体"/>
                <w:sz w:val="18"/>
                <w:szCs w:val="18"/>
              </w:rPr>
              <w:t>（4）未及时报送科技月报，扣0.5分。</w:t>
            </w:r>
          </w:p>
          <w:p w14:paraId="6DBF9EA2">
            <w:pPr>
              <w:spacing w:line="260" w:lineRule="exact"/>
            </w:pPr>
            <w:r>
              <w:rPr>
                <w:rFonts w:hint="eastAsia" w:ascii="宋体" w:hAnsi="宋体" w:cs="宋体"/>
                <w:sz w:val="18"/>
                <w:szCs w:val="18"/>
              </w:rPr>
              <w:t>（5）未按合同约定，开展建设管理单位安排开展的课题研究的（1~2项课题），每次扣1分。</w:t>
            </w:r>
          </w:p>
        </w:tc>
        <w:tc>
          <w:tcPr>
            <w:tcW w:w="1117" w:type="dxa"/>
            <w:tcMar>
              <w:left w:w="28" w:type="dxa"/>
              <w:right w:w="28" w:type="dxa"/>
            </w:tcMar>
            <w:vAlign w:val="center"/>
          </w:tcPr>
          <w:p w14:paraId="190D58F9">
            <w:pPr>
              <w:spacing w:line="260" w:lineRule="exact"/>
              <w:rPr>
                <w:rFonts w:ascii="宋体" w:hAnsi="宋体" w:cs="宋体"/>
                <w:sz w:val="18"/>
              </w:rPr>
            </w:pPr>
          </w:p>
        </w:tc>
        <w:tc>
          <w:tcPr>
            <w:tcW w:w="1020" w:type="dxa"/>
            <w:tcMar>
              <w:left w:w="28" w:type="dxa"/>
              <w:right w:w="28" w:type="dxa"/>
            </w:tcMar>
            <w:vAlign w:val="center"/>
          </w:tcPr>
          <w:p w14:paraId="276EEF7E">
            <w:pPr>
              <w:spacing w:line="260" w:lineRule="exact"/>
              <w:rPr>
                <w:rFonts w:ascii="宋体" w:hAnsi="宋体" w:cs="宋体"/>
                <w:sz w:val="18"/>
              </w:rPr>
            </w:pPr>
          </w:p>
        </w:tc>
      </w:tr>
      <w:tr w14:paraId="1BCE66C2">
        <w:tblPrEx>
          <w:tblCellMar>
            <w:top w:w="0" w:type="dxa"/>
            <w:left w:w="57" w:type="dxa"/>
            <w:bottom w:w="0" w:type="dxa"/>
            <w:right w:w="57" w:type="dxa"/>
          </w:tblCellMar>
        </w:tblPrEx>
        <w:trPr>
          <w:trHeight w:val="575" w:hRule="atLeast"/>
          <w:jc w:val="center"/>
        </w:trPr>
        <w:tc>
          <w:tcPr>
            <w:tcW w:w="547" w:type="dxa"/>
            <w:shd w:val="clear" w:color="auto" w:fill="BEBEBE"/>
            <w:tcMar>
              <w:left w:w="28" w:type="dxa"/>
              <w:right w:w="28" w:type="dxa"/>
            </w:tcMar>
            <w:vAlign w:val="center"/>
          </w:tcPr>
          <w:p w14:paraId="099FBB49">
            <w:pPr>
              <w:spacing w:line="260" w:lineRule="exact"/>
              <w:jc w:val="center"/>
              <w:rPr>
                <w:rFonts w:ascii="宋体" w:hAnsi="宋体" w:cs="宋体"/>
                <w:sz w:val="18"/>
                <w:szCs w:val="18"/>
              </w:rPr>
            </w:pPr>
            <w:r>
              <w:rPr>
                <w:rFonts w:hint="eastAsia" w:ascii="宋体" w:hAnsi="宋体" w:cs="宋体"/>
                <w:b/>
                <w:sz w:val="18"/>
              </w:rPr>
              <w:t>7</w:t>
            </w:r>
          </w:p>
        </w:tc>
        <w:tc>
          <w:tcPr>
            <w:tcW w:w="12302" w:type="dxa"/>
            <w:gridSpan w:val="6"/>
            <w:shd w:val="clear" w:color="auto" w:fill="BEBEBE"/>
            <w:tcMar>
              <w:left w:w="28" w:type="dxa"/>
              <w:right w:w="28" w:type="dxa"/>
            </w:tcMar>
            <w:vAlign w:val="center"/>
          </w:tcPr>
          <w:p w14:paraId="166154E8">
            <w:pPr>
              <w:spacing w:line="260" w:lineRule="exact"/>
              <w:rPr>
                <w:rFonts w:ascii="宋体" w:hAnsi="宋体" w:cs="宋体"/>
                <w:sz w:val="18"/>
              </w:rPr>
            </w:pPr>
            <w:r>
              <w:rPr>
                <w:rFonts w:hint="eastAsia" w:ascii="宋体" w:hAnsi="宋体" w:cs="宋体"/>
                <w:b/>
                <w:sz w:val="18"/>
              </w:rPr>
              <w:t>环水保管理（4分）</w:t>
            </w:r>
          </w:p>
        </w:tc>
      </w:tr>
      <w:tr w14:paraId="5EE7C6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63D8D811">
            <w:pPr>
              <w:spacing w:line="260" w:lineRule="exact"/>
              <w:jc w:val="center"/>
              <w:rPr>
                <w:rFonts w:ascii="宋体" w:hAnsi="宋体" w:cs="宋体"/>
                <w:b/>
                <w:bCs/>
                <w:sz w:val="18"/>
                <w:szCs w:val="18"/>
              </w:rPr>
            </w:pPr>
            <w:r>
              <w:rPr>
                <w:rFonts w:hint="eastAsia" w:ascii="宋体" w:hAnsi="宋体" w:cs="宋体"/>
                <w:b/>
                <w:bCs/>
                <w:sz w:val="18"/>
                <w:szCs w:val="18"/>
              </w:rPr>
              <w:t>7.1</w:t>
            </w:r>
          </w:p>
        </w:tc>
        <w:tc>
          <w:tcPr>
            <w:tcW w:w="1976" w:type="dxa"/>
            <w:vMerge w:val="restart"/>
            <w:tcMar>
              <w:left w:w="28" w:type="dxa"/>
              <w:right w:w="28" w:type="dxa"/>
            </w:tcMar>
            <w:vAlign w:val="center"/>
          </w:tcPr>
          <w:p w14:paraId="05C7BA4C">
            <w:pPr>
              <w:spacing w:line="260" w:lineRule="exact"/>
              <w:rPr>
                <w:rFonts w:ascii="宋体" w:hAnsi="宋体" w:cs="宋体"/>
                <w:b/>
                <w:bCs/>
                <w:sz w:val="18"/>
                <w:szCs w:val="18"/>
              </w:rPr>
            </w:pPr>
            <w:r>
              <w:rPr>
                <w:rFonts w:hint="eastAsia" w:ascii="宋体" w:hAnsi="宋体" w:cs="宋体"/>
                <w:b/>
                <w:bCs/>
                <w:sz w:val="18"/>
              </w:rPr>
              <w:t>环水保管理</w:t>
            </w:r>
          </w:p>
        </w:tc>
        <w:tc>
          <w:tcPr>
            <w:tcW w:w="951" w:type="dxa"/>
            <w:vMerge w:val="restart"/>
            <w:tcMar>
              <w:left w:w="28" w:type="dxa"/>
              <w:right w:w="28" w:type="dxa"/>
            </w:tcMar>
            <w:vAlign w:val="center"/>
          </w:tcPr>
          <w:p w14:paraId="69EE74D4">
            <w:pPr>
              <w:spacing w:line="260" w:lineRule="exact"/>
              <w:jc w:val="center"/>
              <w:rPr>
                <w:rFonts w:ascii="宋体" w:hAnsi="宋体" w:cs="宋体"/>
                <w:sz w:val="18"/>
                <w:szCs w:val="18"/>
              </w:rPr>
            </w:pPr>
            <w:r>
              <w:rPr>
                <w:rFonts w:hint="eastAsia" w:ascii="宋体" w:hAnsi="宋体" w:cs="宋体"/>
                <w:sz w:val="18"/>
                <w:szCs w:val="18"/>
              </w:rPr>
              <w:t>4</w:t>
            </w:r>
          </w:p>
        </w:tc>
        <w:tc>
          <w:tcPr>
            <w:tcW w:w="3348" w:type="dxa"/>
            <w:tcMar>
              <w:left w:w="28" w:type="dxa"/>
              <w:right w:w="28" w:type="dxa"/>
            </w:tcMar>
            <w:vAlign w:val="center"/>
          </w:tcPr>
          <w:p w14:paraId="40E3D603">
            <w:pPr>
              <w:spacing w:line="260" w:lineRule="exact"/>
              <w:rPr>
                <w:rFonts w:ascii="宋体" w:hAnsi="宋体" w:cs="宋体"/>
                <w:sz w:val="18"/>
                <w:szCs w:val="18"/>
              </w:rPr>
            </w:pPr>
            <w:r>
              <w:rPr>
                <w:rFonts w:hint="eastAsia" w:ascii="宋体" w:hAnsi="宋体" w:cs="宋体"/>
                <w:sz w:val="18"/>
              </w:rPr>
              <w:t>按照规范开展工程环保工作。（2分）</w:t>
            </w:r>
          </w:p>
        </w:tc>
        <w:tc>
          <w:tcPr>
            <w:tcW w:w="3890" w:type="dxa"/>
            <w:tcMar>
              <w:left w:w="28" w:type="dxa"/>
              <w:right w:w="28" w:type="dxa"/>
            </w:tcMar>
            <w:vAlign w:val="center"/>
          </w:tcPr>
          <w:p w14:paraId="6F05B9CA">
            <w:pPr>
              <w:tabs>
                <w:tab w:val="center" w:pos="4153"/>
                <w:tab w:val="right" w:pos="8306"/>
              </w:tabs>
              <w:spacing w:line="260" w:lineRule="exact"/>
              <w:rPr>
                <w:rFonts w:ascii="宋体" w:hAnsi="宋体" w:cs="宋体"/>
                <w:sz w:val="18"/>
              </w:rPr>
            </w:pPr>
            <w:r>
              <w:rPr>
                <w:rFonts w:hint="eastAsia" w:ascii="宋体" w:hAnsi="宋体" w:cs="宋体"/>
                <w:sz w:val="18"/>
              </w:rPr>
              <w:t>（1）</w:t>
            </w:r>
            <w:r>
              <w:rPr>
                <w:rFonts w:ascii="宋体" w:hAnsi="宋体" w:cs="宋体"/>
                <w:sz w:val="18"/>
              </w:rPr>
              <w:t>未采取抑尘措施或扬尘超标，每次扣0.5分</w:t>
            </w:r>
            <w:r>
              <w:rPr>
                <w:rFonts w:hint="eastAsia" w:ascii="宋体" w:hAnsi="宋体" w:cs="宋体"/>
                <w:sz w:val="18"/>
              </w:rPr>
              <w:t>；</w:t>
            </w:r>
          </w:p>
          <w:p w14:paraId="7EA7B02D">
            <w:pPr>
              <w:tabs>
                <w:tab w:val="center" w:pos="4153"/>
                <w:tab w:val="right" w:pos="8306"/>
              </w:tabs>
              <w:spacing w:line="260" w:lineRule="exact"/>
              <w:rPr>
                <w:rFonts w:ascii="宋体" w:hAnsi="宋体" w:cs="宋体"/>
                <w:sz w:val="18"/>
              </w:rPr>
            </w:pPr>
            <w:r>
              <w:rPr>
                <w:rFonts w:hint="eastAsia" w:ascii="宋体" w:hAnsi="宋体" w:cs="宋体"/>
                <w:sz w:val="18"/>
              </w:rPr>
              <w:t>（2）</w:t>
            </w:r>
            <w:r>
              <w:rPr>
                <w:rFonts w:ascii="宋体" w:hAnsi="宋体" w:cs="宋体"/>
                <w:sz w:val="18"/>
              </w:rPr>
              <w:t>未采取废水处理措施直接排放，每次扣0.5分</w:t>
            </w:r>
            <w:r>
              <w:rPr>
                <w:rFonts w:hint="eastAsia" w:ascii="宋体" w:hAnsi="宋体" w:cs="宋体"/>
                <w:sz w:val="18"/>
              </w:rPr>
              <w:t>；</w:t>
            </w:r>
          </w:p>
          <w:p w14:paraId="44D4D29A">
            <w:pPr>
              <w:tabs>
                <w:tab w:val="center" w:pos="4153"/>
                <w:tab w:val="right" w:pos="8306"/>
              </w:tabs>
              <w:spacing w:line="260" w:lineRule="exact"/>
              <w:rPr>
                <w:rFonts w:ascii="宋体" w:hAnsi="宋体" w:cs="宋体"/>
                <w:sz w:val="18"/>
              </w:rPr>
            </w:pPr>
            <w:r>
              <w:rPr>
                <w:rFonts w:ascii="宋体" w:hAnsi="宋体" w:cs="宋体"/>
                <w:sz w:val="18"/>
              </w:rPr>
              <w:t>机械设备采取吸油、隔离措施。未采取措施产生油污染，每次扣0.5分</w:t>
            </w:r>
            <w:r>
              <w:rPr>
                <w:rFonts w:hint="eastAsia" w:ascii="宋体" w:hAnsi="宋体" w:cs="宋体"/>
                <w:sz w:val="18"/>
              </w:rPr>
              <w:t>；</w:t>
            </w:r>
          </w:p>
          <w:p w14:paraId="1ECEA381">
            <w:pPr>
              <w:tabs>
                <w:tab w:val="center" w:pos="4153"/>
                <w:tab w:val="right" w:pos="8306"/>
              </w:tabs>
              <w:spacing w:line="260" w:lineRule="exact"/>
              <w:rPr>
                <w:rFonts w:ascii="宋体" w:hAnsi="宋体" w:cs="宋体"/>
                <w:sz w:val="18"/>
              </w:rPr>
            </w:pPr>
            <w:r>
              <w:rPr>
                <w:rFonts w:hint="eastAsia" w:ascii="宋体" w:hAnsi="宋体" w:cs="宋体"/>
                <w:sz w:val="18"/>
              </w:rPr>
              <w:t>（3）</w:t>
            </w:r>
            <w:r>
              <w:rPr>
                <w:rFonts w:ascii="宋体" w:hAnsi="宋体" w:cs="宋体"/>
                <w:sz w:val="18"/>
              </w:rPr>
              <w:t>噪声超标时未采取降噪措施，每次扣0.5分</w:t>
            </w:r>
            <w:r>
              <w:rPr>
                <w:rFonts w:hint="eastAsia" w:ascii="宋体" w:hAnsi="宋体" w:cs="宋体"/>
                <w:sz w:val="18"/>
              </w:rPr>
              <w:t>；</w:t>
            </w:r>
          </w:p>
          <w:p w14:paraId="4CB70C52">
            <w:pPr>
              <w:tabs>
                <w:tab w:val="center" w:pos="4153"/>
                <w:tab w:val="right" w:pos="8306"/>
              </w:tabs>
              <w:spacing w:line="260" w:lineRule="exact"/>
              <w:rPr>
                <w:rFonts w:ascii="宋体" w:hAnsi="宋体" w:cs="宋体"/>
                <w:sz w:val="18"/>
              </w:rPr>
            </w:pPr>
            <w:r>
              <w:rPr>
                <w:rFonts w:hint="eastAsia" w:ascii="宋体" w:hAnsi="宋体" w:cs="宋体"/>
                <w:sz w:val="18"/>
              </w:rPr>
              <w:t>（4）</w:t>
            </w:r>
            <w:r>
              <w:rPr>
                <w:rFonts w:ascii="宋体" w:hAnsi="宋体" w:cs="宋体"/>
                <w:sz w:val="18"/>
              </w:rPr>
              <w:t>未按规定堆放、处置或清运不及时，每次扣0.5分</w:t>
            </w:r>
            <w:r>
              <w:rPr>
                <w:rFonts w:hint="eastAsia" w:ascii="宋体" w:hAnsi="宋体" w:cs="宋体"/>
                <w:sz w:val="18"/>
              </w:rPr>
              <w:t>；</w:t>
            </w:r>
          </w:p>
          <w:p w14:paraId="0BE1BABF">
            <w:pPr>
              <w:tabs>
                <w:tab w:val="center" w:pos="4153"/>
                <w:tab w:val="right" w:pos="8306"/>
              </w:tabs>
              <w:spacing w:line="260" w:lineRule="exact"/>
              <w:rPr>
                <w:rFonts w:ascii="宋体" w:hAnsi="宋体" w:cs="宋体"/>
                <w:sz w:val="18"/>
                <w:szCs w:val="18"/>
              </w:rPr>
            </w:pPr>
            <w:r>
              <w:rPr>
                <w:rFonts w:hint="eastAsia" w:ascii="宋体" w:hAnsi="宋体" w:cs="宋体"/>
                <w:sz w:val="18"/>
              </w:rPr>
              <w:t>（5）</w:t>
            </w:r>
            <w:r>
              <w:rPr>
                <w:rFonts w:ascii="宋体" w:hAnsi="宋体" w:cs="宋体"/>
                <w:sz w:val="18"/>
              </w:rPr>
              <w:t>对于环保检查发现的问题及时整改</w:t>
            </w:r>
            <w:r>
              <w:rPr>
                <w:rFonts w:hint="eastAsia" w:ascii="宋体" w:hAnsi="宋体" w:cs="宋体"/>
                <w:sz w:val="18"/>
              </w:rPr>
              <w:t>，</w:t>
            </w:r>
            <w:r>
              <w:rPr>
                <w:rFonts w:ascii="宋体" w:hAnsi="宋体" w:cs="宋体"/>
                <w:sz w:val="18"/>
              </w:rPr>
              <w:t>未及时整改的，每次扣</w:t>
            </w:r>
            <w:r>
              <w:rPr>
                <w:rFonts w:hint="eastAsia" w:ascii="宋体" w:hAnsi="宋体" w:cs="宋体"/>
                <w:sz w:val="18"/>
              </w:rPr>
              <w:t>1</w:t>
            </w:r>
            <w:r>
              <w:rPr>
                <w:rFonts w:ascii="宋体" w:hAnsi="宋体" w:cs="宋体"/>
                <w:sz w:val="18"/>
              </w:rPr>
              <w:t>分；整改不到位的，每次扣0.</w:t>
            </w:r>
            <w:r>
              <w:rPr>
                <w:rFonts w:hint="eastAsia" w:ascii="宋体" w:hAnsi="宋体" w:cs="宋体"/>
                <w:sz w:val="18"/>
              </w:rPr>
              <w:t>5</w:t>
            </w:r>
            <w:r>
              <w:rPr>
                <w:rFonts w:ascii="宋体" w:hAnsi="宋体" w:cs="宋体"/>
                <w:sz w:val="18"/>
              </w:rPr>
              <w:t>分。</w:t>
            </w:r>
          </w:p>
        </w:tc>
        <w:tc>
          <w:tcPr>
            <w:tcW w:w="1117" w:type="dxa"/>
            <w:tcMar>
              <w:left w:w="28" w:type="dxa"/>
              <w:right w:w="28" w:type="dxa"/>
            </w:tcMar>
            <w:vAlign w:val="center"/>
          </w:tcPr>
          <w:p w14:paraId="79E48CE8">
            <w:pPr>
              <w:spacing w:line="260" w:lineRule="exact"/>
              <w:rPr>
                <w:rFonts w:ascii="宋体" w:hAnsi="宋体" w:cs="宋体"/>
                <w:sz w:val="18"/>
              </w:rPr>
            </w:pPr>
          </w:p>
        </w:tc>
        <w:tc>
          <w:tcPr>
            <w:tcW w:w="1020" w:type="dxa"/>
            <w:tcMar>
              <w:left w:w="28" w:type="dxa"/>
              <w:right w:w="28" w:type="dxa"/>
            </w:tcMar>
            <w:vAlign w:val="center"/>
          </w:tcPr>
          <w:p w14:paraId="3F0F405F">
            <w:pPr>
              <w:spacing w:line="260" w:lineRule="exact"/>
              <w:rPr>
                <w:rFonts w:ascii="宋体" w:hAnsi="宋体" w:cs="宋体"/>
                <w:sz w:val="18"/>
              </w:rPr>
            </w:pPr>
          </w:p>
        </w:tc>
      </w:tr>
      <w:tr w14:paraId="40361C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Mar>
              <w:left w:w="28" w:type="dxa"/>
              <w:right w:w="28" w:type="dxa"/>
            </w:tcMar>
            <w:vAlign w:val="center"/>
          </w:tcPr>
          <w:p w14:paraId="0174CAF9">
            <w:pPr>
              <w:spacing w:line="260" w:lineRule="exact"/>
              <w:jc w:val="center"/>
              <w:rPr>
                <w:rFonts w:ascii="宋体" w:hAnsi="宋体" w:cs="宋体"/>
                <w:sz w:val="18"/>
                <w:szCs w:val="18"/>
              </w:rPr>
            </w:pPr>
          </w:p>
        </w:tc>
        <w:tc>
          <w:tcPr>
            <w:tcW w:w="1976" w:type="dxa"/>
            <w:vMerge w:val="continue"/>
            <w:tcMar>
              <w:left w:w="28" w:type="dxa"/>
              <w:right w:w="28" w:type="dxa"/>
            </w:tcMar>
            <w:vAlign w:val="center"/>
          </w:tcPr>
          <w:p w14:paraId="36E1607C">
            <w:pPr>
              <w:spacing w:line="260" w:lineRule="exact"/>
              <w:rPr>
                <w:rFonts w:ascii="宋体" w:hAnsi="宋体" w:cs="宋体"/>
                <w:sz w:val="18"/>
                <w:szCs w:val="18"/>
              </w:rPr>
            </w:pPr>
          </w:p>
        </w:tc>
        <w:tc>
          <w:tcPr>
            <w:tcW w:w="951" w:type="dxa"/>
            <w:vMerge w:val="continue"/>
            <w:tcMar>
              <w:left w:w="28" w:type="dxa"/>
              <w:right w:w="28" w:type="dxa"/>
            </w:tcMar>
            <w:vAlign w:val="center"/>
          </w:tcPr>
          <w:p w14:paraId="5401EDC4">
            <w:pPr>
              <w:spacing w:line="260" w:lineRule="exact"/>
              <w:jc w:val="center"/>
              <w:rPr>
                <w:rFonts w:ascii="宋体" w:hAnsi="宋体" w:cs="宋体"/>
                <w:sz w:val="18"/>
                <w:szCs w:val="18"/>
              </w:rPr>
            </w:pPr>
          </w:p>
        </w:tc>
        <w:tc>
          <w:tcPr>
            <w:tcW w:w="3348" w:type="dxa"/>
            <w:tcMar>
              <w:left w:w="28" w:type="dxa"/>
              <w:right w:w="28" w:type="dxa"/>
            </w:tcMar>
            <w:vAlign w:val="center"/>
          </w:tcPr>
          <w:p w14:paraId="1CE79416">
            <w:pPr>
              <w:spacing w:line="260" w:lineRule="exact"/>
              <w:rPr>
                <w:rFonts w:ascii="宋体" w:hAnsi="宋体" w:cs="宋体"/>
                <w:sz w:val="18"/>
                <w:szCs w:val="18"/>
              </w:rPr>
            </w:pPr>
            <w:r>
              <w:rPr>
                <w:rFonts w:hint="eastAsia" w:ascii="宋体" w:hAnsi="宋体" w:cs="宋体"/>
                <w:sz w:val="18"/>
              </w:rPr>
              <w:t>按照规范开展工程水保工作。（2分）</w:t>
            </w:r>
          </w:p>
        </w:tc>
        <w:tc>
          <w:tcPr>
            <w:tcW w:w="3890" w:type="dxa"/>
            <w:tcMar>
              <w:left w:w="28" w:type="dxa"/>
              <w:right w:w="28" w:type="dxa"/>
            </w:tcMar>
            <w:vAlign w:val="center"/>
          </w:tcPr>
          <w:p w14:paraId="31E374D7">
            <w:pPr>
              <w:spacing w:line="260" w:lineRule="exact"/>
              <w:rPr>
                <w:rFonts w:ascii="宋体" w:hAnsi="宋体" w:cs="宋体"/>
                <w:sz w:val="18"/>
              </w:rPr>
            </w:pPr>
            <w:r>
              <w:rPr>
                <w:rFonts w:hint="eastAsia" w:ascii="宋体" w:hAnsi="宋体" w:cs="宋体"/>
                <w:sz w:val="18"/>
              </w:rPr>
              <w:t>（1）未落实表土剥离措施的，每次扣1分；剥离措施落实不到位，每次扣0.5分；</w:t>
            </w:r>
          </w:p>
          <w:p w14:paraId="6607740C">
            <w:pPr>
              <w:spacing w:line="260" w:lineRule="exact"/>
              <w:rPr>
                <w:rFonts w:ascii="宋体" w:hAnsi="宋体" w:cs="宋体"/>
                <w:sz w:val="18"/>
              </w:rPr>
            </w:pPr>
            <w:r>
              <w:rPr>
                <w:rFonts w:hint="eastAsia" w:ascii="宋体" w:hAnsi="宋体" w:cs="宋体"/>
                <w:sz w:val="18"/>
              </w:rPr>
              <w:t>（2）未落实堆土临时拦挡措施的，每次扣1分；措施落实不及时、不到位，每次扣0.5分；</w:t>
            </w:r>
          </w:p>
          <w:p w14:paraId="28DF7299">
            <w:pPr>
              <w:spacing w:line="260" w:lineRule="exact"/>
              <w:rPr>
                <w:rFonts w:ascii="宋体" w:hAnsi="宋体" w:cs="宋体"/>
                <w:sz w:val="18"/>
              </w:rPr>
            </w:pPr>
            <w:r>
              <w:rPr>
                <w:rFonts w:hint="eastAsia" w:ascii="宋体" w:hAnsi="宋体" w:cs="宋体"/>
                <w:sz w:val="18"/>
              </w:rPr>
              <w:t>（3）未落实临时截、排水沟措施的，每次扣1分；措施不到位的，每次扣0.5分；</w:t>
            </w:r>
          </w:p>
          <w:p w14:paraId="73F21E45">
            <w:pPr>
              <w:spacing w:line="260" w:lineRule="exact"/>
              <w:rPr>
                <w:rFonts w:ascii="宋体" w:hAnsi="宋体" w:cs="宋体"/>
                <w:sz w:val="18"/>
              </w:rPr>
            </w:pPr>
            <w:r>
              <w:rPr>
                <w:rFonts w:hint="eastAsia" w:ascii="宋体" w:hAnsi="宋体" w:cs="宋体"/>
                <w:sz w:val="18"/>
              </w:rPr>
              <w:t>（4）未落实植被恢复措施的，每次扣1分；植被恢复措施不到位，每次扣0.5分；</w:t>
            </w:r>
          </w:p>
          <w:p w14:paraId="49E9ACCB">
            <w:pPr>
              <w:spacing w:line="260" w:lineRule="exact"/>
              <w:rPr>
                <w:rFonts w:ascii="宋体" w:hAnsi="宋体" w:cs="宋体"/>
                <w:sz w:val="18"/>
              </w:rPr>
            </w:pPr>
            <w:r>
              <w:rPr>
                <w:rFonts w:hint="eastAsia" w:ascii="宋体" w:hAnsi="宋体" w:cs="宋体"/>
                <w:sz w:val="18"/>
              </w:rPr>
              <w:t>（5）未进行土地整治的，扣1分；土地整治不到位，扣0.5分；</w:t>
            </w:r>
          </w:p>
          <w:p w14:paraId="6A394746">
            <w:pPr>
              <w:spacing w:line="260" w:lineRule="exact"/>
              <w:rPr>
                <w:rFonts w:ascii="宋体" w:hAnsi="宋体" w:cs="宋体"/>
                <w:sz w:val="18"/>
                <w:szCs w:val="18"/>
              </w:rPr>
            </w:pPr>
            <w:r>
              <w:rPr>
                <w:rFonts w:hint="eastAsia" w:ascii="宋体" w:hAnsi="宋体" w:cs="宋体"/>
                <w:sz w:val="18"/>
              </w:rPr>
              <w:t>（6）对于水保检查发现的问题及时整改。未及时整改的，每次扣1分；整改不到位的，每次扣0.5分。</w:t>
            </w:r>
          </w:p>
        </w:tc>
        <w:tc>
          <w:tcPr>
            <w:tcW w:w="1117" w:type="dxa"/>
            <w:tcMar>
              <w:left w:w="28" w:type="dxa"/>
              <w:right w:w="28" w:type="dxa"/>
            </w:tcMar>
            <w:vAlign w:val="center"/>
          </w:tcPr>
          <w:p w14:paraId="7C142CFF">
            <w:pPr>
              <w:spacing w:line="260" w:lineRule="exact"/>
              <w:rPr>
                <w:rFonts w:ascii="宋体" w:hAnsi="宋体" w:cs="宋体"/>
                <w:sz w:val="18"/>
              </w:rPr>
            </w:pPr>
          </w:p>
        </w:tc>
        <w:tc>
          <w:tcPr>
            <w:tcW w:w="1020" w:type="dxa"/>
            <w:tcMar>
              <w:left w:w="28" w:type="dxa"/>
              <w:right w:w="28" w:type="dxa"/>
            </w:tcMar>
            <w:vAlign w:val="center"/>
          </w:tcPr>
          <w:p w14:paraId="2A19EDDE">
            <w:pPr>
              <w:spacing w:line="260" w:lineRule="exact"/>
              <w:rPr>
                <w:rFonts w:ascii="宋体" w:hAnsi="宋体" w:cs="宋体"/>
                <w:sz w:val="18"/>
              </w:rPr>
            </w:pPr>
          </w:p>
        </w:tc>
      </w:tr>
      <w:tr w14:paraId="07D528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464" w:hRule="atLeast"/>
          <w:jc w:val="center"/>
        </w:trPr>
        <w:tc>
          <w:tcPr>
            <w:tcW w:w="547" w:type="dxa"/>
            <w:shd w:val="clear" w:color="auto" w:fill="BFBFBF"/>
            <w:tcMar>
              <w:left w:w="28" w:type="dxa"/>
              <w:right w:w="28" w:type="dxa"/>
            </w:tcMar>
            <w:vAlign w:val="center"/>
          </w:tcPr>
          <w:p w14:paraId="64D41D7F">
            <w:pPr>
              <w:spacing w:line="260" w:lineRule="exact"/>
              <w:jc w:val="center"/>
              <w:rPr>
                <w:rFonts w:ascii="宋体" w:hAnsi="宋体" w:cs="宋体"/>
                <w:b/>
                <w:sz w:val="18"/>
              </w:rPr>
            </w:pPr>
            <w:r>
              <w:rPr>
                <w:rFonts w:hint="eastAsia" w:ascii="宋体" w:hAnsi="宋体" w:cs="宋体"/>
                <w:b/>
                <w:sz w:val="18"/>
              </w:rPr>
              <w:t>8</w:t>
            </w:r>
          </w:p>
        </w:tc>
        <w:tc>
          <w:tcPr>
            <w:tcW w:w="12302" w:type="dxa"/>
            <w:gridSpan w:val="6"/>
            <w:shd w:val="clear" w:color="auto" w:fill="BFBFBF"/>
            <w:tcMar>
              <w:left w:w="28" w:type="dxa"/>
              <w:right w:w="28" w:type="dxa"/>
            </w:tcMar>
            <w:vAlign w:val="center"/>
          </w:tcPr>
          <w:p w14:paraId="50723220">
            <w:pPr>
              <w:spacing w:line="260" w:lineRule="exact"/>
              <w:rPr>
                <w:rFonts w:ascii="宋体" w:hAnsi="宋体" w:cs="宋体"/>
                <w:sz w:val="18"/>
              </w:rPr>
            </w:pPr>
            <w:r>
              <w:rPr>
                <w:rFonts w:hint="eastAsia" w:ascii="宋体" w:hAnsi="宋体" w:cs="宋体"/>
                <w:b/>
                <w:sz w:val="18"/>
              </w:rPr>
              <w:t>造价管理（6分）</w:t>
            </w:r>
          </w:p>
        </w:tc>
      </w:tr>
      <w:tr w14:paraId="7D431D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70891CAD">
            <w:pPr>
              <w:spacing w:line="260" w:lineRule="exact"/>
              <w:jc w:val="center"/>
              <w:rPr>
                <w:rFonts w:ascii="宋体" w:hAnsi="宋体" w:cs="宋体"/>
                <w:b/>
                <w:bCs/>
                <w:sz w:val="18"/>
              </w:rPr>
            </w:pPr>
            <w:r>
              <w:rPr>
                <w:rFonts w:hint="eastAsia" w:ascii="宋体" w:hAnsi="宋体" w:cs="宋体"/>
                <w:b/>
                <w:bCs/>
                <w:sz w:val="18"/>
              </w:rPr>
              <w:t>8.1</w:t>
            </w:r>
          </w:p>
        </w:tc>
        <w:tc>
          <w:tcPr>
            <w:tcW w:w="1976" w:type="dxa"/>
            <w:tcMar>
              <w:left w:w="28" w:type="dxa"/>
              <w:right w:w="28" w:type="dxa"/>
            </w:tcMar>
            <w:vAlign w:val="center"/>
          </w:tcPr>
          <w:p w14:paraId="62DEAB0E">
            <w:pPr>
              <w:spacing w:line="260" w:lineRule="exact"/>
              <w:rPr>
                <w:rFonts w:ascii="宋体" w:hAnsi="宋体" w:cs="宋体"/>
                <w:sz w:val="18"/>
              </w:rPr>
            </w:pPr>
            <w:r>
              <w:rPr>
                <w:rFonts w:hint="eastAsia" w:ascii="宋体" w:hAnsi="宋体" w:cs="宋体"/>
                <w:b/>
                <w:sz w:val="18"/>
              </w:rPr>
              <w:t>工程预付款与进度款管理</w:t>
            </w:r>
          </w:p>
        </w:tc>
        <w:tc>
          <w:tcPr>
            <w:tcW w:w="951" w:type="dxa"/>
            <w:tcMar>
              <w:left w:w="28" w:type="dxa"/>
              <w:right w:w="28" w:type="dxa"/>
            </w:tcMar>
            <w:vAlign w:val="center"/>
          </w:tcPr>
          <w:p w14:paraId="10DCB3DD">
            <w:pPr>
              <w:spacing w:line="260" w:lineRule="exact"/>
              <w:jc w:val="center"/>
              <w:rPr>
                <w:rFonts w:ascii="宋体" w:hAnsi="宋体" w:cs="宋体"/>
                <w:sz w:val="18"/>
              </w:rPr>
            </w:pPr>
            <w:r>
              <w:rPr>
                <w:rFonts w:hint="eastAsia" w:ascii="宋体" w:hAnsi="宋体" w:cs="宋体"/>
                <w:sz w:val="18"/>
              </w:rPr>
              <w:t>1</w:t>
            </w:r>
          </w:p>
        </w:tc>
        <w:tc>
          <w:tcPr>
            <w:tcW w:w="3348" w:type="dxa"/>
            <w:tcMar>
              <w:left w:w="28" w:type="dxa"/>
              <w:right w:w="28" w:type="dxa"/>
            </w:tcMar>
            <w:vAlign w:val="center"/>
          </w:tcPr>
          <w:p w14:paraId="562ADCF2">
            <w:pPr>
              <w:spacing w:line="260" w:lineRule="exact"/>
              <w:rPr>
                <w:rFonts w:ascii="宋体" w:hAnsi="宋体" w:cs="宋体"/>
                <w:sz w:val="18"/>
              </w:rPr>
            </w:pPr>
            <w:r>
              <w:rPr>
                <w:rFonts w:hint="eastAsia" w:ascii="宋体" w:hAnsi="宋体" w:cs="宋体"/>
                <w:sz w:val="18"/>
              </w:rPr>
              <w:t>编制工程预付款及进度款报审表并报审。（1分）</w:t>
            </w:r>
          </w:p>
        </w:tc>
        <w:tc>
          <w:tcPr>
            <w:tcW w:w="3890" w:type="dxa"/>
            <w:tcMar>
              <w:left w:w="28" w:type="dxa"/>
              <w:right w:w="28" w:type="dxa"/>
            </w:tcMar>
          </w:tcPr>
          <w:p w14:paraId="30AE54C4">
            <w:pPr>
              <w:spacing w:line="260" w:lineRule="exact"/>
              <w:jc w:val="left"/>
              <w:rPr>
                <w:rFonts w:ascii="宋体" w:hAnsi="宋体" w:cs="宋体"/>
                <w:sz w:val="18"/>
              </w:rPr>
            </w:pPr>
            <w:r>
              <w:rPr>
                <w:rFonts w:hint="eastAsia" w:ascii="宋体" w:hAnsi="宋体" w:cs="宋体"/>
                <w:sz w:val="18"/>
              </w:rPr>
              <w:t>预付款或进度款支付申请工程量不准确，提供的付款支撑性资料不完善，每缺少一项资料扣0.5分。</w:t>
            </w:r>
          </w:p>
        </w:tc>
        <w:tc>
          <w:tcPr>
            <w:tcW w:w="1117" w:type="dxa"/>
            <w:tcMar>
              <w:left w:w="28" w:type="dxa"/>
              <w:right w:w="28" w:type="dxa"/>
            </w:tcMar>
            <w:vAlign w:val="center"/>
          </w:tcPr>
          <w:p w14:paraId="415554D8">
            <w:pPr>
              <w:spacing w:line="260" w:lineRule="exact"/>
              <w:rPr>
                <w:rFonts w:ascii="宋体" w:hAnsi="宋体" w:cs="宋体"/>
                <w:sz w:val="18"/>
              </w:rPr>
            </w:pPr>
          </w:p>
        </w:tc>
        <w:tc>
          <w:tcPr>
            <w:tcW w:w="1020" w:type="dxa"/>
            <w:tcMar>
              <w:left w:w="28" w:type="dxa"/>
              <w:right w:w="28" w:type="dxa"/>
            </w:tcMar>
            <w:vAlign w:val="center"/>
          </w:tcPr>
          <w:p w14:paraId="354D1D7F">
            <w:pPr>
              <w:spacing w:line="260" w:lineRule="exact"/>
              <w:rPr>
                <w:rFonts w:ascii="宋体" w:hAnsi="宋体" w:cs="宋体"/>
                <w:sz w:val="18"/>
              </w:rPr>
            </w:pPr>
          </w:p>
        </w:tc>
      </w:tr>
      <w:tr w14:paraId="40CE93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73B248FC">
            <w:pPr>
              <w:spacing w:line="260" w:lineRule="exact"/>
              <w:jc w:val="center"/>
              <w:rPr>
                <w:rFonts w:ascii="宋体" w:hAnsi="宋体" w:cs="宋体"/>
                <w:b/>
                <w:bCs/>
                <w:sz w:val="18"/>
              </w:rPr>
            </w:pPr>
            <w:r>
              <w:rPr>
                <w:rFonts w:hint="eastAsia" w:ascii="宋体" w:hAnsi="宋体" w:cs="宋体"/>
                <w:b/>
                <w:bCs/>
                <w:sz w:val="18"/>
              </w:rPr>
              <w:t>8.2</w:t>
            </w:r>
          </w:p>
        </w:tc>
        <w:tc>
          <w:tcPr>
            <w:tcW w:w="1976" w:type="dxa"/>
            <w:tcMar>
              <w:left w:w="28" w:type="dxa"/>
              <w:right w:w="28" w:type="dxa"/>
            </w:tcMar>
            <w:vAlign w:val="center"/>
          </w:tcPr>
          <w:p w14:paraId="716785FA">
            <w:pPr>
              <w:pStyle w:val="40"/>
              <w:spacing w:line="260" w:lineRule="exact"/>
              <w:rPr>
                <w:rFonts w:ascii="宋体" w:hAnsi="宋体" w:cs="宋体"/>
                <w:sz w:val="18"/>
              </w:rPr>
            </w:pPr>
            <w:r>
              <w:rPr>
                <w:rFonts w:ascii="宋体" w:hAnsi="宋体" w:cs="宋体"/>
                <w:b/>
                <w:sz w:val="18"/>
              </w:rPr>
              <w:t>工程结算管理</w:t>
            </w:r>
          </w:p>
        </w:tc>
        <w:tc>
          <w:tcPr>
            <w:tcW w:w="951" w:type="dxa"/>
            <w:tcMar>
              <w:left w:w="28" w:type="dxa"/>
              <w:right w:w="28" w:type="dxa"/>
            </w:tcMar>
            <w:vAlign w:val="center"/>
          </w:tcPr>
          <w:p w14:paraId="4FA9D596">
            <w:pPr>
              <w:spacing w:line="260" w:lineRule="exact"/>
              <w:jc w:val="center"/>
              <w:rPr>
                <w:rFonts w:ascii="宋体" w:hAnsi="宋体" w:cs="宋体"/>
                <w:sz w:val="18"/>
              </w:rPr>
            </w:pPr>
            <w:r>
              <w:rPr>
                <w:rFonts w:hint="eastAsia" w:ascii="宋体" w:hAnsi="宋体" w:cs="宋体"/>
                <w:sz w:val="18"/>
              </w:rPr>
              <w:t>4</w:t>
            </w:r>
          </w:p>
        </w:tc>
        <w:tc>
          <w:tcPr>
            <w:tcW w:w="3348" w:type="dxa"/>
            <w:tcBorders>
              <w:top w:val="nil"/>
              <w:left w:val="single" w:color="000000" w:sz="4" w:space="0"/>
              <w:bottom w:val="single" w:color="000000" w:sz="4" w:space="0"/>
              <w:right w:val="single" w:color="000000" w:sz="4" w:space="0"/>
            </w:tcBorders>
            <w:tcMar>
              <w:left w:w="28" w:type="dxa"/>
              <w:right w:w="28" w:type="dxa"/>
            </w:tcMar>
            <w:vAlign w:val="center"/>
          </w:tcPr>
          <w:p w14:paraId="62066D39">
            <w:pPr>
              <w:spacing w:line="260" w:lineRule="exact"/>
              <w:rPr>
                <w:rFonts w:ascii="宋体" w:hAnsi="宋体" w:cs="宋体"/>
                <w:sz w:val="18"/>
              </w:rPr>
            </w:pPr>
            <w:r>
              <w:rPr>
                <w:rFonts w:hint="eastAsia" w:ascii="宋体" w:hAnsi="宋体" w:cs="宋体"/>
                <w:sz w:val="18"/>
              </w:rPr>
              <w:t>按要求提交结算报审文件及支撑材料。（4分）</w:t>
            </w:r>
          </w:p>
        </w:tc>
        <w:tc>
          <w:tcPr>
            <w:tcW w:w="3890" w:type="dxa"/>
            <w:tcBorders>
              <w:top w:val="nil"/>
              <w:left w:val="single" w:color="000000" w:sz="4" w:space="0"/>
              <w:bottom w:val="single" w:color="000000" w:sz="4" w:space="0"/>
              <w:right w:val="single" w:color="000000" w:sz="4" w:space="0"/>
            </w:tcBorders>
            <w:tcMar>
              <w:left w:w="28" w:type="dxa"/>
              <w:right w:w="28" w:type="dxa"/>
            </w:tcMar>
          </w:tcPr>
          <w:p w14:paraId="4E18E775">
            <w:pPr>
              <w:topLinePunct/>
              <w:snapToGrid w:val="0"/>
              <w:spacing w:line="240" w:lineRule="atLeast"/>
              <w:rPr>
                <w:color w:val="000000"/>
                <w:sz w:val="18"/>
              </w:rPr>
            </w:pPr>
            <w:r>
              <w:rPr>
                <w:rFonts w:hint="eastAsia"/>
                <w:color w:val="000000"/>
                <w:sz w:val="18"/>
              </w:rPr>
              <w:t>（1）未按要求安排专职人员负责结算工作，扣3分；</w:t>
            </w:r>
          </w:p>
          <w:p w14:paraId="245388ED">
            <w:pPr>
              <w:topLinePunct/>
              <w:snapToGrid w:val="0"/>
              <w:spacing w:line="240" w:lineRule="atLeast"/>
              <w:rPr>
                <w:color w:val="000000"/>
                <w:sz w:val="18"/>
              </w:rPr>
            </w:pPr>
            <w:r>
              <w:rPr>
                <w:rFonts w:hint="eastAsia"/>
                <w:color w:val="000000"/>
                <w:sz w:val="18"/>
              </w:rPr>
              <w:t>（2）未按要求组织有关人员参加结算工作，每次扣0.5分；</w:t>
            </w:r>
          </w:p>
          <w:p w14:paraId="218E0FD8">
            <w:pPr>
              <w:topLinePunct/>
              <w:snapToGrid w:val="0"/>
              <w:spacing w:line="240" w:lineRule="atLeast"/>
              <w:rPr>
                <w:color w:val="000000"/>
                <w:sz w:val="18"/>
              </w:rPr>
            </w:pPr>
            <w:r>
              <w:rPr>
                <w:rFonts w:hint="eastAsia"/>
                <w:color w:val="000000"/>
                <w:sz w:val="18"/>
              </w:rPr>
              <w:t>（3）未按时提交分部结算或竣工结算报审文件及支撑资料，每次扣0.5分；</w:t>
            </w:r>
          </w:p>
          <w:p w14:paraId="40F0ECC5">
            <w:pPr>
              <w:spacing w:line="260" w:lineRule="exact"/>
              <w:jc w:val="left"/>
              <w:rPr>
                <w:rFonts w:ascii="宋体" w:hAnsi="宋体" w:cs="宋体"/>
                <w:sz w:val="18"/>
              </w:rPr>
            </w:pPr>
            <w:r>
              <w:rPr>
                <w:rFonts w:hint="eastAsia"/>
                <w:color w:val="000000"/>
                <w:sz w:val="18"/>
              </w:rPr>
              <w:t>（4）未按要求落实审查意见，整改结算资料，每项扣0.5分。</w:t>
            </w:r>
          </w:p>
        </w:tc>
        <w:tc>
          <w:tcPr>
            <w:tcW w:w="1117" w:type="dxa"/>
            <w:tcMar>
              <w:left w:w="28" w:type="dxa"/>
              <w:right w:w="28" w:type="dxa"/>
            </w:tcMar>
            <w:vAlign w:val="center"/>
          </w:tcPr>
          <w:p w14:paraId="2694E5D0">
            <w:pPr>
              <w:spacing w:line="260" w:lineRule="exact"/>
              <w:rPr>
                <w:rFonts w:ascii="宋体" w:hAnsi="宋体" w:cs="宋体"/>
                <w:sz w:val="18"/>
              </w:rPr>
            </w:pPr>
          </w:p>
        </w:tc>
        <w:tc>
          <w:tcPr>
            <w:tcW w:w="1020" w:type="dxa"/>
            <w:tcMar>
              <w:left w:w="28" w:type="dxa"/>
              <w:right w:w="28" w:type="dxa"/>
            </w:tcMar>
            <w:vAlign w:val="center"/>
          </w:tcPr>
          <w:p w14:paraId="72B43FF3">
            <w:pPr>
              <w:spacing w:line="260" w:lineRule="exact"/>
              <w:rPr>
                <w:rFonts w:ascii="宋体" w:hAnsi="宋体" w:cs="宋体"/>
                <w:sz w:val="18"/>
              </w:rPr>
            </w:pPr>
          </w:p>
        </w:tc>
      </w:tr>
      <w:tr w14:paraId="090090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48913349">
            <w:pPr>
              <w:spacing w:line="260" w:lineRule="exact"/>
              <w:jc w:val="center"/>
              <w:rPr>
                <w:rFonts w:ascii="宋体" w:hAnsi="宋体" w:cs="宋体"/>
                <w:b/>
                <w:bCs/>
                <w:sz w:val="18"/>
              </w:rPr>
            </w:pPr>
            <w:r>
              <w:rPr>
                <w:rFonts w:hint="eastAsia" w:ascii="宋体" w:hAnsi="宋体" w:cs="宋体"/>
                <w:b/>
                <w:bCs/>
                <w:sz w:val="18"/>
              </w:rPr>
              <w:t>8.3</w:t>
            </w:r>
          </w:p>
        </w:tc>
        <w:tc>
          <w:tcPr>
            <w:tcW w:w="1976" w:type="dxa"/>
            <w:tcMar>
              <w:left w:w="28" w:type="dxa"/>
              <w:right w:w="28" w:type="dxa"/>
            </w:tcMar>
            <w:vAlign w:val="center"/>
          </w:tcPr>
          <w:p w14:paraId="35F7EB71">
            <w:pPr>
              <w:pStyle w:val="40"/>
              <w:spacing w:line="260" w:lineRule="exact"/>
              <w:rPr>
                <w:rFonts w:ascii="宋体" w:hAnsi="宋体" w:cs="宋体"/>
                <w:b/>
                <w:sz w:val="18"/>
              </w:rPr>
            </w:pPr>
            <w:r>
              <w:rPr>
                <w:rFonts w:hint="eastAsia" w:ascii="宋体" w:hAnsi="宋体" w:cs="宋体"/>
                <w:b/>
                <w:sz w:val="18"/>
              </w:rPr>
              <w:t>农民工工资管理</w:t>
            </w:r>
          </w:p>
        </w:tc>
        <w:tc>
          <w:tcPr>
            <w:tcW w:w="951" w:type="dxa"/>
            <w:tcMar>
              <w:left w:w="28" w:type="dxa"/>
              <w:right w:w="28" w:type="dxa"/>
            </w:tcMar>
            <w:vAlign w:val="center"/>
          </w:tcPr>
          <w:p w14:paraId="59E6572F">
            <w:pPr>
              <w:spacing w:line="260" w:lineRule="exact"/>
              <w:jc w:val="center"/>
              <w:rPr>
                <w:rFonts w:ascii="宋体" w:hAnsi="宋体" w:cs="宋体"/>
                <w:sz w:val="18"/>
              </w:rPr>
            </w:pPr>
            <w:r>
              <w:rPr>
                <w:rFonts w:hint="eastAsia" w:ascii="宋体" w:hAnsi="宋体" w:cs="宋体"/>
                <w:sz w:val="18"/>
              </w:rPr>
              <w:t>1</w:t>
            </w:r>
          </w:p>
        </w:tc>
        <w:tc>
          <w:tcPr>
            <w:tcW w:w="3348" w:type="dxa"/>
            <w:tcBorders>
              <w:top w:val="nil"/>
              <w:left w:val="single" w:color="000000" w:sz="4" w:space="0"/>
              <w:bottom w:val="single" w:color="000000" w:sz="4" w:space="0"/>
              <w:right w:val="single" w:color="000000" w:sz="4" w:space="0"/>
            </w:tcBorders>
            <w:tcMar>
              <w:left w:w="28" w:type="dxa"/>
              <w:right w:w="28" w:type="dxa"/>
            </w:tcMar>
            <w:vAlign w:val="center"/>
          </w:tcPr>
          <w:p w14:paraId="3E5E4DB8">
            <w:pPr>
              <w:spacing w:line="260" w:lineRule="exact"/>
              <w:rPr>
                <w:rFonts w:ascii="宋体" w:hAnsi="宋体" w:cs="宋体"/>
                <w:sz w:val="18"/>
              </w:rPr>
            </w:pPr>
            <w:r>
              <w:rPr>
                <w:rFonts w:hint="eastAsia" w:ascii="宋体" w:hAnsi="宋体" w:cs="宋体"/>
                <w:sz w:val="18"/>
              </w:rPr>
              <w:t>按合同要求管理现场农民工工资。（1分）</w:t>
            </w:r>
          </w:p>
        </w:tc>
        <w:tc>
          <w:tcPr>
            <w:tcW w:w="3890" w:type="dxa"/>
            <w:tcBorders>
              <w:top w:val="nil"/>
              <w:left w:val="single" w:color="000000" w:sz="4" w:space="0"/>
              <w:bottom w:val="single" w:color="000000" w:sz="4" w:space="0"/>
              <w:right w:val="single" w:color="000000" w:sz="4" w:space="0"/>
            </w:tcBorders>
            <w:tcMar>
              <w:left w:w="28" w:type="dxa"/>
              <w:right w:w="28" w:type="dxa"/>
            </w:tcMar>
          </w:tcPr>
          <w:p w14:paraId="57BE4DA5">
            <w:pPr>
              <w:spacing w:line="260" w:lineRule="exact"/>
              <w:jc w:val="left"/>
              <w:rPr>
                <w:color w:val="000000"/>
                <w:sz w:val="18"/>
              </w:rPr>
            </w:pPr>
            <w:r>
              <w:rPr>
                <w:rFonts w:hint="eastAsia"/>
                <w:color w:val="000000"/>
                <w:sz w:val="18"/>
              </w:rPr>
              <w:t>（1）未设立农民工资专用账户，扣1分；</w:t>
            </w:r>
          </w:p>
          <w:p w14:paraId="52489A6A">
            <w:pPr>
              <w:spacing w:line="260" w:lineRule="exact"/>
              <w:jc w:val="left"/>
              <w:rPr>
                <w:color w:val="000000"/>
                <w:sz w:val="18"/>
              </w:rPr>
            </w:pPr>
            <w:r>
              <w:rPr>
                <w:rFonts w:hint="eastAsia"/>
                <w:color w:val="000000"/>
                <w:sz w:val="18"/>
              </w:rPr>
              <w:t>（2）未按合同要求，建立农民工用工台账、支付台账，未提供代发农民工工资支付手续复印件，每少一份材料扣0.5分。</w:t>
            </w:r>
          </w:p>
        </w:tc>
        <w:tc>
          <w:tcPr>
            <w:tcW w:w="1117" w:type="dxa"/>
            <w:tcMar>
              <w:left w:w="28" w:type="dxa"/>
              <w:right w:w="28" w:type="dxa"/>
            </w:tcMar>
            <w:vAlign w:val="center"/>
          </w:tcPr>
          <w:p w14:paraId="45BBE596">
            <w:pPr>
              <w:spacing w:line="260" w:lineRule="exact"/>
              <w:rPr>
                <w:rFonts w:ascii="宋体" w:hAnsi="宋体" w:cs="宋体"/>
                <w:sz w:val="18"/>
              </w:rPr>
            </w:pPr>
          </w:p>
        </w:tc>
        <w:tc>
          <w:tcPr>
            <w:tcW w:w="1020" w:type="dxa"/>
            <w:tcMar>
              <w:left w:w="28" w:type="dxa"/>
              <w:right w:w="28" w:type="dxa"/>
            </w:tcMar>
            <w:vAlign w:val="center"/>
          </w:tcPr>
          <w:p w14:paraId="3B4ED3CB">
            <w:pPr>
              <w:spacing w:line="260" w:lineRule="exact"/>
              <w:rPr>
                <w:rFonts w:ascii="宋体" w:hAnsi="宋体" w:cs="宋体"/>
                <w:sz w:val="18"/>
              </w:rPr>
            </w:pPr>
          </w:p>
        </w:tc>
      </w:tr>
      <w:tr w14:paraId="3FBA23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82" w:hRule="atLeast"/>
          <w:jc w:val="center"/>
        </w:trPr>
        <w:tc>
          <w:tcPr>
            <w:tcW w:w="547" w:type="dxa"/>
            <w:shd w:val="clear" w:color="auto" w:fill="BEBEBE" w:themeFill="background1" w:themeFillShade="BF"/>
            <w:tcMar>
              <w:left w:w="28" w:type="dxa"/>
              <w:right w:w="28" w:type="dxa"/>
            </w:tcMar>
            <w:vAlign w:val="center"/>
          </w:tcPr>
          <w:p w14:paraId="5F53C07F">
            <w:pPr>
              <w:jc w:val="center"/>
              <w:rPr>
                <w:rFonts w:ascii="宋体" w:hAnsi="宋体" w:cs="宋体"/>
                <w:b/>
                <w:bCs/>
                <w:sz w:val="18"/>
              </w:rPr>
            </w:pPr>
            <w:r>
              <w:rPr>
                <w:rFonts w:hint="eastAsia" w:ascii="宋体" w:hAnsi="宋体" w:cs="宋体"/>
                <w:b/>
                <w:bCs/>
                <w:sz w:val="18"/>
              </w:rPr>
              <w:t>9</w:t>
            </w:r>
          </w:p>
        </w:tc>
        <w:tc>
          <w:tcPr>
            <w:tcW w:w="12302" w:type="dxa"/>
            <w:gridSpan w:val="6"/>
            <w:shd w:val="clear" w:color="auto" w:fill="BEBEBE" w:themeFill="background1" w:themeFillShade="BF"/>
            <w:tcMar>
              <w:left w:w="28" w:type="dxa"/>
              <w:right w:w="28" w:type="dxa"/>
            </w:tcMar>
            <w:vAlign w:val="center"/>
          </w:tcPr>
          <w:p w14:paraId="203B5DDC">
            <w:pPr>
              <w:jc w:val="left"/>
              <w:rPr>
                <w:rFonts w:ascii="宋体" w:hAnsi="宋体" w:cs="宋体"/>
                <w:b/>
                <w:bCs/>
                <w:sz w:val="18"/>
              </w:rPr>
            </w:pPr>
            <w:r>
              <w:rPr>
                <w:rFonts w:hint="eastAsia" w:ascii="宋体" w:hAnsi="宋体" w:cs="宋体"/>
                <w:b/>
                <w:bCs/>
                <w:sz w:val="18"/>
              </w:rPr>
              <w:t>绿色建造管理（2分）</w:t>
            </w:r>
          </w:p>
        </w:tc>
      </w:tr>
      <w:tr w14:paraId="31EA2B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44B28393">
            <w:pPr>
              <w:spacing w:line="260" w:lineRule="exact"/>
              <w:jc w:val="center"/>
              <w:rPr>
                <w:rFonts w:ascii="宋体" w:hAnsi="宋体" w:cs="宋体"/>
                <w:b/>
                <w:bCs/>
                <w:sz w:val="18"/>
              </w:rPr>
            </w:pPr>
            <w:r>
              <w:rPr>
                <w:rFonts w:hint="eastAsia" w:ascii="宋体" w:hAnsi="宋体" w:cs="宋体"/>
                <w:b/>
                <w:bCs/>
                <w:sz w:val="18"/>
              </w:rPr>
              <w:t>9.1</w:t>
            </w:r>
          </w:p>
        </w:tc>
        <w:tc>
          <w:tcPr>
            <w:tcW w:w="1976" w:type="dxa"/>
            <w:tcMar>
              <w:left w:w="28" w:type="dxa"/>
              <w:right w:w="28" w:type="dxa"/>
            </w:tcMar>
            <w:vAlign w:val="center"/>
          </w:tcPr>
          <w:p w14:paraId="77A94763">
            <w:pPr>
              <w:rPr>
                <w:rFonts w:ascii="宋体" w:hAnsi="宋体" w:cs="宋体"/>
                <w:b/>
                <w:sz w:val="18"/>
              </w:rPr>
            </w:pPr>
            <w:r>
              <w:rPr>
                <w:rFonts w:hint="eastAsia"/>
                <w:b/>
                <w:bCs/>
                <w:color w:val="000000"/>
                <w:sz w:val="18"/>
                <w:szCs w:val="18"/>
              </w:rPr>
              <w:t>绿色施工管理</w:t>
            </w:r>
          </w:p>
        </w:tc>
        <w:tc>
          <w:tcPr>
            <w:tcW w:w="951" w:type="dxa"/>
            <w:tcMar>
              <w:left w:w="28" w:type="dxa"/>
              <w:right w:w="28" w:type="dxa"/>
            </w:tcMar>
            <w:vAlign w:val="center"/>
          </w:tcPr>
          <w:p w14:paraId="68C53A21">
            <w:pPr>
              <w:spacing w:line="260" w:lineRule="exact"/>
              <w:jc w:val="center"/>
              <w:rPr>
                <w:rFonts w:ascii="宋体" w:hAnsi="宋体" w:cs="宋体"/>
                <w:sz w:val="18"/>
              </w:rPr>
            </w:pPr>
            <w:r>
              <w:rPr>
                <w:rFonts w:hint="eastAsia" w:ascii="宋体" w:hAnsi="宋体" w:cs="宋体"/>
                <w:sz w:val="18"/>
              </w:rPr>
              <w:t>2</w:t>
            </w:r>
          </w:p>
        </w:tc>
        <w:tc>
          <w:tcPr>
            <w:tcW w:w="3348" w:type="dxa"/>
            <w:tcBorders>
              <w:top w:val="nil"/>
              <w:left w:val="single" w:color="000000" w:sz="4" w:space="0"/>
              <w:bottom w:val="single" w:color="000000" w:sz="4" w:space="0"/>
              <w:right w:val="single" w:color="000000" w:sz="4" w:space="0"/>
            </w:tcBorders>
            <w:tcMar>
              <w:left w:w="28" w:type="dxa"/>
              <w:right w:w="28" w:type="dxa"/>
            </w:tcMar>
          </w:tcPr>
          <w:p w14:paraId="44C4B5B2">
            <w:pPr>
              <w:spacing w:line="260" w:lineRule="exact"/>
              <w:rPr>
                <w:rFonts w:ascii="宋体" w:hAnsi="宋体" w:cs="宋体"/>
                <w:sz w:val="18"/>
              </w:rPr>
            </w:pPr>
            <w:r>
              <w:rPr>
                <w:rFonts w:hint="eastAsia" w:ascii="宋体" w:hAnsi="宋体" w:cs="宋体"/>
                <w:sz w:val="18"/>
                <w:szCs w:val="18"/>
              </w:rPr>
              <w:t>编写并上报绿色施工方案，编制绿色施工总结，配合业主项目部申报绿色示范工程。（2分）</w:t>
            </w:r>
          </w:p>
        </w:tc>
        <w:tc>
          <w:tcPr>
            <w:tcW w:w="3890" w:type="dxa"/>
            <w:tcBorders>
              <w:top w:val="nil"/>
              <w:left w:val="single" w:color="000000" w:sz="4" w:space="0"/>
              <w:bottom w:val="single" w:color="000000" w:sz="4" w:space="0"/>
              <w:right w:val="single" w:color="000000" w:sz="4" w:space="0"/>
            </w:tcBorders>
            <w:tcMar>
              <w:left w:w="28" w:type="dxa"/>
              <w:right w:w="28" w:type="dxa"/>
            </w:tcMar>
          </w:tcPr>
          <w:p w14:paraId="723FF4D5">
            <w:pPr>
              <w:spacing w:line="260" w:lineRule="exact"/>
              <w:jc w:val="left"/>
              <w:rPr>
                <w:rFonts w:ascii="宋体" w:hAnsi="宋体" w:cs="宋体"/>
                <w:sz w:val="18"/>
              </w:rPr>
            </w:pPr>
            <w:r>
              <w:rPr>
                <w:rFonts w:hint="eastAsia" w:ascii="宋体" w:hAnsi="宋体" w:cs="宋体"/>
                <w:sz w:val="18"/>
              </w:rPr>
              <w:t>（1）未及时编写并上报绿色施工方案，开展“四节一环保”活动，扣1分；</w:t>
            </w:r>
          </w:p>
          <w:p w14:paraId="15C71F79">
            <w:pPr>
              <w:spacing w:line="260" w:lineRule="exact"/>
              <w:jc w:val="left"/>
              <w:rPr>
                <w:rFonts w:ascii="宋体" w:hAnsi="宋体" w:cs="宋体"/>
                <w:sz w:val="18"/>
              </w:rPr>
            </w:pPr>
            <w:r>
              <w:rPr>
                <w:rFonts w:hint="eastAsia" w:ascii="宋体" w:hAnsi="宋体" w:cs="宋体"/>
                <w:sz w:val="18"/>
              </w:rPr>
              <w:t>（2）未及时编制绿色施工总结，扣1分；</w:t>
            </w:r>
          </w:p>
          <w:p w14:paraId="49F3A2CD">
            <w:pPr>
              <w:spacing w:line="260" w:lineRule="exact"/>
              <w:jc w:val="left"/>
              <w:rPr>
                <w:color w:val="000000"/>
                <w:sz w:val="18"/>
              </w:rPr>
            </w:pPr>
            <w:r>
              <w:rPr>
                <w:rFonts w:hint="eastAsia" w:ascii="宋体" w:hAnsi="宋体" w:cs="宋体"/>
                <w:sz w:val="18"/>
              </w:rPr>
              <w:t>（3）未配合业主项目部申报绿色示范工程，扣1分。</w:t>
            </w:r>
          </w:p>
        </w:tc>
        <w:tc>
          <w:tcPr>
            <w:tcW w:w="1117" w:type="dxa"/>
            <w:tcMar>
              <w:left w:w="28" w:type="dxa"/>
              <w:right w:w="28" w:type="dxa"/>
            </w:tcMar>
            <w:vAlign w:val="center"/>
          </w:tcPr>
          <w:p w14:paraId="2F46C446">
            <w:pPr>
              <w:spacing w:line="260" w:lineRule="exact"/>
              <w:rPr>
                <w:rFonts w:ascii="宋体" w:hAnsi="宋体" w:cs="宋体"/>
                <w:sz w:val="18"/>
              </w:rPr>
            </w:pPr>
          </w:p>
        </w:tc>
        <w:tc>
          <w:tcPr>
            <w:tcW w:w="1020" w:type="dxa"/>
            <w:tcMar>
              <w:left w:w="28" w:type="dxa"/>
              <w:right w:w="28" w:type="dxa"/>
            </w:tcMar>
            <w:vAlign w:val="center"/>
          </w:tcPr>
          <w:p w14:paraId="3FFEE26C">
            <w:pPr>
              <w:spacing w:line="260" w:lineRule="exact"/>
              <w:jc w:val="center"/>
              <w:rPr>
                <w:rFonts w:ascii="宋体" w:hAnsi="宋体" w:cs="宋体"/>
                <w:sz w:val="18"/>
              </w:rPr>
            </w:pPr>
          </w:p>
        </w:tc>
      </w:tr>
      <w:tr w14:paraId="7EABCE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624" w:hRule="atLeast"/>
          <w:jc w:val="center"/>
        </w:trPr>
        <w:tc>
          <w:tcPr>
            <w:tcW w:w="547" w:type="dxa"/>
            <w:shd w:val="clear" w:color="auto" w:fill="BEBEBE"/>
            <w:tcMar>
              <w:left w:w="28" w:type="dxa"/>
              <w:right w:w="28" w:type="dxa"/>
            </w:tcMar>
            <w:vAlign w:val="center"/>
          </w:tcPr>
          <w:p w14:paraId="1A4BF8EE">
            <w:pPr>
              <w:jc w:val="center"/>
              <w:rPr>
                <w:rFonts w:ascii="宋体" w:hAnsi="宋体" w:cs="宋体"/>
                <w:sz w:val="18"/>
              </w:rPr>
            </w:pPr>
            <w:r>
              <w:rPr>
                <w:rFonts w:hint="eastAsia" w:ascii="宋体" w:hAnsi="宋体" w:cs="宋体"/>
                <w:sz w:val="18"/>
              </w:rPr>
              <w:t>10</w:t>
            </w:r>
          </w:p>
        </w:tc>
        <w:tc>
          <w:tcPr>
            <w:tcW w:w="12302" w:type="dxa"/>
            <w:gridSpan w:val="6"/>
            <w:shd w:val="clear" w:color="auto" w:fill="BEBEBE"/>
            <w:tcMar>
              <w:left w:w="28" w:type="dxa"/>
              <w:right w:w="28" w:type="dxa"/>
            </w:tcMar>
            <w:vAlign w:val="center"/>
          </w:tcPr>
          <w:p w14:paraId="095C1C0D">
            <w:pPr>
              <w:rPr>
                <w:rFonts w:ascii="宋体" w:hAnsi="宋体" w:cs="宋体"/>
                <w:sz w:val="18"/>
              </w:rPr>
            </w:pPr>
            <w:r>
              <w:rPr>
                <w:rFonts w:hint="eastAsia"/>
                <w:b/>
                <w:color w:val="000000"/>
                <w:sz w:val="18"/>
                <w:szCs w:val="18"/>
              </w:rPr>
              <w:t>工作成效（10分）</w:t>
            </w:r>
          </w:p>
        </w:tc>
      </w:tr>
      <w:tr w14:paraId="095627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1325" w:hRule="atLeast"/>
          <w:jc w:val="center"/>
        </w:trPr>
        <w:tc>
          <w:tcPr>
            <w:tcW w:w="547" w:type="dxa"/>
            <w:tcMar>
              <w:left w:w="28" w:type="dxa"/>
              <w:right w:w="28" w:type="dxa"/>
            </w:tcMar>
            <w:vAlign w:val="center"/>
          </w:tcPr>
          <w:p w14:paraId="2CABB8D7">
            <w:pPr>
              <w:jc w:val="center"/>
              <w:rPr>
                <w:b/>
                <w:bCs/>
                <w:color w:val="000000"/>
                <w:sz w:val="18"/>
                <w:szCs w:val="18"/>
              </w:rPr>
            </w:pPr>
            <w:r>
              <w:rPr>
                <w:rFonts w:hint="eastAsia"/>
                <w:b/>
                <w:bCs/>
                <w:color w:val="000000"/>
                <w:sz w:val="18"/>
                <w:szCs w:val="18"/>
              </w:rPr>
              <w:t>10.1</w:t>
            </w:r>
          </w:p>
        </w:tc>
        <w:tc>
          <w:tcPr>
            <w:tcW w:w="1976" w:type="dxa"/>
            <w:tcMar>
              <w:left w:w="28" w:type="dxa"/>
              <w:right w:w="28" w:type="dxa"/>
            </w:tcMar>
            <w:vAlign w:val="center"/>
          </w:tcPr>
          <w:p w14:paraId="22D24098">
            <w:pPr>
              <w:pStyle w:val="50"/>
              <w:adjustRightInd w:val="0"/>
              <w:snapToGrid w:val="0"/>
              <w:rPr>
                <w:b/>
                <w:bCs/>
                <w:color w:val="000000"/>
                <w:sz w:val="18"/>
                <w:szCs w:val="18"/>
                <w:lang w:val="en-US"/>
              </w:rPr>
            </w:pPr>
            <w:r>
              <w:rPr>
                <w:rFonts w:hint="eastAsia" w:ascii="Times New Roman" w:hAnsi="Times New Roman" w:cs="Times New Roman"/>
                <w:b/>
                <w:bCs/>
                <w:color w:val="000000"/>
                <w:sz w:val="18"/>
                <w:szCs w:val="18"/>
                <w:lang w:val="en-US" w:bidi="ar-SA"/>
              </w:rPr>
              <w:t>工作成效</w:t>
            </w:r>
          </w:p>
        </w:tc>
        <w:tc>
          <w:tcPr>
            <w:tcW w:w="951" w:type="dxa"/>
            <w:tcMar>
              <w:left w:w="28" w:type="dxa"/>
              <w:right w:w="28" w:type="dxa"/>
            </w:tcMar>
            <w:vAlign w:val="center"/>
          </w:tcPr>
          <w:p w14:paraId="3078D6F3">
            <w:pPr>
              <w:pStyle w:val="50"/>
              <w:adjustRightInd w:val="0"/>
              <w:snapToGrid w:val="0"/>
              <w:jc w:val="center"/>
              <w:rPr>
                <w:b/>
                <w:color w:val="000000"/>
                <w:sz w:val="18"/>
                <w:szCs w:val="18"/>
                <w:lang w:val="en-US"/>
              </w:rPr>
            </w:pPr>
            <w:r>
              <w:rPr>
                <w:rFonts w:hint="eastAsia" w:ascii="Times New Roman" w:hAnsi="Times New Roman" w:cs="Times New Roman"/>
                <w:color w:val="000000"/>
                <w:sz w:val="18"/>
                <w:szCs w:val="18"/>
                <w:lang w:val="en-US" w:bidi="ar-SA"/>
              </w:rPr>
              <w:t>10</w:t>
            </w:r>
          </w:p>
        </w:tc>
        <w:tc>
          <w:tcPr>
            <w:tcW w:w="3348" w:type="dxa"/>
            <w:tcBorders>
              <w:top w:val="nil"/>
              <w:left w:val="single" w:color="000000" w:sz="4" w:space="0"/>
              <w:bottom w:val="single" w:color="000000" w:sz="4" w:space="0"/>
              <w:right w:val="single" w:color="000000" w:sz="4" w:space="0"/>
            </w:tcBorders>
            <w:tcMar>
              <w:left w:w="28" w:type="dxa"/>
              <w:right w:w="28" w:type="dxa"/>
            </w:tcMar>
            <w:vAlign w:val="center"/>
          </w:tcPr>
          <w:p w14:paraId="29296AB1">
            <w:pPr>
              <w:pStyle w:val="50"/>
              <w:adjustRightInd w:val="0"/>
              <w:snapToGrid w:val="0"/>
              <w:rPr>
                <w:rFonts w:ascii="Times New Roman" w:hAnsi="Times New Roman" w:cs="Times New Roman"/>
                <w:color w:val="000000"/>
                <w:sz w:val="18"/>
                <w:szCs w:val="18"/>
                <w:lang w:val="en-US" w:bidi="ar-SA"/>
              </w:rPr>
            </w:pPr>
            <w:r>
              <w:rPr>
                <w:rFonts w:hint="eastAsia" w:ascii="Times New Roman" w:hAnsi="Times New Roman" w:cs="Times New Roman"/>
                <w:color w:val="000000"/>
                <w:sz w:val="18"/>
                <w:szCs w:val="18"/>
                <w:lang w:val="en-US" w:bidi="ar-SA"/>
              </w:rPr>
              <w:t>按照业主项目部职责开展相关工作；</w:t>
            </w:r>
          </w:p>
          <w:p w14:paraId="4285A94E">
            <w:pPr>
              <w:pStyle w:val="50"/>
              <w:adjustRightInd w:val="0"/>
              <w:snapToGrid w:val="0"/>
              <w:rPr>
                <w:rFonts w:ascii="Times New Roman" w:hAnsi="Times New Roman" w:cs="Times New Roman"/>
                <w:color w:val="000000"/>
                <w:sz w:val="18"/>
                <w:szCs w:val="18"/>
                <w:lang w:val="en-US" w:bidi="ar-SA"/>
              </w:rPr>
            </w:pPr>
            <w:r>
              <w:rPr>
                <w:rFonts w:hint="eastAsia" w:ascii="Times New Roman" w:hAnsi="Times New Roman" w:cs="Times New Roman"/>
                <w:color w:val="000000"/>
                <w:sz w:val="18"/>
                <w:szCs w:val="18"/>
                <w:lang w:val="en-US" w:bidi="ar-SA"/>
              </w:rPr>
              <w:t>落实公司安排的工作任务及公司管理要求；严格现场管控避免出现施工项目部工作原因导致各类舆情事件、安全事件、质量事件、上访事件等影响公司事件发生。（10分）</w:t>
            </w:r>
          </w:p>
        </w:tc>
        <w:tc>
          <w:tcPr>
            <w:tcW w:w="3890" w:type="dxa"/>
            <w:tcBorders>
              <w:top w:val="nil"/>
              <w:left w:val="single" w:color="000000" w:sz="4" w:space="0"/>
              <w:bottom w:val="single" w:color="000000" w:sz="4" w:space="0"/>
              <w:right w:val="single" w:color="000000" w:sz="4" w:space="0"/>
            </w:tcBorders>
            <w:tcMar>
              <w:left w:w="28" w:type="dxa"/>
              <w:right w:w="28" w:type="dxa"/>
            </w:tcMar>
            <w:vAlign w:val="center"/>
          </w:tcPr>
          <w:p w14:paraId="15DFF549">
            <w:pPr>
              <w:pStyle w:val="50"/>
              <w:adjustRightInd w:val="0"/>
              <w:snapToGrid w:val="0"/>
              <w:jc w:val="left"/>
              <w:rPr>
                <w:rFonts w:ascii="Times New Roman" w:hAnsi="Times New Roman" w:cs="Times New Roman"/>
                <w:color w:val="000000"/>
                <w:sz w:val="18"/>
                <w:szCs w:val="18"/>
                <w:lang w:val="en-US" w:bidi="ar-SA"/>
              </w:rPr>
            </w:pPr>
            <w:r>
              <w:rPr>
                <w:rFonts w:hint="eastAsia" w:ascii="Times New Roman" w:hAnsi="Times New Roman" w:cs="Times New Roman"/>
                <w:color w:val="000000"/>
                <w:sz w:val="18"/>
                <w:szCs w:val="18"/>
                <w:lang w:val="en-US" w:bidi="ar-SA"/>
              </w:rPr>
              <w:t>（1）业主项目部安排工作任务未落实每项扣2分；落实质量不符合要求每项扣1分；</w:t>
            </w:r>
          </w:p>
          <w:p w14:paraId="20A81212">
            <w:pPr>
              <w:pStyle w:val="50"/>
              <w:adjustRightInd w:val="0"/>
              <w:snapToGrid w:val="0"/>
              <w:jc w:val="left"/>
              <w:rPr>
                <w:sz w:val="18"/>
                <w:lang w:val="en-US"/>
              </w:rPr>
            </w:pPr>
            <w:r>
              <w:rPr>
                <w:rFonts w:hint="eastAsia" w:ascii="Times New Roman" w:hAnsi="Times New Roman" w:cs="Times New Roman"/>
                <w:color w:val="000000"/>
                <w:sz w:val="18"/>
                <w:szCs w:val="18"/>
                <w:lang w:val="en-US" w:bidi="ar-SA"/>
              </w:rPr>
              <w:t>（2）发生因施工项目部工作原因导致各类舆情事件、安全事件、质量事件、上访事件等影响公司事件每次扣5分。</w:t>
            </w:r>
          </w:p>
        </w:tc>
        <w:tc>
          <w:tcPr>
            <w:tcW w:w="1117" w:type="dxa"/>
            <w:tcMar>
              <w:left w:w="28" w:type="dxa"/>
              <w:right w:w="28" w:type="dxa"/>
            </w:tcMar>
            <w:vAlign w:val="center"/>
          </w:tcPr>
          <w:p w14:paraId="038AA792">
            <w:pPr>
              <w:spacing w:line="260" w:lineRule="exact"/>
              <w:rPr>
                <w:rFonts w:ascii="宋体" w:hAnsi="宋体" w:cs="宋体"/>
                <w:sz w:val="18"/>
              </w:rPr>
            </w:pPr>
          </w:p>
        </w:tc>
        <w:tc>
          <w:tcPr>
            <w:tcW w:w="1020" w:type="dxa"/>
            <w:tcMar>
              <w:left w:w="28" w:type="dxa"/>
              <w:right w:w="28" w:type="dxa"/>
            </w:tcMar>
            <w:vAlign w:val="center"/>
          </w:tcPr>
          <w:p w14:paraId="346D68E9">
            <w:pPr>
              <w:spacing w:line="260" w:lineRule="exact"/>
              <w:rPr>
                <w:rFonts w:ascii="宋体" w:hAnsi="宋体" w:cs="宋体"/>
                <w:sz w:val="18"/>
              </w:rPr>
            </w:pPr>
          </w:p>
        </w:tc>
      </w:tr>
      <w:tr w14:paraId="56D571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454" w:hRule="atLeast"/>
          <w:jc w:val="center"/>
        </w:trPr>
        <w:tc>
          <w:tcPr>
            <w:tcW w:w="10712" w:type="dxa"/>
            <w:gridSpan w:val="5"/>
            <w:tcBorders>
              <w:right w:val="single" w:color="000000" w:sz="4" w:space="0"/>
            </w:tcBorders>
            <w:tcMar>
              <w:left w:w="28" w:type="dxa"/>
              <w:right w:w="28" w:type="dxa"/>
            </w:tcMar>
            <w:vAlign w:val="center"/>
          </w:tcPr>
          <w:p w14:paraId="58A5FC63">
            <w:pPr>
              <w:pStyle w:val="50"/>
              <w:adjustRightInd w:val="0"/>
              <w:snapToGrid w:val="0"/>
              <w:jc w:val="center"/>
              <w:rPr>
                <w:rFonts w:ascii="Times New Roman" w:hAnsi="Times New Roman" w:cs="Times New Roman"/>
                <w:color w:val="000000"/>
                <w:sz w:val="18"/>
                <w:szCs w:val="18"/>
                <w:lang w:val="en-US" w:bidi="ar-SA"/>
              </w:rPr>
            </w:pPr>
            <w:r>
              <w:rPr>
                <w:rFonts w:hint="eastAsia" w:ascii="Times New Roman" w:hAnsi="Times New Roman" w:cs="Times New Roman"/>
                <w:color w:val="000000"/>
                <w:sz w:val="18"/>
                <w:szCs w:val="18"/>
                <w:lang w:val="en-US" w:bidi="ar-SA"/>
              </w:rPr>
              <w:t>合计得分</w:t>
            </w:r>
          </w:p>
        </w:tc>
        <w:tc>
          <w:tcPr>
            <w:tcW w:w="1117" w:type="dxa"/>
            <w:tcMar>
              <w:left w:w="28" w:type="dxa"/>
              <w:right w:w="28" w:type="dxa"/>
            </w:tcMar>
            <w:vAlign w:val="center"/>
          </w:tcPr>
          <w:p w14:paraId="68CDC0B4">
            <w:pPr>
              <w:rPr>
                <w:rFonts w:ascii="宋体" w:hAnsi="宋体" w:cs="宋体"/>
                <w:sz w:val="18"/>
              </w:rPr>
            </w:pPr>
          </w:p>
        </w:tc>
        <w:tc>
          <w:tcPr>
            <w:tcW w:w="1020" w:type="dxa"/>
            <w:tcMar>
              <w:left w:w="28" w:type="dxa"/>
              <w:right w:w="28" w:type="dxa"/>
            </w:tcMar>
            <w:vAlign w:val="center"/>
          </w:tcPr>
          <w:p w14:paraId="02F04D85">
            <w:pPr>
              <w:rPr>
                <w:rFonts w:ascii="宋体" w:hAnsi="宋体" w:cs="宋体"/>
                <w:sz w:val="18"/>
              </w:rPr>
            </w:pPr>
          </w:p>
        </w:tc>
      </w:tr>
    </w:tbl>
    <w:p w14:paraId="474F1DE4">
      <w:pPr>
        <w:ind w:firstLine="420" w:firstLineChars="200"/>
      </w:pPr>
      <w:r>
        <w:rPr>
          <w:rFonts w:hint="eastAsia"/>
        </w:rPr>
        <w:t>备注：1. 每分项扣分最多不超过本分项标准分值。</w:t>
      </w:r>
    </w:p>
    <w:p w14:paraId="78B1278D">
      <w:pPr>
        <w:numPr>
          <w:ilvl w:val="0"/>
          <w:numId w:val="14"/>
        </w:numPr>
        <w:ind w:firstLine="1050" w:firstLineChars="500"/>
      </w:pPr>
      <w:r>
        <w:rPr>
          <w:rFonts w:hint="eastAsia"/>
        </w:rPr>
        <w:t>每月由业主项目部按《施工承包商现场过程评价细则》进行评分。</w:t>
      </w:r>
    </w:p>
    <w:p w14:paraId="77DDE215"/>
    <w:p w14:paraId="58DCCBB2">
      <w:pPr>
        <w:rPr>
          <w:b/>
          <w:bCs/>
        </w:rPr>
      </w:pPr>
      <w:r>
        <w:rPr>
          <w:rFonts w:hint="eastAsia"/>
        </w:rPr>
        <w:t xml:space="preserve">施工项目经理（签名、盖章）                 年   月   日                   业主项目经理（签名）：           年   月   日         </w:t>
      </w:r>
    </w:p>
    <w:p w14:paraId="413EFE82">
      <w:pPr>
        <w:jc w:val="center"/>
        <w:rPr>
          <w:b/>
          <w:bCs/>
        </w:rPr>
      </w:pPr>
    </w:p>
    <w:p w14:paraId="5F7577C7">
      <w:pPr>
        <w:spacing w:line="360" w:lineRule="auto"/>
        <w:jc w:val="center"/>
        <w:rPr>
          <w:b/>
          <w:sz w:val="32"/>
          <w:szCs w:val="32"/>
        </w:rPr>
        <w:sectPr>
          <w:pgSz w:w="16838" w:h="11906" w:orient="landscape"/>
          <w:pgMar w:top="1247" w:right="1701" w:bottom="1247" w:left="1560" w:header="851" w:footer="992" w:gutter="0"/>
          <w:cols w:space="720" w:num="1"/>
          <w:docGrid w:type="lines" w:linePitch="312" w:charSpace="0"/>
        </w:sectPr>
      </w:pPr>
    </w:p>
    <w:p w14:paraId="49D579C5">
      <w:pPr>
        <w:spacing w:line="360" w:lineRule="auto"/>
        <w:jc w:val="center"/>
        <w:outlineLvl w:val="0"/>
        <w:rPr>
          <w:b/>
          <w:sz w:val="32"/>
          <w:szCs w:val="32"/>
        </w:rPr>
      </w:pPr>
      <w:r>
        <w:rPr>
          <w:rFonts w:hint="eastAsia"/>
          <w:b/>
          <w:sz w:val="32"/>
          <w:szCs w:val="32"/>
        </w:rPr>
        <w:t>施工项目部现场履约总体评价加分表</w:t>
      </w:r>
    </w:p>
    <w:tbl>
      <w:tblPr>
        <w:tblStyle w:val="15"/>
        <w:tblW w:w="140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631"/>
        <w:gridCol w:w="3396"/>
        <w:gridCol w:w="740"/>
        <w:gridCol w:w="6364"/>
        <w:gridCol w:w="1108"/>
        <w:gridCol w:w="1026"/>
        <w:gridCol w:w="799"/>
      </w:tblGrid>
      <w:tr w14:paraId="282B31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17" w:hRule="atLeast"/>
          <w:tblHeader/>
        </w:trPr>
        <w:tc>
          <w:tcPr>
            <w:tcW w:w="631" w:type="dxa"/>
            <w:tcMar>
              <w:left w:w="28" w:type="dxa"/>
              <w:right w:w="28" w:type="dxa"/>
            </w:tcMar>
            <w:vAlign w:val="center"/>
          </w:tcPr>
          <w:p w14:paraId="6DBEFF74">
            <w:pPr>
              <w:jc w:val="center"/>
              <w:rPr>
                <w:b/>
                <w:color w:val="000000"/>
                <w:szCs w:val="21"/>
              </w:rPr>
            </w:pPr>
            <w:r>
              <w:rPr>
                <w:rFonts w:hint="eastAsia"/>
                <w:b/>
                <w:color w:val="000000"/>
                <w:szCs w:val="21"/>
              </w:rPr>
              <w:t>序号</w:t>
            </w:r>
          </w:p>
        </w:tc>
        <w:tc>
          <w:tcPr>
            <w:tcW w:w="3396" w:type="dxa"/>
            <w:vAlign w:val="center"/>
          </w:tcPr>
          <w:p w14:paraId="018CD5BB">
            <w:pPr>
              <w:jc w:val="center"/>
              <w:rPr>
                <w:b/>
                <w:color w:val="000000"/>
                <w:szCs w:val="21"/>
              </w:rPr>
            </w:pPr>
            <w:r>
              <w:rPr>
                <w:rFonts w:hint="eastAsia"/>
                <w:b/>
                <w:color w:val="000000"/>
                <w:szCs w:val="21"/>
              </w:rPr>
              <w:t>评价内容</w:t>
            </w:r>
          </w:p>
        </w:tc>
        <w:tc>
          <w:tcPr>
            <w:tcW w:w="740" w:type="dxa"/>
            <w:tcMar>
              <w:left w:w="28" w:type="dxa"/>
              <w:right w:w="28" w:type="dxa"/>
            </w:tcMar>
            <w:vAlign w:val="center"/>
          </w:tcPr>
          <w:p w14:paraId="5B0C9F3A">
            <w:pPr>
              <w:jc w:val="center"/>
              <w:rPr>
                <w:b/>
                <w:color w:val="000000"/>
                <w:szCs w:val="21"/>
              </w:rPr>
            </w:pPr>
            <w:r>
              <w:rPr>
                <w:rFonts w:hint="eastAsia"/>
                <w:b/>
                <w:color w:val="000000"/>
                <w:szCs w:val="21"/>
              </w:rPr>
              <w:t>标准分</w:t>
            </w:r>
          </w:p>
        </w:tc>
        <w:tc>
          <w:tcPr>
            <w:tcW w:w="6364" w:type="dxa"/>
            <w:vAlign w:val="center"/>
          </w:tcPr>
          <w:p w14:paraId="5832CFCC">
            <w:pPr>
              <w:jc w:val="center"/>
              <w:rPr>
                <w:b/>
                <w:color w:val="000000"/>
                <w:szCs w:val="21"/>
              </w:rPr>
            </w:pPr>
            <w:r>
              <w:rPr>
                <w:rFonts w:hint="eastAsia"/>
                <w:b/>
                <w:color w:val="000000"/>
                <w:szCs w:val="21"/>
              </w:rPr>
              <w:t>扣分标准</w:t>
            </w:r>
          </w:p>
        </w:tc>
        <w:tc>
          <w:tcPr>
            <w:tcW w:w="1108" w:type="dxa"/>
            <w:tcMar>
              <w:left w:w="28" w:type="dxa"/>
              <w:right w:w="28" w:type="dxa"/>
            </w:tcMar>
            <w:vAlign w:val="center"/>
          </w:tcPr>
          <w:p w14:paraId="0BA9CFDE">
            <w:pPr>
              <w:jc w:val="center"/>
              <w:rPr>
                <w:b/>
                <w:color w:val="000000"/>
                <w:szCs w:val="21"/>
              </w:rPr>
            </w:pPr>
            <w:r>
              <w:rPr>
                <w:rFonts w:hint="eastAsia"/>
                <w:b/>
                <w:color w:val="000000"/>
                <w:szCs w:val="21"/>
              </w:rPr>
              <w:t>检查方法</w:t>
            </w:r>
          </w:p>
        </w:tc>
        <w:tc>
          <w:tcPr>
            <w:tcW w:w="1026" w:type="dxa"/>
            <w:vAlign w:val="center"/>
          </w:tcPr>
          <w:p w14:paraId="2735E948">
            <w:pPr>
              <w:jc w:val="center"/>
              <w:rPr>
                <w:b/>
                <w:color w:val="000000"/>
                <w:szCs w:val="21"/>
              </w:rPr>
            </w:pPr>
            <w:r>
              <w:rPr>
                <w:rFonts w:hint="eastAsia"/>
                <w:b/>
                <w:color w:val="000000"/>
                <w:szCs w:val="21"/>
              </w:rPr>
              <w:t>责任部门</w:t>
            </w:r>
          </w:p>
        </w:tc>
        <w:tc>
          <w:tcPr>
            <w:tcW w:w="799" w:type="dxa"/>
            <w:vAlign w:val="center"/>
          </w:tcPr>
          <w:p w14:paraId="0F1A9DA9">
            <w:pPr>
              <w:jc w:val="center"/>
              <w:rPr>
                <w:b/>
                <w:color w:val="000000"/>
                <w:szCs w:val="21"/>
              </w:rPr>
            </w:pPr>
            <w:r>
              <w:rPr>
                <w:rFonts w:hint="eastAsia"/>
                <w:b/>
                <w:color w:val="000000"/>
                <w:szCs w:val="21"/>
              </w:rPr>
              <w:t>得分</w:t>
            </w:r>
          </w:p>
        </w:tc>
      </w:tr>
      <w:tr w14:paraId="232337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155" w:hRule="atLeast"/>
          <w:tblHeader/>
        </w:trPr>
        <w:tc>
          <w:tcPr>
            <w:tcW w:w="631" w:type="dxa"/>
            <w:tcMar>
              <w:left w:w="28" w:type="dxa"/>
              <w:right w:w="28" w:type="dxa"/>
            </w:tcMar>
            <w:vAlign w:val="center"/>
          </w:tcPr>
          <w:p w14:paraId="0A841D87">
            <w:pPr>
              <w:jc w:val="center"/>
              <w:rPr>
                <w:color w:val="000000"/>
                <w:sz w:val="18"/>
                <w:szCs w:val="18"/>
              </w:rPr>
            </w:pPr>
            <w:r>
              <w:rPr>
                <w:rFonts w:hint="eastAsia"/>
                <w:color w:val="000000"/>
                <w:sz w:val="18"/>
                <w:szCs w:val="18"/>
              </w:rPr>
              <w:t>1</w:t>
            </w:r>
          </w:p>
        </w:tc>
        <w:tc>
          <w:tcPr>
            <w:tcW w:w="3396" w:type="dxa"/>
            <w:vAlign w:val="center"/>
          </w:tcPr>
          <w:p w14:paraId="0BA669FD">
            <w:pPr>
              <w:rPr>
                <w:color w:val="000000"/>
                <w:sz w:val="18"/>
                <w:szCs w:val="18"/>
              </w:rPr>
            </w:pPr>
            <w:r>
              <w:rPr>
                <w:rFonts w:hint="eastAsia"/>
                <w:color w:val="000000"/>
                <w:sz w:val="18"/>
                <w:szCs w:val="18"/>
              </w:rPr>
              <w:t>获得建管单位或国家电网公司及以上通报表扬。</w:t>
            </w:r>
          </w:p>
        </w:tc>
        <w:tc>
          <w:tcPr>
            <w:tcW w:w="740" w:type="dxa"/>
            <w:tcMar>
              <w:left w:w="28" w:type="dxa"/>
              <w:right w:w="28" w:type="dxa"/>
            </w:tcMar>
            <w:vAlign w:val="center"/>
          </w:tcPr>
          <w:p w14:paraId="6D08F65A">
            <w:pPr>
              <w:jc w:val="center"/>
              <w:rPr>
                <w:color w:val="000000"/>
                <w:sz w:val="18"/>
                <w:szCs w:val="18"/>
              </w:rPr>
            </w:pPr>
            <w:r>
              <w:rPr>
                <w:rFonts w:hint="eastAsia"/>
                <w:color w:val="000000"/>
                <w:sz w:val="18"/>
                <w:szCs w:val="18"/>
              </w:rPr>
              <w:t>2</w:t>
            </w:r>
          </w:p>
        </w:tc>
        <w:tc>
          <w:tcPr>
            <w:tcW w:w="6364" w:type="dxa"/>
            <w:vAlign w:val="center"/>
          </w:tcPr>
          <w:p w14:paraId="605DBF33">
            <w:pPr>
              <w:rPr>
                <w:color w:val="000000"/>
                <w:sz w:val="18"/>
                <w:szCs w:val="18"/>
              </w:rPr>
            </w:pPr>
            <w:r>
              <w:rPr>
                <w:rFonts w:hint="eastAsia"/>
                <w:color w:val="000000"/>
                <w:sz w:val="18"/>
                <w:szCs w:val="18"/>
              </w:rPr>
              <w:t>国网公司及以上发文表扬一次加1分；建设管理单位发文表扬一次加0.5分</w:t>
            </w:r>
          </w:p>
        </w:tc>
        <w:tc>
          <w:tcPr>
            <w:tcW w:w="1108" w:type="dxa"/>
            <w:tcMar>
              <w:left w:w="28" w:type="dxa"/>
              <w:right w:w="28" w:type="dxa"/>
            </w:tcMar>
            <w:vAlign w:val="center"/>
          </w:tcPr>
          <w:p w14:paraId="119C52D0">
            <w:pPr>
              <w:rPr>
                <w:color w:val="000000"/>
                <w:sz w:val="18"/>
                <w:szCs w:val="18"/>
              </w:rPr>
            </w:pPr>
            <w:r>
              <w:rPr>
                <w:rFonts w:hint="eastAsia"/>
                <w:color w:val="000000"/>
                <w:sz w:val="18"/>
                <w:szCs w:val="18"/>
              </w:rPr>
              <w:t>查记录</w:t>
            </w:r>
          </w:p>
        </w:tc>
        <w:tc>
          <w:tcPr>
            <w:tcW w:w="1026" w:type="dxa"/>
            <w:vAlign w:val="center"/>
          </w:tcPr>
          <w:p w14:paraId="597F5151">
            <w:pPr>
              <w:jc w:val="center"/>
              <w:rPr>
                <w:color w:val="000000"/>
                <w:sz w:val="18"/>
                <w:szCs w:val="18"/>
              </w:rPr>
            </w:pPr>
          </w:p>
        </w:tc>
        <w:tc>
          <w:tcPr>
            <w:tcW w:w="799" w:type="dxa"/>
            <w:vAlign w:val="center"/>
          </w:tcPr>
          <w:p w14:paraId="1CDF33D2">
            <w:pPr>
              <w:jc w:val="center"/>
              <w:rPr>
                <w:color w:val="000000"/>
                <w:szCs w:val="21"/>
              </w:rPr>
            </w:pPr>
          </w:p>
        </w:tc>
      </w:tr>
      <w:tr w14:paraId="6EC9BF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899" w:hRule="atLeast"/>
          <w:tblHeader/>
        </w:trPr>
        <w:tc>
          <w:tcPr>
            <w:tcW w:w="631" w:type="dxa"/>
            <w:tcMar>
              <w:left w:w="28" w:type="dxa"/>
              <w:right w:w="28" w:type="dxa"/>
            </w:tcMar>
            <w:vAlign w:val="center"/>
          </w:tcPr>
          <w:p w14:paraId="2DF5D6B1">
            <w:pPr>
              <w:jc w:val="center"/>
              <w:rPr>
                <w:color w:val="000000"/>
                <w:sz w:val="18"/>
                <w:szCs w:val="18"/>
              </w:rPr>
            </w:pPr>
            <w:r>
              <w:rPr>
                <w:rFonts w:hint="eastAsia"/>
                <w:color w:val="000000"/>
                <w:sz w:val="18"/>
                <w:szCs w:val="18"/>
              </w:rPr>
              <w:t>2</w:t>
            </w:r>
          </w:p>
        </w:tc>
        <w:tc>
          <w:tcPr>
            <w:tcW w:w="3396" w:type="dxa"/>
            <w:vAlign w:val="center"/>
          </w:tcPr>
          <w:p w14:paraId="303C6425">
            <w:pPr>
              <w:rPr>
                <w:color w:val="000000"/>
                <w:sz w:val="18"/>
                <w:szCs w:val="18"/>
              </w:rPr>
            </w:pPr>
            <w:r>
              <w:rPr>
                <w:rFonts w:hint="eastAsia"/>
                <w:color w:val="000000"/>
                <w:sz w:val="18"/>
                <w:szCs w:val="18"/>
              </w:rPr>
              <w:t>国家电网公司及以上级别科技进步奖</w:t>
            </w:r>
          </w:p>
        </w:tc>
        <w:tc>
          <w:tcPr>
            <w:tcW w:w="740" w:type="dxa"/>
            <w:tcMar>
              <w:left w:w="28" w:type="dxa"/>
              <w:right w:w="28" w:type="dxa"/>
            </w:tcMar>
            <w:vAlign w:val="center"/>
          </w:tcPr>
          <w:p w14:paraId="1B0CB013">
            <w:pPr>
              <w:jc w:val="center"/>
              <w:rPr>
                <w:color w:val="000000"/>
                <w:sz w:val="18"/>
                <w:szCs w:val="18"/>
              </w:rPr>
            </w:pPr>
            <w:r>
              <w:rPr>
                <w:rFonts w:hint="eastAsia"/>
                <w:color w:val="000000"/>
                <w:sz w:val="18"/>
                <w:szCs w:val="18"/>
              </w:rPr>
              <w:t>3</w:t>
            </w:r>
          </w:p>
        </w:tc>
        <w:tc>
          <w:tcPr>
            <w:tcW w:w="6364" w:type="dxa"/>
            <w:vAlign w:val="center"/>
          </w:tcPr>
          <w:p w14:paraId="27B9A757">
            <w:r>
              <w:rPr>
                <w:rFonts w:hint="eastAsia"/>
                <w:b/>
                <w:bCs/>
                <w:color w:val="000000"/>
                <w:sz w:val="18"/>
                <w:szCs w:val="18"/>
              </w:rPr>
              <w:t>一等奖及以上：</w:t>
            </w:r>
            <w:r>
              <w:rPr>
                <w:rFonts w:hint="eastAsia"/>
                <w:color w:val="000000"/>
                <w:sz w:val="18"/>
                <w:szCs w:val="18"/>
              </w:rPr>
              <w:t>建管单位为第一获奖单位的，每项加1分；建管单位为第二获奖单位的，每项加0.5分；</w:t>
            </w:r>
          </w:p>
          <w:p w14:paraId="775EE348">
            <w:pPr>
              <w:rPr>
                <w:color w:val="000000"/>
                <w:sz w:val="18"/>
                <w:szCs w:val="18"/>
              </w:rPr>
            </w:pPr>
            <w:r>
              <w:rPr>
                <w:rFonts w:hint="eastAsia"/>
                <w:b/>
                <w:bCs/>
                <w:color w:val="000000"/>
                <w:sz w:val="18"/>
                <w:szCs w:val="18"/>
              </w:rPr>
              <w:t>二等奖及三等奖：</w:t>
            </w:r>
            <w:r>
              <w:rPr>
                <w:rFonts w:hint="eastAsia"/>
                <w:color w:val="000000"/>
                <w:sz w:val="18"/>
                <w:szCs w:val="18"/>
              </w:rPr>
              <w:t>建管单位为第一获奖单位的，每项加0.5分；建管单位为第二获奖单位的，每项加0.2分；</w:t>
            </w:r>
          </w:p>
        </w:tc>
        <w:tc>
          <w:tcPr>
            <w:tcW w:w="1108" w:type="dxa"/>
            <w:tcMar>
              <w:left w:w="28" w:type="dxa"/>
              <w:right w:w="28" w:type="dxa"/>
            </w:tcMar>
            <w:vAlign w:val="center"/>
          </w:tcPr>
          <w:p w14:paraId="5EF04D18">
            <w:pPr>
              <w:rPr>
                <w:color w:val="000000"/>
                <w:sz w:val="18"/>
                <w:szCs w:val="18"/>
              </w:rPr>
            </w:pPr>
            <w:r>
              <w:rPr>
                <w:rFonts w:hint="eastAsia"/>
                <w:color w:val="000000"/>
                <w:sz w:val="18"/>
                <w:szCs w:val="18"/>
              </w:rPr>
              <w:t>查获奖证明</w:t>
            </w:r>
          </w:p>
        </w:tc>
        <w:tc>
          <w:tcPr>
            <w:tcW w:w="1026" w:type="dxa"/>
            <w:vAlign w:val="center"/>
          </w:tcPr>
          <w:p w14:paraId="66C7B5A5">
            <w:pPr>
              <w:jc w:val="center"/>
              <w:rPr>
                <w:color w:val="000000"/>
                <w:sz w:val="18"/>
                <w:szCs w:val="18"/>
              </w:rPr>
            </w:pPr>
          </w:p>
        </w:tc>
        <w:tc>
          <w:tcPr>
            <w:tcW w:w="799" w:type="dxa"/>
            <w:vAlign w:val="center"/>
          </w:tcPr>
          <w:p w14:paraId="737777A6">
            <w:pPr>
              <w:jc w:val="center"/>
              <w:rPr>
                <w:color w:val="000000"/>
                <w:szCs w:val="21"/>
              </w:rPr>
            </w:pPr>
          </w:p>
        </w:tc>
      </w:tr>
      <w:tr w14:paraId="2E5556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623" w:hRule="atLeast"/>
          <w:tblHeader/>
        </w:trPr>
        <w:tc>
          <w:tcPr>
            <w:tcW w:w="631" w:type="dxa"/>
            <w:tcMar>
              <w:left w:w="28" w:type="dxa"/>
              <w:right w:w="28" w:type="dxa"/>
            </w:tcMar>
            <w:vAlign w:val="center"/>
          </w:tcPr>
          <w:p w14:paraId="27EEF041">
            <w:pPr>
              <w:jc w:val="center"/>
              <w:rPr>
                <w:color w:val="000000"/>
                <w:sz w:val="18"/>
                <w:szCs w:val="18"/>
              </w:rPr>
            </w:pPr>
            <w:r>
              <w:rPr>
                <w:rFonts w:hint="eastAsia"/>
                <w:color w:val="000000"/>
                <w:sz w:val="18"/>
                <w:szCs w:val="18"/>
              </w:rPr>
              <w:t>3</w:t>
            </w:r>
          </w:p>
        </w:tc>
        <w:tc>
          <w:tcPr>
            <w:tcW w:w="3396" w:type="dxa"/>
            <w:vAlign w:val="center"/>
          </w:tcPr>
          <w:p w14:paraId="03BA8AFA">
            <w:pPr>
              <w:rPr>
                <w:color w:val="000000"/>
                <w:sz w:val="18"/>
                <w:szCs w:val="18"/>
              </w:rPr>
            </w:pPr>
            <w:r>
              <w:rPr>
                <w:rFonts w:hint="eastAsia"/>
                <w:color w:val="000000"/>
                <w:sz w:val="18"/>
                <w:szCs w:val="18"/>
              </w:rPr>
              <w:t>专利</w:t>
            </w:r>
          </w:p>
        </w:tc>
        <w:tc>
          <w:tcPr>
            <w:tcW w:w="740" w:type="dxa"/>
            <w:tcMar>
              <w:left w:w="28" w:type="dxa"/>
              <w:right w:w="28" w:type="dxa"/>
            </w:tcMar>
            <w:vAlign w:val="center"/>
          </w:tcPr>
          <w:p w14:paraId="4EA20ADC">
            <w:pPr>
              <w:jc w:val="center"/>
              <w:rPr>
                <w:color w:val="000000"/>
                <w:sz w:val="18"/>
                <w:szCs w:val="18"/>
              </w:rPr>
            </w:pPr>
            <w:r>
              <w:rPr>
                <w:rFonts w:hint="eastAsia"/>
                <w:color w:val="000000"/>
                <w:sz w:val="18"/>
                <w:szCs w:val="18"/>
              </w:rPr>
              <w:t>2</w:t>
            </w:r>
          </w:p>
        </w:tc>
        <w:tc>
          <w:tcPr>
            <w:tcW w:w="6364" w:type="dxa"/>
            <w:vAlign w:val="center"/>
          </w:tcPr>
          <w:p w14:paraId="7E2160F7">
            <w:pPr>
              <w:rPr>
                <w:color w:val="000000"/>
                <w:sz w:val="18"/>
                <w:szCs w:val="18"/>
              </w:rPr>
            </w:pPr>
            <w:r>
              <w:rPr>
                <w:rFonts w:hint="eastAsia"/>
                <w:color w:val="000000"/>
                <w:sz w:val="18"/>
                <w:szCs w:val="18"/>
              </w:rPr>
              <w:t>建管单位为第一单位或第二单位的，发明专利每项加1分，满分2分；实用新型等专利每项加0.2分，满分1分。发明及实用新型等专利满分共2分，累计加满2分为止。</w:t>
            </w:r>
          </w:p>
        </w:tc>
        <w:tc>
          <w:tcPr>
            <w:tcW w:w="1108" w:type="dxa"/>
            <w:tcMar>
              <w:left w:w="28" w:type="dxa"/>
              <w:right w:w="28" w:type="dxa"/>
            </w:tcMar>
            <w:vAlign w:val="center"/>
          </w:tcPr>
          <w:p w14:paraId="1FDD4C89">
            <w:pPr>
              <w:rPr>
                <w:color w:val="000000"/>
                <w:sz w:val="18"/>
                <w:szCs w:val="18"/>
              </w:rPr>
            </w:pPr>
            <w:r>
              <w:rPr>
                <w:rFonts w:hint="eastAsia"/>
                <w:color w:val="000000"/>
                <w:sz w:val="18"/>
                <w:szCs w:val="18"/>
              </w:rPr>
              <w:t>查专利证书</w:t>
            </w:r>
          </w:p>
        </w:tc>
        <w:tc>
          <w:tcPr>
            <w:tcW w:w="1026" w:type="dxa"/>
            <w:vAlign w:val="center"/>
          </w:tcPr>
          <w:p w14:paraId="437D2645">
            <w:pPr>
              <w:jc w:val="center"/>
              <w:rPr>
                <w:color w:val="000000"/>
                <w:sz w:val="18"/>
                <w:szCs w:val="18"/>
              </w:rPr>
            </w:pPr>
          </w:p>
        </w:tc>
        <w:tc>
          <w:tcPr>
            <w:tcW w:w="799" w:type="dxa"/>
            <w:vAlign w:val="center"/>
          </w:tcPr>
          <w:p w14:paraId="38F23515">
            <w:pPr>
              <w:jc w:val="center"/>
              <w:rPr>
                <w:color w:val="000000"/>
                <w:szCs w:val="21"/>
              </w:rPr>
            </w:pPr>
          </w:p>
        </w:tc>
      </w:tr>
      <w:tr w14:paraId="1BEBBF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623" w:hRule="atLeast"/>
          <w:tblHeader/>
        </w:trPr>
        <w:tc>
          <w:tcPr>
            <w:tcW w:w="631" w:type="dxa"/>
            <w:tcMar>
              <w:left w:w="28" w:type="dxa"/>
              <w:right w:w="28" w:type="dxa"/>
            </w:tcMar>
            <w:vAlign w:val="center"/>
          </w:tcPr>
          <w:p w14:paraId="0AD5B110">
            <w:pPr>
              <w:jc w:val="center"/>
              <w:rPr>
                <w:color w:val="000000"/>
                <w:sz w:val="18"/>
                <w:szCs w:val="18"/>
              </w:rPr>
            </w:pPr>
            <w:r>
              <w:rPr>
                <w:rFonts w:hint="eastAsia"/>
                <w:color w:val="000000"/>
                <w:sz w:val="18"/>
                <w:szCs w:val="18"/>
              </w:rPr>
              <w:t>4</w:t>
            </w:r>
          </w:p>
        </w:tc>
        <w:tc>
          <w:tcPr>
            <w:tcW w:w="3396" w:type="dxa"/>
            <w:vAlign w:val="center"/>
          </w:tcPr>
          <w:p w14:paraId="5E770868">
            <w:pPr>
              <w:rPr>
                <w:color w:val="000000"/>
                <w:sz w:val="18"/>
                <w:szCs w:val="18"/>
              </w:rPr>
            </w:pPr>
            <w:r>
              <w:rPr>
                <w:rFonts w:hint="eastAsia"/>
                <w:color w:val="000000"/>
                <w:sz w:val="18"/>
                <w:szCs w:val="18"/>
              </w:rPr>
              <w:t>电力建设工法</w:t>
            </w:r>
          </w:p>
        </w:tc>
        <w:tc>
          <w:tcPr>
            <w:tcW w:w="740" w:type="dxa"/>
            <w:tcMar>
              <w:left w:w="28" w:type="dxa"/>
              <w:right w:w="28" w:type="dxa"/>
            </w:tcMar>
            <w:vAlign w:val="center"/>
          </w:tcPr>
          <w:p w14:paraId="049ACED0">
            <w:pPr>
              <w:jc w:val="center"/>
              <w:rPr>
                <w:color w:val="000000"/>
                <w:sz w:val="18"/>
                <w:szCs w:val="18"/>
              </w:rPr>
            </w:pPr>
            <w:r>
              <w:rPr>
                <w:rFonts w:hint="eastAsia"/>
                <w:color w:val="000000"/>
                <w:sz w:val="18"/>
                <w:szCs w:val="18"/>
              </w:rPr>
              <w:t>2</w:t>
            </w:r>
          </w:p>
        </w:tc>
        <w:tc>
          <w:tcPr>
            <w:tcW w:w="6364" w:type="dxa"/>
            <w:vAlign w:val="center"/>
          </w:tcPr>
          <w:p w14:paraId="57C70A22">
            <w:pPr>
              <w:rPr>
                <w:color w:val="000000"/>
                <w:sz w:val="18"/>
                <w:szCs w:val="18"/>
              </w:rPr>
            </w:pPr>
            <w:r>
              <w:rPr>
                <w:rFonts w:hint="eastAsia"/>
                <w:b/>
                <w:bCs/>
                <w:color w:val="000000"/>
                <w:sz w:val="18"/>
                <w:szCs w:val="18"/>
              </w:rPr>
              <w:t>省部级及以上：</w:t>
            </w:r>
            <w:r>
              <w:rPr>
                <w:rFonts w:hint="eastAsia"/>
                <w:color w:val="000000"/>
                <w:sz w:val="18"/>
                <w:szCs w:val="18"/>
              </w:rPr>
              <w:t>建管单位为第一单位的，每项加1分；建管单位为第二单位的，每项加0.5分。</w:t>
            </w:r>
          </w:p>
        </w:tc>
        <w:tc>
          <w:tcPr>
            <w:tcW w:w="1108" w:type="dxa"/>
            <w:tcMar>
              <w:left w:w="28" w:type="dxa"/>
              <w:right w:w="28" w:type="dxa"/>
            </w:tcMar>
            <w:vAlign w:val="center"/>
          </w:tcPr>
          <w:p w14:paraId="14A99662">
            <w:pPr>
              <w:rPr>
                <w:color w:val="000000"/>
                <w:sz w:val="18"/>
                <w:szCs w:val="18"/>
              </w:rPr>
            </w:pPr>
            <w:r>
              <w:rPr>
                <w:rFonts w:hint="eastAsia"/>
                <w:color w:val="000000"/>
                <w:sz w:val="18"/>
                <w:szCs w:val="18"/>
              </w:rPr>
              <w:t>查相关证明</w:t>
            </w:r>
          </w:p>
        </w:tc>
        <w:tc>
          <w:tcPr>
            <w:tcW w:w="1026" w:type="dxa"/>
            <w:vAlign w:val="center"/>
          </w:tcPr>
          <w:p w14:paraId="2323CB7B">
            <w:pPr>
              <w:jc w:val="center"/>
              <w:rPr>
                <w:color w:val="000000"/>
                <w:sz w:val="18"/>
                <w:szCs w:val="18"/>
              </w:rPr>
            </w:pPr>
          </w:p>
        </w:tc>
        <w:tc>
          <w:tcPr>
            <w:tcW w:w="799" w:type="dxa"/>
            <w:vAlign w:val="center"/>
          </w:tcPr>
          <w:p w14:paraId="2FCC34B6">
            <w:pPr>
              <w:jc w:val="center"/>
              <w:rPr>
                <w:color w:val="000000"/>
                <w:szCs w:val="21"/>
              </w:rPr>
            </w:pPr>
          </w:p>
        </w:tc>
      </w:tr>
      <w:tr w14:paraId="4D741F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90" w:hRule="atLeast"/>
          <w:tblHeader/>
        </w:trPr>
        <w:tc>
          <w:tcPr>
            <w:tcW w:w="631" w:type="dxa"/>
            <w:tcMar>
              <w:left w:w="28" w:type="dxa"/>
              <w:right w:w="28" w:type="dxa"/>
            </w:tcMar>
            <w:vAlign w:val="center"/>
          </w:tcPr>
          <w:p w14:paraId="0B7B5F55">
            <w:pPr>
              <w:jc w:val="center"/>
              <w:rPr>
                <w:color w:val="000000"/>
                <w:sz w:val="18"/>
                <w:szCs w:val="18"/>
              </w:rPr>
            </w:pPr>
            <w:r>
              <w:rPr>
                <w:rFonts w:hint="eastAsia"/>
                <w:color w:val="000000"/>
                <w:sz w:val="18"/>
                <w:szCs w:val="18"/>
              </w:rPr>
              <w:t>5</w:t>
            </w:r>
          </w:p>
        </w:tc>
        <w:tc>
          <w:tcPr>
            <w:tcW w:w="3396" w:type="dxa"/>
            <w:vAlign w:val="center"/>
          </w:tcPr>
          <w:p w14:paraId="43E8A08F">
            <w:pPr>
              <w:rPr>
                <w:color w:val="000000"/>
                <w:sz w:val="18"/>
                <w:szCs w:val="18"/>
              </w:rPr>
            </w:pPr>
            <w:r>
              <w:rPr>
                <w:rFonts w:hint="eastAsia"/>
                <w:color w:val="000000"/>
                <w:sz w:val="18"/>
                <w:szCs w:val="18"/>
              </w:rPr>
              <w:t>电力建设优秀质量管理（QC）小组成果奖</w:t>
            </w:r>
          </w:p>
        </w:tc>
        <w:tc>
          <w:tcPr>
            <w:tcW w:w="740" w:type="dxa"/>
            <w:tcMar>
              <w:left w:w="28" w:type="dxa"/>
              <w:right w:w="28" w:type="dxa"/>
            </w:tcMar>
            <w:vAlign w:val="center"/>
          </w:tcPr>
          <w:p w14:paraId="464EB0CE">
            <w:pPr>
              <w:jc w:val="center"/>
              <w:rPr>
                <w:color w:val="000000"/>
                <w:sz w:val="18"/>
                <w:szCs w:val="18"/>
              </w:rPr>
            </w:pPr>
            <w:r>
              <w:rPr>
                <w:rFonts w:hint="eastAsia"/>
                <w:color w:val="000000"/>
                <w:sz w:val="18"/>
                <w:szCs w:val="18"/>
              </w:rPr>
              <w:t>1</w:t>
            </w:r>
          </w:p>
        </w:tc>
        <w:tc>
          <w:tcPr>
            <w:tcW w:w="6364" w:type="dxa"/>
            <w:vAlign w:val="center"/>
          </w:tcPr>
          <w:p w14:paraId="4DBCB050">
            <w:r>
              <w:rPr>
                <w:rFonts w:hint="eastAsia"/>
                <w:b/>
                <w:bCs/>
                <w:color w:val="000000"/>
                <w:sz w:val="18"/>
                <w:szCs w:val="18"/>
              </w:rPr>
              <w:t>一等成果及以上：</w:t>
            </w:r>
            <w:r>
              <w:rPr>
                <w:rFonts w:hint="eastAsia"/>
                <w:color w:val="000000"/>
                <w:sz w:val="18"/>
                <w:szCs w:val="18"/>
              </w:rPr>
              <w:t>建管单位为第一单位的，每项加0.5分；建管单位为第二单位的，每项加0.2分；</w:t>
            </w:r>
            <w:r>
              <w:rPr>
                <w:rFonts w:hint="eastAsia"/>
                <w:b/>
                <w:bCs/>
                <w:color w:val="000000"/>
                <w:sz w:val="18"/>
                <w:szCs w:val="18"/>
              </w:rPr>
              <w:t>二等及三等成果：建管单位为</w:t>
            </w:r>
            <w:r>
              <w:rPr>
                <w:rFonts w:hint="eastAsia"/>
                <w:color w:val="000000"/>
                <w:sz w:val="18"/>
                <w:szCs w:val="18"/>
              </w:rPr>
              <w:t>第一单位的，每项加0.2分；建管单位为第二单位的，每项加0.1分；</w:t>
            </w:r>
          </w:p>
        </w:tc>
        <w:tc>
          <w:tcPr>
            <w:tcW w:w="1108" w:type="dxa"/>
            <w:tcMar>
              <w:left w:w="28" w:type="dxa"/>
              <w:right w:w="28" w:type="dxa"/>
            </w:tcMar>
            <w:vAlign w:val="center"/>
          </w:tcPr>
          <w:p w14:paraId="4A837F63">
            <w:pPr>
              <w:rPr>
                <w:color w:val="000000"/>
                <w:sz w:val="18"/>
                <w:szCs w:val="18"/>
              </w:rPr>
            </w:pPr>
            <w:r>
              <w:rPr>
                <w:rFonts w:hint="eastAsia"/>
                <w:color w:val="000000"/>
                <w:sz w:val="18"/>
                <w:szCs w:val="18"/>
              </w:rPr>
              <w:t>查获奖证明</w:t>
            </w:r>
          </w:p>
        </w:tc>
        <w:tc>
          <w:tcPr>
            <w:tcW w:w="1026" w:type="dxa"/>
            <w:vAlign w:val="center"/>
          </w:tcPr>
          <w:p w14:paraId="0D915CE8">
            <w:pPr>
              <w:jc w:val="center"/>
              <w:rPr>
                <w:color w:val="000000"/>
                <w:sz w:val="18"/>
                <w:szCs w:val="18"/>
              </w:rPr>
            </w:pPr>
          </w:p>
        </w:tc>
        <w:tc>
          <w:tcPr>
            <w:tcW w:w="799" w:type="dxa"/>
            <w:vAlign w:val="center"/>
          </w:tcPr>
          <w:p w14:paraId="7BED2FDC">
            <w:pPr>
              <w:jc w:val="center"/>
              <w:rPr>
                <w:color w:val="000000"/>
                <w:szCs w:val="21"/>
              </w:rPr>
            </w:pPr>
          </w:p>
        </w:tc>
      </w:tr>
      <w:tr w14:paraId="727316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98" w:hRule="atLeast"/>
          <w:tblHeader/>
        </w:trPr>
        <w:tc>
          <w:tcPr>
            <w:tcW w:w="12239" w:type="dxa"/>
            <w:gridSpan w:val="5"/>
            <w:tcMar>
              <w:left w:w="28" w:type="dxa"/>
              <w:right w:w="28" w:type="dxa"/>
            </w:tcMar>
            <w:vAlign w:val="center"/>
          </w:tcPr>
          <w:p w14:paraId="07607EE9">
            <w:pPr>
              <w:jc w:val="center"/>
              <w:rPr>
                <w:color w:val="000000"/>
                <w:szCs w:val="21"/>
              </w:rPr>
            </w:pPr>
            <w:r>
              <w:rPr>
                <w:rFonts w:hint="eastAsia"/>
                <w:b/>
                <w:color w:val="000000"/>
                <w:szCs w:val="21"/>
              </w:rPr>
              <w:t>总体评价加分</w:t>
            </w:r>
          </w:p>
        </w:tc>
        <w:tc>
          <w:tcPr>
            <w:tcW w:w="1026" w:type="dxa"/>
            <w:vAlign w:val="center"/>
          </w:tcPr>
          <w:p w14:paraId="6EA44EC5">
            <w:pPr>
              <w:jc w:val="center"/>
              <w:rPr>
                <w:color w:val="000000"/>
                <w:szCs w:val="21"/>
              </w:rPr>
            </w:pPr>
          </w:p>
        </w:tc>
        <w:tc>
          <w:tcPr>
            <w:tcW w:w="799" w:type="dxa"/>
            <w:vAlign w:val="center"/>
          </w:tcPr>
          <w:p w14:paraId="56234048">
            <w:pPr>
              <w:jc w:val="center"/>
              <w:rPr>
                <w:color w:val="000000"/>
                <w:szCs w:val="21"/>
              </w:rPr>
            </w:pPr>
          </w:p>
        </w:tc>
      </w:tr>
    </w:tbl>
    <w:p w14:paraId="32FF6CF2">
      <w:pPr>
        <w:pStyle w:val="2"/>
        <w:ind w:left="540" w:hanging="540" w:hangingChars="300"/>
        <w:rPr>
          <w:rFonts w:ascii="仿宋" w:hAnsi="仿宋" w:eastAsia="仿宋" w:cs="仿宋"/>
        </w:rPr>
      </w:pPr>
      <w:r>
        <w:rPr>
          <w:rFonts w:hint="eastAsia" w:ascii="仿宋" w:hAnsi="仿宋" w:eastAsia="仿宋" w:cs="仿宋"/>
        </w:rPr>
        <w:t>备注：1.以上各加分项的加分期限为工程开工至整体工程试运行结束后一个月内。凡是在该时段内取得的上述加分项最终证明文件（如表扬信、专利证书、科技进步奖、工法、QC成果证书/文件）才给予计分，超出时段取得的加分项证明文件不予计分。</w:t>
      </w:r>
    </w:p>
    <w:p w14:paraId="55F8BDA7">
      <w:pPr>
        <w:pStyle w:val="2"/>
        <w:ind w:left="535" w:leftChars="255"/>
        <w:rPr>
          <w:rFonts w:ascii="仿宋" w:hAnsi="仿宋" w:eastAsia="仿宋" w:cs="仿宋"/>
        </w:rPr>
      </w:pPr>
      <w:r>
        <w:rPr>
          <w:rFonts w:hint="eastAsia" w:ascii="仿宋" w:hAnsi="仿宋" w:eastAsia="仿宋" w:cs="仿宋"/>
        </w:rPr>
        <w:t>2.表扬信中的表扬对象</w:t>
      </w:r>
      <w:r>
        <w:rPr>
          <w:rFonts w:hint="eastAsia" w:ascii="仿宋" w:hAnsi="仿宋" w:eastAsia="仿宋" w:cs="仿宋"/>
          <w:lang w:val="en-US"/>
        </w:rPr>
        <w:t>及表扬</w:t>
      </w:r>
      <w:r>
        <w:rPr>
          <w:rFonts w:hint="eastAsia" w:ascii="仿宋" w:hAnsi="仿宋" w:eastAsia="仿宋" w:cs="仿宋"/>
        </w:rPr>
        <w:t>内容，未涉及本工程施工项目部</w:t>
      </w:r>
      <w:r>
        <w:rPr>
          <w:rFonts w:hint="eastAsia" w:ascii="仿宋" w:hAnsi="仿宋" w:eastAsia="仿宋" w:cs="仿宋"/>
          <w:lang w:val="en-US"/>
        </w:rPr>
        <w:t>及其</w:t>
      </w:r>
      <w:r>
        <w:rPr>
          <w:rFonts w:hint="eastAsia" w:ascii="仿宋" w:hAnsi="仿宋" w:eastAsia="仿宋" w:cs="仿宋"/>
        </w:rPr>
        <w:t>施工内容的不予计分。</w:t>
      </w:r>
    </w:p>
    <w:p w14:paraId="463C30BC">
      <w:pPr>
        <w:pStyle w:val="2"/>
        <w:ind w:firstLine="540" w:firstLineChars="300"/>
        <w:rPr>
          <w:rFonts w:ascii="仿宋" w:hAnsi="仿宋" w:eastAsia="仿宋" w:cs="仿宋"/>
        </w:rPr>
      </w:pPr>
      <w:r>
        <w:rPr>
          <w:rFonts w:hint="eastAsia" w:ascii="仿宋" w:hAnsi="仿宋" w:eastAsia="仿宋" w:cs="仿宋"/>
        </w:rPr>
        <w:t>3.科技进步奖、专利、工法、QC成果的参与单位中，无</w:t>
      </w:r>
      <w:r>
        <w:rPr>
          <w:rFonts w:hint="eastAsia" w:ascii="仿宋" w:hAnsi="仿宋" w:eastAsia="仿宋" w:cs="仿宋"/>
          <w:lang w:val="en-US"/>
        </w:rPr>
        <w:t>建设管理单位</w:t>
      </w:r>
      <w:r>
        <w:rPr>
          <w:rFonts w:hint="eastAsia" w:ascii="仿宋" w:hAnsi="仿宋" w:eastAsia="仿宋" w:cs="仿宋"/>
        </w:rPr>
        <w:t>的不予计分，无申请加分的施工单位的不予计分。</w:t>
      </w:r>
    </w:p>
    <w:p w14:paraId="41228D15">
      <w:pPr>
        <w:pStyle w:val="2"/>
        <w:ind w:left="535" w:leftChars="255"/>
        <w:rPr>
          <w:rFonts w:ascii="仿宋" w:hAnsi="仿宋" w:eastAsia="仿宋" w:cs="仿宋"/>
        </w:rPr>
      </w:pPr>
      <w:r>
        <w:rPr>
          <w:rFonts w:hint="eastAsia" w:ascii="仿宋" w:hAnsi="仿宋" w:eastAsia="仿宋" w:cs="仿宋"/>
        </w:rPr>
        <w:t>4.科技进步奖、专利、工法、QC成果的参与人员名单中，</w:t>
      </w:r>
      <w:bookmarkStart w:id="8" w:name="OLE_LINK1"/>
      <w:r>
        <w:rPr>
          <w:rFonts w:hint="eastAsia" w:ascii="仿宋" w:hAnsi="仿宋" w:eastAsia="仿宋" w:cs="仿宋"/>
        </w:rPr>
        <w:t>无</w:t>
      </w:r>
      <w:r>
        <w:rPr>
          <w:rFonts w:hint="eastAsia" w:ascii="仿宋" w:hAnsi="仿宋" w:eastAsia="仿宋" w:cs="仿宋"/>
          <w:lang w:val="en-US"/>
        </w:rPr>
        <w:t>建设管理单位</w:t>
      </w:r>
      <w:r>
        <w:rPr>
          <w:rFonts w:hint="eastAsia" w:ascii="仿宋" w:hAnsi="仿宋" w:eastAsia="仿宋" w:cs="仿宋"/>
        </w:rPr>
        <w:t>相关人员的不予计分，</w:t>
      </w:r>
      <w:bookmarkEnd w:id="8"/>
      <w:r>
        <w:rPr>
          <w:rFonts w:hint="eastAsia" w:ascii="仿宋" w:hAnsi="仿宋" w:eastAsia="仿宋" w:cs="仿宋"/>
        </w:rPr>
        <w:t>无本工程施工项目部人员(以施工项目部成立的红头文件为准)的不予计分。</w:t>
      </w:r>
    </w:p>
    <w:p w14:paraId="6674F46D">
      <w:pPr>
        <w:pStyle w:val="2"/>
        <w:ind w:left="535" w:leftChars="255"/>
        <w:rPr>
          <w:rFonts w:ascii="仿宋" w:hAnsi="仿宋" w:eastAsia="仿宋" w:cs="仿宋"/>
          <w:lang w:val="en-US"/>
        </w:rPr>
      </w:pPr>
      <w:r>
        <w:rPr>
          <w:rFonts w:hint="eastAsia" w:ascii="仿宋" w:hAnsi="仿宋" w:eastAsia="仿宋" w:cs="仿宋"/>
        </w:rPr>
        <w:t>5.科技进步奖、工法、QC成果</w:t>
      </w:r>
      <w:r>
        <w:rPr>
          <w:rFonts w:hint="eastAsia" w:ascii="仿宋" w:hAnsi="仿宋" w:eastAsia="仿宋" w:cs="仿宋"/>
          <w:lang w:val="en-US"/>
        </w:rPr>
        <w:t>单位排名</w:t>
      </w:r>
      <w:r>
        <w:rPr>
          <w:rFonts w:hint="eastAsia" w:ascii="仿宋" w:hAnsi="仿宋" w:eastAsia="仿宋" w:cs="仿宋"/>
        </w:rPr>
        <w:t>中，</w:t>
      </w:r>
      <w:r>
        <w:rPr>
          <w:rFonts w:hint="eastAsia" w:ascii="仿宋" w:hAnsi="仿宋" w:eastAsia="仿宋" w:cs="仿宋"/>
          <w:lang w:val="en-US"/>
        </w:rPr>
        <w:t>将建设管理单位作为</w:t>
      </w:r>
      <w:r>
        <w:rPr>
          <w:rFonts w:hint="eastAsia" w:ascii="仿宋" w:hAnsi="仿宋" w:eastAsia="仿宋" w:cs="仿宋"/>
        </w:rPr>
        <w:t>第一或第二单位</w:t>
      </w:r>
      <w:r>
        <w:rPr>
          <w:rFonts w:hint="eastAsia" w:ascii="仿宋" w:hAnsi="仿宋" w:eastAsia="仿宋" w:cs="仿宋"/>
          <w:lang w:val="en-US"/>
        </w:rPr>
        <w:t>的</w:t>
      </w:r>
      <w:r>
        <w:rPr>
          <w:rFonts w:hint="eastAsia" w:ascii="仿宋" w:hAnsi="仿宋" w:eastAsia="仿宋" w:cs="仿宋"/>
        </w:rPr>
        <w:t>给予对应计分，</w:t>
      </w:r>
      <w:r>
        <w:rPr>
          <w:rFonts w:hint="eastAsia" w:ascii="仿宋" w:hAnsi="仿宋" w:eastAsia="仿宋" w:cs="仿宋"/>
          <w:lang w:val="en-US"/>
        </w:rPr>
        <w:t>将建设管理单位作为</w:t>
      </w:r>
      <w:r>
        <w:rPr>
          <w:rFonts w:hint="eastAsia" w:ascii="仿宋" w:hAnsi="仿宋" w:eastAsia="仿宋" w:cs="仿宋"/>
        </w:rPr>
        <w:t>第三及以下</w:t>
      </w:r>
      <w:r>
        <w:rPr>
          <w:rFonts w:hint="eastAsia" w:ascii="仿宋" w:hAnsi="仿宋" w:eastAsia="仿宋" w:cs="仿宋"/>
          <w:lang w:val="en-US"/>
        </w:rPr>
        <w:t>单位的</w:t>
      </w:r>
      <w:r>
        <w:rPr>
          <w:rFonts w:hint="eastAsia" w:ascii="仿宋" w:hAnsi="仿宋" w:eastAsia="仿宋" w:cs="仿宋"/>
        </w:rPr>
        <w:t>不予计分。</w:t>
      </w:r>
    </w:p>
    <w:p w14:paraId="2EB83494">
      <w:pPr>
        <w:rPr>
          <w:rFonts w:ascii="方正仿宋_GBK" w:hAnsi="方正仿宋_GBK" w:eastAsia="方正仿宋_GBK" w:cs="方正仿宋_GBK"/>
          <w:sz w:val="18"/>
          <w:szCs w:val="18"/>
        </w:rPr>
      </w:pPr>
    </w:p>
    <w:p w14:paraId="3E369623">
      <w:pPr>
        <w:pStyle w:val="2"/>
        <w:rPr>
          <w:rFonts w:ascii="方正仿宋_GBK" w:hAnsi="方正仿宋_GBK" w:eastAsia="方正仿宋_GBK" w:cs="方正仿宋_GBK"/>
        </w:rPr>
      </w:pPr>
    </w:p>
    <w:p w14:paraId="5762BDAA">
      <w:pPr>
        <w:widowControl/>
        <w:jc w:val="left"/>
        <w:rPr>
          <w:rFonts w:ascii="方正仿宋_GBK" w:hAnsi="方正仿宋_GBK" w:eastAsia="方正仿宋_GBK" w:cs="方正仿宋_GBK"/>
          <w:sz w:val="18"/>
          <w:szCs w:val="18"/>
        </w:rPr>
      </w:pPr>
    </w:p>
    <w:p w14:paraId="7212B7DC">
      <w:pPr>
        <w:rPr>
          <w:rFonts w:ascii="方正仿宋_GBK" w:hAnsi="方正仿宋_GBK" w:eastAsia="方正仿宋_GBK" w:cs="方正仿宋_GBK"/>
          <w:sz w:val="18"/>
          <w:szCs w:val="18"/>
        </w:rPr>
      </w:pPr>
    </w:p>
    <w:p w14:paraId="1CAF937D">
      <w:pPr>
        <w:rPr>
          <w:rFonts w:ascii="方正仿宋_GBK" w:hAnsi="方正仿宋_GBK" w:eastAsia="方正仿宋_GBK" w:cs="方正仿宋_GBK"/>
          <w:sz w:val="18"/>
          <w:szCs w:val="18"/>
        </w:rPr>
      </w:pPr>
    </w:p>
    <w:sectPr>
      <w:pgSz w:w="16838" w:h="11906" w:orient="landscape"/>
      <w:pgMar w:top="1247" w:right="1701" w:bottom="1247" w:left="1560" w:header="851" w:footer="992" w:gutter="0"/>
      <w:cols w:space="0" w:num="1"/>
      <w:docGrid w:type="lines" w:linePitch="31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moder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F90789AB-C923-4ED2-BACC-2EBB2AAEFECC}"/>
  </w:font>
  <w:font w:name="Arial">
    <w:panose1 w:val="020B0604020202020204"/>
    <w:charset w:val="01"/>
    <w:family w:val="swiss"/>
    <w:pitch w:val="default"/>
    <w:sig w:usb0="E0002EFF" w:usb1="C000785B" w:usb2="00000009" w:usb3="00000000" w:csb0="400001FF" w:csb1="FFFF0000"/>
    <w:embedRegular r:id="rId2" w:fontKey="{450A0C7B-D6BC-44D9-B078-604A74E7CBC4}"/>
  </w:font>
  <w:font w:name="黑体">
    <w:panose1 w:val="02010609060101010101"/>
    <w:charset w:val="86"/>
    <w:family w:val="auto"/>
    <w:pitch w:val="default"/>
    <w:sig w:usb0="800002BF" w:usb1="38CF7CFA" w:usb2="00000016" w:usb3="00000000" w:csb0="00040001" w:csb1="00000000"/>
    <w:embedRegular r:id="rId3" w:fontKey="{894AFA49-5530-4B6A-B88E-A79C98714FB5}"/>
  </w:font>
  <w:font w:name="Courier New">
    <w:panose1 w:val="02070309020205020404"/>
    <w:charset w:val="01"/>
    <w:family w:val="modern"/>
    <w:pitch w:val="default"/>
    <w:sig w:usb0="E0002EFF" w:usb1="C0007843" w:usb2="00000009" w:usb3="00000000" w:csb0="400001FF" w:csb1="FFFF0000"/>
    <w:embedRegular r:id="rId4" w:fontKey="{275C48E9-2D8D-478C-A734-F7EEA8BFB210}"/>
  </w:font>
  <w:font w:name="Symbol">
    <w:panose1 w:val="05050102010706020507"/>
    <w:charset w:val="02"/>
    <w:family w:val="roman"/>
    <w:pitch w:val="default"/>
    <w:sig w:usb0="00000000" w:usb1="00000000" w:usb2="00000000" w:usb3="00000000" w:csb0="80000000" w:csb1="00000000"/>
    <w:embedRegular r:id="rId5" w:fontKey="{3D8F3857-C907-49E2-9A75-F4CD9E0E977F}"/>
  </w:font>
  <w:font w:name="Calibri">
    <w:panose1 w:val="020F0502020204030204"/>
    <w:charset w:val="00"/>
    <w:family w:val="swiss"/>
    <w:pitch w:val="default"/>
    <w:sig w:usb0="E4002EFF" w:usb1="C200247B" w:usb2="00000009" w:usb3="00000000" w:csb0="200001FF" w:csb1="00000000"/>
    <w:embedRegular r:id="rId6" w:fontKey="{210F3CAB-8A08-4E93-A955-DC73356DDDA7}"/>
  </w:font>
  <w:font w:name="仿宋">
    <w:panose1 w:val="02010609060101010101"/>
    <w:charset w:val="86"/>
    <w:family w:val="modern"/>
    <w:pitch w:val="default"/>
    <w:sig w:usb0="800002BF" w:usb1="38CF7CFA" w:usb2="00000016" w:usb3="00000000" w:csb0="00040001" w:csb1="00000000"/>
    <w:embedRegular r:id="rId7" w:fontKey="{022EA4C1-70BF-46B5-BE8D-69383246FF38}"/>
  </w:font>
  <w:font w:name="MingLiU">
    <w:panose1 w:val="02020509000000000000"/>
    <w:charset w:val="88"/>
    <w:family w:val="modern"/>
    <w:pitch w:val="default"/>
    <w:sig w:usb0="A00002FF" w:usb1="28CFFCFA" w:usb2="00000016" w:usb3="00000000" w:csb0="00100001" w:csb1="00000000"/>
  </w:font>
  <w:font w:name="EU-F1">
    <w:altName w:val="宋体"/>
    <w:panose1 w:val="00000000000000000000"/>
    <w:charset w:val="86"/>
    <w:family w:val="auto"/>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embedRegular r:id="rId8" w:fontKey="{35160143-ED70-44C6-B834-2266CA9AF586}"/>
  </w:font>
  <w:font w:name="方正仿宋_GBK">
    <w:panose1 w:val="03000509000000000000"/>
    <w:charset w:val="86"/>
    <w:family w:val="auto"/>
    <w:pitch w:val="default"/>
    <w:sig w:usb0="00000001" w:usb1="080E0000" w:usb2="00000000" w:usb3="00000000" w:csb0="00040000" w:csb1="00000000"/>
    <w:embedRegular r:id="rId9" w:fontKey="{994177C3-9E13-4B86-B910-6C53AA7C6023}"/>
  </w:font>
  <w:font w:name="Wingdings 2">
    <w:panose1 w:val="05020102010507070707"/>
    <w:charset w:val="02"/>
    <w:family w:val="roman"/>
    <w:pitch w:val="default"/>
    <w:sig w:usb0="00000000" w:usb1="00000000" w:usb2="00000000" w:usb3="00000000" w:csb0="80000000" w:csb1="00000000"/>
    <w:embedRegular r:id="rId10" w:fontKey="{2C63C47B-ED18-46BA-8E15-1F9E8C8FB41C}"/>
  </w:font>
  <w:font w:name="方正黑体_GBK">
    <w:panose1 w:val="03000509000000000000"/>
    <w:charset w:val="86"/>
    <w:family w:val="auto"/>
    <w:pitch w:val="default"/>
    <w:sig w:usb0="00000001" w:usb1="080E0000" w:usb2="00000000" w:usb3="00000000" w:csb0="00040000" w:csb1="00000000"/>
    <w:embedRegular r:id="rId11" w:fontKey="{9DBEFE48-A6BA-43D6-9BF0-3A8C5C9D82C6}"/>
  </w:font>
  <w:font w:name="方正楷体_GBK">
    <w:panose1 w:val="03000509000000000000"/>
    <w:charset w:val="86"/>
    <w:family w:val="script"/>
    <w:pitch w:val="default"/>
    <w:sig w:usb0="00000001" w:usb1="080E0000" w:usb2="00000000" w:usb3="00000000" w:csb0="00040000" w:csb1="00000000"/>
    <w:embedRegular r:id="rId12" w:fontKey="{17698DA6-6627-47FC-897D-BDBCD707E5B1}"/>
  </w:font>
  <w:font w:name="仿宋_GB2312">
    <w:panose1 w:val="02010609030101010101"/>
    <w:charset w:val="86"/>
    <w:family w:val="modern"/>
    <w:pitch w:val="default"/>
    <w:sig w:usb0="00000001" w:usb1="080E0000" w:usb2="00000000" w:usb3="00000000" w:csb0="00040000" w:csb1="00000000"/>
    <w:embedRegular r:id="rId13" w:fontKey="{23FE128A-656F-46D3-AE4D-B3A701F0145B}"/>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9F4FD">
    <w:pPr>
      <w:pStyle w:val="2"/>
      <w:jc w:val="center"/>
      <w:rPr>
        <w:sz w:val="22"/>
      </w:rPr>
    </w:pPr>
    <w:r>
      <w:rPr>
        <w:sz w:val="22"/>
      </w:rPr>
      <w:fldChar w:fldCharType="begin"/>
    </w:r>
    <w:r>
      <w:rPr>
        <w:sz w:val="22"/>
      </w:rPr>
      <w:instrText xml:space="preserve">PAGE   \* MERGEFORMAT</w:instrText>
    </w:r>
    <w:r>
      <w:rPr>
        <w:sz w:val="22"/>
      </w:rPr>
      <w:fldChar w:fldCharType="separate"/>
    </w:r>
    <w:r>
      <w:rPr>
        <w:sz w:val="22"/>
      </w:rPr>
      <w:t>8</w:t>
    </w:r>
    <w:r>
      <w:rPr>
        <w:sz w:val="22"/>
      </w:rPr>
      <w:fldChar w:fldCharType="end"/>
    </w:r>
  </w:p>
  <w:p w14:paraId="78A6259C">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r>
        <w:separator/>
      </w:r>
    </w:p>
  </w:footnote>
  <w:footnote w:type="continuationSeparator" w:id="11">
    <w:p>
      <w:r>
        <w:continuationSeparator/>
      </w:r>
    </w:p>
  </w:footnote>
  <w:footnote w:id="0">
    <w:p w14:paraId="2DDD2EFD">
      <w:pPr>
        <w:pStyle w:val="13"/>
      </w:pPr>
      <w:r>
        <w:rPr>
          <w:rStyle w:val="20"/>
          <w:rFonts w:hint="default"/>
        </w:rPr>
        <w:footnoteRef/>
      </w:r>
      <w:r>
        <w:rPr>
          <w:rFonts w:hint="eastAsia"/>
        </w:rPr>
        <w:t>非招标工程的承包人报价折扣率=（合同签约价/施工图预算）×100%</w:t>
      </w:r>
    </w:p>
  </w:footnote>
  <w:footnote w:id="1">
    <w:p w14:paraId="63FC44C6">
      <w:pPr>
        <w:pStyle w:val="13"/>
        <w:adjustRightInd w:val="0"/>
        <w:rPr>
          <w:rFonts w:ascii="宋体" w:hAnsi="宋体"/>
        </w:rPr>
      </w:pPr>
    </w:p>
  </w:footnote>
  <w:footnote w:id="2">
    <w:p w14:paraId="4E6150A7">
      <w:pPr>
        <w:pStyle w:val="13"/>
        <w:adjustRightInd w:val="0"/>
        <w:rPr>
          <w:rFonts w:ascii="宋体" w:hAnsi="宋体"/>
        </w:rPr>
      </w:pPr>
    </w:p>
  </w:footnote>
  <w:footnote w:id="3">
    <w:p w14:paraId="3F0C765C">
      <w:pPr>
        <w:pStyle w:val="13"/>
        <w:adjustRightInd w:val="0"/>
        <w:rPr>
          <w:rFonts w:ascii="方正仿宋_GBK" w:eastAsia="方正仿宋_GBK"/>
          <w:sz w:val="21"/>
        </w:rPr>
      </w:pPr>
    </w:p>
  </w:footnote>
  <w:footnote w:id="4">
    <w:p w14:paraId="079A84EB">
      <w:pPr>
        <w:pStyle w:val="13"/>
        <w:adjustRightInd w:val="0"/>
        <w:rPr>
          <w:rFonts w:ascii="方正仿宋_GBK" w:eastAsia="方正仿宋_GBK"/>
          <w:sz w:val="21"/>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2670CD"/>
    <w:multiLevelType w:val="singleLevel"/>
    <w:tmpl w:val="932670CD"/>
    <w:lvl w:ilvl="0" w:tentative="0">
      <w:start w:val="1"/>
      <w:numFmt w:val="decimal"/>
      <w:suff w:val="nothing"/>
      <w:lvlText w:val="（%1）"/>
      <w:lvlJc w:val="left"/>
    </w:lvl>
  </w:abstractNum>
  <w:abstractNum w:abstractNumId="1">
    <w:nsid w:val="E5B0188D"/>
    <w:multiLevelType w:val="singleLevel"/>
    <w:tmpl w:val="E5B0188D"/>
    <w:lvl w:ilvl="0" w:tentative="0">
      <w:start w:val="1"/>
      <w:numFmt w:val="decimal"/>
      <w:suff w:val="nothing"/>
      <w:lvlText w:val="（%1）"/>
      <w:lvlJc w:val="left"/>
    </w:lvl>
  </w:abstractNum>
  <w:abstractNum w:abstractNumId="2">
    <w:nsid w:val="F3087880"/>
    <w:multiLevelType w:val="singleLevel"/>
    <w:tmpl w:val="F3087880"/>
    <w:lvl w:ilvl="0" w:tentative="0">
      <w:start w:val="1"/>
      <w:numFmt w:val="decimal"/>
      <w:suff w:val="nothing"/>
      <w:lvlText w:val="（%1）"/>
      <w:lvlJc w:val="left"/>
    </w:lvl>
  </w:abstractNum>
  <w:abstractNum w:abstractNumId="3">
    <w:nsid w:val="F314E32B"/>
    <w:multiLevelType w:val="singleLevel"/>
    <w:tmpl w:val="F314E32B"/>
    <w:lvl w:ilvl="0" w:tentative="0">
      <w:start w:val="1"/>
      <w:numFmt w:val="decimal"/>
      <w:suff w:val="nothing"/>
      <w:lvlText w:val="（%1）"/>
      <w:lvlJc w:val="left"/>
    </w:lvl>
  </w:abstractNum>
  <w:abstractNum w:abstractNumId="4">
    <w:nsid w:val="00000013"/>
    <w:multiLevelType w:val="singleLevel"/>
    <w:tmpl w:val="00000013"/>
    <w:lvl w:ilvl="0" w:tentative="0">
      <w:start w:val="1"/>
      <w:numFmt w:val="decimal"/>
      <w:suff w:val="space"/>
      <w:lvlText w:val="%1."/>
      <w:lvlJc w:val="left"/>
    </w:lvl>
  </w:abstractNum>
  <w:abstractNum w:abstractNumId="5">
    <w:nsid w:val="00000016"/>
    <w:multiLevelType w:val="singleLevel"/>
    <w:tmpl w:val="00000016"/>
    <w:lvl w:ilvl="0" w:tentative="0">
      <w:start w:val="1"/>
      <w:numFmt w:val="decimal"/>
      <w:lvlText w:val="%1."/>
      <w:lvlJc w:val="left"/>
      <w:pPr>
        <w:tabs>
          <w:tab w:val="left" w:pos="312"/>
        </w:tabs>
      </w:pPr>
    </w:lvl>
  </w:abstractNum>
  <w:abstractNum w:abstractNumId="6">
    <w:nsid w:val="00000017"/>
    <w:multiLevelType w:val="singleLevel"/>
    <w:tmpl w:val="00000017"/>
    <w:lvl w:ilvl="0" w:tentative="0">
      <w:start w:val="1"/>
      <w:numFmt w:val="chineseCounting"/>
      <w:suff w:val="nothing"/>
      <w:lvlText w:val="%1、"/>
      <w:lvlJc w:val="left"/>
      <w:rPr>
        <w:rFonts w:hint="eastAsia"/>
      </w:rPr>
    </w:lvl>
  </w:abstractNum>
  <w:abstractNum w:abstractNumId="7">
    <w:nsid w:val="00000026"/>
    <w:multiLevelType w:val="singleLevel"/>
    <w:tmpl w:val="00000026"/>
    <w:lvl w:ilvl="0" w:tentative="0">
      <w:start w:val="2"/>
      <w:numFmt w:val="decimal"/>
      <w:suff w:val="space"/>
      <w:lvlText w:val="%1."/>
      <w:lvlJc w:val="left"/>
    </w:lvl>
  </w:abstractNum>
  <w:abstractNum w:abstractNumId="8">
    <w:nsid w:val="0A48F63C"/>
    <w:multiLevelType w:val="singleLevel"/>
    <w:tmpl w:val="0A48F63C"/>
    <w:lvl w:ilvl="0" w:tentative="0">
      <w:start w:val="1"/>
      <w:numFmt w:val="decimal"/>
      <w:suff w:val="nothing"/>
      <w:lvlText w:val="%1）"/>
      <w:lvlJc w:val="left"/>
    </w:lvl>
  </w:abstractNum>
  <w:abstractNum w:abstractNumId="9">
    <w:nsid w:val="0DF91FA0"/>
    <w:multiLevelType w:val="singleLevel"/>
    <w:tmpl w:val="0DF91FA0"/>
    <w:lvl w:ilvl="0" w:tentative="0">
      <w:start w:val="1"/>
      <w:numFmt w:val="decimal"/>
      <w:suff w:val="nothing"/>
      <w:lvlText w:val="（%1）"/>
      <w:lvlJc w:val="left"/>
    </w:lvl>
  </w:abstractNum>
  <w:abstractNum w:abstractNumId="10">
    <w:nsid w:val="23AB0322"/>
    <w:multiLevelType w:val="multilevel"/>
    <w:tmpl w:val="23AB0322"/>
    <w:lvl w:ilvl="0" w:tentative="0">
      <w:start w:val="1"/>
      <w:numFmt w:val="decimal"/>
      <w:lvlText w:val="%1."/>
      <w:lvlJc w:val="left"/>
      <w:pPr>
        <w:ind w:left="987"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5718AA3C"/>
    <w:multiLevelType w:val="singleLevel"/>
    <w:tmpl w:val="5718AA3C"/>
    <w:lvl w:ilvl="0" w:tentative="0">
      <w:start w:val="1"/>
      <w:numFmt w:val="decimal"/>
      <w:suff w:val="nothing"/>
      <w:lvlText w:val="（%1）"/>
      <w:lvlJc w:val="left"/>
    </w:lvl>
  </w:abstractNum>
  <w:abstractNum w:abstractNumId="12">
    <w:nsid w:val="648760EA"/>
    <w:multiLevelType w:val="multilevel"/>
    <w:tmpl w:val="648760EA"/>
    <w:lvl w:ilvl="0" w:tentative="0">
      <w:start w:val="1"/>
      <w:numFmt w:val="decimal"/>
      <w:lvlText w:val="%1."/>
      <w:lvlJc w:val="left"/>
      <w:pPr>
        <w:ind w:left="420" w:hanging="420"/>
      </w:pPr>
    </w:lvl>
    <w:lvl w:ilvl="1" w:tentative="0">
      <w:start w:val="1"/>
      <w:numFmt w:val="lowerLetter"/>
      <w:pStyle w:val="21"/>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48D16CD"/>
    <w:multiLevelType w:val="multilevel"/>
    <w:tmpl w:val="748D16CD"/>
    <w:lvl w:ilvl="0" w:tentative="0">
      <w:start w:val="1"/>
      <w:numFmt w:val="decimal"/>
      <w:pStyle w:val="22"/>
      <w:lvlText w:val="（%1）"/>
      <w:lvlJc w:val="left"/>
      <w:pPr>
        <w:tabs>
          <w:tab w:val="left" w:pos="1200"/>
        </w:tabs>
        <w:ind w:left="1200" w:hanging="720"/>
      </w:pPr>
      <w:rPr>
        <w:rFonts w:hint="default"/>
        <w:u w:val="none"/>
      </w:rPr>
    </w:lvl>
    <w:lvl w:ilvl="1" w:tentative="0">
      <w:start w:val="1"/>
      <w:numFmt w:val="lowerLetter"/>
      <w:lvlText w:val="%2)"/>
      <w:lvlJc w:val="left"/>
      <w:pPr>
        <w:tabs>
          <w:tab w:val="left" w:pos="1320"/>
        </w:tabs>
        <w:ind w:left="1320" w:hanging="420"/>
      </w:pPr>
      <w:rPr>
        <w:rFonts w:hint="default"/>
        <w:u w:val="none"/>
      </w:rPr>
    </w:lvl>
    <w:lvl w:ilvl="2" w:tentative="0">
      <w:start w:val="1"/>
      <w:numFmt w:val="lowerRoman"/>
      <w:lvlText w:val="%3."/>
      <w:lvlJc w:val="right"/>
      <w:pPr>
        <w:tabs>
          <w:tab w:val="left" w:pos="1740"/>
        </w:tabs>
        <w:ind w:left="1740" w:hanging="420"/>
      </w:pPr>
      <w:rPr>
        <w:rFonts w:hint="default"/>
        <w:u w:val="none"/>
      </w:rPr>
    </w:lvl>
    <w:lvl w:ilvl="3" w:tentative="0">
      <w:start w:val="1"/>
      <w:numFmt w:val="decimal"/>
      <w:lvlText w:val="%4."/>
      <w:lvlJc w:val="left"/>
      <w:pPr>
        <w:tabs>
          <w:tab w:val="left" w:pos="2160"/>
        </w:tabs>
        <w:ind w:left="2160" w:hanging="420"/>
      </w:pPr>
      <w:rPr>
        <w:rFonts w:hint="default"/>
        <w:u w:val="none"/>
      </w:rPr>
    </w:lvl>
    <w:lvl w:ilvl="4" w:tentative="0">
      <w:start w:val="1"/>
      <w:numFmt w:val="lowerLetter"/>
      <w:lvlText w:val="%5)"/>
      <w:lvlJc w:val="left"/>
      <w:pPr>
        <w:tabs>
          <w:tab w:val="left" w:pos="2580"/>
        </w:tabs>
        <w:ind w:left="2580" w:hanging="420"/>
      </w:pPr>
      <w:rPr>
        <w:rFonts w:hint="default"/>
        <w:u w:val="none"/>
      </w:rPr>
    </w:lvl>
    <w:lvl w:ilvl="5" w:tentative="0">
      <w:start w:val="1"/>
      <w:numFmt w:val="lowerRoman"/>
      <w:lvlText w:val="%6."/>
      <w:lvlJc w:val="right"/>
      <w:pPr>
        <w:tabs>
          <w:tab w:val="left" w:pos="3000"/>
        </w:tabs>
        <w:ind w:left="3000" w:hanging="420"/>
      </w:pPr>
      <w:rPr>
        <w:rFonts w:hint="default"/>
        <w:u w:val="none"/>
      </w:rPr>
    </w:lvl>
    <w:lvl w:ilvl="6" w:tentative="0">
      <w:start w:val="1"/>
      <w:numFmt w:val="decimal"/>
      <w:lvlText w:val="%7."/>
      <w:lvlJc w:val="left"/>
      <w:pPr>
        <w:tabs>
          <w:tab w:val="left" w:pos="3420"/>
        </w:tabs>
        <w:ind w:left="3420" w:hanging="420"/>
      </w:pPr>
      <w:rPr>
        <w:rFonts w:hint="default"/>
        <w:u w:val="none"/>
      </w:rPr>
    </w:lvl>
    <w:lvl w:ilvl="7" w:tentative="0">
      <w:start w:val="1"/>
      <w:numFmt w:val="lowerLetter"/>
      <w:lvlText w:val="%8)"/>
      <w:lvlJc w:val="left"/>
      <w:pPr>
        <w:tabs>
          <w:tab w:val="left" w:pos="3840"/>
        </w:tabs>
        <w:ind w:left="3840" w:hanging="420"/>
      </w:pPr>
      <w:rPr>
        <w:rFonts w:hint="default"/>
        <w:u w:val="none"/>
      </w:rPr>
    </w:lvl>
    <w:lvl w:ilvl="8" w:tentative="0">
      <w:start w:val="1"/>
      <w:numFmt w:val="lowerRoman"/>
      <w:lvlText w:val="%9."/>
      <w:lvlJc w:val="right"/>
      <w:pPr>
        <w:tabs>
          <w:tab w:val="left" w:pos="4260"/>
        </w:tabs>
        <w:ind w:left="4260" w:hanging="420"/>
      </w:pPr>
      <w:rPr>
        <w:rFonts w:hint="default"/>
        <w:u w:val="none"/>
      </w:rPr>
    </w:lvl>
  </w:abstractNum>
  <w:num w:numId="1">
    <w:abstractNumId w:val="12"/>
  </w:num>
  <w:num w:numId="2">
    <w:abstractNumId w:val="13"/>
  </w:num>
  <w:num w:numId="3">
    <w:abstractNumId w:val="10"/>
  </w:num>
  <w:num w:numId="4">
    <w:abstractNumId w:val="0"/>
  </w:num>
  <w:num w:numId="5">
    <w:abstractNumId w:val="8"/>
  </w:num>
  <w:num w:numId="6">
    <w:abstractNumId w:val="3"/>
  </w:num>
  <w:num w:numId="7">
    <w:abstractNumId w:val="11"/>
  </w:num>
  <w:num w:numId="8">
    <w:abstractNumId w:val="6"/>
  </w:num>
  <w:num w:numId="9">
    <w:abstractNumId w:val="4"/>
  </w:num>
  <w:num w:numId="10">
    <w:abstractNumId w:val="5"/>
  </w:num>
  <w:num w:numId="11">
    <w:abstractNumId w:val="1"/>
  </w:num>
  <w:num w:numId="12">
    <w:abstractNumId w:val="9"/>
  </w:num>
  <w:num w:numId="13">
    <w:abstractNumId w:val="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1"/>
  <w:bordersDoNotSurroundFooter w:val="1"/>
  <w:hideSpellingErrors/>
  <w:trackRevisions w:val="1"/>
  <w:documentProtection w:enforcement="0"/>
  <w:defaultTabStop w:val="420"/>
  <w:drawingGridVerticalSpacing w:val="156"/>
  <w:displayVerticalDrawingGridEvery w:val="2"/>
  <w:noPunctuationKerning w:val="1"/>
  <w:characterSpacingControl w:val="compressPunctuation"/>
  <w:footnotePr>
    <w:footnote w:id="10"/>
    <w:footnote w:id="11"/>
  </w:foot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WFkYmJmNTdjNTIxZjRhMmE3NjhmNzA3YjkyZTFiNDMifQ=="/>
    <w:docVar w:name="KSO_WPS_MARK_KEY" w:val="58ecbabc-3e39-4a2e-bcc8-bdc377ac0385"/>
  </w:docVars>
  <w:rsids>
    <w:rsidRoot w:val="005461B6"/>
    <w:rsid w:val="0000032A"/>
    <w:rsid w:val="00016BC2"/>
    <w:rsid w:val="00026FB7"/>
    <w:rsid w:val="00034E27"/>
    <w:rsid w:val="00036766"/>
    <w:rsid w:val="00043A81"/>
    <w:rsid w:val="00050579"/>
    <w:rsid w:val="0005159A"/>
    <w:rsid w:val="00053525"/>
    <w:rsid w:val="00054A43"/>
    <w:rsid w:val="00057E01"/>
    <w:rsid w:val="00062987"/>
    <w:rsid w:val="00063974"/>
    <w:rsid w:val="0006495B"/>
    <w:rsid w:val="0007329D"/>
    <w:rsid w:val="0008440A"/>
    <w:rsid w:val="00086105"/>
    <w:rsid w:val="00090323"/>
    <w:rsid w:val="000943BE"/>
    <w:rsid w:val="000A07D9"/>
    <w:rsid w:val="000A3BB9"/>
    <w:rsid w:val="000B4924"/>
    <w:rsid w:val="000B6B5B"/>
    <w:rsid w:val="000C4979"/>
    <w:rsid w:val="000C54A6"/>
    <w:rsid w:val="000D1029"/>
    <w:rsid w:val="000D44DA"/>
    <w:rsid w:val="000E05CE"/>
    <w:rsid w:val="000E330E"/>
    <w:rsid w:val="000E4FA9"/>
    <w:rsid w:val="001078B8"/>
    <w:rsid w:val="00110DFC"/>
    <w:rsid w:val="00113297"/>
    <w:rsid w:val="001151ED"/>
    <w:rsid w:val="001163AD"/>
    <w:rsid w:val="0012252A"/>
    <w:rsid w:val="00136868"/>
    <w:rsid w:val="00142087"/>
    <w:rsid w:val="001420B7"/>
    <w:rsid w:val="00144D04"/>
    <w:rsid w:val="001506E7"/>
    <w:rsid w:val="001519DF"/>
    <w:rsid w:val="00164AF1"/>
    <w:rsid w:val="00170A7A"/>
    <w:rsid w:val="00177C95"/>
    <w:rsid w:val="00190B21"/>
    <w:rsid w:val="0019193E"/>
    <w:rsid w:val="001A1E64"/>
    <w:rsid w:val="001A780C"/>
    <w:rsid w:val="001B1272"/>
    <w:rsid w:val="001B1AC3"/>
    <w:rsid w:val="001C753B"/>
    <w:rsid w:val="001D1113"/>
    <w:rsid w:val="001D5836"/>
    <w:rsid w:val="001D58EF"/>
    <w:rsid w:val="001E02A2"/>
    <w:rsid w:val="001E469F"/>
    <w:rsid w:val="001F3AC8"/>
    <w:rsid w:val="001F42FA"/>
    <w:rsid w:val="00210150"/>
    <w:rsid w:val="00215B9B"/>
    <w:rsid w:val="00235242"/>
    <w:rsid w:val="00241B7D"/>
    <w:rsid w:val="002443A4"/>
    <w:rsid w:val="00246CDF"/>
    <w:rsid w:val="00253536"/>
    <w:rsid w:val="00255550"/>
    <w:rsid w:val="00255BA5"/>
    <w:rsid w:val="00257641"/>
    <w:rsid w:val="002657FE"/>
    <w:rsid w:val="00275628"/>
    <w:rsid w:val="00276352"/>
    <w:rsid w:val="00277ECB"/>
    <w:rsid w:val="00286EC3"/>
    <w:rsid w:val="00290A63"/>
    <w:rsid w:val="0029181A"/>
    <w:rsid w:val="00295889"/>
    <w:rsid w:val="002A3DEC"/>
    <w:rsid w:val="002B29CE"/>
    <w:rsid w:val="002B3740"/>
    <w:rsid w:val="002B3D21"/>
    <w:rsid w:val="002C4F5F"/>
    <w:rsid w:val="002D707A"/>
    <w:rsid w:val="002F0906"/>
    <w:rsid w:val="002F347B"/>
    <w:rsid w:val="002F476C"/>
    <w:rsid w:val="002F5C72"/>
    <w:rsid w:val="003007B7"/>
    <w:rsid w:val="00316921"/>
    <w:rsid w:val="00316E39"/>
    <w:rsid w:val="00316E7A"/>
    <w:rsid w:val="003203C5"/>
    <w:rsid w:val="00320668"/>
    <w:rsid w:val="0032638E"/>
    <w:rsid w:val="00326571"/>
    <w:rsid w:val="00336F05"/>
    <w:rsid w:val="00356A35"/>
    <w:rsid w:val="003571E6"/>
    <w:rsid w:val="00361135"/>
    <w:rsid w:val="003645B6"/>
    <w:rsid w:val="00371C37"/>
    <w:rsid w:val="00371C8B"/>
    <w:rsid w:val="00372C55"/>
    <w:rsid w:val="00386CAE"/>
    <w:rsid w:val="003A24F6"/>
    <w:rsid w:val="003A49D3"/>
    <w:rsid w:val="003A7501"/>
    <w:rsid w:val="003C29D2"/>
    <w:rsid w:val="003C4106"/>
    <w:rsid w:val="003C6224"/>
    <w:rsid w:val="003D1296"/>
    <w:rsid w:val="003D2045"/>
    <w:rsid w:val="003D6C3A"/>
    <w:rsid w:val="003D7910"/>
    <w:rsid w:val="003F383B"/>
    <w:rsid w:val="003F7C8D"/>
    <w:rsid w:val="004014D6"/>
    <w:rsid w:val="0041011A"/>
    <w:rsid w:val="00411E24"/>
    <w:rsid w:val="00413158"/>
    <w:rsid w:val="00416591"/>
    <w:rsid w:val="004172F6"/>
    <w:rsid w:val="00434F7D"/>
    <w:rsid w:val="00435C8D"/>
    <w:rsid w:val="0044399A"/>
    <w:rsid w:val="0045598A"/>
    <w:rsid w:val="004620CD"/>
    <w:rsid w:val="00464FD8"/>
    <w:rsid w:val="00467DE4"/>
    <w:rsid w:val="00473F94"/>
    <w:rsid w:val="0047607E"/>
    <w:rsid w:val="004916E9"/>
    <w:rsid w:val="004A2667"/>
    <w:rsid w:val="004A275A"/>
    <w:rsid w:val="004A2F5F"/>
    <w:rsid w:val="004A2FD9"/>
    <w:rsid w:val="004A6855"/>
    <w:rsid w:val="004C4F3F"/>
    <w:rsid w:val="004C5F66"/>
    <w:rsid w:val="004D4762"/>
    <w:rsid w:val="004F14C4"/>
    <w:rsid w:val="004F610D"/>
    <w:rsid w:val="00501901"/>
    <w:rsid w:val="00505323"/>
    <w:rsid w:val="00505E5A"/>
    <w:rsid w:val="005105AF"/>
    <w:rsid w:val="0051082D"/>
    <w:rsid w:val="00515F2D"/>
    <w:rsid w:val="00521DD7"/>
    <w:rsid w:val="00522003"/>
    <w:rsid w:val="00544F3B"/>
    <w:rsid w:val="00545945"/>
    <w:rsid w:val="005461B6"/>
    <w:rsid w:val="005462F1"/>
    <w:rsid w:val="00550251"/>
    <w:rsid w:val="005532DB"/>
    <w:rsid w:val="00555541"/>
    <w:rsid w:val="005565C8"/>
    <w:rsid w:val="00557456"/>
    <w:rsid w:val="005679BF"/>
    <w:rsid w:val="005700CC"/>
    <w:rsid w:val="005761EC"/>
    <w:rsid w:val="005818E9"/>
    <w:rsid w:val="00591409"/>
    <w:rsid w:val="005968D4"/>
    <w:rsid w:val="005A042A"/>
    <w:rsid w:val="005A0BE0"/>
    <w:rsid w:val="005A7EDB"/>
    <w:rsid w:val="005B27E3"/>
    <w:rsid w:val="005C2D12"/>
    <w:rsid w:val="005E5F69"/>
    <w:rsid w:val="005E697B"/>
    <w:rsid w:val="00613844"/>
    <w:rsid w:val="00613B5E"/>
    <w:rsid w:val="006266A9"/>
    <w:rsid w:val="00646898"/>
    <w:rsid w:val="00647C31"/>
    <w:rsid w:val="006541CF"/>
    <w:rsid w:val="006569A5"/>
    <w:rsid w:val="00663442"/>
    <w:rsid w:val="006651F3"/>
    <w:rsid w:val="00665CC7"/>
    <w:rsid w:val="00676270"/>
    <w:rsid w:val="00677D3F"/>
    <w:rsid w:val="006816DF"/>
    <w:rsid w:val="0068192E"/>
    <w:rsid w:val="00694E4C"/>
    <w:rsid w:val="00696A52"/>
    <w:rsid w:val="006A55E6"/>
    <w:rsid w:val="006A676F"/>
    <w:rsid w:val="006B32E4"/>
    <w:rsid w:val="006B5BDF"/>
    <w:rsid w:val="006C4C4F"/>
    <w:rsid w:val="006D4126"/>
    <w:rsid w:val="006D4B94"/>
    <w:rsid w:val="006D7027"/>
    <w:rsid w:val="006E49D6"/>
    <w:rsid w:val="006F2459"/>
    <w:rsid w:val="006F25D4"/>
    <w:rsid w:val="006F3896"/>
    <w:rsid w:val="0070580A"/>
    <w:rsid w:val="00706EB6"/>
    <w:rsid w:val="00714C9E"/>
    <w:rsid w:val="00715240"/>
    <w:rsid w:val="007238BA"/>
    <w:rsid w:val="00732926"/>
    <w:rsid w:val="00734E52"/>
    <w:rsid w:val="00735434"/>
    <w:rsid w:val="00741FCD"/>
    <w:rsid w:val="007462F1"/>
    <w:rsid w:val="00750FF0"/>
    <w:rsid w:val="00755C61"/>
    <w:rsid w:val="00756ED8"/>
    <w:rsid w:val="007669D8"/>
    <w:rsid w:val="00774174"/>
    <w:rsid w:val="0077473A"/>
    <w:rsid w:val="00775CB0"/>
    <w:rsid w:val="00781552"/>
    <w:rsid w:val="007A0A59"/>
    <w:rsid w:val="007B30C5"/>
    <w:rsid w:val="007C07F5"/>
    <w:rsid w:val="007C1D0A"/>
    <w:rsid w:val="007C2632"/>
    <w:rsid w:val="007D05E7"/>
    <w:rsid w:val="007D1084"/>
    <w:rsid w:val="007D6F4D"/>
    <w:rsid w:val="007E017D"/>
    <w:rsid w:val="007F7DFF"/>
    <w:rsid w:val="00807A2E"/>
    <w:rsid w:val="00810C7E"/>
    <w:rsid w:val="00820C37"/>
    <w:rsid w:val="00827835"/>
    <w:rsid w:val="00844214"/>
    <w:rsid w:val="008461E1"/>
    <w:rsid w:val="008636B8"/>
    <w:rsid w:val="00892899"/>
    <w:rsid w:val="00897B6E"/>
    <w:rsid w:val="008A0DBB"/>
    <w:rsid w:val="008A6E70"/>
    <w:rsid w:val="008B2DA4"/>
    <w:rsid w:val="008D5CBF"/>
    <w:rsid w:val="008F2ECB"/>
    <w:rsid w:val="008F5F6E"/>
    <w:rsid w:val="008F6880"/>
    <w:rsid w:val="008F7060"/>
    <w:rsid w:val="009031B8"/>
    <w:rsid w:val="00904D50"/>
    <w:rsid w:val="00906FD1"/>
    <w:rsid w:val="00907C1E"/>
    <w:rsid w:val="009139A8"/>
    <w:rsid w:val="00914A37"/>
    <w:rsid w:val="00916116"/>
    <w:rsid w:val="0092353D"/>
    <w:rsid w:val="00926D34"/>
    <w:rsid w:val="009274C6"/>
    <w:rsid w:val="00940678"/>
    <w:rsid w:val="00942DBE"/>
    <w:rsid w:val="00962E57"/>
    <w:rsid w:val="00976A09"/>
    <w:rsid w:val="009845FC"/>
    <w:rsid w:val="00984749"/>
    <w:rsid w:val="009A36C7"/>
    <w:rsid w:val="009A4EFA"/>
    <w:rsid w:val="009A69B5"/>
    <w:rsid w:val="009C0AE4"/>
    <w:rsid w:val="009C3D14"/>
    <w:rsid w:val="009C5398"/>
    <w:rsid w:val="009C75E4"/>
    <w:rsid w:val="009D4269"/>
    <w:rsid w:val="009D54D6"/>
    <w:rsid w:val="009D753E"/>
    <w:rsid w:val="009D77B6"/>
    <w:rsid w:val="009E4501"/>
    <w:rsid w:val="009F12B1"/>
    <w:rsid w:val="009F3EB6"/>
    <w:rsid w:val="00A0018B"/>
    <w:rsid w:val="00A05EC8"/>
    <w:rsid w:val="00A11074"/>
    <w:rsid w:val="00A11E9C"/>
    <w:rsid w:val="00A14AA7"/>
    <w:rsid w:val="00A17547"/>
    <w:rsid w:val="00A342DA"/>
    <w:rsid w:val="00A37C9B"/>
    <w:rsid w:val="00A47F4C"/>
    <w:rsid w:val="00A5238F"/>
    <w:rsid w:val="00A5573D"/>
    <w:rsid w:val="00A57758"/>
    <w:rsid w:val="00A742E2"/>
    <w:rsid w:val="00A75071"/>
    <w:rsid w:val="00A75530"/>
    <w:rsid w:val="00A82E28"/>
    <w:rsid w:val="00A909D1"/>
    <w:rsid w:val="00A93789"/>
    <w:rsid w:val="00AA0E1C"/>
    <w:rsid w:val="00AA1003"/>
    <w:rsid w:val="00AA5E7F"/>
    <w:rsid w:val="00AB61A2"/>
    <w:rsid w:val="00AC1058"/>
    <w:rsid w:val="00AC65B6"/>
    <w:rsid w:val="00AE4B8F"/>
    <w:rsid w:val="00AE5F1D"/>
    <w:rsid w:val="00AF4190"/>
    <w:rsid w:val="00B00AFA"/>
    <w:rsid w:val="00B024F0"/>
    <w:rsid w:val="00B05535"/>
    <w:rsid w:val="00B07DF1"/>
    <w:rsid w:val="00B34633"/>
    <w:rsid w:val="00B34D83"/>
    <w:rsid w:val="00B40B14"/>
    <w:rsid w:val="00B4192A"/>
    <w:rsid w:val="00B4349A"/>
    <w:rsid w:val="00B455E7"/>
    <w:rsid w:val="00B46063"/>
    <w:rsid w:val="00B46980"/>
    <w:rsid w:val="00B52F51"/>
    <w:rsid w:val="00B6429E"/>
    <w:rsid w:val="00B645E4"/>
    <w:rsid w:val="00B77D63"/>
    <w:rsid w:val="00B87981"/>
    <w:rsid w:val="00B952BB"/>
    <w:rsid w:val="00B957CC"/>
    <w:rsid w:val="00B95E1E"/>
    <w:rsid w:val="00B96108"/>
    <w:rsid w:val="00BA1550"/>
    <w:rsid w:val="00BA6C57"/>
    <w:rsid w:val="00BB38FB"/>
    <w:rsid w:val="00BB6783"/>
    <w:rsid w:val="00BB6FB0"/>
    <w:rsid w:val="00BD00FE"/>
    <w:rsid w:val="00BD4E56"/>
    <w:rsid w:val="00BD5FA4"/>
    <w:rsid w:val="00BD65BA"/>
    <w:rsid w:val="00BD71A9"/>
    <w:rsid w:val="00BE4E48"/>
    <w:rsid w:val="00BF087B"/>
    <w:rsid w:val="00BF194C"/>
    <w:rsid w:val="00BF67B2"/>
    <w:rsid w:val="00BF73C9"/>
    <w:rsid w:val="00C03004"/>
    <w:rsid w:val="00C107FD"/>
    <w:rsid w:val="00C20006"/>
    <w:rsid w:val="00C30F93"/>
    <w:rsid w:val="00C34DC4"/>
    <w:rsid w:val="00C442BE"/>
    <w:rsid w:val="00C519EA"/>
    <w:rsid w:val="00C60FE0"/>
    <w:rsid w:val="00C61FC1"/>
    <w:rsid w:val="00C66A43"/>
    <w:rsid w:val="00C672B9"/>
    <w:rsid w:val="00C67DDF"/>
    <w:rsid w:val="00C72873"/>
    <w:rsid w:val="00C72F0E"/>
    <w:rsid w:val="00C85ACE"/>
    <w:rsid w:val="00C87BC8"/>
    <w:rsid w:val="00C9001A"/>
    <w:rsid w:val="00C904E8"/>
    <w:rsid w:val="00CA7812"/>
    <w:rsid w:val="00CB1763"/>
    <w:rsid w:val="00CB24B3"/>
    <w:rsid w:val="00CB5B3B"/>
    <w:rsid w:val="00CC133B"/>
    <w:rsid w:val="00CC4EF1"/>
    <w:rsid w:val="00CD42B3"/>
    <w:rsid w:val="00CE6387"/>
    <w:rsid w:val="00CF18AF"/>
    <w:rsid w:val="00CF18FB"/>
    <w:rsid w:val="00CF46B7"/>
    <w:rsid w:val="00D00D19"/>
    <w:rsid w:val="00D0360A"/>
    <w:rsid w:val="00D0407D"/>
    <w:rsid w:val="00D04611"/>
    <w:rsid w:val="00D216F4"/>
    <w:rsid w:val="00D30B2E"/>
    <w:rsid w:val="00D32DA3"/>
    <w:rsid w:val="00D32FBC"/>
    <w:rsid w:val="00D36258"/>
    <w:rsid w:val="00D374F6"/>
    <w:rsid w:val="00D440A9"/>
    <w:rsid w:val="00D47094"/>
    <w:rsid w:val="00D52380"/>
    <w:rsid w:val="00D7004C"/>
    <w:rsid w:val="00D82DBC"/>
    <w:rsid w:val="00D91CB4"/>
    <w:rsid w:val="00D9561B"/>
    <w:rsid w:val="00DA2661"/>
    <w:rsid w:val="00DA65D2"/>
    <w:rsid w:val="00DC1B98"/>
    <w:rsid w:val="00DD1B8E"/>
    <w:rsid w:val="00DD479C"/>
    <w:rsid w:val="00DE0678"/>
    <w:rsid w:val="00DE2837"/>
    <w:rsid w:val="00DE7CF3"/>
    <w:rsid w:val="00DF095D"/>
    <w:rsid w:val="00DF1E65"/>
    <w:rsid w:val="00E154FA"/>
    <w:rsid w:val="00E1731C"/>
    <w:rsid w:val="00E178BC"/>
    <w:rsid w:val="00E21DCE"/>
    <w:rsid w:val="00E21EEE"/>
    <w:rsid w:val="00E31592"/>
    <w:rsid w:val="00E33CD5"/>
    <w:rsid w:val="00E430EE"/>
    <w:rsid w:val="00E462AD"/>
    <w:rsid w:val="00E46415"/>
    <w:rsid w:val="00E56368"/>
    <w:rsid w:val="00E612EB"/>
    <w:rsid w:val="00E7593E"/>
    <w:rsid w:val="00E82B58"/>
    <w:rsid w:val="00E85855"/>
    <w:rsid w:val="00E90AA3"/>
    <w:rsid w:val="00E95B22"/>
    <w:rsid w:val="00EA498A"/>
    <w:rsid w:val="00EA73C5"/>
    <w:rsid w:val="00EA7F09"/>
    <w:rsid w:val="00EB1D11"/>
    <w:rsid w:val="00EB5E22"/>
    <w:rsid w:val="00EC4A07"/>
    <w:rsid w:val="00EC63C7"/>
    <w:rsid w:val="00EC7094"/>
    <w:rsid w:val="00ED2391"/>
    <w:rsid w:val="00ED4D1B"/>
    <w:rsid w:val="00ED53F7"/>
    <w:rsid w:val="00ED57EA"/>
    <w:rsid w:val="00F0483D"/>
    <w:rsid w:val="00F11F64"/>
    <w:rsid w:val="00F1579C"/>
    <w:rsid w:val="00F16459"/>
    <w:rsid w:val="00F168FB"/>
    <w:rsid w:val="00F17F14"/>
    <w:rsid w:val="00F23039"/>
    <w:rsid w:val="00F302BA"/>
    <w:rsid w:val="00F363C9"/>
    <w:rsid w:val="00F62F4F"/>
    <w:rsid w:val="00F844FF"/>
    <w:rsid w:val="00F92336"/>
    <w:rsid w:val="00FA1410"/>
    <w:rsid w:val="00FA3EC5"/>
    <w:rsid w:val="00FA56AA"/>
    <w:rsid w:val="00FB0688"/>
    <w:rsid w:val="00FB19E6"/>
    <w:rsid w:val="00FC2F8C"/>
    <w:rsid w:val="00FC4133"/>
    <w:rsid w:val="00FD52BB"/>
    <w:rsid w:val="00FE2052"/>
    <w:rsid w:val="00FE5660"/>
    <w:rsid w:val="00FF17BD"/>
    <w:rsid w:val="00FF7808"/>
    <w:rsid w:val="011C2CA2"/>
    <w:rsid w:val="012F7AF8"/>
    <w:rsid w:val="01424481"/>
    <w:rsid w:val="016C3D94"/>
    <w:rsid w:val="01AE5B4F"/>
    <w:rsid w:val="01CE3E86"/>
    <w:rsid w:val="01DA571A"/>
    <w:rsid w:val="021567F9"/>
    <w:rsid w:val="021912FD"/>
    <w:rsid w:val="02316129"/>
    <w:rsid w:val="023A5733"/>
    <w:rsid w:val="02B86002"/>
    <w:rsid w:val="03032BFE"/>
    <w:rsid w:val="03087086"/>
    <w:rsid w:val="0312432B"/>
    <w:rsid w:val="032121AE"/>
    <w:rsid w:val="034F527C"/>
    <w:rsid w:val="037576B9"/>
    <w:rsid w:val="048168F2"/>
    <w:rsid w:val="04BA01BD"/>
    <w:rsid w:val="04D31B73"/>
    <w:rsid w:val="05174330"/>
    <w:rsid w:val="05442B25"/>
    <w:rsid w:val="059C4AB5"/>
    <w:rsid w:val="05B47F69"/>
    <w:rsid w:val="05C40A0D"/>
    <w:rsid w:val="05C42334"/>
    <w:rsid w:val="05F0405C"/>
    <w:rsid w:val="060702B6"/>
    <w:rsid w:val="06A26A30"/>
    <w:rsid w:val="06A47871"/>
    <w:rsid w:val="06F8028D"/>
    <w:rsid w:val="06FE6C86"/>
    <w:rsid w:val="07143341"/>
    <w:rsid w:val="072126BE"/>
    <w:rsid w:val="0765792F"/>
    <w:rsid w:val="078316B6"/>
    <w:rsid w:val="0794538A"/>
    <w:rsid w:val="07F2278E"/>
    <w:rsid w:val="081D5EBB"/>
    <w:rsid w:val="082951B0"/>
    <w:rsid w:val="0860304A"/>
    <w:rsid w:val="08F04040"/>
    <w:rsid w:val="091B157F"/>
    <w:rsid w:val="091D4A82"/>
    <w:rsid w:val="09436EC0"/>
    <w:rsid w:val="09884C04"/>
    <w:rsid w:val="098F1096"/>
    <w:rsid w:val="09956A2E"/>
    <w:rsid w:val="099A13F8"/>
    <w:rsid w:val="099F3D57"/>
    <w:rsid w:val="09BB3687"/>
    <w:rsid w:val="0A3E25DB"/>
    <w:rsid w:val="0A475469"/>
    <w:rsid w:val="0AB03DCB"/>
    <w:rsid w:val="0AD0640C"/>
    <w:rsid w:val="0AD772D6"/>
    <w:rsid w:val="0AFB2552"/>
    <w:rsid w:val="0BBC1F6B"/>
    <w:rsid w:val="0BDE6804"/>
    <w:rsid w:val="0C0E4B7B"/>
    <w:rsid w:val="0C47583F"/>
    <w:rsid w:val="0C602F7A"/>
    <w:rsid w:val="0C916D24"/>
    <w:rsid w:val="0CAA2700"/>
    <w:rsid w:val="0D154302"/>
    <w:rsid w:val="0D1B1A8F"/>
    <w:rsid w:val="0D747B9F"/>
    <w:rsid w:val="0D7978AA"/>
    <w:rsid w:val="0DC703D5"/>
    <w:rsid w:val="0DEC3429"/>
    <w:rsid w:val="0DED1DE7"/>
    <w:rsid w:val="0E157728"/>
    <w:rsid w:val="0E1D771D"/>
    <w:rsid w:val="0E4427F6"/>
    <w:rsid w:val="0E442E1D"/>
    <w:rsid w:val="0E46377B"/>
    <w:rsid w:val="0E6554DA"/>
    <w:rsid w:val="0E6A4C34"/>
    <w:rsid w:val="0E88396E"/>
    <w:rsid w:val="0E981627"/>
    <w:rsid w:val="0EE24F94"/>
    <w:rsid w:val="0F2B7270"/>
    <w:rsid w:val="0F411414"/>
    <w:rsid w:val="0F6D0FDF"/>
    <w:rsid w:val="0F924C80"/>
    <w:rsid w:val="0FB43951"/>
    <w:rsid w:val="0FBE4261"/>
    <w:rsid w:val="0FD572B7"/>
    <w:rsid w:val="0FE661C7"/>
    <w:rsid w:val="0FF2345E"/>
    <w:rsid w:val="0FF7068F"/>
    <w:rsid w:val="100E5EAE"/>
    <w:rsid w:val="10170173"/>
    <w:rsid w:val="103C1264"/>
    <w:rsid w:val="105D22EE"/>
    <w:rsid w:val="107401A4"/>
    <w:rsid w:val="107B5880"/>
    <w:rsid w:val="10AE73EC"/>
    <w:rsid w:val="10B42BF9"/>
    <w:rsid w:val="10C3663D"/>
    <w:rsid w:val="10DA083E"/>
    <w:rsid w:val="10E81932"/>
    <w:rsid w:val="10EE23D4"/>
    <w:rsid w:val="10FC566C"/>
    <w:rsid w:val="111C2F1F"/>
    <w:rsid w:val="11452DE3"/>
    <w:rsid w:val="11552E50"/>
    <w:rsid w:val="11574382"/>
    <w:rsid w:val="11576580"/>
    <w:rsid w:val="116D6526"/>
    <w:rsid w:val="1173042F"/>
    <w:rsid w:val="11CD3FC1"/>
    <w:rsid w:val="12072EA1"/>
    <w:rsid w:val="120E02AD"/>
    <w:rsid w:val="12206139"/>
    <w:rsid w:val="12372F3A"/>
    <w:rsid w:val="12F408EF"/>
    <w:rsid w:val="137504F0"/>
    <w:rsid w:val="13BA5C19"/>
    <w:rsid w:val="13FD7A70"/>
    <w:rsid w:val="1407232B"/>
    <w:rsid w:val="14347C33"/>
    <w:rsid w:val="14927FCC"/>
    <w:rsid w:val="14D058B3"/>
    <w:rsid w:val="15E708FE"/>
    <w:rsid w:val="16187EEF"/>
    <w:rsid w:val="1623008B"/>
    <w:rsid w:val="164E0662"/>
    <w:rsid w:val="164E1571"/>
    <w:rsid w:val="166D65D9"/>
    <w:rsid w:val="166F5446"/>
    <w:rsid w:val="16D74788"/>
    <w:rsid w:val="16DE5971"/>
    <w:rsid w:val="171E5924"/>
    <w:rsid w:val="17410D1C"/>
    <w:rsid w:val="17573FD8"/>
    <w:rsid w:val="176048E7"/>
    <w:rsid w:val="178D1CC6"/>
    <w:rsid w:val="17E666A3"/>
    <w:rsid w:val="17EC44CB"/>
    <w:rsid w:val="184A0758"/>
    <w:rsid w:val="18674D58"/>
    <w:rsid w:val="18856C48"/>
    <w:rsid w:val="189F5BF6"/>
    <w:rsid w:val="18A70482"/>
    <w:rsid w:val="18AA4886"/>
    <w:rsid w:val="18F57876"/>
    <w:rsid w:val="19414DFD"/>
    <w:rsid w:val="194D0C0F"/>
    <w:rsid w:val="195D0EAA"/>
    <w:rsid w:val="19915E81"/>
    <w:rsid w:val="19A91329"/>
    <w:rsid w:val="19C72AD7"/>
    <w:rsid w:val="1A146438"/>
    <w:rsid w:val="1A196E21"/>
    <w:rsid w:val="1AE2232B"/>
    <w:rsid w:val="1B0C4067"/>
    <w:rsid w:val="1B4C3790"/>
    <w:rsid w:val="1B635D7C"/>
    <w:rsid w:val="1BA7556B"/>
    <w:rsid w:val="1BE36945"/>
    <w:rsid w:val="1C0F0294"/>
    <w:rsid w:val="1C112A1C"/>
    <w:rsid w:val="1C224EB5"/>
    <w:rsid w:val="1C756EBE"/>
    <w:rsid w:val="1C976872"/>
    <w:rsid w:val="1CB10616"/>
    <w:rsid w:val="1D002E00"/>
    <w:rsid w:val="1D422D8E"/>
    <w:rsid w:val="1D517361"/>
    <w:rsid w:val="1D7A2638"/>
    <w:rsid w:val="1D994D9A"/>
    <w:rsid w:val="1DC06434"/>
    <w:rsid w:val="1DE127D8"/>
    <w:rsid w:val="1DE44B16"/>
    <w:rsid w:val="1E184FA0"/>
    <w:rsid w:val="1E330118"/>
    <w:rsid w:val="1E36109D"/>
    <w:rsid w:val="1E703800"/>
    <w:rsid w:val="1E9C7B48"/>
    <w:rsid w:val="1ECE797C"/>
    <w:rsid w:val="1F33353E"/>
    <w:rsid w:val="1F5749F8"/>
    <w:rsid w:val="1F915384"/>
    <w:rsid w:val="1F93293E"/>
    <w:rsid w:val="1FAF2E88"/>
    <w:rsid w:val="1FC42CB6"/>
    <w:rsid w:val="1FD06C40"/>
    <w:rsid w:val="20273124"/>
    <w:rsid w:val="2034661C"/>
    <w:rsid w:val="208805ED"/>
    <w:rsid w:val="20A36C18"/>
    <w:rsid w:val="20D21CE6"/>
    <w:rsid w:val="20D451E9"/>
    <w:rsid w:val="210608A4"/>
    <w:rsid w:val="216311D2"/>
    <w:rsid w:val="21C63877"/>
    <w:rsid w:val="21DD569B"/>
    <w:rsid w:val="21E95D8D"/>
    <w:rsid w:val="227F4E77"/>
    <w:rsid w:val="228E32C0"/>
    <w:rsid w:val="22EA2355"/>
    <w:rsid w:val="23325FCD"/>
    <w:rsid w:val="23726DB6"/>
    <w:rsid w:val="2393161B"/>
    <w:rsid w:val="23BE182E"/>
    <w:rsid w:val="24001E9D"/>
    <w:rsid w:val="244355AF"/>
    <w:rsid w:val="24672B46"/>
    <w:rsid w:val="24CE655F"/>
    <w:rsid w:val="24D33DEC"/>
    <w:rsid w:val="24D87982"/>
    <w:rsid w:val="24E54A58"/>
    <w:rsid w:val="24E9310B"/>
    <w:rsid w:val="25123843"/>
    <w:rsid w:val="259E3EC8"/>
    <w:rsid w:val="25C04D88"/>
    <w:rsid w:val="25D14317"/>
    <w:rsid w:val="26066D6F"/>
    <w:rsid w:val="26582293"/>
    <w:rsid w:val="26621687"/>
    <w:rsid w:val="269B3BBA"/>
    <w:rsid w:val="26F23665"/>
    <w:rsid w:val="270E1C27"/>
    <w:rsid w:val="27264C48"/>
    <w:rsid w:val="272E37DD"/>
    <w:rsid w:val="27306191"/>
    <w:rsid w:val="273B4BEE"/>
    <w:rsid w:val="27A64EC1"/>
    <w:rsid w:val="27CD08D9"/>
    <w:rsid w:val="27F237BA"/>
    <w:rsid w:val="2845181D"/>
    <w:rsid w:val="288B1F91"/>
    <w:rsid w:val="28A126E5"/>
    <w:rsid w:val="28A20FAB"/>
    <w:rsid w:val="28AE55FA"/>
    <w:rsid w:val="28C40245"/>
    <w:rsid w:val="28CD627E"/>
    <w:rsid w:val="28F81291"/>
    <w:rsid w:val="290B5D62"/>
    <w:rsid w:val="29315979"/>
    <w:rsid w:val="29A504DF"/>
    <w:rsid w:val="29B84F82"/>
    <w:rsid w:val="29C92C9E"/>
    <w:rsid w:val="29D02628"/>
    <w:rsid w:val="2A226BAF"/>
    <w:rsid w:val="2A42536F"/>
    <w:rsid w:val="2A6C5B56"/>
    <w:rsid w:val="2A994270"/>
    <w:rsid w:val="2A9E06F7"/>
    <w:rsid w:val="2AEA2993"/>
    <w:rsid w:val="2B0E394A"/>
    <w:rsid w:val="2B9A7696"/>
    <w:rsid w:val="2BA07020"/>
    <w:rsid w:val="2BC901E5"/>
    <w:rsid w:val="2BD14A9B"/>
    <w:rsid w:val="2BE3120E"/>
    <w:rsid w:val="2C1C696A"/>
    <w:rsid w:val="2C31308C"/>
    <w:rsid w:val="2C33658F"/>
    <w:rsid w:val="2C4A01A7"/>
    <w:rsid w:val="2C547DC9"/>
    <w:rsid w:val="2C963C4C"/>
    <w:rsid w:val="2CB30E23"/>
    <w:rsid w:val="2D216218"/>
    <w:rsid w:val="2D673109"/>
    <w:rsid w:val="2D851DFA"/>
    <w:rsid w:val="2DD82143"/>
    <w:rsid w:val="2E075211"/>
    <w:rsid w:val="2E331F0B"/>
    <w:rsid w:val="2E556727"/>
    <w:rsid w:val="2E7C2C51"/>
    <w:rsid w:val="2ED25BDE"/>
    <w:rsid w:val="2FB616D4"/>
    <w:rsid w:val="301450C3"/>
    <w:rsid w:val="30773D10"/>
    <w:rsid w:val="307E09DD"/>
    <w:rsid w:val="30F80DE7"/>
    <w:rsid w:val="30F96868"/>
    <w:rsid w:val="31432160"/>
    <w:rsid w:val="315A7B86"/>
    <w:rsid w:val="32273A57"/>
    <w:rsid w:val="323D436D"/>
    <w:rsid w:val="324F606E"/>
    <w:rsid w:val="3279795A"/>
    <w:rsid w:val="329A7D11"/>
    <w:rsid w:val="32E80292"/>
    <w:rsid w:val="32F06E24"/>
    <w:rsid w:val="33655906"/>
    <w:rsid w:val="339B6D56"/>
    <w:rsid w:val="33BD156F"/>
    <w:rsid w:val="33EF3043"/>
    <w:rsid w:val="33F85ED1"/>
    <w:rsid w:val="345F6B7A"/>
    <w:rsid w:val="34774220"/>
    <w:rsid w:val="347D2669"/>
    <w:rsid w:val="34D4107F"/>
    <w:rsid w:val="35012166"/>
    <w:rsid w:val="35233EA6"/>
    <w:rsid w:val="3525563E"/>
    <w:rsid w:val="353433BC"/>
    <w:rsid w:val="35833459"/>
    <w:rsid w:val="359D2E9C"/>
    <w:rsid w:val="35FA1B3F"/>
    <w:rsid w:val="366C6195"/>
    <w:rsid w:val="36911EEE"/>
    <w:rsid w:val="36E41D9C"/>
    <w:rsid w:val="370C5392"/>
    <w:rsid w:val="373A4D29"/>
    <w:rsid w:val="375C2CDF"/>
    <w:rsid w:val="37941F3F"/>
    <w:rsid w:val="37B620F4"/>
    <w:rsid w:val="37CF756C"/>
    <w:rsid w:val="37DB4F2E"/>
    <w:rsid w:val="37E279B9"/>
    <w:rsid w:val="3831232B"/>
    <w:rsid w:val="38895CD0"/>
    <w:rsid w:val="38BE4EA5"/>
    <w:rsid w:val="39660833"/>
    <w:rsid w:val="39C443D2"/>
    <w:rsid w:val="39F776BC"/>
    <w:rsid w:val="3A277ABC"/>
    <w:rsid w:val="3A4C0E33"/>
    <w:rsid w:val="3AEF28FA"/>
    <w:rsid w:val="3B064512"/>
    <w:rsid w:val="3B46104B"/>
    <w:rsid w:val="3B994751"/>
    <w:rsid w:val="3BF72ECD"/>
    <w:rsid w:val="3BFB1FBA"/>
    <w:rsid w:val="3C1B4511"/>
    <w:rsid w:val="3C2C6288"/>
    <w:rsid w:val="3C402568"/>
    <w:rsid w:val="3CBB4430"/>
    <w:rsid w:val="3D3949F7"/>
    <w:rsid w:val="3DCF7769"/>
    <w:rsid w:val="3E1A36BF"/>
    <w:rsid w:val="3E2326FD"/>
    <w:rsid w:val="3E5F0364"/>
    <w:rsid w:val="3E741203"/>
    <w:rsid w:val="3E8F30B2"/>
    <w:rsid w:val="3EBD66A5"/>
    <w:rsid w:val="3EE71542"/>
    <w:rsid w:val="3F222DF9"/>
    <w:rsid w:val="3F551B76"/>
    <w:rsid w:val="3FBD02A0"/>
    <w:rsid w:val="3FD528A0"/>
    <w:rsid w:val="40CF5351"/>
    <w:rsid w:val="41876612"/>
    <w:rsid w:val="41A26F0D"/>
    <w:rsid w:val="41BA40CF"/>
    <w:rsid w:val="42076B60"/>
    <w:rsid w:val="42166345"/>
    <w:rsid w:val="42573468"/>
    <w:rsid w:val="42AF5D99"/>
    <w:rsid w:val="42C51BEC"/>
    <w:rsid w:val="43123CBB"/>
    <w:rsid w:val="433901D7"/>
    <w:rsid w:val="43417998"/>
    <w:rsid w:val="43801781"/>
    <w:rsid w:val="43F9568E"/>
    <w:rsid w:val="43F971B5"/>
    <w:rsid w:val="44071B29"/>
    <w:rsid w:val="44CE793D"/>
    <w:rsid w:val="44F12C6C"/>
    <w:rsid w:val="45240FFC"/>
    <w:rsid w:val="4539571E"/>
    <w:rsid w:val="453D4124"/>
    <w:rsid w:val="45701D62"/>
    <w:rsid w:val="45891D61"/>
    <w:rsid w:val="459200A1"/>
    <w:rsid w:val="459403B6"/>
    <w:rsid w:val="45C0021A"/>
    <w:rsid w:val="45C13DB5"/>
    <w:rsid w:val="45CB28A1"/>
    <w:rsid w:val="464239D2"/>
    <w:rsid w:val="464B5651"/>
    <w:rsid w:val="46845740"/>
    <w:rsid w:val="46AE7CE6"/>
    <w:rsid w:val="46BC111E"/>
    <w:rsid w:val="46CD69C0"/>
    <w:rsid w:val="470B0E9D"/>
    <w:rsid w:val="4729448F"/>
    <w:rsid w:val="47A01390"/>
    <w:rsid w:val="48077E3B"/>
    <w:rsid w:val="48441E9E"/>
    <w:rsid w:val="48DD0D98"/>
    <w:rsid w:val="49884AB4"/>
    <w:rsid w:val="49A14359"/>
    <w:rsid w:val="49D97D36"/>
    <w:rsid w:val="49EA5A52"/>
    <w:rsid w:val="4A256BB2"/>
    <w:rsid w:val="4A96396C"/>
    <w:rsid w:val="4ABC5C20"/>
    <w:rsid w:val="4B3E507F"/>
    <w:rsid w:val="4B472054"/>
    <w:rsid w:val="4B565B1D"/>
    <w:rsid w:val="4B6405EC"/>
    <w:rsid w:val="4B693B00"/>
    <w:rsid w:val="4BCF3AC8"/>
    <w:rsid w:val="4C6373E0"/>
    <w:rsid w:val="4C714177"/>
    <w:rsid w:val="4C850C19"/>
    <w:rsid w:val="4CBD0D73"/>
    <w:rsid w:val="4CE0002E"/>
    <w:rsid w:val="4D0D1DF7"/>
    <w:rsid w:val="4DC21DEE"/>
    <w:rsid w:val="4E0E12EA"/>
    <w:rsid w:val="4EB50EAE"/>
    <w:rsid w:val="4EB856B6"/>
    <w:rsid w:val="4F0F02C3"/>
    <w:rsid w:val="4F136032"/>
    <w:rsid w:val="4F9550FA"/>
    <w:rsid w:val="4FAD6EC7"/>
    <w:rsid w:val="4FE43405"/>
    <w:rsid w:val="50077F54"/>
    <w:rsid w:val="50493828"/>
    <w:rsid w:val="504B048C"/>
    <w:rsid w:val="505D4AAB"/>
    <w:rsid w:val="508B5231"/>
    <w:rsid w:val="508C7A06"/>
    <w:rsid w:val="50A921DC"/>
    <w:rsid w:val="51046789"/>
    <w:rsid w:val="51291C37"/>
    <w:rsid w:val="517C5E3E"/>
    <w:rsid w:val="518A41CD"/>
    <w:rsid w:val="519C0C0E"/>
    <w:rsid w:val="51E35B40"/>
    <w:rsid w:val="52753E57"/>
    <w:rsid w:val="52BF76F7"/>
    <w:rsid w:val="53175BDF"/>
    <w:rsid w:val="53217C70"/>
    <w:rsid w:val="53707572"/>
    <w:rsid w:val="53FB36A0"/>
    <w:rsid w:val="541E51B4"/>
    <w:rsid w:val="54344507"/>
    <w:rsid w:val="545E3978"/>
    <w:rsid w:val="54657DB9"/>
    <w:rsid w:val="54AC14F8"/>
    <w:rsid w:val="55842468"/>
    <w:rsid w:val="55B21ACE"/>
    <w:rsid w:val="55D36D5C"/>
    <w:rsid w:val="55E524FA"/>
    <w:rsid w:val="567120DE"/>
    <w:rsid w:val="567A4D2B"/>
    <w:rsid w:val="56A53097"/>
    <w:rsid w:val="56AD780E"/>
    <w:rsid w:val="56C675EA"/>
    <w:rsid w:val="56C85F44"/>
    <w:rsid w:val="56D70B89"/>
    <w:rsid w:val="57376624"/>
    <w:rsid w:val="5775FAA3"/>
    <w:rsid w:val="578D0651"/>
    <w:rsid w:val="589F02F9"/>
    <w:rsid w:val="58E37964"/>
    <w:rsid w:val="59134C30"/>
    <w:rsid w:val="591667A6"/>
    <w:rsid w:val="59B27FD7"/>
    <w:rsid w:val="59C95C21"/>
    <w:rsid w:val="59E11E05"/>
    <w:rsid w:val="5A2C5B47"/>
    <w:rsid w:val="5A4E4EE0"/>
    <w:rsid w:val="5A6D19E9"/>
    <w:rsid w:val="5A735A9C"/>
    <w:rsid w:val="5A8B53F9"/>
    <w:rsid w:val="5A9F9E3A"/>
    <w:rsid w:val="5ABF3398"/>
    <w:rsid w:val="5B057621"/>
    <w:rsid w:val="5B0F11F3"/>
    <w:rsid w:val="5B3976D8"/>
    <w:rsid w:val="5B92080B"/>
    <w:rsid w:val="5BB00D7C"/>
    <w:rsid w:val="5C21787C"/>
    <w:rsid w:val="5C2A3B19"/>
    <w:rsid w:val="5C677226"/>
    <w:rsid w:val="5C6D0EF8"/>
    <w:rsid w:val="5CFF3F21"/>
    <w:rsid w:val="5D2912F6"/>
    <w:rsid w:val="5D3046F0"/>
    <w:rsid w:val="5D93776C"/>
    <w:rsid w:val="5DA311AC"/>
    <w:rsid w:val="5DC374E2"/>
    <w:rsid w:val="5DD045F9"/>
    <w:rsid w:val="5DD43788"/>
    <w:rsid w:val="5DF06FF9"/>
    <w:rsid w:val="5E1F5767"/>
    <w:rsid w:val="5E3774A1"/>
    <w:rsid w:val="5E7D5F39"/>
    <w:rsid w:val="5EE9258D"/>
    <w:rsid w:val="5F33641E"/>
    <w:rsid w:val="5F871A1B"/>
    <w:rsid w:val="5FF97261"/>
    <w:rsid w:val="5FFB5B91"/>
    <w:rsid w:val="600D4207"/>
    <w:rsid w:val="60561CD9"/>
    <w:rsid w:val="6061355D"/>
    <w:rsid w:val="608F4391"/>
    <w:rsid w:val="60972ECA"/>
    <w:rsid w:val="60AB67E1"/>
    <w:rsid w:val="60D7326D"/>
    <w:rsid w:val="61144F8F"/>
    <w:rsid w:val="612043A3"/>
    <w:rsid w:val="61522C19"/>
    <w:rsid w:val="616F7F68"/>
    <w:rsid w:val="61951544"/>
    <w:rsid w:val="61CE5D83"/>
    <w:rsid w:val="61D053B0"/>
    <w:rsid w:val="61D43510"/>
    <w:rsid w:val="628E03BF"/>
    <w:rsid w:val="62DD013F"/>
    <w:rsid w:val="62DD667E"/>
    <w:rsid w:val="62E83BAA"/>
    <w:rsid w:val="636A57A4"/>
    <w:rsid w:val="637C0048"/>
    <w:rsid w:val="638549B0"/>
    <w:rsid w:val="63BB092A"/>
    <w:rsid w:val="63BB555F"/>
    <w:rsid w:val="63C948C4"/>
    <w:rsid w:val="63D16F65"/>
    <w:rsid w:val="63F22205"/>
    <w:rsid w:val="64407D86"/>
    <w:rsid w:val="648A394D"/>
    <w:rsid w:val="64A31301"/>
    <w:rsid w:val="64A8792F"/>
    <w:rsid w:val="64D87AED"/>
    <w:rsid w:val="65351598"/>
    <w:rsid w:val="657C558F"/>
    <w:rsid w:val="660921F5"/>
    <w:rsid w:val="66211782"/>
    <w:rsid w:val="66662F8E"/>
    <w:rsid w:val="667679A5"/>
    <w:rsid w:val="668002B5"/>
    <w:rsid w:val="669B2164"/>
    <w:rsid w:val="66AD527D"/>
    <w:rsid w:val="66B3780A"/>
    <w:rsid w:val="67080599"/>
    <w:rsid w:val="67314E66"/>
    <w:rsid w:val="673448E0"/>
    <w:rsid w:val="67737ABF"/>
    <w:rsid w:val="677F2428"/>
    <w:rsid w:val="67B73616"/>
    <w:rsid w:val="67C87352"/>
    <w:rsid w:val="680C3197"/>
    <w:rsid w:val="68897B34"/>
    <w:rsid w:val="688D0B4A"/>
    <w:rsid w:val="68A60FF8"/>
    <w:rsid w:val="6905041B"/>
    <w:rsid w:val="691550F3"/>
    <w:rsid w:val="6929286F"/>
    <w:rsid w:val="692A38D0"/>
    <w:rsid w:val="694B3BD6"/>
    <w:rsid w:val="696525F7"/>
    <w:rsid w:val="697919C0"/>
    <w:rsid w:val="69D84B34"/>
    <w:rsid w:val="69F67967"/>
    <w:rsid w:val="6A4409AD"/>
    <w:rsid w:val="6A8B67B6"/>
    <w:rsid w:val="6AC04E32"/>
    <w:rsid w:val="6ADC2978"/>
    <w:rsid w:val="6B4D3949"/>
    <w:rsid w:val="6B600C54"/>
    <w:rsid w:val="6B9028A7"/>
    <w:rsid w:val="6BF825B0"/>
    <w:rsid w:val="6C621FDF"/>
    <w:rsid w:val="6D0566DA"/>
    <w:rsid w:val="6D180489"/>
    <w:rsid w:val="6D4E760A"/>
    <w:rsid w:val="6D565D6F"/>
    <w:rsid w:val="6D794379"/>
    <w:rsid w:val="6D9A775D"/>
    <w:rsid w:val="6DB6160C"/>
    <w:rsid w:val="6DB76AA7"/>
    <w:rsid w:val="6F8D3663"/>
    <w:rsid w:val="6FA621A6"/>
    <w:rsid w:val="6FBA2FDB"/>
    <w:rsid w:val="6FC86C59"/>
    <w:rsid w:val="6FC87D72"/>
    <w:rsid w:val="6FE3639E"/>
    <w:rsid w:val="6FFF0458"/>
    <w:rsid w:val="700C1760"/>
    <w:rsid w:val="702C7A97"/>
    <w:rsid w:val="70814FA2"/>
    <w:rsid w:val="708A34B7"/>
    <w:rsid w:val="708D0DB5"/>
    <w:rsid w:val="70EE6327"/>
    <w:rsid w:val="714F6800"/>
    <w:rsid w:val="71A01087"/>
    <w:rsid w:val="71A37770"/>
    <w:rsid w:val="71A82806"/>
    <w:rsid w:val="71C346B5"/>
    <w:rsid w:val="71E94A80"/>
    <w:rsid w:val="71F3349D"/>
    <w:rsid w:val="720B1226"/>
    <w:rsid w:val="72162E3A"/>
    <w:rsid w:val="721B72C2"/>
    <w:rsid w:val="725E6AB2"/>
    <w:rsid w:val="72895378"/>
    <w:rsid w:val="72A15544"/>
    <w:rsid w:val="72AD6831"/>
    <w:rsid w:val="72B1231D"/>
    <w:rsid w:val="72F7300B"/>
    <w:rsid w:val="73160455"/>
    <w:rsid w:val="735935D8"/>
    <w:rsid w:val="73905D5E"/>
    <w:rsid w:val="73A76034"/>
    <w:rsid w:val="73CE5A0F"/>
    <w:rsid w:val="73DD49A4"/>
    <w:rsid w:val="73F039C5"/>
    <w:rsid w:val="74003C5F"/>
    <w:rsid w:val="741265C2"/>
    <w:rsid w:val="741E320F"/>
    <w:rsid w:val="747974D9"/>
    <w:rsid w:val="74D057DA"/>
    <w:rsid w:val="74E076F6"/>
    <w:rsid w:val="757A3424"/>
    <w:rsid w:val="7588172B"/>
    <w:rsid w:val="75A55D1E"/>
    <w:rsid w:val="75D95D90"/>
    <w:rsid w:val="75E64D79"/>
    <w:rsid w:val="75EA1201"/>
    <w:rsid w:val="75EEE9D8"/>
    <w:rsid w:val="75EFDE72"/>
    <w:rsid w:val="76010E26"/>
    <w:rsid w:val="76866E81"/>
    <w:rsid w:val="76B7F6CE"/>
    <w:rsid w:val="76E33AF7"/>
    <w:rsid w:val="76E74309"/>
    <w:rsid w:val="76F75EBB"/>
    <w:rsid w:val="76FB26C3"/>
    <w:rsid w:val="76FD19FF"/>
    <w:rsid w:val="770C58B3"/>
    <w:rsid w:val="7730731A"/>
    <w:rsid w:val="77F34E5A"/>
    <w:rsid w:val="77F39654"/>
    <w:rsid w:val="789E6DA8"/>
    <w:rsid w:val="78C22E0C"/>
    <w:rsid w:val="78C47730"/>
    <w:rsid w:val="79263F52"/>
    <w:rsid w:val="79462FFF"/>
    <w:rsid w:val="7964150E"/>
    <w:rsid w:val="797447FC"/>
    <w:rsid w:val="79BF0C4D"/>
    <w:rsid w:val="79C350D5"/>
    <w:rsid w:val="7A4430A5"/>
    <w:rsid w:val="7A4A4FAE"/>
    <w:rsid w:val="7A7D2CCA"/>
    <w:rsid w:val="7AA90141"/>
    <w:rsid w:val="7AC53C8E"/>
    <w:rsid w:val="7AD8689A"/>
    <w:rsid w:val="7AFDD5FF"/>
    <w:rsid w:val="7B234C91"/>
    <w:rsid w:val="7BBF180B"/>
    <w:rsid w:val="7BC90AB6"/>
    <w:rsid w:val="7C1B6A58"/>
    <w:rsid w:val="7C877DDC"/>
    <w:rsid w:val="7CA02390"/>
    <w:rsid w:val="7D1B284D"/>
    <w:rsid w:val="7D304D71"/>
    <w:rsid w:val="7DA436B7"/>
    <w:rsid w:val="7E1451F2"/>
    <w:rsid w:val="7E2C7C5E"/>
    <w:rsid w:val="7E46233B"/>
    <w:rsid w:val="7E89667F"/>
    <w:rsid w:val="7EB03F69"/>
    <w:rsid w:val="7EBC7D7B"/>
    <w:rsid w:val="7EF90044"/>
    <w:rsid w:val="7EFB6F93"/>
    <w:rsid w:val="7F4F58E3"/>
    <w:rsid w:val="7F587BFA"/>
    <w:rsid w:val="7F9F7467"/>
    <w:rsid w:val="7FA91176"/>
    <w:rsid w:val="87FD59B9"/>
    <w:rsid w:val="9FBFE5A1"/>
    <w:rsid w:val="BFFC0573"/>
    <w:rsid w:val="C6FF3196"/>
    <w:rsid w:val="DD741C71"/>
    <w:rsid w:val="F6FDF065"/>
    <w:rsid w:val="FF5B2150"/>
    <w:rsid w:val="FFB72F0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1"/>
    <w:qFormat/>
    <w:uiPriority w:val="0"/>
    <w:pPr>
      <w:keepNext/>
      <w:keepLines/>
      <w:snapToGrid w:val="0"/>
      <w:spacing w:line="360" w:lineRule="auto"/>
      <w:jc w:val="center"/>
      <w:outlineLvl w:val="0"/>
    </w:pPr>
    <w:rPr>
      <w:rFonts w:eastAsia="黑体"/>
      <w:kern w:val="44"/>
      <w:sz w:val="32"/>
      <w:szCs w:val="20"/>
      <w:lang w:val="zh-CN"/>
    </w:rPr>
  </w:style>
  <w:style w:type="paragraph" w:styleId="4">
    <w:name w:val="heading 2"/>
    <w:basedOn w:val="1"/>
    <w:next w:val="1"/>
    <w:link w:val="24"/>
    <w:qFormat/>
    <w:uiPriority w:val="0"/>
    <w:pPr>
      <w:keepNext/>
      <w:keepLines/>
      <w:topLinePunct/>
      <w:adjustRightInd w:val="0"/>
      <w:snapToGrid w:val="0"/>
      <w:spacing w:beforeLines="80" w:afterLines="80"/>
      <w:jc w:val="left"/>
      <w:outlineLvl w:val="1"/>
    </w:pPr>
    <w:rPr>
      <w:rFonts w:ascii="Arial" w:hAnsi="Arial" w:eastAsia="黑体"/>
      <w:kern w:val="0"/>
      <w:sz w:val="20"/>
      <w:szCs w:val="20"/>
      <w:lang w:val="zh-CN"/>
    </w:rPr>
  </w:style>
  <w:style w:type="paragraph" w:styleId="5">
    <w:name w:val="heading 3"/>
    <w:basedOn w:val="1"/>
    <w:next w:val="1"/>
    <w:link w:val="34"/>
    <w:qFormat/>
    <w:uiPriority w:val="0"/>
    <w:pPr>
      <w:keepNext/>
      <w:keepLines/>
      <w:spacing w:before="260" w:after="260" w:line="416" w:lineRule="auto"/>
      <w:outlineLvl w:val="2"/>
    </w:pPr>
    <w:rPr>
      <w:b/>
      <w:bCs/>
      <w:kern w:val="0"/>
      <w:sz w:val="32"/>
      <w:szCs w:val="32"/>
      <w:lang w:val="zh-CN"/>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27"/>
    <w:qFormat/>
    <w:uiPriority w:val="99"/>
    <w:pPr>
      <w:tabs>
        <w:tab w:val="center" w:pos="4153"/>
        <w:tab w:val="right" w:pos="8306"/>
      </w:tabs>
      <w:snapToGrid w:val="0"/>
      <w:jc w:val="left"/>
    </w:pPr>
    <w:rPr>
      <w:kern w:val="0"/>
      <w:sz w:val="18"/>
      <w:szCs w:val="18"/>
      <w:lang w:val="zh-CN"/>
    </w:rPr>
  </w:style>
  <w:style w:type="paragraph" w:styleId="6">
    <w:name w:val="Normal Indent"/>
    <w:basedOn w:val="1"/>
    <w:qFormat/>
    <w:uiPriority w:val="0"/>
    <w:pPr>
      <w:spacing w:line="240" w:lineRule="atLeast"/>
      <w:jc w:val="center"/>
    </w:pPr>
    <w:rPr>
      <w:rFonts w:ascii="宋体" w:hAnsi="宋体"/>
      <w:sz w:val="24"/>
    </w:rPr>
  </w:style>
  <w:style w:type="paragraph" w:styleId="7">
    <w:name w:val="Document Map"/>
    <w:basedOn w:val="1"/>
    <w:link w:val="37"/>
    <w:unhideWhenUsed/>
    <w:qFormat/>
    <w:uiPriority w:val="99"/>
    <w:rPr>
      <w:rFonts w:ascii="宋体"/>
      <w:kern w:val="0"/>
      <w:sz w:val="18"/>
      <w:szCs w:val="18"/>
      <w:lang w:val="zh-CN"/>
    </w:rPr>
  </w:style>
  <w:style w:type="paragraph" w:styleId="8">
    <w:name w:val="annotation text"/>
    <w:basedOn w:val="1"/>
    <w:link w:val="30"/>
    <w:unhideWhenUsed/>
    <w:qFormat/>
    <w:uiPriority w:val="0"/>
    <w:pPr>
      <w:jc w:val="left"/>
    </w:pPr>
    <w:rPr>
      <w:kern w:val="0"/>
      <w:sz w:val="20"/>
      <w:szCs w:val="20"/>
      <w:lang w:val="zh-CN"/>
    </w:rPr>
  </w:style>
  <w:style w:type="paragraph" w:styleId="9">
    <w:name w:val="Body Text"/>
    <w:basedOn w:val="1"/>
    <w:next w:val="1"/>
    <w:semiHidden/>
    <w:unhideWhenUsed/>
    <w:qFormat/>
    <w:uiPriority w:val="99"/>
    <w:pPr>
      <w:shd w:val="clear" w:color="auto" w:fill="FFFFFF"/>
      <w:jc w:val="left"/>
    </w:pPr>
    <w:rPr>
      <w:rFonts w:ascii="仿宋" w:hAnsi="仿宋" w:cs="MingLiU"/>
      <w:sz w:val="28"/>
      <w:szCs w:val="28"/>
    </w:rPr>
  </w:style>
  <w:style w:type="paragraph" w:styleId="10">
    <w:name w:val="Plain Text"/>
    <w:basedOn w:val="1"/>
    <w:link w:val="26"/>
    <w:qFormat/>
    <w:uiPriority w:val="99"/>
    <w:rPr>
      <w:rFonts w:ascii="宋体" w:hAnsi="Courier New"/>
      <w:kern w:val="0"/>
      <w:sz w:val="20"/>
      <w:szCs w:val="20"/>
      <w:lang w:val="zh-CN"/>
    </w:rPr>
  </w:style>
  <w:style w:type="paragraph" w:styleId="11">
    <w:name w:val="Balloon Text"/>
    <w:basedOn w:val="1"/>
    <w:link w:val="25"/>
    <w:unhideWhenUsed/>
    <w:qFormat/>
    <w:uiPriority w:val="99"/>
    <w:rPr>
      <w:kern w:val="0"/>
      <w:sz w:val="18"/>
      <w:szCs w:val="18"/>
      <w:lang w:val="zh-CN"/>
    </w:rPr>
  </w:style>
  <w:style w:type="paragraph" w:styleId="12">
    <w:name w:val="header"/>
    <w:basedOn w:val="1"/>
    <w:link w:val="33"/>
    <w:unhideWhenUsed/>
    <w:qFormat/>
    <w:uiPriority w:val="99"/>
    <w:pPr>
      <w:pBdr>
        <w:bottom w:val="single" w:color="auto" w:sz="6" w:space="1"/>
      </w:pBdr>
      <w:tabs>
        <w:tab w:val="center" w:pos="4153"/>
        <w:tab w:val="right" w:pos="8306"/>
      </w:tabs>
      <w:snapToGrid w:val="0"/>
      <w:jc w:val="center"/>
    </w:pPr>
    <w:rPr>
      <w:kern w:val="0"/>
      <w:sz w:val="18"/>
      <w:szCs w:val="18"/>
      <w:lang w:val="zh-CN"/>
    </w:rPr>
  </w:style>
  <w:style w:type="paragraph" w:styleId="13">
    <w:name w:val="footnote text"/>
    <w:basedOn w:val="1"/>
    <w:link w:val="46"/>
    <w:qFormat/>
    <w:uiPriority w:val="0"/>
    <w:pPr>
      <w:snapToGrid w:val="0"/>
      <w:jc w:val="left"/>
    </w:pPr>
    <w:rPr>
      <w:sz w:val="18"/>
      <w:szCs w:val="20"/>
      <w:lang w:val="zh-CN"/>
    </w:rPr>
  </w:style>
  <w:style w:type="paragraph" w:styleId="14">
    <w:name w:val="annotation subject"/>
    <w:basedOn w:val="8"/>
    <w:next w:val="8"/>
    <w:link w:val="36"/>
    <w:unhideWhenUsed/>
    <w:qFormat/>
    <w:uiPriority w:val="99"/>
    <w:rPr>
      <w:b/>
      <w:bCs/>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qFormat/>
    <w:uiPriority w:val="0"/>
    <w:rPr>
      <w:b/>
      <w:bCs/>
    </w:rPr>
  </w:style>
  <w:style w:type="character" w:styleId="19">
    <w:name w:val="annotation reference"/>
    <w:qFormat/>
    <w:uiPriority w:val="0"/>
    <w:rPr>
      <w:sz w:val="21"/>
    </w:rPr>
  </w:style>
  <w:style w:type="character" w:styleId="20">
    <w:name w:val="footnote reference"/>
    <w:qFormat/>
    <w:uiPriority w:val="0"/>
    <w:rPr>
      <w:rFonts w:hint="eastAsia" w:ascii="宋体" w:hAnsi="宋体" w:eastAsia="宋体"/>
      <w:kern w:val="2"/>
      <w:sz w:val="21"/>
      <w:vertAlign w:val="superscript"/>
      <w:lang w:val="en-US" w:eastAsia="zh-CN"/>
    </w:rPr>
  </w:style>
  <w:style w:type="paragraph" w:customStyle="1" w:styleId="21">
    <w:name w:val="引言二级条标题"/>
    <w:basedOn w:val="22"/>
    <w:next w:val="23"/>
    <w:unhideWhenUsed/>
    <w:qFormat/>
    <w:uiPriority w:val="99"/>
    <w:pPr>
      <w:numPr>
        <w:ilvl w:val="1"/>
        <w:numId w:val="1"/>
      </w:numPr>
      <w:tabs>
        <w:tab w:val="left" w:pos="360"/>
        <w:tab w:val="left" w:pos="1200"/>
      </w:tabs>
      <w:ind w:firstLine="0"/>
    </w:pPr>
    <w:rPr>
      <w:b w:val="0"/>
      <w:szCs w:val="20"/>
    </w:rPr>
  </w:style>
  <w:style w:type="paragraph" w:customStyle="1" w:styleId="22">
    <w:name w:val="引言一级条标题"/>
    <w:basedOn w:val="1"/>
    <w:next w:val="23"/>
    <w:unhideWhenUsed/>
    <w:qFormat/>
    <w:uiPriority w:val="0"/>
    <w:pPr>
      <w:widowControl/>
      <w:numPr>
        <w:ilvl w:val="0"/>
        <w:numId w:val="2"/>
      </w:numPr>
    </w:pPr>
    <w:rPr>
      <w:rFonts w:hint="eastAsia" w:eastAsia="黑体"/>
      <w:b/>
    </w:rPr>
  </w:style>
  <w:style w:type="paragraph" w:customStyle="1" w:styleId="23">
    <w:name w:val="段"/>
    <w:qFormat/>
    <w:uiPriority w:val="0"/>
    <w:pPr>
      <w:autoSpaceDE w:val="0"/>
      <w:autoSpaceDN w:val="0"/>
      <w:ind w:firstLine="200"/>
      <w:jc w:val="both"/>
    </w:pPr>
    <w:rPr>
      <w:rFonts w:ascii="宋体" w:hAnsi="Calibri" w:eastAsia="宋体" w:cs="Times New Roman"/>
      <w:sz w:val="21"/>
      <w:szCs w:val="22"/>
      <w:lang w:val="en-US" w:eastAsia="zh-CN" w:bidi="ar-SA"/>
    </w:rPr>
  </w:style>
  <w:style w:type="character" w:customStyle="1" w:styleId="24">
    <w:name w:val="标题 2 Char"/>
    <w:link w:val="4"/>
    <w:qFormat/>
    <w:uiPriority w:val="0"/>
    <w:rPr>
      <w:rFonts w:ascii="Arial" w:hAnsi="Arial" w:eastAsia="黑体" w:cs="Times New Roman"/>
      <w:szCs w:val="20"/>
    </w:rPr>
  </w:style>
  <w:style w:type="character" w:customStyle="1" w:styleId="25">
    <w:name w:val="批注框文本 Char"/>
    <w:link w:val="11"/>
    <w:qFormat/>
    <w:uiPriority w:val="99"/>
    <w:rPr>
      <w:rFonts w:ascii="Calibri" w:hAnsi="Calibri" w:eastAsia="宋体" w:cs="Times New Roman"/>
      <w:sz w:val="18"/>
      <w:szCs w:val="18"/>
    </w:rPr>
  </w:style>
  <w:style w:type="character" w:customStyle="1" w:styleId="26">
    <w:name w:val="纯文本 Char"/>
    <w:link w:val="10"/>
    <w:qFormat/>
    <w:uiPriority w:val="99"/>
    <w:rPr>
      <w:rFonts w:ascii="宋体" w:hAnsi="Courier New"/>
    </w:rPr>
  </w:style>
  <w:style w:type="character" w:customStyle="1" w:styleId="27">
    <w:name w:val="页脚 Char"/>
    <w:link w:val="2"/>
    <w:qFormat/>
    <w:uiPriority w:val="99"/>
    <w:rPr>
      <w:rFonts w:ascii="Calibri" w:hAnsi="Calibri" w:eastAsia="宋体" w:cs="Times New Roman"/>
      <w:sz w:val="18"/>
      <w:szCs w:val="18"/>
    </w:rPr>
  </w:style>
  <w:style w:type="character" w:customStyle="1" w:styleId="28">
    <w:name w:val="样式3 Char Char"/>
    <w:link w:val="29"/>
    <w:qFormat/>
    <w:uiPriority w:val="0"/>
    <w:rPr>
      <w:rFonts w:ascii="EU-F1" w:eastAsia="黑体"/>
    </w:rPr>
  </w:style>
  <w:style w:type="paragraph" w:customStyle="1" w:styleId="29">
    <w:name w:val="样式3"/>
    <w:basedOn w:val="1"/>
    <w:link w:val="28"/>
    <w:qFormat/>
    <w:uiPriority w:val="0"/>
    <w:pPr>
      <w:keepNext/>
      <w:keepLines/>
      <w:topLinePunct/>
      <w:spacing w:line="312" w:lineRule="exact"/>
    </w:pPr>
    <w:rPr>
      <w:rFonts w:ascii="EU-F1" w:eastAsia="黑体"/>
      <w:kern w:val="0"/>
      <w:sz w:val="20"/>
      <w:szCs w:val="20"/>
      <w:lang w:val="zh-CN"/>
    </w:rPr>
  </w:style>
  <w:style w:type="character" w:customStyle="1" w:styleId="30">
    <w:name w:val="批注文字 Char"/>
    <w:link w:val="8"/>
    <w:qFormat/>
    <w:uiPriority w:val="0"/>
    <w:rPr>
      <w:rFonts w:ascii="Calibri" w:hAnsi="Calibri" w:eastAsia="宋体" w:cs="Times New Roman"/>
    </w:rPr>
  </w:style>
  <w:style w:type="character" w:customStyle="1" w:styleId="31">
    <w:name w:val="标题 1 Char"/>
    <w:link w:val="3"/>
    <w:qFormat/>
    <w:uiPriority w:val="0"/>
    <w:rPr>
      <w:rFonts w:ascii="Calibri" w:hAnsi="Calibri" w:eastAsia="黑体" w:cs="Times New Roman"/>
      <w:kern w:val="44"/>
      <w:sz w:val="32"/>
      <w:szCs w:val="20"/>
    </w:rPr>
  </w:style>
  <w:style w:type="character" w:customStyle="1" w:styleId="32">
    <w:name w:val="纯文本 Char1"/>
    <w:semiHidden/>
    <w:qFormat/>
    <w:uiPriority w:val="99"/>
    <w:rPr>
      <w:rFonts w:ascii="宋体" w:hAnsi="Courier New" w:eastAsia="宋体" w:cs="Courier New"/>
      <w:szCs w:val="21"/>
    </w:rPr>
  </w:style>
  <w:style w:type="character" w:customStyle="1" w:styleId="33">
    <w:name w:val="页眉 Char"/>
    <w:link w:val="12"/>
    <w:qFormat/>
    <w:uiPriority w:val="99"/>
    <w:rPr>
      <w:rFonts w:ascii="Calibri" w:hAnsi="Calibri" w:eastAsia="宋体" w:cs="Times New Roman"/>
      <w:sz w:val="18"/>
      <w:szCs w:val="18"/>
    </w:rPr>
  </w:style>
  <w:style w:type="character" w:customStyle="1" w:styleId="34">
    <w:name w:val="标题 3 Char"/>
    <w:link w:val="5"/>
    <w:qFormat/>
    <w:uiPriority w:val="0"/>
    <w:rPr>
      <w:rFonts w:ascii="Calibri" w:hAnsi="Calibri" w:eastAsia="宋体" w:cs="Times New Roman"/>
      <w:b/>
      <w:bCs/>
      <w:sz w:val="32"/>
      <w:szCs w:val="32"/>
    </w:rPr>
  </w:style>
  <w:style w:type="character" w:customStyle="1" w:styleId="35">
    <w:name w:val="Char Char16"/>
    <w:qFormat/>
    <w:uiPriority w:val="0"/>
    <w:rPr>
      <w:b/>
      <w:kern w:val="2"/>
      <w:sz w:val="32"/>
    </w:rPr>
  </w:style>
  <w:style w:type="character" w:customStyle="1" w:styleId="36">
    <w:name w:val="批注主题 Char"/>
    <w:link w:val="14"/>
    <w:qFormat/>
    <w:uiPriority w:val="99"/>
    <w:rPr>
      <w:rFonts w:ascii="Calibri" w:hAnsi="Calibri" w:eastAsia="宋体" w:cs="Times New Roman"/>
      <w:b/>
      <w:bCs/>
    </w:rPr>
  </w:style>
  <w:style w:type="character" w:customStyle="1" w:styleId="37">
    <w:name w:val="文档结构图 Char"/>
    <w:link w:val="7"/>
    <w:semiHidden/>
    <w:qFormat/>
    <w:uiPriority w:val="99"/>
    <w:rPr>
      <w:rFonts w:ascii="宋体" w:hAnsi="Calibri" w:eastAsia="宋体" w:cs="Times New Roman"/>
      <w:sz w:val="18"/>
      <w:szCs w:val="18"/>
    </w:rPr>
  </w:style>
  <w:style w:type="paragraph" w:customStyle="1" w:styleId="38">
    <w:name w:val="修订1"/>
    <w:semiHidden/>
    <w:qFormat/>
    <w:uiPriority w:val="99"/>
    <w:rPr>
      <w:rFonts w:ascii="Calibri" w:hAnsi="Calibri" w:eastAsia="宋体" w:cs="Times New Roman"/>
      <w:kern w:val="2"/>
      <w:sz w:val="21"/>
      <w:szCs w:val="22"/>
      <w:lang w:val="en-US" w:eastAsia="zh-CN" w:bidi="ar-SA"/>
    </w:rPr>
  </w:style>
  <w:style w:type="paragraph" w:customStyle="1" w:styleId="39">
    <w:name w:val="列表段落1"/>
    <w:basedOn w:val="1"/>
    <w:qFormat/>
    <w:uiPriority w:val="34"/>
    <w:pPr>
      <w:ind w:firstLine="420" w:firstLineChars="200"/>
    </w:pPr>
  </w:style>
  <w:style w:type="paragraph" w:customStyle="1" w:styleId="40">
    <w:name w:val="p0"/>
    <w:basedOn w:val="1"/>
    <w:qFormat/>
    <w:uiPriority w:val="0"/>
    <w:pPr>
      <w:widowControl/>
    </w:pPr>
    <w:rPr>
      <w:rFonts w:ascii="Times New Roman" w:hAnsi="Times New Roman"/>
      <w:kern w:val="0"/>
      <w:szCs w:val="21"/>
    </w:rPr>
  </w:style>
  <w:style w:type="paragraph" w:customStyle="1" w:styleId="41">
    <w:name w:val="样式 标题 2 + 首行缩进:  1.13 厘米"/>
    <w:basedOn w:val="1"/>
    <w:qFormat/>
    <w:uiPriority w:val="0"/>
    <w:pPr>
      <w:keepNext/>
      <w:keepLines/>
      <w:spacing w:line="408" w:lineRule="auto"/>
      <w:ind w:firstLine="641"/>
      <w:outlineLvl w:val="1"/>
    </w:pPr>
    <w:rPr>
      <w:rFonts w:ascii="Cambria" w:hAnsi="Cambria"/>
      <w:b/>
      <w:kern w:val="0"/>
      <w:sz w:val="32"/>
    </w:rPr>
  </w:style>
  <w:style w:type="paragraph" w:customStyle="1" w:styleId="42">
    <w:name w:val="修订2"/>
    <w:semiHidden/>
    <w:qFormat/>
    <w:uiPriority w:val="99"/>
    <w:rPr>
      <w:rFonts w:ascii="Calibri" w:hAnsi="Calibri" w:eastAsia="宋体" w:cs="Times New Roman"/>
      <w:kern w:val="2"/>
      <w:sz w:val="21"/>
      <w:szCs w:val="22"/>
      <w:lang w:val="en-US" w:eastAsia="zh-CN" w:bidi="ar-SA"/>
    </w:rPr>
  </w:style>
  <w:style w:type="paragraph" w:customStyle="1" w:styleId="43">
    <w:name w:val="正文 New New New New New New New New New New New New New New New New New New New New New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44">
    <w:name w:val="列出段落1"/>
    <w:basedOn w:val="1"/>
    <w:qFormat/>
    <w:uiPriority w:val="34"/>
    <w:pPr>
      <w:ind w:firstLine="420" w:firstLineChars="200"/>
    </w:pPr>
  </w:style>
  <w:style w:type="paragraph" w:customStyle="1" w:styleId="45">
    <w:name w:val="正文 New New New New New New New New New"/>
    <w:qFormat/>
    <w:uiPriority w:val="0"/>
    <w:pPr>
      <w:widowControl w:val="0"/>
      <w:jc w:val="both"/>
    </w:pPr>
    <w:rPr>
      <w:rFonts w:hint="eastAsia" w:ascii="Times New Roman" w:hAnsi="Times New Roman" w:eastAsia="宋体" w:cs="Times New Roman"/>
      <w:kern w:val="2"/>
      <w:sz w:val="21"/>
      <w:lang w:val="en-US" w:eastAsia="zh-CN" w:bidi="ar-SA"/>
    </w:rPr>
  </w:style>
  <w:style w:type="character" w:customStyle="1" w:styleId="46">
    <w:name w:val="脚注文本 Char"/>
    <w:link w:val="13"/>
    <w:qFormat/>
    <w:uiPriority w:val="0"/>
    <w:rPr>
      <w:kern w:val="2"/>
      <w:sz w:val="18"/>
    </w:rPr>
  </w:style>
  <w:style w:type="character" w:customStyle="1" w:styleId="47">
    <w:name w:val="脚注文本 字符"/>
    <w:qFormat/>
    <w:uiPriority w:val="0"/>
    <w:rPr>
      <w:kern w:val="2"/>
      <w:sz w:val="18"/>
      <w:szCs w:val="18"/>
    </w:rPr>
  </w:style>
  <w:style w:type="paragraph" w:styleId="48">
    <w:name w:val="List Paragraph"/>
    <w:basedOn w:val="1"/>
    <w:qFormat/>
    <w:uiPriority w:val="0"/>
    <w:pPr>
      <w:ind w:firstLine="420" w:firstLineChars="200"/>
    </w:pPr>
  </w:style>
  <w:style w:type="paragraph" w:customStyle="1" w:styleId="49">
    <w:name w:val="bn"/>
    <w:basedOn w:val="1"/>
    <w:qFormat/>
    <w:uiPriority w:val="0"/>
    <w:pPr>
      <w:snapToGrid w:val="0"/>
      <w:ind w:left="25" w:leftChars="25" w:right="25" w:rightChars="25"/>
      <w:jc w:val="center"/>
    </w:pPr>
    <w:rPr>
      <w:color w:val="000000"/>
      <w:kern w:val="18"/>
      <w:sz w:val="18"/>
    </w:rPr>
  </w:style>
  <w:style w:type="paragraph" w:customStyle="1" w:styleId="50">
    <w:name w:val="Table Paragraph"/>
    <w:basedOn w:val="1"/>
    <w:qFormat/>
    <w:uiPriority w:val="1"/>
    <w:rPr>
      <w:rFonts w:ascii="宋体" w:hAnsi="宋体" w:cs="宋体"/>
      <w:lang w:val="zh-CN" w:bidi="zh-CN"/>
    </w:rPr>
  </w:style>
  <w:style w:type="character" w:customStyle="1" w:styleId="51">
    <w:name w:val="15"/>
    <w:basedOn w:val="17"/>
    <w:qFormat/>
    <w:uiPriority w:val="0"/>
    <w:rPr>
      <w:rFonts w:hint="eastAsia" w:ascii="方正仿宋_GBK" w:hAnsi="方正仿宋_GBK" w:eastAsia="方正仿宋_GBK" w:cs="方正仿宋_GBK"/>
      <w:color w:val="FF0000"/>
      <w:sz w:val="22"/>
      <w:szCs w:val="22"/>
    </w:rPr>
  </w:style>
  <w:style w:type="character" w:customStyle="1" w:styleId="52">
    <w:name w:val="16"/>
    <w:basedOn w:val="17"/>
    <w:qFormat/>
    <w:uiPriority w:val="0"/>
    <w:rPr>
      <w:rFonts w:hint="eastAsia" w:ascii="方正仿宋_GBK" w:hAnsi="方正仿宋_GBK" w:eastAsia="方正仿宋_GBK" w:cs="方正仿宋_GBK"/>
      <w:color w:val="000000"/>
      <w:sz w:val="22"/>
      <w:szCs w:val="22"/>
    </w:rPr>
  </w:style>
  <w:style w:type="character" w:customStyle="1" w:styleId="53">
    <w:name w:val="NormalCharacter"/>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control" Target="activeX/activeX2.xml"/><Relationship Id="rId7" Type="http://schemas.openxmlformats.org/officeDocument/2006/relationships/image" Target="media/image1.wmf"/><Relationship Id="rId6" Type="http://schemas.openxmlformats.org/officeDocument/2006/relationships/control" Target="activeX/activeX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wmf"/><Relationship Id="rId10" Type="http://schemas.openxmlformats.org/officeDocument/2006/relationships/control" Target="activeX/activeX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activeX/_rels/activeX1.xml.rels><?xml version="1.0" encoding="UTF-8" standalone="yes"?>
<Relationships xmlns="http://schemas.openxmlformats.org/package/2006/relationships"><Relationship Id="rId1" Type="http://schemas.microsoft.com/office/2006/relationships/activeXControlBinary" Target="activeX3.bin"/></Relationships>
</file>

<file path=word/activeX/_rels/activeX2.xml.rels><?xml version="1.0" encoding="UTF-8" standalone="yes"?>
<Relationships xmlns="http://schemas.openxmlformats.org/package/2006/relationships"><Relationship Id="rId1" Type="http://schemas.microsoft.com/office/2006/relationships/activeXControlBinary" Target="activeX1.bin"/></Relationships>
</file>

<file path=word/activeX/_rels/activeX3.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8BD21D40-EC42-11CE-9E0D-00AA006002F3}" r:id="rId1" ax:persistence="persistStorage"/>
</file>

<file path=word/activeX/activeX2.xml><?xml version="1.0" encoding="utf-8"?>
<ax:ocx xmlns:ax="http://schemas.microsoft.com/office/2006/activeX" xmlns:r="http://schemas.openxmlformats.org/officeDocument/2006/relationships" ax:classid="{8BD21D40-EC42-11CE-9E0D-00AA006002F3}" r:id="rId1" ax:persistence="persistStorage"/>
</file>

<file path=word/activeX/activeX3.xml><?xml version="1.0" encoding="utf-8"?>
<ax:ocx xmlns:ax="http://schemas.microsoft.com/office/2006/activeX" xmlns:r="http://schemas.openxmlformats.org/officeDocument/2006/relationships" ax:classid="{8BD21D40-EC42-11CE-9E0D-00AA006002F3}" r:id="rId1" ax:persistence="persistStorag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59</Pages>
  <Words>15417</Words>
  <Characters>15870</Characters>
  <Lines>63</Lines>
  <Paragraphs>159</Paragraphs>
  <TotalTime>15</TotalTime>
  <ScaleCrop>false</ScaleCrop>
  <LinksUpToDate>false</LinksUpToDate>
  <CharactersWithSpaces>16569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2025-12-09T16:29:00Z</dcterms:created>
  <dc:creator>sgcc</dc:creator>
  <cp:lastModifiedBy>陈卫</cp:lastModifiedBy>
  <cp:lastPrinted>2019-07-03T06:21:00Z</cp:lastPrinted>
  <dcterms:modified xsi:type="dcterms:W3CDTF">2026-08-18T01:17:39Z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SaveFontToCloudKey">
    <vt:lpwstr>1130832050_embed</vt:lpwstr>
  </property>
  <property fmtid="{D5CDD505-2E9C-101B-9397-08002B2CF9AE}" pid="4" name="ICV">
    <vt:lpwstr>0F1E3D08E7008F8543BBD0685D28B55B_43</vt:lpwstr>
  </property>
  <property fmtid="{D5CDD505-2E9C-101B-9397-08002B2CF9AE}" pid="5" name="KSOTemplateDocerSaveRecord">
    <vt:lpwstr>eyJoZGlkIjoiMzExMmRlNTQwNTZkY2FjY2JmMDA4MDIyOTBjZmVjNDEiLCJ1c2VySWQiOiIyNjQ4NTM5NTgifQ==</vt:lpwstr>
  </property>
</Properties>
</file>