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5F8BB83">
      <w:pPr>
        <w:snapToGrid w:val="0"/>
        <w:ind w:left="-283" w:leftChars="-135" w:right="-510" w:rightChars="-243"/>
        <w:jc w:val="center"/>
        <w:rPr>
          <w:rStyle w:val="37"/>
          <w:rFonts w:ascii="黑体" w:eastAsia="黑体"/>
          <w:b/>
          <w:color w:val="auto"/>
          <w:sz w:val="28"/>
          <w:szCs w:val="28"/>
          <w:highlight w:val="none"/>
        </w:rPr>
      </w:pPr>
      <w:r>
        <w:rPr>
          <w:rStyle w:val="37"/>
          <w:rFonts w:ascii="黑体" w:eastAsia="黑体"/>
          <w:b/>
          <w:color w:val="auto"/>
          <w:sz w:val="28"/>
          <w:szCs w:val="28"/>
          <w:highlight w:val="none"/>
        </w:rPr>
        <w:t>合同条款差异对比表</w:t>
      </w:r>
    </w:p>
    <w:p w14:paraId="1E14620C">
      <w:pPr>
        <w:snapToGrid w:val="0"/>
        <w:ind w:left="-283" w:leftChars="-135" w:right="-510" w:rightChars="-243"/>
        <w:jc w:val="center"/>
        <w:rPr>
          <w:rStyle w:val="37"/>
          <w:rFonts w:ascii="宋体" w:hAnsi="宋体"/>
          <w:b/>
          <w:color w:val="auto"/>
          <w:sz w:val="20"/>
          <w:highlight w:val="none"/>
        </w:rPr>
      </w:pPr>
      <w:r>
        <w:rPr>
          <w:rStyle w:val="37"/>
          <w:rFonts w:ascii="宋体" w:hAnsi="宋体"/>
          <w:b/>
          <w:color w:val="auto"/>
          <w:sz w:val="20"/>
          <w:highlight w:val="none"/>
        </w:rPr>
        <w:t>针对合同范本：《</w:t>
      </w:r>
      <w:r>
        <w:rPr>
          <w:rStyle w:val="37"/>
          <w:rFonts w:hint="eastAsia" w:ascii="宋体" w:hAnsi="宋体"/>
          <w:b/>
          <w:color w:val="auto"/>
          <w:sz w:val="20"/>
          <w:highlight w:val="none"/>
        </w:rPr>
        <w:t>SGTYHT/2</w:t>
      </w:r>
      <w:r>
        <w:rPr>
          <w:rStyle w:val="37"/>
          <w:rFonts w:hint="eastAsia" w:ascii="宋体" w:hAnsi="宋体"/>
          <w:b/>
          <w:color w:val="auto"/>
          <w:sz w:val="20"/>
          <w:highlight w:val="none"/>
          <w:lang w:val="en-US" w:eastAsia="zh-CN"/>
        </w:rPr>
        <w:t>5</w:t>
      </w:r>
      <w:r>
        <w:rPr>
          <w:rStyle w:val="37"/>
          <w:rFonts w:hint="eastAsia" w:ascii="宋体" w:hAnsi="宋体"/>
          <w:b/>
          <w:color w:val="auto"/>
          <w:sz w:val="20"/>
          <w:highlight w:val="none"/>
        </w:rPr>
        <w:t>-GC-007  输变电工程施工合同</w:t>
      </w:r>
      <w:r>
        <w:rPr>
          <w:rStyle w:val="37"/>
          <w:rFonts w:ascii="宋体" w:hAnsi="宋体"/>
          <w:b/>
          <w:color w:val="auto"/>
          <w:sz w:val="20"/>
          <w:highlight w:val="none"/>
        </w:rPr>
        <w:t>》</w:t>
      </w:r>
    </w:p>
    <w:p w14:paraId="0E2540A3">
      <w:pPr>
        <w:pStyle w:val="53"/>
        <w:adjustRightInd w:val="0"/>
        <w:snapToGrid w:val="0"/>
        <w:rPr>
          <w:color w:val="auto"/>
          <w:sz w:val="20"/>
          <w:szCs w:val="18"/>
          <w:highlight w:val="none"/>
        </w:rPr>
      </w:pPr>
    </w:p>
    <w:p w14:paraId="467DE3B6">
      <w:pPr>
        <w:adjustRightInd w:val="0"/>
        <w:snapToGrid w:val="0"/>
        <w:rPr>
          <w:rFonts w:hint="default" w:eastAsia="宋体"/>
          <w:color w:val="auto"/>
          <w:highlight w:val="none"/>
          <w:lang w:val="en-US" w:eastAsia="zh-CN"/>
        </w:rPr>
      </w:pPr>
      <w:r>
        <w:rPr>
          <w:rFonts w:hint="eastAsia"/>
          <w:color w:val="auto"/>
          <w:sz w:val="20"/>
          <w:szCs w:val="18"/>
          <w:highlight w:val="none"/>
        </w:rPr>
        <w:t>分标名称：变电站土建</w:t>
      </w:r>
      <w:r>
        <w:rPr>
          <w:rFonts w:hint="eastAsia"/>
          <w:color w:val="auto"/>
          <w:sz w:val="20"/>
          <w:szCs w:val="18"/>
          <w:highlight w:val="none"/>
          <w:lang w:val="en-US" w:eastAsia="zh-CN"/>
        </w:rPr>
        <w:t>及</w:t>
      </w:r>
      <w:r>
        <w:rPr>
          <w:rFonts w:hint="eastAsia"/>
          <w:color w:val="auto"/>
          <w:sz w:val="20"/>
          <w:szCs w:val="18"/>
          <w:highlight w:val="none"/>
        </w:rPr>
        <w:t>电气安装施工</w:t>
      </w:r>
    </w:p>
    <w:tbl>
      <w:tblPr>
        <w:tblStyle w:val="14"/>
        <w:tblW w:w="10528" w:type="dxa"/>
        <w:jc w:val="center"/>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Layout w:type="fixed"/>
        <w:tblCellMar>
          <w:top w:w="0" w:type="dxa"/>
          <w:left w:w="0" w:type="dxa"/>
          <w:bottom w:w="0" w:type="dxa"/>
          <w:right w:w="0" w:type="dxa"/>
        </w:tblCellMar>
      </w:tblPr>
      <w:tblGrid>
        <w:gridCol w:w="748"/>
        <w:gridCol w:w="992"/>
        <w:gridCol w:w="4052"/>
        <w:gridCol w:w="4275"/>
        <w:gridCol w:w="461"/>
      </w:tblGrid>
      <w:tr w14:paraId="6AE8BBB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528" w:hRule="atLeast"/>
          <w:jc w:val="center"/>
        </w:trPr>
        <w:tc>
          <w:tcPr>
            <w:tcW w:w="748" w:type="dxa"/>
            <w:tcBorders>
              <w:top w:val="double" w:color="000000" w:sz="4" w:space="0"/>
              <w:left w:val="nil"/>
              <w:bottom w:val="single" w:color="000000" w:sz="4" w:space="0"/>
              <w:right w:val="single" w:color="000000" w:sz="4" w:space="0"/>
            </w:tcBorders>
            <w:vAlign w:val="center"/>
          </w:tcPr>
          <w:p w14:paraId="090E8848">
            <w:pPr>
              <w:snapToGrid w:val="0"/>
              <w:spacing w:line="240" w:lineRule="atLeas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序号</w:t>
            </w:r>
          </w:p>
        </w:tc>
        <w:tc>
          <w:tcPr>
            <w:tcW w:w="992" w:type="dxa"/>
            <w:tcBorders>
              <w:top w:val="double" w:color="000000" w:sz="4" w:space="0"/>
              <w:left w:val="single" w:color="000000" w:sz="4" w:space="0"/>
              <w:bottom w:val="single" w:color="000000" w:sz="4" w:space="0"/>
              <w:right w:val="single" w:color="000000" w:sz="4" w:space="0"/>
            </w:tcBorders>
            <w:vAlign w:val="center"/>
          </w:tcPr>
          <w:p w14:paraId="67FA4F69">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条款号</w:t>
            </w:r>
          </w:p>
        </w:tc>
        <w:tc>
          <w:tcPr>
            <w:tcW w:w="4052" w:type="dxa"/>
            <w:tcBorders>
              <w:top w:val="double" w:color="000000" w:sz="4" w:space="0"/>
              <w:left w:val="single" w:color="000000" w:sz="4" w:space="0"/>
              <w:bottom w:val="single" w:color="000000" w:sz="4" w:space="0"/>
              <w:right w:val="single" w:color="000000" w:sz="4" w:space="0"/>
            </w:tcBorders>
            <w:vAlign w:val="center"/>
          </w:tcPr>
          <w:p w14:paraId="558B1C06">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统一合同文本表述</w:t>
            </w:r>
          </w:p>
        </w:tc>
        <w:tc>
          <w:tcPr>
            <w:tcW w:w="4275" w:type="dxa"/>
            <w:tcBorders>
              <w:top w:val="double" w:color="000000" w:sz="4" w:space="0"/>
              <w:left w:val="single" w:color="000000" w:sz="4" w:space="0"/>
              <w:bottom w:val="single" w:color="000000" w:sz="4" w:space="0"/>
              <w:right w:val="single" w:color="000000" w:sz="4" w:space="0"/>
            </w:tcBorders>
            <w:vAlign w:val="center"/>
          </w:tcPr>
          <w:p w14:paraId="176D9A68">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修改后表述</w:t>
            </w:r>
          </w:p>
        </w:tc>
        <w:tc>
          <w:tcPr>
            <w:tcW w:w="461" w:type="dxa"/>
            <w:tcBorders>
              <w:top w:val="double" w:color="000000" w:sz="4" w:space="0"/>
              <w:left w:val="single" w:color="000000" w:sz="4" w:space="0"/>
              <w:bottom w:val="single" w:color="000000" w:sz="4" w:space="0"/>
              <w:right w:val="nil"/>
            </w:tcBorders>
            <w:vAlign w:val="center"/>
          </w:tcPr>
          <w:p w14:paraId="3A03ABC6">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备注</w:t>
            </w:r>
          </w:p>
        </w:tc>
      </w:tr>
      <w:tr w14:paraId="1A99BB0C">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00" w:hRule="atLeast"/>
          <w:jc w:val="center"/>
        </w:trPr>
        <w:tc>
          <w:tcPr>
            <w:tcW w:w="748" w:type="dxa"/>
            <w:tcBorders>
              <w:top w:val="single" w:color="000000" w:sz="4" w:space="0"/>
              <w:left w:val="nil"/>
              <w:bottom w:val="single" w:color="000000" w:sz="4" w:space="0"/>
              <w:right w:val="single" w:color="000000" w:sz="4" w:space="0"/>
            </w:tcBorders>
            <w:vAlign w:val="center"/>
          </w:tcPr>
          <w:p w14:paraId="77D32EFD">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439BDC7">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合同协议书</w:t>
            </w:r>
          </w:p>
          <w:p w14:paraId="59FF2357">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二、工程承包范围</w:t>
            </w:r>
          </w:p>
        </w:tc>
        <w:tc>
          <w:tcPr>
            <w:tcW w:w="4052" w:type="dxa"/>
            <w:tcBorders>
              <w:top w:val="single" w:color="000000" w:sz="4" w:space="0"/>
              <w:left w:val="single" w:color="000000" w:sz="4" w:space="0"/>
              <w:bottom w:val="single" w:color="000000" w:sz="4" w:space="0"/>
              <w:right w:val="single" w:color="000000" w:sz="4" w:space="0"/>
            </w:tcBorders>
            <w:vAlign w:val="center"/>
          </w:tcPr>
          <w:p w14:paraId="0BF787C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本期施工图设计范围内所有工作量，包括但不限于：</w:t>
            </w:r>
          </w:p>
          <w:p w14:paraId="7A812366">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土建工程：主要生产建筑、建筑设备、配电装置（设备构支架及基础）、站区性建筑、消防系统、特殊构筑物、地基处理等。围墙及大门、站外道路、护坡、场区平整(含外购土方)、水井、站外排水、站外电源等前期工程。</w:t>
            </w:r>
          </w:p>
          <w:p w14:paraId="480B066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电气安装及调试：主变压器系统、配电装置、无功补偿装置、控制及直流系统、所区照明、站用电系统、电缆及接地、通信（含光通信）及远动系统的安装和调试，分系统调试、整套调试、特殊项目调试。含光通信设备工程、安全稳定控制装置、对端间隔扩建、拆除工程。</w:t>
            </w:r>
          </w:p>
          <w:p w14:paraId="605112E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线路部分包括全部本体基础、铁塔、架线工序、OPGW光纤缆路架线及接续、线路拆除的施工及相关工作。</w:t>
            </w:r>
          </w:p>
        </w:tc>
        <w:tc>
          <w:tcPr>
            <w:tcW w:w="4275" w:type="dxa"/>
            <w:tcBorders>
              <w:top w:val="single" w:color="000000" w:sz="4" w:space="0"/>
              <w:left w:val="single" w:color="000000" w:sz="4" w:space="0"/>
              <w:bottom w:val="single" w:color="000000" w:sz="4" w:space="0"/>
              <w:right w:val="single" w:color="000000" w:sz="4" w:space="0"/>
            </w:tcBorders>
            <w:vAlign w:val="center"/>
          </w:tcPr>
          <w:p w14:paraId="40E346E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sz w:val="18"/>
                <w:szCs w:val="18"/>
                <w:highlight w:val="none"/>
              </w:rPr>
              <w:t>修改为：</w:t>
            </w:r>
          </w:p>
          <w:p w14:paraId="285FB4C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lang w:eastAsia="zh-CN"/>
              </w:rPr>
            </w:pPr>
            <w:r>
              <w:rPr>
                <w:rStyle w:val="37"/>
                <w:rFonts w:hint="eastAsia" w:asciiTheme="majorEastAsia" w:hAnsiTheme="majorEastAsia" w:eastAsiaTheme="majorEastAsia" w:cstheme="majorEastAsia"/>
                <w:color w:val="auto"/>
                <w:sz w:val="18"/>
                <w:szCs w:val="18"/>
                <w:highlight w:val="none"/>
              </w:rPr>
              <w:t>见技术规范书、工程量清单。承包范围以技术规范书约定的工作内容为准，工程量清单仅作为计量计价依据；二者约定不一致的，以技术规范书为准。技术规范书未明确但属于工程实现必需的附属工作，视为包含在承包范围内</w:t>
            </w:r>
            <w:r>
              <w:rPr>
                <w:rStyle w:val="37"/>
                <w:rFonts w:hint="eastAsia" w:asciiTheme="majorEastAsia" w:hAnsiTheme="majorEastAsia" w:eastAsiaTheme="majorEastAsia" w:cstheme="majorEastAsia"/>
                <w:color w:val="auto"/>
                <w:sz w:val="18"/>
                <w:szCs w:val="18"/>
                <w:highlight w:val="none"/>
                <w:lang w:eastAsia="zh-CN"/>
              </w:rPr>
              <w:t>。</w:t>
            </w:r>
            <w:bookmarkStart w:id="3" w:name="_GoBack"/>
            <w:bookmarkEnd w:id="3"/>
          </w:p>
        </w:tc>
        <w:tc>
          <w:tcPr>
            <w:tcW w:w="461" w:type="dxa"/>
            <w:tcBorders>
              <w:top w:val="single" w:color="000000" w:sz="4" w:space="0"/>
              <w:left w:val="single" w:color="000000" w:sz="4" w:space="0"/>
              <w:bottom w:val="single" w:color="000000" w:sz="4" w:space="0"/>
              <w:right w:val="nil"/>
            </w:tcBorders>
            <w:vAlign w:val="center"/>
          </w:tcPr>
          <w:p w14:paraId="56F6B821">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0BF5B078">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00" w:hRule="atLeast"/>
          <w:jc w:val="center"/>
        </w:trPr>
        <w:tc>
          <w:tcPr>
            <w:tcW w:w="748" w:type="dxa"/>
            <w:tcBorders>
              <w:top w:val="single" w:color="000000" w:sz="4" w:space="0"/>
              <w:left w:val="nil"/>
              <w:bottom w:val="single" w:color="000000" w:sz="4" w:space="0"/>
              <w:right w:val="single" w:color="000000" w:sz="4" w:space="0"/>
            </w:tcBorders>
            <w:vAlign w:val="center"/>
          </w:tcPr>
          <w:p w14:paraId="64BDAB49">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6EAAB3D3">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合同协议书</w:t>
            </w:r>
          </w:p>
          <w:p w14:paraId="59150E54">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四、工程建设目标</w:t>
            </w:r>
          </w:p>
        </w:tc>
        <w:tc>
          <w:tcPr>
            <w:tcW w:w="4052" w:type="dxa"/>
            <w:tcBorders>
              <w:top w:val="single" w:color="000000" w:sz="4" w:space="0"/>
              <w:left w:val="single" w:color="000000" w:sz="4" w:space="0"/>
              <w:bottom w:val="single" w:color="000000" w:sz="4" w:space="0"/>
              <w:right w:val="single" w:color="000000" w:sz="4" w:space="0"/>
            </w:tcBorders>
            <w:vAlign w:val="center"/>
          </w:tcPr>
          <w:p w14:paraId="53748A9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1.工程质量要求：</w:t>
            </w:r>
          </w:p>
          <w:p w14:paraId="7B43F39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1.1 质量总体要求</w:t>
            </w:r>
          </w:p>
          <w:p w14:paraId="0A72113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严格执行国家、行业、国家电网有限公司有关工程建设质量管理的法律、法规和规章制度，贯彻实施工程设计技术原则，满足国家和行业施工验收规范的要求。</w:t>
            </w:r>
          </w:p>
          <w:p w14:paraId="1DAAD94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全面应用输变电工程“标准工艺”；工程“零缺陷”投运；实现工程达标投产及优质工程目标；工程使用寿命满足国家电网有限公司质量要求；不发生因工程建设原因造成的六级及以上工程质量事件。</w:t>
            </w:r>
          </w:p>
          <w:p w14:paraId="3F04C40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1.2 专项目标要求</w:t>
            </w:r>
          </w:p>
          <w:p w14:paraId="508A67D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35千伏及以下项目：工程质量总评为优良，分项工程合格率100％，单位工程合格率100％，观感得分率（土建）≥90％。</w:t>
            </w:r>
          </w:p>
          <w:p w14:paraId="2FE47B2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110（66）千伏项目：工程质量总评为优良，分项工程合格率100％，单位工程合格率100％，观感得分率（土建）≥90％。</w:t>
            </w:r>
          </w:p>
          <w:p w14:paraId="4B60304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220千伏及以上项目：工程质量总评为优良，分项工程合格率100％，单位工程合格率100％，观感得分率（土建）≥95％。</w:t>
            </w:r>
          </w:p>
          <w:p w14:paraId="5EC4337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2.安全目标：</w:t>
            </w:r>
          </w:p>
          <w:p w14:paraId="5EEC40E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严格执行国家、行业、国家电网有限公司有关工程建设安全管理的法律、法规和规章制度，确保工程建设安全文明施工，采取积极的安全措施，确保实现以下安全目标：</w:t>
            </w:r>
          </w:p>
          <w:p w14:paraId="354292D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（1）不发生六级及以上人身事件；</w:t>
            </w:r>
          </w:p>
          <w:p w14:paraId="2F3483B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（2）不发生因工程建设引起的六级及以上电网及设备事件；</w:t>
            </w:r>
          </w:p>
          <w:p w14:paraId="3D970DC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（3）不发生六级及以上施工机械设备事件；</w:t>
            </w:r>
          </w:p>
          <w:p w14:paraId="5503277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（4）不发生火灾事故；</w:t>
            </w:r>
          </w:p>
          <w:p w14:paraId="79C3B72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（5）不发生环境污染事件；</w:t>
            </w:r>
          </w:p>
          <w:p w14:paraId="0F4716F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（6）不发生负主要责任的一般交通事故；</w:t>
            </w:r>
          </w:p>
          <w:p w14:paraId="7CA74CA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（7）不发生基建信息安全事件；</w:t>
            </w:r>
          </w:p>
          <w:p w14:paraId="13980B9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（8）不发生对国家电网有限公司系统单位造成影响的安全稳定事件。 </w:t>
            </w:r>
          </w:p>
          <w:p w14:paraId="70D7340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 进度目标：</w:t>
            </w:r>
          </w:p>
          <w:p w14:paraId="4431941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坚持以“工程进度服从安全、质量”为原则，积极采取相应措施，确保工程开、竣工时间和工程阶段性里程碑进度计划按时完成。 </w:t>
            </w:r>
          </w:p>
          <w:p w14:paraId="6337FF1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4.投资控制目标：</w:t>
            </w:r>
          </w:p>
          <w:p w14:paraId="029C260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在满足安全质量的前提下，优化工程技术方案，合理控制工程造价，严格规范建设过程中设计变更、现场签证，严格执行合同，做好工程项目结算工作，实现工程造价与结算管理目标。 </w:t>
            </w:r>
          </w:p>
          <w:p w14:paraId="1E7DEFA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5.环境保护与水土保持目标：</w:t>
            </w:r>
          </w:p>
          <w:p w14:paraId="76D2661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确保工程环保、水保设施建设“三同时”，落实工程环保、水保方案及批复意见，推行绿色施工，建设资源节约型、环境友好型的绿色和谐工程；确保竣工前完成工程拆迁、迹地恢复；确保工程顺利通过环保和水保验收。 </w:t>
            </w:r>
          </w:p>
          <w:p w14:paraId="19E5104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6.基建管理信息系统应用目标：</w:t>
            </w:r>
          </w:p>
          <w:p w14:paraId="41AEA97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完整性、及时性、准确性100%。</w:t>
            </w:r>
          </w:p>
          <w:p w14:paraId="59883A5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7．档案管理目标：</w:t>
            </w:r>
          </w:p>
          <w:p w14:paraId="62ADD44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严格按照国家、行业、国家电网有限公司和项目建设管理单位的有关档案管理规定进行档案管理，将档案管理纳入整个现场管理程序，坚持归档与工程同步进行。确保实现档案归档率100％、资料准确率100％、案卷合格率100％，保证档案资料的齐全、准确、规范、真实、系统、完整；同时保证在合同规定的时间移交竣工档案。</w:t>
            </w:r>
          </w:p>
          <w:p w14:paraId="1F1165D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8. 创优目标[根据项目实际情况需创优质工程项目应明确为应创省级、国家级优质工程。]</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lang w:val="en-US" w:eastAsia="zh-CN"/>
              </w:rPr>
              <w:t>24版</w:t>
            </w:r>
            <w:r>
              <w:rPr>
                <w:rStyle w:val="37"/>
                <w:rFonts w:hint="eastAsia" w:asciiTheme="majorEastAsia" w:hAnsiTheme="majorEastAsia" w:eastAsiaTheme="majorEastAsia" w:cstheme="majorEastAsia"/>
                <w:color w:val="auto"/>
                <w:kern w:val="0"/>
                <w:sz w:val="18"/>
                <w:szCs w:val="18"/>
                <w:highlight w:val="none"/>
                <w:lang w:eastAsia="zh-CN"/>
              </w:rPr>
              <w:t>文中被删去）</w:t>
            </w:r>
            <w:r>
              <w:rPr>
                <w:rStyle w:val="37"/>
                <w:rFonts w:hint="eastAsia" w:asciiTheme="majorEastAsia" w:hAnsiTheme="majorEastAsia" w:eastAsiaTheme="majorEastAsia" w:cstheme="majorEastAsia"/>
                <w:color w:val="auto"/>
                <w:kern w:val="0"/>
                <w:sz w:val="18"/>
                <w:szCs w:val="18"/>
                <w:highlight w:val="none"/>
              </w:rPr>
              <w:t xml:space="preserve">： </w:t>
            </w:r>
          </w:p>
          <w:p w14:paraId="7165EFE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110千伏及以上项目：确保达标投产，确保国家电网有限公司输变电优质工程银奖。 </w:t>
            </w:r>
          </w:p>
          <w:p w14:paraId="2FA4BA4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500千伏及以上项目：确保达标投产，确保国家电网有限公司输变电优质工程金奖。</w:t>
            </w:r>
          </w:p>
          <w:p w14:paraId="6B38E31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9. 其他目标：</w:t>
            </w:r>
          </w:p>
          <w:p w14:paraId="4A3F315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承包人应切实贯彻国家电网有限公司“三通一标”、“两型三新一化”、智能变电站模块化建设及线路全过程机械化施工等相关要求。</w:t>
            </w:r>
          </w:p>
        </w:tc>
        <w:tc>
          <w:tcPr>
            <w:tcW w:w="4275" w:type="dxa"/>
            <w:tcBorders>
              <w:top w:val="single" w:color="000000" w:sz="4" w:space="0"/>
              <w:left w:val="single" w:color="000000" w:sz="4" w:space="0"/>
              <w:bottom w:val="single" w:color="000000" w:sz="4" w:space="0"/>
              <w:right w:val="single" w:color="000000" w:sz="4" w:space="0"/>
            </w:tcBorders>
            <w:vAlign w:val="center"/>
          </w:tcPr>
          <w:p w14:paraId="02C9E91D">
            <w:pPr>
              <w:pStyle w:val="53"/>
              <w:rPr>
                <w:rFonts w:hint="eastAsia" w:asciiTheme="majorEastAsia" w:hAnsiTheme="majorEastAsia" w:eastAsiaTheme="majorEastAsia" w:cstheme="majorEastAsia"/>
                <w:b/>
                <w:bCs/>
                <w:color w:val="auto"/>
                <w:sz w:val="18"/>
                <w:szCs w:val="18"/>
                <w:highlight w:val="none"/>
                <w:lang w:val="zh-CN"/>
              </w:rPr>
            </w:pPr>
            <w:r>
              <w:rPr>
                <w:rFonts w:hint="eastAsia" w:asciiTheme="majorEastAsia" w:hAnsiTheme="majorEastAsia" w:eastAsiaTheme="majorEastAsia" w:cstheme="majorEastAsia"/>
                <w:b/>
                <w:bCs/>
                <w:color w:val="auto"/>
                <w:sz w:val="18"/>
                <w:szCs w:val="18"/>
                <w:highlight w:val="none"/>
                <w:lang w:val="zh-CN"/>
              </w:rPr>
              <w:t>修改</w:t>
            </w:r>
            <w:r>
              <w:rPr>
                <w:rFonts w:hint="eastAsia" w:asciiTheme="majorEastAsia" w:hAnsiTheme="majorEastAsia" w:eastAsiaTheme="majorEastAsia" w:cstheme="majorEastAsia"/>
                <w:b/>
                <w:bCs/>
                <w:color w:val="auto"/>
                <w:sz w:val="18"/>
                <w:szCs w:val="18"/>
                <w:highlight w:val="none"/>
              </w:rPr>
              <w:t>为</w:t>
            </w:r>
            <w:r>
              <w:rPr>
                <w:rFonts w:hint="eastAsia" w:asciiTheme="majorEastAsia" w:hAnsiTheme="majorEastAsia" w:eastAsiaTheme="majorEastAsia" w:cstheme="majorEastAsia"/>
                <w:b/>
                <w:bCs/>
                <w:color w:val="auto"/>
                <w:sz w:val="18"/>
                <w:szCs w:val="18"/>
                <w:highlight w:val="none"/>
                <w:lang w:val="zh-CN"/>
              </w:rPr>
              <w:t>：</w:t>
            </w:r>
          </w:p>
          <w:p w14:paraId="13DF18A0">
            <w:pPr>
              <w:ind w:firstLine="480"/>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见技术规范书</w:t>
            </w:r>
          </w:p>
        </w:tc>
        <w:tc>
          <w:tcPr>
            <w:tcW w:w="461" w:type="dxa"/>
            <w:tcBorders>
              <w:top w:val="single" w:color="000000" w:sz="4" w:space="0"/>
              <w:left w:val="single" w:color="000000" w:sz="4" w:space="0"/>
              <w:bottom w:val="single" w:color="000000" w:sz="4" w:space="0"/>
              <w:right w:val="nil"/>
            </w:tcBorders>
            <w:vAlign w:val="center"/>
          </w:tcPr>
          <w:p w14:paraId="0D7007A3">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02304C6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00" w:hRule="atLeast"/>
          <w:jc w:val="center"/>
        </w:trPr>
        <w:tc>
          <w:tcPr>
            <w:tcW w:w="748" w:type="dxa"/>
            <w:tcBorders>
              <w:top w:val="single" w:color="000000" w:sz="4" w:space="0"/>
              <w:left w:val="nil"/>
              <w:bottom w:val="single" w:color="000000" w:sz="4" w:space="0"/>
              <w:right w:val="single" w:color="000000" w:sz="4" w:space="0"/>
            </w:tcBorders>
            <w:vAlign w:val="center"/>
          </w:tcPr>
          <w:p w14:paraId="4B603284">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4A799D6">
            <w:pPr>
              <w:snapToGrid w:val="0"/>
              <w:spacing w:line="240" w:lineRule="atLeast"/>
              <w:jc w:val="center"/>
              <w:rPr>
                <w:rStyle w:val="37"/>
                <w:rFonts w:hint="eastAsia" w:asciiTheme="minorEastAsia" w:hAnsiTheme="minorEastAsia" w:eastAsiaTheme="minorEastAsia" w:cstheme="minorEastAsia"/>
                <w:color w:val="auto"/>
                <w:kern w:val="0"/>
                <w:sz w:val="18"/>
                <w:szCs w:val="18"/>
                <w:highlight w:val="none"/>
              </w:rPr>
            </w:pPr>
            <w:r>
              <w:rPr>
                <w:rFonts w:hint="eastAsia" w:asciiTheme="minorEastAsia" w:hAnsiTheme="minorEastAsia" w:eastAsiaTheme="minorEastAsia" w:cstheme="minorEastAsia"/>
                <w:kern w:val="0"/>
                <w:sz w:val="18"/>
                <w:szCs w:val="18"/>
              </w:rPr>
              <w:t>合同协议书五、签约合同价与合同价格形式</w:t>
            </w:r>
          </w:p>
        </w:tc>
        <w:tc>
          <w:tcPr>
            <w:tcW w:w="4052" w:type="dxa"/>
            <w:tcBorders>
              <w:top w:val="single" w:color="000000" w:sz="4" w:space="0"/>
              <w:left w:val="single" w:color="000000" w:sz="4" w:space="0"/>
              <w:bottom w:val="single" w:color="000000" w:sz="4" w:space="0"/>
              <w:right w:val="single" w:color="000000" w:sz="4" w:space="0"/>
            </w:tcBorders>
            <w:vAlign w:val="center"/>
          </w:tcPr>
          <w:p w14:paraId="7B8A77B8">
            <w:pPr>
              <w:snapToGrid w:val="0"/>
              <w:spacing w:line="240" w:lineRule="atLeast"/>
              <w:jc w:val="left"/>
              <w:rPr>
                <w:rStyle w:val="37"/>
                <w:rFonts w:hint="eastAsia" w:asciiTheme="minorEastAsia" w:hAnsiTheme="minorEastAsia" w:eastAsiaTheme="minorEastAsia" w:cstheme="minorEastAsia"/>
                <w:color w:val="auto"/>
                <w:kern w:val="0"/>
                <w:sz w:val="18"/>
                <w:szCs w:val="18"/>
                <w:highlight w:val="none"/>
              </w:rPr>
            </w:pPr>
            <w:r>
              <w:rPr>
                <w:rStyle w:val="37"/>
                <w:rFonts w:hint="eastAsia" w:asciiTheme="minorEastAsia" w:hAnsiTheme="minorEastAsia" w:eastAsiaTheme="minorEastAsia" w:cstheme="minorEastAsia"/>
                <w:color w:val="auto"/>
                <w:kern w:val="0"/>
                <w:sz w:val="18"/>
                <w:szCs w:val="18"/>
                <w:highlight w:val="none"/>
              </w:rPr>
              <w:t>2. 合同价格形式：</w:t>
            </w:r>
          </w:p>
          <w:p w14:paraId="104520B2">
            <w:pPr>
              <w:snapToGrid w:val="0"/>
              <w:spacing w:line="240" w:lineRule="atLeast"/>
              <w:ind w:left="897" w:leftChars="170" w:hanging="540" w:hangingChars="300"/>
              <w:jc w:val="left"/>
              <w:rPr>
                <w:rStyle w:val="37"/>
                <w:rFonts w:hint="eastAsia" w:asciiTheme="minorEastAsia" w:hAnsiTheme="minorEastAsia" w:eastAsiaTheme="minorEastAsia" w:cstheme="minorEastAsia"/>
                <w:color w:val="auto"/>
                <w:kern w:val="0"/>
                <w:sz w:val="18"/>
                <w:szCs w:val="18"/>
                <w:highlight w:val="none"/>
              </w:rPr>
            </w:pPr>
            <w:r>
              <w:rPr>
                <w:rStyle w:val="37"/>
                <w:rFonts w:hint="eastAsia" w:asciiTheme="minorEastAsia" w:hAnsiTheme="minorEastAsia" w:eastAsiaTheme="minorEastAsia" w:cstheme="minorEastAsia"/>
                <w:color w:val="auto"/>
                <w:kern w:val="0"/>
                <w:sz w:val="18"/>
                <w:szCs w:val="18"/>
                <w:highlight w:val="none"/>
              </w:rPr>
              <w:t>发包人和承包人同意合同价格形式采用下列第</w:t>
            </w:r>
            <w:permStart w:id="0" w:edGrp="everyone"/>
            <w:permEnd w:id="0"/>
            <w:r>
              <w:rPr>
                <w:rStyle w:val="37"/>
                <w:rFonts w:hint="eastAsia" w:asciiTheme="minorEastAsia" w:hAnsiTheme="minorEastAsia" w:eastAsiaTheme="minorEastAsia" w:cstheme="minorEastAsia"/>
                <w:color w:val="auto"/>
                <w:kern w:val="0"/>
                <w:sz w:val="18"/>
                <w:szCs w:val="18"/>
                <w:highlight w:val="none"/>
              </w:rPr>
              <w:t xml:space="preserve">种形式：           </w:t>
            </w:r>
          </w:p>
          <w:p w14:paraId="4345FE3A">
            <w:pPr>
              <w:snapToGrid w:val="0"/>
              <w:spacing w:line="240" w:lineRule="atLeast"/>
              <w:ind w:firstLine="360" w:firstLineChars="200"/>
              <w:jc w:val="left"/>
              <w:rPr>
                <w:rStyle w:val="37"/>
                <w:rFonts w:hint="eastAsia" w:asciiTheme="minorEastAsia" w:hAnsiTheme="minorEastAsia" w:eastAsiaTheme="minorEastAsia" w:cstheme="minorEastAsia"/>
                <w:color w:val="auto"/>
                <w:kern w:val="0"/>
                <w:sz w:val="18"/>
                <w:szCs w:val="18"/>
                <w:highlight w:val="none"/>
              </w:rPr>
            </w:pPr>
            <w:r>
              <w:rPr>
                <w:rStyle w:val="37"/>
                <w:rFonts w:hint="eastAsia" w:asciiTheme="minorEastAsia" w:hAnsiTheme="minorEastAsia" w:eastAsiaTheme="minorEastAsia" w:cstheme="minorEastAsia"/>
                <w:color w:val="auto"/>
                <w:kern w:val="0"/>
                <w:sz w:val="18"/>
                <w:szCs w:val="18"/>
                <w:highlight w:val="none"/>
              </w:rPr>
              <w:t xml:space="preserve">2.1单价合同                            </w:t>
            </w:r>
          </w:p>
          <w:p w14:paraId="51A8B039">
            <w:pPr>
              <w:snapToGrid w:val="0"/>
              <w:spacing w:line="240" w:lineRule="atLeast"/>
              <w:ind w:firstLine="360" w:firstLineChars="200"/>
              <w:jc w:val="left"/>
              <w:rPr>
                <w:rStyle w:val="37"/>
                <w:rFonts w:hint="eastAsia" w:asciiTheme="minorEastAsia" w:hAnsiTheme="minorEastAsia" w:eastAsiaTheme="minorEastAsia" w:cstheme="minorEastAsia"/>
                <w:color w:val="auto"/>
                <w:kern w:val="0"/>
                <w:sz w:val="18"/>
                <w:szCs w:val="18"/>
                <w:highlight w:val="none"/>
              </w:rPr>
            </w:pPr>
            <w:r>
              <w:rPr>
                <w:rStyle w:val="37"/>
                <w:rFonts w:hint="eastAsia" w:asciiTheme="minorEastAsia" w:hAnsiTheme="minorEastAsia" w:eastAsiaTheme="minorEastAsia" w:cstheme="minorEastAsia"/>
                <w:color w:val="auto"/>
                <w:kern w:val="0"/>
                <w:sz w:val="18"/>
                <w:szCs w:val="18"/>
                <w:highlight w:val="none"/>
              </w:rPr>
              <w:t xml:space="preserve">2.2总价合同                                 </w:t>
            </w:r>
          </w:p>
          <w:p w14:paraId="2199F124">
            <w:pPr>
              <w:snapToGrid w:val="0"/>
              <w:spacing w:line="240" w:lineRule="atLeast"/>
              <w:ind w:firstLine="360" w:firstLineChars="200"/>
              <w:jc w:val="left"/>
              <w:rPr>
                <w:rStyle w:val="37"/>
                <w:rFonts w:hint="eastAsia" w:asciiTheme="minorEastAsia" w:hAnsiTheme="minorEastAsia" w:eastAsiaTheme="minorEastAsia" w:cstheme="minorEastAsia"/>
                <w:color w:val="auto"/>
                <w:kern w:val="0"/>
                <w:sz w:val="18"/>
                <w:szCs w:val="18"/>
                <w:highlight w:val="none"/>
              </w:rPr>
            </w:pPr>
            <w:r>
              <w:rPr>
                <w:rStyle w:val="37"/>
                <w:rFonts w:hint="eastAsia" w:asciiTheme="minorEastAsia" w:hAnsiTheme="minorEastAsia" w:eastAsiaTheme="minorEastAsia" w:cstheme="minorEastAsia"/>
                <w:color w:val="auto"/>
                <w:kern w:val="0"/>
                <w:sz w:val="18"/>
                <w:szCs w:val="18"/>
                <w:highlight w:val="none"/>
              </w:rPr>
              <w:t xml:space="preserve">2.3其他合同价格形式：  </w:t>
            </w:r>
          </w:p>
        </w:tc>
        <w:tc>
          <w:tcPr>
            <w:tcW w:w="4275" w:type="dxa"/>
            <w:tcBorders>
              <w:top w:val="single" w:color="000000" w:sz="4" w:space="0"/>
              <w:left w:val="single" w:color="000000" w:sz="4" w:space="0"/>
              <w:bottom w:val="single" w:color="000000" w:sz="4" w:space="0"/>
              <w:right w:val="single" w:color="000000" w:sz="4" w:space="0"/>
            </w:tcBorders>
            <w:vAlign w:val="center"/>
          </w:tcPr>
          <w:p w14:paraId="0FB7C7AC">
            <w:pPr>
              <w:snapToGrid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2. 合同价格形式：</w:t>
            </w:r>
          </w:p>
          <w:p w14:paraId="77894BAC">
            <w:pPr>
              <w:snapToGrid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发包人和承包人同意合同价格形式采用下列第</w:t>
            </w:r>
            <w:permStart w:id="1" w:edGrp="everyone"/>
            <w:r>
              <w:rPr>
                <w:rFonts w:hint="eastAsia" w:asciiTheme="minorEastAsia" w:hAnsiTheme="minorEastAsia" w:eastAsiaTheme="minorEastAsia" w:cstheme="minorEastAsia"/>
                <w:sz w:val="18"/>
                <w:szCs w:val="18"/>
              </w:rPr>
              <w:t>2.3</w:t>
            </w:r>
            <w:permEnd w:id="1"/>
            <w:r>
              <w:rPr>
                <w:rFonts w:hint="eastAsia" w:asciiTheme="minorEastAsia" w:hAnsiTheme="minorEastAsia" w:eastAsiaTheme="minorEastAsia" w:cstheme="minorEastAsia"/>
                <w:sz w:val="18"/>
                <w:szCs w:val="18"/>
              </w:rPr>
              <w:t xml:space="preserve">种形式：           </w:t>
            </w:r>
          </w:p>
          <w:p w14:paraId="3DC138CA">
            <w:pPr>
              <w:snapToGrid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2.1单价合同                            </w:t>
            </w:r>
          </w:p>
          <w:p w14:paraId="3FD719E0">
            <w:pPr>
              <w:snapToGrid w:val="0"/>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 xml:space="preserve">2.2总价合同                                 </w:t>
            </w:r>
          </w:p>
          <w:p w14:paraId="637C3D2C">
            <w:pPr>
              <w:rPr>
                <w:rStyle w:val="37"/>
                <w:rFonts w:hint="eastAsia" w:asciiTheme="minorEastAsia" w:hAnsiTheme="minorEastAsia" w:eastAsiaTheme="minorEastAsia" w:cstheme="minorEastAsia"/>
                <w:color w:val="auto"/>
                <w:kern w:val="0"/>
                <w:sz w:val="18"/>
                <w:szCs w:val="18"/>
                <w:highlight w:val="none"/>
              </w:rPr>
            </w:pPr>
            <w:r>
              <w:rPr>
                <w:rFonts w:hint="eastAsia" w:asciiTheme="minorEastAsia" w:hAnsiTheme="minorEastAsia" w:eastAsiaTheme="minorEastAsia" w:cstheme="minorEastAsia"/>
                <w:sz w:val="18"/>
                <w:szCs w:val="18"/>
              </w:rPr>
              <w:t>2.3其他合同价格形式：</w:t>
            </w:r>
            <w:permStart w:id="2" w:edGrp="everyone"/>
            <w:r>
              <w:rPr>
                <w:rFonts w:hint="eastAsia" w:asciiTheme="minorEastAsia" w:hAnsiTheme="minorEastAsia" w:eastAsiaTheme="minorEastAsia" w:cstheme="minorEastAsia"/>
                <w:sz w:val="18"/>
                <w:szCs w:val="18"/>
              </w:rPr>
              <w:t xml:space="preserve"> </w:t>
            </w:r>
            <w:r>
              <w:rPr>
                <w:rFonts w:hint="eastAsia" w:asciiTheme="minorEastAsia" w:hAnsiTheme="minorEastAsia" w:eastAsiaTheme="minorEastAsia" w:cstheme="minorEastAsia"/>
                <w:sz w:val="18"/>
                <w:szCs w:val="18"/>
                <w:u w:val="single"/>
              </w:rPr>
              <w:t xml:space="preserve"> 本合同采用单价与总价相结合的计价方式：分部分项工程采用单价合同，按实际完成工程量计量计价；措施项目费、其他项目费中的包干项目采用总价合同，结算时除合同约定调整情形外不予调整。二者约定不一致的，以单价约定为准</w:t>
            </w:r>
            <w:r>
              <w:rPr>
                <w:rFonts w:hint="eastAsia" w:asciiTheme="minorEastAsia" w:hAnsiTheme="minorEastAsia" w:eastAsiaTheme="minorEastAsia" w:cstheme="minorEastAsia"/>
                <w:sz w:val="18"/>
                <w:szCs w:val="18"/>
                <w:u w:val="single"/>
                <w:lang w:eastAsia="zh-CN"/>
              </w:rPr>
              <w:t>。</w:t>
            </w:r>
            <w:r>
              <w:rPr>
                <w:rFonts w:hint="eastAsia" w:asciiTheme="minorEastAsia" w:hAnsiTheme="minorEastAsia" w:eastAsiaTheme="minorEastAsia" w:cstheme="minorEastAsia"/>
                <w:sz w:val="18"/>
                <w:szCs w:val="18"/>
                <w:u w:val="single"/>
              </w:rPr>
              <w:t xml:space="preserve"> </w:t>
            </w:r>
            <w:r>
              <w:rPr>
                <w:rFonts w:hint="eastAsia" w:asciiTheme="minorEastAsia" w:hAnsiTheme="minorEastAsia" w:eastAsiaTheme="minorEastAsia" w:cstheme="minorEastAsia"/>
                <w:sz w:val="18"/>
                <w:szCs w:val="18"/>
              </w:rPr>
              <w:t xml:space="preserve"> </w:t>
            </w:r>
            <w:permEnd w:id="2"/>
            <w:r>
              <w:rPr>
                <w:rFonts w:hint="eastAsia" w:asciiTheme="minorEastAsia" w:hAnsiTheme="minorEastAsia" w:eastAsiaTheme="minorEastAsia" w:cstheme="minorEastAsia"/>
                <w:sz w:val="18"/>
                <w:szCs w:val="18"/>
              </w:rPr>
              <w:t>。</w:t>
            </w:r>
          </w:p>
        </w:tc>
        <w:tc>
          <w:tcPr>
            <w:tcW w:w="461" w:type="dxa"/>
            <w:tcBorders>
              <w:top w:val="single" w:color="000000" w:sz="4" w:space="0"/>
              <w:left w:val="single" w:color="000000" w:sz="4" w:space="0"/>
              <w:bottom w:val="single" w:color="000000" w:sz="4" w:space="0"/>
              <w:right w:val="nil"/>
            </w:tcBorders>
            <w:vAlign w:val="center"/>
          </w:tcPr>
          <w:p w14:paraId="273F7CC3">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3B6F73DB">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00" w:hRule="atLeast"/>
          <w:jc w:val="center"/>
        </w:trPr>
        <w:tc>
          <w:tcPr>
            <w:tcW w:w="748" w:type="dxa"/>
            <w:tcBorders>
              <w:top w:val="single" w:color="000000" w:sz="4" w:space="0"/>
              <w:left w:val="nil"/>
              <w:bottom w:val="single" w:color="000000" w:sz="4" w:space="0"/>
              <w:right w:val="single" w:color="000000" w:sz="4" w:space="0"/>
            </w:tcBorders>
            <w:vAlign w:val="center"/>
          </w:tcPr>
          <w:p w14:paraId="6CA305FF">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7E6A1">
            <w:pPr>
              <w:snapToGrid w:val="0"/>
              <w:spacing w:line="240" w:lineRule="atLeast"/>
              <w:jc w:val="center"/>
              <w:rPr>
                <w:rFonts w:hint="eastAsia" w:ascii="仿宋" w:hAnsi="仿宋" w:eastAsia="仿宋" w:cs="仿宋"/>
                <w:b/>
                <w:color w:val="auto"/>
                <w:sz w:val="18"/>
                <w:szCs w:val="18"/>
                <w:highlight w:val="none"/>
              </w:rPr>
            </w:pPr>
            <w:r>
              <w:rPr>
                <w:rFonts w:hint="eastAsia" w:asciiTheme="majorEastAsia" w:hAnsiTheme="majorEastAsia" w:eastAsiaTheme="majorEastAsia" w:cstheme="majorEastAsia"/>
                <w:b w:val="0"/>
                <w:bCs/>
                <w:color w:val="auto"/>
                <w:sz w:val="18"/>
                <w:szCs w:val="18"/>
                <w:highlight w:val="none"/>
              </w:rPr>
              <w:t>六、工程款支付担保</w:t>
            </w:r>
          </w:p>
          <w:p w14:paraId="765F79E0">
            <w:pPr>
              <w:snapToGrid w:val="0"/>
              <w:spacing w:line="240" w:lineRule="atLeast"/>
              <w:jc w:val="center"/>
              <w:rPr>
                <w:rFonts w:hint="eastAsia" w:ascii="仿宋" w:hAnsi="仿宋" w:eastAsia="仿宋" w:cs="仿宋"/>
                <w:b/>
                <w:color w:val="auto"/>
                <w:kern w:val="2"/>
                <w:sz w:val="18"/>
                <w:szCs w:val="18"/>
                <w:highlight w:val="none"/>
                <w:lang w:val="en-US" w:eastAsia="zh-CN" w:bidi="ar-SA"/>
              </w:rPr>
            </w:pPr>
          </w:p>
        </w:tc>
        <w:tc>
          <w:tcPr>
            <w:tcW w:w="40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D20393">
            <w:pPr>
              <w:keepNext w:val="0"/>
              <w:keepLines w:val="0"/>
              <w:pageBreakBefore w:val="0"/>
              <w:widowControl/>
              <w:kinsoku/>
              <w:wordWrap/>
              <w:overflowPunct/>
              <w:topLinePunct w:val="0"/>
              <w:autoSpaceDE/>
              <w:autoSpaceDN/>
              <w:bidi w:val="0"/>
              <w:adjustRightInd/>
              <w:snapToGrid/>
              <w:spacing w:line="240" w:lineRule="exact"/>
              <w:ind w:firstLine="360" w:firstLineChars="200"/>
              <w:textAlignment w:val="baseline"/>
              <w:rPr>
                <w:rFonts w:hint="eastAsia" w:ascii="宋体" w:hAnsi="宋体" w:eastAsia="宋体" w:cs="宋体"/>
                <w:snapToGrid w:val="0"/>
                <w:color w:val="auto"/>
                <w:kern w:val="0"/>
                <w:sz w:val="18"/>
                <w:szCs w:val="18"/>
                <w:highlight w:val="none"/>
              </w:rPr>
            </w:pPr>
            <w:r>
              <w:rPr>
                <w:rFonts w:hint="eastAsia" w:ascii="宋体" w:hAnsi="宋体" w:eastAsia="宋体" w:cs="宋体"/>
                <w:snapToGrid w:val="0"/>
                <w:color w:val="auto"/>
                <w:kern w:val="0"/>
                <w:sz w:val="18"/>
                <w:szCs w:val="18"/>
                <w:highlight w:val="none"/>
              </w:rPr>
              <w:t>发包人应按下列时间、方式、金额向承包人提供工程款支付担保。</w:t>
            </w:r>
          </w:p>
          <w:p w14:paraId="4F332525">
            <w:pPr>
              <w:keepNext w:val="0"/>
              <w:keepLines w:val="0"/>
              <w:pageBreakBefore w:val="0"/>
              <w:widowControl/>
              <w:kinsoku/>
              <w:wordWrap/>
              <w:overflowPunct/>
              <w:topLinePunct w:val="0"/>
              <w:autoSpaceDE/>
              <w:autoSpaceDN/>
              <w:bidi w:val="0"/>
              <w:adjustRightInd/>
              <w:snapToGrid/>
              <w:spacing w:line="240" w:lineRule="exact"/>
              <w:ind w:firstLine="450" w:firstLineChars="250"/>
              <w:jc w:val="left"/>
              <w:textAlignment w:val="baseline"/>
              <w:rPr>
                <w:rFonts w:hint="eastAsia" w:ascii="宋体" w:hAnsi="宋体" w:eastAsia="宋体" w:cs="宋体"/>
                <w:snapToGrid w:val="0"/>
                <w:color w:val="auto"/>
                <w:kern w:val="0"/>
                <w:sz w:val="18"/>
                <w:szCs w:val="18"/>
                <w:highlight w:val="none"/>
              </w:rPr>
            </w:pPr>
            <w:r>
              <w:rPr>
                <w:rFonts w:hint="eastAsia" w:ascii="宋体" w:hAnsi="宋体" w:eastAsia="宋体" w:cs="宋体"/>
                <w:snapToGrid w:val="0"/>
                <w:color w:val="auto"/>
                <w:kern w:val="0"/>
                <w:sz w:val="18"/>
                <w:szCs w:val="18"/>
                <w:highlight w:val="none"/>
              </w:rPr>
              <w:t>1.时间：</w:t>
            </w:r>
            <w:permStart w:id="3" w:edGrp="everyone"/>
            <w:r>
              <w:rPr>
                <w:rFonts w:hint="eastAsia" w:ascii="宋体" w:hAnsi="宋体" w:eastAsia="宋体" w:cs="宋体"/>
                <w:snapToGrid w:val="0"/>
                <w:color w:val="auto"/>
                <w:kern w:val="0"/>
                <w:sz w:val="18"/>
                <w:szCs w:val="18"/>
                <w:highlight w:val="none"/>
                <w:u w:val="single"/>
              </w:rPr>
              <w:t xml:space="preserve">                   </w:t>
            </w:r>
            <w:permEnd w:id="3"/>
            <w:r>
              <w:rPr>
                <w:rFonts w:hint="eastAsia" w:ascii="宋体" w:hAnsi="宋体" w:eastAsia="宋体" w:cs="宋体"/>
                <w:snapToGrid w:val="0"/>
                <w:color w:val="auto"/>
                <w:kern w:val="0"/>
                <w:sz w:val="18"/>
                <w:szCs w:val="18"/>
                <w:highlight w:val="none"/>
              </w:rPr>
              <w:t>。</w:t>
            </w:r>
          </w:p>
          <w:p w14:paraId="6D94A690">
            <w:pPr>
              <w:keepNext w:val="0"/>
              <w:keepLines w:val="0"/>
              <w:pageBreakBefore w:val="0"/>
              <w:widowControl/>
              <w:kinsoku/>
              <w:wordWrap/>
              <w:overflowPunct/>
              <w:topLinePunct w:val="0"/>
              <w:autoSpaceDE/>
              <w:autoSpaceDN/>
              <w:bidi w:val="0"/>
              <w:adjustRightInd/>
              <w:snapToGrid/>
              <w:spacing w:line="240" w:lineRule="exact"/>
              <w:ind w:firstLine="450" w:firstLineChars="250"/>
              <w:textAlignment w:val="baseline"/>
              <w:rPr>
                <w:rFonts w:hint="eastAsia" w:ascii="宋体" w:hAnsi="宋体" w:eastAsia="宋体" w:cs="宋体"/>
                <w:snapToGrid w:val="0"/>
                <w:color w:val="auto"/>
                <w:kern w:val="0"/>
                <w:sz w:val="18"/>
                <w:szCs w:val="18"/>
                <w:highlight w:val="none"/>
              </w:rPr>
            </w:pPr>
            <w:r>
              <w:rPr>
                <w:rFonts w:hint="eastAsia" w:ascii="宋体" w:hAnsi="宋体" w:eastAsia="宋体" w:cs="宋体"/>
                <w:snapToGrid w:val="0"/>
                <w:color w:val="auto"/>
                <w:kern w:val="0"/>
                <w:sz w:val="18"/>
                <w:szCs w:val="18"/>
                <w:highlight w:val="none"/>
              </w:rPr>
              <w:t>2.方式：</w:t>
            </w:r>
          </w:p>
          <w:p w14:paraId="0197303F">
            <w:pPr>
              <w:keepNext w:val="0"/>
              <w:keepLines w:val="0"/>
              <w:pageBreakBefore w:val="0"/>
              <w:widowControl/>
              <w:kinsoku/>
              <w:wordWrap/>
              <w:overflowPunct/>
              <w:topLinePunct w:val="0"/>
              <w:autoSpaceDE/>
              <w:autoSpaceDN/>
              <w:bidi w:val="0"/>
              <w:adjustRightInd/>
              <w:snapToGrid/>
              <w:spacing w:line="240" w:lineRule="exact"/>
              <w:ind w:firstLine="450" w:firstLineChars="250"/>
              <w:textAlignment w:val="baseline"/>
              <w:rPr>
                <w:rFonts w:hint="eastAsia" w:ascii="宋体" w:hAnsi="宋体" w:eastAsia="宋体" w:cs="宋体"/>
                <w:snapToGrid w:val="0"/>
                <w:color w:val="auto"/>
                <w:kern w:val="0"/>
                <w:sz w:val="18"/>
                <w:szCs w:val="18"/>
                <w:highlight w:val="none"/>
              </w:rPr>
            </w:pPr>
            <w:r>
              <w:rPr>
                <w:rFonts w:hint="eastAsia" w:ascii="宋体" w:hAnsi="宋体" w:eastAsia="宋体" w:cs="宋体"/>
                <w:snapToGrid w:val="0"/>
                <w:color w:val="auto"/>
                <w:kern w:val="0"/>
                <w:sz w:val="18"/>
                <w:szCs w:val="18"/>
                <w:highlight w:val="none"/>
              </w:rPr>
              <w:t>□工程款支付保函</w:t>
            </w:r>
          </w:p>
          <w:p w14:paraId="635D0219">
            <w:pPr>
              <w:keepNext w:val="0"/>
              <w:keepLines w:val="0"/>
              <w:pageBreakBefore w:val="0"/>
              <w:widowControl/>
              <w:kinsoku/>
              <w:wordWrap/>
              <w:overflowPunct/>
              <w:topLinePunct w:val="0"/>
              <w:autoSpaceDE/>
              <w:autoSpaceDN/>
              <w:bidi w:val="0"/>
              <w:adjustRightInd/>
              <w:snapToGrid/>
              <w:spacing w:line="240" w:lineRule="exact"/>
              <w:ind w:firstLine="450" w:firstLineChars="250"/>
              <w:textAlignment w:val="baseline"/>
              <w:rPr>
                <w:rFonts w:hint="eastAsia" w:ascii="宋体" w:hAnsi="宋体" w:eastAsia="宋体" w:cs="宋体"/>
                <w:snapToGrid w:val="0"/>
                <w:color w:val="auto"/>
                <w:kern w:val="0"/>
                <w:sz w:val="18"/>
                <w:szCs w:val="18"/>
                <w:highlight w:val="none"/>
              </w:rPr>
            </w:pPr>
            <w:r>
              <w:rPr>
                <w:rFonts w:hint="eastAsia" w:ascii="宋体" w:hAnsi="宋体" w:eastAsia="宋体" w:cs="宋体"/>
                <w:snapToGrid w:val="0"/>
                <w:color w:val="auto"/>
                <w:kern w:val="0"/>
                <w:sz w:val="18"/>
                <w:szCs w:val="18"/>
                <w:highlight w:val="none"/>
              </w:rPr>
              <w:t>□工程款支付保险</w:t>
            </w:r>
          </w:p>
          <w:p w14:paraId="73F766AF">
            <w:pPr>
              <w:keepNext w:val="0"/>
              <w:keepLines w:val="0"/>
              <w:pageBreakBefore w:val="0"/>
              <w:widowControl/>
              <w:kinsoku/>
              <w:wordWrap/>
              <w:overflowPunct/>
              <w:topLinePunct w:val="0"/>
              <w:autoSpaceDE/>
              <w:autoSpaceDN/>
              <w:bidi w:val="0"/>
              <w:adjustRightInd/>
              <w:snapToGrid/>
              <w:spacing w:line="240" w:lineRule="exact"/>
              <w:ind w:firstLine="450" w:firstLineChars="250"/>
              <w:textAlignment w:val="baseline"/>
              <w:rPr>
                <w:rFonts w:hint="eastAsia" w:ascii="宋体" w:hAnsi="宋体" w:eastAsia="宋体" w:cs="宋体"/>
                <w:snapToGrid w:val="0"/>
                <w:color w:val="auto"/>
                <w:kern w:val="0"/>
                <w:sz w:val="18"/>
                <w:szCs w:val="18"/>
                <w:highlight w:val="none"/>
              </w:rPr>
            </w:pPr>
            <w:r>
              <w:rPr>
                <w:rFonts w:hint="eastAsia" w:ascii="宋体" w:hAnsi="宋体" w:eastAsia="宋体" w:cs="宋体"/>
                <w:snapToGrid w:val="0"/>
                <w:color w:val="auto"/>
                <w:kern w:val="0"/>
                <w:sz w:val="18"/>
                <w:szCs w:val="18"/>
                <w:highlight w:val="none"/>
              </w:rPr>
              <w:t>□其他：</w:t>
            </w:r>
            <w:permStart w:id="4" w:edGrp="everyone"/>
            <w:r>
              <w:rPr>
                <w:rFonts w:hint="eastAsia" w:ascii="宋体" w:hAnsi="宋体" w:eastAsia="宋体" w:cs="宋体"/>
                <w:snapToGrid w:val="0"/>
                <w:color w:val="auto"/>
                <w:kern w:val="0"/>
                <w:sz w:val="18"/>
                <w:szCs w:val="18"/>
                <w:highlight w:val="none"/>
                <w:u w:val="single"/>
              </w:rPr>
              <w:t xml:space="preserve">               </w:t>
            </w:r>
            <w:permEnd w:id="4"/>
            <w:r>
              <w:rPr>
                <w:rFonts w:hint="eastAsia" w:ascii="宋体" w:hAnsi="宋体" w:eastAsia="宋体" w:cs="宋体"/>
                <w:snapToGrid w:val="0"/>
                <w:color w:val="auto"/>
                <w:kern w:val="0"/>
                <w:sz w:val="18"/>
                <w:szCs w:val="18"/>
                <w:highlight w:val="none"/>
              </w:rPr>
              <w:t>。</w:t>
            </w:r>
          </w:p>
          <w:p w14:paraId="7BC2AFFE">
            <w:pPr>
              <w:keepNext w:val="0"/>
              <w:keepLines w:val="0"/>
              <w:pageBreakBefore w:val="0"/>
              <w:widowControl/>
              <w:kinsoku/>
              <w:wordWrap/>
              <w:overflowPunct/>
              <w:topLinePunct w:val="0"/>
              <w:autoSpaceDE/>
              <w:autoSpaceDN/>
              <w:bidi w:val="0"/>
              <w:adjustRightInd/>
              <w:snapToGrid/>
              <w:spacing w:line="240" w:lineRule="exact"/>
              <w:ind w:firstLine="450" w:firstLineChars="250"/>
              <w:textAlignment w:val="baseline"/>
              <w:rPr>
                <w:rFonts w:hint="eastAsia" w:ascii="宋体" w:hAnsi="宋体" w:eastAsia="宋体" w:cs="宋体"/>
                <w:snapToGrid w:val="0"/>
                <w:color w:val="auto"/>
                <w:kern w:val="0"/>
                <w:sz w:val="18"/>
                <w:szCs w:val="18"/>
                <w:highlight w:val="none"/>
              </w:rPr>
            </w:pPr>
            <w:r>
              <w:rPr>
                <w:rFonts w:hint="eastAsia" w:ascii="宋体" w:hAnsi="宋体" w:eastAsia="宋体" w:cs="宋体"/>
                <w:snapToGrid w:val="0"/>
                <w:color w:val="auto"/>
                <w:kern w:val="0"/>
                <w:sz w:val="18"/>
                <w:szCs w:val="18"/>
                <w:highlight w:val="none"/>
              </w:rPr>
              <w:t>3.金额：</w:t>
            </w:r>
            <w:permStart w:id="5" w:edGrp="everyone"/>
            <w:r>
              <w:rPr>
                <w:rFonts w:hint="eastAsia" w:ascii="宋体" w:hAnsi="宋体" w:eastAsia="宋体" w:cs="宋体"/>
                <w:snapToGrid w:val="0"/>
                <w:color w:val="auto"/>
                <w:kern w:val="0"/>
                <w:sz w:val="18"/>
                <w:szCs w:val="18"/>
                <w:highlight w:val="none"/>
                <w:u w:val="single"/>
              </w:rPr>
              <w:t xml:space="preserve">               </w:t>
            </w:r>
            <w:permEnd w:id="5"/>
            <w:r>
              <w:rPr>
                <w:rFonts w:hint="eastAsia" w:ascii="宋体" w:hAnsi="宋体" w:eastAsia="宋体" w:cs="宋体"/>
                <w:snapToGrid w:val="0"/>
                <w:color w:val="auto"/>
                <w:kern w:val="0"/>
                <w:sz w:val="18"/>
                <w:szCs w:val="18"/>
                <w:highlight w:val="none"/>
              </w:rPr>
              <w:t>。</w:t>
            </w:r>
          </w:p>
          <w:p w14:paraId="04CCCDC1">
            <w:pPr>
              <w:snapToGrid w:val="0"/>
              <w:spacing w:line="240" w:lineRule="atLeast"/>
              <w:jc w:val="left"/>
              <w:rPr>
                <w:rFonts w:hint="eastAsia" w:ascii="仿宋" w:hAnsi="仿宋" w:eastAsia="仿宋" w:cs="仿宋"/>
                <w:b/>
                <w:color w:val="auto"/>
                <w:kern w:val="2"/>
                <w:sz w:val="18"/>
                <w:szCs w:val="18"/>
                <w:highlight w:val="none"/>
                <w:lang w:val="en-US" w:eastAsia="zh-CN" w:bidi="ar-SA"/>
              </w:rPr>
            </w:pPr>
          </w:p>
        </w:tc>
        <w:tc>
          <w:tcPr>
            <w:tcW w:w="4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46F8AD">
            <w:pPr>
              <w:snapToGrid w:val="0"/>
              <w:spacing w:line="240" w:lineRule="atLeast"/>
              <w:ind w:firstLine="360" w:firstLineChars="200"/>
              <w:jc w:val="left"/>
              <w:rPr>
                <w:rStyle w:val="37"/>
                <w:rFonts w:hint="eastAsia" w:ascii="宋体" w:hAnsi="宋体" w:cs="宋体"/>
                <w:color w:val="auto"/>
                <w:kern w:val="0"/>
                <w:sz w:val="18"/>
                <w:szCs w:val="18"/>
                <w:highlight w:val="none"/>
              </w:rPr>
            </w:pPr>
            <w:r>
              <w:rPr>
                <w:rStyle w:val="37"/>
                <w:rFonts w:hint="eastAsia" w:ascii="宋体" w:hAnsi="宋体" w:cs="宋体"/>
                <w:color w:val="auto"/>
                <w:kern w:val="0"/>
                <w:sz w:val="18"/>
                <w:szCs w:val="18"/>
                <w:highlight w:val="none"/>
              </w:rPr>
              <w:t>修改为“</w:t>
            </w:r>
          </w:p>
          <w:p w14:paraId="40926F2B">
            <w:pPr>
              <w:snapToGrid w:val="0"/>
              <w:spacing w:line="240" w:lineRule="atLeast"/>
              <w:ind w:firstLine="360" w:firstLineChars="200"/>
              <w:jc w:val="left"/>
              <w:rPr>
                <w:rStyle w:val="37"/>
                <w:rFonts w:hint="eastAsia" w:ascii="宋体" w:hAnsi="宋体" w:cs="宋体"/>
                <w:color w:val="auto"/>
                <w:kern w:val="0"/>
                <w:sz w:val="18"/>
                <w:szCs w:val="18"/>
                <w:highlight w:val="none"/>
              </w:rPr>
            </w:pPr>
            <w:r>
              <w:rPr>
                <w:rStyle w:val="37"/>
                <w:rFonts w:hint="eastAsia" w:ascii="宋体" w:hAnsi="宋体" w:cs="宋体"/>
                <w:color w:val="auto"/>
                <w:kern w:val="0"/>
                <w:sz w:val="18"/>
                <w:szCs w:val="18"/>
                <w:highlight w:val="none"/>
              </w:rPr>
              <w:t>发包人应按下列时间、方式、金额向承包人提供工程款支付担保。</w:t>
            </w:r>
          </w:p>
          <w:p w14:paraId="5BB3D397">
            <w:pPr>
              <w:snapToGrid w:val="0"/>
              <w:spacing w:line="240" w:lineRule="atLeast"/>
              <w:ind w:firstLine="360" w:firstLineChars="200"/>
              <w:jc w:val="left"/>
              <w:rPr>
                <w:rStyle w:val="37"/>
                <w:rFonts w:hint="eastAsia" w:ascii="宋体" w:hAnsi="宋体" w:cs="宋体"/>
                <w:color w:val="auto"/>
                <w:kern w:val="0"/>
                <w:sz w:val="18"/>
                <w:szCs w:val="18"/>
                <w:highlight w:val="none"/>
              </w:rPr>
            </w:pPr>
            <w:r>
              <w:rPr>
                <w:rStyle w:val="37"/>
                <w:rFonts w:hint="eastAsia" w:ascii="宋体" w:hAnsi="宋体" w:cs="宋体"/>
                <w:color w:val="auto"/>
                <w:kern w:val="0"/>
                <w:sz w:val="18"/>
                <w:szCs w:val="18"/>
                <w:highlight w:val="none"/>
              </w:rPr>
              <w:t>1.时间：自工程款支付保险单起保之日至施工合同（含补充协议）约定的除工程质量保证金以外的工程款结清之日起60天内止，如当地政府对支付担保期限有明确要求的，按照当地政策执行。</w:t>
            </w:r>
          </w:p>
          <w:p w14:paraId="37280C13">
            <w:pPr>
              <w:snapToGrid w:val="0"/>
              <w:spacing w:line="240" w:lineRule="atLeast"/>
              <w:ind w:firstLine="360" w:firstLineChars="200"/>
              <w:jc w:val="left"/>
              <w:rPr>
                <w:rStyle w:val="37"/>
                <w:rFonts w:hint="eastAsia" w:ascii="宋体" w:hAnsi="宋体" w:cs="宋体"/>
                <w:color w:val="auto"/>
                <w:kern w:val="0"/>
                <w:sz w:val="18"/>
                <w:szCs w:val="18"/>
                <w:highlight w:val="none"/>
              </w:rPr>
            </w:pPr>
            <w:r>
              <w:rPr>
                <w:rStyle w:val="37"/>
                <w:rFonts w:hint="eastAsia" w:ascii="宋体" w:hAnsi="宋体" w:cs="宋体"/>
                <w:color w:val="auto"/>
                <w:kern w:val="0"/>
                <w:sz w:val="18"/>
                <w:szCs w:val="18"/>
                <w:highlight w:val="none"/>
              </w:rPr>
              <w:t>2.方式：</w:t>
            </w:r>
          </w:p>
          <w:p w14:paraId="6444A9D3">
            <w:pPr>
              <w:snapToGrid w:val="0"/>
              <w:spacing w:line="240" w:lineRule="atLeast"/>
              <w:ind w:firstLine="360" w:firstLineChars="200"/>
              <w:jc w:val="left"/>
              <w:rPr>
                <w:rStyle w:val="37"/>
                <w:rFonts w:hint="eastAsia" w:ascii="宋体" w:hAnsi="宋体" w:cs="宋体"/>
                <w:color w:val="auto"/>
                <w:kern w:val="0"/>
                <w:sz w:val="18"/>
                <w:szCs w:val="18"/>
                <w:highlight w:val="none"/>
              </w:rPr>
            </w:pPr>
            <w:r>
              <w:rPr>
                <w:rStyle w:val="37"/>
                <w:rFonts w:hint="eastAsia" w:ascii="宋体" w:hAnsi="宋体" w:cs="宋体"/>
                <w:color w:val="auto"/>
                <w:kern w:val="0"/>
                <w:sz w:val="18"/>
                <w:szCs w:val="18"/>
                <w:highlight w:val="none"/>
              </w:rPr>
              <w:t>□工程款支付保函</w:t>
            </w:r>
          </w:p>
          <w:p w14:paraId="13E8A9BE">
            <w:pPr>
              <w:snapToGrid w:val="0"/>
              <w:spacing w:line="240" w:lineRule="atLeast"/>
              <w:ind w:firstLine="360" w:firstLineChars="200"/>
              <w:jc w:val="left"/>
              <w:rPr>
                <w:rStyle w:val="37"/>
                <w:rFonts w:hint="eastAsia" w:ascii="宋体" w:hAnsi="宋体" w:cs="宋体"/>
                <w:color w:val="auto"/>
                <w:kern w:val="0"/>
                <w:sz w:val="18"/>
                <w:szCs w:val="18"/>
                <w:highlight w:val="none"/>
              </w:rPr>
            </w:pPr>
            <w:r>
              <w:rPr>
                <w:rStyle w:val="37"/>
                <w:rFonts w:hint="eastAsia" w:ascii="宋体" w:hAnsi="宋体" w:cs="宋体"/>
                <w:color w:val="auto"/>
                <w:kern w:val="0"/>
                <w:sz w:val="18"/>
                <w:szCs w:val="18"/>
                <w:highlight w:val="none"/>
                <w:lang w:eastAsia="zh-CN"/>
              </w:rPr>
              <w:t>☑</w:t>
            </w:r>
            <w:r>
              <w:rPr>
                <w:rStyle w:val="37"/>
                <w:rFonts w:hint="eastAsia" w:ascii="宋体" w:hAnsi="宋体" w:cs="宋体"/>
                <w:color w:val="auto"/>
                <w:kern w:val="0"/>
                <w:sz w:val="18"/>
                <w:szCs w:val="18"/>
                <w:highlight w:val="none"/>
              </w:rPr>
              <w:t>工程款支付保险</w:t>
            </w:r>
          </w:p>
          <w:p w14:paraId="587D6D6D">
            <w:pPr>
              <w:snapToGrid w:val="0"/>
              <w:spacing w:line="240" w:lineRule="atLeast"/>
              <w:ind w:firstLine="360" w:firstLineChars="200"/>
              <w:jc w:val="left"/>
              <w:rPr>
                <w:rStyle w:val="37"/>
                <w:rFonts w:hint="eastAsia" w:ascii="宋体" w:hAnsi="宋体" w:cs="宋体"/>
                <w:color w:val="auto"/>
                <w:kern w:val="0"/>
                <w:sz w:val="18"/>
                <w:szCs w:val="18"/>
                <w:highlight w:val="none"/>
              </w:rPr>
            </w:pPr>
            <w:r>
              <w:rPr>
                <w:rStyle w:val="37"/>
                <w:rFonts w:hint="eastAsia" w:ascii="宋体" w:hAnsi="宋体" w:cs="宋体"/>
                <w:color w:val="auto"/>
                <w:kern w:val="0"/>
                <w:sz w:val="18"/>
                <w:szCs w:val="18"/>
                <w:highlight w:val="none"/>
              </w:rPr>
              <w:t>□其他：/。</w:t>
            </w:r>
          </w:p>
          <w:p w14:paraId="747F28B2">
            <w:pPr>
              <w:snapToGrid w:val="0"/>
              <w:spacing w:line="240" w:lineRule="atLeast"/>
              <w:ind w:firstLine="360" w:firstLineChars="200"/>
              <w:jc w:val="left"/>
              <w:rPr>
                <w:rFonts w:hint="eastAsia" w:ascii="仿宋" w:hAnsi="仿宋" w:eastAsia="仿宋" w:cs="仿宋"/>
                <w:b/>
                <w:color w:val="auto"/>
                <w:kern w:val="2"/>
                <w:sz w:val="18"/>
                <w:szCs w:val="18"/>
                <w:highlight w:val="none"/>
                <w:lang w:val="en-US" w:eastAsia="zh-CN" w:bidi="ar-SA"/>
              </w:rPr>
            </w:pPr>
            <w:r>
              <w:rPr>
                <w:rStyle w:val="37"/>
                <w:rFonts w:hint="eastAsia" w:ascii="宋体" w:hAnsi="宋体" w:cs="宋体"/>
                <w:color w:val="auto"/>
                <w:kern w:val="0"/>
                <w:sz w:val="18"/>
                <w:szCs w:val="18"/>
                <w:highlight w:val="none"/>
              </w:rPr>
              <w:t>3.金额：按照投保时工程项目所在地政府要求确定担保金额，如属地政府无明确要求，则按“工程款支付担保与履约担保对等原则”—即工程合同款的5%确定。如合同执行期间，政府调整政策规定的，按照规定调整担保金额。”</w:t>
            </w:r>
          </w:p>
        </w:tc>
        <w:tc>
          <w:tcPr>
            <w:tcW w:w="461" w:type="dxa"/>
            <w:tcBorders>
              <w:top w:val="single" w:color="000000" w:sz="4" w:space="0"/>
              <w:left w:val="single" w:color="000000" w:sz="4" w:space="0"/>
              <w:bottom w:val="single" w:color="000000" w:sz="4" w:space="0"/>
              <w:right w:val="nil"/>
            </w:tcBorders>
            <w:vAlign w:val="center"/>
          </w:tcPr>
          <w:p w14:paraId="3D9F518C">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611BD5F0">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00" w:hRule="atLeast"/>
          <w:jc w:val="center"/>
        </w:trPr>
        <w:tc>
          <w:tcPr>
            <w:tcW w:w="748" w:type="dxa"/>
            <w:tcBorders>
              <w:top w:val="single" w:color="000000" w:sz="4" w:space="0"/>
              <w:left w:val="nil"/>
              <w:bottom w:val="single" w:color="000000" w:sz="4" w:space="0"/>
              <w:right w:val="single" w:color="000000" w:sz="4" w:space="0"/>
            </w:tcBorders>
            <w:vAlign w:val="center"/>
          </w:tcPr>
          <w:p w14:paraId="45B1228C">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8164604">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专用条款第1.1.6.3条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64A9F5F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1.1.6.3重大设计变更、签证:重大设计变更指改变了初步设计审定的设计方案、主要设备选型、工程规模、建设标准等原则意见，或单项设计变更投资变化超过20万元的设计变更;重大签证是指单项签证投资增减额超过10万元的签证。</w:t>
            </w:r>
          </w:p>
        </w:tc>
        <w:tc>
          <w:tcPr>
            <w:tcW w:w="4275" w:type="dxa"/>
            <w:tcBorders>
              <w:top w:val="single" w:color="000000" w:sz="4" w:space="0"/>
              <w:left w:val="single" w:color="000000" w:sz="4" w:space="0"/>
              <w:bottom w:val="single" w:color="000000" w:sz="4" w:space="0"/>
              <w:right w:val="single" w:color="000000" w:sz="4" w:space="0"/>
            </w:tcBorders>
            <w:vAlign w:val="center"/>
          </w:tcPr>
          <w:p w14:paraId="38208DEF">
            <w:pPr>
              <w:snapToGrid w:val="0"/>
              <w:spacing w:line="240" w:lineRule="atLeast"/>
              <w:jc w:val="left"/>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04CB928B">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1.1.6.3重大设计变更、签证:重大设计变更是指改变了初步设计审定的设计方案、主要设备选型、工程规模、建设标准等原则意见，或单项设计变更投资变化超过</w:t>
            </w:r>
            <w:r>
              <w:rPr>
                <w:rStyle w:val="37"/>
                <w:rFonts w:hint="eastAsia" w:asciiTheme="majorEastAsia" w:hAnsiTheme="majorEastAsia" w:eastAsiaTheme="majorEastAsia" w:cstheme="majorEastAsia"/>
                <w:color w:val="auto"/>
                <w:kern w:val="0"/>
                <w:sz w:val="18"/>
                <w:szCs w:val="18"/>
                <w:highlight w:val="none"/>
                <w:lang w:val="en-US" w:eastAsia="zh-CN"/>
              </w:rPr>
              <w:t>60</w:t>
            </w:r>
            <w:r>
              <w:rPr>
                <w:rStyle w:val="37"/>
                <w:rFonts w:hint="eastAsia" w:asciiTheme="majorEastAsia" w:hAnsiTheme="majorEastAsia" w:eastAsiaTheme="majorEastAsia" w:cstheme="majorEastAsia"/>
                <w:color w:val="auto"/>
                <w:kern w:val="0"/>
                <w:sz w:val="18"/>
                <w:szCs w:val="18"/>
                <w:highlight w:val="none"/>
              </w:rPr>
              <w:t>万元的设计变更，重大签证是指单项签证投资增减额超过</w:t>
            </w:r>
            <w:r>
              <w:rPr>
                <w:rStyle w:val="37"/>
                <w:rFonts w:hint="eastAsia" w:asciiTheme="majorEastAsia" w:hAnsiTheme="majorEastAsia" w:eastAsiaTheme="majorEastAsia" w:cstheme="majorEastAsia"/>
                <w:color w:val="auto"/>
                <w:kern w:val="0"/>
                <w:sz w:val="18"/>
                <w:szCs w:val="18"/>
                <w:highlight w:val="none"/>
                <w:lang w:val="en-US" w:eastAsia="zh-CN"/>
              </w:rPr>
              <w:t>30</w:t>
            </w:r>
            <w:r>
              <w:rPr>
                <w:rStyle w:val="37"/>
                <w:rFonts w:hint="eastAsia" w:asciiTheme="majorEastAsia" w:hAnsiTheme="majorEastAsia" w:eastAsiaTheme="majorEastAsia" w:cstheme="majorEastAsia"/>
                <w:color w:val="auto"/>
                <w:kern w:val="0"/>
                <w:sz w:val="18"/>
                <w:szCs w:val="18"/>
                <w:highlight w:val="none"/>
              </w:rPr>
              <w:t>万元的签证。</w:t>
            </w:r>
          </w:p>
          <w:p w14:paraId="6D688789">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国网特高压部负责特高压</w:t>
            </w:r>
            <w:r>
              <w:rPr>
                <w:rStyle w:val="37"/>
                <w:rFonts w:hint="eastAsia" w:asciiTheme="majorEastAsia" w:hAnsiTheme="majorEastAsia" w:eastAsiaTheme="majorEastAsia" w:cstheme="majorEastAsia"/>
                <w:bCs/>
                <w:color w:val="auto"/>
                <w:kern w:val="0"/>
                <w:sz w:val="18"/>
                <w:szCs w:val="18"/>
                <w:highlight w:val="none"/>
                <w:lang w:val="en-US" w:eastAsia="zh-CN"/>
              </w:rPr>
              <w:t>及直流</w:t>
            </w:r>
            <w:r>
              <w:rPr>
                <w:rStyle w:val="37"/>
                <w:rFonts w:hint="eastAsia" w:asciiTheme="majorEastAsia" w:hAnsiTheme="majorEastAsia" w:eastAsiaTheme="majorEastAsia" w:cstheme="majorEastAsia"/>
                <w:bCs/>
                <w:color w:val="auto"/>
                <w:kern w:val="0"/>
                <w:sz w:val="18"/>
                <w:szCs w:val="18"/>
                <w:highlight w:val="none"/>
              </w:rPr>
              <w:t>工程改变初步设计原则或金额200万元</w:t>
            </w:r>
            <w:r>
              <w:rPr>
                <w:rStyle w:val="37"/>
                <w:rFonts w:hint="eastAsia" w:asciiTheme="majorEastAsia" w:hAnsiTheme="majorEastAsia" w:eastAsiaTheme="majorEastAsia" w:cstheme="majorEastAsia"/>
                <w:bCs/>
                <w:color w:val="auto"/>
                <w:kern w:val="0"/>
                <w:sz w:val="18"/>
                <w:szCs w:val="18"/>
                <w:highlight w:val="none"/>
                <w:lang w:val="en-US" w:eastAsia="zh-CN"/>
              </w:rPr>
              <w:t>及</w:t>
            </w:r>
            <w:r>
              <w:rPr>
                <w:rStyle w:val="37"/>
                <w:rFonts w:hint="eastAsia" w:asciiTheme="majorEastAsia" w:hAnsiTheme="majorEastAsia" w:eastAsiaTheme="majorEastAsia" w:cstheme="majorEastAsia"/>
                <w:bCs/>
                <w:color w:val="auto"/>
                <w:kern w:val="0"/>
                <w:sz w:val="18"/>
                <w:szCs w:val="18"/>
                <w:highlight w:val="none"/>
              </w:rPr>
              <w:t>以上</w:t>
            </w:r>
            <w:r>
              <w:rPr>
                <w:rStyle w:val="37"/>
                <w:rFonts w:hint="eastAsia" w:asciiTheme="majorEastAsia" w:hAnsiTheme="majorEastAsia" w:eastAsiaTheme="majorEastAsia" w:cstheme="majorEastAsia"/>
                <w:bCs/>
                <w:color w:val="auto"/>
                <w:kern w:val="0"/>
                <w:sz w:val="18"/>
                <w:szCs w:val="18"/>
                <w:highlight w:val="none"/>
                <w:lang w:val="en-US" w:eastAsia="zh-CN"/>
              </w:rPr>
              <w:t>的</w:t>
            </w:r>
            <w:r>
              <w:rPr>
                <w:rStyle w:val="37"/>
                <w:rFonts w:hint="eastAsia" w:asciiTheme="majorEastAsia" w:hAnsiTheme="majorEastAsia" w:eastAsiaTheme="majorEastAsia" w:cstheme="majorEastAsia"/>
                <w:bCs/>
                <w:color w:val="auto"/>
                <w:kern w:val="0"/>
                <w:sz w:val="18"/>
                <w:szCs w:val="18"/>
                <w:highlight w:val="none"/>
              </w:rPr>
              <w:t>重大设计变更审批。</w:t>
            </w:r>
          </w:p>
        </w:tc>
        <w:tc>
          <w:tcPr>
            <w:tcW w:w="461" w:type="dxa"/>
            <w:tcBorders>
              <w:top w:val="single" w:color="000000" w:sz="4" w:space="0"/>
              <w:left w:val="single" w:color="000000" w:sz="4" w:space="0"/>
              <w:bottom w:val="single" w:color="000000" w:sz="4" w:space="0"/>
              <w:right w:val="nil"/>
            </w:tcBorders>
            <w:vAlign w:val="center"/>
          </w:tcPr>
          <w:p w14:paraId="6C9487F5">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6D6336DD">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00" w:hRule="atLeast"/>
          <w:jc w:val="center"/>
        </w:trPr>
        <w:tc>
          <w:tcPr>
            <w:tcW w:w="748" w:type="dxa"/>
            <w:tcBorders>
              <w:top w:val="single" w:color="000000" w:sz="4" w:space="0"/>
              <w:left w:val="nil"/>
              <w:bottom w:val="single" w:color="000000" w:sz="4" w:space="0"/>
              <w:right w:val="single" w:color="000000" w:sz="4" w:space="0"/>
            </w:tcBorders>
            <w:vAlign w:val="center"/>
          </w:tcPr>
          <w:p w14:paraId="7E03D8F0">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4A27E2F6">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专用条款第2.9.1条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1304D60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2.9.1 水、电、通讯等施工管线进入施工场地现场;</w:t>
            </w:r>
          </w:p>
          <w:p w14:paraId="477DCED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水、电、通讯等施工管线进入施工现场的时间、地点和供应要求：</w:t>
            </w:r>
          </w:p>
          <w:p w14:paraId="37FB3E9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变电工程：</w:t>
            </w:r>
          </w:p>
          <w:p w14:paraId="4175471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水：</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4DC0625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电：</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2EC0042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通讯：</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6FA0B07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线路工程（适用于线路工程和输变电工程中线路部分）：</w:t>
            </w:r>
          </w:p>
          <w:p w14:paraId="47CDA24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水：承包人自行解决，费用已包含在合同价格中。</w:t>
            </w:r>
          </w:p>
          <w:p w14:paraId="31F21E26">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电：承包人自行解决，费用已包含在合同价格中。</w:t>
            </w:r>
          </w:p>
          <w:p w14:paraId="0825264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通讯：承包人自行解决，费用已包含在合同价格中。</w:t>
            </w:r>
          </w:p>
          <w:p w14:paraId="16BBCD0E">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p>
        </w:tc>
        <w:tc>
          <w:tcPr>
            <w:tcW w:w="4275" w:type="dxa"/>
            <w:tcBorders>
              <w:top w:val="single" w:color="000000" w:sz="4" w:space="0"/>
              <w:left w:val="single" w:color="000000" w:sz="4" w:space="0"/>
              <w:bottom w:val="single" w:color="000000" w:sz="4" w:space="0"/>
              <w:right w:val="single" w:color="000000" w:sz="4" w:space="0"/>
            </w:tcBorders>
            <w:vAlign w:val="center"/>
          </w:tcPr>
          <w:p w14:paraId="2CE91BF9">
            <w:pPr>
              <w:spacing w:line="240" w:lineRule="exact"/>
              <w:jc w:val="left"/>
              <w:rPr>
                <w:rFonts w:hint="eastAsia" w:asciiTheme="majorEastAsia" w:hAnsiTheme="majorEastAsia" w:eastAsiaTheme="majorEastAsia" w:cstheme="majorEastAsia"/>
                <w:b/>
                <w:color w:val="auto"/>
                <w:kern w:val="0"/>
                <w:sz w:val="18"/>
                <w:szCs w:val="18"/>
                <w:highlight w:val="none"/>
              </w:rPr>
            </w:pPr>
            <w:r>
              <w:rPr>
                <w:rFonts w:hint="eastAsia" w:asciiTheme="majorEastAsia" w:hAnsiTheme="majorEastAsia" w:eastAsiaTheme="majorEastAsia" w:cstheme="majorEastAsia"/>
                <w:b/>
                <w:color w:val="auto"/>
                <w:kern w:val="0"/>
                <w:sz w:val="18"/>
                <w:szCs w:val="18"/>
                <w:highlight w:val="none"/>
              </w:rPr>
              <w:t>修改为：</w:t>
            </w:r>
          </w:p>
          <w:p w14:paraId="308D1BBA">
            <w:pPr>
              <w:snapToGrid w:val="0"/>
              <w:spacing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2.9.1 水、电、通讯等施工管线进入施工场地现场;</w:t>
            </w:r>
          </w:p>
          <w:p w14:paraId="3C55765A">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水、电、通讯等施工管线进入施工现场的时间、地点和供应要求：详见技术规范书中对应要求</w:t>
            </w:r>
            <w:r>
              <w:rPr>
                <w:rFonts w:hint="eastAsia" w:asciiTheme="majorEastAsia" w:hAnsiTheme="majorEastAsia" w:eastAsiaTheme="majorEastAsia" w:cstheme="majorEastAsia"/>
                <w:color w:val="auto"/>
                <w:kern w:val="0"/>
                <w:sz w:val="18"/>
                <w:szCs w:val="18"/>
                <w:highlight w:val="none"/>
                <w:lang w:eastAsia="zh-CN"/>
              </w:rPr>
              <w:t>，</w:t>
            </w:r>
            <w:r>
              <w:rPr>
                <w:rFonts w:hint="eastAsia" w:asciiTheme="majorEastAsia" w:hAnsiTheme="majorEastAsia" w:eastAsiaTheme="majorEastAsia" w:cstheme="majorEastAsia"/>
                <w:color w:val="auto"/>
                <w:kern w:val="0"/>
                <w:sz w:val="18"/>
                <w:szCs w:val="18"/>
                <w:highlight w:val="none"/>
                <w:lang w:val="en-US" w:eastAsia="zh-CN"/>
              </w:rPr>
              <w:t>并满足现场工程需求</w:t>
            </w:r>
            <w:r>
              <w:rPr>
                <w:rFonts w:hint="eastAsia" w:asciiTheme="majorEastAsia" w:hAnsiTheme="majorEastAsia" w:eastAsiaTheme="majorEastAsia" w:cstheme="majorEastAsia"/>
                <w:color w:val="auto"/>
                <w:kern w:val="0"/>
                <w:sz w:val="18"/>
                <w:szCs w:val="18"/>
                <w:highlight w:val="none"/>
              </w:rPr>
              <w:t>。</w:t>
            </w:r>
          </w:p>
          <w:p w14:paraId="6B77D4AB">
            <w:pPr>
              <w:spacing w:line="240" w:lineRule="exact"/>
              <w:ind w:firstLine="360" w:firstLineChars="200"/>
              <w:jc w:val="left"/>
              <w:rPr>
                <w:rFonts w:hint="default" w:asciiTheme="majorEastAsia" w:hAnsiTheme="majorEastAsia" w:eastAsiaTheme="majorEastAsia" w:cstheme="majorEastAsia"/>
                <w:color w:val="auto"/>
                <w:kern w:val="0"/>
                <w:sz w:val="18"/>
                <w:szCs w:val="18"/>
                <w:highlight w:val="none"/>
                <w:lang w:val="en-US" w:eastAsia="zh-CN"/>
              </w:rPr>
            </w:pPr>
            <w:r>
              <w:rPr>
                <w:rFonts w:hint="eastAsia" w:asciiTheme="majorEastAsia" w:hAnsiTheme="majorEastAsia" w:eastAsiaTheme="majorEastAsia" w:cstheme="majorEastAsia"/>
                <w:color w:val="auto"/>
                <w:kern w:val="0"/>
                <w:sz w:val="18"/>
                <w:szCs w:val="18"/>
                <w:highlight w:val="none"/>
              </w:rPr>
              <w:t>水：</w:t>
            </w:r>
            <w:r>
              <w:rPr>
                <w:rFonts w:hint="eastAsia" w:asciiTheme="majorEastAsia" w:hAnsiTheme="majorEastAsia" w:eastAsiaTheme="majorEastAsia" w:cstheme="majorEastAsia"/>
                <w:color w:val="auto"/>
                <w:kern w:val="0"/>
                <w:sz w:val="18"/>
                <w:szCs w:val="18"/>
                <w:highlight w:val="none"/>
                <w:lang w:val="en-US" w:eastAsia="zh-CN"/>
              </w:rPr>
              <w:t>参照技术规范书。</w:t>
            </w:r>
          </w:p>
          <w:p w14:paraId="50AAA0C6">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lang w:eastAsia="zh-CN"/>
              </w:rPr>
            </w:pPr>
            <w:r>
              <w:rPr>
                <w:rFonts w:hint="eastAsia" w:asciiTheme="majorEastAsia" w:hAnsiTheme="majorEastAsia" w:eastAsiaTheme="majorEastAsia" w:cstheme="majorEastAsia"/>
                <w:color w:val="auto"/>
                <w:kern w:val="0"/>
                <w:sz w:val="18"/>
                <w:szCs w:val="18"/>
                <w:highlight w:val="none"/>
              </w:rPr>
              <w:t>电：参照技术规范书</w:t>
            </w:r>
            <w:r>
              <w:rPr>
                <w:rFonts w:hint="eastAsia" w:asciiTheme="majorEastAsia" w:hAnsiTheme="majorEastAsia" w:eastAsiaTheme="majorEastAsia" w:cstheme="majorEastAsia"/>
                <w:color w:val="auto"/>
                <w:kern w:val="0"/>
                <w:sz w:val="18"/>
                <w:szCs w:val="18"/>
                <w:highlight w:val="none"/>
                <w:lang w:eastAsia="zh-CN"/>
              </w:rPr>
              <w:t>。</w:t>
            </w:r>
          </w:p>
          <w:p w14:paraId="03BB19A0">
            <w:pPr>
              <w:spacing w:line="240" w:lineRule="exact"/>
              <w:ind w:firstLine="360" w:firstLineChars="200"/>
              <w:jc w:val="left"/>
              <w:rPr>
                <w:rFonts w:hint="eastAsia" w:asciiTheme="majorEastAsia" w:hAnsiTheme="majorEastAsia" w:eastAsiaTheme="majorEastAsia" w:cstheme="majorEastAsia"/>
                <w:color w:val="auto"/>
                <w:sz w:val="18"/>
                <w:szCs w:val="18"/>
                <w:highlight w:val="none"/>
                <w:lang w:eastAsia="zh-CN"/>
              </w:rPr>
            </w:pPr>
            <w:r>
              <w:rPr>
                <w:rFonts w:hint="eastAsia" w:asciiTheme="majorEastAsia" w:hAnsiTheme="majorEastAsia" w:eastAsiaTheme="majorEastAsia" w:cstheme="majorEastAsia"/>
                <w:color w:val="auto"/>
                <w:kern w:val="0"/>
                <w:sz w:val="18"/>
                <w:szCs w:val="18"/>
                <w:highlight w:val="none"/>
              </w:rPr>
              <w:t>通讯：参照技术规范书</w:t>
            </w:r>
            <w:r>
              <w:rPr>
                <w:rFonts w:hint="eastAsia" w:asciiTheme="majorEastAsia" w:hAnsiTheme="majorEastAsia" w:eastAsiaTheme="majorEastAsia" w:cstheme="majorEastAsia"/>
                <w:color w:val="auto"/>
                <w:kern w:val="0"/>
                <w:sz w:val="18"/>
                <w:szCs w:val="18"/>
                <w:highlight w:val="none"/>
                <w:lang w:eastAsia="zh-CN"/>
              </w:rPr>
              <w:t>。</w:t>
            </w:r>
          </w:p>
        </w:tc>
        <w:tc>
          <w:tcPr>
            <w:tcW w:w="461" w:type="dxa"/>
            <w:tcBorders>
              <w:top w:val="single" w:color="000000" w:sz="4" w:space="0"/>
              <w:left w:val="single" w:color="000000" w:sz="4" w:space="0"/>
              <w:bottom w:val="single" w:color="000000" w:sz="4" w:space="0"/>
              <w:right w:val="nil"/>
            </w:tcBorders>
            <w:vAlign w:val="center"/>
          </w:tcPr>
          <w:p w14:paraId="2CFD361D">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04C227B4">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00" w:hRule="atLeast"/>
          <w:jc w:val="center"/>
        </w:trPr>
        <w:tc>
          <w:tcPr>
            <w:tcW w:w="748" w:type="dxa"/>
            <w:tcBorders>
              <w:top w:val="single" w:color="000000" w:sz="4" w:space="0"/>
              <w:left w:val="nil"/>
              <w:bottom w:val="single" w:color="000000" w:sz="4" w:space="0"/>
              <w:right w:val="single" w:color="000000" w:sz="4" w:space="0"/>
            </w:tcBorders>
            <w:vAlign w:val="center"/>
          </w:tcPr>
          <w:p w14:paraId="5887D5B0">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FB246ED">
            <w:pPr>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专用条款2.9.7</w:t>
            </w:r>
          </w:p>
        </w:tc>
        <w:tc>
          <w:tcPr>
            <w:tcW w:w="4052" w:type="dxa"/>
            <w:tcBorders>
              <w:top w:val="single" w:color="000000" w:sz="4" w:space="0"/>
              <w:left w:val="single" w:color="000000" w:sz="4" w:space="0"/>
              <w:bottom w:val="single" w:color="000000" w:sz="4" w:space="0"/>
              <w:right w:val="single" w:color="000000" w:sz="4" w:space="0"/>
            </w:tcBorders>
            <w:vAlign w:val="center"/>
          </w:tcPr>
          <w:p w14:paraId="5AE4822B">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2.9.7 施工场地周围建筑物、地下管线和古树林木等的保护要求：</w:t>
            </w:r>
          </w:p>
          <w:p w14:paraId="4BFA1991">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承包人必须采取切实有效的措施加以保护，对于因承包人原因造成的一切损失和后果由承包人负担。</w:t>
            </w:r>
          </w:p>
        </w:tc>
        <w:tc>
          <w:tcPr>
            <w:tcW w:w="4275" w:type="dxa"/>
            <w:tcBorders>
              <w:top w:val="single" w:color="000000" w:sz="4" w:space="0"/>
              <w:left w:val="single" w:color="000000" w:sz="4" w:space="0"/>
              <w:bottom w:val="single" w:color="000000" w:sz="4" w:space="0"/>
              <w:right w:val="single" w:color="000000" w:sz="4" w:space="0"/>
            </w:tcBorders>
            <w:vAlign w:val="center"/>
          </w:tcPr>
          <w:p w14:paraId="15303FD5">
            <w:pPr>
              <w:adjustRightInd w:val="0"/>
              <w:snapToGrid w:val="0"/>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7967E571">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2.9.7施工场地周围建筑物、地下管线和古树林木及</w:t>
            </w:r>
            <w:r>
              <w:rPr>
                <w:rFonts w:hint="eastAsia" w:asciiTheme="majorEastAsia" w:hAnsiTheme="majorEastAsia" w:eastAsiaTheme="majorEastAsia" w:cstheme="majorEastAsia"/>
                <w:b/>
                <w:bCs/>
                <w:color w:val="auto"/>
                <w:sz w:val="18"/>
                <w:szCs w:val="18"/>
                <w:highlight w:val="none"/>
              </w:rPr>
              <w:t>其他植被</w:t>
            </w:r>
            <w:r>
              <w:rPr>
                <w:rFonts w:hint="eastAsia" w:asciiTheme="majorEastAsia" w:hAnsiTheme="majorEastAsia" w:eastAsiaTheme="majorEastAsia" w:cstheme="majorEastAsia"/>
                <w:color w:val="auto"/>
                <w:sz w:val="18"/>
                <w:szCs w:val="18"/>
                <w:highlight w:val="none"/>
              </w:rPr>
              <w:t>等的保护要求：</w:t>
            </w:r>
          </w:p>
          <w:p w14:paraId="0472CB53">
            <w:pPr>
              <w:adjustRightInd w:val="0"/>
              <w:snapToGrid w:val="0"/>
              <w:ind w:firstLine="360" w:firstLineChars="200"/>
              <w:rPr>
                <w:rFonts w:hint="eastAsia" w:asciiTheme="majorEastAsia" w:hAnsiTheme="majorEastAsia" w:eastAsiaTheme="majorEastAsia" w:cstheme="majorEastAsia"/>
                <w:bCs/>
                <w:color w:val="auto"/>
                <w:kern w:val="0"/>
                <w:sz w:val="18"/>
                <w:szCs w:val="18"/>
                <w:highlight w:val="none"/>
                <w:u w:val="single"/>
              </w:rPr>
            </w:pPr>
            <w:r>
              <w:rPr>
                <w:rFonts w:hint="eastAsia" w:asciiTheme="majorEastAsia" w:hAnsiTheme="majorEastAsia" w:eastAsiaTheme="majorEastAsia" w:cstheme="majorEastAsia"/>
                <w:color w:val="auto"/>
                <w:sz w:val="18"/>
                <w:szCs w:val="18"/>
                <w:highlight w:val="none"/>
              </w:rPr>
              <w:t xml:space="preserve">承包人必须采取切实有效的措施加以保护，对于因承包人原因造成的一切损失和后果由承包人承担。 </w:t>
            </w:r>
          </w:p>
        </w:tc>
        <w:tc>
          <w:tcPr>
            <w:tcW w:w="461" w:type="dxa"/>
            <w:tcBorders>
              <w:top w:val="single" w:color="000000" w:sz="4" w:space="0"/>
              <w:left w:val="single" w:color="000000" w:sz="4" w:space="0"/>
              <w:bottom w:val="single" w:color="000000" w:sz="4" w:space="0"/>
              <w:right w:val="nil"/>
            </w:tcBorders>
            <w:vAlign w:val="center"/>
          </w:tcPr>
          <w:p w14:paraId="3B90A2B8">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0B63C9E1">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8" w:hRule="atLeast"/>
          <w:jc w:val="center"/>
        </w:trPr>
        <w:tc>
          <w:tcPr>
            <w:tcW w:w="748" w:type="dxa"/>
            <w:tcBorders>
              <w:top w:val="single" w:color="000000" w:sz="4" w:space="0"/>
              <w:left w:val="nil"/>
              <w:bottom w:val="single" w:color="000000" w:sz="4" w:space="0"/>
              <w:right w:val="single" w:color="000000" w:sz="4" w:space="0"/>
            </w:tcBorders>
            <w:vAlign w:val="center"/>
          </w:tcPr>
          <w:p w14:paraId="19F6E646">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6C860373">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kern w:val="0"/>
                <w:sz w:val="18"/>
                <w:szCs w:val="18"/>
                <w:highlight w:val="none"/>
              </w:rPr>
              <w:t>专用条款2.10.3</w:t>
            </w:r>
          </w:p>
        </w:tc>
        <w:tc>
          <w:tcPr>
            <w:tcW w:w="4052" w:type="dxa"/>
            <w:tcBorders>
              <w:top w:val="single" w:color="000000" w:sz="4" w:space="0"/>
              <w:left w:val="single" w:color="000000" w:sz="4" w:space="0"/>
              <w:bottom w:val="single" w:color="000000" w:sz="4" w:space="0"/>
              <w:right w:val="single" w:color="000000" w:sz="4" w:space="0"/>
            </w:tcBorders>
            <w:vAlign w:val="center"/>
          </w:tcPr>
          <w:p w14:paraId="17297A2E">
            <w:pPr>
              <w:snapToGrid w:val="0"/>
              <w:spacing w:line="240" w:lineRule="atLeast"/>
              <w:jc w:val="left"/>
              <w:rPr>
                <w:rStyle w:val="37"/>
                <w:rFonts w:hint="eastAsia" w:asciiTheme="majorEastAsia" w:hAnsiTheme="majorEastAsia" w:eastAsiaTheme="majorEastAsia" w:cstheme="majorEastAsia"/>
                <w:b/>
                <w:color w:val="auto"/>
                <w:kern w:val="0"/>
                <w:sz w:val="18"/>
                <w:szCs w:val="18"/>
                <w:highlight w:val="none"/>
              </w:rPr>
            </w:pPr>
            <w:r>
              <w:rPr>
                <w:rFonts w:hint="eastAsia" w:asciiTheme="majorEastAsia" w:hAnsiTheme="majorEastAsia" w:eastAsiaTheme="majorEastAsia" w:cstheme="majorEastAsia"/>
                <w:b/>
                <w:color w:val="auto"/>
                <w:kern w:val="0"/>
                <w:sz w:val="18"/>
                <w:szCs w:val="18"/>
                <w:highlight w:val="none"/>
              </w:rPr>
              <w:t xml:space="preserve">其他：       </w:t>
            </w:r>
          </w:p>
        </w:tc>
        <w:tc>
          <w:tcPr>
            <w:tcW w:w="4275" w:type="dxa"/>
            <w:tcBorders>
              <w:top w:val="single" w:color="000000" w:sz="4" w:space="0"/>
              <w:left w:val="single" w:color="000000" w:sz="4" w:space="0"/>
              <w:bottom w:val="single" w:color="000000" w:sz="4" w:space="0"/>
              <w:right w:val="single" w:color="000000" w:sz="4" w:space="0"/>
            </w:tcBorders>
            <w:vAlign w:val="center"/>
          </w:tcPr>
          <w:p w14:paraId="5CF3E3D3">
            <w:pPr>
              <w:snapToGrid w:val="0"/>
              <w:spacing w:line="240" w:lineRule="atLeast"/>
              <w:jc w:val="left"/>
              <w:rPr>
                <w:rFonts w:hint="eastAsia" w:asciiTheme="majorEastAsia" w:hAnsiTheme="majorEastAsia" w:eastAsiaTheme="majorEastAsia" w:cstheme="majorEastAsia"/>
                <w:b/>
                <w:color w:val="auto"/>
                <w:sz w:val="18"/>
                <w:szCs w:val="18"/>
                <w:highlight w:val="none"/>
                <w:lang w:eastAsia="zh-CN"/>
              </w:rPr>
            </w:pPr>
            <w:r>
              <w:rPr>
                <w:rFonts w:hint="eastAsia" w:asciiTheme="majorEastAsia" w:hAnsiTheme="majorEastAsia" w:eastAsiaTheme="majorEastAsia" w:cstheme="majorEastAsia"/>
                <w:b/>
                <w:color w:val="auto"/>
                <w:sz w:val="18"/>
                <w:szCs w:val="18"/>
                <w:highlight w:val="none"/>
              </w:rPr>
              <w:t>其他：承包人应通过国网“e基建”等相应信息平台进行用工实名登记、管理；加强用工台账管理；按月及时足额支付农民工工资</w:t>
            </w:r>
            <w:r>
              <w:rPr>
                <w:rFonts w:hint="eastAsia" w:asciiTheme="majorEastAsia" w:hAnsiTheme="majorEastAsia" w:eastAsiaTheme="majorEastAsia" w:cstheme="majorEastAsia"/>
                <w:b/>
                <w:color w:val="auto"/>
                <w:sz w:val="18"/>
                <w:szCs w:val="18"/>
                <w:highlight w:val="none"/>
                <w:lang w:eastAsia="zh-CN"/>
              </w:rPr>
              <w:t>。</w:t>
            </w:r>
          </w:p>
          <w:p w14:paraId="0671FA76">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lang w:val="en-US"/>
              </w:rPr>
              <w:t>1)</w:t>
            </w:r>
            <w:r>
              <w:rPr>
                <w:rStyle w:val="37"/>
                <w:rFonts w:hint="eastAsia" w:asciiTheme="majorEastAsia" w:hAnsiTheme="majorEastAsia" w:eastAsiaTheme="majorEastAsia" w:cstheme="majorEastAsia"/>
                <w:color w:val="auto"/>
                <w:kern w:val="0"/>
                <w:sz w:val="18"/>
                <w:szCs w:val="18"/>
                <w:highlight w:val="none"/>
              </w:rPr>
              <w:t>承包人应当按照《国家电网有限公司关于保障输变电工程建设农民工工资支付的通知》（国家电网基建〔2020〕151号）、《国网基建部关于应用“e安全”加强输变电工程现场农民工工资支付工作的通知》（基建技经〔2020〕70号）等文件要求，落实农民工工资支付相关要求。</w:t>
            </w:r>
          </w:p>
          <w:p w14:paraId="7FBA3437">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lang w:val="en-US"/>
              </w:rPr>
              <w:t>2)</w:t>
            </w:r>
            <w:r>
              <w:rPr>
                <w:rStyle w:val="37"/>
                <w:rFonts w:hint="eastAsia" w:asciiTheme="majorEastAsia" w:hAnsiTheme="majorEastAsia" w:eastAsiaTheme="majorEastAsia" w:cstheme="majorEastAsia"/>
                <w:color w:val="auto"/>
                <w:kern w:val="0"/>
                <w:sz w:val="18"/>
                <w:szCs w:val="18"/>
                <w:highlight w:val="none"/>
              </w:rPr>
              <w:t>发包人监督承包人劳务费或工资发放情况，若承包人或其分包单位所负责的工程因承包人未按要求执行或出现拖欠农民工工资纠纷，发包人应要求承包人限期整改</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rPr>
              <w:t>承包人拖欠农民工工资的，发包人有权在承包人逾期未清偿的前提下，从应付工程款或履约保证金中代为支付农民工工资；代为支付的金额视为已付工程款，发包人有权就超出应付工程款部分向承包人追偿。</w:t>
            </w:r>
          </w:p>
          <w:p w14:paraId="2BEBCFF7">
            <w:pPr>
              <w:pStyle w:val="2"/>
              <w:rPr>
                <w:rFonts w:hint="eastAsia" w:asciiTheme="majorEastAsia" w:hAnsiTheme="majorEastAsia" w:eastAsiaTheme="majorEastAsia" w:cstheme="majorEastAsia"/>
                <w:b/>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lang w:val="en-US"/>
              </w:rPr>
              <w:t>3)</w:t>
            </w:r>
            <w:r>
              <w:rPr>
                <w:rStyle w:val="37"/>
                <w:rFonts w:hint="eastAsia" w:asciiTheme="majorEastAsia" w:hAnsiTheme="majorEastAsia" w:eastAsiaTheme="majorEastAsia" w:cstheme="majorEastAsia"/>
                <w:color w:val="auto"/>
                <w:kern w:val="0"/>
                <w:sz w:val="18"/>
                <w:szCs w:val="18"/>
                <w:highlight w:val="none"/>
              </w:rPr>
              <w:t>承包人视情况与分包单位签订关于保障农民工工资支付的相关承诺书，加强对分包单位的监督管理。若发生分包单位拖欠农民工工资的，应由承包人先行清偿，再依法进行追偿。工程建设项目转包，拖欠农民工工资的，由承包人先行清偿，再依法进行追偿。</w:t>
            </w:r>
          </w:p>
        </w:tc>
        <w:tc>
          <w:tcPr>
            <w:tcW w:w="461" w:type="dxa"/>
            <w:tcBorders>
              <w:top w:val="single" w:color="000000" w:sz="4" w:space="0"/>
              <w:left w:val="single" w:color="000000" w:sz="4" w:space="0"/>
              <w:bottom w:val="single" w:color="000000" w:sz="4" w:space="0"/>
              <w:right w:val="nil"/>
            </w:tcBorders>
            <w:vAlign w:val="center"/>
          </w:tcPr>
          <w:p w14:paraId="4E94BAB3">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6E8A4C45">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8" w:hRule="atLeast"/>
          <w:jc w:val="center"/>
        </w:trPr>
        <w:tc>
          <w:tcPr>
            <w:tcW w:w="748" w:type="dxa"/>
            <w:tcBorders>
              <w:top w:val="single" w:color="000000" w:sz="4" w:space="0"/>
              <w:left w:val="nil"/>
              <w:bottom w:val="single" w:color="000000" w:sz="4" w:space="0"/>
              <w:right w:val="single" w:color="000000" w:sz="4" w:space="0"/>
            </w:tcBorders>
            <w:vAlign w:val="center"/>
          </w:tcPr>
          <w:p w14:paraId="064DA15A">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F4E6C81">
            <w:pPr>
              <w:snapToGrid w:val="0"/>
              <w:spacing w:line="240" w:lineRule="atLeast"/>
              <w:jc w:val="center"/>
              <w:rPr>
                <w:rFonts w:hint="default" w:asciiTheme="majorEastAsia" w:hAnsiTheme="majorEastAsia" w:eastAsiaTheme="majorEastAsia" w:cstheme="majorEastAsia"/>
                <w:b/>
                <w:color w:val="auto"/>
                <w:kern w:val="0"/>
                <w:sz w:val="18"/>
                <w:szCs w:val="18"/>
                <w:highlight w:val="none"/>
                <w:lang w:val="en-US" w:eastAsia="zh-CN"/>
              </w:rPr>
            </w:pPr>
            <w:r>
              <w:rPr>
                <w:rFonts w:hint="eastAsia" w:asciiTheme="majorEastAsia" w:hAnsiTheme="majorEastAsia" w:eastAsiaTheme="majorEastAsia" w:cstheme="majorEastAsia"/>
                <w:b/>
                <w:color w:val="auto"/>
                <w:kern w:val="0"/>
                <w:sz w:val="18"/>
                <w:szCs w:val="18"/>
                <w:highlight w:val="none"/>
                <w:lang w:val="en-US" w:eastAsia="zh-CN"/>
              </w:rPr>
              <w:t>专用条款第3.1.1条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3A04D6A3">
            <w:pPr>
              <w:snapToGrid w:val="0"/>
              <w:spacing w:line="240" w:lineRule="atLeast"/>
              <w:jc w:val="left"/>
              <w:rPr>
                <w:rFonts w:hint="default" w:asciiTheme="majorEastAsia" w:hAnsiTheme="majorEastAsia" w:eastAsiaTheme="majorEastAsia" w:cstheme="majorEastAsia"/>
                <w:b/>
                <w:color w:val="auto"/>
                <w:kern w:val="0"/>
                <w:sz w:val="18"/>
                <w:szCs w:val="18"/>
                <w:highlight w:val="none"/>
                <w:lang w:val="en-US" w:eastAsia="zh-CN"/>
              </w:rPr>
            </w:pPr>
            <w:r>
              <w:rPr>
                <w:rFonts w:hint="eastAsia" w:asciiTheme="majorEastAsia" w:hAnsiTheme="majorEastAsia" w:eastAsiaTheme="majorEastAsia" w:cstheme="majorEastAsia"/>
                <w:b/>
                <w:color w:val="auto"/>
                <w:kern w:val="0"/>
                <w:sz w:val="18"/>
                <w:szCs w:val="18"/>
                <w:highlight w:val="none"/>
                <w:lang w:eastAsia="zh-CN"/>
              </w:rPr>
              <w:t>（</w:t>
            </w:r>
            <w:r>
              <w:rPr>
                <w:rFonts w:hint="eastAsia" w:asciiTheme="majorEastAsia" w:hAnsiTheme="majorEastAsia" w:eastAsiaTheme="majorEastAsia" w:cstheme="majorEastAsia"/>
                <w:b/>
                <w:color w:val="auto"/>
                <w:kern w:val="0"/>
                <w:sz w:val="18"/>
                <w:szCs w:val="18"/>
                <w:highlight w:val="none"/>
                <w:lang w:val="en-US" w:eastAsia="zh-CN"/>
              </w:rPr>
              <w:t>10</w:t>
            </w:r>
            <w:r>
              <w:rPr>
                <w:rFonts w:hint="eastAsia" w:asciiTheme="majorEastAsia" w:hAnsiTheme="majorEastAsia" w:eastAsiaTheme="majorEastAsia" w:cstheme="majorEastAsia"/>
                <w:b/>
                <w:color w:val="auto"/>
                <w:kern w:val="0"/>
                <w:sz w:val="18"/>
                <w:szCs w:val="18"/>
                <w:highlight w:val="none"/>
                <w:lang w:eastAsia="zh-CN"/>
              </w:rPr>
              <w:t>）</w:t>
            </w:r>
            <w:r>
              <w:rPr>
                <w:rFonts w:hint="eastAsia" w:asciiTheme="majorEastAsia" w:hAnsiTheme="majorEastAsia" w:eastAsiaTheme="majorEastAsia" w:cstheme="majorEastAsia"/>
                <w:b/>
                <w:color w:val="auto"/>
                <w:kern w:val="0"/>
                <w:sz w:val="18"/>
                <w:szCs w:val="18"/>
                <w:highlight w:val="none"/>
                <w:lang w:val="en-US" w:eastAsia="zh-CN"/>
              </w:rPr>
              <w:t>其他：</w:t>
            </w:r>
            <w:r>
              <w:rPr>
                <w:rFonts w:hint="eastAsia" w:asciiTheme="majorEastAsia" w:hAnsiTheme="majorEastAsia" w:eastAsiaTheme="majorEastAsia" w:cstheme="majorEastAsia"/>
                <w:b/>
                <w:color w:val="auto"/>
                <w:kern w:val="0"/>
                <w:sz w:val="18"/>
                <w:szCs w:val="18"/>
                <w:highlight w:val="none"/>
                <w:u w:val="single"/>
                <w:lang w:val="en-US" w:eastAsia="zh-CN"/>
              </w:rPr>
              <w:t xml:space="preserve">     </w:t>
            </w:r>
            <w:r>
              <w:rPr>
                <w:rFonts w:hint="eastAsia" w:asciiTheme="majorEastAsia" w:hAnsiTheme="majorEastAsia" w:eastAsiaTheme="majorEastAsia" w:cstheme="majorEastAsia"/>
                <w:b/>
                <w:color w:val="auto"/>
                <w:kern w:val="0"/>
                <w:sz w:val="18"/>
                <w:szCs w:val="18"/>
                <w:highlight w:val="none"/>
                <w:lang w:val="en-US" w:eastAsia="zh-CN"/>
              </w:rPr>
              <w:t xml:space="preserve"> 。</w:t>
            </w:r>
          </w:p>
        </w:tc>
        <w:tc>
          <w:tcPr>
            <w:tcW w:w="4275" w:type="dxa"/>
            <w:tcBorders>
              <w:top w:val="single" w:color="000000" w:sz="4" w:space="0"/>
              <w:left w:val="single" w:color="000000" w:sz="4" w:space="0"/>
              <w:bottom w:val="single" w:color="000000" w:sz="4" w:space="0"/>
              <w:right w:val="single" w:color="000000" w:sz="4" w:space="0"/>
            </w:tcBorders>
            <w:vAlign w:val="center"/>
          </w:tcPr>
          <w:p w14:paraId="1F9ED391">
            <w:pPr>
              <w:pStyle w:val="2"/>
              <w:rPr>
                <w:rStyle w:val="37"/>
                <w:rFonts w:hint="eastAsia" w:asciiTheme="majorEastAsia" w:hAnsiTheme="majorEastAsia" w:eastAsiaTheme="majorEastAsia" w:cstheme="majorEastAsia"/>
                <w:color w:val="auto"/>
                <w:kern w:val="0"/>
                <w:sz w:val="18"/>
                <w:szCs w:val="18"/>
                <w:highlight w:val="none"/>
                <w:lang w:val="en-US"/>
              </w:rPr>
            </w:pPr>
            <w:r>
              <w:rPr>
                <w:rFonts w:hint="eastAsia" w:asciiTheme="majorEastAsia" w:hAnsiTheme="majorEastAsia" w:eastAsiaTheme="majorEastAsia" w:cstheme="majorEastAsia"/>
                <w:b/>
                <w:color w:val="auto"/>
                <w:kern w:val="0"/>
                <w:sz w:val="18"/>
                <w:szCs w:val="18"/>
                <w:highlight w:val="none"/>
                <w:lang w:eastAsia="zh-CN"/>
              </w:rPr>
              <w:t>（</w:t>
            </w:r>
            <w:r>
              <w:rPr>
                <w:rFonts w:hint="eastAsia" w:asciiTheme="majorEastAsia" w:hAnsiTheme="majorEastAsia" w:eastAsiaTheme="majorEastAsia" w:cstheme="majorEastAsia"/>
                <w:b/>
                <w:color w:val="auto"/>
                <w:kern w:val="0"/>
                <w:sz w:val="18"/>
                <w:szCs w:val="18"/>
                <w:highlight w:val="none"/>
                <w:lang w:val="en-US" w:eastAsia="zh-CN"/>
              </w:rPr>
              <w:t>10</w:t>
            </w:r>
            <w:r>
              <w:rPr>
                <w:rFonts w:hint="eastAsia" w:asciiTheme="majorEastAsia" w:hAnsiTheme="majorEastAsia" w:eastAsiaTheme="majorEastAsia" w:cstheme="majorEastAsia"/>
                <w:b/>
                <w:color w:val="auto"/>
                <w:kern w:val="0"/>
                <w:sz w:val="18"/>
                <w:szCs w:val="18"/>
                <w:highlight w:val="none"/>
                <w:lang w:eastAsia="zh-CN"/>
              </w:rPr>
              <w:t>）</w:t>
            </w:r>
            <w:r>
              <w:rPr>
                <w:rFonts w:hint="eastAsia" w:asciiTheme="majorEastAsia" w:hAnsiTheme="majorEastAsia" w:eastAsiaTheme="majorEastAsia" w:cstheme="majorEastAsia"/>
                <w:b/>
                <w:color w:val="auto"/>
                <w:kern w:val="0"/>
                <w:sz w:val="18"/>
                <w:szCs w:val="18"/>
                <w:highlight w:val="none"/>
                <w:lang w:val="en-US" w:eastAsia="zh-CN"/>
              </w:rPr>
              <w:t>其他：</w:t>
            </w:r>
            <w:r>
              <w:rPr>
                <w:rFonts w:hint="eastAsia" w:asciiTheme="majorEastAsia" w:hAnsiTheme="majorEastAsia" w:eastAsiaTheme="majorEastAsia" w:cstheme="majorEastAsia"/>
                <w:b/>
                <w:color w:val="auto"/>
                <w:kern w:val="0"/>
                <w:sz w:val="18"/>
                <w:szCs w:val="18"/>
                <w:highlight w:val="none"/>
                <w:u w:val="single"/>
                <w:lang w:val="en-US" w:eastAsia="zh-CN"/>
              </w:rPr>
              <w:t xml:space="preserve">  /   </w:t>
            </w:r>
            <w:r>
              <w:rPr>
                <w:rFonts w:hint="eastAsia" w:asciiTheme="majorEastAsia" w:hAnsiTheme="majorEastAsia" w:eastAsiaTheme="majorEastAsia" w:cstheme="majorEastAsia"/>
                <w:b/>
                <w:color w:val="auto"/>
                <w:kern w:val="0"/>
                <w:sz w:val="18"/>
                <w:szCs w:val="18"/>
                <w:highlight w:val="none"/>
                <w:lang w:val="en-US" w:eastAsia="zh-CN"/>
              </w:rPr>
              <w:t xml:space="preserve"> 。</w:t>
            </w:r>
          </w:p>
        </w:tc>
        <w:tc>
          <w:tcPr>
            <w:tcW w:w="461" w:type="dxa"/>
            <w:tcBorders>
              <w:top w:val="single" w:color="000000" w:sz="4" w:space="0"/>
              <w:left w:val="single" w:color="000000" w:sz="4" w:space="0"/>
              <w:bottom w:val="single" w:color="000000" w:sz="4" w:space="0"/>
              <w:right w:val="nil"/>
            </w:tcBorders>
            <w:vAlign w:val="center"/>
          </w:tcPr>
          <w:p w14:paraId="0AC07F82">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025ABF70">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7300" w:hRule="atLeast"/>
          <w:jc w:val="center"/>
        </w:trPr>
        <w:tc>
          <w:tcPr>
            <w:tcW w:w="748" w:type="dxa"/>
            <w:tcBorders>
              <w:top w:val="single" w:color="000000" w:sz="4" w:space="0"/>
              <w:left w:val="nil"/>
              <w:bottom w:val="single" w:color="000000" w:sz="4" w:space="0"/>
              <w:right w:val="single" w:color="000000" w:sz="4" w:space="0"/>
            </w:tcBorders>
            <w:vAlign w:val="center"/>
          </w:tcPr>
          <w:p w14:paraId="4CCA0F73">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4235920">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专用条款第4.1.3条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1E1F489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4.1.3 完成各项承包工作（补充）</w:t>
            </w:r>
          </w:p>
          <w:p w14:paraId="3AC140A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承包人应按照合同约定完成的工作内容为：</w:t>
            </w:r>
          </w:p>
          <w:p w14:paraId="6B10678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（1）全部承包项目工程施工、验收、移交、保修等。</w:t>
            </w:r>
          </w:p>
          <w:p w14:paraId="27E725F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协助发包人进行工程建设协调，办理各种施工手续，缴纳相应税费及承担工作协调的费用；工程安全质量监督检查、交叉互查、工程验收、环保、水保、劳动卫生、安全、档案等专项验收的自验和配合工作；配合达标投产、国家电网有限公司及国家优质工程创建、工程后评估等各项工作。</w:t>
            </w:r>
          </w:p>
          <w:p w14:paraId="1FA2C81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（3）负责竣工资料（含电子版）、声像资料的收集、整理、组卷、归档与移交。</w:t>
            </w:r>
          </w:p>
          <w:p w14:paraId="5432B28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（4）保修期内的保修工作。</w:t>
            </w:r>
          </w:p>
          <w:p w14:paraId="1E3BBB5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5）在工程建设期间，施工项目部需设置一名专职信息化人员，负责国网信息化管理系统进行相关数据录入工作，使用基建管理信息系统进行工程管理及相关数据录入工作，使用档案系统上线挂接模块进行竣工资料移交。</w:t>
            </w:r>
          </w:p>
          <w:p w14:paraId="422AFCB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（6）在工程建设期间施工项目部需设置一名专职协调人员，负责协助业主项目部做好协调工作。</w:t>
            </w:r>
          </w:p>
          <w:p w14:paraId="4B126E2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（7）变电工程：</w:t>
            </w:r>
          </w:p>
          <w:p w14:paraId="487B903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①设备基础及主控室和各小室施工、构架吊装、发包人供应的设备和材料的验收和保管、现场设备和材料的二次搬运、一次和二次设备的安装和试验、系统试验及调试、工程档案及资料移交、工程竣工和保修、配合完成达标投产和工程创优。承包范围内的所有工程施工需满足“国家电网有限公司输变电工程标准工艺”要求，并实行实物样板制。</w:t>
            </w:r>
          </w:p>
          <w:p w14:paraId="00EA3AE1">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②承包人负责的设备材料采购，应按进度计划及时开展，并将有关的采购结果及时向设计单位、监理人报告，以便设计单位及时开展施工图设计。如采购延误承包人应全权负责。</w:t>
            </w:r>
          </w:p>
          <w:p w14:paraId="1DF0C872">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③承包人的临建设施，包括：</w:t>
            </w:r>
          </w:p>
          <w:p w14:paraId="1634347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所(站)内：机具、材料、办公等用房，设备及材料堆场，所（站）内临建设施占地须经监理人批准；</w:t>
            </w:r>
          </w:p>
          <w:p w14:paraId="2F03C21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所(站)外：为保证全站安全文明施工形象，本工程按照</w:t>
            </w:r>
            <w:r>
              <w:rPr>
                <w:rStyle w:val="37"/>
                <w:rFonts w:hint="eastAsia" w:asciiTheme="majorEastAsia" w:hAnsiTheme="majorEastAsia" w:eastAsiaTheme="majorEastAsia" w:cstheme="majorEastAsia"/>
                <w:color w:val="auto"/>
                <w:kern w:val="0"/>
                <w:sz w:val="18"/>
                <w:szCs w:val="18"/>
                <w:highlight w:val="none"/>
                <w:lang w:eastAsia="zh-CN"/>
              </w:rPr>
              <w:t>国家电网有限公司</w:t>
            </w:r>
            <w:r>
              <w:rPr>
                <w:rStyle w:val="37"/>
                <w:rFonts w:hint="eastAsia" w:asciiTheme="majorEastAsia" w:hAnsiTheme="majorEastAsia" w:eastAsiaTheme="majorEastAsia" w:cstheme="majorEastAsia"/>
                <w:color w:val="auto"/>
                <w:kern w:val="0"/>
                <w:sz w:val="18"/>
                <w:szCs w:val="18"/>
                <w:highlight w:val="none"/>
              </w:rPr>
              <w:t>输变电工程安全文明施工标准化管理规定的标准在站外搭建统一的生产、生活临时设施。</w:t>
            </w:r>
          </w:p>
          <w:p w14:paraId="4DCB8E2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④承包人在施工准备及施工过程中，应关注工程周边的财产、工程建设以及场地周围建筑物和地下管线等情况，对有可能造成发包人方损失或对本工程建设有影响的情况及时通过监理人向发包人报告。因承包人盲目施工或未充分考虑外部环境因素造成损失的，视情况由承包人承担相应的赔偿责任。</w:t>
            </w:r>
          </w:p>
          <w:p w14:paraId="511B283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sz w:val="18"/>
                <w:szCs w:val="18"/>
                <w:highlight w:val="none"/>
              </w:rPr>
              <w:t>⑤负责甲供设备材料保管工作，负责甲供设备材料卸车（不含主变压器及线路高抗）和协助发包人做好甲供设备材料催交工作。</w:t>
            </w:r>
          </w:p>
          <w:p w14:paraId="0DFEC63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⑥承包人需做好工程现场的治安保卫工作，确保现场安全有序。</w:t>
            </w:r>
          </w:p>
          <w:p w14:paraId="79F12CD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⑦负责拆除工程物资的拆除、回收、保管及迹地恢复等工作。</w:t>
            </w:r>
          </w:p>
          <w:p w14:paraId="4662186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（8）线路工程（适用于线路工程和输变电工程中线路部分）：</w:t>
            </w:r>
          </w:p>
          <w:p w14:paraId="62B4FA41">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①承包人承包的工程范围为本标段（标包）对应的所有工作量并按规定办理各种施工手续。</w:t>
            </w:r>
          </w:p>
          <w:p w14:paraId="1DBDDA6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②承包人承包的工作内容为上述工程范围内的如下工作：</w:t>
            </w:r>
          </w:p>
          <w:p w14:paraId="44804F0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a.全部本体线路复测、基础开挖和浇筑、余土外运、发包人供应的材料的验收、现场材料的保管和运输、铁塔组立、绝缘子和金具安装、架线、线路参数测试、配合运行单位完成标志牌、警示牌、相序牌的安装，工程相关试验、检测工作，架空地线复合光缆（OPGW）的测试及接续工作、工程档案及资料移交、工程竣工和保修；</w:t>
            </w:r>
          </w:p>
          <w:p w14:paraId="736669B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b.提供施工所需所有施工机具、人力及其他施工资源；</w:t>
            </w:r>
          </w:p>
          <w:p w14:paraId="399B34E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sz w:val="18"/>
                <w:szCs w:val="18"/>
                <w:highlight w:val="none"/>
              </w:rPr>
              <w:t>c.负责发包人供应材料的保管工作，负责发包人供应设备材料的卸车、验收和催交工作；</w:t>
            </w:r>
            <w:r>
              <w:rPr>
                <w:rStyle w:val="37"/>
                <w:rFonts w:hint="eastAsia" w:asciiTheme="majorEastAsia" w:hAnsiTheme="majorEastAsia" w:eastAsiaTheme="majorEastAsia" w:cstheme="majorEastAsia"/>
                <w:color w:val="auto"/>
                <w:kern w:val="0"/>
                <w:sz w:val="18"/>
                <w:szCs w:val="18"/>
                <w:highlight w:val="none"/>
              </w:rPr>
              <w:tab/>
            </w:r>
          </w:p>
          <w:p w14:paraId="2A104F2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d.负责发包人供应的材料运输至承包人中心材料站的质量交接验收工作；</w:t>
            </w:r>
          </w:p>
          <w:p w14:paraId="3DB5489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e.负责发包人供应的材料在指定交货地点的场地（港口、车站或至各标段（标包）中心材料站等）协调及临时场地租赁，并负责运输至施工现场或材料站的装卸、运输进行现场保管；</w:t>
            </w:r>
          </w:p>
          <w:p w14:paraId="21E249E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f.发包人供应的材料以外的其他材料的采购、运输、保管；</w:t>
            </w:r>
          </w:p>
          <w:p w14:paraId="6AE7B1D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g.为保证施工安全、质量、进度所采取的各种措施，以及为保证正常施工进行的各种协调工作；</w:t>
            </w:r>
          </w:p>
          <w:p w14:paraId="5C29A411">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h.配合完成由发包人或建管单位负责的障碍物拆迁及赔偿等工作，负责招标采购文件确定的有关通道清理赔偿事项；</w:t>
            </w:r>
          </w:p>
          <w:p w14:paraId="6580794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i.承包人进场后应对线路走廊和工程本体进行看护和移交前的维护，并确保其在启动验收前满足设计及基建验收相关规程要求。承包人应承担线路走廊和工程本体的毁损灭失以及造成第三人财产或人身损害等全部法律责任；</w:t>
            </w:r>
          </w:p>
          <w:p w14:paraId="1C50FBD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j.配合中间验收、竣工预验收、竣工验收、系统调试、启动验收、保证线路畅通。</w:t>
            </w:r>
          </w:p>
          <w:p w14:paraId="2661D50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（9）承包人应积极配合发包人开展工程创优相关工作。</w:t>
            </w:r>
          </w:p>
          <w:p w14:paraId="4ED0486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（10）完成合同文件规定的其他工作。</w:t>
            </w:r>
          </w:p>
        </w:tc>
        <w:tc>
          <w:tcPr>
            <w:tcW w:w="4275" w:type="dxa"/>
            <w:tcBorders>
              <w:top w:val="single" w:color="000000" w:sz="4" w:space="0"/>
              <w:left w:val="single" w:color="000000" w:sz="4" w:space="0"/>
              <w:bottom w:val="single" w:color="000000" w:sz="4" w:space="0"/>
              <w:right w:val="single" w:color="000000" w:sz="4" w:space="0"/>
            </w:tcBorders>
            <w:vAlign w:val="center"/>
          </w:tcPr>
          <w:p w14:paraId="6EB3C5EB">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修改为：</w:t>
            </w:r>
          </w:p>
          <w:p w14:paraId="0A4F1057">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4.1.3  完成各项承包工作（补充）</w:t>
            </w:r>
          </w:p>
          <w:p w14:paraId="15E22A2E">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承包人应按照合同约定完成的工作内容为：</w:t>
            </w:r>
          </w:p>
          <w:p w14:paraId="5D1AEB06">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（1）全部承包项目工程施工、验收、移交、保修等。</w:t>
            </w:r>
          </w:p>
          <w:p w14:paraId="1FFAEBE1">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协助发包人进行工程建设协调，办理各种施工手续，缴纳相应税费及承担工作协调的费用（详见技术规范书）；开展工程安全质量监督检查、交叉互查、工程验收、环保、水保、劳动保障、职业卫生、安全、消防、档案、规划、节能等专项验收的自验和配合工作；</w:t>
            </w:r>
            <w:r>
              <w:rPr>
                <w:rFonts w:hint="eastAsia" w:asciiTheme="majorEastAsia" w:hAnsiTheme="majorEastAsia" w:eastAsiaTheme="majorEastAsia" w:cstheme="majorEastAsia"/>
                <w:bCs/>
                <w:color w:val="auto"/>
                <w:kern w:val="0"/>
                <w:sz w:val="18"/>
                <w:szCs w:val="18"/>
                <w:highlight w:val="none"/>
                <w:lang w:val="en-US" w:eastAsia="zh-CN"/>
              </w:rPr>
              <w:t>负责完成或者协助完成各项专项审查、验收、备案（包括不限于政府部门、国网公司、省公司级别审查、验收、备案，取得相应意见，分工、职责划分及要求详见技术规范书，其中土建施工承包人负责消防设计审查及消防验收的备案或验收等，电气施工承包人负责安防系统、脉冲电网、反恐备案或验收等）；</w:t>
            </w:r>
            <w:r>
              <w:rPr>
                <w:rStyle w:val="37"/>
                <w:rFonts w:hint="eastAsia" w:asciiTheme="majorEastAsia" w:hAnsiTheme="majorEastAsia" w:eastAsiaTheme="majorEastAsia" w:cstheme="majorEastAsia"/>
                <w:color w:val="auto"/>
                <w:kern w:val="0"/>
                <w:sz w:val="18"/>
                <w:szCs w:val="18"/>
                <w:highlight w:val="none"/>
              </w:rPr>
              <w:t>接受工程依法合规建设综合检查；配合竣工验收备案工作；配合达标投产、国家电网有限公司、电力行业及国家优质工程创建、工程投产后质量评价等各项工作（若需）。</w:t>
            </w:r>
          </w:p>
          <w:p w14:paraId="75F87781">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（3）负责竣工资料（含电子版）、声像资料的收集、整理、组卷、归档与移交。</w:t>
            </w:r>
          </w:p>
          <w:p w14:paraId="5840C469">
            <w:pPr>
              <w:pStyle w:val="2"/>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（4）保修期内的保修工作。</w:t>
            </w:r>
          </w:p>
          <w:p w14:paraId="054175BB">
            <w:pPr>
              <w:pStyle w:val="2"/>
              <w:rPr>
                <w:rStyle w:val="37"/>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sz w:val="18"/>
                <w:szCs w:val="18"/>
                <w:highlight w:val="none"/>
                <w:lang w:eastAsia="zh-CN"/>
              </w:rPr>
              <w:t>（</w:t>
            </w:r>
            <w:r>
              <w:rPr>
                <w:rStyle w:val="37"/>
                <w:rFonts w:hint="eastAsia" w:asciiTheme="majorEastAsia" w:hAnsiTheme="majorEastAsia" w:eastAsiaTheme="majorEastAsia" w:cstheme="majorEastAsia"/>
                <w:color w:val="auto"/>
                <w:sz w:val="18"/>
                <w:szCs w:val="18"/>
                <w:highlight w:val="none"/>
              </w:rPr>
              <w:t>5）在工程建设期间，施工项目部需设置以下专职人员：</w:t>
            </w:r>
          </w:p>
          <w:p w14:paraId="4F43BF1E">
            <w:pPr>
              <w:pStyle w:val="2"/>
              <w:rPr>
                <w:rStyle w:val="37"/>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sz w:val="18"/>
                <w:szCs w:val="18"/>
                <w:highlight w:val="none"/>
              </w:rPr>
              <w:t>1）</w:t>
            </w:r>
            <w:r>
              <w:rPr>
                <w:rStyle w:val="37"/>
                <w:rFonts w:hint="eastAsia" w:asciiTheme="majorEastAsia" w:hAnsiTheme="majorEastAsia" w:eastAsiaTheme="majorEastAsia" w:cstheme="majorEastAsia"/>
                <w:b/>
                <w:bCs/>
                <w:color w:val="auto"/>
                <w:sz w:val="18"/>
                <w:szCs w:val="18"/>
                <w:highlight w:val="none"/>
              </w:rPr>
              <w:t>专职档案资料人员：1人。</w:t>
            </w:r>
            <w:r>
              <w:rPr>
                <w:rStyle w:val="37"/>
                <w:rFonts w:hint="eastAsia" w:asciiTheme="majorEastAsia" w:hAnsiTheme="majorEastAsia" w:eastAsiaTheme="majorEastAsia" w:cstheme="majorEastAsia"/>
                <w:color w:val="auto"/>
                <w:sz w:val="18"/>
                <w:szCs w:val="18"/>
                <w:highlight w:val="none"/>
              </w:rPr>
              <w:t>工作职责：档案资料专责应为项目档案工作组成员，负责参与、落实项目档案工作组的工作要求；负责编写项目部过程管控方案；负责对项目部人员进行档案交底培训；负责项目部建设过程文件的收集、整理，对文件规范性进行定期审查；负责项目部文件管理工作的内、外部协调；负责建立项目部文件管控清单，按月更新并报业主项目部；负责督促协调项目部资料检查问题整改闭环，建立问题整改对照表；负责项目部竣工文件的整理、组卷、移交及档案系统信息著录；负责编制项目部档案工作总结，提炼档案工作亮点、创新点；负责项目档案检查、验收等工作的牵头联系；使用档案系统上线挂接模块进行竣工资料移交等。</w:t>
            </w:r>
          </w:p>
          <w:p w14:paraId="323C005D">
            <w:pPr>
              <w:pStyle w:val="2"/>
              <w:rPr>
                <w:rStyle w:val="37"/>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sz w:val="18"/>
                <w:szCs w:val="18"/>
                <w:highlight w:val="none"/>
              </w:rPr>
              <w:t>2）</w:t>
            </w:r>
            <w:r>
              <w:rPr>
                <w:rStyle w:val="37"/>
                <w:rFonts w:hint="eastAsia" w:asciiTheme="majorEastAsia" w:hAnsiTheme="majorEastAsia" w:eastAsiaTheme="majorEastAsia" w:cstheme="majorEastAsia"/>
                <w:b/>
                <w:bCs/>
                <w:color w:val="auto"/>
                <w:sz w:val="18"/>
                <w:szCs w:val="18"/>
                <w:highlight w:val="none"/>
              </w:rPr>
              <w:t>专职信息化人员：1人。</w:t>
            </w:r>
            <w:r>
              <w:rPr>
                <w:rStyle w:val="37"/>
                <w:rFonts w:hint="eastAsia" w:asciiTheme="majorEastAsia" w:hAnsiTheme="majorEastAsia" w:eastAsiaTheme="majorEastAsia" w:cstheme="majorEastAsia"/>
                <w:color w:val="auto"/>
                <w:sz w:val="18"/>
                <w:szCs w:val="18"/>
                <w:highlight w:val="none"/>
              </w:rPr>
              <w:t>工作职责：负责国网信息化管理系统进行相关数据录入工作，使用基建管理信息系统进行工程管理及相关数据录入工作。负责管控平台的使用维护及现场配套智慧工地的运行维护等工作。负责开展“e基建2.0”、数字化管控平台、“五库一平台”等标准化成果应用。</w:t>
            </w:r>
          </w:p>
          <w:p w14:paraId="65D3B9B8">
            <w:pPr>
              <w:pStyle w:val="2"/>
              <w:rPr>
                <w:rStyle w:val="37"/>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sz w:val="18"/>
                <w:szCs w:val="18"/>
                <w:highlight w:val="none"/>
              </w:rPr>
              <w:t>3）</w:t>
            </w:r>
            <w:r>
              <w:rPr>
                <w:rStyle w:val="37"/>
                <w:rFonts w:hint="eastAsia" w:asciiTheme="majorEastAsia" w:hAnsiTheme="majorEastAsia" w:eastAsiaTheme="majorEastAsia" w:cstheme="majorEastAsia"/>
                <w:b/>
                <w:bCs/>
                <w:color w:val="auto"/>
                <w:sz w:val="18"/>
                <w:szCs w:val="18"/>
                <w:highlight w:val="none"/>
              </w:rPr>
              <w:t>专职协助业主工作人员：2名。</w:t>
            </w:r>
            <w:r>
              <w:rPr>
                <w:rStyle w:val="37"/>
                <w:rFonts w:hint="eastAsia" w:asciiTheme="majorEastAsia" w:hAnsiTheme="majorEastAsia" w:eastAsiaTheme="majorEastAsia" w:cstheme="majorEastAsia"/>
                <w:color w:val="auto"/>
                <w:sz w:val="18"/>
                <w:szCs w:val="18"/>
                <w:highlight w:val="none"/>
              </w:rPr>
              <w:t>工作职责：负责协助建设管理单位（业主项目部）做好各项工作，具体岗位由业主项目部确定。</w:t>
            </w:r>
          </w:p>
          <w:p w14:paraId="3E3037A4">
            <w:pPr>
              <w:pStyle w:val="2"/>
              <w:rPr>
                <w:rStyle w:val="37"/>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sz w:val="18"/>
                <w:szCs w:val="18"/>
                <w:highlight w:val="none"/>
                <w:lang w:val="en-US" w:eastAsia="zh-CN"/>
              </w:rPr>
              <w:t>4</w:t>
            </w:r>
            <w:r>
              <w:rPr>
                <w:rStyle w:val="37"/>
                <w:rFonts w:hint="eastAsia" w:asciiTheme="majorEastAsia" w:hAnsiTheme="majorEastAsia" w:eastAsiaTheme="majorEastAsia" w:cstheme="majorEastAsia"/>
                <w:color w:val="auto"/>
                <w:sz w:val="18"/>
                <w:szCs w:val="18"/>
                <w:highlight w:val="none"/>
              </w:rPr>
              <w:t>）</w:t>
            </w:r>
            <w:r>
              <w:rPr>
                <w:rStyle w:val="37"/>
                <w:rFonts w:hint="eastAsia" w:asciiTheme="majorEastAsia" w:hAnsiTheme="majorEastAsia" w:eastAsiaTheme="majorEastAsia" w:cstheme="majorEastAsia"/>
                <w:b/>
                <w:bCs/>
                <w:color w:val="auto"/>
                <w:sz w:val="18"/>
                <w:szCs w:val="18"/>
                <w:highlight w:val="none"/>
              </w:rPr>
              <w:t>专职拍照摄像人员：1名。要求：该摄像人员应经</w:t>
            </w:r>
            <w:r>
              <w:rPr>
                <w:rStyle w:val="37"/>
                <w:rFonts w:hint="eastAsia" w:asciiTheme="majorEastAsia" w:hAnsiTheme="majorEastAsia" w:eastAsiaTheme="majorEastAsia" w:cstheme="majorEastAsia"/>
                <w:color w:val="auto"/>
                <w:sz w:val="18"/>
                <w:szCs w:val="18"/>
                <w:highlight w:val="none"/>
              </w:rPr>
              <w:t>过摄像专业培训，</w:t>
            </w:r>
            <w:r>
              <w:rPr>
                <w:rFonts w:hint="eastAsia"/>
                <w:color w:val="auto"/>
                <w:highlight w:val="none"/>
                <w:lang w:val="en-US" w:eastAsia="zh-CN"/>
              </w:rPr>
              <w:t>具备无人机操作资格，熟练掌握无人机摄影技术</w:t>
            </w:r>
            <w:r>
              <w:rPr>
                <w:rStyle w:val="37"/>
                <w:rFonts w:hint="eastAsia" w:asciiTheme="majorEastAsia" w:hAnsiTheme="majorEastAsia" w:eastAsiaTheme="majorEastAsia" w:cstheme="majorEastAsia"/>
                <w:color w:val="auto"/>
                <w:sz w:val="18"/>
                <w:szCs w:val="18"/>
                <w:highlight w:val="none"/>
              </w:rPr>
              <w:t>。工作职责：负责按照发包人要求开展各阶段宣传、汇报、工法及科技项目、申报优质工程等影像资料（含视频片）的采集与制作，并归档。</w:t>
            </w:r>
          </w:p>
          <w:p w14:paraId="33BE6399">
            <w:pPr>
              <w:pStyle w:val="2"/>
              <w:rPr>
                <w:rStyle w:val="37"/>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sz w:val="18"/>
                <w:szCs w:val="18"/>
                <w:highlight w:val="none"/>
                <w:lang w:val="en-US" w:eastAsia="zh-CN"/>
              </w:rPr>
              <w:t>5</w:t>
            </w:r>
            <w:r>
              <w:rPr>
                <w:rStyle w:val="37"/>
                <w:rFonts w:hint="eastAsia" w:asciiTheme="majorEastAsia" w:hAnsiTheme="majorEastAsia" w:eastAsiaTheme="majorEastAsia" w:cstheme="majorEastAsia"/>
                <w:color w:val="auto"/>
                <w:sz w:val="18"/>
                <w:szCs w:val="18"/>
                <w:highlight w:val="none"/>
              </w:rPr>
              <w:t>）</w:t>
            </w:r>
            <w:r>
              <w:rPr>
                <w:rStyle w:val="37"/>
                <w:rFonts w:hint="eastAsia" w:asciiTheme="majorEastAsia" w:hAnsiTheme="majorEastAsia" w:eastAsiaTheme="majorEastAsia" w:cstheme="majorEastAsia"/>
                <w:b/>
                <w:bCs/>
                <w:color w:val="auto"/>
                <w:sz w:val="18"/>
                <w:szCs w:val="18"/>
                <w:highlight w:val="none"/>
              </w:rPr>
              <w:t>专职环保水保管理人员：1人。</w:t>
            </w:r>
            <w:r>
              <w:rPr>
                <w:rStyle w:val="37"/>
                <w:rFonts w:hint="eastAsia" w:asciiTheme="majorEastAsia" w:hAnsiTheme="majorEastAsia" w:eastAsiaTheme="majorEastAsia" w:cstheme="majorEastAsia"/>
                <w:color w:val="auto"/>
                <w:sz w:val="18"/>
                <w:szCs w:val="18"/>
                <w:highlight w:val="none"/>
              </w:rPr>
              <w:t>工作职责：负责定期对环保、水保施工进行监督检查。</w:t>
            </w:r>
          </w:p>
          <w:p w14:paraId="6E722B77">
            <w:pPr>
              <w:pStyle w:val="2"/>
              <w:rPr>
                <w:rStyle w:val="37"/>
                <w:rFonts w:hint="default" w:asciiTheme="majorEastAsia" w:hAnsiTheme="majorEastAsia" w:eastAsiaTheme="majorEastAsia" w:cstheme="majorEastAsia"/>
                <w:color w:val="auto"/>
                <w:sz w:val="18"/>
                <w:szCs w:val="18"/>
                <w:highlight w:val="none"/>
                <w:lang w:val="en-US" w:eastAsia="zh-CN"/>
              </w:rPr>
            </w:pPr>
            <w:r>
              <w:rPr>
                <w:rStyle w:val="37"/>
                <w:rFonts w:hint="eastAsia" w:asciiTheme="majorEastAsia" w:hAnsiTheme="majorEastAsia" w:eastAsiaTheme="majorEastAsia" w:cstheme="majorEastAsia"/>
                <w:color w:val="auto"/>
                <w:sz w:val="18"/>
                <w:szCs w:val="18"/>
                <w:highlight w:val="none"/>
                <w:lang w:val="en-US" w:eastAsia="zh-CN"/>
              </w:rPr>
              <w:t>6）承包人选派2名专家加入工程专家团队（专家组）。其中1名应为具有5年工作经验的安全管理人员，常驻业主项目部或建设管理单位，参与本工程安全风险值班工作。</w:t>
            </w:r>
          </w:p>
          <w:p w14:paraId="49FCE8CC">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（6）变电工程：</w:t>
            </w:r>
          </w:p>
          <w:p w14:paraId="2346E3C3">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①设备基础及主控室和各小室施工、构架吊装、发包人供应的设备和材料的验收和保管、现场设备和材料的二次搬运、一次和二次设备的安装和试验、系统试验及调试、工程档案及资料移交、工程竣工和保修、配合完成达标投产和工程创优。承包范围内的所有工程施工需满足“国家电网有限公司输变电工程标准工艺”要求，并实行实物样板制。</w:t>
            </w:r>
          </w:p>
          <w:p w14:paraId="54D76D21">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②承包人负责的设备材料采购，应按进度计划及时开展，并将有关的采购结果及时向设计单位、监理人报告，以便设计单位及时开展施工图设计。如采购延误承包人应全权负责。</w:t>
            </w:r>
          </w:p>
          <w:p w14:paraId="789E7B7F">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③承包人的临建设施，应符合《建设工程施工现场消防安全技术规范》（GB 50720-2011）、《国家电网有限公司输变电工程建设安全管理规定》（国网（基建2）173-2021）、《特高压变电（换流）站工程安全文明施工标准化手册》的要求，并经过监理及业主项目部批准。</w:t>
            </w:r>
          </w:p>
          <w:p w14:paraId="4C32EDB9">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包括：</w:t>
            </w:r>
          </w:p>
          <w:p w14:paraId="21F78990">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所(站)内：机具、材料、办公等用房，设备及材料堆场，所（站）内临建设施占地须经监理人、发包人批准；</w:t>
            </w:r>
          </w:p>
          <w:p w14:paraId="76786A12">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所(站)外：为保证全站安全文明施工形象，本工程由业主单位负责在站外统一租赁集中办公、生产、生活临建用地。除此之外，如需要增加临时占地的，由承包人自己向有关部门办理申请手续并承担与之相关的所有费用（含租地、场平、复垦以及植被恢复等），所需费用由投标人在报价中自行考虑。</w:t>
            </w:r>
          </w:p>
          <w:p w14:paraId="092DEB6D">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临时建设用地由业主统一提供，在业主指定区域内建设集中办公临建、生产临建和生活临建。集中办公区临建等公共区域、附属设施由土建包单位负责设计、建设、运行维护、拆除（具备复耕条件）。</w:t>
            </w:r>
          </w:p>
          <w:p w14:paraId="2CF1528D">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临建生活用房、生产加工场地的建设、使用、维护及拆除由投标方自行考虑，并满足相关环保水保的要求，费用包含在投标报价中。生产临建和生活临建按照“谁使用、谁建设、谁维护、谁拆除”的原则，由使用方自行承担相关费用。生产临建和生活临建搭设位置、拆除计划需报业主项目部审批。</w:t>
            </w:r>
          </w:p>
          <w:p w14:paraId="2FEA1A05">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临建区域的建筑、临时道路、临时给排水、临时用电、宣传标识标语图牌等设施的建设、维护相关责任分工及费用分摊，请参考招标技术规范书。</w:t>
            </w:r>
          </w:p>
          <w:p w14:paraId="2C8EBEA4">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④承包人在施工准备及施工过程中，应关注工程周边的财产、工程建设以及场地周围建筑物和地下管线等情况，对有可能造成发包人方损失或对本工程建设有影响的情况及时通过监理人向发包人报告。承包人应采取切实有效措施保护周边建筑物、道路、水系和地下管线，不得超越征地红线范围施工。因承包人盲目施工或未充分考虑外部环境因素造成损失的，视情况由承包人承担相应的赔偿责任。</w:t>
            </w:r>
          </w:p>
          <w:p w14:paraId="3AE591A0">
            <w:pPr>
              <w:pStyle w:val="2"/>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sz w:val="18"/>
                <w:szCs w:val="18"/>
                <w:highlight w:val="none"/>
              </w:rPr>
              <w:t>⑤负责甲供设备材料保管工作，负责甲供设备材料卸车（不含主变压器及线路高抗）和协助发包人做好甲供设备材料催交工作。</w:t>
            </w:r>
          </w:p>
          <w:p w14:paraId="13BFE562">
            <w:pPr>
              <w:pStyle w:val="2"/>
              <w:rPr>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b/>
            </w:r>
            <w:r>
              <w:rPr>
                <w:rStyle w:val="37"/>
                <w:rFonts w:hint="eastAsia" w:asciiTheme="majorEastAsia" w:hAnsiTheme="majorEastAsia" w:eastAsiaTheme="majorEastAsia" w:cstheme="majorEastAsia"/>
                <w:color w:val="auto"/>
                <w:kern w:val="0"/>
                <w:sz w:val="18"/>
                <w:szCs w:val="18"/>
                <w:highlight w:val="none"/>
              </w:rPr>
              <w:t>⑥施工</w:t>
            </w:r>
            <w:r>
              <w:rPr>
                <w:rFonts w:hint="eastAsia" w:asciiTheme="majorEastAsia" w:hAnsiTheme="majorEastAsia" w:eastAsiaTheme="majorEastAsia" w:cstheme="majorEastAsia"/>
                <w:bCs/>
                <w:color w:val="auto"/>
                <w:kern w:val="0"/>
                <w:sz w:val="18"/>
                <w:szCs w:val="18"/>
                <w:highlight w:val="none"/>
              </w:rPr>
              <w:t>承包人应配合发包人，按要求完成工程在建期间的安全保障工作。承包人自身工作范围内安全保障由其自身负责。安保工作的范围包括所有施工区域（征地红线范围内）、所有进出口（含临建区大门、集中办公区大门、临时及永久围墙进出口）、集中办公区的安全保卫工作（包含整个工程建设期间）。人数满足现场（临建区域、站内区域）安全保卫的要求。各单位责任区域内（含站内、生产临建、生活临建）的设备、物资、工器具等由各单位自行负责安全保卫工作。费用自行测算，综合报价，结算时不予调整。</w:t>
            </w:r>
          </w:p>
          <w:p w14:paraId="2EEEF8B7">
            <w:pPr>
              <w:pStyle w:val="2"/>
              <w:rPr>
                <w:rFonts w:hint="eastAsia" w:asciiTheme="majorEastAsia" w:hAnsiTheme="majorEastAsia" w:eastAsiaTheme="majorEastAsia" w:cstheme="majorEastAsia"/>
                <w:bCs/>
                <w:color w:val="auto"/>
                <w:kern w:val="0"/>
                <w:sz w:val="18"/>
                <w:szCs w:val="18"/>
                <w:highlight w:val="none"/>
              </w:rPr>
            </w:pPr>
            <w:r>
              <w:rPr>
                <w:rFonts w:hint="eastAsia" w:asciiTheme="majorEastAsia" w:hAnsiTheme="majorEastAsia" w:eastAsiaTheme="majorEastAsia" w:cstheme="majorEastAsia"/>
                <w:bCs/>
                <w:color w:val="auto"/>
                <w:kern w:val="0"/>
                <w:sz w:val="18"/>
                <w:szCs w:val="18"/>
                <w:highlight w:val="none"/>
              </w:rPr>
              <w:t>⑦负责拆除工程物资的拆除、回收、保管及迹地恢复等工作。因建设引起，使周围耕种土地原有灌溉系统遭到破坏的恢复是承包人的承包范围，应认真、彻底、不遗留任何问题地解决好。</w:t>
            </w:r>
          </w:p>
          <w:p w14:paraId="5C43267E">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⑧</w:t>
            </w:r>
            <w:r>
              <w:rPr>
                <w:rFonts w:hint="eastAsia" w:asciiTheme="majorEastAsia" w:hAnsiTheme="majorEastAsia" w:eastAsiaTheme="majorEastAsia" w:cstheme="majorEastAsia"/>
                <w:bCs/>
                <w:color w:val="auto"/>
                <w:kern w:val="0"/>
                <w:sz w:val="18"/>
                <w:szCs w:val="18"/>
                <w:highlight w:val="none"/>
                <w:lang w:val="en-US" w:eastAsia="zh-CN"/>
              </w:rPr>
              <w:t>发包人或发包人委托的第三方需要</w:t>
            </w:r>
            <w:r>
              <w:rPr>
                <w:rFonts w:hint="eastAsia" w:asciiTheme="majorEastAsia" w:hAnsiTheme="majorEastAsia" w:eastAsiaTheme="majorEastAsia" w:cstheme="majorEastAsia"/>
                <w:bCs/>
                <w:color w:val="auto"/>
                <w:kern w:val="0"/>
                <w:sz w:val="18"/>
                <w:szCs w:val="18"/>
                <w:highlight w:val="none"/>
                <w:lang w:eastAsia="zh-CN"/>
              </w:rPr>
              <w:t>承包方提供用于</w:t>
            </w:r>
            <w:r>
              <w:rPr>
                <w:rFonts w:hint="eastAsia" w:asciiTheme="majorEastAsia" w:hAnsiTheme="majorEastAsia" w:eastAsiaTheme="majorEastAsia" w:cstheme="majorEastAsia"/>
                <w:bCs/>
                <w:color w:val="auto"/>
                <w:kern w:val="0"/>
                <w:sz w:val="18"/>
                <w:szCs w:val="18"/>
                <w:highlight w:val="none"/>
                <w:lang w:val="en-US" w:eastAsia="zh-CN"/>
              </w:rPr>
              <w:t>检测、</w:t>
            </w:r>
            <w:r>
              <w:rPr>
                <w:rFonts w:hint="eastAsia" w:asciiTheme="majorEastAsia" w:hAnsiTheme="majorEastAsia" w:eastAsiaTheme="majorEastAsia" w:cstheme="majorEastAsia"/>
                <w:bCs/>
                <w:color w:val="auto"/>
                <w:kern w:val="0"/>
                <w:sz w:val="18"/>
                <w:szCs w:val="18"/>
                <w:highlight w:val="none"/>
                <w:lang w:eastAsia="zh-CN"/>
              </w:rPr>
              <w:t>试验的乙供材料，承包方</w:t>
            </w:r>
            <w:r>
              <w:rPr>
                <w:rFonts w:hint="eastAsia" w:asciiTheme="majorEastAsia" w:hAnsiTheme="majorEastAsia" w:eastAsiaTheme="majorEastAsia" w:cstheme="majorEastAsia"/>
                <w:bCs/>
                <w:color w:val="auto"/>
                <w:kern w:val="0"/>
                <w:sz w:val="18"/>
                <w:szCs w:val="18"/>
                <w:highlight w:val="none"/>
                <w:lang w:val="en-US" w:eastAsia="zh-CN"/>
              </w:rPr>
              <w:t>须配合，</w:t>
            </w:r>
            <w:r>
              <w:rPr>
                <w:rFonts w:hint="eastAsia" w:asciiTheme="majorEastAsia" w:hAnsiTheme="majorEastAsia" w:eastAsiaTheme="majorEastAsia" w:cstheme="majorEastAsia"/>
                <w:bCs/>
                <w:color w:val="auto"/>
                <w:kern w:val="0"/>
                <w:sz w:val="18"/>
                <w:szCs w:val="18"/>
                <w:highlight w:val="none"/>
                <w:lang w:eastAsia="zh-CN"/>
              </w:rPr>
              <w:t>该部分材料费用已包含在合同价格中。</w:t>
            </w:r>
            <w:r>
              <w:rPr>
                <w:rFonts w:hint="eastAsia" w:asciiTheme="majorEastAsia" w:hAnsiTheme="majorEastAsia" w:eastAsiaTheme="majorEastAsia" w:cstheme="majorEastAsia"/>
                <w:bCs/>
                <w:color w:val="auto"/>
                <w:kern w:val="0"/>
                <w:sz w:val="18"/>
                <w:szCs w:val="18"/>
                <w:highlight w:val="none"/>
                <w:lang w:val="en-US" w:eastAsia="zh-CN"/>
              </w:rPr>
              <w:t>根据国家、行业、国家电网有限公司、省公司及发包人要求，需</w:t>
            </w:r>
            <w:r>
              <w:rPr>
                <w:rFonts w:hint="eastAsia" w:asciiTheme="majorEastAsia" w:hAnsiTheme="majorEastAsia" w:eastAsiaTheme="majorEastAsia" w:cstheme="majorEastAsia"/>
                <w:bCs/>
                <w:color w:val="auto"/>
                <w:kern w:val="0"/>
                <w:sz w:val="18"/>
                <w:szCs w:val="18"/>
                <w:highlight w:val="none"/>
                <w:lang w:eastAsia="zh-CN"/>
              </w:rPr>
              <w:t>现场抽检</w:t>
            </w:r>
            <w:r>
              <w:rPr>
                <w:rFonts w:hint="eastAsia" w:asciiTheme="majorEastAsia" w:hAnsiTheme="majorEastAsia" w:eastAsiaTheme="majorEastAsia" w:cstheme="majorEastAsia"/>
                <w:bCs/>
                <w:color w:val="auto"/>
                <w:kern w:val="0"/>
                <w:sz w:val="18"/>
                <w:szCs w:val="18"/>
                <w:highlight w:val="none"/>
                <w:lang w:val="en-US" w:eastAsia="zh-CN"/>
              </w:rPr>
              <w:t>或送检至第三方检测单位（或</w:t>
            </w:r>
            <w:r>
              <w:rPr>
                <w:rFonts w:hint="eastAsia" w:asciiTheme="majorEastAsia" w:hAnsiTheme="majorEastAsia" w:eastAsiaTheme="majorEastAsia" w:cstheme="majorEastAsia"/>
                <w:bCs/>
                <w:color w:val="auto"/>
                <w:kern w:val="0"/>
                <w:sz w:val="18"/>
                <w:szCs w:val="18"/>
                <w:highlight w:val="none"/>
                <w:lang w:eastAsia="zh-CN"/>
              </w:rPr>
              <w:t>相关实验室</w:t>
            </w:r>
            <w:r>
              <w:rPr>
                <w:rFonts w:hint="eastAsia" w:asciiTheme="majorEastAsia" w:hAnsiTheme="majorEastAsia" w:eastAsiaTheme="majorEastAsia" w:cstheme="majorEastAsia"/>
                <w:bCs/>
                <w:color w:val="auto"/>
                <w:kern w:val="0"/>
                <w:sz w:val="18"/>
                <w:szCs w:val="18"/>
                <w:highlight w:val="none"/>
                <w:lang w:val="en-US" w:eastAsia="zh-CN"/>
              </w:rPr>
              <w:t>）的</w:t>
            </w:r>
            <w:r>
              <w:rPr>
                <w:rFonts w:hint="eastAsia" w:asciiTheme="majorEastAsia" w:hAnsiTheme="majorEastAsia" w:eastAsiaTheme="majorEastAsia" w:cstheme="majorEastAsia"/>
                <w:bCs/>
                <w:color w:val="auto"/>
                <w:kern w:val="0"/>
                <w:sz w:val="18"/>
                <w:szCs w:val="18"/>
                <w:highlight w:val="none"/>
                <w:lang w:eastAsia="zh-CN"/>
              </w:rPr>
              <w:t>甲、</w:t>
            </w:r>
            <w:r>
              <w:rPr>
                <w:rFonts w:hint="eastAsia" w:asciiTheme="majorEastAsia" w:hAnsiTheme="majorEastAsia" w:eastAsiaTheme="majorEastAsia" w:cstheme="majorEastAsia"/>
                <w:bCs/>
                <w:color w:val="auto"/>
                <w:kern w:val="0"/>
                <w:sz w:val="18"/>
                <w:szCs w:val="18"/>
                <w:highlight w:val="none"/>
                <w:lang w:val="en-US" w:eastAsia="zh-CN"/>
              </w:rPr>
              <w:t>乙</w:t>
            </w:r>
            <w:r>
              <w:rPr>
                <w:rFonts w:hint="eastAsia" w:asciiTheme="majorEastAsia" w:hAnsiTheme="majorEastAsia" w:eastAsiaTheme="majorEastAsia" w:cstheme="majorEastAsia"/>
                <w:bCs/>
                <w:color w:val="auto"/>
                <w:kern w:val="0"/>
                <w:sz w:val="18"/>
                <w:szCs w:val="18"/>
                <w:highlight w:val="none"/>
                <w:lang w:eastAsia="zh-CN"/>
              </w:rPr>
              <w:t>供物资的</w:t>
            </w:r>
            <w:r>
              <w:rPr>
                <w:rFonts w:hint="eastAsia" w:asciiTheme="majorEastAsia" w:hAnsiTheme="majorEastAsia" w:eastAsiaTheme="majorEastAsia" w:cstheme="majorEastAsia"/>
                <w:bCs/>
                <w:color w:val="auto"/>
                <w:kern w:val="0"/>
                <w:sz w:val="18"/>
                <w:szCs w:val="18"/>
                <w:highlight w:val="none"/>
                <w:lang w:val="en-US" w:eastAsia="zh-CN"/>
              </w:rPr>
              <w:t>拆除、</w:t>
            </w:r>
            <w:r>
              <w:rPr>
                <w:rFonts w:hint="eastAsia" w:asciiTheme="majorEastAsia" w:hAnsiTheme="majorEastAsia" w:eastAsiaTheme="majorEastAsia" w:cstheme="majorEastAsia"/>
                <w:bCs/>
                <w:color w:val="auto"/>
                <w:kern w:val="0"/>
                <w:sz w:val="18"/>
                <w:szCs w:val="18"/>
                <w:highlight w:val="none"/>
                <w:lang w:eastAsia="zh-CN"/>
              </w:rPr>
              <w:t>装卸、</w:t>
            </w:r>
            <w:r>
              <w:rPr>
                <w:rFonts w:hint="eastAsia" w:asciiTheme="majorEastAsia" w:hAnsiTheme="majorEastAsia" w:eastAsiaTheme="majorEastAsia" w:cstheme="majorEastAsia"/>
                <w:bCs/>
                <w:color w:val="auto"/>
                <w:kern w:val="0"/>
                <w:sz w:val="18"/>
                <w:szCs w:val="18"/>
                <w:highlight w:val="none"/>
                <w:lang w:val="en-US" w:eastAsia="zh-CN"/>
              </w:rPr>
              <w:t>运输（包括往返）、安装</w:t>
            </w:r>
            <w:r>
              <w:rPr>
                <w:rFonts w:hint="eastAsia" w:asciiTheme="majorEastAsia" w:hAnsiTheme="majorEastAsia" w:eastAsiaTheme="majorEastAsia" w:cstheme="majorEastAsia"/>
                <w:bCs/>
                <w:color w:val="auto"/>
                <w:kern w:val="0"/>
                <w:sz w:val="18"/>
                <w:szCs w:val="18"/>
                <w:highlight w:val="none"/>
                <w:lang w:eastAsia="zh-CN"/>
              </w:rPr>
              <w:t>由承包方负责，</w:t>
            </w:r>
            <w:r>
              <w:rPr>
                <w:rFonts w:hint="eastAsia" w:asciiTheme="majorEastAsia" w:hAnsiTheme="majorEastAsia" w:eastAsiaTheme="majorEastAsia" w:cstheme="majorEastAsia"/>
                <w:bCs/>
                <w:color w:val="auto"/>
                <w:kern w:val="0"/>
                <w:sz w:val="18"/>
                <w:szCs w:val="18"/>
                <w:highlight w:val="none"/>
              </w:rPr>
              <w:t>费用自行测算，综合报价，结算时不予调整</w:t>
            </w:r>
            <w:r>
              <w:rPr>
                <w:rFonts w:hint="eastAsia" w:asciiTheme="majorEastAsia" w:hAnsiTheme="majorEastAsia" w:eastAsiaTheme="majorEastAsia" w:cstheme="majorEastAsia"/>
                <w:bCs/>
                <w:color w:val="auto"/>
                <w:kern w:val="0"/>
                <w:sz w:val="18"/>
                <w:szCs w:val="18"/>
                <w:highlight w:val="none"/>
                <w:lang w:eastAsia="zh-CN"/>
              </w:rPr>
              <w:t>。由于</w:t>
            </w:r>
            <w:r>
              <w:rPr>
                <w:rFonts w:hint="eastAsia" w:asciiTheme="majorEastAsia" w:hAnsiTheme="majorEastAsia" w:eastAsiaTheme="majorEastAsia" w:cstheme="majorEastAsia"/>
                <w:bCs/>
                <w:color w:val="auto"/>
                <w:kern w:val="0"/>
                <w:sz w:val="18"/>
                <w:szCs w:val="18"/>
                <w:highlight w:val="none"/>
                <w:lang w:val="en-US" w:eastAsia="zh-CN"/>
              </w:rPr>
              <w:t>承包人</w:t>
            </w:r>
            <w:r>
              <w:rPr>
                <w:rFonts w:hint="eastAsia" w:asciiTheme="majorEastAsia" w:hAnsiTheme="majorEastAsia" w:eastAsiaTheme="majorEastAsia" w:cstheme="majorEastAsia"/>
                <w:bCs/>
                <w:color w:val="auto"/>
                <w:kern w:val="0"/>
                <w:sz w:val="18"/>
                <w:szCs w:val="18"/>
                <w:highlight w:val="none"/>
                <w:lang w:eastAsia="zh-CN"/>
              </w:rPr>
              <w:t>自身材料采购、施工质量等原因造成的送检不合格，由</w:t>
            </w:r>
            <w:r>
              <w:rPr>
                <w:rFonts w:hint="eastAsia" w:asciiTheme="majorEastAsia" w:hAnsiTheme="majorEastAsia" w:eastAsiaTheme="majorEastAsia" w:cstheme="majorEastAsia"/>
                <w:bCs/>
                <w:color w:val="auto"/>
                <w:kern w:val="0"/>
                <w:sz w:val="18"/>
                <w:szCs w:val="18"/>
                <w:highlight w:val="none"/>
                <w:lang w:val="en-US" w:eastAsia="zh-CN"/>
              </w:rPr>
              <w:t>承包人</w:t>
            </w:r>
            <w:r>
              <w:rPr>
                <w:rFonts w:hint="eastAsia" w:asciiTheme="majorEastAsia" w:hAnsiTheme="majorEastAsia" w:eastAsiaTheme="majorEastAsia" w:cstheme="majorEastAsia"/>
                <w:bCs/>
                <w:color w:val="auto"/>
                <w:kern w:val="0"/>
                <w:sz w:val="18"/>
                <w:szCs w:val="18"/>
                <w:highlight w:val="none"/>
                <w:lang w:eastAsia="zh-CN"/>
              </w:rPr>
              <w:t>自行承担相关责任及因此增加的业主委托的第三方质量检测相关费用，费用自行测算，综合报价，结算时不予调整。</w:t>
            </w:r>
          </w:p>
          <w:p w14:paraId="7C929AB5">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w:t>
            </w:r>
            <w:r>
              <w:rPr>
                <w:rFonts w:hint="eastAsia" w:asciiTheme="majorEastAsia" w:hAnsiTheme="majorEastAsia" w:eastAsiaTheme="majorEastAsia" w:cstheme="majorEastAsia"/>
                <w:bCs/>
                <w:color w:val="auto"/>
                <w:kern w:val="0"/>
                <w:sz w:val="18"/>
                <w:szCs w:val="18"/>
                <w:highlight w:val="none"/>
                <w:lang w:val="en-US" w:eastAsia="zh-CN"/>
              </w:rPr>
              <w:t>7</w:t>
            </w:r>
            <w:r>
              <w:rPr>
                <w:rFonts w:hint="eastAsia" w:asciiTheme="majorEastAsia" w:hAnsiTheme="majorEastAsia" w:eastAsiaTheme="majorEastAsia" w:cstheme="majorEastAsia"/>
                <w:bCs/>
                <w:color w:val="auto"/>
                <w:kern w:val="0"/>
                <w:sz w:val="18"/>
                <w:szCs w:val="18"/>
                <w:highlight w:val="none"/>
                <w:lang w:eastAsia="zh-CN"/>
              </w:rPr>
              <w:t>）承包人应积极配合发包人开展工程创优相关工作：</w:t>
            </w:r>
          </w:p>
          <w:p w14:paraId="7A5E0D78">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1）创优工作所需的由地方政府部门出具的相关证书(含向相关部门报备、委托开展第三方工作并出具报告及评审等)统一由</w:t>
            </w:r>
            <w:r>
              <w:rPr>
                <w:rFonts w:hint="eastAsia" w:asciiTheme="majorEastAsia" w:hAnsiTheme="majorEastAsia" w:eastAsiaTheme="majorEastAsia" w:cstheme="majorEastAsia"/>
                <w:bCs/>
                <w:color w:val="auto"/>
                <w:kern w:val="0"/>
                <w:sz w:val="18"/>
                <w:szCs w:val="18"/>
                <w:highlight w:val="none"/>
                <w:lang w:val="en-US" w:eastAsia="zh-CN"/>
              </w:rPr>
              <w:t>电气</w:t>
            </w:r>
            <w:r>
              <w:rPr>
                <w:rFonts w:hint="eastAsia" w:asciiTheme="majorEastAsia" w:hAnsiTheme="majorEastAsia" w:eastAsiaTheme="majorEastAsia" w:cstheme="majorEastAsia"/>
                <w:bCs/>
                <w:color w:val="auto"/>
                <w:kern w:val="0"/>
                <w:sz w:val="18"/>
                <w:szCs w:val="18"/>
                <w:highlight w:val="none"/>
                <w:lang w:eastAsia="zh-CN"/>
              </w:rPr>
              <w:t>包负责办理，包括但不限于：①建设项目职业卫生专项验收；②建设项目安全设施竣工验收；③建设期未发生安全事故等相关证明；④劳动保障专项验收证书；⑤主要建筑物防雷接地检测报告；⑥建设项目安全设施“三同时”评价报告。以及办理上述证书所需要的其它支撑性文件、材料办理。其它各承包人负责相关配合工作，相关费用在综合报价统筹考虑，不再另行结算。</w:t>
            </w:r>
          </w:p>
          <w:p w14:paraId="553A0C44">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2）承包人应按照发包人要求开展各阶段宣传、汇报、工法及科技项目、申报优质工程等影像资料（含视频片）的采集与制作，并归档。根据业主项目部安排，每个承包单位至少制作2个视频（不含承包单位自己制作的科技、宣传等视频）。</w:t>
            </w:r>
          </w:p>
          <w:p w14:paraId="0CE91B80">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3）根据发包人安排，承包人应配合设备、材料厂家现场安装工作。各承包单位负责统筹负责所施工区域（按单位工程）的供货厂家施工项目的质量工艺落实及创优工作、施工资料的归档工作、安全管理工作。</w:t>
            </w:r>
          </w:p>
          <w:p w14:paraId="648D3471">
            <w:pPr>
              <w:pStyle w:val="2"/>
              <w:rPr>
                <w:rFonts w:hint="eastAsia" w:asciiTheme="majorEastAsia" w:hAnsiTheme="majorEastAsia" w:eastAsiaTheme="majorEastAsia" w:cstheme="majorEastAsia"/>
                <w:bCs/>
                <w:color w:val="auto"/>
                <w:kern w:val="0"/>
                <w:sz w:val="18"/>
                <w:szCs w:val="18"/>
                <w:highlight w:val="none"/>
              </w:rPr>
            </w:pPr>
            <w:r>
              <w:rPr>
                <w:rFonts w:hint="eastAsia" w:asciiTheme="majorEastAsia" w:hAnsiTheme="majorEastAsia" w:eastAsiaTheme="majorEastAsia" w:cstheme="majorEastAsia"/>
                <w:bCs/>
                <w:color w:val="auto"/>
                <w:kern w:val="0"/>
                <w:sz w:val="18"/>
                <w:szCs w:val="18"/>
                <w:highlight w:val="none"/>
              </w:rPr>
              <w:t>（</w:t>
            </w:r>
            <w:r>
              <w:rPr>
                <w:rFonts w:hint="eastAsia" w:asciiTheme="majorEastAsia" w:hAnsiTheme="majorEastAsia" w:eastAsiaTheme="majorEastAsia" w:cstheme="majorEastAsia"/>
                <w:bCs/>
                <w:color w:val="auto"/>
                <w:kern w:val="0"/>
                <w:sz w:val="18"/>
                <w:szCs w:val="18"/>
                <w:highlight w:val="none"/>
                <w:lang w:val="en-US" w:eastAsia="zh-CN"/>
              </w:rPr>
              <w:t>8</w:t>
            </w:r>
            <w:r>
              <w:rPr>
                <w:rFonts w:hint="eastAsia" w:asciiTheme="majorEastAsia" w:hAnsiTheme="majorEastAsia" w:eastAsiaTheme="majorEastAsia" w:cstheme="majorEastAsia"/>
                <w:bCs/>
                <w:color w:val="auto"/>
                <w:kern w:val="0"/>
                <w:sz w:val="18"/>
                <w:szCs w:val="18"/>
                <w:highlight w:val="none"/>
              </w:rPr>
              <w:t>）按发包人要求负责承担变电站工程施工标准化相关工作。</w:t>
            </w:r>
          </w:p>
          <w:p w14:paraId="45D5929F">
            <w:pPr>
              <w:pStyle w:val="2"/>
              <w:rPr>
                <w:rFonts w:hint="eastAsia" w:asciiTheme="majorEastAsia" w:hAnsiTheme="majorEastAsia" w:eastAsiaTheme="majorEastAsia" w:cstheme="majorEastAsia"/>
                <w:bCs/>
                <w:color w:val="auto"/>
                <w:kern w:val="0"/>
                <w:sz w:val="18"/>
                <w:szCs w:val="18"/>
                <w:highlight w:val="none"/>
              </w:rPr>
            </w:pPr>
            <w:r>
              <w:rPr>
                <w:rFonts w:hint="eastAsia" w:asciiTheme="majorEastAsia" w:hAnsiTheme="majorEastAsia" w:eastAsiaTheme="majorEastAsia" w:cstheme="majorEastAsia"/>
                <w:bCs/>
                <w:color w:val="auto"/>
                <w:kern w:val="0"/>
                <w:sz w:val="18"/>
                <w:szCs w:val="18"/>
                <w:highlight w:val="none"/>
              </w:rPr>
              <w:t>（</w:t>
            </w:r>
            <w:r>
              <w:rPr>
                <w:rFonts w:hint="eastAsia" w:asciiTheme="majorEastAsia" w:hAnsiTheme="majorEastAsia" w:eastAsiaTheme="majorEastAsia" w:cstheme="majorEastAsia"/>
                <w:bCs/>
                <w:color w:val="auto"/>
                <w:kern w:val="0"/>
                <w:sz w:val="18"/>
                <w:szCs w:val="18"/>
                <w:highlight w:val="none"/>
                <w:lang w:val="en-US" w:eastAsia="zh-CN"/>
              </w:rPr>
              <w:t>9</w:t>
            </w:r>
            <w:r>
              <w:rPr>
                <w:rFonts w:hint="eastAsia" w:asciiTheme="majorEastAsia" w:hAnsiTheme="majorEastAsia" w:eastAsiaTheme="majorEastAsia" w:cstheme="majorEastAsia"/>
                <w:bCs/>
                <w:color w:val="auto"/>
                <w:kern w:val="0"/>
                <w:sz w:val="18"/>
                <w:szCs w:val="18"/>
                <w:highlight w:val="none"/>
              </w:rPr>
              <w:t>）根据工程总体部署和安排，当工程进度调整或遇特殊情况，保证人力资源和设备的投入满足工程建设的需要。根据建设管理单位下发的一级进度计划节点合理安排充足的资源和设备投入，确保满足进度节点要求。（最终里程碑进度计划以国网特高压部印发的里程碑进度计划为准）</w:t>
            </w:r>
          </w:p>
          <w:p w14:paraId="4594FE61">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w:t>
            </w:r>
            <w:r>
              <w:rPr>
                <w:rFonts w:hint="eastAsia" w:asciiTheme="majorEastAsia" w:hAnsiTheme="majorEastAsia" w:eastAsiaTheme="majorEastAsia" w:cstheme="majorEastAsia"/>
                <w:bCs/>
                <w:color w:val="auto"/>
                <w:kern w:val="0"/>
                <w:sz w:val="18"/>
                <w:szCs w:val="18"/>
                <w:highlight w:val="none"/>
                <w:lang w:val="en-US" w:eastAsia="zh-CN"/>
              </w:rPr>
              <w:t>10</w:t>
            </w:r>
            <w:r>
              <w:rPr>
                <w:rFonts w:hint="eastAsia" w:asciiTheme="majorEastAsia" w:hAnsiTheme="majorEastAsia" w:eastAsiaTheme="majorEastAsia" w:cstheme="majorEastAsia"/>
                <w:bCs/>
                <w:color w:val="auto"/>
                <w:kern w:val="0"/>
                <w:sz w:val="18"/>
                <w:szCs w:val="18"/>
                <w:highlight w:val="none"/>
                <w:lang w:eastAsia="zh-CN"/>
              </w:rPr>
              <w:t>）临时施工电源（包括临建区域和站内1级配电箱及以上部分）的管理由</w:t>
            </w:r>
            <w:r>
              <w:rPr>
                <w:rFonts w:hint="eastAsia" w:asciiTheme="majorEastAsia" w:hAnsiTheme="majorEastAsia" w:eastAsiaTheme="majorEastAsia" w:cstheme="majorEastAsia"/>
                <w:bCs/>
                <w:color w:val="auto"/>
                <w:kern w:val="0"/>
                <w:sz w:val="18"/>
                <w:szCs w:val="18"/>
                <w:highlight w:val="none"/>
                <w:lang w:val="en-US" w:eastAsia="zh-CN"/>
              </w:rPr>
              <w:t>电气</w:t>
            </w:r>
            <w:r>
              <w:rPr>
                <w:rFonts w:hint="eastAsia" w:asciiTheme="majorEastAsia" w:hAnsiTheme="majorEastAsia" w:eastAsiaTheme="majorEastAsia" w:cstheme="majorEastAsia"/>
                <w:bCs/>
                <w:color w:val="auto"/>
                <w:kern w:val="0"/>
                <w:sz w:val="18"/>
                <w:szCs w:val="18"/>
                <w:highlight w:val="none"/>
                <w:lang w:eastAsia="zh-CN"/>
              </w:rPr>
              <w:t>包负责,各单位配合。要求各承包单位的2-3级电源箱大小、规格、型号、颜色及配置完全一样。</w:t>
            </w:r>
          </w:p>
          <w:p w14:paraId="1ABC7416">
            <w:pPr>
              <w:pStyle w:val="2"/>
              <w:rPr>
                <w:rFonts w:hint="eastAsia" w:asciiTheme="majorEastAsia" w:hAnsiTheme="majorEastAsia" w:eastAsiaTheme="majorEastAsia" w:cstheme="majorEastAsia"/>
                <w:bCs/>
                <w:color w:val="auto"/>
                <w:kern w:val="0"/>
                <w:sz w:val="18"/>
                <w:szCs w:val="18"/>
                <w:highlight w:val="none"/>
                <w:lang w:val="en-US" w:eastAsia="zh-CN"/>
              </w:rPr>
            </w:pPr>
            <w:r>
              <w:rPr>
                <w:rFonts w:hint="eastAsia" w:asciiTheme="majorEastAsia" w:hAnsiTheme="majorEastAsia" w:eastAsiaTheme="majorEastAsia" w:cstheme="majorEastAsia"/>
                <w:bCs/>
                <w:color w:val="auto"/>
                <w:kern w:val="0"/>
                <w:sz w:val="18"/>
                <w:szCs w:val="18"/>
                <w:highlight w:val="none"/>
              </w:rPr>
              <w:t>（</w:t>
            </w:r>
            <w:r>
              <w:rPr>
                <w:rFonts w:hint="eastAsia" w:asciiTheme="majorEastAsia" w:hAnsiTheme="majorEastAsia" w:eastAsiaTheme="majorEastAsia" w:cstheme="majorEastAsia"/>
                <w:bCs/>
                <w:color w:val="auto"/>
                <w:kern w:val="0"/>
                <w:sz w:val="18"/>
                <w:szCs w:val="18"/>
                <w:highlight w:val="none"/>
                <w:lang w:val="en-US" w:eastAsia="zh-CN"/>
              </w:rPr>
              <w:t>11</w:t>
            </w:r>
            <w:r>
              <w:rPr>
                <w:rFonts w:hint="eastAsia" w:asciiTheme="majorEastAsia" w:hAnsiTheme="majorEastAsia" w:eastAsiaTheme="majorEastAsia" w:cstheme="majorEastAsia"/>
                <w:bCs/>
                <w:color w:val="auto"/>
                <w:kern w:val="0"/>
                <w:sz w:val="18"/>
                <w:szCs w:val="18"/>
                <w:highlight w:val="none"/>
              </w:rPr>
              <w:t>）承包人负责承包范围内的各项检查、专项验收、影像拍摄等工作的服务。承包人负责各种会议的会务费用及专业咨询费用，负责现场配合工作和费用，包括以下会议内容：一般会议、各阶段外部协调、工作协调会议、重大方案审查、质量监督、质监检查、专项验收、安全质量专项检查、中间验收、档案资料专项检查、施工过程质量评价、质量咨询评价、绿色施工检查、安全协同检查、环水保检查及验收、新技术应用检查、启委会、调试、工程总结、工程投产、档案专项验收、达标投产、网优、行优、国家级优质工程检查、后评价检查等。请各投标单位在测算投标报价时综合考虑</w:t>
            </w:r>
            <w:r>
              <w:rPr>
                <w:rFonts w:hint="eastAsia" w:asciiTheme="majorEastAsia" w:hAnsiTheme="majorEastAsia" w:eastAsiaTheme="majorEastAsia" w:cstheme="majorEastAsia"/>
                <w:bCs/>
                <w:color w:val="auto"/>
                <w:kern w:val="0"/>
                <w:sz w:val="18"/>
                <w:szCs w:val="18"/>
                <w:highlight w:val="none"/>
                <w:lang w:eastAsia="zh-CN"/>
              </w:rPr>
              <w:t>，</w:t>
            </w:r>
            <w:r>
              <w:rPr>
                <w:rFonts w:hint="eastAsia" w:asciiTheme="majorEastAsia" w:hAnsiTheme="majorEastAsia" w:eastAsiaTheme="majorEastAsia" w:cstheme="majorEastAsia"/>
                <w:bCs/>
                <w:color w:val="auto"/>
                <w:kern w:val="0"/>
                <w:sz w:val="18"/>
                <w:szCs w:val="18"/>
                <w:highlight w:val="none"/>
                <w:lang w:val="en-US" w:eastAsia="zh-CN"/>
              </w:rPr>
              <w:t>结算不予调整。</w:t>
            </w:r>
          </w:p>
          <w:p w14:paraId="4841DC2E">
            <w:pPr>
              <w:pStyle w:val="2"/>
              <w:rPr>
                <w:rFonts w:hint="eastAsia" w:asciiTheme="majorEastAsia" w:hAnsiTheme="majorEastAsia" w:eastAsiaTheme="majorEastAsia" w:cstheme="majorEastAsia"/>
                <w:bCs/>
                <w:color w:val="auto"/>
                <w:kern w:val="0"/>
                <w:sz w:val="18"/>
                <w:szCs w:val="18"/>
                <w:highlight w:val="none"/>
              </w:rPr>
            </w:pPr>
            <w:r>
              <w:rPr>
                <w:rFonts w:hint="eastAsia" w:asciiTheme="majorEastAsia" w:hAnsiTheme="majorEastAsia" w:eastAsiaTheme="majorEastAsia" w:cstheme="majorEastAsia"/>
                <w:bCs/>
                <w:color w:val="auto"/>
                <w:kern w:val="0"/>
                <w:sz w:val="18"/>
                <w:szCs w:val="18"/>
                <w:highlight w:val="none"/>
              </w:rPr>
              <w:t>（</w:t>
            </w:r>
            <w:r>
              <w:rPr>
                <w:rFonts w:hint="eastAsia" w:asciiTheme="majorEastAsia" w:hAnsiTheme="majorEastAsia" w:eastAsiaTheme="majorEastAsia" w:cstheme="majorEastAsia"/>
                <w:bCs/>
                <w:color w:val="auto"/>
                <w:kern w:val="0"/>
                <w:sz w:val="18"/>
                <w:szCs w:val="18"/>
                <w:highlight w:val="none"/>
                <w:lang w:val="en-US" w:eastAsia="zh-CN"/>
              </w:rPr>
              <w:t>12</w:t>
            </w:r>
            <w:r>
              <w:rPr>
                <w:rFonts w:hint="eastAsia" w:asciiTheme="majorEastAsia" w:hAnsiTheme="majorEastAsia" w:eastAsiaTheme="majorEastAsia" w:cstheme="majorEastAsia"/>
                <w:bCs/>
                <w:color w:val="auto"/>
                <w:kern w:val="0"/>
                <w:sz w:val="18"/>
                <w:szCs w:val="18"/>
                <w:highlight w:val="none"/>
              </w:rPr>
              <w:t>）</w:t>
            </w:r>
            <w:r>
              <w:rPr>
                <w:rFonts w:hint="eastAsia" w:asciiTheme="majorEastAsia" w:hAnsiTheme="majorEastAsia" w:eastAsiaTheme="majorEastAsia" w:cstheme="majorEastAsia"/>
                <w:bCs/>
                <w:color w:val="auto"/>
                <w:kern w:val="0"/>
                <w:sz w:val="18"/>
                <w:szCs w:val="18"/>
                <w:highlight w:val="none"/>
                <w:lang w:eastAsia="zh-CN"/>
              </w:rPr>
              <w:t>各施工承包人应严格执行《国网特高压部、安监部关于印发《特高压工程(项目)安全管理体系》的通知》的相关要求。土建、电气施工承包人负责施工范围内甲供物资、设备运抵现场的设备物资现场定置化存放保管以及安装以后的成品保护，严格落实安全、消防、文明施工措施。土建、电气施工承包人负责协助发包人将供应商服务人员（压型钢板厂家服务人员由土建施工承包人负责）纳入施工项目部同质化管理，负责监督设备物资服务人员的安全管控工作。设备厂家人员进行设备维护和消缺施工时，若厂家人员不具备单独办理工作票资质，应由电气安装承包人办理工作票，厂家人员作为工作班成员开展工作。厂家人员应服从办票单位统一管理，办票单位在工作期间对厂家人员负安全管理责任。相关人员、安全管控费用自行测算，综合报价，结算时不予调整。</w:t>
            </w:r>
          </w:p>
          <w:p w14:paraId="30F61129">
            <w:pPr>
              <w:pStyle w:val="2"/>
              <w:rPr>
                <w:rFonts w:hint="eastAsia" w:asciiTheme="majorEastAsia" w:hAnsiTheme="majorEastAsia" w:eastAsiaTheme="majorEastAsia" w:cstheme="majorEastAsia"/>
                <w:bCs/>
                <w:color w:val="auto"/>
                <w:kern w:val="0"/>
                <w:sz w:val="18"/>
                <w:szCs w:val="18"/>
                <w:highlight w:val="none"/>
              </w:rPr>
            </w:pPr>
            <w:r>
              <w:rPr>
                <w:rFonts w:hint="eastAsia" w:asciiTheme="majorEastAsia" w:hAnsiTheme="majorEastAsia" w:eastAsiaTheme="majorEastAsia" w:cstheme="majorEastAsia"/>
                <w:bCs/>
                <w:color w:val="auto"/>
                <w:kern w:val="0"/>
                <w:sz w:val="18"/>
                <w:szCs w:val="18"/>
                <w:highlight w:val="none"/>
              </w:rPr>
              <w:t>（</w:t>
            </w:r>
            <w:r>
              <w:rPr>
                <w:rFonts w:hint="eastAsia" w:asciiTheme="majorEastAsia" w:hAnsiTheme="majorEastAsia" w:eastAsiaTheme="majorEastAsia" w:cstheme="majorEastAsia"/>
                <w:bCs/>
                <w:color w:val="auto"/>
                <w:kern w:val="0"/>
                <w:sz w:val="18"/>
                <w:szCs w:val="18"/>
                <w:highlight w:val="none"/>
                <w:lang w:val="en-US" w:eastAsia="zh-CN"/>
              </w:rPr>
              <w:t>13</w:t>
            </w:r>
            <w:r>
              <w:rPr>
                <w:rFonts w:hint="eastAsia" w:asciiTheme="majorEastAsia" w:hAnsiTheme="majorEastAsia" w:eastAsiaTheme="majorEastAsia" w:cstheme="majorEastAsia"/>
                <w:bCs/>
                <w:color w:val="auto"/>
                <w:kern w:val="0"/>
                <w:sz w:val="18"/>
                <w:szCs w:val="18"/>
                <w:highlight w:val="none"/>
              </w:rPr>
              <w:t>）承包人应了解并知悉</w:t>
            </w:r>
            <w:r>
              <w:rPr>
                <w:rFonts w:hint="eastAsia" w:asciiTheme="majorEastAsia" w:hAnsiTheme="majorEastAsia" w:eastAsiaTheme="majorEastAsia" w:cstheme="majorEastAsia"/>
                <w:bCs/>
                <w:strike w:val="0"/>
                <w:dstrike w:val="0"/>
                <w:color w:val="auto"/>
                <w:kern w:val="0"/>
                <w:sz w:val="18"/>
                <w:szCs w:val="18"/>
                <w:highlight w:val="none"/>
                <w:lang w:val="en-US" w:eastAsia="zh-CN"/>
              </w:rPr>
              <w:t>防疫</w:t>
            </w:r>
            <w:r>
              <w:rPr>
                <w:rFonts w:hint="eastAsia" w:asciiTheme="majorEastAsia" w:hAnsiTheme="majorEastAsia" w:eastAsiaTheme="majorEastAsia" w:cstheme="majorEastAsia"/>
                <w:bCs/>
                <w:color w:val="auto"/>
                <w:kern w:val="0"/>
                <w:sz w:val="18"/>
                <w:szCs w:val="18"/>
                <w:highlight w:val="none"/>
              </w:rPr>
              <w:t>对合同履行的影响及后果，承诺做好疫情防控措施，保证按约定履行合同义务。</w:t>
            </w:r>
          </w:p>
          <w:p w14:paraId="7FF5160E">
            <w:pPr>
              <w:pStyle w:val="2"/>
              <w:rPr>
                <w:rFonts w:hint="eastAsia" w:asciiTheme="majorEastAsia" w:hAnsiTheme="majorEastAsia" w:eastAsiaTheme="majorEastAsia" w:cstheme="majorEastAsia"/>
                <w:bCs/>
                <w:color w:val="auto"/>
                <w:kern w:val="0"/>
                <w:sz w:val="18"/>
                <w:szCs w:val="18"/>
                <w:highlight w:val="none"/>
              </w:rPr>
            </w:pPr>
            <w:r>
              <w:rPr>
                <w:rFonts w:hint="eastAsia" w:asciiTheme="majorEastAsia" w:hAnsiTheme="majorEastAsia" w:eastAsiaTheme="majorEastAsia" w:cstheme="majorEastAsia"/>
                <w:bCs/>
                <w:color w:val="auto"/>
                <w:kern w:val="0"/>
                <w:sz w:val="18"/>
                <w:szCs w:val="18"/>
                <w:highlight w:val="none"/>
              </w:rPr>
              <w:t>（1</w:t>
            </w:r>
            <w:r>
              <w:rPr>
                <w:rFonts w:hint="eastAsia" w:asciiTheme="majorEastAsia" w:hAnsiTheme="majorEastAsia" w:eastAsiaTheme="majorEastAsia" w:cstheme="majorEastAsia"/>
                <w:bCs/>
                <w:color w:val="auto"/>
                <w:kern w:val="0"/>
                <w:sz w:val="18"/>
                <w:szCs w:val="18"/>
                <w:highlight w:val="none"/>
                <w:lang w:val="en-US" w:eastAsia="zh-CN"/>
              </w:rPr>
              <w:t>4</w:t>
            </w:r>
            <w:r>
              <w:rPr>
                <w:rFonts w:hint="eastAsia" w:asciiTheme="majorEastAsia" w:hAnsiTheme="majorEastAsia" w:eastAsiaTheme="majorEastAsia" w:cstheme="majorEastAsia"/>
                <w:bCs/>
                <w:color w:val="auto"/>
                <w:kern w:val="0"/>
                <w:sz w:val="18"/>
                <w:szCs w:val="18"/>
                <w:highlight w:val="none"/>
              </w:rPr>
              <w:t>）做好“五必检、六必验”工作。</w:t>
            </w:r>
          </w:p>
          <w:p w14:paraId="0B4C4EFB">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w:t>
            </w:r>
            <w:r>
              <w:rPr>
                <w:rFonts w:hint="eastAsia" w:asciiTheme="majorEastAsia" w:hAnsiTheme="majorEastAsia" w:eastAsiaTheme="majorEastAsia" w:cstheme="majorEastAsia"/>
                <w:bCs/>
                <w:color w:val="auto"/>
                <w:kern w:val="0"/>
                <w:sz w:val="18"/>
                <w:szCs w:val="18"/>
                <w:highlight w:val="none"/>
                <w:lang w:val="en-US" w:eastAsia="zh-CN"/>
              </w:rPr>
              <w:t>15</w:t>
            </w:r>
            <w:r>
              <w:rPr>
                <w:rFonts w:hint="eastAsia" w:asciiTheme="majorEastAsia" w:hAnsiTheme="majorEastAsia" w:eastAsiaTheme="majorEastAsia" w:cstheme="majorEastAsia"/>
                <w:bCs/>
                <w:color w:val="auto"/>
                <w:kern w:val="0"/>
                <w:sz w:val="18"/>
                <w:szCs w:val="18"/>
                <w:highlight w:val="none"/>
                <w:lang w:eastAsia="zh-CN"/>
              </w:rPr>
              <w:t>）</w:t>
            </w:r>
            <w:r>
              <w:rPr>
                <w:rFonts w:hint="eastAsia" w:asciiTheme="majorEastAsia" w:hAnsiTheme="majorEastAsia" w:eastAsiaTheme="majorEastAsia" w:cstheme="majorEastAsia"/>
                <w:bCs/>
                <w:color w:val="auto"/>
                <w:kern w:val="0"/>
                <w:sz w:val="18"/>
                <w:szCs w:val="18"/>
                <w:highlight w:val="none"/>
              </w:rPr>
              <w:t>完成合同文件规定的其他工作。</w:t>
            </w:r>
          </w:p>
          <w:p w14:paraId="656EFE20">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w:t>
            </w:r>
            <w:r>
              <w:rPr>
                <w:rFonts w:hint="eastAsia" w:asciiTheme="majorEastAsia" w:hAnsiTheme="majorEastAsia" w:eastAsiaTheme="majorEastAsia" w:cstheme="majorEastAsia"/>
                <w:bCs/>
                <w:color w:val="auto"/>
                <w:kern w:val="0"/>
                <w:sz w:val="18"/>
                <w:szCs w:val="18"/>
                <w:highlight w:val="none"/>
                <w:lang w:val="en-US" w:eastAsia="zh-CN"/>
              </w:rPr>
              <w:t>16</w:t>
            </w:r>
            <w:r>
              <w:rPr>
                <w:rFonts w:hint="eastAsia" w:asciiTheme="majorEastAsia" w:hAnsiTheme="majorEastAsia" w:eastAsiaTheme="majorEastAsia" w:cstheme="majorEastAsia"/>
                <w:bCs/>
                <w:color w:val="auto"/>
                <w:kern w:val="0"/>
                <w:sz w:val="18"/>
                <w:szCs w:val="18"/>
                <w:highlight w:val="none"/>
                <w:lang w:eastAsia="zh-CN"/>
              </w:rPr>
              <w:t>）</w:t>
            </w:r>
            <w:r>
              <w:rPr>
                <w:rFonts w:hint="eastAsia" w:asciiTheme="majorEastAsia" w:hAnsiTheme="majorEastAsia" w:eastAsiaTheme="majorEastAsia" w:cstheme="majorEastAsia"/>
                <w:bCs/>
                <w:color w:val="auto"/>
                <w:kern w:val="0"/>
                <w:sz w:val="18"/>
                <w:szCs w:val="18"/>
                <w:highlight w:val="none"/>
              </w:rPr>
              <w:t>变电站土建施工</w:t>
            </w:r>
            <w:r>
              <w:rPr>
                <w:rFonts w:hint="eastAsia" w:asciiTheme="majorEastAsia" w:hAnsiTheme="majorEastAsia" w:eastAsiaTheme="majorEastAsia" w:cstheme="majorEastAsia"/>
                <w:bCs/>
                <w:color w:val="auto"/>
                <w:kern w:val="0"/>
                <w:sz w:val="18"/>
                <w:szCs w:val="18"/>
                <w:highlight w:val="none"/>
                <w:lang w:val="en-US" w:eastAsia="zh-CN"/>
              </w:rPr>
              <w:t>承包人</w:t>
            </w:r>
            <w:r>
              <w:rPr>
                <w:rFonts w:hint="eastAsia" w:asciiTheme="majorEastAsia" w:hAnsiTheme="majorEastAsia" w:eastAsiaTheme="majorEastAsia" w:cstheme="majorEastAsia"/>
                <w:bCs/>
                <w:color w:val="auto"/>
                <w:kern w:val="0"/>
                <w:sz w:val="18"/>
                <w:szCs w:val="18"/>
                <w:highlight w:val="none"/>
              </w:rPr>
              <w:t>、变电站电气安装施工</w:t>
            </w:r>
            <w:r>
              <w:rPr>
                <w:rFonts w:hint="eastAsia" w:asciiTheme="majorEastAsia" w:hAnsiTheme="majorEastAsia" w:eastAsiaTheme="majorEastAsia" w:cstheme="majorEastAsia"/>
                <w:bCs/>
                <w:color w:val="auto"/>
                <w:kern w:val="0"/>
                <w:sz w:val="18"/>
                <w:szCs w:val="18"/>
                <w:highlight w:val="none"/>
                <w:lang w:val="en-US" w:eastAsia="zh-CN"/>
              </w:rPr>
              <w:t>承包人</w:t>
            </w:r>
            <w:r>
              <w:rPr>
                <w:rFonts w:hint="eastAsia" w:asciiTheme="majorEastAsia" w:hAnsiTheme="majorEastAsia" w:eastAsiaTheme="majorEastAsia" w:cstheme="majorEastAsia"/>
                <w:bCs/>
                <w:color w:val="auto"/>
                <w:kern w:val="0"/>
                <w:sz w:val="18"/>
                <w:szCs w:val="18"/>
                <w:highlight w:val="none"/>
                <w:lang w:eastAsia="zh-CN"/>
              </w:rPr>
              <w:t>按国网公司、省公司及建管单位要求，在业主项目部指导下足额配备和应用移动式安全监控，全面满足E基建2.0、五库一平台等系统应用要求。费用自行测算，综合报价，结算时不予调整。</w:t>
            </w:r>
          </w:p>
          <w:p w14:paraId="3574E8EF">
            <w:pPr>
              <w:pStyle w:val="2"/>
              <w:rPr>
                <w:rFonts w:hint="eastAsia" w:asciiTheme="majorEastAsia" w:hAnsiTheme="majorEastAsia" w:eastAsiaTheme="majorEastAsia" w:cstheme="majorEastAsia"/>
                <w:bCs/>
                <w:color w:val="auto"/>
                <w:kern w:val="0"/>
                <w:sz w:val="18"/>
                <w:szCs w:val="18"/>
                <w:highlight w:val="none"/>
                <w:lang w:eastAsia="zh-CN"/>
              </w:rPr>
            </w:pPr>
            <w:r>
              <w:rPr>
                <w:rFonts w:hint="eastAsia" w:asciiTheme="majorEastAsia" w:hAnsiTheme="majorEastAsia" w:eastAsiaTheme="majorEastAsia" w:cstheme="majorEastAsia"/>
                <w:bCs/>
                <w:color w:val="auto"/>
                <w:kern w:val="0"/>
                <w:sz w:val="18"/>
                <w:szCs w:val="18"/>
                <w:highlight w:val="none"/>
                <w:lang w:eastAsia="zh-CN"/>
              </w:rPr>
              <w:t>（</w:t>
            </w:r>
            <w:r>
              <w:rPr>
                <w:rFonts w:hint="eastAsia" w:asciiTheme="majorEastAsia" w:hAnsiTheme="majorEastAsia" w:eastAsiaTheme="majorEastAsia" w:cstheme="majorEastAsia"/>
                <w:bCs/>
                <w:color w:val="auto"/>
                <w:kern w:val="0"/>
                <w:sz w:val="18"/>
                <w:szCs w:val="18"/>
                <w:highlight w:val="none"/>
                <w:lang w:val="en-US" w:eastAsia="zh-CN"/>
              </w:rPr>
              <w:t>17</w:t>
            </w:r>
            <w:r>
              <w:rPr>
                <w:rFonts w:hint="eastAsia" w:asciiTheme="majorEastAsia" w:hAnsiTheme="majorEastAsia" w:eastAsiaTheme="majorEastAsia" w:cstheme="majorEastAsia"/>
                <w:bCs/>
                <w:color w:val="auto"/>
                <w:kern w:val="0"/>
                <w:sz w:val="18"/>
                <w:szCs w:val="18"/>
                <w:highlight w:val="none"/>
                <w:lang w:eastAsia="zh-CN"/>
              </w:rPr>
              <w:t>）承包人应严格落实班组分级管理要求，每月将班组分级清单报业主项目部备案，动态匹配班组作业能力与作业风险等级，及时清退不合格班组。</w:t>
            </w:r>
          </w:p>
          <w:p w14:paraId="132DDEEF">
            <w:pPr>
              <w:pStyle w:val="2"/>
              <w:rPr>
                <w:rFonts w:hint="eastAsia" w:asciiTheme="majorEastAsia" w:hAnsiTheme="majorEastAsia" w:eastAsiaTheme="majorEastAsia" w:cstheme="majorEastAsia"/>
                <w:bCs/>
                <w:color w:val="auto"/>
                <w:kern w:val="0"/>
                <w:sz w:val="18"/>
                <w:szCs w:val="18"/>
                <w:highlight w:val="none"/>
                <w:lang w:val="en-US" w:eastAsia="zh-CN"/>
              </w:rPr>
            </w:pPr>
            <w:r>
              <w:rPr>
                <w:rFonts w:hint="eastAsia" w:asciiTheme="majorEastAsia" w:hAnsiTheme="majorEastAsia" w:eastAsiaTheme="majorEastAsia" w:cstheme="majorEastAsia"/>
                <w:bCs/>
                <w:color w:val="auto"/>
                <w:kern w:val="0"/>
                <w:sz w:val="18"/>
                <w:szCs w:val="18"/>
                <w:highlight w:val="none"/>
                <w:lang w:val="en-US" w:eastAsia="zh-CN"/>
              </w:rPr>
              <w:t>（18）工程要全面应用BIM+AR技术辅助开展建设管理和施工。变电站土建施工承包人负责牵头开展场平、桩基、土建施工阶段BIM+AR技术应用，相关工作及费用已纳入招标范围，投标人投标报价已综合考虑全部成本与风险，结算不再另行调整，由各承包人自行承担。电气施工标包负责电气设备安装阶段BIM+AR技术应用，相关工作及费用已纳入招标范围，投标人投标报价已综合考虑全部成本与风险，结算不再另行调整，电气施工标包中标单位各自承担相关费用。工程开工前交付满足应用深度需求的BIM模型，建设过程中开展施工组织、施工模拟、碰撞校核、培训交底、施工进度(工程量)统计、管线路径优化、AR施工指导等应用。具体BIM+AR技术应用以建设管理单位实际需求为准。</w:t>
            </w:r>
          </w:p>
          <w:p w14:paraId="5444B464">
            <w:pPr>
              <w:pStyle w:val="2"/>
              <w:rPr>
                <w:rFonts w:hint="eastAsia" w:asciiTheme="majorEastAsia" w:hAnsiTheme="majorEastAsia" w:eastAsiaTheme="majorEastAsia" w:cstheme="majorEastAsia"/>
                <w:bCs/>
                <w:color w:val="auto"/>
                <w:kern w:val="0"/>
                <w:sz w:val="18"/>
                <w:szCs w:val="18"/>
                <w:highlight w:val="none"/>
                <w:lang w:val="en-US" w:eastAsia="zh-CN"/>
              </w:rPr>
            </w:pPr>
          </w:p>
        </w:tc>
        <w:tc>
          <w:tcPr>
            <w:tcW w:w="461" w:type="dxa"/>
            <w:tcBorders>
              <w:top w:val="single" w:color="000000" w:sz="4" w:space="0"/>
              <w:left w:val="single" w:color="000000" w:sz="4" w:space="0"/>
              <w:bottom w:val="single" w:color="000000" w:sz="4" w:space="0"/>
              <w:right w:val="nil"/>
            </w:tcBorders>
            <w:vAlign w:val="center"/>
          </w:tcPr>
          <w:p w14:paraId="60649A92">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367E5FC8">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480" w:hRule="atLeast"/>
          <w:jc w:val="center"/>
        </w:trPr>
        <w:tc>
          <w:tcPr>
            <w:tcW w:w="748" w:type="dxa"/>
            <w:tcBorders>
              <w:top w:val="single" w:color="000000" w:sz="4" w:space="0"/>
              <w:left w:val="nil"/>
              <w:bottom w:val="single" w:color="000000" w:sz="4" w:space="0"/>
              <w:right w:val="single" w:color="000000" w:sz="4" w:space="0"/>
            </w:tcBorders>
            <w:vAlign w:val="center"/>
          </w:tcPr>
          <w:p w14:paraId="5B6458F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B8E480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专用条款第4.1.</w:t>
            </w:r>
            <w:r>
              <w:rPr>
                <w:rStyle w:val="37"/>
                <w:rFonts w:hint="eastAsia" w:asciiTheme="majorEastAsia" w:hAnsiTheme="majorEastAsia" w:eastAsiaTheme="majorEastAsia" w:cstheme="majorEastAsia"/>
                <w:color w:val="auto"/>
                <w:kern w:val="0"/>
                <w:sz w:val="18"/>
                <w:szCs w:val="18"/>
                <w:highlight w:val="none"/>
                <w:lang w:val="en-US" w:eastAsia="zh-CN"/>
              </w:rPr>
              <w:t>4</w:t>
            </w:r>
            <w:r>
              <w:rPr>
                <w:rStyle w:val="37"/>
                <w:rFonts w:hint="eastAsia" w:asciiTheme="majorEastAsia" w:hAnsiTheme="majorEastAsia" w:eastAsiaTheme="majorEastAsia" w:cstheme="majorEastAsia"/>
                <w:color w:val="auto"/>
                <w:kern w:val="0"/>
                <w:sz w:val="18"/>
                <w:szCs w:val="18"/>
                <w:highlight w:val="none"/>
              </w:rPr>
              <w:t>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27F7F52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4.1.4 对施工作业和施工方法的完备性负责（补充）</w:t>
            </w:r>
          </w:p>
          <w:p w14:paraId="6544E4C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承包人所有施工作业和施工方法应满足国家电网有限公司机械化施工要求。接受施工机械化率评价，且评价结果必须符合国家电网有限公司最新要求。</w:t>
            </w:r>
          </w:p>
        </w:tc>
        <w:tc>
          <w:tcPr>
            <w:tcW w:w="4275" w:type="dxa"/>
            <w:tcBorders>
              <w:top w:val="single" w:color="000000" w:sz="4" w:space="0"/>
              <w:left w:val="single" w:color="000000" w:sz="4" w:space="0"/>
              <w:bottom w:val="single" w:color="000000" w:sz="4" w:space="0"/>
              <w:right w:val="single" w:color="000000" w:sz="4" w:space="0"/>
            </w:tcBorders>
            <w:vAlign w:val="center"/>
          </w:tcPr>
          <w:p w14:paraId="248EE33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4.1.4 对施工作业和施工方法的完备性负责（补充）</w:t>
            </w:r>
          </w:p>
          <w:p w14:paraId="4FB01AA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所有施工作业和施工方法应满足国家电网有限公司机械化施工要求。承包人应按合同约定的工作内容和施工进度要求，编制施工组织设计和施工措施计划，承包人施工作业和施工方法应满足国家电网有限公司项目管理要求、国家电网有限公司机械化施工相关要求（包括编写机械化施工专项方案、填写机械化施工装备配置表、计算单项工程机械化率等）</w:t>
            </w:r>
            <w:r>
              <w:rPr>
                <w:rStyle w:val="37"/>
                <w:rFonts w:hint="eastAsia" w:asciiTheme="majorEastAsia" w:hAnsiTheme="majorEastAsia" w:eastAsiaTheme="majorEastAsia" w:cstheme="majorEastAsia"/>
                <w:color w:val="auto"/>
                <w:kern w:val="0"/>
                <w:sz w:val="18"/>
                <w:szCs w:val="18"/>
                <w:highlight w:val="none"/>
                <w:lang w:val="en-US" w:eastAsia="zh-CN"/>
              </w:rPr>
              <w:t>及国网公司“六精四化”要求</w:t>
            </w:r>
            <w:r>
              <w:rPr>
                <w:rStyle w:val="37"/>
                <w:rFonts w:hint="eastAsia" w:asciiTheme="majorEastAsia" w:hAnsiTheme="majorEastAsia" w:eastAsiaTheme="majorEastAsia" w:cstheme="majorEastAsia"/>
                <w:color w:val="auto"/>
                <w:kern w:val="0"/>
                <w:sz w:val="18"/>
                <w:szCs w:val="18"/>
                <w:highlight w:val="none"/>
              </w:rPr>
              <w:t>，并对所有施工作业和施工方法的完备性和安全可靠性负责。接受施工机械化率评价，且评价结果必须符合国家电网有限公司最新要求。</w:t>
            </w:r>
          </w:p>
          <w:p w14:paraId="06474F74">
            <w:pPr>
              <w:adjustRightInd w:val="0"/>
              <w:snapToGrid w:val="0"/>
              <w:ind w:firstLine="360" w:firstLineChars="200"/>
              <w:rPr>
                <w:rStyle w:val="37"/>
                <w:rFonts w:hint="eastAsia" w:asciiTheme="majorEastAsia" w:hAnsiTheme="majorEastAsia" w:eastAsiaTheme="majorEastAsia" w:cstheme="majorEastAsia"/>
                <w:color w:val="auto"/>
                <w:kern w:val="0"/>
                <w:sz w:val="18"/>
                <w:szCs w:val="18"/>
                <w:highlight w:val="none"/>
                <w:lang w:val="en-US" w:eastAsia="zh-CN"/>
              </w:rPr>
            </w:pPr>
            <w:r>
              <w:rPr>
                <w:rStyle w:val="37"/>
                <w:rFonts w:hint="default" w:asciiTheme="majorEastAsia" w:hAnsiTheme="majorEastAsia" w:eastAsiaTheme="majorEastAsia" w:cstheme="majorEastAsia"/>
                <w:color w:val="auto"/>
                <w:kern w:val="0"/>
                <w:sz w:val="18"/>
                <w:szCs w:val="18"/>
                <w:highlight w:val="none"/>
                <w:lang w:val="en-US" w:eastAsia="zh-CN"/>
              </w:rPr>
              <w:t>本工程现场应用智慧工地，主要功能为以施工机具数字化为基础、以智慧安装为主要特征的智慧工地。具体功能及实施方式以建设管理单位审定的方案为准。具体方案报建设管理单位组织审查后实施，施工</w:t>
            </w:r>
            <w:r>
              <w:rPr>
                <w:rStyle w:val="37"/>
                <w:rFonts w:hint="eastAsia" w:asciiTheme="majorEastAsia" w:hAnsiTheme="majorEastAsia" w:eastAsiaTheme="majorEastAsia" w:cstheme="majorEastAsia"/>
                <w:color w:val="auto"/>
                <w:kern w:val="0"/>
                <w:sz w:val="18"/>
                <w:szCs w:val="18"/>
                <w:highlight w:val="none"/>
                <w:lang w:val="en-US" w:eastAsia="zh-CN"/>
              </w:rPr>
              <w:t>承包人</w:t>
            </w:r>
            <w:r>
              <w:rPr>
                <w:rStyle w:val="37"/>
                <w:rFonts w:hint="default" w:asciiTheme="majorEastAsia" w:hAnsiTheme="majorEastAsia" w:eastAsiaTheme="majorEastAsia" w:cstheme="majorEastAsia"/>
                <w:color w:val="auto"/>
                <w:kern w:val="0"/>
                <w:sz w:val="18"/>
                <w:szCs w:val="18"/>
                <w:highlight w:val="none"/>
                <w:lang w:val="en-US" w:eastAsia="zh-CN"/>
              </w:rPr>
              <w:t>需配合完成智慧工地安装调试工作，提供可满足设备存放要求的机房，在建设工程中做好智慧工地设备的保管、运行、维护工作，提供智慧工地系统可稳定运行的网络条件。</w:t>
            </w:r>
            <w:bookmarkStart w:id="0" w:name="OLE_LINK2"/>
            <w:r>
              <w:rPr>
                <w:rStyle w:val="37"/>
                <w:rFonts w:hint="eastAsia" w:asciiTheme="majorEastAsia" w:hAnsiTheme="majorEastAsia" w:eastAsiaTheme="majorEastAsia" w:cstheme="majorEastAsia"/>
                <w:color w:val="auto"/>
                <w:kern w:val="0"/>
                <w:sz w:val="18"/>
                <w:szCs w:val="18"/>
                <w:highlight w:val="none"/>
                <w:lang w:val="en-US" w:eastAsia="zh-CN"/>
              </w:rPr>
              <w:t>施工承包人</w:t>
            </w:r>
            <w:bookmarkEnd w:id="0"/>
            <w:r>
              <w:rPr>
                <w:rStyle w:val="37"/>
                <w:rFonts w:hint="default" w:asciiTheme="majorEastAsia" w:hAnsiTheme="majorEastAsia" w:eastAsiaTheme="majorEastAsia" w:cstheme="majorEastAsia"/>
                <w:color w:val="auto"/>
                <w:kern w:val="0"/>
                <w:sz w:val="18"/>
                <w:szCs w:val="18"/>
                <w:highlight w:val="none"/>
                <w:lang w:val="en-US" w:eastAsia="zh-CN"/>
              </w:rPr>
              <w:t>负责基础设施、环保监测、系统集成工作，包括不限于配置监控摄像头、人员闸机、车辆闸机、微气象监测设备、监控大屏、大屏工作站、操作台、配套服务器等</w:t>
            </w:r>
            <w:r>
              <w:rPr>
                <w:rStyle w:val="37"/>
                <w:rFonts w:hint="eastAsia" w:asciiTheme="majorEastAsia" w:hAnsiTheme="majorEastAsia" w:eastAsiaTheme="majorEastAsia" w:cstheme="majorEastAsia"/>
                <w:color w:val="auto"/>
                <w:kern w:val="0"/>
                <w:sz w:val="18"/>
                <w:szCs w:val="18"/>
                <w:highlight w:val="none"/>
                <w:lang w:val="en-US" w:eastAsia="zh-CN"/>
              </w:rPr>
              <w:t>；施工承包人</w:t>
            </w:r>
            <w:r>
              <w:rPr>
                <w:rStyle w:val="37"/>
                <w:rFonts w:hint="default" w:asciiTheme="majorEastAsia" w:hAnsiTheme="majorEastAsia" w:eastAsiaTheme="majorEastAsia" w:cstheme="majorEastAsia"/>
                <w:color w:val="auto"/>
                <w:kern w:val="0"/>
                <w:sz w:val="18"/>
                <w:szCs w:val="18"/>
                <w:highlight w:val="none"/>
                <w:lang w:val="en-US" w:eastAsia="zh-CN"/>
              </w:rPr>
              <w:t>负责主设备智慧安装及交接试验工作，包括不限于配置满足主设备智慧安装及交接试验所需的智能化施工机具、工器具、监测装置</w:t>
            </w:r>
            <w:r>
              <w:rPr>
                <w:rStyle w:val="37"/>
                <w:rFonts w:hint="eastAsia" w:asciiTheme="majorEastAsia" w:hAnsiTheme="majorEastAsia" w:eastAsiaTheme="majorEastAsia" w:cstheme="majorEastAsia"/>
                <w:color w:val="auto"/>
                <w:kern w:val="0"/>
                <w:sz w:val="18"/>
                <w:szCs w:val="18"/>
                <w:highlight w:val="none"/>
                <w:lang w:val="en-US" w:eastAsia="zh-CN"/>
              </w:rPr>
              <w:t>，</w:t>
            </w:r>
            <w:r>
              <w:rPr>
                <w:rStyle w:val="37"/>
                <w:rFonts w:hint="default" w:asciiTheme="majorEastAsia" w:hAnsiTheme="majorEastAsia" w:eastAsiaTheme="majorEastAsia" w:cstheme="majorEastAsia"/>
                <w:color w:val="auto"/>
                <w:kern w:val="0"/>
                <w:sz w:val="18"/>
                <w:szCs w:val="18"/>
                <w:highlight w:val="none"/>
                <w:lang w:val="en-US" w:eastAsia="zh-CN"/>
              </w:rPr>
              <w:t>将智慧安装及交接试验数据按要求上传至e基建2.0。在</w:t>
            </w:r>
            <w:r>
              <w:rPr>
                <w:rStyle w:val="37"/>
                <w:rFonts w:hint="eastAsia" w:asciiTheme="majorEastAsia" w:hAnsiTheme="majorEastAsia" w:eastAsiaTheme="majorEastAsia" w:cstheme="majorEastAsia"/>
                <w:color w:val="auto"/>
                <w:kern w:val="0"/>
                <w:sz w:val="18"/>
                <w:szCs w:val="18"/>
                <w:highlight w:val="none"/>
                <w:lang w:val="en-US" w:eastAsia="zh-CN"/>
              </w:rPr>
              <w:t>GIL</w:t>
            </w:r>
            <w:r>
              <w:rPr>
                <w:rStyle w:val="37"/>
                <w:rFonts w:hint="default" w:asciiTheme="majorEastAsia" w:hAnsiTheme="majorEastAsia" w:eastAsiaTheme="majorEastAsia" w:cstheme="majorEastAsia"/>
                <w:color w:val="auto"/>
                <w:kern w:val="0"/>
                <w:sz w:val="18"/>
                <w:szCs w:val="18"/>
                <w:highlight w:val="none"/>
                <w:lang w:val="en-US" w:eastAsia="zh-CN"/>
              </w:rPr>
              <w:t>安装中，应用安装一体化气务处理专用</w:t>
            </w:r>
            <w:r>
              <w:rPr>
                <w:rStyle w:val="37"/>
                <w:rFonts w:hint="eastAsia" w:asciiTheme="majorEastAsia" w:hAnsiTheme="majorEastAsia" w:eastAsiaTheme="majorEastAsia" w:cstheme="majorEastAsia"/>
                <w:color w:val="auto"/>
                <w:kern w:val="0"/>
                <w:sz w:val="18"/>
                <w:szCs w:val="18"/>
                <w:highlight w:val="none"/>
                <w:lang w:val="en-US" w:eastAsia="zh-CN"/>
              </w:rPr>
              <w:t>装备</w:t>
            </w:r>
            <w:r>
              <w:rPr>
                <w:rStyle w:val="37"/>
                <w:rFonts w:hint="default" w:asciiTheme="majorEastAsia" w:hAnsiTheme="majorEastAsia" w:eastAsiaTheme="majorEastAsia" w:cstheme="majorEastAsia"/>
                <w:color w:val="auto"/>
                <w:kern w:val="0"/>
                <w:sz w:val="18"/>
                <w:szCs w:val="18"/>
                <w:highlight w:val="none"/>
                <w:lang w:val="en-US" w:eastAsia="zh-CN"/>
              </w:rPr>
              <w:t>、智能力矩扳手、环境监测设备等，实现气室抽真空、真空检漏、充气、气体检测、螺栓紧固力矩、作业环境等进行自动监控</w:t>
            </w:r>
            <w:r>
              <w:rPr>
                <w:rStyle w:val="37"/>
                <w:rFonts w:hint="eastAsia" w:asciiTheme="majorEastAsia" w:hAnsiTheme="majorEastAsia" w:eastAsiaTheme="majorEastAsia" w:cstheme="majorEastAsia"/>
                <w:color w:val="auto"/>
                <w:kern w:val="0"/>
                <w:sz w:val="18"/>
                <w:szCs w:val="18"/>
                <w:highlight w:val="none"/>
                <w:lang w:val="en-US" w:eastAsia="zh-CN"/>
              </w:rPr>
              <w:t>，</w:t>
            </w:r>
            <w:r>
              <w:rPr>
                <w:rStyle w:val="37"/>
                <w:rFonts w:hint="default" w:asciiTheme="majorEastAsia" w:hAnsiTheme="majorEastAsia" w:eastAsiaTheme="majorEastAsia" w:cstheme="majorEastAsia"/>
                <w:color w:val="auto"/>
                <w:kern w:val="0"/>
                <w:sz w:val="18"/>
                <w:szCs w:val="18"/>
                <w:highlight w:val="none"/>
                <w:lang w:val="en-US" w:eastAsia="zh-CN"/>
              </w:rPr>
              <w:t>配合 GIL 设备制造厂应用新型现场安装移动防尘车间和环境实时监测;配置满足主设备交接试验所需的</w:t>
            </w:r>
            <w:r>
              <w:rPr>
                <w:rStyle w:val="37"/>
                <w:rFonts w:hint="eastAsia" w:asciiTheme="majorEastAsia" w:hAnsiTheme="majorEastAsia" w:eastAsiaTheme="majorEastAsia" w:cstheme="majorEastAsia"/>
                <w:color w:val="auto"/>
                <w:kern w:val="0"/>
                <w:sz w:val="18"/>
                <w:szCs w:val="18"/>
                <w:highlight w:val="none"/>
                <w:lang w:val="en-US" w:eastAsia="zh-CN"/>
              </w:rPr>
              <w:t>智能</w:t>
            </w:r>
            <w:r>
              <w:rPr>
                <w:rStyle w:val="37"/>
                <w:rFonts w:hint="default" w:asciiTheme="majorEastAsia" w:hAnsiTheme="majorEastAsia" w:eastAsiaTheme="majorEastAsia" w:cstheme="majorEastAsia"/>
                <w:color w:val="auto"/>
                <w:kern w:val="0"/>
                <w:sz w:val="18"/>
                <w:szCs w:val="18"/>
                <w:highlight w:val="none"/>
                <w:lang w:val="en-US" w:eastAsia="zh-CN"/>
              </w:rPr>
              <w:t>化试验仪器，实现试验数据自动采集、自动分析，形成统一规范的结构化试验报告。费用自行测算，综合报价，结算时不予调整。</w:t>
            </w:r>
          </w:p>
        </w:tc>
        <w:tc>
          <w:tcPr>
            <w:tcW w:w="461" w:type="dxa"/>
            <w:tcBorders>
              <w:top w:val="single" w:color="000000" w:sz="4" w:space="0"/>
              <w:left w:val="single" w:color="000000" w:sz="4" w:space="0"/>
              <w:bottom w:val="single" w:color="000000" w:sz="4" w:space="0"/>
              <w:right w:val="nil"/>
            </w:tcBorders>
            <w:vAlign w:val="center"/>
          </w:tcPr>
          <w:p w14:paraId="0D6D80B2">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6A33FF2D">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683" w:hRule="atLeast"/>
          <w:jc w:val="center"/>
        </w:trPr>
        <w:tc>
          <w:tcPr>
            <w:tcW w:w="748" w:type="dxa"/>
            <w:tcBorders>
              <w:top w:val="single" w:color="000000" w:sz="4" w:space="0"/>
              <w:left w:val="nil"/>
              <w:bottom w:val="single" w:color="000000" w:sz="4" w:space="0"/>
              <w:right w:val="single" w:color="000000" w:sz="4" w:space="0"/>
            </w:tcBorders>
            <w:vAlign w:val="center"/>
          </w:tcPr>
          <w:p w14:paraId="3E88FEF4">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6FE777D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lang w:val="en-US" w:eastAsia="zh-CN"/>
              </w:rPr>
            </w:pPr>
            <w:r>
              <w:rPr>
                <w:rStyle w:val="37"/>
                <w:rFonts w:hint="eastAsia" w:asciiTheme="majorEastAsia" w:hAnsiTheme="majorEastAsia" w:eastAsiaTheme="majorEastAsia" w:cstheme="majorEastAsia"/>
                <w:color w:val="auto"/>
                <w:kern w:val="0"/>
                <w:sz w:val="18"/>
                <w:szCs w:val="18"/>
                <w:highlight w:val="none"/>
                <w:lang w:val="en-US" w:eastAsia="zh-CN"/>
              </w:rPr>
              <w:t>增加4.1.6条款</w:t>
            </w:r>
          </w:p>
        </w:tc>
        <w:tc>
          <w:tcPr>
            <w:tcW w:w="4052" w:type="dxa"/>
            <w:tcBorders>
              <w:top w:val="single" w:color="000000" w:sz="4" w:space="0"/>
              <w:left w:val="single" w:color="000000" w:sz="4" w:space="0"/>
              <w:bottom w:val="single" w:color="000000" w:sz="4" w:space="0"/>
              <w:right w:val="single" w:color="000000" w:sz="4" w:space="0"/>
            </w:tcBorders>
            <w:vAlign w:val="center"/>
          </w:tcPr>
          <w:p w14:paraId="1A96B5F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p w14:paraId="2C80DA3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tc>
        <w:tc>
          <w:tcPr>
            <w:tcW w:w="4275" w:type="dxa"/>
            <w:tcBorders>
              <w:top w:val="single" w:color="000000" w:sz="4" w:space="0"/>
              <w:left w:val="single" w:color="000000" w:sz="4" w:space="0"/>
              <w:bottom w:val="single" w:color="000000" w:sz="4" w:space="0"/>
              <w:right w:val="single" w:color="000000" w:sz="4" w:space="0"/>
            </w:tcBorders>
            <w:vAlign w:val="center"/>
          </w:tcPr>
          <w:p w14:paraId="519321B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4.1.6 </w:t>
            </w:r>
            <w:bookmarkStart w:id="1" w:name="_Hlk55119579"/>
            <w:r>
              <w:rPr>
                <w:rStyle w:val="37"/>
                <w:rFonts w:hint="eastAsia" w:asciiTheme="majorEastAsia" w:hAnsiTheme="majorEastAsia" w:eastAsiaTheme="majorEastAsia" w:cstheme="majorEastAsia"/>
                <w:color w:val="auto"/>
                <w:kern w:val="0"/>
                <w:sz w:val="18"/>
                <w:szCs w:val="18"/>
                <w:highlight w:val="none"/>
              </w:rPr>
              <w:t>负责施工场地及其周边环境与生态的保护工作</w:t>
            </w:r>
            <w:bookmarkEnd w:id="1"/>
          </w:p>
          <w:p w14:paraId="45B83D0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（修改为）：</w:t>
            </w:r>
          </w:p>
          <w:p w14:paraId="256D3D9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lang w:val="en-US" w:eastAsia="zh-CN"/>
              </w:rPr>
            </w:pPr>
            <w:r>
              <w:rPr>
                <w:rStyle w:val="37"/>
                <w:rFonts w:hint="eastAsia" w:asciiTheme="majorEastAsia" w:hAnsiTheme="majorEastAsia" w:eastAsiaTheme="majorEastAsia" w:cstheme="majorEastAsia"/>
                <w:color w:val="auto"/>
                <w:kern w:val="0"/>
                <w:sz w:val="18"/>
                <w:szCs w:val="18"/>
                <w:highlight w:val="none"/>
              </w:rPr>
              <w:t>承包人应按照第9.4款约定负责施工场地及其周边的环境与生态的保护工作。承包人必须采取切实有效的措施保护古树林木和文物，对于因承包人原因造成的一切损失和后果由承包人负担。</w:t>
            </w:r>
          </w:p>
        </w:tc>
        <w:tc>
          <w:tcPr>
            <w:tcW w:w="461" w:type="dxa"/>
            <w:tcBorders>
              <w:top w:val="single" w:color="000000" w:sz="4" w:space="0"/>
              <w:left w:val="single" w:color="000000" w:sz="4" w:space="0"/>
              <w:bottom w:val="single" w:color="000000" w:sz="4" w:space="0"/>
              <w:right w:val="nil"/>
            </w:tcBorders>
            <w:vAlign w:val="center"/>
          </w:tcPr>
          <w:p w14:paraId="1C02411B">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00ED88C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339" w:hRule="atLeast"/>
          <w:jc w:val="center"/>
        </w:trPr>
        <w:tc>
          <w:tcPr>
            <w:tcW w:w="748" w:type="dxa"/>
            <w:tcBorders>
              <w:top w:val="single" w:color="000000" w:sz="4" w:space="0"/>
              <w:left w:val="nil"/>
              <w:bottom w:val="single" w:color="000000" w:sz="4" w:space="0"/>
              <w:right w:val="single" w:color="000000" w:sz="4" w:space="0"/>
            </w:tcBorders>
            <w:vAlign w:val="center"/>
          </w:tcPr>
          <w:p w14:paraId="6664214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A99E88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lang w:val="en-US" w:eastAsia="zh-CN"/>
              </w:rPr>
            </w:pPr>
            <w:r>
              <w:rPr>
                <w:rStyle w:val="37"/>
                <w:rFonts w:hint="eastAsia" w:asciiTheme="majorEastAsia" w:hAnsiTheme="majorEastAsia" w:eastAsiaTheme="majorEastAsia" w:cstheme="majorEastAsia"/>
                <w:color w:val="auto"/>
                <w:kern w:val="0"/>
                <w:sz w:val="18"/>
                <w:szCs w:val="18"/>
                <w:highlight w:val="none"/>
                <w:lang w:val="en-US" w:eastAsia="zh-CN"/>
              </w:rPr>
              <w:t>增加4.1.7条款</w:t>
            </w:r>
          </w:p>
        </w:tc>
        <w:tc>
          <w:tcPr>
            <w:tcW w:w="4052" w:type="dxa"/>
            <w:tcBorders>
              <w:top w:val="single" w:color="000000" w:sz="4" w:space="0"/>
              <w:left w:val="single" w:color="000000" w:sz="4" w:space="0"/>
              <w:bottom w:val="single" w:color="000000" w:sz="4" w:space="0"/>
              <w:right w:val="single" w:color="000000" w:sz="4" w:space="0"/>
            </w:tcBorders>
            <w:vAlign w:val="center"/>
          </w:tcPr>
          <w:p w14:paraId="7212B18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tc>
        <w:tc>
          <w:tcPr>
            <w:tcW w:w="4275" w:type="dxa"/>
            <w:tcBorders>
              <w:top w:val="single" w:color="000000" w:sz="4" w:space="0"/>
              <w:left w:val="single" w:color="000000" w:sz="4" w:space="0"/>
              <w:bottom w:val="single" w:color="000000" w:sz="4" w:space="0"/>
              <w:right w:val="single" w:color="000000" w:sz="4" w:space="0"/>
            </w:tcBorders>
            <w:vAlign w:val="center"/>
          </w:tcPr>
          <w:p w14:paraId="3EDFBD2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4.1.7 避免施工对公众与他人的利益造成损害</w:t>
            </w:r>
          </w:p>
          <w:p w14:paraId="38C6B92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（修改为）：</w:t>
            </w:r>
          </w:p>
          <w:p w14:paraId="4998EB8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在进行合同约定的各项工作时，不得侵害发包人与他人使用公用道路、水源、市政管网等公共设施的权利，避免对邻近的公共设施产生干扰。承包人施工作业过程中，应随时关注工程周边的财产、工程建设、场地周围建筑物以及地下管线等情况，对有可能造成发包人方损失或对本工程建设有影响的情况及时通过监理人向发包人报告。承包人占用或使用他人的施工场地，影响他人作业或生活的，应承担相应责任。承包人应保护并保障发包人免于承担应由承包人负责的上述事项所导致的一切索赔。</w:t>
            </w:r>
          </w:p>
          <w:p w14:paraId="7E88CDB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tc>
        <w:tc>
          <w:tcPr>
            <w:tcW w:w="461" w:type="dxa"/>
            <w:tcBorders>
              <w:top w:val="single" w:color="000000" w:sz="4" w:space="0"/>
              <w:left w:val="single" w:color="000000" w:sz="4" w:space="0"/>
              <w:bottom w:val="single" w:color="000000" w:sz="4" w:space="0"/>
              <w:right w:val="nil"/>
            </w:tcBorders>
            <w:vAlign w:val="center"/>
          </w:tcPr>
          <w:p w14:paraId="61F84E1C">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513170E3">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48" w:type="dxa"/>
            <w:tcBorders>
              <w:top w:val="single" w:color="000000" w:sz="4" w:space="0"/>
              <w:left w:val="nil"/>
              <w:bottom w:val="single" w:color="000000" w:sz="4" w:space="0"/>
              <w:right w:val="single" w:color="000000" w:sz="4" w:space="0"/>
            </w:tcBorders>
            <w:vAlign w:val="center"/>
          </w:tcPr>
          <w:p w14:paraId="76E320A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835748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专用条款第4.1.1</w:t>
            </w:r>
            <w:r>
              <w:rPr>
                <w:rStyle w:val="37"/>
                <w:rFonts w:hint="eastAsia" w:asciiTheme="majorEastAsia" w:hAnsiTheme="majorEastAsia" w:eastAsiaTheme="majorEastAsia" w:cstheme="majorEastAsia"/>
                <w:color w:val="auto"/>
                <w:kern w:val="0"/>
                <w:sz w:val="18"/>
                <w:szCs w:val="18"/>
                <w:highlight w:val="none"/>
                <w:lang w:val="en-US" w:eastAsia="zh-CN"/>
              </w:rPr>
              <w:t>3</w:t>
            </w:r>
            <w:r>
              <w:rPr>
                <w:rStyle w:val="37"/>
                <w:rFonts w:hint="eastAsia" w:asciiTheme="majorEastAsia" w:hAnsiTheme="majorEastAsia" w:eastAsiaTheme="majorEastAsia" w:cstheme="majorEastAsia"/>
                <w:color w:val="auto"/>
                <w:kern w:val="0"/>
                <w:sz w:val="18"/>
                <w:szCs w:val="18"/>
                <w:highlight w:val="none"/>
              </w:rPr>
              <w:t>.1 条</w:t>
            </w:r>
          </w:p>
          <w:p w14:paraId="5694F477">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c>
          <w:tcPr>
            <w:tcW w:w="4052" w:type="dxa"/>
            <w:tcBorders>
              <w:top w:val="single" w:color="000000" w:sz="4" w:space="0"/>
              <w:left w:val="single" w:color="000000" w:sz="4" w:space="0"/>
              <w:bottom w:val="single" w:color="000000" w:sz="4" w:space="0"/>
              <w:right w:val="single" w:color="000000" w:sz="4" w:space="0"/>
            </w:tcBorders>
            <w:vAlign w:val="center"/>
          </w:tcPr>
          <w:p w14:paraId="5626DCF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4.1.1</w:t>
            </w:r>
            <w:r>
              <w:rPr>
                <w:rStyle w:val="37"/>
                <w:rFonts w:hint="eastAsia" w:asciiTheme="majorEastAsia" w:hAnsiTheme="majorEastAsia" w:eastAsiaTheme="majorEastAsia" w:cstheme="majorEastAsia"/>
                <w:color w:val="auto"/>
                <w:kern w:val="0"/>
                <w:sz w:val="18"/>
                <w:szCs w:val="18"/>
                <w:highlight w:val="none"/>
                <w:lang w:val="en-US" w:eastAsia="zh-CN"/>
              </w:rPr>
              <w:t>3</w:t>
            </w:r>
            <w:r>
              <w:rPr>
                <w:rStyle w:val="37"/>
                <w:rFonts w:hint="eastAsia" w:asciiTheme="majorEastAsia" w:hAnsiTheme="majorEastAsia" w:eastAsiaTheme="majorEastAsia" w:cstheme="majorEastAsia"/>
                <w:color w:val="auto"/>
                <w:kern w:val="0"/>
                <w:sz w:val="18"/>
                <w:szCs w:val="18"/>
                <w:highlight w:val="none"/>
              </w:rPr>
              <w:t>.1 安全文明施工费必须专款专用。项目提取的安全文明施工费立足满足工程现场安全防护和环境改善需要，优先用于保证工程建设过程达到安全生产标准化要求所需的支出，承包人应按照发包人提供的安全文明施工设施标准化配置表的要求编制工程开工报验单，经监理项目部审核、业主项目部批准后，严格按上报计划实施。承包人要及时向施工项目部支付安全文明施工费用，并履行检查监督职责。对达不到安全标准化要求、安全文明施工费用不足的工程项目，施工企业应补充资金，满足安全标准化要求，超出部分由承包人自行承担。</w:t>
            </w:r>
          </w:p>
          <w:p w14:paraId="4024E15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tc>
        <w:tc>
          <w:tcPr>
            <w:tcW w:w="4275" w:type="dxa"/>
            <w:tcBorders>
              <w:top w:val="single" w:color="000000" w:sz="4" w:space="0"/>
              <w:left w:val="single" w:color="000000" w:sz="4" w:space="0"/>
              <w:bottom w:val="single" w:color="000000" w:sz="4" w:space="0"/>
              <w:right w:val="single" w:color="000000" w:sz="4" w:space="0"/>
            </w:tcBorders>
            <w:vAlign w:val="center"/>
          </w:tcPr>
          <w:p w14:paraId="5E67DCFF">
            <w:pPr>
              <w:snapToGrid w:val="0"/>
              <w:spacing w:line="240" w:lineRule="atLeast"/>
              <w:jc w:val="lef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6E4CFAC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4.1.1</w:t>
            </w:r>
            <w:r>
              <w:rPr>
                <w:rStyle w:val="37"/>
                <w:rFonts w:hint="eastAsia" w:asciiTheme="majorEastAsia" w:hAnsiTheme="majorEastAsia" w:eastAsiaTheme="majorEastAsia" w:cstheme="majorEastAsia"/>
                <w:color w:val="auto"/>
                <w:kern w:val="0"/>
                <w:sz w:val="18"/>
                <w:szCs w:val="18"/>
                <w:highlight w:val="none"/>
                <w:lang w:val="en-US" w:eastAsia="zh-CN"/>
              </w:rPr>
              <w:t>3</w:t>
            </w:r>
            <w:r>
              <w:rPr>
                <w:rStyle w:val="37"/>
                <w:rFonts w:hint="eastAsia" w:asciiTheme="majorEastAsia" w:hAnsiTheme="majorEastAsia" w:eastAsiaTheme="majorEastAsia" w:cstheme="majorEastAsia"/>
                <w:color w:val="auto"/>
                <w:kern w:val="0"/>
                <w:sz w:val="18"/>
                <w:szCs w:val="18"/>
                <w:highlight w:val="none"/>
              </w:rPr>
              <w:t>.1安全文明施工费必须专款专用。项目提取的安全文明施工费计提、使用应立足满足工程现场安全防护和环境改善需要，优先用于保证安全隐患整改治理和达到安全文明施工标准化要求所需的支出，执行《输变电工程建设安全文明施工规程》。安全文明施工设施在现场安装、配置后，承包人填写《输变电工程安全文明施工设施标准化配置表》和《安全文明施工设施进场验收单》，经施工项目经理签字确认后，报监理项目部审核验收，业主项目部审批。承包人要及时向施工项目部支付安全文明施工费，并履行检查监督职责。对达不到安全文明施工标准化要求、安全文明施工费不足的工程项目，承包人应及时补充资金，满足安全文明施工标准化要求，超出部分由承包人自行承担。</w:t>
            </w:r>
          </w:p>
        </w:tc>
        <w:tc>
          <w:tcPr>
            <w:tcW w:w="461" w:type="dxa"/>
            <w:tcBorders>
              <w:top w:val="single" w:color="000000" w:sz="4" w:space="0"/>
              <w:left w:val="single" w:color="000000" w:sz="4" w:space="0"/>
              <w:bottom w:val="single" w:color="000000" w:sz="4" w:space="0"/>
              <w:right w:val="nil"/>
            </w:tcBorders>
            <w:vAlign w:val="center"/>
          </w:tcPr>
          <w:p w14:paraId="1062E4BA">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1A78818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48" w:type="dxa"/>
            <w:tcBorders>
              <w:top w:val="single" w:color="000000" w:sz="4" w:space="0"/>
              <w:left w:val="nil"/>
              <w:bottom w:val="single" w:color="000000" w:sz="4" w:space="0"/>
              <w:right w:val="single" w:color="000000" w:sz="4" w:space="0"/>
            </w:tcBorders>
            <w:vAlign w:val="center"/>
          </w:tcPr>
          <w:p w14:paraId="3802488F">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D58D29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专用条款第4.1.1</w:t>
            </w:r>
            <w:r>
              <w:rPr>
                <w:rStyle w:val="37"/>
                <w:rFonts w:hint="eastAsia" w:asciiTheme="majorEastAsia" w:hAnsiTheme="majorEastAsia" w:eastAsiaTheme="majorEastAsia" w:cstheme="majorEastAsia"/>
                <w:color w:val="auto"/>
                <w:kern w:val="0"/>
                <w:sz w:val="18"/>
                <w:szCs w:val="18"/>
                <w:highlight w:val="none"/>
                <w:lang w:val="en-US" w:eastAsia="zh-CN"/>
              </w:rPr>
              <w:t>3</w:t>
            </w:r>
            <w:r>
              <w:rPr>
                <w:rStyle w:val="37"/>
                <w:rFonts w:hint="eastAsia" w:asciiTheme="majorEastAsia" w:hAnsiTheme="majorEastAsia" w:eastAsiaTheme="majorEastAsia" w:cstheme="majorEastAsia"/>
                <w:color w:val="auto"/>
                <w:kern w:val="0"/>
                <w:sz w:val="18"/>
                <w:szCs w:val="18"/>
                <w:highlight w:val="none"/>
              </w:rPr>
              <w:t>.1</w:t>
            </w:r>
            <w:r>
              <w:rPr>
                <w:rStyle w:val="37"/>
                <w:rFonts w:hint="eastAsia" w:asciiTheme="majorEastAsia" w:hAnsiTheme="majorEastAsia" w:eastAsiaTheme="majorEastAsia" w:cstheme="majorEastAsia"/>
                <w:color w:val="auto"/>
                <w:kern w:val="0"/>
                <w:sz w:val="18"/>
                <w:szCs w:val="18"/>
                <w:highlight w:val="none"/>
                <w:lang w:val="en-US" w:eastAsia="zh-CN"/>
              </w:rPr>
              <w:t>4</w:t>
            </w:r>
            <w:r>
              <w:rPr>
                <w:rStyle w:val="37"/>
                <w:rFonts w:hint="eastAsia" w:asciiTheme="majorEastAsia" w:hAnsiTheme="majorEastAsia" w:eastAsiaTheme="majorEastAsia" w:cstheme="majorEastAsia"/>
                <w:color w:val="auto"/>
                <w:kern w:val="0"/>
                <w:sz w:val="18"/>
                <w:szCs w:val="18"/>
                <w:highlight w:val="none"/>
              </w:rPr>
              <w:t xml:space="preserve"> 条</w:t>
            </w:r>
          </w:p>
          <w:p w14:paraId="3CEE7CD7">
            <w:pPr>
              <w:snapToGrid w:val="0"/>
              <w:spacing w:line="240" w:lineRule="atLeast"/>
              <w:jc w:val="center"/>
              <w:rPr>
                <w:rFonts w:hint="eastAsia" w:asciiTheme="majorEastAsia" w:hAnsiTheme="majorEastAsia" w:eastAsiaTheme="majorEastAsia" w:cstheme="majorEastAsia"/>
                <w:color w:val="auto"/>
                <w:kern w:val="0"/>
                <w:sz w:val="18"/>
                <w:szCs w:val="18"/>
                <w:highlight w:val="none"/>
              </w:rPr>
            </w:pPr>
          </w:p>
        </w:tc>
        <w:tc>
          <w:tcPr>
            <w:tcW w:w="4052" w:type="dxa"/>
            <w:tcBorders>
              <w:top w:val="single" w:color="000000" w:sz="4" w:space="0"/>
              <w:left w:val="single" w:color="000000" w:sz="4" w:space="0"/>
              <w:bottom w:val="single" w:color="000000" w:sz="4" w:space="0"/>
              <w:right w:val="single" w:color="000000" w:sz="4" w:space="0"/>
            </w:tcBorders>
            <w:vAlign w:val="center"/>
          </w:tcPr>
          <w:p w14:paraId="5F25D3C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4.1.1</w:t>
            </w:r>
            <w:r>
              <w:rPr>
                <w:rStyle w:val="37"/>
                <w:rFonts w:hint="eastAsia" w:asciiTheme="majorEastAsia" w:hAnsiTheme="majorEastAsia" w:eastAsiaTheme="majorEastAsia" w:cstheme="majorEastAsia"/>
                <w:color w:val="auto"/>
                <w:kern w:val="0"/>
                <w:sz w:val="18"/>
                <w:szCs w:val="18"/>
                <w:highlight w:val="none"/>
                <w:lang w:val="en-US" w:eastAsia="zh-CN"/>
              </w:rPr>
              <w:t>3</w:t>
            </w:r>
            <w:r>
              <w:rPr>
                <w:rStyle w:val="37"/>
                <w:rFonts w:hint="eastAsia" w:asciiTheme="majorEastAsia" w:hAnsiTheme="majorEastAsia" w:eastAsiaTheme="majorEastAsia" w:cstheme="majorEastAsia"/>
                <w:color w:val="auto"/>
                <w:kern w:val="0"/>
                <w:sz w:val="18"/>
                <w:szCs w:val="18"/>
                <w:highlight w:val="none"/>
              </w:rPr>
              <w:t>.1</w:t>
            </w:r>
            <w:r>
              <w:rPr>
                <w:rStyle w:val="37"/>
                <w:rFonts w:hint="eastAsia" w:asciiTheme="majorEastAsia" w:hAnsiTheme="majorEastAsia" w:eastAsiaTheme="majorEastAsia" w:cstheme="majorEastAsia"/>
                <w:color w:val="auto"/>
                <w:kern w:val="0"/>
                <w:sz w:val="18"/>
                <w:szCs w:val="18"/>
                <w:highlight w:val="none"/>
                <w:lang w:val="en-US" w:eastAsia="zh-CN"/>
              </w:rPr>
              <w:t>4</w:t>
            </w:r>
            <w:r>
              <w:rPr>
                <w:rStyle w:val="37"/>
                <w:rFonts w:hint="eastAsia" w:asciiTheme="majorEastAsia" w:hAnsiTheme="majorEastAsia" w:eastAsiaTheme="majorEastAsia" w:cstheme="majorEastAsia"/>
                <w:color w:val="auto"/>
                <w:kern w:val="0"/>
                <w:sz w:val="18"/>
                <w:szCs w:val="18"/>
                <w:highlight w:val="none"/>
              </w:rPr>
              <w:t xml:space="preserve"> 其他义务</w:t>
            </w:r>
          </w:p>
          <w:p w14:paraId="1FD46F0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tc>
        <w:tc>
          <w:tcPr>
            <w:tcW w:w="4275" w:type="dxa"/>
            <w:tcBorders>
              <w:top w:val="single" w:color="000000" w:sz="4" w:space="0"/>
              <w:left w:val="single" w:color="000000" w:sz="4" w:space="0"/>
              <w:bottom w:val="single" w:color="000000" w:sz="4" w:space="0"/>
              <w:right w:val="single" w:color="000000" w:sz="4" w:space="0"/>
            </w:tcBorders>
            <w:vAlign w:val="center"/>
          </w:tcPr>
          <w:p w14:paraId="6AA26E49">
            <w:pPr>
              <w:snapToGrid w:val="0"/>
              <w:spacing w:line="240" w:lineRule="atLeast"/>
              <w:jc w:val="lef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75380F21">
            <w:pPr>
              <w:pStyle w:val="2"/>
              <w:rPr>
                <w:rStyle w:val="37"/>
                <w:rFonts w:hint="eastAsia" w:asciiTheme="majorEastAsia" w:hAnsiTheme="majorEastAsia" w:eastAsiaTheme="majorEastAsia" w:cstheme="majorEastAsia"/>
                <w:color w:val="auto"/>
                <w:kern w:val="0"/>
                <w:sz w:val="18"/>
                <w:szCs w:val="18"/>
                <w:highlight w:val="none"/>
              </w:rPr>
            </w:pPr>
          </w:p>
          <w:p w14:paraId="4390B97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4.1.1</w:t>
            </w:r>
            <w:r>
              <w:rPr>
                <w:rStyle w:val="37"/>
                <w:rFonts w:hint="eastAsia" w:asciiTheme="majorEastAsia" w:hAnsiTheme="majorEastAsia" w:eastAsiaTheme="majorEastAsia" w:cstheme="majorEastAsia"/>
                <w:color w:val="auto"/>
                <w:kern w:val="0"/>
                <w:sz w:val="18"/>
                <w:szCs w:val="18"/>
                <w:highlight w:val="none"/>
                <w:lang w:val="en-US" w:eastAsia="zh-CN"/>
              </w:rPr>
              <w:t>3</w:t>
            </w:r>
            <w:r>
              <w:rPr>
                <w:rStyle w:val="37"/>
                <w:rFonts w:hint="eastAsia" w:asciiTheme="majorEastAsia" w:hAnsiTheme="majorEastAsia" w:eastAsiaTheme="majorEastAsia" w:cstheme="majorEastAsia"/>
                <w:color w:val="auto"/>
                <w:kern w:val="0"/>
                <w:sz w:val="18"/>
                <w:szCs w:val="18"/>
                <w:highlight w:val="none"/>
              </w:rPr>
              <w:t>.1</w:t>
            </w:r>
            <w:r>
              <w:rPr>
                <w:rStyle w:val="37"/>
                <w:rFonts w:hint="eastAsia" w:asciiTheme="majorEastAsia" w:hAnsiTheme="majorEastAsia" w:eastAsiaTheme="majorEastAsia" w:cstheme="majorEastAsia"/>
                <w:color w:val="auto"/>
                <w:kern w:val="0"/>
                <w:sz w:val="18"/>
                <w:szCs w:val="18"/>
                <w:highlight w:val="none"/>
                <w:lang w:val="en-US" w:eastAsia="zh-CN"/>
              </w:rPr>
              <w:t>4</w:t>
            </w:r>
            <w:r>
              <w:rPr>
                <w:rStyle w:val="37"/>
                <w:rFonts w:hint="eastAsia" w:asciiTheme="majorEastAsia" w:hAnsiTheme="majorEastAsia" w:eastAsiaTheme="majorEastAsia" w:cstheme="majorEastAsia"/>
                <w:color w:val="auto"/>
                <w:kern w:val="0"/>
                <w:sz w:val="18"/>
                <w:szCs w:val="18"/>
                <w:highlight w:val="none"/>
              </w:rPr>
              <w:t xml:space="preserve"> 其他义务</w:t>
            </w:r>
          </w:p>
          <w:p w14:paraId="40BAB26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组织施工项目部和分包单位用工人员贯彻学习国家电网基建〔2020〕151号《国家电网有限公司关于保障输变电工程建设农民工工资支付的通知》文件精神。按照该文件要求，承包人应落实以下职责与义务：</w:t>
            </w:r>
          </w:p>
          <w:p w14:paraId="4E68FC0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（1）承包人应按照分级负责、谁主管谁负责的原则，加强分包人员实名制管理工作，建立健全农民工工资支付协同机制。</w:t>
            </w:r>
          </w:p>
          <w:p w14:paraId="2E7FE5C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A.所有施工总承包单位必须按照要求开设农民工工资专用账户，专项用于支付农民工工资。</w:t>
            </w:r>
          </w:p>
          <w:p w14:paraId="61E9C61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B.农民工工资（人工费用）的计量、申请与拨付，应按照已签订的施工合同“计量与支付”条款，向监理项目部和业主项目部报送、审核。承包人应对其提交资料的真实性、准确性、合规性负责。</w:t>
            </w:r>
          </w:p>
          <w:p w14:paraId="0A8BD5F8">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C.农民工工资支付信息应实名登记、审核。承包人应编制农民工实名制工资信息报审表（见国网文件附件），经监理项目部审核同意后进入施工现场。进入现场的农民工施工人员确保已录入国网“e基建”管理系统，确保与承包人或者分包单位已签订劳动合同或协议。</w:t>
            </w:r>
          </w:p>
          <w:p w14:paraId="7FE882C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D.承包人应当根据农民工工资支付表，通过专用账户直接将工资支付到农民工本人的银行账户，不得以实物或者有价证券等其他形式替代。</w:t>
            </w:r>
          </w:p>
          <w:p w14:paraId="346BFCDA">
            <w:pPr>
              <w:pStyle w:val="2"/>
              <w:ind w:firstLine="360" w:firstLineChars="200"/>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lang w:val="en-US" w:eastAsia="zh-CN"/>
              </w:rPr>
              <w:t>E</w:t>
            </w:r>
            <w:r>
              <w:rPr>
                <w:rStyle w:val="37"/>
                <w:rFonts w:hint="eastAsia" w:asciiTheme="majorEastAsia" w:hAnsiTheme="majorEastAsia" w:eastAsiaTheme="majorEastAsia" w:cstheme="majorEastAsia"/>
                <w:color w:val="auto"/>
                <w:kern w:val="0"/>
                <w:sz w:val="18"/>
                <w:szCs w:val="18"/>
                <w:highlight w:val="none"/>
              </w:rPr>
              <w:t>.</w:t>
            </w:r>
            <w:r>
              <w:rPr>
                <w:rStyle w:val="37"/>
                <w:rFonts w:hint="eastAsia" w:asciiTheme="majorEastAsia" w:hAnsiTheme="majorEastAsia" w:eastAsiaTheme="majorEastAsia" w:cstheme="majorEastAsia"/>
                <w:color w:val="auto"/>
                <w:kern w:val="0"/>
                <w:sz w:val="18"/>
                <w:szCs w:val="18"/>
                <w:highlight w:val="none"/>
                <w:u w:val="none"/>
              </w:rPr>
              <w:t>承包人应当</w:t>
            </w:r>
            <w:r>
              <w:rPr>
                <w:rStyle w:val="37"/>
                <w:rFonts w:hint="eastAsia" w:asciiTheme="majorEastAsia" w:hAnsiTheme="majorEastAsia" w:eastAsiaTheme="majorEastAsia" w:cstheme="majorEastAsia"/>
                <w:color w:val="auto"/>
                <w:kern w:val="0"/>
                <w:sz w:val="18"/>
                <w:szCs w:val="18"/>
                <w:highlight w:val="none"/>
                <w:u w:val="none"/>
                <w:lang w:val="en-US" w:eastAsia="zh-CN"/>
              </w:rPr>
              <w:t>执行项目所在地政府关于农民工工资支付工作要求，完成备案、信息维护</w:t>
            </w:r>
            <w:r>
              <w:rPr>
                <w:rStyle w:val="37"/>
                <w:rFonts w:hint="eastAsia" w:asciiTheme="majorEastAsia" w:hAnsiTheme="majorEastAsia" w:eastAsiaTheme="majorEastAsia" w:cstheme="majorEastAsia"/>
                <w:color w:val="auto"/>
                <w:kern w:val="0"/>
                <w:sz w:val="18"/>
                <w:szCs w:val="18"/>
                <w:highlight w:val="none"/>
                <w:u w:val="none"/>
                <w:lang w:eastAsia="zh-CN"/>
              </w:rPr>
              <w:t>，</w:t>
            </w:r>
            <w:r>
              <w:rPr>
                <w:rStyle w:val="37"/>
                <w:rFonts w:hint="eastAsia" w:asciiTheme="majorEastAsia" w:hAnsiTheme="majorEastAsia" w:eastAsiaTheme="majorEastAsia" w:cstheme="majorEastAsia"/>
                <w:color w:val="auto"/>
                <w:kern w:val="0"/>
                <w:sz w:val="18"/>
                <w:szCs w:val="18"/>
                <w:highlight w:val="none"/>
                <w:u w:val="none"/>
                <w:lang w:val="en-US" w:eastAsia="zh-CN"/>
              </w:rPr>
              <w:t>并接受监管。（如有）</w:t>
            </w:r>
          </w:p>
          <w:p w14:paraId="61B8DA0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（2）承包人应保证农民工工资足额、按时支付。工程竣工、农民工退场后30日内，承包人应通过农民工工资专用账户完成对承建工程所有农民工工资的发放。</w:t>
            </w:r>
          </w:p>
          <w:p w14:paraId="28AE8C5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（3）承包人与分包单位因工程完工数量、质量、造价等发生争议的，承包人不得因争议不按照规定代发人工工资。</w:t>
            </w:r>
          </w:p>
          <w:p w14:paraId="0FBADBA8">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（4）分包单位拖欠农民工工资的，由承包人先行清偿，再依法进行追偿。工程建设项目转包的，拖欠农民工工资的，由承包人先行清偿，再依法进行追偿。</w:t>
            </w:r>
          </w:p>
          <w:p w14:paraId="5C4F622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（5）承包人应切实加强和注重过程监督指导与考核，落实对分包单位劳动用工的监督管理，掌握施工现场用工、考勤、工资支付等情况，接受省公司和发包人适时组织的监督检查。</w:t>
            </w:r>
          </w:p>
          <w:p w14:paraId="1D13B6B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（6）承包人在申请工程进度款时应编制农民工工资资金需求计划表，随进度款支付手续报发包人备查。</w:t>
            </w:r>
          </w:p>
          <w:p w14:paraId="08796248">
            <w:pPr>
              <w:snapToGrid w:val="0"/>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（7）承包人按合同约定的人工费用拨付周期申请人工费用，并足额支付给农民工。</w:t>
            </w:r>
          </w:p>
          <w:p w14:paraId="01FD96EF">
            <w:pPr>
              <w:snapToGrid w:val="0"/>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（8）承包人应按月将农民工工资支付表、代发工资银行转账凭证等资料报送发包人备查。</w:t>
            </w:r>
          </w:p>
          <w:p w14:paraId="01816AE6">
            <w:pPr>
              <w:snapToGrid w:val="0"/>
              <w:ind w:firstLine="420"/>
              <w:rPr>
                <w:rStyle w:val="37"/>
                <w:rFonts w:hint="eastAsia" w:asciiTheme="majorEastAsia" w:hAnsiTheme="majorEastAsia" w:eastAsiaTheme="majorEastAsia" w:cstheme="majorEastAsia"/>
                <w:color w:val="auto"/>
                <w:kern w:val="0"/>
                <w:sz w:val="18"/>
                <w:szCs w:val="18"/>
                <w:highlight w:val="none"/>
                <w:lang w:val="en-US" w:eastAsia="zh-CN"/>
              </w:rPr>
            </w:pPr>
            <w:r>
              <w:rPr>
                <w:rStyle w:val="37"/>
                <w:rFonts w:hint="eastAsia" w:asciiTheme="majorEastAsia" w:hAnsiTheme="majorEastAsia" w:eastAsiaTheme="majorEastAsia" w:cstheme="majorEastAsia"/>
                <w:color w:val="auto"/>
                <w:kern w:val="0"/>
                <w:sz w:val="18"/>
                <w:szCs w:val="18"/>
                <w:highlight w:val="none"/>
              </w:rPr>
              <w:t>(9)承包人应按照现场环保水保监理机构要求，按照《建设项目竣工环境保护验收暂行办法》《电网建设项目竣工环境保护验收管理办法》《输变电工程环境监理规范》《水利部关于加强事中事后监管规范生产建设项目水土保持设施自主验收的通知》《电网建设项目水土保持设施验收管理办法》《输变电工程水土保持监理规范》等制度实施，落实相应工程环保、水保措施。</w:t>
            </w:r>
          </w:p>
        </w:tc>
        <w:tc>
          <w:tcPr>
            <w:tcW w:w="461" w:type="dxa"/>
            <w:tcBorders>
              <w:top w:val="single" w:color="000000" w:sz="4" w:space="0"/>
              <w:left w:val="single" w:color="000000" w:sz="4" w:space="0"/>
              <w:bottom w:val="single" w:color="000000" w:sz="4" w:space="0"/>
              <w:right w:val="nil"/>
            </w:tcBorders>
            <w:vAlign w:val="center"/>
          </w:tcPr>
          <w:p w14:paraId="2829CE6F">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6D89C3E2">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48" w:type="dxa"/>
            <w:tcBorders>
              <w:top w:val="single" w:color="000000" w:sz="4" w:space="0"/>
              <w:left w:val="nil"/>
              <w:bottom w:val="single" w:color="000000" w:sz="4" w:space="0"/>
              <w:right w:val="single" w:color="000000" w:sz="4" w:space="0"/>
            </w:tcBorders>
            <w:vAlign w:val="center"/>
          </w:tcPr>
          <w:p w14:paraId="0DFA692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4BB21CC1">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专用条款</w:t>
            </w:r>
          </w:p>
          <w:p w14:paraId="096156A7">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4.2.1</w:t>
            </w:r>
          </w:p>
        </w:tc>
        <w:tc>
          <w:tcPr>
            <w:tcW w:w="4052" w:type="dxa"/>
            <w:tcBorders>
              <w:top w:val="single" w:color="000000" w:sz="4" w:space="0"/>
              <w:left w:val="single" w:color="000000" w:sz="4" w:space="0"/>
              <w:bottom w:val="single" w:color="000000" w:sz="4" w:space="0"/>
              <w:right w:val="single" w:color="000000" w:sz="4" w:space="0"/>
            </w:tcBorders>
            <w:vAlign w:val="center"/>
          </w:tcPr>
          <w:p w14:paraId="790670CA">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4.2.1 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承包人向发包人提供履约保函或工程履约保证保险时，应通知监理人。承包人提供履约保函的，应符合招标文件规定或本合同约定的格式。承包人投保工程履约保证保险的，保险公司相关建设工程履约保证保险产品应经银行保险监管部门审批或备案。因执行本条款所发生的费用由承包人承担。</w:t>
            </w:r>
          </w:p>
          <w:p w14:paraId="61ED1F00">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承包人应按以下时间、数额向发包人提供履约担保：</w:t>
            </w:r>
          </w:p>
          <w:p w14:paraId="0218FEFF">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（1）时间：合同签订后5个工作日内。</w:t>
            </w:r>
          </w:p>
          <w:p w14:paraId="16E47C08">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（2）数额：签约合同价的5%。</w:t>
            </w:r>
          </w:p>
        </w:tc>
        <w:tc>
          <w:tcPr>
            <w:tcW w:w="4275" w:type="dxa"/>
            <w:tcBorders>
              <w:top w:val="single" w:color="000000" w:sz="4" w:space="0"/>
              <w:left w:val="single" w:color="000000" w:sz="4" w:space="0"/>
              <w:bottom w:val="single" w:color="000000" w:sz="4" w:space="0"/>
              <w:right w:val="single" w:color="000000" w:sz="4" w:space="0"/>
            </w:tcBorders>
            <w:vAlign w:val="center"/>
          </w:tcPr>
          <w:p w14:paraId="2C180C94">
            <w:pPr>
              <w:adjustRightInd w:val="0"/>
              <w:snapToGrid w:val="0"/>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66F822F7">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4.2.1为适当履行合同，承包人应按合同约定时间向发包人提供履约担保，该履约担保应为中国注册的具有担保经营业务资格的银行或有关金融机构开具的履约保函或向具有建设工程类保证保险经营业务资格的保险公司投保工程履约保证保险，数额按照下列约定。</w:t>
            </w:r>
          </w:p>
          <w:p w14:paraId="2FE69CA1">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承包人向发包人提供履约保函或工程履约保证保险时，应通知监理人。承包人提供履约保函的，应符合招标文件规定格式或其他经过发包人事先认可的无条件兑付的、不可撤销的银行保函格式。承包人投保工程履约保证保险的，保险公司相关建设工程履约保证保险产品应经银行保险监管部门审批或备案。因执行本条款所发生的费用由承包人承担。</w:t>
            </w:r>
          </w:p>
          <w:p w14:paraId="18AEC17A">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承包人应按以下时间、数额向发包人提供履约担保：</w:t>
            </w:r>
          </w:p>
          <w:p w14:paraId="64FE46FF">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（1）时间：合同签订后1个月内。</w:t>
            </w:r>
          </w:p>
          <w:p w14:paraId="101AF795">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（2）数额：签约合同价的 5 %。</w:t>
            </w:r>
          </w:p>
        </w:tc>
        <w:tc>
          <w:tcPr>
            <w:tcW w:w="461" w:type="dxa"/>
            <w:tcBorders>
              <w:top w:val="single" w:color="000000" w:sz="4" w:space="0"/>
              <w:left w:val="single" w:color="000000" w:sz="4" w:space="0"/>
              <w:bottom w:val="single" w:color="000000" w:sz="4" w:space="0"/>
              <w:right w:val="nil"/>
            </w:tcBorders>
            <w:vAlign w:val="center"/>
          </w:tcPr>
          <w:p w14:paraId="35B994A2">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p>
        </w:tc>
      </w:tr>
      <w:tr w14:paraId="64006485">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985" w:hRule="atLeast"/>
          <w:jc w:val="center"/>
        </w:trPr>
        <w:tc>
          <w:tcPr>
            <w:tcW w:w="748" w:type="dxa"/>
            <w:tcBorders>
              <w:top w:val="single" w:color="000000" w:sz="4" w:space="0"/>
              <w:left w:val="nil"/>
              <w:bottom w:val="single" w:color="000000" w:sz="4" w:space="0"/>
              <w:right w:val="single" w:color="000000" w:sz="4" w:space="0"/>
            </w:tcBorders>
            <w:vAlign w:val="center"/>
          </w:tcPr>
          <w:p w14:paraId="06F0A61E">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E00AF2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专用条款第4.2.4条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7150D468">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4.2.4根据合同文件中约定，承包人就被担保的债权既有承包人提供保证金</w:t>
            </w:r>
            <w:r>
              <w:rPr>
                <w:rStyle w:val="37"/>
                <w:rFonts w:hint="eastAsia" w:asciiTheme="majorEastAsia" w:hAnsiTheme="majorEastAsia" w:eastAsiaTheme="majorEastAsia" w:cstheme="majorEastAsia"/>
                <w:b/>
                <w:bCs/>
                <w:color w:val="auto"/>
                <w:kern w:val="0"/>
                <w:sz w:val="18"/>
                <w:szCs w:val="18"/>
                <w:highlight w:val="none"/>
              </w:rPr>
              <w:t>和（或）保留金</w:t>
            </w:r>
            <w:r>
              <w:rPr>
                <w:rStyle w:val="37"/>
                <w:rFonts w:hint="eastAsia" w:asciiTheme="majorEastAsia" w:hAnsiTheme="majorEastAsia" w:eastAsiaTheme="majorEastAsia" w:cstheme="majorEastAsia"/>
                <w:color w:val="auto"/>
                <w:kern w:val="0"/>
                <w:sz w:val="18"/>
                <w:szCs w:val="18"/>
                <w:highlight w:val="none"/>
              </w:rPr>
              <w:t>等物的担保，又有保证人保证担保（银行担保函）的，承包人不履行到期债务或者发生合同约定的实现担保物权的情形，发包人既可就债务人提供的物的担保实现债权，也可以要求保证人承担保证责任，而不受担保次序的限制和影响。</w:t>
            </w:r>
          </w:p>
        </w:tc>
        <w:tc>
          <w:tcPr>
            <w:tcW w:w="4275" w:type="dxa"/>
            <w:tcBorders>
              <w:top w:val="single" w:color="000000" w:sz="4" w:space="0"/>
              <w:left w:val="single" w:color="000000" w:sz="4" w:space="0"/>
              <w:bottom w:val="single" w:color="000000" w:sz="4" w:space="0"/>
              <w:right w:val="single" w:color="000000" w:sz="4" w:space="0"/>
            </w:tcBorders>
            <w:vAlign w:val="center"/>
          </w:tcPr>
          <w:p w14:paraId="76586E76">
            <w:pPr>
              <w:snapToGrid w:val="0"/>
              <w:jc w:val="left"/>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3E1F5AC2">
            <w:pPr>
              <w:snapToGrid w:val="0"/>
              <w:spacing w:line="240" w:lineRule="atLeast"/>
              <w:ind w:firstLine="360" w:firstLineChars="200"/>
              <w:rPr>
                <w:rStyle w:val="37"/>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4.2.4根据合同文件中约定，承包人就被担保的债权既有承包人提供保证金等物的担保，又有保证人保证担保（银行担保函）的，承包人不履行到期债务或者发生合同约定的实现担保物权的情形，发包人既可就债务人提供的物的担保实现债权，也可以要求保证人承担保证责任，而不受担保次序的限制和影响。</w:t>
            </w:r>
          </w:p>
        </w:tc>
        <w:tc>
          <w:tcPr>
            <w:tcW w:w="461" w:type="dxa"/>
            <w:tcBorders>
              <w:top w:val="single" w:color="000000" w:sz="4" w:space="0"/>
              <w:left w:val="single" w:color="000000" w:sz="4" w:space="0"/>
              <w:bottom w:val="single" w:color="000000" w:sz="4" w:space="0"/>
              <w:right w:val="nil"/>
            </w:tcBorders>
            <w:vAlign w:val="center"/>
          </w:tcPr>
          <w:p w14:paraId="494C5EAB">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297D1B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568" w:hRule="atLeast"/>
          <w:jc w:val="center"/>
        </w:trPr>
        <w:tc>
          <w:tcPr>
            <w:tcW w:w="748" w:type="dxa"/>
            <w:tcBorders>
              <w:top w:val="single" w:color="000000" w:sz="4" w:space="0"/>
              <w:left w:val="nil"/>
              <w:bottom w:val="single" w:color="000000" w:sz="4" w:space="0"/>
              <w:right w:val="single" w:color="000000" w:sz="4" w:space="0"/>
            </w:tcBorders>
            <w:vAlign w:val="center"/>
          </w:tcPr>
          <w:p w14:paraId="178D449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B3769B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专用条款第4.3.3条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1376254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4.3.3 分包人资格能力应符合以下要求：</w:t>
            </w:r>
          </w:p>
          <w:p w14:paraId="3A2D3B9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专业分包商的资质要求：</w:t>
            </w:r>
          </w:p>
          <w:p w14:paraId="6925193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专业分包商应具有国家住建部及所属部门颁发的相应资质，委派的项目经理（负责人）具有相应资格和同类工程的施工业绩。其中：</w:t>
            </w:r>
          </w:p>
          <w:p w14:paraId="5D0598D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（1）500千伏及以上变电站一般土建工程具有同类工程的专业承包二级及以上资质；</w:t>
            </w:r>
          </w:p>
          <w:p w14:paraId="22DCD2E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（2）特高压工程、跨区直流工程的变电（换流）站内的桩基工程、送电线路大跨越灌注桩基础工程具有地基与基础工程专业承包一级及以上资质；</w:t>
            </w:r>
          </w:p>
          <w:p w14:paraId="00DF8BE8">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（3）变电站桩基工程具有地基与基础工程专业承包三级及以上资质；</w:t>
            </w:r>
          </w:p>
          <w:p w14:paraId="5C44AF2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（4）送电线路基础工程具有地基与基础专业承包三级及以上资质；</w:t>
            </w:r>
          </w:p>
          <w:p w14:paraId="13611548">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（5）变电工程的脚手架（高度24米及以上）搭拆具备附着升降脚手架专业承包二级及以上资质；</w:t>
            </w:r>
          </w:p>
          <w:p w14:paraId="41F641E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（6）变电站消防工程具有消防设施工程专业承包二级及以上资质；</w:t>
            </w:r>
          </w:p>
          <w:p w14:paraId="1D5D003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（7）爆破施工具有爆破与拆除工程专业承包三级及以上资质；</w:t>
            </w:r>
          </w:p>
          <w:p w14:paraId="4BE3BEC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（8）电力隧道（盾构法）工程专业分包商具有隧道工程专业承包二级及以上资质。</w:t>
            </w:r>
          </w:p>
          <w:p w14:paraId="060E313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劳务分包商的资质要求：</w:t>
            </w:r>
          </w:p>
          <w:p w14:paraId="74794CC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施工总承包企业或取得专业承包资质的企业将劳务作业分包时，应分包给具有施工劳务资质的企业。但是，经住房和城乡建设部批准的建筑劳务用工制度改革试点地区，按照有关试点地区政策规定执行。</w:t>
            </w:r>
          </w:p>
          <w:p w14:paraId="3EA4466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其他要求：</w:t>
            </w:r>
          </w:p>
          <w:p w14:paraId="1074222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从事输变电工程安装作业的分包商须同时取得国家电力监管部门颁发的《承装（修、试）电力设施许可证》相应的许可资质。</w:t>
            </w:r>
          </w:p>
        </w:tc>
        <w:tc>
          <w:tcPr>
            <w:tcW w:w="4275" w:type="dxa"/>
            <w:tcBorders>
              <w:top w:val="single" w:color="000000" w:sz="4" w:space="0"/>
              <w:left w:val="single" w:color="000000" w:sz="4" w:space="0"/>
              <w:bottom w:val="single" w:color="000000" w:sz="4" w:space="0"/>
              <w:right w:val="single" w:color="000000" w:sz="4" w:space="0"/>
            </w:tcBorders>
            <w:vAlign w:val="center"/>
          </w:tcPr>
          <w:p w14:paraId="5699D6CD">
            <w:pPr>
              <w:snapToGrid w:val="0"/>
              <w:spacing w:line="240" w:lineRule="atLeast"/>
              <w:ind w:firstLine="361" w:firstLineChars="200"/>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217F499B">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4.3.3 分包人资格能力应符合以下要求（如有最新要求执行最新要求）：</w:t>
            </w:r>
          </w:p>
          <w:p w14:paraId="5CFA0808">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专业分包商的资质要求：</w:t>
            </w:r>
          </w:p>
          <w:p w14:paraId="535550ED">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专业分包商应具有国家住建部及所属部门颁发的相应资质，委派的项目经理（负责人）具有相应资格和同类工程的施工业绩。其中：</w:t>
            </w:r>
          </w:p>
          <w:p w14:paraId="24129312">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（1）500千伏及以上变电站一般土建工程具有同类工程的专业承包二级及以上资质；</w:t>
            </w:r>
          </w:p>
          <w:p w14:paraId="48962A50">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（2）特高压工程、跨区直流工程的变电（换流）站内的桩基工程、送电线路大跨越灌注桩基础工程具有地基与基础工程专业承包一级及以上资质；</w:t>
            </w:r>
          </w:p>
          <w:p w14:paraId="203F111F">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（3）变电站桩基工程具有地基与基础工程专业承包三级及以上资质；</w:t>
            </w:r>
          </w:p>
          <w:p w14:paraId="4EFE99C3">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（4）送电线路基础工程具有地基与基础专业承包三级及以上资质；</w:t>
            </w:r>
          </w:p>
          <w:p w14:paraId="11B0480B">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（5）变电工程的脚手架（高度24米及以上）搭拆具备附着升降脚手架专业承包二级及以上资质；</w:t>
            </w:r>
          </w:p>
          <w:p w14:paraId="004820DD">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（6）变电站消防工程具有消防设施工程专业承包二级及以上资质；</w:t>
            </w:r>
          </w:p>
          <w:p w14:paraId="25DA1CE3">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（7）爆破施工具有爆破与拆除工程专业承包三级及以上资质；</w:t>
            </w:r>
          </w:p>
          <w:p w14:paraId="13001CC8">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（8）电力隧道（盾构法）工程专业分包商具有隧道工程专业承包二级及以上资质。</w:t>
            </w:r>
          </w:p>
          <w:p w14:paraId="0A1A3B6B">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劳务分包商的资质要求：</w:t>
            </w:r>
          </w:p>
          <w:p w14:paraId="2B374173">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施工总承包企业或取得专业承包资质的企业将劳务作业分包时，应分包给具有施工劳务资质的企业</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rPr>
              <w:t>且企业应为省公司级单位认定并发布的核心劳务分包队伍。但是，经住房和城乡建设部批准的建筑劳务用工制度改革试点地区，按照有关试点地区政策规定执行。</w:t>
            </w:r>
          </w:p>
          <w:p w14:paraId="2D1FC30F">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其他要求：</w:t>
            </w:r>
          </w:p>
          <w:p w14:paraId="4CB87E8D">
            <w:pPr>
              <w:snapToGrid w:val="0"/>
              <w:spacing w:line="240" w:lineRule="atLeast"/>
              <w:ind w:firstLine="360" w:firstLineChars="200"/>
              <w:rPr>
                <w:rStyle w:val="37"/>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从事输变电工程安装作业的分包商须同时取得国家电力监管部门颁发的《承装(修、试)电力设施许可证管理办法》相应的许可资质。</w:t>
            </w:r>
          </w:p>
          <w:p w14:paraId="4FDE9266">
            <w:pPr>
              <w:snapToGrid w:val="0"/>
              <w:spacing w:line="240" w:lineRule="atLeast"/>
              <w:ind w:firstLine="360" w:firstLineChars="200"/>
              <w:rPr>
                <w:rStyle w:val="16"/>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sz w:val="18"/>
                <w:szCs w:val="18"/>
                <w:highlight w:val="none"/>
              </w:rPr>
              <w:t>分包人资格能力应符合国家电网有限公司相关规定，如有更新版本，按更新版本执行。</w:t>
            </w:r>
          </w:p>
        </w:tc>
        <w:tc>
          <w:tcPr>
            <w:tcW w:w="461" w:type="dxa"/>
            <w:tcBorders>
              <w:top w:val="single" w:color="000000" w:sz="4" w:space="0"/>
              <w:left w:val="single" w:color="000000" w:sz="4" w:space="0"/>
              <w:bottom w:val="single" w:color="000000" w:sz="4" w:space="0"/>
              <w:right w:val="nil"/>
            </w:tcBorders>
            <w:vAlign w:val="center"/>
          </w:tcPr>
          <w:p w14:paraId="44F76F3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w:t>
            </w:r>
          </w:p>
        </w:tc>
      </w:tr>
      <w:tr w14:paraId="3154BAAC">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432" w:hRule="atLeast"/>
          <w:jc w:val="center"/>
        </w:trPr>
        <w:tc>
          <w:tcPr>
            <w:tcW w:w="748" w:type="dxa"/>
            <w:tcBorders>
              <w:top w:val="single" w:color="000000" w:sz="4" w:space="0"/>
              <w:left w:val="nil"/>
              <w:bottom w:val="single" w:color="000000" w:sz="4" w:space="0"/>
              <w:right w:val="single" w:color="000000" w:sz="4" w:space="0"/>
            </w:tcBorders>
            <w:vAlign w:val="center"/>
          </w:tcPr>
          <w:p w14:paraId="2357C2D7">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D6F63A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专用条款第4.3.7条（8）其他：⑧</w:t>
            </w:r>
          </w:p>
        </w:tc>
        <w:tc>
          <w:tcPr>
            <w:tcW w:w="4052" w:type="dxa"/>
            <w:tcBorders>
              <w:top w:val="single" w:color="000000" w:sz="4" w:space="0"/>
              <w:left w:val="single" w:color="000000" w:sz="4" w:space="0"/>
              <w:bottom w:val="single" w:color="000000" w:sz="4" w:space="0"/>
              <w:right w:val="single" w:color="000000" w:sz="4" w:space="0"/>
            </w:tcBorders>
            <w:vAlign w:val="center"/>
          </w:tcPr>
          <w:p w14:paraId="6CD642A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无</w:t>
            </w:r>
          </w:p>
        </w:tc>
        <w:tc>
          <w:tcPr>
            <w:tcW w:w="4275" w:type="dxa"/>
            <w:tcBorders>
              <w:top w:val="single" w:color="000000" w:sz="4" w:space="0"/>
              <w:left w:val="single" w:color="000000" w:sz="4" w:space="0"/>
              <w:bottom w:val="single" w:color="000000" w:sz="4" w:space="0"/>
              <w:right w:val="single" w:color="000000" w:sz="4" w:space="0"/>
            </w:tcBorders>
            <w:vAlign w:val="center"/>
          </w:tcPr>
          <w:p w14:paraId="65CDD08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增加：</w:t>
            </w:r>
          </w:p>
          <w:p w14:paraId="4C015EBD">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⑧符合国家电网有限公司相关规定，如有更新版本，按更新版本执行。</w:t>
            </w:r>
          </w:p>
        </w:tc>
        <w:tc>
          <w:tcPr>
            <w:tcW w:w="461" w:type="dxa"/>
            <w:tcBorders>
              <w:top w:val="single" w:color="000000" w:sz="4" w:space="0"/>
              <w:left w:val="single" w:color="000000" w:sz="4" w:space="0"/>
              <w:bottom w:val="single" w:color="000000" w:sz="4" w:space="0"/>
              <w:right w:val="nil"/>
            </w:tcBorders>
            <w:vAlign w:val="center"/>
          </w:tcPr>
          <w:p w14:paraId="1506AC57">
            <w:pPr>
              <w:snapToGrid w:val="0"/>
              <w:spacing w:line="240" w:lineRule="atLeast"/>
              <w:jc w:val="left"/>
              <w:rPr>
                <w:rFonts w:hint="eastAsia" w:asciiTheme="majorEastAsia" w:hAnsiTheme="majorEastAsia" w:eastAsiaTheme="majorEastAsia" w:cstheme="majorEastAsia"/>
                <w:color w:val="auto"/>
                <w:sz w:val="18"/>
                <w:szCs w:val="18"/>
                <w:highlight w:val="none"/>
              </w:rPr>
            </w:pPr>
          </w:p>
          <w:p w14:paraId="69ADAFD9">
            <w:pPr>
              <w:pStyle w:val="53"/>
              <w:rPr>
                <w:rFonts w:hint="eastAsia" w:asciiTheme="majorEastAsia" w:hAnsiTheme="majorEastAsia" w:eastAsiaTheme="majorEastAsia" w:cstheme="majorEastAsia"/>
                <w:color w:val="auto"/>
                <w:sz w:val="18"/>
                <w:szCs w:val="18"/>
                <w:highlight w:val="none"/>
              </w:rPr>
            </w:pPr>
          </w:p>
        </w:tc>
      </w:tr>
      <w:tr w14:paraId="78FA9792">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432" w:hRule="atLeast"/>
          <w:jc w:val="center"/>
        </w:trPr>
        <w:tc>
          <w:tcPr>
            <w:tcW w:w="748" w:type="dxa"/>
            <w:tcBorders>
              <w:top w:val="single" w:color="000000" w:sz="4" w:space="0"/>
              <w:left w:val="nil"/>
              <w:bottom w:val="single" w:color="000000" w:sz="4" w:space="0"/>
              <w:right w:val="single" w:color="000000" w:sz="4" w:space="0"/>
            </w:tcBorders>
            <w:vAlign w:val="center"/>
          </w:tcPr>
          <w:p w14:paraId="62F7D44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899137D">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专用条款第4.3.8条（5）</w:t>
            </w:r>
          </w:p>
        </w:tc>
        <w:tc>
          <w:tcPr>
            <w:tcW w:w="4052" w:type="dxa"/>
            <w:tcBorders>
              <w:top w:val="single" w:color="000000" w:sz="4" w:space="0"/>
              <w:left w:val="single" w:color="000000" w:sz="4" w:space="0"/>
              <w:bottom w:val="single" w:color="000000" w:sz="4" w:space="0"/>
              <w:right w:val="single" w:color="000000" w:sz="4" w:space="0"/>
            </w:tcBorders>
            <w:vAlign w:val="center"/>
          </w:tcPr>
          <w:p w14:paraId="42477CCF">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（5）其他处理措施：</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tc>
        <w:tc>
          <w:tcPr>
            <w:tcW w:w="4275" w:type="dxa"/>
            <w:tcBorders>
              <w:top w:val="single" w:color="000000" w:sz="4" w:space="0"/>
              <w:left w:val="single" w:color="000000" w:sz="4" w:space="0"/>
              <w:bottom w:val="single" w:color="000000" w:sz="4" w:space="0"/>
              <w:right w:val="single" w:color="000000" w:sz="4" w:space="0"/>
            </w:tcBorders>
            <w:vAlign w:val="center"/>
          </w:tcPr>
          <w:p w14:paraId="626E0CA9">
            <w:pPr>
              <w:spacing w:line="240" w:lineRule="exact"/>
              <w:jc w:val="left"/>
              <w:rPr>
                <w:rFonts w:hint="eastAsia" w:asciiTheme="majorEastAsia" w:hAnsiTheme="majorEastAsia" w:eastAsiaTheme="majorEastAsia" w:cstheme="majorEastAsia"/>
                <w:b/>
                <w:color w:val="auto"/>
                <w:kern w:val="0"/>
                <w:sz w:val="18"/>
                <w:szCs w:val="18"/>
                <w:highlight w:val="none"/>
              </w:rPr>
            </w:pPr>
            <w:r>
              <w:rPr>
                <w:rFonts w:hint="eastAsia" w:asciiTheme="majorEastAsia" w:hAnsiTheme="majorEastAsia" w:eastAsiaTheme="majorEastAsia" w:cstheme="majorEastAsia"/>
                <w:b/>
                <w:color w:val="auto"/>
                <w:kern w:val="0"/>
                <w:sz w:val="18"/>
                <w:szCs w:val="18"/>
                <w:highlight w:val="none"/>
              </w:rPr>
              <w:t>补充：</w:t>
            </w:r>
          </w:p>
          <w:p w14:paraId="65700ABC">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（5）其他处理措施：承包人存在转包、违法分包行为的，每发生一起向发包人支付违约金 20 万元，发包人有权同时解除合同；违约金不足以弥补发包人损失的，按实际损失赔偿。</w:t>
            </w:r>
          </w:p>
        </w:tc>
        <w:tc>
          <w:tcPr>
            <w:tcW w:w="461" w:type="dxa"/>
            <w:tcBorders>
              <w:top w:val="single" w:color="000000" w:sz="4" w:space="0"/>
              <w:left w:val="single" w:color="000000" w:sz="4" w:space="0"/>
              <w:bottom w:val="single" w:color="000000" w:sz="4" w:space="0"/>
              <w:right w:val="nil"/>
            </w:tcBorders>
            <w:vAlign w:val="center"/>
          </w:tcPr>
          <w:p w14:paraId="64710605">
            <w:pPr>
              <w:pStyle w:val="53"/>
              <w:rPr>
                <w:rFonts w:hint="eastAsia" w:asciiTheme="majorEastAsia" w:hAnsiTheme="majorEastAsia" w:eastAsiaTheme="majorEastAsia" w:cstheme="majorEastAsia"/>
                <w:color w:val="auto"/>
                <w:sz w:val="18"/>
                <w:szCs w:val="18"/>
                <w:highlight w:val="none"/>
              </w:rPr>
            </w:pPr>
          </w:p>
        </w:tc>
      </w:tr>
      <w:tr w14:paraId="484AA234">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5BC0FF5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415925D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专用条款第4.6.6条</w:t>
            </w:r>
          </w:p>
          <w:p w14:paraId="34B3DA9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（增加）</w:t>
            </w:r>
          </w:p>
        </w:tc>
        <w:tc>
          <w:tcPr>
            <w:tcW w:w="4052" w:type="dxa"/>
            <w:tcBorders>
              <w:top w:val="single" w:color="000000" w:sz="4" w:space="0"/>
              <w:left w:val="single" w:color="000000" w:sz="4" w:space="0"/>
              <w:bottom w:val="single" w:color="000000" w:sz="4" w:space="0"/>
              <w:right w:val="single" w:color="000000" w:sz="4" w:space="0"/>
            </w:tcBorders>
            <w:vAlign w:val="center"/>
          </w:tcPr>
          <w:p w14:paraId="3A39F468">
            <w:pPr>
              <w:snapToGrid w:val="0"/>
              <w:ind w:right="-16" w:firstLine="360"/>
              <w:jc w:val="left"/>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4.6.6（增加）</w:t>
            </w:r>
          </w:p>
          <w:p w14:paraId="30BB6083">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承包人投入的关键人员资格及配置（见附表8）不得低于投标承诺。其中：</w:t>
            </w:r>
          </w:p>
          <w:p w14:paraId="749121BA">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项目经理应与投标文件保持一致，且不应同时承担2个及以上未完项目的管理工作，同一工程相邻分段发包或分期施工的、合同约定的工程验收合格的、因非承包人原因致使工程项目停工超过120天（含），经发包人同意的除外。</w:t>
            </w:r>
          </w:p>
          <w:p w14:paraId="53400013">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（2）项目部安全员、质检员必须为专职，不可兼任项目其他岗位。</w:t>
            </w:r>
          </w:p>
          <w:p w14:paraId="4595A113">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（3）所有施工作业必须以作业层班组为单元组织。作业层班组骨干（班长兼指挥、安全员、技术兼质检员）必须为承包人自有人员，数量须满足建设需要。</w:t>
            </w:r>
          </w:p>
          <w:p w14:paraId="3D410435">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（4）特殊原因需要撤换项目经理、安全员、质检员时，应征得发包人书面同意，并应在更换14天前将拟更换的项目经理的姓名和详细资料提交发包人。</w:t>
            </w:r>
          </w:p>
          <w:p w14:paraId="45F541B5">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（5）特殊原因需要撤换关键人员时，应征得发包人书面同意，并应在更换14天前将拟更换的关键人员的姓名和详细资料提交发包人。</w:t>
            </w:r>
          </w:p>
          <w:p w14:paraId="3F4C14B6">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6）承包人在工程建设过程中经发包人同意只能更换一次项目经理，再次因承包人原因或不满足“深化基建队伍改革、强化施工安全管理”12项配套政策要求需更换的，发包人有权向承包人索赔人员变更对工程工期影响，且更换一次，承包人应向发包人支付合同价款    %违约金。</w:t>
            </w:r>
          </w:p>
          <w:p w14:paraId="13137F5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tc>
        <w:tc>
          <w:tcPr>
            <w:tcW w:w="4275" w:type="dxa"/>
            <w:tcBorders>
              <w:top w:val="single" w:color="000000" w:sz="4" w:space="0"/>
              <w:left w:val="single" w:color="000000" w:sz="4" w:space="0"/>
              <w:bottom w:val="single" w:color="000000" w:sz="4" w:space="0"/>
              <w:right w:val="single" w:color="000000" w:sz="4" w:space="0"/>
            </w:tcBorders>
            <w:vAlign w:val="center"/>
          </w:tcPr>
          <w:p w14:paraId="725E7955">
            <w:pPr>
              <w:snapToGrid w:val="0"/>
              <w:ind w:firstLine="360"/>
              <w:textAlignment w:val="auto"/>
              <w:rPr>
                <w:rFonts w:hint="eastAsia" w:asciiTheme="majorEastAsia" w:hAnsiTheme="majorEastAsia" w:eastAsiaTheme="majorEastAsia" w:cstheme="majorEastAsia"/>
                <w:b/>
                <w:bCs/>
                <w:color w:val="auto"/>
                <w:kern w:val="0"/>
                <w:sz w:val="18"/>
                <w:szCs w:val="18"/>
                <w:highlight w:val="none"/>
              </w:rPr>
            </w:pPr>
            <w:r>
              <w:rPr>
                <w:rFonts w:hint="eastAsia" w:asciiTheme="majorEastAsia" w:hAnsiTheme="majorEastAsia" w:eastAsiaTheme="majorEastAsia" w:cstheme="majorEastAsia"/>
                <w:b/>
                <w:bCs/>
                <w:color w:val="auto"/>
                <w:kern w:val="0"/>
                <w:sz w:val="18"/>
                <w:szCs w:val="18"/>
                <w:highlight w:val="none"/>
              </w:rPr>
              <w:t>修改为：</w:t>
            </w:r>
          </w:p>
          <w:p w14:paraId="6C3CDDA3">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4.6.6（增加）</w:t>
            </w:r>
          </w:p>
          <w:p w14:paraId="4914721A">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承包人投入的关键人员资格及配置（见附表8）不得低于投标承诺，且满足特综合〔2020〕2号文件《国网特高压部关于印发特高压工程安全管理提升重点措施的通知》。其中：</w:t>
            </w:r>
          </w:p>
          <w:p w14:paraId="3EC01FFD">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（1）项目经理应与投标文件保持一致，且不应同时承担2个及以上未完项目的管理工作。</w:t>
            </w:r>
          </w:p>
          <w:p w14:paraId="0C9A93DE">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w:t>
            </w:r>
            <w:r>
              <w:rPr>
                <w:rStyle w:val="37"/>
                <w:rFonts w:hint="eastAsia" w:asciiTheme="majorEastAsia" w:hAnsiTheme="majorEastAsia" w:eastAsiaTheme="majorEastAsia" w:cstheme="majorEastAsia"/>
                <w:color w:val="auto"/>
                <w:kern w:val="0"/>
                <w:sz w:val="18"/>
                <w:szCs w:val="18"/>
                <w:highlight w:val="none"/>
              </w:rPr>
              <w:t>项目总工应满足招标公告要求。</w:t>
            </w:r>
          </w:p>
          <w:p w14:paraId="1CA77A33">
            <w:pPr>
              <w:snapToGrid w:val="0"/>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w:t>
            </w:r>
            <w:r>
              <w:rPr>
                <w:rFonts w:hint="eastAsia" w:asciiTheme="majorEastAsia" w:hAnsiTheme="majorEastAsia" w:eastAsiaTheme="majorEastAsia" w:cstheme="majorEastAsia"/>
                <w:color w:val="auto"/>
                <w:sz w:val="18"/>
                <w:szCs w:val="18"/>
                <w:highlight w:val="none"/>
              </w:rPr>
              <w:t>施工项目部应</w:t>
            </w:r>
            <w:r>
              <w:rPr>
                <w:rFonts w:hint="eastAsia" w:asciiTheme="majorEastAsia" w:hAnsiTheme="majorEastAsia" w:eastAsiaTheme="majorEastAsia" w:cstheme="majorEastAsia"/>
                <w:color w:val="auto"/>
                <w:kern w:val="0"/>
                <w:sz w:val="18"/>
                <w:szCs w:val="18"/>
                <w:highlight w:val="none"/>
              </w:rPr>
              <w:t>设置安全总监，并</w:t>
            </w:r>
            <w:r>
              <w:rPr>
                <w:rFonts w:hint="eastAsia" w:asciiTheme="majorEastAsia" w:hAnsiTheme="majorEastAsia" w:eastAsiaTheme="majorEastAsia" w:cstheme="majorEastAsia"/>
                <w:bCs/>
                <w:color w:val="auto"/>
                <w:sz w:val="18"/>
                <w:szCs w:val="18"/>
                <w:highlight w:val="none"/>
              </w:rPr>
              <w:t>至少配置2名安全专责和1名施工机具专责</w:t>
            </w:r>
            <w:r>
              <w:rPr>
                <w:rFonts w:hint="eastAsia" w:asciiTheme="majorEastAsia" w:hAnsiTheme="majorEastAsia" w:eastAsiaTheme="majorEastAsia" w:cstheme="majorEastAsia"/>
                <w:color w:val="auto"/>
                <w:kern w:val="0"/>
                <w:sz w:val="18"/>
                <w:szCs w:val="18"/>
                <w:highlight w:val="none"/>
              </w:rPr>
              <w:t>。项目部安全专责、质检专责必须为专职，不可兼任项目其他岗位。</w:t>
            </w:r>
          </w:p>
          <w:p w14:paraId="2466DCCB">
            <w:pPr>
              <w:snapToGrid w:val="0"/>
              <w:ind w:firstLine="360"/>
              <w:textAlignment w:val="auto"/>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（4）现场施工项目部必须配备造价员1名，该人员必须具备造价执业资格，具有三年以上技经专业工作经验并从事过500kV及以上变电站技经工作，该人员每月平均驻场工作时间不少于10天。</w:t>
            </w:r>
          </w:p>
          <w:p w14:paraId="66590ED8">
            <w:pPr>
              <w:snapToGrid w:val="0"/>
              <w:ind w:firstLine="360"/>
              <w:textAlignment w:val="auto"/>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（5）机具专责应具有高级工及以上技能证书（或助理工程师以上技术职称，或施工单位印发的机具能力认可文件）并有2 年及以上输变电工程机具管理经验。</w:t>
            </w:r>
          </w:p>
          <w:p w14:paraId="0B7BEE94">
            <w:pPr>
              <w:snapToGrid w:val="0"/>
              <w:ind w:firstLine="360"/>
              <w:textAlignment w:val="auto"/>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（6）为保证现场工作正常开展，施工项目部的项目经理、副经理、安全总监、总工离开现场必须书面请假。请假1天以内需征得监理同意，2天及以上需征得业主项目部经理或副经理同意。</w:t>
            </w:r>
          </w:p>
          <w:p w14:paraId="0E08DF0B">
            <w:pPr>
              <w:snapToGrid w:val="0"/>
              <w:ind w:firstLine="360"/>
              <w:textAlignment w:val="auto"/>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（7）项目经理每月在现场履职时间不得少于本月施工时间的80%</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rPr>
              <w:t>安全总监、总工、安全专责在现场天数不得少于22天，不得同时兼任其他工程项目。安全总监、安全专责不得兼任本项目部其他职务。</w:t>
            </w:r>
          </w:p>
          <w:p w14:paraId="642EE8A9">
            <w:pPr>
              <w:snapToGrid w:val="0"/>
              <w:ind w:firstLine="363"/>
              <w:textAlignment w:val="auto"/>
              <w:rPr>
                <w:rStyle w:val="37"/>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kern w:val="0"/>
                <w:sz w:val="18"/>
                <w:szCs w:val="18"/>
                <w:highlight w:val="none"/>
              </w:rPr>
              <w:t>（8）所有施工作业必须以作业层班组为单元组织。作业层班组骨干（班长兼指挥、安全员、技术兼质检员）必须为承包人自有人员，人员及工种配置需满足国网基建安质〔202</w:t>
            </w:r>
            <w:r>
              <w:rPr>
                <w:rFonts w:hint="eastAsia" w:asciiTheme="majorEastAsia" w:hAnsiTheme="majorEastAsia" w:eastAsiaTheme="majorEastAsia" w:cstheme="majorEastAsia"/>
                <w:color w:val="auto"/>
                <w:kern w:val="0"/>
                <w:sz w:val="18"/>
                <w:szCs w:val="18"/>
                <w:highlight w:val="none"/>
                <w:lang w:val="en-US" w:eastAsia="zh-CN"/>
              </w:rPr>
              <w:t>1</w:t>
            </w:r>
            <w:r>
              <w:rPr>
                <w:rFonts w:hint="eastAsia" w:asciiTheme="majorEastAsia" w:hAnsiTheme="majorEastAsia" w:eastAsiaTheme="majorEastAsia" w:cstheme="majorEastAsia"/>
                <w:color w:val="auto"/>
                <w:kern w:val="0"/>
                <w:sz w:val="18"/>
                <w:szCs w:val="18"/>
                <w:highlight w:val="none"/>
              </w:rPr>
              <w:t>〕2</w:t>
            </w:r>
            <w:r>
              <w:rPr>
                <w:rFonts w:hint="eastAsia" w:asciiTheme="majorEastAsia" w:hAnsiTheme="majorEastAsia" w:eastAsiaTheme="majorEastAsia" w:cstheme="majorEastAsia"/>
                <w:color w:val="auto"/>
                <w:kern w:val="0"/>
                <w:sz w:val="18"/>
                <w:szCs w:val="18"/>
                <w:highlight w:val="none"/>
                <w:lang w:val="en-US" w:eastAsia="zh-CN"/>
              </w:rPr>
              <w:t>6</w:t>
            </w:r>
            <w:r>
              <w:rPr>
                <w:rFonts w:hint="eastAsia" w:asciiTheme="majorEastAsia" w:hAnsiTheme="majorEastAsia" w:eastAsiaTheme="majorEastAsia" w:cstheme="majorEastAsia"/>
                <w:color w:val="auto"/>
                <w:kern w:val="0"/>
                <w:sz w:val="18"/>
                <w:szCs w:val="18"/>
                <w:highlight w:val="none"/>
              </w:rPr>
              <w:t>号文</w:t>
            </w:r>
            <w:r>
              <w:rPr>
                <w:rFonts w:hint="eastAsia" w:asciiTheme="majorEastAsia" w:hAnsiTheme="majorEastAsia" w:eastAsiaTheme="majorEastAsia" w:cstheme="majorEastAsia"/>
                <w:color w:val="auto"/>
                <w:kern w:val="0"/>
                <w:sz w:val="18"/>
                <w:szCs w:val="18"/>
                <w:highlight w:val="none"/>
                <w:lang w:val="en-US" w:eastAsia="zh-CN"/>
              </w:rPr>
              <w:t>件</w:t>
            </w:r>
            <w:r>
              <w:rPr>
                <w:rFonts w:hint="eastAsia" w:asciiTheme="majorEastAsia" w:hAnsiTheme="majorEastAsia" w:eastAsiaTheme="majorEastAsia" w:cstheme="majorEastAsia"/>
                <w:color w:val="auto"/>
                <w:kern w:val="0"/>
                <w:sz w:val="18"/>
                <w:szCs w:val="18"/>
                <w:highlight w:val="none"/>
              </w:rPr>
              <w:t>的要求</w:t>
            </w:r>
            <w:r>
              <w:rPr>
                <w:rStyle w:val="37"/>
                <w:rFonts w:hint="eastAsia" w:asciiTheme="majorEastAsia" w:hAnsiTheme="majorEastAsia" w:eastAsiaTheme="majorEastAsia" w:cstheme="majorEastAsia"/>
                <w:color w:val="auto"/>
                <w:sz w:val="18"/>
                <w:szCs w:val="18"/>
                <w:highlight w:val="none"/>
              </w:rPr>
              <w:t>。</w:t>
            </w:r>
          </w:p>
          <w:p w14:paraId="2106BE95">
            <w:pPr>
              <w:snapToGrid w:val="0"/>
              <w:ind w:firstLine="363"/>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（9）特殊原因需要撤换项目经理、安全员、质检员时，提前14天将拟更换的项目经理的姓名和详细资料提交发包人，并征得发包人书面同意。</w:t>
            </w:r>
          </w:p>
          <w:p w14:paraId="57270170">
            <w:pPr>
              <w:snapToGrid w:val="0"/>
              <w:ind w:firstLine="363"/>
              <w:textAlignment w:val="auto"/>
              <w:rPr>
                <w:rFonts w:hint="eastAsia" w:asciiTheme="majorEastAsia" w:hAnsiTheme="majorEastAsia" w:eastAsiaTheme="majorEastAsia" w:cstheme="majorEastAsia"/>
                <w:color w:val="auto"/>
                <w:sz w:val="18"/>
                <w:szCs w:val="18"/>
                <w:highlight w:val="none"/>
                <w:lang w:eastAsia="zh-CN"/>
              </w:rPr>
            </w:pPr>
            <w:r>
              <w:rPr>
                <w:rFonts w:hint="eastAsia" w:asciiTheme="majorEastAsia" w:hAnsiTheme="majorEastAsia" w:eastAsiaTheme="majorEastAsia" w:cstheme="majorEastAsia"/>
                <w:color w:val="auto"/>
                <w:kern w:val="0"/>
                <w:sz w:val="18"/>
                <w:szCs w:val="18"/>
                <w:highlight w:val="none"/>
                <w:lang w:eastAsia="zh-CN"/>
              </w:rPr>
              <w:t>（</w:t>
            </w:r>
            <w:r>
              <w:rPr>
                <w:rFonts w:hint="eastAsia" w:asciiTheme="majorEastAsia" w:hAnsiTheme="majorEastAsia" w:eastAsiaTheme="majorEastAsia" w:cstheme="majorEastAsia"/>
                <w:color w:val="auto"/>
                <w:kern w:val="0"/>
                <w:sz w:val="18"/>
                <w:szCs w:val="18"/>
                <w:highlight w:val="none"/>
                <w:lang w:val="en-US" w:eastAsia="zh-CN"/>
              </w:rPr>
              <w:t>10</w:t>
            </w:r>
            <w:r>
              <w:rPr>
                <w:rFonts w:hint="eastAsia" w:asciiTheme="majorEastAsia" w:hAnsiTheme="majorEastAsia" w:eastAsiaTheme="majorEastAsia" w:cstheme="majorEastAsia"/>
                <w:color w:val="auto"/>
                <w:kern w:val="0"/>
                <w:sz w:val="18"/>
                <w:szCs w:val="18"/>
                <w:highlight w:val="none"/>
                <w:lang w:eastAsia="zh-CN"/>
              </w:rPr>
              <w:t>）</w:t>
            </w:r>
            <w:r>
              <w:rPr>
                <w:rFonts w:hint="eastAsia" w:asciiTheme="majorEastAsia" w:hAnsiTheme="majorEastAsia" w:eastAsiaTheme="majorEastAsia" w:cstheme="majorEastAsia"/>
                <w:color w:val="auto"/>
                <w:kern w:val="0"/>
                <w:sz w:val="18"/>
                <w:szCs w:val="18"/>
                <w:highlight w:val="none"/>
              </w:rPr>
              <w:t>工程建设过程中，建设单位同意项目负责人变更的，需将变更后的施工单位、监理单位法定代表人签署的项目负责人授权书和项目负责人签署的工程质量终身责任承诺书、项目负责人资格证书以及建设单位同意变更的材料，于10个工作日内在国家能源局电力建设工程质量监督信息系统中完成补录</w:t>
            </w:r>
            <w:r>
              <w:rPr>
                <w:rFonts w:hint="eastAsia" w:asciiTheme="majorEastAsia" w:hAnsiTheme="majorEastAsia" w:eastAsiaTheme="majorEastAsia" w:cstheme="majorEastAsia"/>
                <w:color w:val="auto"/>
                <w:kern w:val="0"/>
                <w:sz w:val="18"/>
                <w:szCs w:val="18"/>
                <w:highlight w:val="none"/>
                <w:lang w:eastAsia="zh-CN"/>
              </w:rPr>
              <w:t>。</w:t>
            </w:r>
          </w:p>
        </w:tc>
        <w:tc>
          <w:tcPr>
            <w:tcW w:w="461" w:type="dxa"/>
            <w:tcBorders>
              <w:top w:val="single" w:color="000000" w:sz="4" w:space="0"/>
              <w:left w:val="single" w:color="000000" w:sz="4" w:space="0"/>
              <w:bottom w:val="single" w:color="000000" w:sz="4" w:space="0"/>
              <w:right w:val="nil"/>
            </w:tcBorders>
            <w:vAlign w:val="center"/>
          </w:tcPr>
          <w:p w14:paraId="7F12EE9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6F96BFB5">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6C34444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5EAC9A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w:t>
            </w:r>
          </w:p>
          <w:p w14:paraId="00ABB83C">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snapToGrid w:val="0"/>
                <w:color w:val="auto"/>
                <w:kern w:val="0"/>
                <w:sz w:val="18"/>
                <w:szCs w:val="18"/>
                <w:highlight w:val="none"/>
              </w:rPr>
              <w:t>4.8.3 （补充）</w:t>
            </w:r>
          </w:p>
        </w:tc>
        <w:tc>
          <w:tcPr>
            <w:tcW w:w="4052" w:type="dxa"/>
            <w:tcBorders>
              <w:top w:val="single" w:color="000000" w:sz="4" w:space="0"/>
              <w:left w:val="single" w:color="000000" w:sz="4" w:space="0"/>
              <w:bottom w:val="single" w:color="000000" w:sz="4" w:space="0"/>
              <w:right w:val="single" w:color="000000" w:sz="4" w:space="0"/>
            </w:tcBorders>
            <w:vAlign w:val="center"/>
          </w:tcPr>
          <w:p w14:paraId="2E39B50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4.8.3 （补充）：</w:t>
            </w:r>
          </w:p>
          <w:p w14:paraId="219DD87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与当地卫生部门协作，按其要求，在整个合同期间自始至终在营地住房区和施工场地确保配有医务人员、急救设备、备用品、病房及适用的救护服务，并且采取适当的安排以预防传染病，并提供所有必要的福利及卫生条件。承包人应保持其职员和工人的安全、健康。监理人可随时指示承包人提供关于人员安全、健康的报告。</w:t>
            </w:r>
          </w:p>
          <w:p w14:paraId="58FF038C">
            <w:pPr>
              <w:snapToGrid w:val="0"/>
              <w:spacing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自始至终采取必要的预防措施保护在施工场地所雇佣人员免受污染、病虫害、老鼠、野兽和其他生物的侵害，减少对健康的威胁以及由此造成的普遍的危害。承包人应向所雇佣人员提供预防疟疾、血吸虫、“非典型肺炎”、肝炎等疾病的适当的预防药品，并采取措施防止造成水源污染。承包人应遵守当地卫生部门一切有关规定，特别是安排经批准使用的杀虫剂对所有在建现场的房屋进行彻底喷洒，对这一处理应至少每月进行一次或根据监理人的指示进行。承包人还应告诫、教育、培训其职员和工人避免或减少上述各种危及健康的因素的影响和扩散，并进行定期体检，及时发现相关隐患。</w:t>
            </w:r>
          </w:p>
        </w:tc>
        <w:tc>
          <w:tcPr>
            <w:tcW w:w="4275" w:type="dxa"/>
            <w:tcBorders>
              <w:top w:val="single" w:color="000000" w:sz="4" w:space="0"/>
              <w:left w:val="single" w:color="000000" w:sz="4" w:space="0"/>
              <w:bottom w:val="single" w:color="000000" w:sz="4" w:space="0"/>
              <w:right w:val="single" w:color="000000" w:sz="4" w:space="0"/>
            </w:tcBorders>
            <w:vAlign w:val="center"/>
          </w:tcPr>
          <w:p w14:paraId="44D0EABB">
            <w:pPr>
              <w:snapToGrid w:val="0"/>
              <w:spacing w:line="240" w:lineRule="atLeas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3AD3912C">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4.8.3 （补充）</w:t>
            </w:r>
          </w:p>
          <w:p w14:paraId="5C30161F">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与当地卫生部门协作，按其要求，在整个合同期间自始至终在营地住房区和施工场地确保配有医务人员、急救设备、备用品、病房及适用的救护服务，并且采取适当的安排以预防传染病，并提供所有必要的福利及卫生条件。承包人应保持其职员和工人的安全、健康。监理人可随时指示承包人提供关于人员安全、健康的报告。</w:t>
            </w:r>
          </w:p>
          <w:p w14:paraId="0123A1FC">
            <w:pPr>
              <w:snapToGrid w:val="0"/>
              <w:spacing w:line="240" w:lineRule="atLeast"/>
              <w:ind w:firstLine="360" w:firstLineChars="200"/>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自始至终采取必要的预防措施保护在施工场地所雇佣人员免受污染、病虫害、老鼠、野兽和其他生物的侵害，减少对健康的威胁以及由此造成的普遍的危害。承包人应向所雇佣人员提供预防疟疾、血吸虫、肝炎等疾病的适当的预防药品，并采取措施防止造成水源污染。承包人应遵守当地卫生部门一切有关规定，特别是安排经批准使用的杀虫剂对所有在建现场的房屋进行彻底喷洒，对这一处理应至少每月进行一次或根据监理人的指示进行。承包人还应告诫、教育、培训其职员和工人避免或减少上述各种危及健康的因素的影响和扩散，并进行定期体检，及时发现相关隐患。</w:t>
            </w:r>
          </w:p>
        </w:tc>
        <w:tc>
          <w:tcPr>
            <w:tcW w:w="461" w:type="dxa"/>
            <w:tcBorders>
              <w:top w:val="single" w:color="000000" w:sz="4" w:space="0"/>
              <w:left w:val="single" w:color="000000" w:sz="4" w:space="0"/>
              <w:bottom w:val="single" w:color="000000" w:sz="4" w:space="0"/>
              <w:right w:val="nil"/>
            </w:tcBorders>
            <w:vAlign w:val="center"/>
          </w:tcPr>
          <w:p w14:paraId="0CFE863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3B0FD3C">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4E70FA56">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6C45727">
            <w:pPr>
              <w:snapToGrid w:val="0"/>
              <w:spacing w:line="240" w:lineRule="atLeast"/>
              <w:jc w:val="left"/>
              <w:rPr>
                <w:rStyle w:val="37"/>
                <w:rFonts w:hint="eastAsia" w:asciiTheme="majorEastAsia" w:hAnsiTheme="majorEastAsia" w:eastAsiaTheme="majorEastAsia" w:cstheme="majorEastAsia"/>
                <w:snapToGrid w:val="0"/>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专用条款第4.11.1条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4B04E64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4.11.1 不利物质条件的其他情形和有关约定：         。</w:t>
            </w:r>
          </w:p>
        </w:tc>
        <w:tc>
          <w:tcPr>
            <w:tcW w:w="4275" w:type="dxa"/>
            <w:tcBorders>
              <w:top w:val="single" w:color="000000" w:sz="4" w:space="0"/>
              <w:left w:val="single" w:color="000000" w:sz="4" w:space="0"/>
              <w:bottom w:val="single" w:color="000000" w:sz="4" w:space="0"/>
              <w:right w:val="single" w:color="000000" w:sz="4" w:space="0"/>
            </w:tcBorders>
            <w:vAlign w:val="center"/>
          </w:tcPr>
          <w:p w14:paraId="20EF824F">
            <w:pPr>
              <w:snapToGrid w:val="0"/>
              <w:spacing w:line="240" w:lineRule="atLeast"/>
              <w:ind w:left="178" w:leftChars="85" w:firstLine="180" w:firstLineChars="1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4.11.1 不利物质条件的其他情形和有关约定：</w:t>
            </w:r>
            <w:r>
              <w:rPr>
                <w:rStyle w:val="37"/>
                <w:rFonts w:hint="eastAsia" w:asciiTheme="majorEastAsia" w:hAnsiTheme="majorEastAsia" w:eastAsiaTheme="majorEastAsia" w:cstheme="majorEastAsia"/>
                <w:color w:val="auto"/>
                <w:kern w:val="0"/>
                <w:sz w:val="18"/>
                <w:szCs w:val="18"/>
                <w:highlight w:val="none"/>
                <w:lang w:val="en-US" w:eastAsia="zh-CN"/>
              </w:rPr>
              <w:t xml:space="preserve">   </w:t>
            </w:r>
            <w:r>
              <w:rPr>
                <w:rStyle w:val="37"/>
                <w:rFonts w:hint="eastAsia" w:asciiTheme="majorEastAsia" w:hAnsiTheme="majorEastAsia" w:eastAsiaTheme="majorEastAsia" w:cstheme="majorEastAsia"/>
                <w:color w:val="auto"/>
                <w:kern w:val="0"/>
                <w:sz w:val="18"/>
                <w:szCs w:val="18"/>
                <w:highlight w:val="none"/>
              </w:rPr>
              <w:t xml:space="preserve">      </w:t>
            </w:r>
            <w:r>
              <w:rPr>
                <w:rStyle w:val="37"/>
                <w:rFonts w:hint="eastAsia" w:asciiTheme="majorEastAsia" w:hAnsiTheme="majorEastAsia" w:eastAsiaTheme="majorEastAsia" w:cstheme="majorEastAsia"/>
                <w:color w:val="auto"/>
                <w:kern w:val="0"/>
                <w:sz w:val="18"/>
                <w:szCs w:val="18"/>
                <w:highlight w:val="none"/>
                <w:lang w:val="en-US" w:eastAsia="zh-CN"/>
              </w:rPr>
              <w:t>/</w:t>
            </w:r>
            <w:r>
              <w:rPr>
                <w:rStyle w:val="37"/>
                <w:rFonts w:hint="eastAsia" w:asciiTheme="majorEastAsia" w:hAnsiTheme="majorEastAsia" w:eastAsiaTheme="majorEastAsia" w:cstheme="majorEastAsia"/>
                <w:color w:val="auto"/>
                <w:kern w:val="0"/>
                <w:sz w:val="18"/>
                <w:szCs w:val="18"/>
                <w:highlight w:val="none"/>
              </w:rPr>
              <w:t xml:space="preserve">   。</w:t>
            </w:r>
          </w:p>
        </w:tc>
        <w:tc>
          <w:tcPr>
            <w:tcW w:w="461" w:type="dxa"/>
            <w:tcBorders>
              <w:top w:val="single" w:color="000000" w:sz="4" w:space="0"/>
              <w:left w:val="single" w:color="000000" w:sz="4" w:space="0"/>
              <w:bottom w:val="single" w:color="000000" w:sz="4" w:space="0"/>
              <w:right w:val="nil"/>
            </w:tcBorders>
            <w:vAlign w:val="center"/>
          </w:tcPr>
          <w:p w14:paraId="6CA1A6F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5810C94E">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48" w:type="dxa"/>
            <w:tcBorders>
              <w:top w:val="single" w:color="000000" w:sz="4" w:space="0"/>
              <w:left w:val="nil"/>
              <w:bottom w:val="single" w:color="000000" w:sz="4" w:space="0"/>
              <w:right w:val="single" w:color="000000" w:sz="4" w:space="0"/>
            </w:tcBorders>
            <w:vAlign w:val="center"/>
          </w:tcPr>
          <w:p w14:paraId="77D1A331">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2DED9CE">
            <w:pPr>
              <w:adjustRightInd w:val="0"/>
              <w:snapToGrid w:val="0"/>
              <w:rPr>
                <w:rFonts w:hint="eastAsia" w:asciiTheme="majorEastAsia" w:hAnsiTheme="majorEastAsia" w:eastAsiaTheme="majorEastAsia" w:cstheme="majorEastAsia"/>
                <w:snapToGrid w:val="0"/>
                <w:color w:val="auto"/>
                <w:kern w:val="0"/>
                <w:sz w:val="18"/>
                <w:szCs w:val="18"/>
                <w:highlight w:val="none"/>
              </w:rPr>
            </w:pPr>
            <w:r>
              <w:rPr>
                <w:rFonts w:hint="eastAsia" w:asciiTheme="majorEastAsia" w:hAnsiTheme="majorEastAsia" w:eastAsiaTheme="majorEastAsia" w:cstheme="majorEastAsia"/>
                <w:color w:val="auto"/>
                <w:sz w:val="18"/>
                <w:szCs w:val="18"/>
                <w:highlight w:val="none"/>
              </w:rPr>
              <w:t>专用条款5.1.3</w:t>
            </w:r>
          </w:p>
        </w:tc>
        <w:tc>
          <w:tcPr>
            <w:tcW w:w="4052" w:type="dxa"/>
            <w:tcBorders>
              <w:top w:val="single" w:color="000000" w:sz="4" w:space="0"/>
              <w:left w:val="single" w:color="000000" w:sz="4" w:space="0"/>
              <w:bottom w:val="single" w:color="000000" w:sz="4" w:space="0"/>
              <w:right w:val="single" w:color="000000" w:sz="4" w:space="0"/>
            </w:tcBorders>
            <w:vAlign w:val="center"/>
          </w:tcPr>
          <w:p w14:paraId="4854A79F">
            <w:pPr>
              <w:adjustRightInd w:val="0"/>
              <w:snapToGrid w:val="0"/>
              <w:ind w:firstLine="360" w:firstLineChars="200"/>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5.1.3 （补充）：</w:t>
            </w:r>
          </w:p>
          <w:p w14:paraId="609326CA">
            <w:pPr>
              <w:adjustRightInd w:val="0"/>
              <w:snapToGrid w:val="0"/>
              <w:ind w:firstLine="360" w:firstLineChars="200"/>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承包人应提供检验、测试及试验任何材料或设备通常所需要的协助，包括劳力、电力、燃料、储藏室、仪器及仪表，并应在这些材料或设备等用于工程之前，按监理人的选择和要求，提供材料样品以供试验。</w:t>
            </w:r>
          </w:p>
        </w:tc>
        <w:tc>
          <w:tcPr>
            <w:tcW w:w="4275" w:type="dxa"/>
            <w:tcBorders>
              <w:top w:val="single" w:color="000000" w:sz="4" w:space="0"/>
              <w:left w:val="single" w:color="000000" w:sz="4" w:space="0"/>
              <w:bottom w:val="single" w:color="000000" w:sz="4" w:space="0"/>
              <w:right w:val="single" w:color="000000" w:sz="4" w:space="0"/>
            </w:tcBorders>
            <w:vAlign w:val="center"/>
          </w:tcPr>
          <w:p w14:paraId="19B4F942">
            <w:pPr>
              <w:adjustRightInd w:val="0"/>
              <w:snapToGrid w:val="0"/>
              <w:rPr>
                <w:rFonts w:hint="eastAsia" w:asciiTheme="majorEastAsia" w:hAnsiTheme="majorEastAsia" w:eastAsiaTheme="majorEastAsia" w:cstheme="majorEastAsia"/>
                <w:b/>
                <w:bCs/>
                <w:color w:val="auto"/>
                <w:kern w:val="0"/>
                <w:sz w:val="18"/>
                <w:szCs w:val="18"/>
                <w:highlight w:val="none"/>
              </w:rPr>
            </w:pPr>
            <w:r>
              <w:rPr>
                <w:rFonts w:hint="eastAsia" w:asciiTheme="majorEastAsia" w:hAnsiTheme="majorEastAsia" w:eastAsiaTheme="majorEastAsia" w:cstheme="majorEastAsia"/>
                <w:b/>
                <w:bCs/>
                <w:color w:val="auto"/>
                <w:kern w:val="0"/>
                <w:sz w:val="18"/>
                <w:szCs w:val="18"/>
                <w:highlight w:val="none"/>
              </w:rPr>
              <w:t>修改为：</w:t>
            </w:r>
          </w:p>
          <w:p w14:paraId="03032268">
            <w:pPr>
              <w:adjustRightInd w:val="0"/>
              <w:snapToGrid w:val="0"/>
              <w:ind w:firstLine="360" w:firstLineChars="200"/>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5.1.3（补充）：</w:t>
            </w:r>
          </w:p>
          <w:p w14:paraId="392548DE">
            <w:pPr>
              <w:adjustRightInd w:val="0"/>
              <w:snapToGrid w:val="0"/>
              <w:ind w:firstLine="360" w:firstLineChars="200"/>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承包人应提供检验、测试及试验任何材料或设备通常所需要的协助，包括劳力、电力、燃料、储藏室、仪器及仪表，并应在这些材料或设备等用于工程之前，按监理人的选择和要求，提供材料样品以供试验。</w:t>
            </w:r>
          </w:p>
          <w:p w14:paraId="5372204A">
            <w:pPr>
              <w:adjustRightInd w:val="0"/>
              <w:snapToGrid w:val="0"/>
              <w:ind w:firstLine="360" w:firstLineChars="200"/>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承包人负责采购的导线、金具、绝缘子、电缆、地脚螺栓、接地材料及其他业主认为重要的乙供设备或材料，应满足业主提供的技术规范要求。</w:t>
            </w:r>
          </w:p>
          <w:p w14:paraId="684EDE6F">
            <w:pPr>
              <w:adjustRightInd w:val="0"/>
              <w:snapToGrid w:val="0"/>
              <w:ind w:firstLine="360" w:firstLineChars="200"/>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需提供质量可靠、性能优越的设备连接金具及导线，采取优良的连接工艺，以满足电晕要求，减小噪音，保证连接的视觉效果。若由于产品质量及工艺导致电晕、噪音超标，需无条件返工并追究相关责任。动力电缆与控制电缆之间应采取防火隔离措施。</w:t>
            </w:r>
          </w:p>
        </w:tc>
        <w:tc>
          <w:tcPr>
            <w:tcW w:w="461" w:type="dxa"/>
            <w:tcBorders>
              <w:top w:val="single" w:color="000000" w:sz="4" w:space="0"/>
              <w:left w:val="single" w:color="000000" w:sz="4" w:space="0"/>
              <w:bottom w:val="single" w:color="000000" w:sz="4" w:space="0"/>
              <w:right w:val="nil"/>
            </w:tcBorders>
            <w:vAlign w:val="center"/>
          </w:tcPr>
          <w:p w14:paraId="23C8FEE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6B3DC775">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4EE270B6">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7ACC8C4">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专用条款5.2.1</w:t>
            </w:r>
          </w:p>
        </w:tc>
        <w:tc>
          <w:tcPr>
            <w:tcW w:w="4052" w:type="dxa"/>
            <w:tcBorders>
              <w:top w:val="single" w:color="000000" w:sz="4" w:space="0"/>
              <w:left w:val="single" w:color="000000" w:sz="4" w:space="0"/>
              <w:bottom w:val="single" w:color="000000" w:sz="4" w:space="0"/>
              <w:right w:val="single" w:color="000000" w:sz="4" w:space="0"/>
            </w:tcBorders>
            <w:vAlign w:val="center"/>
          </w:tcPr>
          <w:p w14:paraId="458AFB70">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5.2.1 发包人提供的材料和工程设备的名称如下：</w:t>
            </w:r>
          </w:p>
          <w:p w14:paraId="2E6539C6">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变电站工程：一、二次设备、支柱绝缘子、管母及配套金具、电力电缆等设备及材料（以工程量清单及相关合同文件为准）。</w:t>
            </w:r>
          </w:p>
          <w:p w14:paraId="7A49D43F">
            <w:pPr>
              <w:snapToGrid w:val="0"/>
              <w:spacing w:line="240" w:lineRule="atLeast"/>
              <w:ind w:firstLine="360" w:firstLineChars="200"/>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线路工程：导线、地线、铁塔（不含地脚螺栓、插入角钢）、绝缘子、金具、OPGW及其配套金具（以工程量清单及合同文件为准）。</w:t>
            </w:r>
          </w:p>
        </w:tc>
        <w:tc>
          <w:tcPr>
            <w:tcW w:w="4275" w:type="dxa"/>
            <w:tcBorders>
              <w:top w:val="single" w:color="000000" w:sz="4" w:space="0"/>
              <w:left w:val="single" w:color="000000" w:sz="4" w:space="0"/>
              <w:bottom w:val="single" w:color="000000" w:sz="4" w:space="0"/>
              <w:right w:val="single" w:color="000000" w:sz="4" w:space="0"/>
            </w:tcBorders>
            <w:vAlign w:val="center"/>
          </w:tcPr>
          <w:p w14:paraId="742C4F87">
            <w:pPr>
              <w:adjustRightInd w:val="0"/>
              <w:snapToGrid w:val="0"/>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7C312F0B">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5.2.1发包人提供的材料和工程设备的名称如下：</w:t>
            </w:r>
          </w:p>
          <w:p w14:paraId="416BA514">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见招标文件技术规范书。</w:t>
            </w:r>
          </w:p>
          <w:p w14:paraId="05B72604">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注：发包人供应的材料损耗量已按《电网工程建设预算编制与计算规定（</w:t>
            </w:r>
            <w:r>
              <w:rPr>
                <w:rFonts w:hint="eastAsia" w:asciiTheme="majorEastAsia" w:hAnsiTheme="majorEastAsia" w:eastAsiaTheme="majorEastAsia" w:cstheme="majorEastAsia"/>
                <w:color w:val="auto"/>
                <w:sz w:val="18"/>
                <w:szCs w:val="18"/>
                <w:highlight w:val="none"/>
                <w:lang w:val="en-US" w:eastAsia="zh-CN"/>
              </w:rPr>
              <w:t>2025</w:t>
            </w:r>
            <w:r>
              <w:rPr>
                <w:rFonts w:hint="eastAsia" w:asciiTheme="majorEastAsia" w:hAnsiTheme="majorEastAsia" w:eastAsiaTheme="majorEastAsia" w:cstheme="majorEastAsia"/>
                <w:color w:val="auto"/>
                <w:sz w:val="18"/>
                <w:szCs w:val="18"/>
                <w:highlight w:val="none"/>
              </w:rPr>
              <w:t>版）》配套定额损耗量供应，因承包人原因所增加的部分必须到原供应厂家采购，费用自负，发包人负责协助协调。</w:t>
            </w:r>
          </w:p>
        </w:tc>
        <w:tc>
          <w:tcPr>
            <w:tcW w:w="461" w:type="dxa"/>
            <w:tcBorders>
              <w:top w:val="single" w:color="000000" w:sz="4" w:space="0"/>
              <w:left w:val="single" w:color="000000" w:sz="4" w:space="0"/>
              <w:bottom w:val="single" w:color="000000" w:sz="4" w:space="0"/>
              <w:right w:val="nil"/>
            </w:tcBorders>
            <w:vAlign w:val="center"/>
          </w:tcPr>
          <w:p w14:paraId="51685F7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749E609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63D2E51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6662B42">
            <w:pPr>
              <w:adjustRightInd w:val="0"/>
              <w:snapToGrid w:val="0"/>
              <w:rPr>
                <w:rFonts w:hint="eastAsia" w:asciiTheme="majorEastAsia" w:hAnsiTheme="majorEastAsia" w:eastAsiaTheme="majorEastAsia" w:cstheme="majorEastAsia"/>
                <w:color w:val="auto"/>
                <w:sz w:val="18"/>
                <w:szCs w:val="18"/>
                <w:highlight w:val="none"/>
                <w:lang w:val="en-US" w:eastAsia="zh-CN"/>
              </w:rPr>
            </w:pPr>
            <w:r>
              <w:rPr>
                <w:rFonts w:hint="eastAsia" w:asciiTheme="majorEastAsia" w:hAnsiTheme="majorEastAsia" w:eastAsiaTheme="majorEastAsia" w:cstheme="majorEastAsia"/>
                <w:color w:val="auto"/>
                <w:sz w:val="18"/>
                <w:szCs w:val="18"/>
                <w:highlight w:val="none"/>
              </w:rPr>
              <w:t>专用条款5.2.</w:t>
            </w:r>
            <w:r>
              <w:rPr>
                <w:rFonts w:hint="eastAsia" w:asciiTheme="majorEastAsia" w:hAnsiTheme="majorEastAsia" w:eastAsiaTheme="majorEastAsia" w:cstheme="majorEastAsia"/>
                <w:color w:val="auto"/>
                <w:sz w:val="18"/>
                <w:szCs w:val="18"/>
                <w:highlight w:val="none"/>
                <w:lang w:val="en-US" w:eastAsia="zh-CN"/>
              </w:rPr>
              <w:t>7（新增）</w:t>
            </w:r>
          </w:p>
        </w:tc>
        <w:tc>
          <w:tcPr>
            <w:tcW w:w="4052" w:type="dxa"/>
            <w:tcBorders>
              <w:top w:val="single" w:color="000000" w:sz="4" w:space="0"/>
              <w:left w:val="single" w:color="000000" w:sz="4" w:space="0"/>
              <w:bottom w:val="single" w:color="000000" w:sz="4" w:space="0"/>
              <w:right w:val="single" w:color="000000" w:sz="4" w:space="0"/>
            </w:tcBorders>
            <w:vAlign w:val="center"/>
          </w:tcPr>
          <w:p w14:paraId="7960BBEE">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lang w:val="en-US" w:eastAsia="zh-CN"/>
              </w:rPr>
            </w:pPr>
            <w:r>
              <w:rPr>
                <w:rStyle w:val="37"/>
                <w:rFonts w:hint="eastAsia" w:asciiTheme="majorEastAsia" w:hAnsiTheme="majorEastAsia" w:eastAsiaTheme="majorEastAsia" w:cstheme="majorEastAsia"/>
                <w:color w:val="auto"/>
                <w:kern w:val="0"/>
                <w:sz w:val="18"/>
                <w:szCs w:val="18"/>
                <w:highlight w:val="none"/>
                <w:lang w:val="en-US" w:eastAsia="zh-CN"/>
              </w:rPr>
              <w:t>无</w:t>
            </w:r>
          </w:p>
        </w:tc>
        <w:tc>
          <w:tcPr>
            <w:tcW w:w="4275" w:type="dxa"/>
            <w:tcBorders>
              <w:top w:val="single" w:color="000000" w:sz="4" w:space="0"/>
              <w:left w:val="single" w:color="000000" w:sz="4" w:space="0"/>
              <w:bottom w:val="single" w:color="000000" w:sz="4" w:space="0"/>
              <w:right w:val="single" w:color="000000" w:sz="4" w:space="0"/>
            </w:tcBorders>
            <w:vAlign w:val="center"/>
          </w:tcPr>
          <w:p w14:paraId="527108C9">
            <w:pPr>
              <w:adjustRightInd w:val="0"/>
              <w:snapToGrid w:val="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承包人应根据施工进度、停电时间编制物资发货计划并提报给发包人，承包人应对</w:t>
            </w:r>
            <w:r>
              <w:rPr>
                <w:rFonts w:hint="eastAsia" w:asciiTheme="majorEastAsia" w:hAnsiTheme="majorEastAsia" w:eastAsiaTheme="majorEastAsia" w:cstheme="majorEastAsia"/>
                <w:color w:val="auto"/>
                <w:sz w:val="18"/>
                <w:szCs w:val="18"/>
                <w:highlight w:val="none"/>
                <w:lang w:val="en-US" w:eastAsia="zh-CN"/>
              </w:rPr>
              <w:t>甲供</w:t>
            </w:r>
            <w:r>
              <w:rPr>
                <w:rFonts w:hint="eastAsia" w:asciiTheme="majorEastAsia" w:hAnsiTheme="majorEastAsia" w:eastAsiaTheme="majorEastAsia" w:cstheme="majorEastAsia"/>
                <w:color w:val="auto"/>
                <w:sz w:val="18"/>
                <w:szCs w:val="18"/>
                <w:highlight w:val="none"/>
              </w:rPr>
              <w:t>物资发货时间、型号、发货量进行把控，保证物资发货准确率。</w:t>
            </w:r>
          </w:p>
        </w:tc>
        <w:tc>
          <w:tcPr>
            <w:tcW w:w="461" w:type="dxa"/>
            <w:tcBorders>
              <w:top w:val="single" w:color="000000" w:sz="4" w:space="0"/>
              <w:left w:val="single" w:color="000000" w:sz="4" w:space="0"/>
              <w:bottom w:val="single" w:color="000000" w:sz="4" w:space="0"/>
              <w:right w:val="nil"/>
            </w:tcBorders>
            <w:vAlign w:val="center"/>
          </w:tcPr>
          <w:p w14:paraId="122FBB8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736F43BE">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327E76A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1C4DCF6">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专用条款</w:t>
            </w:r>
          </w:p>
          <w:p w14:paraId="1A2A7B5B">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b/>
                <w:color w:val="auto"/>
                <w:sz w:val="18"/>
                <w:szCs w:val="18"/>
                <w:highlight w:val="none"/>
              </w:rPr>
              <w:t>6.1.4（新增）</w:t>
            </w:r>
          </w:p>
        </w:tc>
        <w:tc>
          <w:tcPr>
            <w:tcW w:w="4052" w:type="dxa"/>
            <w:tcBorders>
              <w:top w:val="single" w:color="000000" w:sz="4" w:space="0"/>
              <w:left w:val="single" w:color="000000" w:sz="4" w:space="0"/>
              <w:bottom w:val="single" w:color="000000" w:sz="4" w:space="0"/>
              <w:right w:val="single" w:color="000000" w:sz="4" w:space="0"/>
            </w:tcBorders>
            <w:vAlign w:val="center"/>
          </w:tcPr>
          <w:p w14:paraId="223311F9">
            <w:pPr>
              <w:snapToGrid w:val="0"/>
              <w:spacing w:line="240" w:lineRule="atLeast"/>
              <w:ind w:firstLine="361" w:firstLineChars="200"/>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sz w:val="18"/>
                <w:szCs w:val="18"/>
                <w:highlight w:val="none"/>
              </w:rPr>
              <w:t>无</w:t>
            </w:r>
          </w:p>
        </w:tc>
        <w:tc>
          <w:tcPr>
            <w:tcW w:w="4275" w:type="dxa"/>
            <w:tcBorders>
              <w:top w:val="single" w:color="000000" w:sz="4" w:space="0"/>
              <w:left w:val="single" w:color="000000" w:sz="4" w:space="0"/>
              <w:bottom w:val="single" w:color="000000" w:sz="4" w:space="0"/>
              <w:right w:val="single" w:color="000000" w:sz="4" w:space="0"/>
            </w:tcBorders>
            <w:vAlign w:val="center"/>
          </w:tcPr>
          <w:p w14:paraId="5B3DAE21">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6.1.4（增加）：</w:t>
            </w:r>
          </w:p>
          <w:p w14:paraId="5EA41BB9">
            <w:pPr>
              <w:ind w:firstLine="361" w:firstLineChars="200"/>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color w:val="auto"/>
                <w:sz w:val="18"/>
                <w:szCs w:val="18"/>
                <w:highlight w:val="none"/>
              </w:rPr>
              <w:t>建筑物室内临时照明由各建筑物的土建施工单位负责提供并维护。</w:t>
            </w:r>
          </w:p>
        </w:tc>
        <w:tc>
          <w:tcPr>
            <w:tcW w:w="461" w:type="dxa"/>
            <w:tcBorders>
              <w:top w:val="single" w:color="000000" w:sz="4" w:space="0"/>
              <w:left w:val="single" w:color="000000" w:sz="4" w:space="0"/>
              <w:bottom w:val="single" w:color="000000" w:sz="4" w:space="0"/>
              <w:right w:val="nil"/>
            </w:tcBorders>
            <w:vAlign w:val="center"/>
          </w:tcPr>
          <w:p w14:paraId="607F10F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80C776B">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3B55DB61">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E72E57C">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专用条款</w:t>
            </w:r>
          </w:p>
          <w:p w14:paraId="515C0626">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6.2</w:t>
            </w:r>
          </w:p>
        </w:tc>
        <w:tc>
          <w:tcPr>
            <w:tcW w:w="4052" w:type="dxa"/>
            <w:tcBorders>
              <w:top w:val="single" w:color="000000" w:sz="4" w:space="0"/>
              <w:left w:val="single" w:color="000000" w:sz="4" w:space="0"/>
              <w:bottom w:val="single" w:color="000000" w:sz="4" w:space="0"/>
              <w:right w:val="single" w:color="000000" w:sz="4" w:space="0"/>
            </w:tcBorders>
            <w:vAlign w:val="center"/>
          </w:tcPr>
          <w:p w14:paraId="68421EA5">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6.2 发包人提供的施工设备和临时设施</w:t>
            </w:r>
          </w:p>
          <w:p w14:paraId="1F12436B">
            <w:pPr>
              <w:snapToGrid w:val="0"/>
              <w:spacing w:line="240" w:lineRule="atLeast"/>
              <w:ind w:firstLine="361" w:firstLineChars="20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 xml:space="preserve">所有施工设备或装备均由承包人根据自身施工需要提供，发包人不提供任何有关的施工设备。发包人的现场办公场所，由承包人解决，费用含在合同价格中。设计及监理的现场办公场所由其自行负责。 </w:t>
            </w:r>
          </w:p>
        </w:tc>
        <w:tc>
          <w:tcPr>
            <w:tcW w:w="4275" w:type="dxa"/>
            <w:tcBorders>
              <w:top w:val="single" w:color="000000" w:sz="4" w:space="0"/>
              <w:left w:val="single" w:color="000000" w:sz="4" w:space="0"/>
              <w:bottom w:val="single" w:color="000000" w:sz="4" w:space="0"/>
              <w:right w:val="single" w:color="000000" w:sz="4" w:space="0"/>
            </w:tcBorders>
            <w:vAlign w:val="center"/>
          </w:tcPr>
          <w:p w14:paraId="2D01BDCE">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6.2发包人提供的施工设备和临时设施修改为：</w:t>
            </w:r>
          </w:p>
          <w:p w14:paraId="63036AF1">
            <w:pPr>
              <w:adjustRightInd w:val="0"/>
              <w:snapToGrid w:val="0"/>
              <w:ind w:firstLine="361" w:firstLineChars="200"/>
              <w:rPr>
                <w:rFonts w:hint="eastAsia" w:asciiTheme="majorEastAsia" w:hAnsiTheme="majorEastAsia" w:eastAsiaTheme="majorEastAsia" w:cstheme="majorEastAsia"/>
                <w:b/>
                <w:color w:val="auto"/>
                <w:sz w:val="18"/>
                <w:szCs w:val="18"/>
                <w:highlight w:val="none"/>
                <w:lang w:val="en-US" w:eastAsia="zh-CN"/>
              </w:rPr>
            </w:pPr>
            <w:r>
              <w:rPr>
                <w:rFonts w:hint="eastAsia" w:asciiTheme="majorEastAsia" w:hAnsiTheme="majorEastAsia" w:eastAsiaTheme="majorEastAsia" w:cstheme="majorEastAsia"/>
                <w:b/>
                <w:color w:val="auto"/>
                <w:sz w:val="18"/>
                <w:szCs w:val="18"/>
                <w:highlight w:val="none"/>
              </w:rPr>
              <w:t>所有施工设备或装备均由承包人根据自身施工需要提供，发包人不提供任何有关的施工设备。现场办公场所</w:t>
            </w:r>
            <w:r>
              <w:rPr>
                <w:rFonts w:hint="eastAsia" w:asciiTheme="majorEastAsia" w:hAnsiTheme="majorEastAsia" w:eastAsiaTheme="majorEastAsia" w:cstheme="majorEastAsia"/>
                <w:b/>
                <w:color w:val="auto"/>
                <w:sz w:val="18"/>
                <w:szCs w:val="18"/>
                <w:highlight w:val="none"/>
                <w:lang w:val="en-US" w:eastAsia="zh-CN"/>
              </w:rPr>
              <w:t>要求详见技术规范书。</w:t>
            </w:r>
          </w:p>
        </w:tc>
        <w:tc>
          <w:tcPr>
            <w:tcW w:w="461" w:type="dxa"/>
            <w:tcBorders>
              <w:top w:val="single" w:color="000000" w:sz="4" w:space="0"/>
              <w:left w:val="single" w:color="000000" w:sz="4" w:space="0"/>
              <w:bottom w:val="single" w:color="000000" w:sz="4" w:space="0"/>
              <w:right w:val="nil"/>
            </w:tcBorders>
            <w:vAlign w:val="center"/>
          </w:tcPr>
          <w:p w14:paraId="5319E1C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43105BD">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6A37A419">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42FBA09D">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color w:val="auto"/>
                <w:sz w:val="18"/>
                <w:szCs w:val="18"/>
                <w:highlight w:val="none"/>
              </w:rPr>
              <w:t>专用条款</w:t>
            </w:r>
            <w:r>
              <w:rPr>
                <w:rFonts w:hint="eastAsia" w:asciiTheme="majorEastAsia" w:hAnsiTheme="majorEastAsia" w:eastAsiaTheme="majorEastAsia" w:cstheme="majorEastAsia"/>
                <w:color w:val="auto"/>
                <w:sz w:val="18"/>
                <w:szCs w:val="18"/>
                <w:highlight w:val="none"/>
                <w:lang w:val="en-US" w:eastAsia="zh-CN"/>
              </w:rPr>
              <w:t>第</w:t>
            </w:r>
            <w:r>
              <w:rPr>
                <w:rFonts w:hint="eastAsia" w:asciiTheme="majorEastAsia" w:hAnsiTheme="majorEastAsia" w:eastAsiaTheme="majorEastAsia" w:cstheme="majorEastAsia"/>
                <w:color w:val="auto"/>
                <w:sz w:val="18"/>
                <w:szCs w:val="18"/>
                <w:highlight w:val="none"/>
              </w:rPr>
              <w:t>8.1.1</w:t>
            </w:r>
            <w:r>
              <w:rPr>
                <w:rFonts w:hint="eastAsia" w:asciiTheme="majorEastAsia" w:hAnsiTheme="majorEastAsia" w:eastAsiaTheme="majorEastAsia" w:cstheme="majorEastAsia"/>
                <w:color w:val="auto"/>
                <w:sz w:val="18"/>
                <w:szCs w:val="18"/>
                <w:highlight w:val="none"/>
                <w:lang w:val="en-US" w:eastAsia="zh-CN"/>
              </w:rPr>
              <w:t>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30CE741F">
            <w:pPr>
              <w:snapToGrid w:val="0"/>
              <w:spacing w:line="240" w:lineRule="atLeast"/>
              <w:ind w:firstLine="361" w:firstLineChars="20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8.1.1 （2）承包人应按以下要求测设施工控制网：                 。</w:t>
            </w:r>
          </w:p>
        </w:tc>
        <w:tc>
          <w:tcPr>
            <w:tcW w:w="4275" w:type="dxa"/>
            <w:tcBorders>
              <w:top w:val="single" w:color="000000" w:sz="4" w:space="0"/>
              <w:left w:val="single" w:color="000000" w:sz="4" w:space="0"/>
              <w:bottom w:val="single" w:color="000000" w:sz="4" w:space="0"/>
              <w:right w:val="single" w:color="000000" w:sz="4" w:space="0"/>
            </w:tcBorders>
            <w:vAlign w:val="center"/>
          </w:tcPr>
          <w:p w14:paraId="2DDB9B83">
            <w:pPr>
              <w:adjustRightInd w:val="0"/>
              <w:snapToGrid w:val="0"/>
              <w:ind w:firstLine="361" w:firstLineChars="20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 xml:space="preserve">8.1.1 （2）承包人应按以下要求测设施工控制网：       </w:t>
            </w:r>
            <w:r>
              <w:rPr>
                <w:rFonts w:hint="eastAsia" w:asciiTheme="majorEastAsia" w:hAnsiTheme="majorEastAsia" w:eastAsiaTheme="majorEastAsia" w:cstheme="majorEastAsia"/>
                <w:b/>
                <w:color w:val="auto"/>
                <w:sz w:val="18"/>
                <w:szCs w:val="18"/>
                <w:highlight w:val="none"/>
                <w:lang w:val="en-US" w:eastAsia="zh-CN"/>
              </w:rPr>
              <w:t>/</w:t>
            </w:r>
            <w:r>
              <w:rPr>
                <w:rFonts w:hint="eastAsia" w:asciiTheme="majorEastAsia" w:hAnsiTheme="majorEastAsia" w:eastAsiaTheme="majorEastAsia" w:cstheme="majorEastAsia"/>
                <w:b/>
                <w:color w:val="auto"/>
                <w:sz w:val="18"/>
                <w:szCs w:val="18"/>
                <w:highlight w:val="none"/>
              </w:rPr>
              <w:t xml:space="preserve">         。</w:t>
            </w:r>
          </w:p>
        </w:tc>
        <w:tc>
          <w:tcPr>
            <w:tcW w:w="461" w:type="dxa"/>
            <w:tcBorders>
              <w:top w:val="single" w:color="000000" w:sz="4" w:space="0"/>
              <w:left w:val="single" w:color="000000" w:sz="4" w:space="0"/>
              <w:bottom w:val="single" w:color="000000" w:sz="4" w:space="0"/>
              <w:right w:val="nil"/>
            </w:tcBorders>
            <w:vAlign w:val="center"/>
          </w:tcPr>
          <w:p w14:paraId="6EC5668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31942A28">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24" w:hRule="atLeast"/>
          <w:jc w:val="center"/>
        </w:trPr>
        <w:tc>
          <w:tcPr>
            <w:tcW w:w="748" w:type="dxa"/>
            <w:tcBorders>
              <w:top w:val="single" w:color="000000" w:sz="4" w:space="0"/>
              <w:left w:val="nil"/>
              <w:bottom w:val="single" w:color="000000" w:sz="4" w:space="0"/>
              <w:right w:val="single" w:color="000000" w:sz="4" w:space="0"/>
            </w:tcBorders>
            <w:vAlign w:val="center"/>
          </w:tcPr>
          <w:p w14:paraId="55EBB80E">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F181A6F">
            <w:pPr>
              <w:adjustRightInd w:val="0"/>
              <w:snapToGrid w:val="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专用条款9.2.3条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3949F2C7">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9.2.3 承包人是工程安全文明施工的主体，负责安全文明施工的具体实施，控制施工作业安全风险。承包人必须按照合同约定的项目安全管理目标、施工安全管理及风险控制方案及国家电网有限公司有关安全管理规定和相关管理制度，编制有针对性的工程项目施工安全管理及风险控制方案，提交监理人审核后实施。方案主要内容如下：</w:t>
            </w:r>
          </w:p>
          <w:p w14:paraId="4CFD59C5">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（1）工程概况；</w:t>
            </w:r>
          </w:p>
          <w:p w14:paraId="473A48AA">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（2）安全目标；</w:t>
            </w:r>
          </w:p>
          <w:p w14:paraId="47EE25DC">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（3）安全管理机构及职责；</w:t>
            </w:r>
          </w:p>
          <w:p w14:paraId="10AB50D7">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（4）施工安全管理措施；</w:t>
            </w:r>
          </w:p>
          <w:p w14:paraId="06289BBC">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（5）施工安全风险管理；</w:t>
            </w:r>
          </w:p>
          <w:p w14:paraId="6EFD5696">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（6）安全文明施工实施措施；</w:t>
            </w:r>
          </w:p>
          <w:p w14:paraId="6E7E9C62">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（7）环境保护及水土保持措施；</w:t>
            </w:r>
          </w:p>
          <w:p w14:paraId="1871A480">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（8）分包安全管理措施；</w:t>
            </w:r>
          </w:p>
          <w:p w14:paraId="10693F20">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（9）安全检查及隐患排查计划；</w:t>
            </w:r>
          </w:p>
          <w:p w14:paraId="1BF7B05B">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（10）信息管理落实计划；</w:t>
            </w:r>
          </w:p>
          <w:p w14:paraId="524C4D0C">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（11）安全管理评价计划。</w:t>
            </w:r>
          </w:p>
          <w:p w14:paraId="7F349C7F">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承包人编制施工安全管理及风险控制方案所应遵循的项目安全管理目标和发包人安全管理总体策划：</w:t>
            </w:r>
          </w:p>
          <w:p w14:paraId="09003B44">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（1）安全管理目标：</w:t>
            </w:r>
          </w:p>
          <w:p w14:paraId="7947751E">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不发生六级及以上人身事件；不发生因工程建设引起的六级及以上电网及设备事件；不发生六级及以上施工机械设备事件；不发生火灾事故；不发生环境污染事件；不发生负主要责任的一般交通事故；不发生基建信息安全事件；不发生对国家电网有限公司造成影响的安全稳定事件。</w:t>
            </w:r>
          </w:p>
          <w:p w14:paraId="5DF41D8F">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（2）施工安全管理及风险控制方案：</w:t>
            </w:r>
          </w:p>
          <w:p w14:paraId="7ADA2521">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业主项目部编制的安全文明施工总体策划执行国家电网有限公司输变电工程安全文明施工标准化管理相关规定、国家电网有限公司输变电工程施工安全风险识别评估及预控措施管理相关规定。通过对输变电工程开工前的固有风险分析，结合项目实际作业特点，在施工作业前对风险进行动态识别，重新评估风险等级，对风险作业采取针对性的预控措施，保证输变电工程施工安全风险始终处于可控、在控、能控状态。 </w:t>
            </w:r>
          </w:p>
        </w:tc>
        <w:tc>
          <w:tcPr>
            <w:tcW w:w="4275" w:type="dxa"/>
            <w:tcBorders>
              <w:top w:val="single" w:color="000000" w:sz="4" w:space="0"/>
              <w:left w:val="single" w:color="000000" w:sz="4" w:space="0"/>
              <w:bottom w:val="single" w:color="000000" w:sz="4" w:space="0"/>
              <w:right w:val="single" w:color="000000" w:sz="4" w:space="0"/>
            </w:tcBorders>
            <w:vAlign w:val="center"/>
          </w:tcPr>
          <w:p w14:paraId="05D1487C">
            <w:pPr>
              <w:adjustRightInd w:val="0"/>
              <w:snapToGrid w:val="0"/>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08CE0501">
            <w:pPr>
              <w:snapToGrid w:val="0"/>
              <w:spacing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9.2.3 承包人是工程安全文明施工的主体，负责安全文明施工的具体实施，控制施工安全作业风险。承包人必须按照合同约定的项目安全管理目标及国家电网有限公司有关安全管理规定和相关管理制度，在编制的《项目管理实施规划》《施工安全管控措施》中，明确安全文明施工管理目标、安全文明施工管理和安全文明施工设施标准化配置管理具体实施措施和要求，明确安全文明施工设施进场报验执行责任人和监督责任人。</w:t>
            </w:r>
          </w:p>
          <w:p w14:paraId="1627780F">
            <w:pPr>
              <w:pStyle w:val="53"/>
              <w:rPr>
                <w:rFonts w:hint="eastAsia" w:asciiTheme="majorEastAsia" w:hAnsiTheme="majorEastAsia" w:eastAsiaTheme="majorEastAsia" w:cstheme="majorEastAsia"/>
                <w:color w:val="auto"/>
                <w:sz w:val="18"/>
                <w:szCs w:val="18"/>
                <w:highlight w:val="none"/>
              </w:rPr>
            </w:pPr>
          </w:p>
        </w:tc>
        <w:tc>
          <w:tcPr>
            <w:tcW w:w="461" w:type="dxa"/>
            <w:tcBorders>
              <w:top w:val="single" w:color="000000" w:sz="4" w:space="0"/>
              <w:left w:val="single" w:color="000000" w:sz="4" w:space="0"/>
              <w:bottom w:val="single" w:color="000000" w:sz="4" w:space="0"/>
              <w:right w:val="nil"/>
            </w:tcBorders>
            <w:vAlign w:val="center"/>
          </w:tcPr>
          <w:p w14:paraId="4767440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36EF0E50">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748" w:type="dxa"/>
            <w:tcBorders>
              <w:top w:val="single" w:color="000000" w:sz="4" w:space="0"/>
              <w:left w:val="nil"/>
              <w:bottom w:val="single" w:color="000000" w:sz="4" w:space="0"/>
              <w:right w:val="single" w:color="000000" w:sz="4" w:space="0"/>
            </w:tcBorders>
            <w:vAlign w:val="center"/>
          </w:tcPr>
          <w:p w14:paraId="645ED7A8">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02E65B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专用条款第9.6.3条（增加）</w:t>
            </w:r>
          </w:p>
          <w:p w14:paraId="37EAE08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c>
          <w:tcPr>
            <w:tcW w:w="4052" w:type="dxa"/>
            <w:tcBorders>
              <w:top w:val="single" w:color="000000" w:sz="4" w:space="0"/>
              <w:left w:val="single" w:color="000000" w:sz="4" w:space="0"/>
              <w:bottom w:val="single" w:color="000000" w:sz="4" w:space="0"/>
              <w:right w:val="single" w:color="000000" w:sz="4" w:space="0"/>
            </w:tcBorders>
            <w:vAlign w:val="center"/>
          </w:tcPr>
          <w:p w14:paraId="40E7277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无</w:t>
            </w:r>
          </w:p>
        </w:tc>
        <w:tc>
          <w:tcPr>
            <w:tcW w:w="4275" w:type="dxa"/>
            <w:tcBorders>
              <w:top w:val="single" w:color="000000" w:sz="4" w:space="0"/>
              <w:left w:val="single" w:color="000000" w:sz="4" w:space="0"/>
              <w:bottom w:val="single" w:color="000000" w:sz="4" w:space="0"/>
              <w:right w:val="single" w:color="000000" w:sz="4" w:space="0"/>
            </w:tcBorders>
            <w:vAlign w:val="center"/>
          </w:tcPr>
          <w:p w14:paraId="0DB7E5DC">
            <w:pPr>
              <w:snapToGrid w:val="0"/>
              <w:spacing w:line="240" w:lineRule="atLeast"/>
              <w:jc w:val="left"/>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增加：</w:t>
            </w:r>
          </w:p>
          <w:p w14:paraId="0DFEED47">
            <w:pPr>
              <w:snapToGrid w:val="0"/>
              <w:spacing w:line="240" w:lineRule="atLeast"/>
              <w:ind w:firstLine="360" w:firstLineChars="200"/>
              <w:jc w:val="left"/>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9.6.3</w:t>
            </w:r>
            <w:r>
              <w:rPr>
                <w:rStyle w:val="37"/>
                <w:rFonts w:hint="eastAsia" w:asciiTheme="majorEastAsia" w:hAnsiTheme="majorEastAsia" w:eastAsiaTheme="majorEastAsia" w:cstheme="majorEastAsia"/>
                <w:b/>
                <w:color w:val="auto"/>
                <w:kern w:val="0"/>
                <w:sz w:val="18"/>
                <w:szCs w:val="18"/>
                <w:highlight w:val="none"/>
              </w:rPr>
              <w:t xml:space="preserve"> </w:t>
            </w:r>
            <w:r>
              <w:rPr>
                <w:rStyle w:val="37"/>
                <w:rFonts w:hint="eastAsia" w:asciiTheme="majorEastAsia" w:hAnsiTheme="majorEastAsia" w:eastAsiaTheme="majorEastAsia" w:cstheme="majorEastAsia"/>
                <w:color w:val="auto"/>
                <w:kern w:val="0"/>
                <w:sz w:val="18"/>
                <w:szCs w:val="18"/>
                <w:highlight w:val="none"/>
              </w:rPr>
              <w:t>安全文明施工费的使用管理执行国家电网有限公司有关规章制度。</w:t>
            </w:r>
          </w:p>
        </w:tc>
        <w:tc>
          <w:tcPr>
            <w:tcW w:w="461" w:type="dxa"/>
            <w:tcBorders>
              <w:top w:val="single" w:color="000000" w:sz="4" w:space="0"/>
              <w:left w:val="single" w:color="000000" w:sz="4" w:space="0"/>
              <w:bottom w:val="single" w:color="000000" w:sz="4" w:space="0"/>
              <w:right w:val="nil"/>
            </w:tcBorders>
            <w:vAlign w:val="center"/>
          </w:tcPr>
          <w:p w14:paraId="0DE9452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4FE4652">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748" w:type="dxa"/>
            <w:tcBorders>
              <w:top w:val="single" w:color="000000" w:sz="4" w:space="0"/>
              <w:left w:val="nil"/>
              <w:bottom w:val="single" w:color="000000" w:sz="4" w:space="0"/>
              <w:right w:val="single" w:color="000000" w:sz="4" w:space="0"/>
            </w:tcBorders>
            <w:vAlign w:val="center"/>
          </w:tcPr>
          <w:p w14:paraId="7FA66398">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47CE702F">
            <w:pPr>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专用条款第9.8.2条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35CA89E2">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ab/>
            </w:r>
            <w:r>
              <w:rPr>
                <w:rFonts w:hint="eastAsia" w:asciiTheme="majorEastAsia" w:hAnsiTheme="majorEastAsia" w:eastAsiaTheme="majorEastAsia" w:cstheme="majorEastAsia"/>
                <w:color w:val="auto"/>
                <w:kern w:val="0"/>
                <w:sz w:val="18"/>
                <w:szCs w:val="18"/>
                <w:highlight w:val="none"/>
              </w:rPr>
              <w:t xml:space="preserve">9.8.2 </w:t>
            </w:r>
            <w:r>
              <w:rPr>
                <w:rStyle w:val="37"/>
                <w:rFonts w:hint="eastAsia" w:asciiTheme="majorEastAsia" w:hAnsiTheme="majorEastAsia" w:eastAsiaTheme="majorEastAsia" w:cstheme="majorEastAsia"/>
                <w:bCs/>
                <w:color w:val="auto"/>
                <w:kern w:val="0"/>
                <w:sz w:val="18"/>
                <w:szCs w:val="18"/>
                <w:highlight w:val="none"/>
              </w:rPr>
              <w:t>安全考核违约金</w:t>
            </w:r>
          </w:p>
          <w:p w14:paraId="48BC4DE6">
            <w:pPr>
              <w:adjustRightInd w:val="0"/>
              <w:snapToGrid w:val="0"/>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ab/>
            </w:r>
            <w:r>
              <w:rPr>
                <w:rFonts w:hint="eastAsia" w:asciiTheme="majorEastAsia" w:hAnsiTheme="majorEastAsia" w:eastAsiaTheme="majorEastAsia" w:cstheme="majorEastAsia"/>
                <w:color w:val="auto"/>
                <w:kern w:val="0"/>
                <w:sz w:val="18"/>
                <w:szCs w:val="18"/>
                <w:highlight w:val="none"/>
              </w:rPr>
              <w:t>承包人违反合同对安全文明施工、保卫及环境保护的有关规定，出现安全事故或不满足安全文明施工管理要求的情况时，应向发包人支付安全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安全违约金并不减轻或免除承包人的安全文明施工责任。</w:t>
            </w:r>
          </w:p>
          <w:p w14:paraId="5FF915FF">
            <w:pPr>
              <w:adjustRightInd w:val="0"/>
              <w:snapToGrid w:val="0"/>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安全考核违约金标准如下：</w:t>
            </w:r>
          </w:p>
          <w:p w14:paraId="02585AC1">
            <w:pPr>
              <w:adjustRightInd w:val="0"/>
              <w:snapToGrid w:val="0"/>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（1）发生重大安全事故（二级及以上人身、电网、设备安全事件）或人身死亡事故（四级及以上人身安全事件），违约金为签约合同价的2%。</w:t>
            </w:r>
          </w:p>
          <w:p w14:paraId="164FDF43">
            <w:pPr>
              <w:adjustRightInd w:val="0"/>
              <w:snapToGrid w:val="0"/>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（2）发生人身重伤事故（四级及以上人身安全事件），1人•次违约金为签约合同价的6‰、2人•次违约金为签约合同价的1.2%、3人•次及以上违约金为签约合同价的2%。</w:t>
            </w:r>
          </w:p>
          <w:p w14:paraId="0AC8AA3E">
            <w:pPr>
              <w:adjustRightInd w:val="0"/>
              <w:snapToGrid w:val="0"/>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（3）发生设备事故或火灾事故或负主要责任的交通事故，视事故的性质和严重程度，违约金为签约合同价的4‰～2%。</w:t>
            </w:r>
          </w:p>
          <w:p w14:paraId="511423C5">
            <w:pPr>
              <w:adjustRightInd w:val="0"/>
              <w:snapToGrid w:val="0"/>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（4）发生因工程建设而造成的电网停电事故，视事故影响的大小和严重程度，违约金为签约合同价的4‰～2%。</w:t>
            </w:r>
          </w:p>
          <w:p w14:paraId="3E43B09F">
            <w:pPr>
              <w:adjustRightInd w:val="0"/>
              <w:snapToGrid w:val="0"/>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（5）发包人组织安全监督检查时，未能达到标准要求的，每次违约金为签约合同价的2‰。</w:t>
            </w:r>
          </w:p>
        </w:tc>
        <w:tc>
          <w:tcPr>
            <w:tcW w:w="4275" w:type="dxa"/>
            <w:tcBorders>
              <w:top w:val="single" w:color="000000" w:sz="4" w:space="0"/>
              <w:left w:val="single" w:color="000000" w:sz="4" w:space="0"/>
              <w:bottom w:val="single" w:color="000000" w:sz="4" w:space="0"/>
              <w:right w:val="single" w:color="000000" w:sz="4" w:space="0"/>
            </w:tcBorders>
            <w:vAlign w:val="center"/>
          </w:tcPr>
          <w:p w14:paraId="16C11CA2">
            <w:pPr>
              <w:spacing w:line="240" w:lineRule="exact"/>
              <w:jc w:val="left"/>
              <w:rPr>
                <w:rFonts w:hint="eastAsia" w:asciiTheme="majorEastAsia" w:hAnsiTheme="majorEastAsia" w:eastAsiaTheme="majorEastAsia" w:cstheme="majorEastAsia"/>
                <w:b/>
                <w:bCs/>
                <w:color w:val="auto"/>
                <w:kern w:val="0"/>
                <w:sz w:val="18"/>
                <w:szCs w:val="18"/>
                <w:highlight w:val="none"/>
              </w:rPr>
            </w:pPr>
            <w:r>
              <w:rPr>
                <w:rFonts w:hint="eastAsia" w:asciiTheme="majorEastAsia" w:hAnsiTheme="majorEastAsia" w:eastAsiaTheme="majorEastAsia" w:cstheme="majorEastAsia"/>
                <w:b/>
                <w:bCs/>
                <w:color w:val="auto"/>
                <w:kern w:val="0"/>
                <w:sz w:val="18"/>
                <w:szCs w:val="18"/>
                <w:highlight w:val="none"/>
              </w:rPr>
              <w:t>修改为：</w:t>
            </w:r>
          </w:p>
          <w:p w14:paraId="7FF441D4">
            <w:pPr>
              <w:spacing w:line="240" w:lineRule="exac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9.8.2 安全考核违约金</w:t>
            </w:r>
          </w:p>
          <w:p w14:paraId="73A9EE66">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承包人违反合同对安全文明施工、保卫及环境保护的有关规定，出现安全事故或不满足安全文明施工管理要求的情况时，应向发包人支付安全考核违约金。所扣款项以合同约定的数额为限，在合同结算时执行。支付安全违约金并不减轻或免除承包人的安全文明施工责任。</w:t>
            </w:r>
          </w:p>
          <w:p w14:paraId="01379932">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安全考核违约金标准如下：</w:t>
            </w:r>
          </w:p>
          <w:p w14:paraId="12A7451F">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（1）发生重大安全事故（二级及以上人身、电网、设备安全事件）或人身死亡事故（四级及以上人身安全事件），违约金为签约合同价的2%。</w:t>
            </w:r>
          </w:p>
          <w:p w14:paraId="66D5E2FD">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（2）发生人身重伤事故（四级及以上人身安全事件），1人•次违约金为签约合同价的6‰、2人•次违约金为签约合同价的1.2%、3人•次及以上违约金为签约合同价的2%。</w:t>
            </w:r>
          </w:p>
          <w:p w14:paraId="279C67AD">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（3）发生设备事故或火灾事故或负主要责任的交通事故，视事故的性质和严重程度，违约金为签约合同价的4‰～2%。</w:t>
            </w:r>
          </w:p>
          <w:p w14:paraId="46EDCC0D">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（4）发生因工程建设而造成的电网停电事故，视事故影响的大小和严重程度，违约金为签约合同价的4‰～2%。</w:t>
            </w:r>
          </w:p>
          <w:p w14:paraId="70DFA53A">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5）发生因工程建设引起的六级及以上电网及设备安全事件，每次违约金为签约合同价的0.75%；发生六级以上、四级以下人身事件，每次违约金为签约合同价的0.75%；发生六级以上及以上施工机械设备事件，每次违约金为签约合同价的0.75%。</w:t>
            </w:r>
          </w:p>
          <w:p w14:paraId="1BB48E8F">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（6）发生对公司造成影响的安全稳定事件，每次违约金为签约合同价的0.75%；发生环境污染事件的，每次违约金为签约合同价的0.75%；发生基建信息安全事件，每次违约金为签约合同价的0.75%。</w:t>
            </w:r>
          </w:p>
          <w:p w14:paraId="55118562">
            <w:pPr>
              <w:snapToGrid w:val="0"/>
              <w:ind w:firstLine="360" w:firstLineChars="200"/>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（7）发生被地方政府查处的重大安全隐患，每次违约金为签约合同价的0.75%。</w:t>
            </w:r>
          </w:p>
          <w:p w14:paraId="2AE07B88">
            <w:pPr>
              <w:snapToGrid w:val="0"/>
              <w:ind w:firstLine="360" w:firstLineChars="200"/>
              <w:rPr>
                <w:rStyle w:val="37"/>
                <w:rFonts w:hint="eastAsia" w:asciiTheme="majorEastAsia" w:hAnsiTheme="majorEastAsia" w:eastAsiaTheme="majorEastAsia" w:cstheme="majorEastAsia"/>
                <w:bCs/>
                <w:color w:val="auto"/>
                <w:kern w:val="0"/>
                <w:sz w:val="18"/>
                <w:szCs w:val="18"/>
                <w:highlight w:val="none"/>
                <w:lang w:eastAsia="zh-CN"/>
              </w:rPr>
            </w:pPr>
            <w:r>
              <w:rPr>
                <w:rStyle w:val="37"/>
                <w:rFonts w:hint="eastAsia" w:asciiTheme="majorEastAsia" w:hAnsiTheme="majorEastAsia" w:eastAsiaTheme="majorEastAsia" w:cstheme="majorEastAsia"/>
                <w:bCs/>
                <w:color w:val="auto"/>
                <w:kern w:val="0"/>
                <w:sz w:val="18"/>
                <w:szCs w:val="18"/>
                <w:highlight w:val="none"/>
              </w:rPr>
              <w:t>（8）发生国家电网公司查处的严重违章，每次违约金为签约合同价的0.5%；发生国家电网公司查处的一般违章，每次违约金为签约合同价的0.2%</w:t>
            </w:r>
            <w:r>
              <w:rPr>
                <w:rStyle w:val="37"/>
                <w:rFonts w:hint="eastAsia" w:asciiTheme="majorEastAsia" w:hAnsiTheme="majorEastAsia" w:eastAsiaTheme="majorEastAsia" w:cstheme="majorEastAsia"/>
                <w:bCs/>
                <w:color w:val="auto"/>
                <w:kern w:val="0"/>
                <w:sz w:val="18"/>
                <w:szCs w:val="18"/>
                <w:highlight w:val="none"/>
                <w:lang w:eastAsia="zh-CN"/>
              </w:rPr>
              <w:t>。</w:t>
            </w:r>
          </w:p>
          <w:p w14:paraId="15013D5B">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rPr>
              <w:t>（</w:t>
            </w:r>
            <w:r>
              <w:rPr>
                <w:rStyle w:val="37"/>
                <w:rFonts w:hint="eastAsia" w:asciiTheme="majorEastAsia" w:hAnsiTheme="majorEastAsia" w:eastAsiaTheme="majorEastAsia" w:cstheme="majorEastAsia"/>
                <w:bCs/>
                <w:color w:val="auto"/>
                <w:kern w:val="0"/>
                <w:sz w:val="18"/>
                <w:szCs w:val="18"/>
                <w:highlight w:val="none"/>
                <w:lang w:val="en-US" w:eastAsia="zh-CN"/>
              </w:rPr>
              <w:t>9</w:t>
            </w:r>
            <w:r>
              <w:rPr>
                <w:rStyle w:val="37"/>
                <w:rFonts w:hint="eastAsia" w:asciiTheme="majorEastAsia" w:hAnsiTheme="majorEastAsia" w:eastAsiaTheme="majorEastAsia" w:cstheme="majorEastAsia"/>
                <w:bCs/>
                <w:color w:val="auto"/>
                <w:kern w:val="0"/>
                <w:sz w:val="18"/>
                <w:szCs w:val="18"/>
                <w:highlight w:val="none"/>
              </w:rPr>
              <w:t>）</w:t>
            </w:r>
            <w:r>
              <w:rPr>
                <w:rStyle w:val="37"/>
                <w:rFonts w:hint="eastAsia" w:asciiTheme="majorEastAsia" w:hAnsiTheme="majorEastAsia" w:eastAsiaTheme="majorEastAsia" w:cstheme="majorEastAsia"/>
                <w:bCs/>
                <w:color w:val="auto"/>
                <w:kern w:val="0"/>
                <w:sz w:val="18"/>
                <w:szCs w:val="18"/>
                <w:highlight w:val="none"/>
                <w:lang w:val="en-US" w:eastAsia="zh-CN"/>
              </w:rPr>
              <w:t>省级电力公司和建设单位公司（安全监督部门）层级查处施工项目部、作业班组严重违章的，对承包人考核50000元，同次检查发现多项严重违章对承包人进行累加考核，单次检查考核金额不超过100000元；承包人应对责任部门及责任人员按五级安全事件进行考核，并将考核结果报发包人。重复发生严重违章的可对承包人加倍考核，承包人应对相关责任者，自第二起提升考核等级。</w:t>
            </w:r>
          </w:p>
          <w:p w14:paraId="2956D8B3">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10）省级电力公司和建设单位公司（安全监督部门）层级查处施工项目部、作业班组重复性典型一般违章的，对承包人考核5000-10000元;同次检查发现重复性典型一般违章对承包人进行累加考核，单次检查考核金额不超过20000元。</w:t>
            </w:r>
          </w:p>
          <w:p w14:paraId="07E9CD4E">
            <w:pPr>
              <w:snapToGrid w:val="0"/>
              <w:ind w:firstLine="360" w:firstLineChars="200"/>
              <w:jc w:val="left"/>
              <w:rPr>
                <w:rStyle w:val="37"/>
                <w:rFonts w:hint="default"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（11）业主项目部层级查处的严重违章、重复性典型一般违章的按照建设单位公司查处的考核金额减半考核。</w:t>
            </w:r>
          </w:p>
        </w:tc>
        <w:tc>
          <w:tcPr>
            <w:tcW w:w="461" w:type="dxa"/>
            <w:tcBorders>
              <w:top w:val="single" w:color="000000" w:sz="4" w:space="0"/>
              <w:left w:val="single" w:color="000000" w:sz="4" w:space="0"/>
              <w:bottom w:val="single" w:color="000000" w:sz="4" w:space="0"/>
              <w:right w:val="nil"/>
            </w:tcBorders>
            <w:vAlign w:val="center"/>
          </w:tcPr>
          <w:p w14:paraId="5E86C073">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647147D1">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748" w:type="dxa"/>
            <w:tcBorders>
              <w:top w:val="single" w:color="000000" w:sz="4" w:space="0"/>
              <w:left w:val="nil"/>
              <w:bottom w:val="single" w:color="000000" w:sz="4" w:space="0"/>
              <w:right w:val="single" w:color="000000" w:sz="4" w:space="0"/>
            </w:tcBorders>
            <w:vAlign w:val="center"/>
          </w:tcPr>
          <w:p w14:paraId="5377E8F9">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B4211E5">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专用条款第9.8.3条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57221AF6">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9.8.3 发包人根据国家电网</w:t>
            </w:r>
            <w:r>
              <w:rPr>
                <w:rFonts w:hint="eastAsia" w:asciiTheme="majorEastAsia" w:hAnsiTheme="majorEastAsia" w:eastAsiaTheme="majorEastAsia" w:cstheme="majorEastAsia"/>
                <w:color w:val="auto"/>
                <w:kern w:val="0"/>
                <w:sz w:val="18"/>
                <w:szCs w:val="18"/>
                <w:highlight w:val="none"/>
                <w:lang w:eastAsia="zh-CN"/>
              </w:rPr>
              <w:t>有限</w:t>
            </w:r>
            <w:r>
              <w:rPr>
                <w:rFonts w:hint="eastAsia" w:asciiTheme="majorEastAsia" w:hAnsiTheme="majorEastAsia" w:eastAsiaTheme="majorEastAsia" w:cstheme="majorEastAsia"/>
                <w:color w:val="auto"/>
                <w:kern w:val="0"/>
                <w:sz w:val="18"/>
                <w:szCs w:val="18"/>
                <w:highlight w:val="none"/>
              </w:rPr>
              <w:t>公司输变电工程管理有关规定对承包人工作进行考核，并根据考核结果作最终结算。</w:t>
            </w:r>
          </w:p>
        </w:tc>
        <w:tc>
          <w:tcPr>
            <w:tcW w:w="4275" w:type="dxa"/>
            <w:tcBorders>
              <w:top w:val="single" w:color="000000" w:sz="4" w:space="0"/>
              <w:left w:val="single" w:color="000000" w:sz="4" w:space="0"/>
              <w:bottom w:val="single" w:color="000000" w:sz="4" w:space="0"/>
              <w:right w:val="single" w:color="000000" w:sz="4" w:space="0"/>
            </w:tcBorders>
            <w:vAlign w:val="center"/>
          </w:tcPr>
          <w:p w14:paraId="128CD2D6">
            <w:pPr>
              <w:spacing w:line="240" w:lineRule="exact"/>
              <w:jc w:val="left"/>
              <w:rPr>
                <w:rFonts w:hint="eastAsia" w:asciiTheme="majorEastAsia" w:hAnsiTheme="majorEastAsia" w:eastAsiaTheme="majorEastAsia" w:cstheme="majorEastAsia"/>
                <w:b/>
                <w:bCs/>
                <w:color w:val="auto"/>
                <w:kern w:val="0"/>
                <w:sz w:val="18"/>
                <w:szCs w:val="18"/>
                <w:highlight w:val="none"/>
              </w:rPr>
            </w:pPr>
            <w:r>
              <w:rPr>
                <w:rFonts w:hint="eastAsia" w:asciiTheme="majorEastAsia" w:hAnsiTheme="majorEastAsia" w:eastAsiaTheme="majorEastAsia" w:cstheme="majorEastAsia"/>
                <w:b/>
                <w:bCs/>
                <w:color w:val="auto"/>
                <w:kern w:val="0"/>
                <w:sz w:val="18"/>
                <w:szCs w:val="18"/>
                <w:highlight w:val="none"/>
              </w:rPr>
              <w:t>修改为：</w:t>
            </w:r>
          </w:p>
          <w:p w14:paraId="504CBCE9">
            <w:pPr>
              <w:spacing w:line="240" w:lineRule="exact"/>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kern w:val="0"/>
                <w:sz w:val="18"/>
                <w:szCs w:val="18"/>
                <w:highlight w:val="none"/>
              </w:rPr>
              <w:t>9.8.3 发包人依据本合同约定对承包人安全、质量、进度、档案等事项作出的考核违约金，统一在工程竣工结算时计扣。</w:t>
            </w:r>
          </w:p>
        </w:tc>
        <w:tc>
          <w:tcPr>
            <w:tcW w:w="461" w:type="dxa"/>
            <w:tcBorders>
              <w:top w:val="single" w:color="000000" w:sz="4" w:space="0"/>
              <w:left w:val="single" w:color="000000" w:sz="4" w:space="0"/>
              <w:bottom w:val="single" w:color="000000" w:sz="4" w:space="0"/>
              <w:right w:val="nil"/>
            </w:tcBorders>
            <w:vAlign w:val="center"/>
          </w:tcPr>
          <w:p w14:paraId="45FD315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F470306">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748" w:type="dxa"/>
            <w:tcBorders>
              <w:top w:val="single" w:color="000000" w:sz="4" w:space="0"/>
              <w:left w:val="nil"/>
              <w:bottom w:val="single" w:color="000000" w:sz="4" w:space="0"/>
              <w:right w:val="single" w:color="000000" w:sz="4" w:space="0"/>
            </w:tcBorders>
            <w:vAlign w:val="center"/>
          </w:tcPr>
          <w:p w14:paraId="1ED3EDBD">
            <w:pPr>
              <w:pStyle w:val="47"/>
              <w:numPr>
                <w:ilvl w:val="0"/>
                <w:numId w:val="1"/>
              </w:numPr>
              <w:snapToGrid w:val="0"/>
              <w:spacing w:line="240" w:lineRule="atLeast"/>
              <w:ind w:firstLineChars="0"/>
              <w:jc w:val="center"/>
              <w:rPr>
                <w:rFonts w:hint="eastAsia" w:asciiTheme="majorEastAsia" w:hAnsiTheme="majorEastAsia" w:eastAsiaTheme="majorEastAsia" w:cstheme="majorEastAsia"/>
                <w:color w:val="auto"/>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0E5C115">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专用条款第9.10.2条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041CDD19">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9.10.2 对现场常驻人员实施“一人一卡”实名制全程管控，每人配备一张加密“国网芯”信息卡；对现场作业实施“一点一机”全覆盖信息管控，为项目部、作业班组配备经注册的终端机；强化施工安全风险分级管控，三级及以上风险作业应使用施工风险作业监控平台，确保施工现场风险管控措施落实情况和人员到岗到位情况的实时、可视化管理（变电工程适用）。</w:t>
            </w:r>
          </w:p>
        </w:tc>
        <w:tc>
          <w:tcPr>
            <w:tcW w:w="4275" w:type="dxa"/>
            <w:tcBorders>
              <w:top w:val="single" w:color="000000" w:sz="4" w:space="0"/>
              <w:left w:val="single" w:color="000000" w:sz="4" w:space="0"/>
              <w:bottom w:val="single" w:color="000000" w:sz="4" w:space="0"/>
              <w:right w:val="single" w:color="000000" w:sz="4" w:space="0"/>
            </w:tcBorders>
            <w:vAlign w:val="center"/>
          </w:tcPr>
          <w:p w14:paraId="6FE0BA5E">
            <w:pPr>
              <w:spacing w:line="240" w:lineRule="exact"/>
              <w:jc w:val="left"/>
              <w:rPr>
                <w:rFonts w:hint="eastAsia" w:asciiTheme="majorEastAsia" w:hAnsiTheme="majorEastAsia" w:eastAsiaTheme="majorEastAsia" w:cstheme="majorEastAsia"/>
                <w:b/>
                <w:bCs/>
                <w:color w:val="auto"/>
                <w:kern w:val="0"/>
                <w:sz w:val="18"/>
                <w:szCs w:val="18"/>
                <w:highlight w:val="none"/>
              </w:rPr>
            </w:pPr>
            <w:r>
              <w:rPr>
                <w:rFonts w:hint="eastAsia" w:asciiTheme="majorEastAsia" w:hAnsiTheme="majorEastAsia" w:eastAsiaTheme="majorEastAsia" w:cstheme="majorEastAsia"/>
                <w:b/>
                <w:bCs/>
                <w:color w:val="auto"/>
                <w:kern w:val="0"/>
                <w:sz w:val="18"/>
                <w:szCs w:val="18"/>
                <w:highlight w:val="none"/>
              </w:rPr>
              <w:t>修改为：</w:t>
            </w:r>
          </w:p>
          <w:p w14:paraId="35653281">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9.10.2 现场配置门禁系统，严格进场人员“一人一卡”实名制全程管控；建立视频监控平台，并按要求级联至上级视频监控平台，保证作业全过程可视化管控；全面应用基建“e基建</w:t>
            </w:r>
            <w:r>
              <w:rPr>
                <w:rFonts w:hint="eastAsia" w:asciiTheme="majorEastAsia" w:hAnsiTheme="majorEastAsia" w:eastAsiaTheme="majorEastAsia" w:cstheme="majorEastAsia"/>
                <w:color w:val="auto"/>
                <w:kern w:val="0"/>
                <w:sz w:val="18"/>
                <w:szCs w:val="18"/>
                <w:highlight w:val="none"/>
                <w:lang w:val="en-US" w:eastAsia="zh-CN"/>
              </w:rPr>
              <w:t>2.0</w:t>
            </w:r>
            <w:r>
              <w:rPr>
                <w:rFonts w:hint="eastAsia" w:asciiTheme="majorEastAsia" w:hAnsiTheme="majorEastAsia" w:eastAsiaTheme="majorEastAsia" w:cstheme="majorEastAsia"/>
                <w:color w:val="auto"/>
                <w:kern w:val="0"/>
                <w:sz w:val="18"/>
                <w:szCs w:val="18"/>
                <w:highlight w:val="none"/>
              </w:rPr>
              <w:t>”，确保施工现场风险管控措施落实和人员到岗到位情况的实时管理，在线实现作业计划上报，电子作业票开具等。</w:t>
            </w:r>
          </w:p>
        </w:tc>
        <w:tc>
          <w:tcPr>
            <w:tcW w:w="461" w:type="dxa"/>
            <w:tcBorders>
              <w:top w:val="single" w:color="000000" w:sz="4" w:space="0"/>
              <w:left w:val="single" w:color="000000" w:sz="4" w:space="0"/>
              <w:bottom w:val="single" w:color="000000" w:sz="4" w:space="0"/>
              <w:right w:val="nil"/>
            </w:tcBorders>
            <w:vAlign w:val="center"/>
          </w:tcPr>
          <w:p w14:paraId="56FFC4C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CD9702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748" w:type="dxa"/>
            <w:vAlign w:val="center"/>
          </w:tcPr>
          <w:p w14:paraId="08007A1B">
            <w:pPr>
              <w:pStyle w:val="47"/>
              <w:numPr>
                <w:ilvl w:val="0"/>
                <w:numId w:val="1"/>
              </w:numPr>
              <w:snapToGrid w:val="0"/>
              <w:spacing w:line="240" w:lineRule="atLeast"/>
              <w:ind w:firstLineChars="0"/>
              <w:jc w:val="center"/>
              <w:rPr>
                <w:rFonts w:hint="eastAsia" w:asciiTheme="majorEastAsia" w:hAnsiTheme="majorEastAsia" w:eastAsiaTheme="majorEastAsia" w:cstheme="majorEastAsia"/>
                <w:color w:val="auto"/>
                <w:sz w:val="18"/>
                <w:szCs w:val="18"/>
                <w:highlight w:val="none"/>
              </w:rPr>
            </w:pPr>
          </w:p>
        </w:tc>
        <w:tc>
          <w:tcPr>
            <w:tcW w:w="992" w:type="dxa"/>
            <w:vAlign w:val="center"/>
          </w:tcPr>
          <w:p w14:paraId="1AC070C0">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专用条款</w:t>
            </w:r>
          </w:p>
          <w:p w14:paraId="6615F4C1">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sz w:val="18"/>
                <w:szCs w:val="18"/>
                <w:highlight w:val="none"/>
              </w:rPr>
              <w:t>9.12</w:t>
            </w:r>
          </w:p>
        </w:tc>
        <w:tc>
          <w:tcPr>
            <w:tcW w:w="4052" w:type="dxa"/>
            <w:vAlign w:val="center"/>
          </w:tcPr>
          <w:p w14:paraId="0BE2EE9D">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9.12：</w:t>
            </w:r>
          </w:p>
          <w:p w14:paraId="30080B06">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关于安全文明施工、保卫、水土保持和环境保护的其他约定：</w:t>
            </w:r>
          </w:p>
          <w:p w14:paraId="36FD9256">
            <w:pPr>
              <w:adjustRightInd w:val="0"/>
              <w:snapToGrid w:val="0"/>
              <w:rPr>
                <w:rFonts w:hint="eastAsia" w:asciiTheme="majorEastAsia" w:hAnsiTheme="majorEastAsia" w:eastAsiaTheme="majorEastAsia" w:cstheme="majorEastAsia"/>
                <w:b/>
                <w:color w:val="auto"/>
                <w:sz w:val="18"/>
                <w:szCs w:val="18"/>
                <w:highlight w:val="none"/>
                <w:u w:val="single"/>
              </w:rPr>
            </w:pPr>
          </w:p>
          <w:p w14:paraId="599420C9">
            <w:pPr>
              <w:adjustRightInd w:val="0"/>
              <w:snapToGrid w:val="0"/>
              <w:rPr>
                <w:rFonts w:hint="eastAsia" w:asciiTheme="majorEastAsia" w:hAnsiTheme="majorEastAsia" w:eastAsiaTheme="majorEastAsia" w:cstheme="majorEastAsia"/>
                <w:b/>
                <w:color w:val="auto"/>
                <w:sz w:val="18"/>
                <w:szCs w:val="18"/>
                <w:highlight w:val="none"/>
                <w:u w:val="single"/>
              </w:rPr>
            </w:pPr>
            <w:r>
              <w:rPr>
                <w:rFonts w:hint="eastAsia" w:asciiTheme="majorEastAsia" w:hAnsiTheme="majorEastAsia" w:eastAsiaTheme="majorEastAsia" w:cstheme="majorEastAsia"/>
                <w:b/>
                <w:color w:val="auto"/>
                <w:sz w:val="18"/>
                <w:szCs w:val="18"/>
                <w:highlight w:val="none"/>
                <w:u w:val="single"/>
              </w:rPr>
              <w:t xml:space="preserve">                                   。</w:t>
            </w:r>
          </w:p>
          <w:p w14:paraId="17DEE88B">
            <w:pPr>
              <w:spacing w:line="240" w:lineRule="exact"/>
              <w:jc w:val="left"/>
              <w:rPr>
                <w:rFonts w:hint="eastAsia" w:asciiTheme="majorEastAsia" w:hAnsiTheme="majorEastAsia" w:eastAsiaTheme="majorEastAsia" w:cstheme="majorEastAsia"/>
                <w:color w:val="auto"/>
                <w:kern w:val="0"/>
                <w:sz w:val="18"/>
                <w:szCs w:val="18"/>
                <w:highlight w:val="none"/>
              </w:rPr>
            </w:pPr>
          </w:p>
        </w:tc>
        <w:tc>
          <w:tcPr>
            <w:tcW w:w="4275" w:type="dxa"/>
            <w:vAlign w:val="center"/>
          </w:tcPr>
          <w:p w14:paraId="26EAD001">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9.12（增加）：</w:t>
            </w:r>
          </w:p>
          <w:p w14:paraId="4A1F986F">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关于安全文明施工、保卫、水土保持和环境保护的其他约定：</w:t>
            </w:r>
          </w:p>
          <w:p w14:paraId="6E9D7A1E">
            <w:pPr>
              <w:pStyle w:val="2"/>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b/>
                <w:color w:val="auto"/>
                <w:sz w:val="18"/>
                <w:szCs w:val="18"/>
                <w:highlight w:val="none"/>
              </w:rPr>
              <w:t>（1）严格执行《特高压变电（换流）站工程安全文明施工标准化手册》相关要求。</w:t>
            </w:r>
          </w:p>
          <w:p w14:paraId="7E1028EE">
            <w:pPr>
              <w:adjustRightInd w:val="0"/>
              <w:snapToGrid w:val="0"/>
              <w:rPr>
                <w:rFonts w:hint="eastAsia" w:asciiTheme="majorEastAsia" w:hAnsiTheme="majorEastAsia" w:eastAsiaTheme="majorEastAsia" w:cstheme="majorEastAsia"/>
                <w:b/>
                <w:color w:val="auto"/>
                <w:sz w:val="18"/>
                <w:szCs w:val="18"/>
                <w:highlight w:val="none"/>
                <w:u w:val="single"/>
              </w:rPr>
            </w:pPr>
            <w:r>
              <w:rPr>
                <w:rFonts w:hint="eastAsia" w:asciiTheme="majorEastAsia" w:hAnsiTheme="majorEastAsia" w:eastAsiaTheme="majorEastAsia" w:cstheme="majorEastAsia"/>
                <w:b/>
                <w:color w:val="auto"/>
                <w:sz w:val="18"/>
                <w:szCs w:val="18"/>
                <w:highlight w:val="none"/>
                <w:u w:val="single"/>
              </w:rPr>
              <w:t>（2）在工程建设期间，集中办公临建区域、生活区域的生活垃圾及废水由施工承包人负责处理，时间从工程开工到临建复垦完成为止。施工区域、加工区域的建筑垃圾由施工承包人负责处理并满足环保要求。</w:t>
            </w:r>
          </w:p>
          <w:p w14:paraId="567129A8">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sz w:val="18"/>
                <w:szCs w:val="18"/>
                <w:highlight w:val="none"/>
                <w:u w:val="single"/>
              </w:rPr>
              <w:t>（3）施工单位负责归口管理自身区域内或配合的设备厂家（或依据业主项目部制定），厂家人员纳入施工单位管理体系。施工单位负责对其进行安全培训、安全准入、安全审查、安全监督等安全管控。负责指导厂家安装工作的质量控制，对其质量控制措施及工艺负责。</w:t>
            </w:r>
          </w:p>
        </w:tc>
        <w:tc>
          <w:tcPr>
            <w:tcW w:w="461" w:type="dxa"/>
            <w:vAlign w:val="center"/>
          </w:tcPr>
          <w:p w14:paraId="75228283">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B6B5F8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748" w:type="dxa"/>
            <w:tcBorders>
              <w:top w:val="single" w:color="000000" w:sz="4" w:space="0"/>
              <w:left w:val="nil"/>
              <w:bottom w:val="single" w:color="000000" w:sz="4" w:space="0"/>
              <w:right w:val="single" w:color="000000" w:sz="4" w:space="0"/>
            </w:tcBorders>
            <w:vAlign w:val="center"/>
          </w:tcPr>
          <w:p w14:paraId="3C957EBD">
            <w:pPr>
              <w:pStyle w:val="47"/>
              <w:numPr>
                <w:ilvl w:val="0"/>
                <w:numId w:val="1"/>
              </w:numPr>
              <w:snapToGrid w:val="0"/>
              <w:spacing w:line="240" w:lineRule="atLeast"/>
              <w:ind w:firstLineChars="0"/>
              <w:jc w:val="center"/>
              <w:rPr>
                <w:rFonts w:hint="eastAsia" w:asciiTheme="majorEastAsia" w:hAnsiTheme="majorEastAsia" w:eastAsiaTheme="majorEastAsia" w:cstheme="majorEastAsia"/>
                <w:color w:val="auto"/>
                <w:sz w:val="18"/>
                <w:szCs w:val="18"/>
                <w:highlight w:val="none"/>
              </w:rPr>
            </w:pPr>
          </w:p>
        </w:tc>
        <w:tc>
          <w:tcPr>
            <w:tcW w:w="992" w:type="dxa"/>
            <w:vAlign w:val="center"/>
          </w:tcPr>
          <w:p w14:paraId="59BD201C">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专用条款</w:t>
            </w:r>
          </w:p>
          <w:p w14:paraId="0E6EA275">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sz w:val="18"/>
                <w:szCs w:val="18"/>
                <w:highlight w:val="none"/>
              </w:rPr>
              <w:t>11.1.4</w:t>
            </w:r>
          </w:p>
        </w:tc>
        <w:tc>
          <w:tcPr>
            <w:tcW w:w="4052" w:type="dxa"/>
            <w:vAlign w:val="center"/>
          </w:tcPr>
          <w:p w14:paraId="63501BEA">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 xml:space="preserve">11.1.4 承包人应在开工7天前或按照发包人的有关要求，向发包人或监理人提交下述文件，合同另有约定的，按其约定执行： </w:t>
            </w:r>
          </w:p>
          <w:p w14:paraId="596B44E4">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（1）综合的和详细的进度计划。该进度计划应符合监理人提出的一级或二级网络核实进度计划要求；</w:t>
            </w:r>
          </w:p>
          <w:p w14:paraId="1D477A31">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（2）拟用于该工程的施工机具清单；</w:t>
            </w:r>
          </w:p>
          <w:p w14:paraId="07002E01">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（3）现场管理组织和关键人员安排；</w:t>
            </w:r>
          </w:p>
          <w:p w14:paraId="5DEB3BCD">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（4）劳务人员和管理人员需求计划；</w:t>
            </w:r>
          </w:p>
          <w:p w14:paraId="342BFE0B">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（5）质量保证大纲和质量保证手册；</w:t>
            </w:r>
          </w:p>
          <w:p w14:paraId="146B62DB">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sz w:val="18"/>
                <w:szCs w:val="18"/>
                <w:highlight w:val="none"/>
              </w:rPr>
              <w:t>（6）施工安全管理及风险控制方案。</w:t>
            </w:r>
          </w:p>
        </w:tc>
        <w:tc>
          <w:tcPr>
            <w:tcW w:w="4275" w:type="dxa"/>
            <w:vAlign w:val="center"/>
          </w:tcPr>
          <w:p w14:paraId="581C2BF0">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11.1.4 修改为：</w:t>
            </w:r>
          </w:p>
          <w:p w14:paraId="632791B7">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 xml:space="preserve">承包人应在开工7天前或按照发包人的有关要求，向发包人或监理人提交下述文件，合同另有约定的，按其约定执行： </w:t>
            </w:r>
          </w:p>
          <w:p w14:paraId="5184D9EB">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（1）综合的和详细的进度计划。该进度计划应符合监理人提出的一级或二级网络核实进度计划要求；</w:t>
            </w:r>
          </w:p>
          <w:p w14:paraId="34468E11">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（2）拟用于该工程的施工机具清单；</w:t>
            </w:r>
          </w:p>
          <w:p w14:paraId="42DAEE6B">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（3）现场管理组织和关键人员安排；</w:t>
            </w:r>
          </w:p>
          <w:p w14:paraId="52C59752">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（4）劳务人员和管理人员需求计划；</w:t>
            </w:r>
          </w:p>
          <w:p w14:paraId="1147358C">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（5）质量保证大纲和质量保证手册；</w:t>
            </w:r>
          </w:p>
          <w:p w14:paraId="6EB0D3FF">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（6）施工安全管理及风险控制方案；</w:t>
            </w:r>
          </w:p>
          <w:p w14:paraId="11CA235D">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sz w:val="18"/>
                <w:szCs w:val="18"/>
                <w:highlight w:val="none"/>
              </w:rPr>
              <w:t>（7）工程项目档案资料过程管控方案；</w:t>
            </w:r>
          </w:p>
        </w:tc>
        <w:tc>
          <w:tcPr>
            <w:tcW w:w="461" w:type="dxa"/>
            <w:tcBorders>
              <w:top w:val="single" w:color="000000" w:sz="4" w:space="0"/>
              <w:left w:val="single" w:color="000000" w:sz="4" w:space="0"/>
              <w:bottom w:val="single" w:color="000000" w:sz="4" w:space="0"/>
              <w:right w:val="nil"/>
            </w:tcBorders>
            <w:vAlign w:val="center"/>
          </w:tcPr>
          <w:p w14:paraId="75E74D7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30BDBA86">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748" w:type="dxa"/>
            <w:tcBorders>
              <w:top w:val="single" w:color="000000" w:sz="4" w:space="0"/>
              <w:left w:val="nil"/>
              <w:bottom w:val="single" w:color="000000" w:sz="4" w:space="0"/>
              <w:right w:val="single" w:color="000000" w:sz="4" w:space="0"/>
            </w:tcBorders>
            <w:vAlign w:val="center"/>
          </w:tcPr>
          <w:p w14:paraId="5C566123">
            <w:pPr>
              <w:pStyle w:val="47"/>
              <w:numPr>
                <w:ilvl w:val="0"/>
                <w:numId w:val="1"/>
              </w:numPr>
              <w:snapToGrid w:val="0"/>
              <w:spacing w:line="240" w:lineRule="atLeast"/>
              <w:ind w:firstLineChars="0"/>
              <w:jc w:val="center"/>
              <w:rPr>
                <w:rFonts w:hint="eastAsia" w:asciiTheme="majorEastAsia" w:hAnsiTheme="majorEastAsia" w:eastAsiaTheme="majorEastAsia" w:cstheme="majorEastAsia"/>
                <w:color w:val="auto"/>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D1FBFAB">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w:t>
            </w:r>
          </w:p>
          <w:p w14:paraId="06DC5729">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第11.3条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59231CB7">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11.3 发包人的工期延误</w:t>
            </w:r>
          </w:p>
          <w:p w14:paraId="5263A349">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修改为：</w:t>
            </w:r>
          </w:p>
          <w:p w14:paraId="2E2D9879">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在履行合同过程中，由于发包人的下列原因造成工期延误的，发包人应承担由此增加的费用和（或）同意延长工期。需要修订合同进度计划的，按照第10.2款的约定办理。</w:t>
            </w:r>
          </w:p>
          <w:p w14:paraId="0282C496">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（1）发包人对工程进行重大设计变更；</w:t>
            </w:r>
          </w:p>
          <w:p w14:paraId="5A09C256">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（2）发包人迟延提供材料、工程设备或变更交货地点的；</w:t>
            </w:r>
          </w:p>
          <w:p w14:paraId="09180C99">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（3）发包人要求暂停施工的；</w:t>
            </w:r>
          </w:p>
          <w:p w14:paraId="77F1AD57">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（4）发包人提供图纸延误的。</w:t>
            </w:r>
          </w:p>
        </w:tc>
        <w:tc>
          <w:tcPr>
            <w:tcW w:w="4275" w:type="dxa"/>
            <w:tcBorders>
              <w:top w:val="single" w:color="000000" w:sz="4" w:space="0"/>
              <w:left w:val="single" w:color="000000" w:sz="4" w:space="0"/>
              <w:bottom w:val="single" w:color="000000" w:sz="4" w:space="0"/>
              <w:right w:val="single" w:color="000000" w:sz="4" w:space="0"/>
            </w:tcBorders>
            <w:vAlign w:val="center"/>
          </w:tcPr>
          <w:p w14:paraId="32A34EF7">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11.3 发包人的工期延误</w:t>
            </w:r>
          </w:p>
          <w:p w14:paraId="2BE53C82">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修改为：</w:t>
            </w:r>
          </w:p>
          <w:p w14:paraId="57466CDE">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在履行合同过程中，由于发包人的下列原因造成工期延误的，发包人应承担由此增加的费用和（或）同意延长工期。需要修订合同进度计划的，按照第10.2款的约定办理。</w:t>
            </w:r>
          </w:p>
          <w:p w14:paraId="335F75D6">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（1）发包人对工程进行重大设计变更；</w:t>
            </w:r>
          </w:p>
          <w:p w14:paraId="2DB463AE">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（2）发包人迟延提供材料、工程设备或变更交货地点的；</w:t>
            </w:r>
          </w:p>
          <w:p w14:paraId="3CBD4080">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（3）发包人要求暂停施工的；</w:t>
            </w:r>
          </w:p>
          <w:p w14:paraId="190751F8">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（4）发包人提供图纸延误的；</w:t>
            </w:r>
          </w:p>
          <w:p w14:paraId="6E72BCE8">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（5）</w:t>
            </w:r>
            <w:r>
              <w:rPr>
                <w:rFonts w:hint="eastAsia" w:ascii="宋体" w:hAnsi="宋体"/>
                <w:color w:val="auto"/>
                <w:kern w:val="0"/>
                <w:sz w:val="18"/>
                <w:highlight w:val="none"/>
              </w:rPr>
              <w:t>发包人</w:t>
            </w:r>
            <w:r>
              <w:rPr>
                <w:rFonts w:hint="eastAsia" w:ascii="宋体" w:hAnsi="宋体"/>
                <w:color w:val="auto"/>
                <w:kern w:val="0"/>
                <w:sz w:val="18"/>
                <w:highlight w:val="none"/>
                <w:lang w:val="en-US" w:eastAsia="zh-CN"/>
              </w:rPr>
              <w:t>过错</w:t>
            </w:r>
            <w:r>
              <w:rPr>
                <w:rFonts w:hint="eastAsia" w:ascii="宋体" w:hAnsi="宋体"/>
                <w:color w:val="auto"/>
                <w:kern w:val="0"/>
                <w:sz w:val="18"/>
                <w:highlight w:val="none"/>
              </w:rPr>
              <w:t>造成工期延误的其他原因</w:t>
            </w:r>
            <w:r>
              <w:rPr>
                <w:rFonts w:hint="eastAsia" w:asciiTheme="majorEastAsia" w:hAnsiTheme="majorEastAsia" w:eastAsiaTheme="majorEastAsia" w:cstheme="majorEastAsia"/>
                <w:color w:val="auto"/>
                <w:kern w:val="0"/>
                <w:sz w:val="18"/>
                <w:szCs w:val="18"/>
                <w:highlight w:val="none"/>
              </w:rPr>
              <w:t>。</w:t>
            </w:r>
          </w:p>
        </w:tc>
        <w:tc>
          <w:tcPr>
            <w:tcW w:w="461" w:type="dxa"/>
            <w:tcBorders>
              <w:top w:val="single" w:color="000000" w:sz="4" w:space="0"/>
              <w:left w:val="single" w:color="000000" w:sz="4" w:space="0"/>
              <w:bottom w:val="single" w:color="000000" w:sz="4" w:space="0"/>
              <w:right w:val="nil"/>
            </w:tcBorders>
            <w:vAlign w:val="center"/>
          </w:tcPr>
          <w:p w14:paraId="074248D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2B0FAFAF">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44" w:hRule="atLeast"/>
          <w:jc w:val="center"/>
        </w:trPr>
        <w:tc>
          <w:tcPr>
            <w:tcW w:w="748" w:type="dxa"/>
            <w:tcBorders>
              <w:top w:val="single" w:color="000000" w:sz="4" w:space="0"/>
              <w:left w:val="nil"/>
              <w:bottom w:val="single" w:color="000000" w:sz="4" w:space="0"/>
              <w:right w:val="single" w:color="000000" w:sz="4" w:space="0"/>
            </w:tcBorders>
            <w:vAlign w:val="center"/>
          </w:tcPr>
          <w:p w14:paraId="61386099">
            <w:pPr>
              <w:pStyle w:val="47"/>
              <w:numPr>
                <w:ilvl w:val="0"/>
                <w:numId w:val="1"/>
              </w:numPr>
              <w:snapToGrid w:val="0"/>
              <w:spacing w:line="240" w:lineRule="atLeast"/>
              <w:ind w:firstLineChars="0"/>
              <w:jc w:val="center"/>
              <w:rPr>
                <w:rFonts w:hint="eastAsia" w:asciiTheme="majorEastAsia" w:hAnsiTheme="majorEastAsia" w:eastAsiaTheme="majorEastAsia" w:cstheme="majorEastAsia"/>
                <w:color w:val="auto"/>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78E51A">
            <w:pPr>
              <w:spacing w:line="240" w:lineRule="exact"/>
              <w:jc w:val="left"/>
              <w:rPr>
                <w:rFonts w:hint="eastAsia" w:asciiTheme="majorEastAsia" w:hAnsiTheme="majorEastAsia" w:eastAsiaTheme="majorEastAsia" w:cstheme="majorEastAsia"/>
                <w:strike/>
                <w:color w:val="auto"/>
                <w:kern w:val="0"/>
                <w:sz w:val="18"/>
                <w:szCs w:val="18"/>
                <w:highlight w:val="none"/>
                <w:lang w:val="en-US" w:eastAsia="zh-CN" w:bidi="ar-SA"/>
              </w:rPr>
            </w:pPr>
            <w:r>
              <w:rPr>
                <w:rFonts w:hint="eastAsia" w:asciiTheme="majorEastAsia" w:hAnsiTheme="majorEastAsia" w:eastAsiaTheme="majorEastAsia" w:cstheme="majorEastAsia"/>
                <w:color w:val="auto"/>
                <w:sz w:val="18"/>
                <w:szCs w:val="18"/>
                <w:highlight w:val="none"/>
              </w:rPr>
              <w:t>专用条款</w:t>
            </w:r>
            <w:r>
              <w:rPr>
                <w:rFonts w:hint="eastAsia" w:asciiTheme="majorEastAsia" w:hAnsiTheme="majorEastAsia" w:eastAsiaTheme="majorEastAsia" w:cstheme="majorEastAsia"/>
                <w:color w:val="auto"/>
                <w:sz w:val="18"/>
                <w:szCs w:val="18"/>
                <w:highlight w:val="none"/>
                <w:lang w:val="en-US" w:eastAsia="zh-CN"/>
              </w:rPr>
              <w:t>第</w:t>
            </w:r>
            <w:r>
              <w:rPr>
                <w:rFonts w:hint="eastAsia" w:asciiTheme="majorEastAsia" w:hAnsiTheme="majorEastAsia" w:eastAsiaTheme="majorEastAsia" w:cstheme="majorEastAsia"/>
                <w:color w:val="auto"/>
                <w:sz w:val="18"/>
                <w:szCs w:val="18"/>
                <w:highlight w:val="none"/>
              </w:rPr>
              <w:t>12.1</w:t>
            </w:r>
            <w:r>
              <w:rPr>
                <w:rFonts w:hint="eastAsia" w:asciiTheme="majorEastAsia" w:hAnsiTheme="majorEastAsia" w:eastAsiaTheme="majorEastAsia" w:cstheme="majorEastAsia"/>
                <w:color w:val="auto"/>
                <w:sz w:val="18"/>
                <w:szCs w:val="18"/>
                <w:highlight w:val="none"/>
                <w:lang w:val="en-US" w:eastAsia="zh-CN"/>
              </w:rPr>
              <w:t>条</w:t>
            </w:r>
          </w:p>
        </w:tc>
        <w:tc>
          <w:tcPr>
            <w:tcW w:w="40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21AE5D">
            <w:pPr>
              <w:spacing w:line="240" w:lineRule="exact"/>
              <w:jc w:val="left"/>
              <w:rPr>
                <w:rFonts w:hint="eastAsia" w:asciiTheme="majorEastAsia" w:hAnsiTheme="majorEastAsia" w:eastAsiaTheme="majorEastAsia" w:cstheme="majorEastAsia"/>
                <w:strike w:val="0"/>
                <w:color w:val="auto"/>
                <w:kern w:val="0"/>
                <w:sz w:val="18"/>
                <w:szCs w:val="18"/>
                <w:highlight w:val="none"/>
              </w:rPr>
            </w:pPr>
            <w:r>
              <w:rPr>
                <w:rFonts w:hint="eastAsia" w:asciiTheme="majorEastAsia" w:hAnsiTheme="majorEastAsia" w:eastAsiaTheme="majorEastAsia" w:cstheme="majorEastAsia"/>
                <w:strike w:val="0"/>
                <w:color w:val="auto"/>
                <w:kern w:val="0"/>
                <w:sz w:val="18"/>
                <w:szCs w:val="18"/>
                <w:highlight w:val="none"/>
              </w:rPr>
              <w:t>12.1(5) 由承包人承担责任的其他暂停施工如下：</w:t>
            </w:r>
          </w:p>
          <w:p w14:paraId="4EE62A5C">
            <w:pPr>
              <w:spacing w:line="240" w:lineRule="exact"/>
              <w:jc w:val="left"/>
              <w:rPr>
                <w:rFonts w:hint="eastAsia" w:asciiTheme="majorEastAsia" w:hAnsiTheme="majorEastAsia" w:eastAsiaTheme="majorEastAsia" w:cstheme="majorEastAsia"/>
                <w:strike w:val="0"/>
                <w:color w:val="auto"/>
                <w:kern w:val="0"/>
                <w:sz w:val="18"/>
                <w:szCs w:val="18"/>
                <w:highlight w:val="none"/>
                <w:lang w:val="en-US" w:eastAsia="zh-CN" w:bidi="ar-SA"/>
              </w:rPr>
            </w:pPr>
            <w:r>
              <w:rPr>
                <w:rFonts w:hint="eastAsia" w:asciiTheme="majorEastAsia" w:hAnsiTheme="majorEastAsia" w:eastAsiaTheme="majorEastAsia" w:cstheme="majorEastAsia"/>
                <w:strike w:val="0"/>
                <w:color w:val="auto"/>
                <w:kern w:val="0"/>
                <w:sz w:val="18"/>
                <w:szCs w:val="18"/>
                <w:highlight w:val="none"/>
              </w:rPr>
              <w:t xml:space="preserve">             。 </w:t>
            </w:r>
          </w:p>
        </w:tc>
        <w:tc>
          <w:tcPr>
            <w:tcW w:w="427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A17FD4">
            <w:pPr>
              <w:spacing w:line="240" w:lineRule="exact"/>
              <w:jc w:val="left"/>
              <w:rPr>
                <w:rFonts w:hint="eastAsia" w:asciiTheme="majorEastAsia" w:hAnsiTheme="majorEastAsia" w:eastAsiaTheme="majorEastAsia" w:cstheme="majorEastAsia"/>
                <w:strike w:val="0"/>
                <w:color w:val="auto"/>
                <w:kern w:val="0"/>
                <w:sz w:val="18"/>
                <w:szCs w:val="18"/>
                <w:highlight w:val="none"/>
              </w:rPr>
            </w:pPr>
            <w:r>
              <w:rPr>
                <w:rFonts w:hint="eastAsia" w:asciiTheme="majorEastAsia" w:hAnsiTheme="majorEastAsia" w:eastAsiaTheme="majorEastAsia" w:cstheme="majorEastAsia"/>
                <w:strike w:val="0"/>
                <w:color w:val="auto"/>
                <w:kern w:val="0"/>
                <w:sz w:val="18"/>
                <w:szCs w:val="18"/>
                <w:highlight w:val="none"/>
              </w:rPr>
              <w:t>12.1(5) 由承包人承担责任的其他暂停施工如下：</w:t>
            </w:r>
          </w:p>
          <w:p w14:paraId="7E098A97">
            <w:pPr>
              <w:spacing w:line="240" w:lineRule="exact"/>
              <w:jc w:val="left"/>
              <w:rPr>
                <w:rFonts w:hint="eastAsia" w:asciiTheme="majorEastAsia" w:hAnsiTheme="majorEastAsia" w:eastAsiaTheme="majorEastAsia" w:cstheme="majorEastAsia"/>
                <w:strike w:val="0"/>
                <w:color w:val="auto"/>
                <w:kern w:val="0"/>
                <w:sz w:val="18"/>
                <w:szCs w:val="18"/>
                <w:highlight w:val="none"/>
                <w:lang w:val="en-US" w:eastAsia="zh-CN" w:bidi="ar-SA"/>
              </w:rPr>
            </w:pPr>
            <w:r>
              <w:rPr>
                <w:rFonts w:hint="eastAsia" w:asciiTheme="majorEastAsia" w:hAnsiTheme="majorEastAsia" w:eastAsiaTheme="majorEastAsia" w:cstheme="majorEastAsia"/>
                <w:strike w:val="0"/>
                <w:color w:val="auto"/>
                <w:kern w:val="0"/>
                <w:sz w:val="18"/>
                <w:szCs w:val="18"/>
                <w:highlight w:val="none"/>
              </w:rPr>
              <w:t>由于承包人原因引起的暂停施工造成工期延误连续 10 天及以上时，发包人有权按照专用17.4.5条对承包人进行考核。</w:t>
            </w:r>
          </w:p>
        </w:tc>
        <w:tc>
          <w:tcPr>
            <w:tcW w:w="461" w:type="dxa"/>
            <w:tcBorders>
              <w:top w:val="single" w:color="000000" w:sz="4" w:space="0"/>
              <w:left w:val="single" w:color="000000" w:sz="4" w:space="0"/>
              <w:bottom w:val="single" w:color="000000" w:sz="4" w:space="0"/>
              <w:right w:val="nil"/>
            </w:tcBorders>
            <w:vAlign w:val="center"/>
          </w:tcPr>
          <w:p w14:paraId="25924A8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03D8336">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32" w:hRule="atLeast"/>
          <w:jc w:val="center"/>
        </w:trPr>
        <w:tc>
          <w:tcPr>
            <w:tcW w:w="748" w:type="dxa"/>
            <w:tcBorders>
              <w:top w:val="single" w:color="000000" w:sz="4" w:space="0"/>
              <w:left w:val="nil"/>
              <w:bottom w:val="single" w:color="000000" w:sz="4" w:space="0"/>
              <w:right w:val="single" w:color="000000" w:sz="4" w:space="0"/>
            </w:tcBorders>
            <w:vAlign w:val="center"/>
          </w:tcPr>
          <w:p w14:paraId="222F5C61">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FFE2B2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专用条款第13.1条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6F6ED2E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13.1 工程质量要求</w:t>
            </w:r>
          </w:p>
          <w:p w14:paraId="3AFA41F9">
            <w:pPr>
              <w:pStyle w:val="53"/>
              <w:snapToGrid w:val="0"/>
              <w:spacing w:after="0"/>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13.1.1（补充）</w:t>
            </w:r>
          </w:p>
          <w:p w14:paraId="221706A4">
            <w:pPr>
              <w:pStyle w:val="53"/>
              <w:snapToGrid w:val="0"/>
              <w:spacing w:after="0"/>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13.1.1.1 质量总体要求： </w:t>
            </w:r>
          </w:p>
          <w:p w14:paraId="09A7BCA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严格执行国家、行业、国家电网有限公司有关工程建设质量管理的法律、法规和规章制度，贯彻实施工程设计技术原则，满足国家和行业施工验收规范的要求。</w:t>
            </w:r>
          </w:p>
          <w:p w14:paraId="29546BA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全面应用输变电工程“标准工艺”；工程“零缺陷”投运；实现工程达标投产及优质工程目标；工程使用寿命满足国家电网有限公司质量要求；不发生因工程建设原因造成的六级及以上工程质量事件。</w:t>
            </w:r>
          </w:p>
          <w:p w14:paraId="65528338">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13.1.1.2 专项目标要求</w:t>
            </w:r>
          </w:p>
          <w:p w14:paraId="1C6C2EF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35千伏及以下项目：工程质量总评为优良，分项工程合格率100％，单位工程合格率100％，观感得分率（土建）≥90％。</w:t>
            </w:r>
          </w:p>
          <w:p w14:paraId="1BCF3D2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110（66）千伏项目：工程质量总评为优良，分项工程合格率100％，单位工程合格率100％，观感得分率（土建）≥90％。</w:t>
            </w:r>
          </w:p>
          <w:p w14:paraId="1F70FB2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220千伏及以上项目：工程质量总评为优良，分项工程合格率（100％，单位工程合格率100％，观感得分率（土建）≥95％；通过达标投产考核；不发生因工程建设原因造成的六级及以上工程质量事件。</w:t>
            </w:r>
          </w:p>
          <w:p w14:paraId="1A30547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其他目标：</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tc>
        <w:tc>
          <w:tcPr>
            <w:tcW w:w="4275" w:type="dxa"/>
            <w:tcBorders>
              <w:top w:val="single" w:color="000000" w:sz="4" w:space="0"/>
              <w:left w:val="single" w:color="000000" w:sz="4" w:space="0"/>
              <w:bottom w:val="single" w:color="000000" w:sz="4" w:space="0"/>
              <w:right w:val="single" w:color="000000" w:sz="4" w:space="0"/>
            </w:tcBorders>
            <w:vAlign w:val="center"/>
          </w:tcPr>
          <w:p w14:paraId="64DB3BB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518FD94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13.1 工程质量要求</w:t>
            </w:r>
          </w:p>
          <w:p w14:paraId="31D2386D">
            <w:pPr>
              <w:pStyle w:val="53"/>
              <w:snapToGrid w:val="0"/>
              <w:spacing w:after="0"/>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13.1.1（补充）</w:t>
            </w:r>
          </w:p>
          <w:p w14:paraId="564B3BD5">
            <w:pPr>
              <w:pStyle w:val="53"/>
              <w:snapToGrid w:val="0"/>
              <w:spacing w:after="0"/>
              <w:ind w:firstLine="360" w:firstLineChars="200"/>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13.1.1.1 质量总体要求： </w:t>
            </w:r>
          </w:p>
          <w:p w14:paraId="681DE25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详见合同协议书。</w:t>
            </w:r>
          </w:p>
          <w:p w14:paraId="1568A1A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13.1.1.2 专项目标要求</w:t>
            </w:r>
          </w:p>
          <w:p w14:paraId="2970DAC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35千伏及以下项目：工程质量总评为优良，分项工程合格率100％，单位工程合格率100％，观感得分率（土建）≥90％。</w:t>
            </w:r>
          </w:p>
          <w:p w14:paraId="77B279B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110（66）千伏项目：工程质量总评为优良，分项工程合格率100％，单位工程合格率100％，观感得分率（土建）≥90％。</w:t>
            </w:r>
          </w:p>
          <w:p w14:paraId="3BD43E7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220千伏及以上项目：工程质量总评为优良，分项工程合格率（100％，单位工程合格率100％，观感得分率（土建）≥95％；通过达标投产考核；不发生因工程建设原因造成的六级及以上工程质量事件。</w:t>
            </w:r>
          </w:p>
          <w:p w14:paraId="19CAA1B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其他目标：</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u w:val="single"/>
                <w:lang w:val="en-US" w:eastAsia="zh-CN"/>
              </w:rPr>
              <w:t>/</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tc>
        <w:tc>
          <w:tcPr>
            <w:tcW w:w="461" w:type="dxa"/>
            <w:tcBorders>
              <w:top w:val="single" w:color="000000" w:sz="4" w:space="0"/>
              <w:left w:val="single" w:color="000000" w:sz="4" w:space="0"/>
              <w:bottom w:val="single" w:color="000000" w:sz="4" w:space="0"/>
              <w:right w:val="nil"/>
            </w:tcBorders>
            <w:vAlign w:val="center"/>
          </w:tcPr>
          <w:p w14:paraId="05956B3B">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w:t>
            </w:r>
          </w:p>
        </w:tc>
      </w:tr>
      <w:tr w14:paraId="0BA90211">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32" w:hRule="atLeast"/>
          <w:jc w:val="center"/>
        </w:trPr>
        <w:tc>
          <w:tcPr>
            <w:tcW w:w="748" w:type="dxa"/>
            <w:tcBorders>
              <w:top w:val="single" w:color="000000" w:sz="4" w:space="0"/>
              <w:left w:val="nil"/>
              <w:bottom w:val="single" w:color="000000" w:sz="4" w:space="0"/>
              <w:right w:val="single" w:color="000000" w:sz="4" w:space="0"/>
            </w:tcBorders>
            <w:vAlign w:val="center"/>
          </w:tcPr>
          <w:p w14:paraId="628E6070">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4110A5B">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新增</w:t>
            </w:r>
          </w:p>
          <w:p w14:paraId="6C91B561">
            <w:pPr>
              <w:snapToGrid w:val="0"/>
              <w:spacing w:line="240" w:lineRule="atLeast"/>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 13.2.18、13.2.19、13.2.20条</w:t>
            </w:r>
          </w:p>
          <w:p w14:paraId="69CF3741">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c>
          <w:tcPr>
            <w:tcW w:w="4052" w:type="dxa"/>
            <w:tcBorders>
              <w:top w:val="single" w:color="000000" w:sz="4" w:space="0"/>
              <w:left w:val="single" w:color="000000" w:sz="4" w:space="0"/>
              <w:bottom w:val="single" w:color="000000" w:sz="4" w:space="0"/>
              <w:right w:val="single" w:color="000000" w:sz="4" w:space="0"/>
            </w:tcBorders>
            <w:vAlign w:val="center"/>
          </w:tcPr>
          <w:p w14:paraId="13AC1DD6">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tc>
        <w:tc>
          <w:tcPr>
            <w:tcW w:w="4275" w:type="dxa"/>
            <w:tcBorders>
              <w:top w:val="single" w:color="000000" w:sz="4" w:space="0"/>
              <w:left w:val="single" w:color="000000" w:sz="4" w:space="0"/>
              <w:bottom w:val="single" w:color="000000" w:sz="4" w:space="0"/>
              <w:right w:val="single" w:color="000000" w:sz="4" w:space="0"/>
            </w:tcBorders>
            <w:vAlign w:val="center"/>
          </w:tcPr>
          <w:p w14:paraId="424FD37F">
            <w:pPr>
              <w:snapToGrid w:val="0"/>
              <w:spacing w:line="240" w:lineRule="atLeast"/>
              <w:ind w:firstLine="361" w:firstLineChars="200"/>
              <w:jc w:val="lef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新增：</w:t>
            </w:r>
          </w:p>
          <w:p w14:paraId="0D822468">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13.2.18（增加）：</w:t>
            </w:r>
          </w:p>
          <w:p w14:paraId="3EE3ED76">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过程中，承包人要根据质量评价相关要求每半年进行一次自查和闭环整改。承包人负责所有质量检查和创优相关会议的承办工作，包括但不限于质量专项检查、地基基础及结构验收、质量评价咨询检查、新技术示范工程评比、绿色施工示范工程评比、六精四化标杆工地（示范工程）、各阶段创优咨询检查、网优检查、中国电力优质工程检查、国家优质工程检查，负责所有的会务工作和费用。各施工承包人应按照创建国家优质工程金奖的要求开展实体质量过程管理等工作。土建施工承包人负责牵头其他施工承包人配合，土建施工承包人负责与相关单位签订质量评价、绿色建造评价、地基与结构专项评价、新技术示范工程评价及全过程质量控制示范工程咨询服务合同,按照创国家优质工程金奖的要求办理相关手续，并负责协调相关工作，其它所有参建施工单位（含土建、桩基、电气承包人）配合，以上及创优额外产生的费用由土建、桩基、电气承包单位按签约合同比例承担。土建施工承包人负责全站创国家优质工程金奖、质量奖</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lang w:val="en-US" w:eastAsia="zh-CN"/>
              </w:rPr>
              <w:t>或同等级奖项</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rPr>
              <w:t>等相关工程奖项所需手续的办理及协调工作。土建施工承包人负责全站工程创优数码相片采集及冲洗、音像视频拍摄、DVD影像采集及制作（所有土建、桩基、电气等参建施工单位配合采集）等，并与相关单位签订创优视频制作合同，其它参建单位配合，所需费用由土建、桩基、电气安装等施工单位按签约合同比例分摊，投标报价应包含此项费用，结算不予调整。各施工单位应根据工程建设施工特点完成如下（不限于）工作：各级别QC成果、专利申报、科技进步奖、标准工艺编制、典型施工方法、工法、编制（含DVD制作）及必要的查新、评审等工作并积极配合开展工程BIM技术应用研究，具体数量根据国家电网有限公司、省公司及建管单位的正式印发的创优策划执行。以上工作在投标报价中统一考虑，不进行单独报价，结算不予调整。同时创新成果由建设管理单位统一牵头上报，各单位如单独上报不纳入评价考核加分。</w:t>
            </w:r>
          </w:p>
          <w:p w14:paraId="3CFA1604">
            <w:pPr>
              <w:adjustRightInd w:val="0"/>
              <w:snapToGrid w:val="0"/>
              <w:rPr>
                <w:rStyle w:val="37"/>
                <w:rFonts w:hint="eastAsia" w:asciiTheme="majorEastAsia" w:hAnsiTheme="majorEastAsia" w:eastAsiaTheme="majorEastAsia" w:cstheme="majorEastAsia"/>
                <w:color w:val="auto"/>
                <w:kern w:val="0"/>
                <w:sz w:val="18"/>
                <w:szCs w:val="18"/>
                <w:highlight w:val="none"/>
              </w:rPr>
            </w:pPr>
          </w:p>
          <w:p w14:paraId="055C78F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13.2.19（增加）：</w:t>
            </w:r>
          </w:p>
          <w:p w14:paraId="1E6B8AE7">
            <w:pPr>
              <w:adjustRightInd w:val="0"/>
              <w:snapToGrid w:val="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要高度重视工程亮点照片和视频材料的拍摄和收集工作，为创优积累重要素材。每季度承包商负责向业主项目部上交符合工程国优申报要求的亮点照片、亮点视频、创新照片，必须通过业主项目部审查合格，声像照片质量要满足高清片制作标准，像素不小于1920*1080。影像资料拍摄和收集整理还要满足《输变电工程安全质量过程控制数码照片管理工作要求》(基建安质(2016)56号)及建设管理单位的要求。以上照片文件定期每月25日前将上月材料报建设管理单位备存。</w:t>
            </w:r>
          </w:p>
          <w:p w14:paraId="2CE28A81">
            <w:pPr>
              <w:adjustRightInd w:val="0"/>
              <w:snapToGrid w:val="0"/>
              <w:ind w:firstLine="361" w:firstLineChars="200"/>
              <w:jc w:val="left"/>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承包人必须依托本工程开展科技项目、工法、群众性创新项目、QC小组、专利等科技创新工作，开展的科技创新工作等级、数量需满足国家级优质工程要求，并将成果用于本工程的国家优质工程奖或鲁班奖的评选中。</w:t>
            </w:r>
          </w:p>
          <w:p w14:paraId="6D1CB06F">
            <w:pPr>
              <w:adjustRightInd w:val="0"/>
              <w:snapToGrid w:val="0"/>
              <w:ind w:firstLine="361" w:firstLineChars="200"/>
              <w:jc w:val="left"/>
              <w:rPr>
                <w:rStyle w:val="37"/>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承包人需开展并取得获奖成果的科技创新工作（科技项目、工法等内容），包括但不限于以下内容：（1）工法：工法成果相关的策划、研究、DVD制作工作要符合国网公司及电力建设工法的要求，确保通过国网公司工法的评审及获得中电建协工法评奖。（2）科技项目：承包人应在投标报价中考虑因此项工作（策划、研究、采购设备、申报专利、查新、报奖）增加的相关费用。</w:t>
            </w:r>
          </w:p>
          <w:p w14:paraId="52FFB81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13.2.20（增加）：</w:t>
            </w:r>
          </w:p>
          <w:p w14:paraId="68874268">
            <w:pPr>
              <w:snapToGrid w:val="0"/>
              <w:spacing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随工程进度取得并归档相关质量检测报告。承包人选择的有资质的试验室必须得到监理和业主的批准。试验结果必须及时上报监理和业主项目部。承包人有义务按照业主或监理要求对有争议的部位配合进行质量检测及试验，以确认其质量是否达到标准。</w:t>
            </w:r>
          </w:p>
        </w:tc>
        <w:tc>
          <w:tcPr>
            <w:tcW w:w="461" w:type="dxa"/>
            <w:tcBorders>
              <w:top w:val="single" w:color="000000" w:sz="4" w:space="0"/>
              <w:left w:val="single" w:color="000000" w:sz="4" w:space="0"/>
              <w:bottom w:val="single" w:color="000000" w:sz="4" w:space="0"/>
              <w:right w:val="nil"/>
            </w:tcBorders>
            <w:vAlign w:val="center"/>
          </w:tcPr>
          <w:p w14:paraId="1D962433">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E2D7170">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32" w:hRule="atLeast"/>
          <w:jc w:val="center"/>
        </w:trPr>
        <w:tc>
          <w:tcPr>
            <w:tcW w:w="748" w:type="dxa"/>
            <w:tcBorders>
              <w:top w:val="single" w:color="000000" w:sz="4" w:space="0"/>
              <w:left w:val="nil"/>
              <w:bottom w:val="single" w:color="000000" w:sz="4" w:space="0"/>
              <w:right w:val="single" w:color="000000" w:sz="4" w:space="0"/>
            </w:tcBorders>
            <w:vAlign w:val="center"/>
          </w:tcPr>
          <w:p w14:paraId="174F91E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93459A9">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 第13.8.2条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5757D093">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13.8.2 质量考核违约金</w:t>
            </w:r>
          </w:p>
          <w:p w14:paraId="4F4DDFEC">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违反合同对质量管理的有关规定，出现质量缺陷或造成质量事件时，应向发包人支付质量考核违约金。发包人将在事实清楚的前提下，书面通知承包人扣款金额；日常检查中发包人扣款时，将开具扣款通知单，可在进行合同价款结算时依据存根汇总后，书面通知承包人后扣除。所扣款项以合同约定的数额为限，在合同结算时执行。支付质量违约金并不减轻或免除承包人的质量责任。</w:t>
            </w:r>
          </w:p>
          <w:p w14:paraId="0C518187">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质量考核违约金标准如下：</w:t>
            </w:r>
          </w:p>
          <w:p w14:paraId="3892AC8B">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（1）发生重大工程质量事故（二级及以上质量事件）支付签约合同价的1%。</w:t>
            </w:r>
          </w:p>
          <w:p w14:paraId="756EB427">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（2）发生较大质量事故（三级质量事件），每次支付签约合同价的5‰。</w:t>
            </w:r>
          </w:p>
          <w:p w14:paraId="2772C8DC">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（3）发生一般质量事故（四级质量事件），每次支付签约合同价的2‰。</w:t>
            </w:r>
          </w:p>
          <w:p w14:paraId="24A369D2">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（4）发包人组织质量检查时，未能达到标准要求且未在规定期限完成整改消缺的，每次支付签约合同价的1‰。</w:t>
            </w:r>
          </w:p>
        </w:tc>
        <w:tc>
          <w:tcPr>
            <w:tcW w:w="4275" w:type="dxa"/>
            <w:tcBorders>
              <w:top w:val="single" w:color="000000" w:sz="4" w:space="0"/>
              <w:left w:val="single" w:color="000000" w:sz="4" w:space="0"/>
              <w:bottom w:val="single" w:color="000000" w:sz="4" w:space="0"/>
              <w:right w:val="single" w:color="000000" w:sz="4" w:space="0"/>
            </w:tcBorders>
            <w:vAlign w:val="center"/>
          </w:tcPr>
          <w:p w14:paraId="3A2DD2CB">
            <w:pPr>
              <w:spacing w:line="240" w:lineRule="exact"/>
              <w:jc w:val="left"/>
              <w:rPr>
                <w:rFonts w:hint="eastAsia" w:asciiTheme="majorEastAsia" w:hAnsiTheme="majorEastAsia" w:eastAsiaTheme="majorEastAsia" w:cstheme="majorEastAsia"/>
                <w:b/>
                <w:bCs/>
                <w:color w:val="auto"/>
                <w:kern w:val="0"/>
                <w:sz w:val="18"/>
                <w:szCs w:val="18"/>
                <w:highlight w:val="none"/>
              </w:rPr>
            </w:pPr>
            <w:r>
              <w:rPr>
                <w:rFonts w:hint="eastAsia" w:asciiTheme="majorEastAsia" w:hAnsiTheme="majorEastAsia" w:eastAsiaTheme="majorEastAsia" w:cstheme="majorEastAsia"/>
                <w:b/>
                <w:bCs/>
                <w:color w:val="auto"/>
                <w:kern w:val="0"/>
                <w:sz w:val="18"/>
                <w:szCs w:val="18"/>
                <w:highlight w:val="none"/>
              </w:rPr>
              <w:t>修改为：</w:t>
            </w:r>
          </w:p>
          <w:p w14:paraId="3E5E5EF5">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13.8.2 质量考核违约金</w:t>
            </w:r>
          </w:p>
          <w:p w14:paraId="4B768115">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违反合同对质量管理的有关规定，出现质量缺陷或造成质量事件时，应向发包人支付质量考核违约金。所扣款项以合同约定的数额为限，在合同结算时执行。支付质量违约金并不减轻或免除承包人的质量责任。</w:t>
            </w:r>
          </w:p>
          <w:p w14:paraId="2F84201A">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质量考核违约金标准如下：</w:t>
            </w:r>
          </w:p>
          <w:p w14:paraId="5DBBBE1E">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（1）发生重大工程质量事故（二级及以上质量事件）支付签约合同价的1.5%。</w:t>
            </w:r>
          </w:p>
          <w:p w14:paraId="7A94C203">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（2）发生较大质量事故（三级质量事件），每次支付签约合同价的7.5‰。</w:t>
            </w:r>
          </w:p>
          <w:p w14:paraId="5405CE5F">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（3）发生一般质量事故（四级质量事件），每次支付签约合同价的3‰。</w:t>
            </w:r>
          </w:p>
          <w:p w14:paraId="7272CB24">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sz w:val="18"/>
                <w:szCs w:val="18"/>
                <w:highlight w:val="none"/>
              </w:rPr>
              <w:t>（4）发包人组织质量检查时，对未能达到标准要求且未在规定期限完</w:t>
            </w:r>
            <w:r>
              <w:rPr>
                <w:rStyle w:val="37"/>
                <w:rFonts w:hint="eastAsia" w:asciiTheme="majorEastAsia" w:hAnsiTheme="majorEastAsia" w:eastAsiaTheme="majorEastAsia" w:cstheme="majorEastAsia"/>
                <w:color w:val="auto"/>
                <w:kern w:val="0"/>
                <w:sz w:val="18"/>
                <w:szCs w:val="18"/>
                <w:highlight w:val="none"/>
              </w:rPr>
              <w:t>成整改消缺的承包人，每次扣签约合同价的1‰。</w:t>
            </w:r>
          </w:p>
          <w:p w14:paraId="415291BB">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Style w:val="37"/>
                <w:rFonts w:hint="eastAsia" w:asciiTheme="majorEastAsia" w:hAnsiTheme="majorEastAsia" w:eastAsiaTheme="majorEastAsia" w:cstheme="majorEastAsia"/>
                <w:color w:val="auto"/>
                <w:kern w:val="0"/>
                <w:sz w:val="18"/>
                <w:szCs w:val="18"/>
                <w:highlight w:val="none"/>
                <w:lang w:eastAsia="zh-CN"/>
              </w:rPr>
            </w:pPr>
            <w:r>
              <w:rPr>
                <w:rStyle w:val="37"/>
                <w:rFonts w:hint="eastAsia" w:asciiTheme="majorEastAsia" w:hAnsiTheme="majorEastAsia" w:eastAsiaTheme="majorEastAsia" w:cstheme="majorEastAsia"/>
                <w:color w:val="auto"/>
                <w:kern w:val="0"/>
                <w:sz w:val="18"/>
                <w:szCs w:val="18"/>
                <w:highlight w:val="none"/>
              </w:rPr>
              <w:t>（5）对造成五级质量事件负主要责任的承包人，扣签约合同价的1‰</w:t>
            </w:r>
            <w:r>
              <w:rPr>
                <w:rStyle w:val="37"/>
                <w:rFonts w:hint="eastAsia" w:asciiTheme="majorEastAsia" w:hAnsiTheme="majorEastAsia" w:eastAsiaTheme="majorEastAsia" w:cstheme="majorEastAsia"/>
                <w:color w:val="auto"/>
                <w:kern w:val="0"/>
                <w:sz w:val="18"/>
                <w:szCs w:val="18"/>
                <w:highlight w:val="none"/>
                <w:lang w:eastAsia="zh-CN"/>
              </w:rPr>
              <w:t>。</w:t>
            </w:r>
          </w:p>
          <w:p w14:paraId="15E5BAE3">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Style w:val="37"/>
                <w:rFonts w:hint="eastAsia" w:asciiTheme="majorEastAsia" w:hAnsiTheme="majorEastAsia" w:eastAsiaTheme="majorEastAsia" w:cstheme="majorEastAsia"/>
                <w:color w:val="auto"/>
                <w:kern w:val="0"/>
                <w:sz w:val="18"/>
                <w:szCs w:val="18"/>
                <w:highlight w:val="none"/>
                <w:lang w:eastAsia="zh-CN"/>
              </w:rPr>
            </w:pPr>
            <w:r>
              <w:rPr>
                <w:rStyle w:val="37"/>
                <w:rFonts w:hint="eastAsia" w:asciiTheme="majorEastAsia" w:hAnsiTheme="majorEastAsia" w:eastAsiaTheme="majorEastAsia" w:cstheme="majorEastAsia"/>
                <w:color w:val="auto"/>
                <w:kern w:val="0"/>
                <w:sz w:val="18"/>
                <w:szCs w:val="18"/>
                <w:highlight w:val="none"/>
              </w:rPr>
              <w:t>（6）对造成六级质量事件负主要责任的承包人，扣签约合同价的0.5‰</w:t>
            </w:r>
            <w:r>
              <w:rPr>
                <w:rStyle w:val="37"/>
                <w:rFonts w:hint="eastAsia" w:asciiTheme="majorEastAsia" w:hAnsiTheme="majorEastAsia" w:eastAsiaTheme="majorEastAsia" w:cstheme="majorEastAsia"/>
                <w:color w:val="auto"/>
                <w:kern w:val="0"/>
                <w:sz w:val="18"/>
                <w:szCs w:val="18"/>
                <w:highlight w:val="none"/>
                <w:lang w:eastAsia="zh-CN"/>
              </w:rPr>
              <w:t>。</w:t>
            </w:r>
          </w:p>
          <w:p w14:paraId="79224868">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（7）对造成七级及以下质量事件负主要责任的承包人，扣签约合同价的0.2‰。</w:t>
            </w:r>
          </w:p>
          <w:p w14:paraId="47F4C306">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（8）对输变电工程标准工艺未应用100%的承包人，扣签约合同价的0.2‰。</w:t>
            </w:r>
          </w:p>
          <w:p w14:paraId="6D62C905">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（9）对投运时出现严重缺陷的承包人，</w:t>
            </w:r>
            <w:r>
              <w:rPr>
                <w:rStyle w:val="37"/>
                <w:rFonts w:hint="eastAsia" w:asciiTheme="majorEastAsia" w:hAnsiTheme="majorEastAsia" w:eastAsiaTheme="majorEastAsia" w:cstheme="majorEastAsia"/>
                <w:color w:val="auto"/>
                <w:kern w:val="0"/>
                <w:sz w:val="18"/>
                <w:szCs w:val="18"/>
                <w:highlight w:val="none"/>
                <w:lang w:val="en-US" w:eastAsia="zh-CN"/>
              </w:rPr>
              <w:t>每项严重缺陷</w:t>
            </w:r>
            <w:r>
              <w:rPr>
                <w:rStyle w:val="37"/>
                <w:rFonts w:hint="eastAsia" w:asciiTheme="majorEastAsia" w:hAnsiTheme="majorEastAsia" w:eastAsiaTheme="majorEastAsia" w:cstheme="majorEastAsia"/>
                <w:color w:val="auto"/>
                <w:kern w:val="0"/>
                <w:sz w:val="18"/>
                <w:szCs w:val="18"/>
                <w:highlight w:val="none"/>
              </w:rPr>
              <w:t>扣签约合同价的0.2‰。</w:t>
            </w:r>
          </w:p>
          <w:p w14:paraId="2BD381A0">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w:t>
            </w:r>
            <w:r>
              <w:rPr>
                <w:rStyle w:val="37"/>
                <w:rFonts w:hint="eastAsia" w:asciiTheme="majorEastAsia" w:hAnsiTheme="majorEastAsia" w:eastAsiaTheme="majorEastAsia" w:cstheme="majorEastAsia"/>
                <w:color w:val="auto"/>
                <w:kern w:val="0"/>
                <w:sz w:val="18"/>
                <w:szCs w:val="18"/>
                <w:highlight w:val="none"/>
                <w:lang w:val="en-US" w:eastAsia="zh-CN"/>
              </w:rPr>
              <w:t>10</w:t>
            </w:r>
            <w:r>
              <w:rPr>
                <w:rStyle w:val="37"/>
                <w:rFonts w:hint="eastAsia" w:asciiTheme="majorEastAsia" w:hAnsiTheme="majorEastAsia" w:eastAsiaTheme="majorEastAsia" w:cstheme="majorEastAsia"/>
                <w:color w:val="auto"/>
                <w:kern w:val="0"/>
                <w:sz w:val="18"/>
                <w:szCs w:val="18"/>
                <w:highlight w:val="none"/>
              </w:rPr>
              <w:t>）投运前承包人未能在规定时限内完成严重缺陷整改，每项扣签约合同价的0.</w:t>
            </w:r>
            <w:r>
              <w:rPr>
                <w:rStyle w:val="37"/>
                <w:rFonts w:hint="eastAsia" w:asciiTheme="majorEastAsia" w:hAnsiTheme="majorEastAsia" w:eastAsiaTheme="majorEastAsia" w:cstheme="majorEastAsia"/>
                <w:color w:val="auto"/>
                <w:kern w:val="0"/>
                <w:sz w:val="18"/>
                <w:szCs w:val="18"/>
                <w:highlight w:val="none"/>
                <w:lang w:val="en-US" w:eastAsia="zh-CN"/>
              </w:rPr>
              <w:t>2</w:t>
            </w:r>
            <w:r>
              <w:rPr>
                <w:rStyle w:val="37"/>
                <w:rFonts w:hint="eastAsia" w:asciiTheme="majorEastAsia" w:hAnsiTheme="majorEastAsia" w:eastAsiaTheme="majorEastAsia" w:cstheme="majorEastAsia"/>
                <w:color w:val="auto"/>
                <w:kern w:val="0"/>
                <w:sz w:val="18"/>
                <w:szCs w:val="18"/>
                <w:highlight w:val="none"/>
              </w:rPr>
              <w:t>‰。</w:t>
            </w:r>
          </w:p>
          <w:p w14:paraId="67338186">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w:t>
            </w:r>
            <w:r>
              <w:rPr>
                <w:rStyle w:val="37"/>
                <w:rFonts w:hint="eastAsia" w:asciiTheme="majorEastAsia" w:hAnsiTheme="majorEastAsia" w:eastAsiaTheme="majorEastAsia" w:cstheme="majorEastAsia"/>
                <w:color w:val="auto"/>
                <w:kern w:val="0"/>
                <w:sz w:val="18"/>
                <w:szCs w:val="18"/>
                <w:highlight w:val="none"/>
                <w:lang w:val="en-US" w:eastAsia="zh-CN"/>
              </w:rPr>
              <w:t>1</w:t>
            </w:r>
            <w:r>
              <w:rPr>
                <w:rStyle w:val="37"/>
                <w:rFonts w:hint="eastAsia" w:asciiTheme="majorEastAsia" w:hAnsiTheme="majorEastAsia" w:eastAsiaTheme="majorEastAsia" w:cstheme="majorEastAsia"/>
                <w:color w:val="auto"/>
                <w:kern w:val="0"/>
                <w:sz w:val="18"/>
                <w:szCs w:val="18"/>
                <w:highlight w:val="none"/>
              </w:rPr>
              <w:t>）投运前承包人未能在规定时限内完成一般问题，缺陷消缺率未达到100%的，每少1%扣签约合同价的0.2‰。</w:t>
            </w:r>
          </w:p>
        </w:tc>
        <w:tc>
          <w:tcPr>
            <w:tcW w:w="461" w:type="dxa"/>
            <w:tcBorders>
              <w:top w:val="single" w:color="000000" w:sz="4" w:space="0"/>
              <w:left w:val="single" w:color="000000" w:sz="4" w:space="0"/>
              <w:bottom w:val="single" w:color="000000" w:sz="4" w:space="0"/>
              <w:right w:val="nil"/>
            </w:tcBorders>
            <w:vAlign w:val="center"/>
          </w:tcPr>
          <w:p w14:paraId="744A5D54">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CA618B0">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32" w:hRule="atLeast"/>
          <w:jc w:val="center"/>
        </w:trPr>
        <w:tc>
          <w:tcPr>
            <w:tcW w:w="748" w:type="dxa"/>
            <w:tcBorders>
              <w:top w:val="single" w:color="000000" w:sz="4" w:space="0"/>
              <w:left w:val="nil"/>
              <w:bottom w:val="single" w:color="000000" w:sz="4" w:space="0"/>
              <w:right w:val="single" w:color="000000" w:sz="4" w:space="0"/>
            </w:tcBorders>
            <w:vAlign w:val="center"/>
          </w:tcPr>
          <w:p w14:paraId="5BA64A20">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9BCF03B">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 第13.9（增加）</w:t>
            </w:r>
          </w:p>
        </w:tc>
        <w:tc>
          <w:tcPr>
            <w:tcW w:w="4052" w:type="dxa"/>
            <w:tcBorders>
              <w:top w:val="single" w:color="000000" w:sz="4" w:space="0"/>
              <w:left w:val="single" w:color="000000" w:sz="4" w:space="0"/>
              <w:bottom w:val="single" w:color="000000" w:sz="4" w:space="0"/>
              <w:right w:val="single" w:color="000000" w:sz="4" w:space="0"/>
            </w:tcBorders>
            <w:vAlign w:val="center"/>
          </w:tcPr>
          <w:p w14:paraId="79FCB41C">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13.9 （增加）：</w:t>
            </w:r>
          </w:p>
          <w:p w14:paraId="4D5B4462">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除合同另有约定外，承包人还应当承担以下责任与义务:                             。</w:t>
            </w:r>
          </w:p>
        </w:tc>
        <w:tc>
          <w:tcPr>
            <w:tcW w:w="4275" w:type="dxa"/>
            <w:tcBorders>
              <w:top w:val="single" w:color="000000" w:sz="4" w:space="0"/>
              <w:left w:val="single" w:color="000000" w:sz="4" w:space="0"/>
              <w:bottom w:val="single" w:color="000000" w:sz="4" w:space="0"/>
              <w:right w:val="single" w:color="000000" w:sz="4" w:space="0"/>
            </w:tcBorders>
            <w:vAlign w:val="center"/>
          </w:tcPr>
          <w:p w14:paraId="036A0377">
            <w:pPr>
              <w:adjustRightInd w:val="0"/>
              <w:snapToGrid w:val="0"/>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13.9 （增加）：</w:t>
            </w:r>
          </w:p>
          <w:p w14:paraId="780393B8">
            <w:pPr>
              <w:keepNext w:val="0"/>
              <w:keepLines w:val="0"/>
              <w:pageBreakBefore w:val="0"/>
              <w:widowControl/>
              <w:kinsoku/>
              <w:wordWrap/>
              <w:overflowPunct/>
              <w:topLinePunct w:val="0"/>
              <w:autoSpaceDE/>
              <w:autoSpaceDN/>
              <w:bidi w:val="0"/>
              <w:adjustRightInd/>
              <w:snapToGrid w:val="0"/>
              <w:spacing w:line="240" w:lineRule="atLeast"/>
              <w:ind w:firstLine="360" w:firstLineChars="200"/>
              <w:jc w:val="left"/>
              <w:textAlignment w:val="baseline"/>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 xml:space="preserve">除合同另有约定外，承包人还应当承担以下责任与义务:           </w:t>
            </w:r>
            <w:r>
              <w:rPr>
                <w:rFonts w:hint="eastAsia" w:asciiTheme="majorEastAsia" w:hAnsiTheme="majorEastAsia" w:eastAsiaTheme="majorEastAsia" w:cstheme="majorEastAsia"/>
                <w:color w:val="auto"/>
                <w:kern w:val="0"/>
                <w:sz w:val="18"/>
                <w:szCs w:val="18"/>
                <w:highlight w:val="none"/>
                <w:lang w:val="en-US" w:eastAsia="zh-CN"/>
              </w:rPr>
              <w:t>/</w:t>
            </w:r>
            <w:r>
              <w:rPr>
                <w:rFonts w:hint="eastAsia" w:asciiTheme="majorEastAsia" w:hAnsiTheme="majorEastAsia" w:eastAsiaTheme="majorEastAsia" w:cstheme="majorEastAsia"/>
                <w:color w:val="auto"/>
                <w:kern w:val="0"/>
                <w:sz w:val="18"/>
                <w:szCs w:val="18"/>
                <w:highlight w:val="none"/>
              </w:rPr>
              <w:t xml:space="preserve">               。</w:t>
            </w:r>
          </w:p>
        </w:tc>
        <w:tc>
          <w:tcPr>
            <w:tcW w:w="461" w:type="dxa"/>
            <w:tcBorders>
              <w:top w:val="single" w:color="000000" w:sz="4" w:space="0"/>
              <w:left w:val="single" w:color="000000" w:sz="4" w:space="0"/>
              <w:bottom w:val="single" w:color="000000" w:sz="4" w:space="0"/>
              <w:right w:val="nil"/>
            </w:tcBorders>
            <w:vAlign w:val="center"/>
          </w:tcPr>
          <w:p w14:paraId="774C303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387E3DD">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378" w:hRule="atLeast"/>
          <w:jc w:val="center"/>
        </w:trPr>
        <w:tc>
          <w:tcPr>
            <w:tcW w:w="748" w:type="dxa"/>
            <w:tcBorders>
              <w:top w:val="single" w:color="000000" w:sz="4" w:space="0"/>
              <w:left w:val="nil"/>
              <w:bottom w:val="single" w:color="000000" w:sz="4" w:space="0"/>
              <w:right w:val="single" w:color="000000" w:sz="4" w:space="0"/>
            </w:tcBorders>
            <w:vAlign w:val="center"/>
          </w:tcPr>
          <w:p w14:paraId="3F9C5F50">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76F743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 第15.2.3条（增加）</w:t>
            </w:r>
          </w:p>
          <w:p w14:paraId="489F53C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c>
          <w:tcPr>
            <w:tcW w:w="4052" w:type="dxa"/>
            <w:tcBorders>
              <w:top w:val="single" w:color="000000" w:sz="4" w:space="0"/>
              <w:left w:val="single" w:color="000000" w:sz="4" w:space="0"/>
              <w:bottom w:val="single" w:color="000000" w:sz="4" w:space="0"/>
              <w:right w:val="single" w:color="000000" w:sz="4" w:space="0"/>
            </w:tcBorders>
            <w:vAlign w:val="center"/>
          </w:tcPr>
          <w:p w14:paraId="31C5304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无</w:t>
            </w:r>
          </w:p>
        </w:tc>
        <w:tc>
          <w:tcPr>
            <w:tcW w:w="4275" w:type="dxa"/>
            <w:tcBorders>
              <w:top w:val="single" w:color="000000" w:sz="4" w:space="0"/>
              <w:left w:val="single" w:color="000000" w:sz="4" w:space="0"/>
              <w:bottom w:val="single" w:color="000000" w:sz="4" w:space="0"/>
              <w:right w:val="single" w:color="000000" w:sz="4" w:space="0"/>
            </w:tcBorders>
            <w:vAlign w:val="center"/>
          </w:tcPr>
          <w:p w14:paraId="1E2B870F">
            <w:pPr>
              <w:snapToGrid w:val="0"/>
              <w:spacing w:line="240" w:lineRule="atLeast"/>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 xml:space="preserve">    </w:t>
            </w:r>
            <w:r>
              <w:rPr>
                <w:rStyle w:val="37"/>
                <w:rFonts w:hint="eastAsia" w:asciiTheme="majorEastAsia" w:hAnsiTheme="majorEastAsia" w:eastAsiaTheme="majorEastAsia" w:cstheme="majorEastAsia"/>
                <w:color w:val="auto"/>
                <w:kern w:val="0"/>
                <w:sz w:val="18"/>
                <w:szCs w:val="18"/>
                <w:highlight w:val="none"/>
              </w:rPr>
              <w:t>15.2.3</w:t>
            </w:r>
            <w:r>
              <w:rPr>
                <w:rStyle w:val="37"/>
                <w:rFonts w:hint="eastAsia" w:asciiTheme="majorEastAsia" w:hAnsiTheme="majorEastAsia" w:eastAsiaTheme="majorEastAsia" w:cstheme="majorEastAsia"/>
                <w:bCs/>
                <w:color w:val="auto"/>
                <w:kern w:val="0"/>
                <w:sz w:val="18"/>
                <w:szCs w:val="18"/>
                <w:highlight w:val="none"/>
              </w:rPr>
              <w:t>（增加）：</w:t>
            </w:r>
          </w:p>
          <w:p w14:paraId="2C37946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在工程建设过程中，监理人、发包人代表对变更事实的签认，仅作为工程量确认的初步依据；变更费用最终需经发包人审核，符合合同约定变更程序与计价规则的予以调整，不符合的不予调整。</w:t>
            </w:r>
          </w:p>
        </w:tc>
        <w:tc>
          <w:tcPr>
            <w:tcW w:w="461" w:type="dxa"/>
            <w:tcBorders>
              <w:top w:val="single" w:color="000000" w:sz="4" w:space="0"/>
              <w:left w:val="single" w:color="000000" w:sz="4" w:space="0"/>
              <w:bottom w:val="single" w:color="000000" w:sz="4" w:space="0"/>
              <w:right w:val="nil"/>
            </w:tcBorders>
            <w:vAlign w:val="center"/>
          </w:tcPr>
          <w:p w14:paraId="5CB04534">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6D5C5361">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84" w:hRule="atLeast"/>
          <w:jc w:val="center"/>
        </w:trPr>
        <w:tc>
          <w:tcPr>
            <w:tcW w:w="748" w:type="dxa"/>
            <w:tcBorders>
              <w:top w:val="single" w:color="000000" w:sz="4" w:space="0"/>
              <w:left w:val="nil"/>
              <w:bottom w:val="single" w:color="000000" w:sz="4" w:space="0"/>
              <w:right w:val="single" w:color="000000" w:sz="4" w:space="0"/>
            </w:tcBorders>
            <w:vAlign w:val="center"/>
          </w:tcPr>
          <w:p w14:paraId="5E44471E">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0C0CA3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专用条款第15.4.2条（增加）</w:t>
            </w:r>
          </w:p>
          <w:p w14:paraId="0B8DA00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c>
          <w:tcPr>
            <w:tcW w:w="4052" w:type="dxa"/>
            <w:tcBorders>
              <w:top w:val="single" w:color="000000" w:sz="4" w:space="0"/>
              <w:left w:val="single" w:color="000000" w:sz="4" w:space="0"/>
              <w:bottom w:val="single" w:color="000000" w:sz="4" w:space="0"/>
              <w:right w:val="single" w:color="000000" w:sz="4" w:space="0"/>
            </w:tcBorders>
            <w:vAlign w:val="center"/>
          </w:tcPr>
          <w:p w14:paraId="56B3B23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无</w:t>
            </w:r>
          </w:p>
        </w:tc>
        <w:tc>
          <w:tcPr>
            <w:tcW w:w="4275" w:type="dxa"/>
            <w:tcBorders>
              <w:top w:val="single" w:color="000000" w:sz="4" w:space="0"/>
              <w:left w:val="single" w:color="000000" w:sz="4" w:space="0"/>
              <w:bottom w:val="single" w:color="000000" w:sz="4" w:space="0"/>
              <w:right w:val="single" w:color="000000" w:sz="4" w:space="0"/>
            </w:tcBorders>
            <w:vAlign w:val="center"/>
          </w:tcPr>
          <w:p w14:paraId="20A0266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 xml:space="preserve">    </w:t>
            </w:r>
            <w:r>
              <w:rPr>
                <w:rStyle w:val="37"/>
                <w:rFonts w:hint="eastAsia" w:asciiTheme="majorEastAsia" w:hAnsiTheme="majorEastAsia" w:eastAsiaTheme="majorEastAsia" w:cstheme="majorEastAsia"/>
                <w:color w:val="auto"/>
                <w:kern w:val="0"/>
                <w:sz w:val="18"/>
                <w:szCs w:val="18"/>
                <w:highlight w:val="none"/>
              </w:rPr>
              <w:t xml:space="preserve">15.4.2 </w:t>
            </w:r>
            <w:r>
              <w:rPr>
                <w:rStyle w:val="37"/>
                <w:rFonts w:hint="eastAsia" w:asciiTheme="majorEastAsia" w:hAnsiTheme="majorEastAsia" w:eastAsiaTheme="majorEastAsia" w:cstheme="majorEastAsia"/>
                <w:bCs/>
                <w:color w:val="auto"/>
                <w:kern w:val="0"/>
                <w:sz w:val="18"/>
                <w:szCs w:val="18"/>
                <w:highlight w:val="none"/>
              </w:rPr>
              <w:t>（增加）</w:t>
            </w:r>
            <w:r>
              <w:rPr>
                <w:rStyle w:val="37"/>
                <w:rFonts w:hint="eastAsia" w:asciiTheme="majorEastAsia" w:hAnsiTheme="majorEastAsia" w:eastAsiaTheme="majorEastAsia" w:cstheme="majorEastAsia"/>
                <w:color w:val="auto"/>
                <w:kern w:val="0"/>
                <w:sz w:val="18"/>
                <w:szCs w:val="18"/>
                <w:highlight w:val="none"/>
              </w:rPr>
              <w:t>：</w:t>
            </w:r>
          </w:p>
          <w:p w14:paraId="723EB60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已标价工程量清单中无适用于变更工作的子目，但有类似子目的，由承包人在合理范围内参照类似子目的单价提出变更工程项的单价，报发包人确定，按审定单价调整。</w:t>
            </w:r>
          </w:p>
        </w:tc>
        <w:tc>
          <w:tcPr>
            <w:tcW w:w="461" w:type="dxa"/>
            <w:tcBorders>
              <w:top w:val="single" w:color="000000" w:sz="4" w:space="0"/>
              <w:left w:val="single" w:color="000000" w:sz="4" w:space="0"/>
              <w:bottom w:val="single" w:color="000000" w:sz="4" w:space="0"/>
              <w:right w:val="nil"/>
            </w:tcBorders>
            <w:vAlign w:val="center"/>
          </w:tcPr>
          <w:p w14:paraId="02F44E0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61F2025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284" w:hRule="atLeast"/>
          <w:jc w:val="center"/>
        </w:trPr>
        <w:tc>
          <w:tcPr>
            <w:tcW w:w="748" w:type="dxa"/>
            <w:tcBorders>
              <w:top w:val="single" w:color="000000" w:sz="4" w:space="0"/>
              <w:left w:val="nil"/>
              <w:bottom w:val="single" w:color="000000" w:sz="4" w:space="0"/>
              <w:right w:val="single" w:color="000000" w:sz="4" w:space="0"/>
            </w:tcBorders>
            <w:vAlign w:val="center"/>
          </w:tcPr>
          <w:p w14:paraId="5BE63287">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BEEC7B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专用条款第15.4.3条</w:t>
            </w:r>
          </w:p>
          <w:p w14:paraId="18E58945">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p>
        </w:tc>
        <w:tc>
          <w:tcPr>
            <w:tcW w:w="4052" w:type="dxa"/>
            <w:tcBorders>
              <w:top w:val="single" w:color="000000" w:sz="4" w:space="0"/>
              <w:left w:val="single" w:color="000000" w:sz="4" w:space="0"/>
              <w:bottom w:val="single" w:color="000000" w:sz="4" w:space="0"/>
              <w:right w:val="single" w:color="000000" w:sz="4" w:space="0"/>
            </w:tcBorders>
            <w:vAlign w:val="center"/>
          </w:tcPr>
          <w:p w14:paraId="565B2188">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15.4.3 修改为：</w:t>
            </w:r>
          </w:p>
          <w:p w14:paraId="0305B233">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工程量清单中无适用或类似子目的单价，由双方按以下原则确定变更工作的单价：</w:t>
            </w:r>
          </w:p>
          <w:p w14:paraId="5F74C822">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工程量清单中无适用或类似子目的单价的，由承包人根据变更工程资料、计量规则和计价办法、变更提出时信息价格和承包人报价折扣率提出变更工程项的单价，报发包人确定后调整。承包人报价折扣率=（中标价/投标最高限价）×100%[ 非招标工程的承包人报价折扣率=（合同签约价/施工图预算）×100%]</w:t>
            </w:r>
            <w:r>
              <w:rPr>
                <w:rFonts w:hint="eastAsia" w:asciiTheme="majorEastAsia" w:hAnsiTheme="majorEastAsia" w:eastAsiaTheme="majorEastAsia" w:cstheme="majorEastAsia"/>
                <w:color w:val="auto"/>
                <w:kern w:val="0"/>
                <w:sz w:val="18"/>
                <w:szCs w:val="18"/>
                <w:highlight w:val="none"/>
                <w:lang w:eastAsia="zh-CN"/>
              </w:rPr>
              <w:t>（标黄处被删除）</w:t>
            </w:r>
            <w:r>
              <w:rPr>
                <w:rFonts w:hint="eastAsia" w:asciiTheme="majorEastAsia" w:hAnsiTheme="majorEastAsia" w:eastAsiaTheme="majorEastAsia" w:cstheme="majorEastAsia"/>
                <w:color w:val="auto"/>
                <w:kern w:val="0"/>
                <w:sz w:val="18"/>
                <w:szCs w:val="18"/>
                <w:highlight w:val="none"/>
              </w:rPr>
              <w:t>。</w:t>
            </w:r>
          </w:p>
          <w:p w14:paraId="1A306553">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工程量清单中无适用或类似子目的单价，且信息价缺价的，由承包人根据变更工程资料、计量规则、计价办法和通过市场调查取得合法依据的市场价格，按照本项第（1）条方式提出变更工程项综合单价，报发包人确定后调整。</w:t>
            </w:r>
          </w:p>
          <w:p w14:paraId="1D6071BC">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（3）在合同履行过程中，因分部分项工程量清单漏项或非承包人原因的工程变更，引起措施项目发生变化，造成施工组织设计或施工方案变更，调整原则如下:</w:t>
            </w:r>
          </w:p>
          <w:p w14:paraId="11E4DD46">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a.以综合单价形式计价的措施项目，措施项目综合单价不作调整，工程量按实际工程进行调整。</w:t>
            </w:r>
          </w:p>
          <w:p w14:paraId="0B778ADD">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b.以“项”计价的措施项目，原措施费中已有的措施项目，按原有措施费的组价方法调整；原措施费中没有的措施项目，由承包人根据措施项目变更情况，提出适当的措施费变更，经发包人确认后调整。</w:t>
            </w:r>
          </w:p>
          <w:p w14:paraId="2F4797E7">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（4）因项目特征或工程量发生变更的，按下列原则确定综合单价。</w:t>
            </w:r>
          </w:p>
          <w:p w14:paraId="4CA2C3DF">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a.因招标工程量清单特征描述不符，且该变化引起该项目工程造价增减变化的。应按实际施工的项目特征和承包人报价折扣率重新确定综合单价。</w:t>
            </w:r>
          </w:p>
          <w:p w14:paraId="6D2A8090">
            <w:pPr>
              <w:pStyle w:val="53"/>
              <w:adjustRightInd w:val="0"/>
              <w:snapToGrid w:val="0"/>
              <w:spacing w:after="0" w:line="240" w:lineRule="atLeas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b.因招标工程量清单缺项，应按上述规定确定单价，并调整合同价款。</w:t>
            </w:r>
          </w:p>
        </w:tc>
        <w:tc>
          <w:tcPr>
            <w:tcW w:w="4275" w:type="dxa"/>
            <w:tcBorders>
              <w:top w:val="single" w:color="000000" w:sz="4" w:space="0"/>
              <w:left w:val="single" w:color="000000" w:sz="4" w:space="0"/>
              <w:bottom w:val="single" w:color="000000" w:sz="4" w:space="0"/>
              <w:right w:val="single" w:color="000000" w:sz="4" w:space="0"/>
            </w:tcBorders>
            <w:vAlign w:val="center"/>
          </w:tcPr>
          <w:p w14:paraId="67A4A6F3">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15.4.3修改为：</w:t>
            </w:r>
          </w:p>
          <w:p w14:paraId="56950BEC">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工程量清单中无适用或类似子目的单价，由双方按以下原则确定变更工作的单价：</w:t>
            </w:r>
          </w:p>
          <w:p w14:paraId="3C355C62">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1）工程量清单中无适用或类似子目的单价的，由承包人根据变更工程资料、计量规则和计价办法、变更提出时信息价格和承包人报价折扣率提出变更工程项的单价，报发包人确定后调整。承包人报价折扣率=（中标价/投标最高限价）×100%。</w:t>
            </w:r>
          </w:p>
          <w:p w14:paraId="2961A3AE">
            <w:pPr>
              <w:adjustRightInd w:val="0"/>
              <w:snapToGrid w:val="0"/>
              <w:rPr>
                <w:rFonts w:hint="eastAsia" w:asciiTheme="majorEastAsia" w:hAnsiTheme="majorEastAsia" w:eastAsiaTheme="majorEastAsia" w:cstheme="majorEastAsia"/>
                <w:b/>
                <w:color w:val="auto"/>
                <w:sz w:val="18"/>
                <w:szCs w:val="18"/>
                <w:highlight w:val="none"/>
              </w:rPr>
            </w:pPr>
            <w:r>
              <w:rPr>
                <w:rFonts w:hint="eastAsia" w:asciiTheme="majorEastAsia" w:hAnsiTheme="majorEastAsia" w:eastAsiaTheme="majorEastAsia" w:cstheme="majorEastAsia"/>
                <w:b/>
                <w:color w:val="auto"/>
                <w:sz w:val="18"/>
                <w:szCs w:val="18"/>
                <w:highlight w:val="none"/>
              </w:rPr>
              <w:t>（2）工程量清单中无适用或类似子目的单价，且信息价缺价的，由承包人根据变更工程资料、计量规则、计价办法和材料设备采购发票、合同及通过市场调查取得合法依据的市场价格，按照本项第（1）条方式提出变更工程项综合单价，报发包人确定后调整。发包人确定的综合单价中如有直接采用实际采购的设备或装材价格直接计列的费用项，且除税金或其他强制性收费项目外未以此类实际采购费用为基数计取其他费用的，此部分实际采购费用可不参与下浮计算，直接计入结算价中。</w:t>
            </w:r>
          </w:p>
          <w:p w14:paraId="782FD341">
            <w:pPr>
              <w:adjustRightInd w:val="0"/>
              <w:snapToGrid w:val="0"/>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sz w:val="18"/>
                <w:szCs w:val="18"/>
                <w:highlight w:val="none"/>
              </w:rPr>
              <w:t>（3）工程量清单中无适用或类似子目的单价，以实际采购价仅计列设备费或</w:t>
            </w:r>
            <w:r>
              <w:rPr>
                <w:rFonts w:hint="eastAsia" w:asciiTheme="majorEastAsia" w:hAnsiTheme="majorEastAsia" w:eastAsiaTheme="majorEastAsia" w:cstheme="majorEastAsia"/>
                <w:b/>
                <w:color w:val="auto"/>
                <w:sz w:val="18"/>
                <w:szCs w:val="18"/>
                <w:highlight w:val="none"/>
                <w:lang w:val="en-US" w:eastAsia="zh-CN"/>
              </w:rPr>
              <w:t>装置性材料</w:t>
            </w:r>
            <w:r>
              <w:rPr>
                <w:rFonts w:hint="eastAsia" w:asciiTheme="majorEastAsia" w:hAnsiTheme="majorEastAsia" w:eastAsiaTheme="majorEastAsia" w:cstheme="majorEastAsia"/>
                <w:b/>
                <w:color w:val="auto"/>
                <w:sz w:val="18"/>
                <w:szCs w:val="18"/>
                <w:highlight w:val="none"/>
              </w:rPr>
              <w:t>费，</w:t>
            </w:r>
            <w:r>
              <w:rPr>
                <w:rFonts w:hint="eastAsia" w:asciiTheme="majorEastAsia" w:hAnsiTheme="majorEastAsia" w:eastAsiaTheme="majorEastAsia" w:cstheme="majorEastAsia"/>
                <w:b/>
                <w:color w:val="auto"/>
                <w:sz w:val="18"/>
                <w:szCs w:val="18"/>
                <w:highlight w:val="none"/>
                <w:lang w:val="en-US" w:eastAsia="zh-CN"/>
              </w:rPr>
              <w:t>且以实际采购价仅计取税金的，</w:t>
            </w:r>
            <w:r>
              <w:rPr>
                <w:rFonts w:hint="eastAsia" w:asciiTheme="majorEastAsia" w:hAnsiTheme="majorEastAsia" w:eastAsiaTheme="majorEastAsia" w:cstheme="majorEastAsia"/>
                <w:b/>
                <w:color w:val="auto"/>
                <w:sz w:val="18"/>
                <w:szCs w:val="18"/>
                <w:highlight w:val="none"/>
              </w:rPr>
              <w:t>变更工程项目单价可不参与下浮计算。</w:t>
            </w:r>
            <w:r>
              <w:rPr>
                <w:rFonts w:hint="eastAsia" w:asciiTheme="majorEastAsia" w:hAnsiTheme="majorEastAsia" w:eastAsiaTheme="majorEastAsia" w:cstheme="majorEastAsia"/>
                <w:b/>
                <w:color w:val="auto"/>
                <w:sz w:val="18"/>
                <w:szCs w:val="18"/>
                <w:highlight w:val="none"/>
                <w:lang w:val="en-US" w:eastAsia="zh-CN"/>
              </w:rPr>
              <w:t>承包人</w:t>
            </w:r>
            <w:r>
              <w:rPr>
                <w:rFonts w:hint="eastAsia" w:asciiTheme="majorEastAsia" w:hAnsiTheme="majorEastAsia" w:eastAsiaTheme="majorEastAsia" w:cstheme="majorEastAsia"/>
                <w:b/>
                <w:color w:val="auto"/>
                <w:sz w:val="18"/>
                <w:szCs w:val="18"/>
                <w:highlight w:val="none"/>
              </w:rPr>
              <w:t>提出变更工程项</w:t>
            </w:r>
            <w:r>
              <w:rPr>
                <w:rFonts w:hint="eastAsia" w:asciiTheme="majorEastAsia" w:hAnsiTheme="majorEastAsia" w:eastAsiaTheme="majorEastAsia" w:cstheme="majorEastAsia"/>
                <w:b/>
                <w:color w:val="auto"/>
                <w:sz w:val="18"/>
                <w:szCs w:val="18"/>
                <w:highlight w:val="none"/>
                <w:lang w:val="en-US" w:eastAsia="zh-CN"/>
              </w:rPr>
              <w:t>目</w:t>
            </w:r>
            <w:r>
              <w:rPr>
                <w:rFonts w:hint="eastAsia" w:asciiTheme="majorEastAsia" w:hAnsiTheme="majorEastAsia" w:eastAsiaTheme="majorEastAsia" w:cstheme="majorEastAsia"/>
                <w:b/>
                <w:color w:val="auto"/>
                <w:sz w:val="18"/>
                <w:szCs w:val="18"/>
                <w:highlight w:val="none"/>
              </w:rPr>
              <w:t>综合单价，报发包人确定后调整。</w:t>
            </w:r>
          </w:p>
        </w:tc>
        <w:tc>
          <w:tcPr>
            <w:tcW w:w="461" w:type="dxa"/>
            <w:tcBorders>
              <w:top w:val="single" w:color="000000" w:sz="4" w:space="0"/>
              <w:left w:val="single" w:color="000000" w:sz="4" w:space="0"/>
              <w:bottom w:val="single" w:color="000000" w:sz="4" w:space="0"/>
              <w:right w:val="nil"/>
            </w:tcBorders>
            <w:vAlign w:val="center"/>
          </w:tcPr>
          <w:p w14:paraId="2434C00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5AF8AB8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456" w:hRule="atLeast"/>
          <w:jc w:val="center"/>
        </w:trPr>
        <w:tc>
          <w:tcPr>
            <w:tcW w:w="748" w:type="dxa"/>
            <w:tcBorders>
              <w:top w:val="single" w:color="000000" w:sz="4" w:space="0"/>
              <w:left w:val="nil"/>
              <w:bottom w:val="single" w:color="000000" w:sz="4" w:space="0"/>
              <w:right w:val="single" w:color="000000" w:sz="4" w:space="0"/>
            </w:tcBorders>
            <w:vAlign w:val="center"/>
          </w:tcPr>
          <w:p w14:paraId="3BCC2236">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E94B0A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 第16.1条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3C7756FD">
            <w:pPr>
              <w:adjustRightInd w:val="0"/>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    16.1 合同的价格</w:t>
            </w:r>
          </w:p>
          <w:p w14:paraId="269053ED">
            <w:pPr>
              <w:numPr>
                <w:ilvl w:val="0"/>
                <w:numId w:val="2"/>
              </w:num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合同价格包括签约合同价以及按照合同约定进行的调整；</w:t>
            </w:r>
          </w:p>
          <w:p w14:paraId="768193F9">
            <w:pPr>
              <w:numPr>
                <w:ilvl w:val="0"/>
                <w:numId w:val="2"/>
              </w:num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合同价格包括承包人依据法律规定或合同约定应支付的规费和税金；</w:t>
            </w:r>
          </w:p>
          <w:p w14:paraId="2ED03477">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签约合同价中列出的工程量清单，不得将其视为要求承包人实施的工程实际或准确的工作量，合同约定工程的某部分按照实际完成工程量进行支付的，应按照合同约定进行计量和估价，并据此调整合同价格。</w:t>
            </w:r>
          </w:p>
          <w:p w14:paraId="1BE72B3C">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（4）工程量清单对应的综合单价与实际完成此清单工作内容的费用存在显著价格差异时，调整原则执行现行的国家电网有限公司输变电工程工程量清单计价规范及下列约定：</w:t>
            </w:r>
          </w:p>
          <w:p w14:paraId="6F8B620B">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①合同价格形式为总价合同的，工程量的调整范围及超过约定范围的单价确定方式：</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05B4C57C">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u w:val="single"/>
              </w:rPr>
            </w:pPr>
            <w:r>
              <w:rPr>
                <w:rStyle w:val="37"/>
                <w:rFonts w:hint="eastAsia" w:asciiTheme="majorEastAsia" w:hAnsiTheme="majorEastAsia" w:eastAsiaTheme="majorEastAsia" w:cstheme="majorEastAsia"/>
                <w:color w:val="auto"/>
                <w:kern w:val="0"/>
                <w:sz w:val="18"/>
                <w:szCs w:val="18"/>
                <w:highlight w:val="none"/>
              </w:rPr>
              <w:t xml:space="preserve">②合同价格形式为单价合同的，工程量偏差超过± </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%时，综合单价的调整方式：</w:t>
            </w:r>
            <w:r>
              <w:rPr>
                <w:rStyle w:val="37"/>
                <w:rFonts w:hint="eastAsia" w:asciiTheme="majorEastAsia" w:hAnsiTheme="majorEastAsia" w:eastAsiaTheme="majorEastAsia" w:cstheme="majorEastAsia"/>
                <w:color w:val="auto"/>
                <w:kern w:val="0"/>
                <w:sz w:val="18"/>
                <w:szCs w:val="18"/>
                <w:highlight w:val="none"/>
                <w:u w:val="single"/>
              </w:rPr>
              <w:t xml:space="preserve">   </w:t>
            </w:r>
          </w:p>
          <w:p w14:paraId="035A0011">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③其他： </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 xml:space="preserve">  。  </w:t>
            </w:r>
          </w:p>
          <w:p w14:paraId="53DF7E82">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    </w:t>
            </w:r>
          </w:p>
        </w:tc>
        <w:tc>
          <w:tcPr>
            <w:tcW w:w="4275" w:type="dxa"/>
            <w:tcBorders>
              <w:top w:val="single" w:color="000000" w:sz="4" w:space="0"/>
              <w:left w:val="single" w:color="000000" w:sz="4" w:space="0"/>
              <w:bottom w:val="single" w:color="000000" w:sz="4" w:space="0"/>
              <w:right w:val="single" w:color="000000" w:sz="4" w:space="0"/>
            </w:tcBorders>
            <w:vAlign w:val="center"/>
          </w:tcPr>
          <w:p w14:paraId="58C6B08F">
            <w:pPr>
              <w:pStyle w:val="53"/>
              <w:adjustRightInd w:val="0"/>
              <w:snapToGrid w:val="0"/>
              <w:spacing w:line="240" w:lineRule="atLeast"/>
              <w:jc w:val="left"/>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5114E34E">
            <w:pPr>
              <w:pStyle w:val="53"/>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16.1 合同的价格</w:t>
            </w:r>
          </w:p>
          <w:p w14:paraId="51A4A7F7">
            <w:pPr>
              <w:pStyle w:val="53"/>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w:t>
            </w:r>
            <w:r>
              <w:rPr>
                <w:rFonts w:hint="eastAsia" w:asciiTheme="majorEastAsia" w:hAnsiTheme="majorEastAsia" w:eastAsiaTheme="majorEastAsia" w:cstheme="majorEastAsia"/>
                <w:b/>
                <w:color w:val="auto"/>
                <w:sz w:val="18"/>
                <w:szCs w:val="18"/>
                <w:highlight w:val="none"/>
              </w:rPr>
              <w:t>合同价格包括签约合同价以及按照合同约定进行的调整。</w:t>
            </w:r>
          </w:p>
          <w:p w14:paraId="7D13D8D3">
            <w:pPr>
              <w:pStyle w:val="53"/>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（2）合同价格包括承包人依据法律规定或合同约定应支付的规费和税金；</w:t>
            </w:r>
          </w:p>
          <w:p w14:paraId="7CD73AAA">
            <w:pPr>
              <w:pStyle w:val="53"/>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签约合同价中列出的工程量清单，不得将其视为要求承包人实施的工程实际或准确的工作量，合同约定工程的某部分按照实际完成工程量进行支付的，应按照合同约定进行计量和估价，并据此调整合同价格。</w:t>
            </w:r>
          </w:p>
          <w:p w14:paraId="4971F19C">
            <w:pPr>
              <w:pStyle w:val="53"/>
              <w:numPr>
                <w:ilvl w:val="0"/>
                <w:numId w:val="3"/>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已标价分部分项工程量清单子目综合单价为固定价，在合同有效期间保持不变，合同另有约定时除外。</w:t>
            </w:r>
          </w:p>
          <w:p w14:paraId="5F0058FE">
            <w:pPr>
              <w:pStyle w:val="53"/>
              <w:numPr>
                <w:ilvl w:val="0"/>
                <w:numId w:val="3"/>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合同履行期间，分部分项工程量清单中任一清单项目实际工程量与招标工程量清单出现偏差，当单项工程量偏差超过原招标项目工程量的15%，且单项工程量偏差量乘原项目合同综合单价所得费用超过工程承包合同总额的1%时，对相应清单项目综合单价进行调整。调整的原则为：当工程量增加15%以上时，其增加部分的工程量的全费用综合单价应予调低；当工程量减少15%以上时，减少后剩余部分的工程量的全费用综合单价应予调高。此时，按下列公式调整结算分部分项工程费：</w:t>
            </w:r>
            <w:r>
              <w:rPr>
                <w:rStyle w:val="37"/>
                <w:rFonts w:hint="eastAsia" w:asciiTheme="majorEastAsia" w:hAnsiTheme="majorEastAsia" w:eastAsiaTheme="majorEastAsia" w:cstheme="majorEastAsia"/>
                <w:color w:val="auto"/>
                <w:kern w:val="0"/>
                <w:sz w:val="18"/>
                <w:szCs w:val="18"/>
                <w:highlight w:val="none"/>
              </w:rPr>
              <w:br w:type="textWrapping"/>
            </w:r>
            <w:r>
              <w:rPr>
                <w:rStyle w:val="37"/>
                <w:rFonts w:hint="eastAsia" w:asciiTheme="majorEastAsia" w:hAnsiTheme="majorEastAsia" w:eastAsiaTheme="majorEastAsia" w:cstheme="majorEastAsia"/>
                <w:color w:val="auto"/>
                <w:kern w:val="0"/>
                <w:sz w:val="18"/>
                <w:szCs w:val="18"/>
                <w:highlight w:val="none"/>
              </w:rPr>
              <w:t xml:space="preserve">    1）当Q1＞1.15×Q0 时，S＝1.15×Q0×P0＋（Q1-1.15×Q0）×P2，P2=P0×95%。</w:t>
            </w:r>
            <w:r>
              <w:rPr>
                <w:rStyle w:val="37"/>
                <w:rFonts w:hint="eastAsia" w:asciiTheme="majorEastAsia" w:hAnsiTheme="majorEastAsia" w:eastAsiaTheme="majorEastAsia" w:cstheme="majorEastAsia"/>
                <w:color w:val="auto"/>
                <w:kern w:val="0"/>
                <w:sz w:val="18"/>
                <w:szCs w:val="18"/>
                <w:highlight w:val="none"/>
              </w:rPr>
              <w:br w:type="textWrapping"/>
            </w:r>
            <w:r>
              <w:rPr>
                <w:rStyle w:val="37"/>
                <w:rFonts w:hint="eastAsia" w:asciiTheme="majorEastAsia" w:hAnsiTheme="majorEastAsia" w:eastAsiaTheme="majorEastAsia" w:cstheme="majorEastAsia"/>
                <w:color w:val="auto"/>
                <w:kern w:val="0"/>
                <w:sz w:val="18"/>
                <w:szCs w:val="18"/>
                <w:highlight w:val="none"/>
              </w:rPr>
              <w:t xml:space="preserve">    2）当Q1＜0.85×Q0 时，S＝Q1×P2，P2=P0×105%。    </w:t>
            </w:r>
          </w:p>
          <w:p w14:paraId="7E34F23E">
            <w:pPr>
              <w:ind w:firstLine="360"/>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式中：S 表示调整后的某一分部分项工程费结算价；Q1 表示最终完成的工程量；Q0 表示招标工程量清单中列出的工程量；P2表示按照最终完成工程量重新调整后的全费用综合单价；P0 表示承包人在工程量清单中填报的全费用综合单价。</w:t>
            </w:r>
          </w:p>
          <w:p w14:paraId="2F8BEDA7">
            <w:pPr>
              <w:pStyle w:val="53"/>
              <w:numPr>
                <w:ilvl w:val="0"/>
                <w:numId w:val="3"/>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双方确定签约合同价中已充分考虑且包括了以下费用，在合同有效期间不因以下费用的变化进行合同价格调整，合同另有约定时除外：</w:t>
            </w:r>
          </w:p>
          <w:p w14:paraId="34BF7168">
            <w:pPr>
              <w:pStyle w:val="53"/>
              <w:numPr>
                <w:ilvl w:val="0"/>
                <w:numId w:val="4"/>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设备材料在站区围墙内发生的二次或多次倒运发生的费用；</w:t>
            </w:r>
          </w:p>
          <w:p w14:paraId="2BE7C5A7">
            <w:pPr>
              <w:pStyle w:val="53"/>
              <w:numPr>
                <w:ilvl w:val="0"/>
                <w:numId w:val="4"/>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承包人采购的材料、设备（除16.2.4条合同约定的物价外）的涨价费用；</w:t>
            </w:r>
          </w:p>
          <w:p w14:paraId="528D7431">
            <w:pPr>
              <w:pStyle w:val="53"/>
              <w:numPr>
                <w:ilvl w:val="0"/>
                <w:numId w:val="4"/>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发包人采购的材料、设备（即甲供材料、设备）的卸车或配合卸车、保管费；</w:t>
            </w:r>
          </w:p>
          <w:p w14:paraId="030BBFF2">
            <w:pPr>
              <w:pStyle w:val="53"/>
              <w:numPr>
                <w:ilvl w:val="0"/>
                <w:numId w:val="4"/>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国家及地方文件规定所缴纳的各种费用：如各种工作协调费、办理各种施工和开工手续所需费用（包括与建设管理单位有关的）等；</w:t>
            </w:r>
          </w:p>
          <w:p w14:paraId="5ABAD80E">
            <w:pPr>
              <w:pStyle w:val="53"/>
              <w:numPr>
                <w:ilvl w:val="0"/>
                <w:numId w:val="4"/>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工程建设相关费用：应包括各种形式的会议、检查和验收（含承包人和发包人组织或受益的协调会、调度会、建设管理单位组织的安全大检查、质量监督各阶段检查、创优检查等）、</w:t>
            </w:r>
            <w:r>
              <w:rPr>
                <w:rFonts w:hint="eastAsia" w:asciiTheme="majorEastAsia" w:hAnsiTheme="majorEastAsia" w:eastAsiaTheme="majorEastAsia" w:cstheme="majorEastAsia"/>
                <w:color w:val="auto"/>
                <w:kern w:val="0"/>
                <w:sz w:val="18"/>
                <w:szCs w:val="18"/>
                <w:highlight w:val="none"/>
              </w:rPr>
              <w:t>办理消防报建报验、施工许可证、安全报备等，</w:t>
            </w:r>
            <w:r>
              <w:rPr>
                <w:rStyle w:val="37"/>
                <w:rFonts w:hint="eastAsia" w:asciiTheme="majorEastAsia" w:hAnsiTheme="majorEastAsia" w:eastAsiaTheme="majorEastAsia" w:cstheme="majorEastAsia"/>
                <w:color w:val="auto"/>
                <w:kern w:val="0"/>
                <w:sz w:val="18"/>
                <w:szCs w:val="18"/>
                <w:highlight w:val="none"/>
              </w:rPr>
              <w:t>工程移交前的本体看护与维护费用；</w:t>
            </w:r>
          </w:p>
          <w:p w14:paraId="4CBDB44F">
            <w:pPr>
              <w:pStyle w:val="53"/>
              <w:numPr>
                <w:ilvl w:val="0"/>
                <w:numId w:val="4"/>
              </w:numPr>
              <w:adjustRightInd w:val="0"/>
              <w:snapToGrid w:val="0"/>
              <w:spacing w:after="0"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外界因素影响造成的变动费用：承包人在投标时已考虑工程至启动验收期间完成施工任务所包含的所有风险、责任等均应计入报价，结算时不予调整；对施工过程中可能存在的外部因素（比如：临时租地、环保、水保、青赔、影响交通、施工受阻等）及由此可能发生的费用；施工期间对附近居民的干扰及由此引起的纠纷和费用；施工期间承包人的各种车辆对道路产生的损坏或破坏及由此引起的纠纷和费用。此类因素所导致的费用变化，由投标人自行测算，在测算投标报价时予以考虑。以上因素不包括招标文件中未明确的，由设计方案引起并由建设单位确定的因素；</w:t>
            </w:r>
          </w:p>
          <w:p w14:paraId="3D7B75DB">
            <w:pPr>
              <w:pStyle w:val="53"/>
              <w:numPr>
                <w:ilvl w:val="0"/>
                <w:numId w:val="4"/>
              </w:num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自行测算费用：承包人认为在工程建设期间可能发生的其它费用也可计入其他项目部分，如采用工程项目管理系统、工程现场人员管理系统、编制声像资料等相关费用、天气影响、地方干扰影响、虫害和疾病的防治（血吸虫、白蚁、“非典”、鼠疫</w:t>
            </w:r>
            <w:r>
              <w:rPr>
                <w:rStyle w:val="37"/>
                <w:rFonts w:hint="eastAsia" w:asciiTheme="majorEastAsia" w:hAnsiTheme="majorEastAsia" w:eastAsiaTheme="majorEastAsia" w:cstheme="majorEastAsia"/>
                <w:color w:val="auto"/>
                <w:kern w:val="0"/>
                <w:sz w:val="18"/>
                <w:szCs w:val="18"/>
                <w:highlight w:val="none"/>
                <w:lang w:val="en-US" w:eastAsia="zh-CN"/>
              </w:rPr>
              <w:t>染</w:t>
            </w:r>
            <w:r>
              <w:rPr>
                <w:rStyle w:val="37"/>
                <w:rFonts w:hint="eastAsia" w:asciiTheme="majorEastAsia" w:hAnsiTheme="majorEastAsia" w:eastAsiaTheme="majorEastAsia" w:cstheme="majorEastAsia"/>
                <w:color w:val="auto"/>
                <w:kern w:val="0"/>
                <w:sz w:val="18"/>
                <w:szCs w:val="18"/>
                <w:highlight w:val="none"/>
              </w:rPr>
              <w:t>等）费用；在工程开工后，可能出现多次进退场而增加的费用；在交付安装或者试运行之前，由承包商负责所有建筑物内外、场地、路面等的清洁卫生工作所需费用；施工承包商认为需在定额标准上增加的损耗等系数引起的费用；按文明施工要求增加发生的工作量等原因增加的费用；施工水电源在站内具体的实施由施工承包商自行负责，各分水电表合计数与总水电表数的差额按站内各单位用水电量进行分摊；工程建设过程中，发包人将适时组织各承包人进行特高压方面的施工工艺、技术等内容的培训，各承包人参加培训的有关费用。以上费用不论承包人投标报价中是否包含均视为承包人已考虑了工程中可能遇到的风险并计取了相应的风险金，结算时不做调整。</w:t>
            </w:r>
          </w:p>
          <w:p w14:paraId="3D1AC8BA">
            <w:pPr>
              <w:pStyle w:val="53"/>
              <w:numPr>
                <w:ilvl w:val="0"/>
                <w:numId w:val="5"/>
              </w:num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承包商认为需在定额标准上增加的损耗、超灌量等系数引起的费用；施工承包商在施工中控制大型基础（如GIS（HGIS）基础、1000kV主变及高抗基础）在施工过程中产生的水化热，严格控制温差裂缝的产生可能发生的保（降）温等措施费用；工程的运输距离变化；施工水、电源，道路整修及施工场地硬化相关费用；土石方在围墙内的土石方的多次倒运及碾压、爆破开挖、碾碎回填、现场风化处理、淤泥土的现场翻晒、地质情况的差异；围墙内的场地平整（包括可能发生的多次平整）；桩头外运，桩间土方施工难度增加费；施工排水措施增加费；在站外进行预制构件的预制，或采购预制构件所发生的价差及站外运输所发生的费用；混凝土施工工艺美观措施费、模板加固措施费（例如：防火墙）；在回填土方时未经发包人同意，承包人自行回填外购砂或碎石，而增加的费用；施工承包人须在主控通信楼、防火墙、综合车库、消防水池等全部建构筑物使用盘扣式脚手架施工</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rPr>
              <w:t>超高施工措施增加费。结算时不做调整。</w:t>
            </w:r>
          </w:p>
          <w:p w14:paraId="6FFB5A3B">
            <w:pPr>
              <w:pStyle w:val="53"/>
              <w:numPr>
                <w:ilvl w:val="0"/>
                <w:numId w:val="5"/>
              </w:num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承包人因施工原因自己要求并征得设计、监理工程师同意的设计修改而造成的费用增加，不调整合同价格。</w:t>
            </w:r>
          </w:p>
          <w:p w14:paraId="4D9316AC">
            <w:pPr>
              <w:pStyle w:val="53"/>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10）由承包人自行变更施工组织设计或调整施工方案、施工措施所增加的费用，由承包人自行负担。</w:t>
            </w:r>
          </w:p>
          <w:p w14:paraId="133334B3">
            <w:pPr>
              <w:pStyle w:val="53"/>
              <w:numPr>
                <w:ilvl w:val="0"/>
                <w:numId w:val="6"/>
              </w:num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承包范围内各种特种设备的检验费用。</w:t>
            </w:r>
          </w:p>
          <w:p w14:paraId="1B19692C">
            <w:pPr>
              <w:pStyle w:val="53"/>
              <w:numPr>
                <w:ilvl w:val="0"/>
                <w:numId w:val="6"/>
              </w:numPr>
              <w:adjustRightInd w:val="0"/>
              <w:snapToGrid w:val="0"/>
              <w:spacing w:after="0"/>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以各种原因提出要求补偿的费用，包括：承包人自行赶工费、交叉施工降效费、天气原因引起的施工降效费、成品保护措施增加费、承包人自行提高标准等原因所增加的费用。承包人为争创国优或鲁班奖而提高标准等而增加的费用，属于承包人应整改、消缺的费用，承包人施工用水、施工用电费，承包人施工期间对周边地方的干扰赔偿费，由承包人自行测算，在测算投标报价时予以考虑，结算时不做调整。</w:t>
            </w:r>
          </w:p>
          <w:p w14:paraId="54D3C096">
            <w:pPr>
              <w:pStyle w:val="53"/>
              <w:numPr>
                <w:ilvl w:val="0"/>
                <w:numId w:val="6"/>
              </w:numPr>
              <w:adjustRightInd w:val="0"/>
              <w:snapToGrid w:val="0"/>
              <w:spacing w:after="0"/>
              <w:ind w:firstLine="360" w:firstLineChars="200"/>
              <w:jc w:val="left"/>
              <w:rPr>
                <w:rStyle w:val="37"/>
                <w:rFonts w:hint="eastAsia" w:asciiTheme="majorEastAsia" w:hAnsiTheme="majorEastAsia" w:eastAsiaTheme="majorEastAsia" w:cstheme="majorEastAsia"/>
                <w:strike w:val="0"/>
                <w:color w:val="auto"/>
                <w:kern w:val="0"/>
                <w:sz w:val="18"/>
                <w:szCs w:val="18"/>
                <w:highlight w:val="none"/>
              </w:rPr>
            </w:pPr>
            <w:r>
              <w:rPr>
                <w:rStyle w:val="37"/>
                <w:rFonts w:hint="eastAsia" w:asciiTheme="majorEastAsia" w:hAnsiTheme="majorEastAsia" w:eastAsiaTheme="majorEastAsia" w:cstheme="majorEastAsia"/>
                <w:strike w:val="0"/>
                <w:color w:val="auto"/>
                <w:kern w:val="0"/>
                <w:sz w:val="18"/>
                <w:szCs w:val="18"/>
                <w:highlight w:val="none"/>
              </w:rPr>
              <w:t xml:space="preserve">混凝土工程需结合现场实际情况综合考虑外购商品混凝土报价，综合单价结算时不做调整。 </w:t>
            </w:r>
          </w:p>
          <w:p w14:paraId="6E5A8AAD">
            <w:pPr>
              <w:pStyle w:val="53"/>
              <w:numPr>
                <w:ilvl w:val="0"/>
                <w:numId w:val="6"/>
              </w:numPr>
              <w:adjustRightInd w:val="0"/>
              <w:snapToGrid w:val="0"/>
              <w:spacing w:after="0"/>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承包人应按照本工程《1100kV/550kV GIS/HGIS现场安装的分工界面》做好现场安装及相关配合工作，相关费用在投标报价中综合考虑，结算时不做调整。</w:t>
            </w:r>
          </w:p>
          <w:p w14:paraId="75DA717A">
            <w:pPr>
              <w:pStyle w:val="53"/>
              <w:numPr>
                <w:ilvl w:val="0"/>
                <w:numId w:val="6"/>
              </w:numPr>
              <w:adjustRightInd w:val="0"/>
              <w:snapToGrid w:val="0"/>
              <w:spacing w:after="0"/>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承包人需考虑系统调试期间电费和后勤保障费用，费用在报价中综合考虑，不另行结算。</w:t>
            </w:r>
          </w:p>
          <w:p w14:paraId="64D5AE72">
            <w:pPr>
              <w:pStyle w:val="53"/>
              <w:numPr>
                <w:ilvl w:val="0"/>
                <w:numId w:val="6"/>
              </w:numPr>
              <w:adjustRightInd w:val="0"/>
              <w:snapToGrid w:val="0"/>
              <w:spacing w:after="0"/>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扩建站应考虑变电站道路保护、前期工程（站内站外道路、支架及基础、地坪、电缆沟、接地、备品备件库区域构筑物等）拆除及接口修复、站内绿化恢复、其他与前期工程接口的破除、修复和全站建筑垃圾清运、处置等，相关费用</w:t>
            </w:r>
            <w:r>
              <w:rPr>
                <w:rStyle w:val="37"/>
                <w:rFonts w:hint="eastAsia" w:asciiTheme="majorEastAsia" w:hAnsiTheme="majorEastAsia" w:eastAsiaTheme="majorEastAsia" w:cstheme="majorEastAsia"/>
                <w:b/>
                <w:color w:val="auto"/>
                <w:kern w:val="0"/>
                <w:sz w:val="18"/>
                <w:szCs w:val="18"/>
                <w:highlight w:val="none"/>
              </w:rPr>
              <w:t>自行测算</w:t>
            </w:r>
            <w:r>
              <w:rPr>
                <w:rStyle w:val="37"/>
                <w:rFonts w:hint="eastAsia" w:asciiTheme="majorEastAsia" w:hAnsiTheme="majorEastAsia" w:eastAsiaTheme="majorEastAsia" w:cstheme="majorEastAsia"/>
                <w:color w:val="auto"/>
                <w:kern w:val="0"/>
                <w:sz w:val="18"/>
                <w:szCs w:val="18"/>
                <w:highlight w:val="none"/>
              </w:rPr>
              <w:t>，结算时不做调整。</w:t>
            </w:r>
          </w:p>
          <w:p w14:paraId="1F9C5A98">
            <w:pPr>
              <w:pStyle w:val="53"/>
              <w:numPr>
                <w:ilvl w:val="0"/>
                <w:numId w:val="6"/>
              </w:numPr>
              <w:adjustRightInd w:val="0"/>
              <w:snapToGrid w:val="0"/>
              <w:spacing w:after="0"/>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混凝土由于水平或垂直运输方式（包括泵车、罐车及管道泵送等）不同，而增加的施工费用，结算时不做调整。</w:t>
            </w:r>
          </w:p>
          <w:p w14:paraId="436B60A1">
            <w:pPr>
              <w:pStyle w:val="53"/>
              <w:numPr>
                <w:ilvl w:val="0"/>
                <w:numId w:val="6"/>
              </w:numPr>
              <w:adjustRightInd w:val="0"/>
              <w:snapToGrid w:val="0"/>
              <w:spacing w:after="0"/>
              <w:ind w:firstLine="360" w:firstLineChars="20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未经发包人同意，承包人发生爆破开挖、碾碎回填、现场风化处理的费用，承包人自行外购回填砂或碎石而增加的费用，承包人自行在站内或站外进行预制构件的预制，或采购预制构件所发生的价差及站外运输所发生的费用，结算时不做调整。</w:t>
            </w:r>
          </w:p>
          <w:p w14:paraId="24DD7481">
            <w:pPr>
              <w:pStyle w:val="53"/>
              <w:numPr>
                <w:ilvl w:val="0"/>
                <w:numId w:val="6"/>
              </w:numPr>
              <w:adjustRightInd w:val="0"/>
              <w:snapToGrid w:val="0"/>
              <w:spacing w:after="0"/>
              <w:ind w:left="0" w:leftChars="0" w:firstLine="360" w:firstLineChars="200"/>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承包人配合其它承包人的配合费用，配合工程质量监督、竣工预验收、竣工验收、消防、环保、水保、档案等专项验收、达标投产及评优、后评估工作等的费用。</w:t>
            </w:r>
          </w:p>
        </w:tc>
        <w:tc>
          <w:tcPr>
            <w:tcW w:w="461" w:type="dxa"/>
            <w:tcBorders>
              <w:top w:val="single" w:color="000000" w:sz="4" w:space="0"/>
              <w:left w:val="single" w:color="000000" w:sz="4" w:space="0"/>
              <w:bottom w:val="single" w:color="000000" w:sz="4" w:space="0"/>
              <w:right w:val="nil"/>
            </w:tcBorders>
            <w:vAlign w:val="center"/>
          </w:tcPr>
          <w:p w14:paraId="34FD3E9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4DFEB3E">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59" w:hRule="atLeast"/>
          <w:jc w:val="center"/>
        </w:trPr>
        <w:tc>
          <w:tcPr>
            <w:tcW w:w="748" w:type="dxa"/>
            <w:tcBorders>
              <w:top w:val="single" w:color="000000" w:sz="4" w:space="0"/>
              <w:left w:val="nil"/>
              <w:bottom w:val="single" w:color="000000" w:sz="4" w:space="0"/>
              <w:right w:val="single" w:color="000000" w:sz="4" w:space="0"/>
            </w:tcBorders>
            <w:vAlign w:val="center"/>
          </w:tcPr>
          <w:p w14:paraId="7122AC4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B3C0901">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专用条款第16.2.1条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048F46F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16.2.1在基准日后，因法律变化导致承包人在合同履行中所需要的工程费用发生除第16.2.4项约定以外的增减时，应按照合同约定进行计量和估价，经发包人审定后调整合同价格。</w:t>
            </w:r>
          </w:p>
        </w:tc>
        <w:tc>
          <w:tcPr>
            <w:tcW w:w="4275" w:type="dxa"/>
            <w:tcBorders>
              <w:top w:val="single" w:color="000000" w:sz="4" w:space="0"/>
              <w:left w:val="single" w:color="000000" w:sz="4" w:space="0"/>
              <w:bottom w:val="single" w:color="000000" w:sz="4" w:space="0"/>
              <w:right w:val="single" w:color="000000" w:sz="4" w:space="0"/>
            </w:tcBorders>
            <w:vAlign w:val="center"/>
          </w:tcPr>
          <w:p w14:paraId="2E575D22">
            <w:pPr>
              <w:snapToGrid w:val="0"/>
              <w:spacing w:line="240" w:lineRule="atLeast"/>
              <w:jc w:val="left"/>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18D6D9F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16.2.1在基准日后，因</w:t>
            </w:r>
            <w:r>
              <w:rPr>
                <w:rStyle w:val="37"/>
                <w:rFonts w:hint="eastAsia" w:asciiTheme="majorEastAsia" w:hAnsiTheme="majorEastAsia" w:eastAsiaTheme="majorEastAsia" w:cstheme="majorEastAsia"/>
                <w:bCs/>
                <w:color w:val="auto"/>
                <w:kern w:val="0"/>
                <w:sz w:val="18"/>
                <w:szCs w:val="18"/>
                <w:highlight w:val="none"/>
              </w:rPr>
              <w:t>国家法律、法规或省级及以上政府部门颁布的规章和政策发生</w:t>
            </w:r>
            <w:r>
              <w:rPr>
                <w:rStyle w:val="37"/>
                <w:rFonts w:hint="eastAsia" w:asciiTheme="majorEastAsia" w:hAnsiTheme="majorEastAsia" w:eastAsiaTheme="majorEastAsia" w:cstheme="majorEastAsia"/>
                <w:color w:val="auto"/>
                <w:kern w:val="0"/>
                <w:sz w:val="18"/>
                <w:szCs w:val="18"/>
                <w:highlight w:val="none"/>
              </w:rPr>
              <w:t>变化导致承包人在合同履行中所需要的工程费用发生除第16.2.4项约定以外的增减时，</w:t>
            </w:r>
            <w:r>
              <w:rPr>
                <w:rStyle w:val="37"/>
                <w:rFonts w:hint="eastAsia" w:asciiTheme="majorEastAsia" w:hAnsiTheme="majorEastAsia" w:eastAsiaTheme="majorEastAsia" w:cstheme="majorEastAsia"/>
                <w:bCs/>
                <w:color w:val="auto"/>
                <w:kern w:val="0"/>
                <w:sz w:val="18"/>
                <w:szCs w:val="18"/>
                <w:highlight w:val="none"/>
              </w:rPr>
              <w:t>发承包双方应按照电力行业建设主管部门发布的规定调整合同价款。承包人根据合同约定进行计量和估价，经发包人审定后调整合同价款。</w:t>
            </w:r>
          </w:p>
        </w:tc>
        <w:tc>
          <w:tcPr>
            <w:tcW w:w="461" w:type="dxa"/>
            <w:tcBorders>
              <w:top w:val="single" w:color="000000" w:sz="4" w:space="0"/>
              <w:left w:val="single" w:color="000000" w:sz="4" w:space="0"/>
              <w:bottom w:val="single" w:color="000000" w:sz="4" w:space="0"/>
              <w:right w:val="nil"/>
            </w:tcBorders>
            <w:vAlign w:val="center"/>
          </w:tcPr>
          <w:p w14:paraId="2986CBB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5F9683E">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649" w:hRule="atLeast"/>
          <w:jc w:val="center"/>
        </w:trPr>
        <w:tc>
          <w:tcPr>
            <w:tcW w:w="748" w:type="dxa"/>
            <w:tcBorders>
              <w:top w:val="single" w:color="000000" w:sz="4" w:space="0"/>
              <w:left w:val="nil"/>
              <w:bottom w:val="single" w:color="000000" w:sz="4" w:space="0"/>
              <w:right w:val="single" w:color="000000" w:sz="4" w:space="0"/>
            </w:tcBorders>
            <w:vAlign w:val="center"/>
          </w:tcPr>
          <w:p w14:paraId="0A159F25">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6B8737A1">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专用条款第16.2.3条</w:t>
            </w:r>
          </w:p>
        </w:tc>
        <w:tc>
          <w:tcPr>
            <w:tcW w:w="4052" w:type="dxa"/>
            <w:tcBorders>
              <w:top w:val="single" w:color="000000" w:sz="4" w:space="0"/>
              <w:left w:val="single" w:color="000000" w:sz="4" w:space="0"/>
              <w:bottom w:val="single" w:color="000000" w:sz="4" w:space="0"/>
              <w:right w:val="single" w:color="000000" w:sz="4" w:space="0"/>
            </w:tcBorders>
            <w:vAlign w:val="center"/>
          </w:tcPr>
          <w:p w14:paraId="369665C6">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16.2.3工程变更及签证、项目特征不符、工程量清单缺项导致的合同价格调整，执行第15.4.3项。</w:t>
            </w:r>
          </w:p>
        </w:tc>
        <w:tc>
          <w:tcPr>
            <w:tcW w:w="4275" w:type="dxa"/>
            <w:tcBorders>
              <w:top w:val="single" w:color="000000" w:sz="4" w:space="0"/>
              <w:left w:val="single" w:color="000000" w:sz="4" w:space="0"/>
              <w:bottom w:val="single" w:color="000000" w:sz="4" w:space="0"/>
              <w:right w:val="single" w:color="000000" w:sz="4" w:space="0"/>
            </w:tcBorders>
            <w:vAlign w:val="center"/>
          </w:tcPr>
          <w:p w14:paraId="15989CB5">
            <w:pPr>
              <w:snapToGrid w:val="0"/>
              <w:spacing w:line="240" w:lineRule="atLeast"/>
              <w:jc w:val="left"/>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17A7FEB3">
            <w:pPr>
              <w:snapToGrid w:val="0"/>
              <w:spacing w:line="240" w:lineRule="atLeast"/>
              <w:ind w:firstLine="360" w:firstLineChars="200"/>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16.2.3 </w:t>
            </w:r>
            <w:r>
              <w:rPr>
                <w:rFonts w:hint="eastAsia" w:asciiTheme="majorEastAsia" w:hAnsiTheme="majorEastAsia" w:eastAsiaTheme="majorEastAsia" w:cstheme="majorEastAsia"/>
                <w:color w:val="auto"/>
                <w:sz w:val="18"/>
                <w:szCs w:val="18"/>
                <w:highlight w:val="none"/>
              </w:rPr>
              <w:t>承包人应按照经发包人审定的施工图纸实施合同工程，若在合同履行期间，已标价工程量清单子目的项目特征（不包括混凝土强度等级变化）与施工图纸描述不符，且该变化引起该项目工程造价增减变化的，应按实际施工的项目特征和第15.4.2-15.4.3条约定，予以调整。</w:t>
            </w:r>
          </w:p>
        </w:tc>
        <w:tc>
          <w:tcPr>
            <w:tcW w:w="461" w:type="dxa"/>
            <w:tcBorders>
              <w:top w:val="single" w:color="000000" w:sz="4" w:space="0"/>
              <w:left w:val="single" w:color="000000" w:sz="4" w:space="0"/>
              <w:bottom w:val="single" w:color="000000" w:sz="4" w:space="0"/>
              <w:right w:val="nil"/>
            </w:tcBorders>
            <w:vAlign w:val="center"/>
          </w:tcPr>
          <w:p w14:paraId="52752DF4">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w:t>
            </w:r>
          </w:p>
        </w:tc>
      </w:tr>
    </w:tbl>
    <w:p w14:paraId="5DFB71EE">
      <w:pPr>
        <w:pStyle w:val="47"/>
        <w:tabs>
          <w:tab w:val="left" w:pos="1101"/>
        </w:tabs>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br w:type="page"/>
      </w:r>
    </w:p>
    <w:tbl>
      <w:tblPr>
        <w:tblStyle w:val="14"/>
        <w:tblW w:w="11217" w:type="dxa"/>
        <w:jc w:val="center"/>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Layout w:type="fixed"/>
        <w:tblCellMar>
          <w:top w:w="0" w:type="dxa"/>
          <w:left w:w="0" w:type="dxa"/>
          <w:bottom w:w="0" w:type="dxa"/>
          <w:right w:w="0" w:type="dxa"/>
        </w:tblCellMar>
      </w:tblPr>
      <w:tblGrid>
        <w:gridCol w:w="1437"/>
        <w:gridCol w:w="992"/>
        <w:gridCol w:w="4066"/>
        <w:gridCol w:w="4247"/>
        <w:gridCol w:w="475"/>
      </w:tblGrid>
      <w:tr w14:paraId="50B53D4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04" w:hRule="atLeast"/>
          <w:jc w:val="center"/>
        </w:trPr>
        <w:tc>
          <w:tcPr>
            <w:tcW w:w="1437" w:type="dxa"/>
            <w:tcBorders>
              <w:top w:val="single" w:color="000000" w:sz="4" w:space="0"/>
              <w:left w:val="nil"/>
              <w:bottom w:val="single" w:color="000000" w:sz="4" w:space="0"/>
              <w:right w:val="single" w:color="000000" w:sz="4" w:space="0"/>
            </w:tcBorders>
            <w:vAlign w:val="center"/>
          </w:tcPr>
          <w:p w14:paraId="58F6F59D">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B259CE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专用条款第16.2.4条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2717D87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16.2.4物价波动引起的价格调整</w:t>
            </w:r>
          </w:p>
          <w:p w14:paraId="7CD2202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因物价波动引起的价格调整，经发包人与承包人协商同意，按照如下约定处理：</w:t>
            </w:r>
          </w:p>
          <w:p w14:paraId="51A1B604">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（1）人工单价发生变化时，以投标时电力工程造价与定额管理总站发布的工程所在地人工调整系数为基准，按工程施工期电力工程造价与定额管理总站发布的人工单价调整系数进行补差。</w:t>
            </w:r>
          </w:p>
          <w:p w14:paraId="71C91AFA">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承包人采购的可调整材料调整为：变电站建筑工程、线路工程包括砂、水泥、石子（或商品混凝土）、砖、钢材，以工程所在地投标截止日前一个月的信息价为基准价，施工期（工程开工至建筑工程转序验收或线路工程基础完工验收时间为准）内平均信息价变动超过基准价±5%（不含±5%）时，变动超过±5%部分给予调整。</w:t>
            </w:r>
          </w:p>
          <w:p w14:paraId="655F6994">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tc>
        <w:tc>
          <w:tcPr>
            <w:tcW w:w="4247" w:type="dxa"/>
            <w:tcBorders>
              <w:top w:val="single" w:color="000000" w:sz="4" w:space="0"/>
              <w:left w:val="single" w:color="000000" w:sz="4" w:space="0"/>
              <w:bottom w:val="single" w:color="000000" w:sz="4" w:space="0"/>
              <w:right w:val="single" w:color="000000" w:sz="4" w:space="0"/>
            </w:tcBorders>
            <w:vAlign w:val="center"/>
          </w:tcPr>
          <w:p w14:paraId="2A29DE74">
            <w:pPr>
              <w:pStyle w:val="5"/>
              <w:adjustRightInd w:val="0"/>
              <w:snapToGrid w:val="0"/>
              <w:spacing w:after="0" w:line="240" w:lineRule="atLeast"/>
              <w:ind w:firstLine="361" w:firstLineChars="200"/>
              <w:jc w:val="left"/>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35A29B61">
            <w:pPr>
              <w:pStyle w:val="5"/>
              <w:adjustRightInd w:val="0"/>
              <w:snapToGrid w:val="0"/>
              <w:spacing w:after="0"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16.2.4物价波动引起的价格调整</w:t>
            </w:r>
          </w:p>
          <w:p w14:paraId="5EB5D79D">
            <w:pPr>
              <w:pStyle w:val="5"/>
              <w:adjustRightInd w:val="0"/>
              <w:snapToGrid w:val="0"/>
              <w:spacing w:after="0"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因物价波动引起的价格调整，经发包人与承包人协商同意，按照如下约定处理：</w:t>
            </w:r>
          </w:p>
          <w:p w14:paraId="08D4B623">
            <w:pPr>
              <w:pStyle w:val="5"/>
              <w:adjustRightInd w:val="0"/>
              <w:snapToGrid w:val="0"/>
              <w:spacing w:after="0"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（1）人工单价发生变化时，以投标时电力工程造价与定额管理总站发布的工程所在地人工调整系数为基准，按工程施工期电力工程造价与定额管理总站发布的人工单价调整系数进行补差。</w:t>
            </w:r>
          </w:p>
          <w:p w14:paraId="278CA3B3">
            <w:pPr>
              <w:pStyle w:val="5"/>
              <w:adjustRightInd w:val="0"/>
              <w:snapToGrid w:val="0"/>
              <w:spacing w:after="0"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（2）承包人采购的可调整材料调整为：</w:t>
            </w:r>
          </w:p>
          <w:p w14:paraId="25C9DEDA">
            <w:pPr>
              <w:pStyle w:val="5"/>
              <w:adjustRightInd w:val="0"/>
              <w:snapToGrid w:val="0"/>
              <w:spacing w:after="0" w:line="240" w:lineRule="atLeast"/>
              <w:ind w:firstLine="360" w:firstLineChars="200"/>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变电站建筑工程包括砂、水泥、石子、商品混凝土以及钢筋、铁件，变电站安装工程包</w:t>
            </w:r>
            <w:r>
              <w:rPr>
                <w:rStyle w:val="37"/>
                <w:rFonts w:hint="eastAsia" w:asciiTheme="majorEastAsia" w:hAnsiTheme="majorEastAsia" w:eastAsiaTheme="majorEastAsia" w:cstheme="majorEastAsia"/>
                <w:bCs/>
                <w:strike w:val="0"/>
                <w:color w:val="auto"/>
                <w:kern w:val="0"/>
                <w:sz w:val="18"/>
                <w:szCs w:val="18"/>
                <w:highlight w:val="none"/>
              </w:rPr>
              <w:t>括电力电缆</w:t>
            </w:r>
            <w:r>
              <w:rPr>
                <w:rStyle w:val="37"/>
                <w:rFonts w:hint="eastAsia" w:asciiTheme="majorEastAsia" w:hAnsiTheme="majorEastAsia" w:eastAsiaTheme="majorEastAsia" w:cstheme="majorEastAsia"/>
                <w:bCs/>
                <w:color w:val="auto"/>
                <w:kern w:val="0"/>
                <w:sz w:val="18"/>
                <w:szCs w:val="18"/>
                <w:highlight w:val="none"/>
              </w:rPr>
              <w:t>、接地主材（仅含扁钢、扁铜、接地铜块、铜缆线）；以工程所在地投标截止日前一个月（基准日）的可适用于本工程的信息价（含经发包人确认的公开价格信息网站公布价）为基准价；无对应信息价的可以采用基准日现货或期货价格指数平均价格为基准价；既无信息价又无类似价格指数作参照的，则以第三方（经发包人确认的市场主管部门或单位、行业协会等）出具的可适用于本工程的价格支撑材料作为基准价依据；无法取得其他来源的基准价时，经发包人确认的自公开市场取得的价格凭证可作为核定基准价的参考。施工期（工程开工时间以开工报审表审批时间为准，工程竣工时间以通过建设管理单位组织的竣工预验收时间为准）前80%工期内平均信息价变动超过基准价±8%（不含±8%）时，变动超过±8%部分给予调整。</w:t>
            </w:r>
          </w:p>
          <w:p w14:paraId="0893462D">
            <w:pPr>
              <w:numPr>
                <w:ilvl w:val="0"/>
                <w:numId w:val="2"/>
              </w:numPr>
              <w:ind w:left="0" w:leftChars="0" w:firstLine="360" w:firstLineChars="200"/>
              <w:rPr>
                <w:rStyle w:val="37"/>
                <w:rFonts w:hint="eastAsia" w:asciiTheme="majorEastAsia" w:hAnsiTheme="majorEastAsia" w:eastAsiaTheme="majorEastAsia" w:cstheme="majorEastAsia"/>
                <w:bCs/>
                <w:color w:val="auto"/>
                <w:kern w:val="0"/>
                <w:sz w:val="18"/>
                <w:szCs w:val="18"/>
                <w:highlight w:val="none"/>
                <w:lang w:eastAsia="zh-CN" w:bidi="ar-SA"/>
              </w:rPr>
            </w:pPr>
            <w:r>
              <w:rPr>
                <w:rStyle w:val="37"/>
                <w:rFonts w:hint="eastAsia" w:asciiTheme="majorEastAsia" w:hAnsiTheme="majorEastAsia" w:eastAsiaTheme="majorEastAsia" w:cstheme="majorEastAsia"/>
                <w:bCs/>
                <w:color w:val="auto"/>
                <w:kern w:val="0"/>
                <w:sz w:val="18"/>
                <w:szCs w:val="18"/>
                <w:highlight w:val="none"/>
                <w:lang w:bidi="ar-SA"/>
              </w:rPr>
              <w:t>人工、材料价格调整费用不作为其他费用的计取基数，只计取税金。</w:t>
            </w:r>
          </w:p>
          <w:p w14:paraId="0C37AF47">
            <w:pPr>
              <w:pStyle w:val="2"/>
              <w:numPr>
                <w:ilvl w:val="0"/>
                <w:numId w:val="2"/>
              </w:numPr>
              <w:ind w:left="0" w:leftChars="0" w:firstLine="360" w:firstLineChars="200"/>
              <w:rPr>
                <w:rFonts w:hint="eastAsia" w:asciiTheme="majorEastAsia" w:hAnsiTheme="majorEastAsia" w:eastAsiaTheme="majorEastAsia" w:cstheme="majorEastAsia"/>
                <w:color w:val="auto"/>
                <w:sz w:val="18"/>
                <w:szCs w:val="18"/>
                <w:highlight w:val="none"/>
                <w:lang w:eastAsia="zh-CN"/>
              </w:rPr>
            </w:pPr>
            <w:r>
              <w:rPr>
                <w:rFonts w:hint="eastAsia" w:asciiTheme="majorEastAsia" w:hAnsiTheme="majorEastAsia" w:eastAsiaTheme="majorEastAsia" w:cstheme="majorEastAsia"/>
                <w:color w:val="auto"/>
                <w:sz w:val="18"/>
                <w:szCs w:val="18"/>
                <w:highlight w:val="none"/>
                <w:lang w:eastAsia="zh-CN"/>
              </w:rPr>
              <w:t>承包人根据</w:t>
            </w:r>
            <w:r>
              <w:rPr>
                <w:rFonts w:hint="eastAsia" w:asciiTheme="majorEastAsia" w:hAnsiTheme="majorEastAsia" w:eastAsiaTheme="majorEastAsia" w:cstheme="majorEastAsia"/>
                <w:color w:val="auto"/>
                <w:sz w:val="18"/>
                <w:szCs w:val="18"/>
                <w:highlight w:val="none"/>
                <w:lang w:val="en-US" w:eastAsia="zh-CN"/>
              </w:rPr>
              <w:t>工程</w:t>
            </w:r>
            <w:r>
              <w:rPr>
                <w:rFonts w:hint="eastAsia" w:asciiTheme="majorEastAsia" w:hAnsiTheme="majorEastAsia" w:eastAsiaTheme="majorEastAsia" w:cstheme="majorEastAsia"/>
                <w:color w:val="auto"/>
                <w:sz w:val="18"/>
                <w:szCs w:val="18"/>
                <w:highlight w:val="none"/>
                <w:lang w:eastAsia="zh-CN"/>
              </w:rPr>
              <w:t>所在地区海拔、气候、雨期、重污染天气预警频次等条件，结合工程实际工期，综合考虑与工程实施相关的医疗、降效、周转性物资材料（包含不限于钢板、模板、脚手架等）</w:t>
            </w:r>
            <w:r>
              <w:rPr>
                <w:rFonts w:hint="eastAsia" w:asciiTheme="majorEastAsia" w:hAnsiTheme="majorEastAsia" w:eastAsiaTheme="majorEastAsia" w:cstheme="majorEastAsia"/>
                <w:color w:val="auto"/>
                <w:sz w:val="18"/>
                <w:szCs w:val="18"/>
                <w:highlight w:val="none"/>
                <w:lang w:val="en-US" w:eastAsia="zh-CN"/>
              </w:rPr>
              <w:t>的</w:t>
            </w:r>
            <w:r>
              <w:rPr>
                <w:rFonts w:hint="eastAsia" w:asciiTheme="majorEastAsia" w:hAnsiTheme="majorEastAsia" w:eastAsiaTheme="majorEastAsia" w:cstheme="majorEastAsia"/>
                <w:color w:val="auto"/>
                <w:sz w:val="18"/>
                <w:szCs w:val="18"/>
                <w:highlight w:val="none"/>
                <w:lang w:eastAsia="zh-CN"/>
              </w:rPr>
              <w:t>周转次数、重污染预警期间施工降尘措施等及其相应费用，综合报价，结算不再另行调整。</w:t>
            </w:r>
          </w:p>
          <w:p w14:paraId="25706797">
            <w:pPr>
              <w:rPr>
                <w:rFonts w:hint="eastAsia" w:asciiTheme="majorEastAsia" w:hAnsiTheme="majorEastAsia" w:eastAsiaTheme="majorEastAsia" w:cstheme="majorEastAsia"/>
                <w:color w:val="auto"/>
                <w:sz w:val="18"/>
                <w:szCs w:val="18"/>
                <w:highlight w:val="none"/>
              </w:rPr>
            </w:pPr>
          </w:p>
          <w:p w14:paraId="02961BAB">
            <w:pPr>
              <w:rPr>
                <w:rFonts w:hint="eastAsia" w:asciiTheme="majorEastAsia" w:hAnsiTheme="majorEastAsia" w:eastAsiaTheme="majorEastAsia" w:cstheme="majorEastAsia"/>
                <w:color w:val="auto"/>
                <w:sz w:val="18"/>
                <w:szCs w:val="18"/>
                <w:highlight w:val="none"/>
              </w:rPr>
            </w:pPr>
          </w:p>
          <w:p w14:paraId="4F6F348F">
            <w:pPr>
              <w:rPr>
                <w:rFonts w:hint="eastAsia" w:asciiTheme="majorEastAsia" w:hAnsiTheme="majorEastAsia" w:eastAsiaTheme="majorEastAsia" w:cstheme="majorEastAsia"/>
                <w:color w:val="auto"/>
                <w:sz w:val="18"/>
                <w:szCs w:val="18"/>
                <w:highlight w:val="none"/>
              </w:rPr>
            </w:pPr>
          </w:p>
          <w:p w14:paraId="0DB2F29C">
            <w:pPr>
              <w:rPr>
                <w:rFonts w:hint="eastAsia" w:asciiTheme="majorEastAsia" w:hAnsiTheme="majorEastAsia" w:eastAsiaTheme="majorEastAsia" w:cstheme="majorEastAsia"/>
                <w:color w:val="auto"/>
                <w:sz w:val="18"/>
                <w:szCs w:val="18"/>
                <w:highlight w:val="none"/>
              </w:rPr>
            </w:pPr>
          </w:p>
          <w:p w14:paraId="5BF4419C">
            <w:pPr>
              <w:rPr>
                <w:rFonts w:hint="eastAsia" w:asciiTheme="majorEastAsia" w:hAnsiTheme="majorEastAsia" w:eastAsiaTheme="majorEastAsia" w:cstheme="majorEastAsia"/>
                <w:color w:val="auto"/>
                <w:sz w:val="18"/>
                <w:szCs w:val="18"/>
                <w:highlight w:val="none"/>
              </w:rPr>
            </w:pPr>
          </w:p>
          <w:p w14:paraId="3E89B7FD">
            <w:pPr>
              <w:rPr>
                <w:rFonts w:hint="eastAsia" w:asciiTheme="majorEastAsia" w:hAnsiTheme="majorEastAsia" w:eastAsiaTheme="majorEastAsia" w:cstheme="majorEastAsia"/>
                <w:color w:val="auto"/>
                <w:sz w:val="18"/>
                <w:szCs w:val="18"/>
                <w:highlight w:val="none"/>
              </w:rPr>
            </w:pPr>
          </w:p>
          <w:p w14:paraId="2ED7070D">
            <w:pPr>
              <w:pStyle w:val="5"/>
              <w:adjustRightInd w:val="0"/>
              <w:snapToGrid w:val="0"/>
              <w:spacing w:after="0" w:line="240" w:lineRule="atLeast"/>
              <w:ind w:firstLine="360" w:firstLineChars="200"/>
              <w:rPr>
                <w:rStyle w:val="16"/>
                <w:rFonts w:hint="eastAsia" w:asciiTheme="majorEastAsia" w:hAnsiTheme="majorEastAsia" w:eastAsiaTheme="majorEastAsia" w:cstheme="majorEastAsia"/>
                <w:color w:val="auto"/>
                <w:kern w:val="0"/>
                <w:sz w:val="18"/>
                <w:szCs w:val="18"/>
                <w:highlight w:val="none"/>
              </w:rPr>
            </w:pPr>
          </w:p>
        </w:tc>
        <w:tc>
          <w:tcPr>
            <w:tcW w:w="475" w:type="dxa"/>
            <w:tcBorders>
              <w:top w:val="single" w:color="000000" w:sz="4" w:space="0"/>
              <w:left w:val="single" w:color="000000" w:sz="4" w:space="0"/>
              <w:bottom w:val="single" w:color="000000" w:sz="4" w:space="0"/>
              <w:right w:val="nil"/>
            </w:tcBorders>
            <w:vAlign w:val="center"/>
          </w:tcPr>
          <w:p w14:paraId="20EC95E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w:t>
            </w:r>
          </w:p>
        </w:tc>
      </w:tr>
      <w:tr w14:paraId="38C4B06E">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433" w:hRule="atLeast"/>
          <w:jc w:val="center"/>
        </w:trPr>
        <w:tc>
          <w:tcPr>
            <w:tcW w:w="1437" w:type="dxa"/>
            <w:tcBorders>
              <w:top w:val="single" w:color="000000" w:sz="4" w:space="0"/>
              <w:left w:val="nil"/>
              <w:bottom w:val="single" w:color="000000" w:sz="4" w:space="0"/>
              <w:right w:val="single" w:color="000000" w:sz="4" w:space="0"/>
            </w:tcBorders>
            <w:vAlign w:val="center"/>
          </w:tcPr>
          <w:p w14:paraId="64E50D4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B6F1F0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专用条款第16.2.5 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0FAB585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16.2.5暂列金额的价格调整执行第15.6款。</w:t>
            </w:r>
          </w:p>
        </w:tc>
        <w:tc>
          <w:tcPr>
            <w:tcW w:w="4247" w:type="dxa"/>
            <w:tcBorders>
              <w:top w:val="single" w:color="000000" w:sz="4" w:space="0"/>
              <w:left w:val="single" w:color="000000" w:sz="4" w:space="0"/>
              <w:bottom w:val="single" w:color="000000" w:sz="4" w:space="0"/>
              <w:right w:val="single" w:color="000000" w:sz="4" w:space="0"/>
            </w:tcBorders>
            <w:vAlign w:val="center"/>
          </w:tcPr>
          <w:p w14:paraId="5B938C07">
            <w:pPr>
              <w:snapToGrid w:val="0"/>
              <w:spacing w:line="240" w:lineRule="atLeast"/>
              <w:jc w:val="left"/>
              <w:rPr>
                <w:rStyle w:val="37"/>
                <w:rFonts w:hint="eastAsia" w:asciiTheme="majorEastAsia" w:hAnsiTheme="majorEastAsia" w:eastAsiaTheme="majorEastAsia" w:cstheme="majorEastAsia"/>
                <w:b/>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652300B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16.2.5不适用。</w:t>
            </w:r>
          </w:p>
        </w:tc>
        <w:tc>
          <w:tcPr>
            <w:tcW w:w="475" w:type="dxa"/>
            <w:tcBorders>
              <w:top w:val="single" w:color="000000" w:sz="4" w:space="0"/>
              <w:left w:val="single" w:color="000000" w:sz="4" w:space="0"/>
              <w:bottom w:val="single" w:color="000000" w:sz="4" w:space="0"/>
              <w:right w:val="nil"/>
            </w:tcBorders>
            <w:vAlign w:val="center"/>
          </w:tcPr>
          <w:p w14:paraId="19BCD681">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7DAD3006">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433" w:hRule="atLeast"/>
          <w:jc w:val="center"/>
        </w:trPr>
        <w:tc>
          <w:tcPr>
            <w:tcW w:w="1437" w:type="dxa"/>
            <w:tcBorders>
              <w:top w:val="single" w:color="000000" w:sz="4" w:space="0"/>
              <w:left w:val="nil"/>
              <w:bottom w:val="single" w:color="000000" w:sz="4" w:space="0"/>
              <w:right w:val="single" w:color="000000" w:sz="4" w:space="0"/>
            </w:tcBorders>
            <w:vAlign w:val="center"/>
          </w:tcPr>
          <w:p w14:paraId="18FCA7BC">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485C9E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专用条款第16.2.6 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49A32D8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16.2.6暂估价的价格调整执行第15.8款。</w:t>
            </w:r>
          </w:p>
        </w:tc>
        <w:tc>
          <w:tcPr>
            <w:tcW w:w="4247" w:type="dxa"/>
            <w:tcBorders>
              <w:top w:val="single" w:color="000000" w:sz="4" w:space="0"/>
              <w:left w:val="single" w:color="000000" w:sz="4" w:space="0"/>
              <w:bottom w:val="single" w:color="000000" w:sz="4" w:space="0"/>
              <w:right w:val="single" w:color="000000" w:sz="4" w:space="0"/>
            </w:tcBorders>
            <w:vAlign w:val="center"/>
          </w:tcPr>
          <w:p w14:paraId="392EC13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71301E3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16.2.6不适用。</w:t>
            </w:r>
          </w:p>
        </w:tc>
        <w:tc>
          <w:tcPr>
            <w:tcW w:w="475" w:type="dxa"/>
            <w:tcBorders>
              <w:top w:val="single" w:color="000000" w:sz="4" w:space="0"/>
              <w:left w:val="single" w:color="000000" w:sz="4" w:space="0"/>
              <w:bottom w:val="single" w:color="000000" w:sz="4" w:space="0"/>
              <w:right w:val="nil"/>
            </w:tcBorders>
            <w:vAlign w:val="center"/>
          </w:tcPr>
          <w:p w14:paraId="4F615691">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1EC6D3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699" w:hRule="atLeast"/>
          <w:jc w:val="center"/>
        </w:trPr>
        <w:tc>
          <w:tcPr>
            <w:tcW w:w="1437" w:type="dxa"/>
            <w:tcBorders>
              <w:top w:val="single" w:color="000000" w:sz="4" w:space="0"/>
              <w:left w:val="nil"/>
              <w:bottom w:val="single" w:color="000000" w:sz="4" w:space="0"/>
              <w:right w:val="single" w:color="000000" w:sz="4" w:space="0"/>
            </w:tcBorders>
            <w:vAlign w:val="center"/>
          </w:tcPr>
          <w:p w14:paraId="480E92A7">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756AD9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专用条款第16.2.8.1条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5F8171B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16.2.8.1其他项目清单费用调整</w:t>
            </w:r>
          </w:p>
          <w:p w14:paraId="666D35EB">
            <w:pPr>
              <w:numPr>
                <w:ilvl w:val="0"/>
                <w:numId w:val="7"/>
              </w:num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4952BA53">
            <w:pPr>
              <w:numPr>
                <w:ilvl w:val="0"/>
                <w:numId w:val="7"/>
              </w:num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05C11660">
            <w:pPr>
              <w:numPr>
                <w:ilvl w:val="0"/>
                <w:numId w:val="7"/>
              </w:num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61E4F283">
            <w:p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p>
          <w:p w14:paraId="0F32F81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c>
          <w:tcPr>
            <w:tcW w:w="4247" w:type="dxa"/>
            <w:tcBorders>
              <w:top w:val="single" w:color="000000" w:sz="4" w:space="0"/>
              <w:left w:val="single" w:color="000000" w:sz="4" w:space="0"/>
              <w:bottom w:val="single" w:color="000000" w:sz="4" w:space="0"/>
              <w:right w:val="single" w:color="000000" w:sz="4" w:space="0"/>
            </w:tcBorders>
            <w:vAlign w:val="center"/>
          </w:tcPr>
          <w:p w14:paraId="1E90C738">
            <w:pPr>
              <w:snapToGrid w:val="0"/>
              <w:spacing w:line="240" w:lineRule="atLeast"/>
              <w:jc w:val="left"/>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5E7749CD">
            <w:pPr>
              <w:snapToGrid w:val="0"/>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 xml:space="preserve">    16.2.8.1其他项目清单费用调整</w:t>
            </w:r>
          </w:p>
          <w:p w14:paraId="1FAF7A49">
            <w:pPr>
              <w:pStyle w:val="53"/>
              <w:numPr>
                <w:ilvl w:val="0"/>
                <w:numId w:val="8"/>
              </w:numPr>
              <w:snapToGrid w:val="0"/>
              <w:spacing w:after="0"/>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u w:val="single"/>
              </w:rPr>
              <w:t>其他项目清单中的项目（包括招标人已列项目和投标人增列项目）为总价承包项目，投标人需结合工程实际和自身情况进行投标报价，结算时不予调整。</w:t>
            </w:r>
          </w:p>
        </w:tc>
        <w:tc>
          <w:tcPr>
            <w:tcW w:w="475" w:type="dxa"/>
            <w:tcBorders>
              <w:top w:val="single" w:color="000000" w:sz="4" w:space="0"/>
              <w:left w:val="single" w:color="000000" w:sz="4" w:space="0"/>
              <w:bottom w:val="single" w:color="000000" w:sz="4" w:space="0"/>
              <w:right w:val="nil"/>
            </w:tcBorders>
            <w:vAlign w:val="center"/>
          </w:tcPr>
          <w:p w14:paraId="14CBBD3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27E92EF">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5025" w:hRule="atLeast"/>
          <w:jc w:val="center"/>
        </w:trPr>
        <w:tc>
          <w:tcPr>
            <w:tcW w:w="1437" w:type="dxa"/>
            <w:tcBorders>
              <w:top w:val="single" w:color="000000" w:sz="4" w:space="0"/>
              <w:left w:val="nil"/>
              <w:bottom w:val="single" w:color="000000" w:sz="4" w:space="0"/>
              <w:right w:val="single" w:color="000000" w:sz="4" w:space="0"/>
            </w:tcBorders>
            <w:vAlign w:val="center"/>
          </w:tcPr>
          <w:p w14:paraId="3F988753">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C65B4F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专用条款第16.2.8.2条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0419F05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（增加）：</w:t>
            </w:r>
          </w:p>
          <w:p w14:paraId="7A5C02C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16.2.8.2合同允许的其他调整费用</w:t>
            </w:r>
          </w:p>
          <w:p w14:paraId="367F91F1">
            <w:pPr>
              <w:numPr>
                <w:ilvl w:val="0"/>
                <w:numId w:val="9"/>
              </w:num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245D5C2B">
            <w:pPr>
              <w:numPr>
                <w:ilvl w:val="0"/>
                <w:numId w:val="9"/>
              </w:num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6715A9B9">
            <w:pPr>
              <w:numPr>
                <w:ilvl w:val="0"/>
                <w:numId w:val="9"/>
              </w:num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w:t>
            </w:r>
          </w:p>
          <w:p w14:paraId="673C101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c>
          <w:tcPr>
            <w:tcW w:w="4247" w:type="dxa"/>
            <w:tcBorders>
              <w:top w:val="single" w:color="000000" w:sz="4" w:space="0"/>
              <w:left w:val="single" w:color="000000" w:sz="4" w:space="0"/>
              <w:bottom w:val="single" w:color="000000" w:sz="4" w:space="0"/>
              <w:right w:val="single" w:color="000000" w:sz="4" w:space="0"/>
            </w:tcBorders>
            <w:vAlign w:val="center"/>
          </w:tcPr>
          <w:p w14:paraId="36E59414">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color w:val="auto"/>
                <w:kern w:val="0"/>
                <w:sz w:val="18"/>
                <w:szCs w:val="18"/>
                <w:highlight w:val="none"/>
              </w:rPr>
              <w:t>修改为：</w:t>
            </w:r>
          </w:p>
          <w:p w14:paraId="36C7A321">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16.2.8.2合同允许的其他调整费用</w:t>
            </w:r>
          </w:p>
          <w:p w14:paraId="310FBA30">
            <w:pPr>
              <w:numPr>
                <w:ilvl w:val="0"/>
                <w:numId w:val="10"/>
              </w:numPr>
              <w:adjustRightInd w:val="0"/>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u w:val="single"/>
              </w:rPr>
            </w:pPr>
            <w:r>
              <w:rPr>
                <w:rStyle w:val="37"/>
                <w:rFonts w:hint="eastAsia" w:asciiTheme="majorEastAsia" w:hAnsiTheme="majorEastAsia" w:eastAsiaTheme="majorEastAsia" w:cstheme="majorEastAsia"/>
                <w:color w:val="auto"/>
                <w:kern w:val="0"/>
                <w:sz w:val="18"/>
                <w:szCs w:val="18"/>
                <w:highlight w:val="none"/>
                <w:u w:val="single"/>
              </w:rPr>
              <w:t>在工程建设期间，由于国家重大能源政策调整，导致项目停工或下马，从而造成承包人的损失，经发包人审核后，可进行补偿。</w:t>
            </w:r>
          </w:p>
          <w:p w14:paraId="3544239A">
            <w:pPr>
              <w:numPr>
                <w:ilvl w:val="0"/>
                <w:numId w:val="10"/>
              </w:numPr>
              <w:adjustRightInd w:val="0"/>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u w:val="single"/>
              </w:rPr>
            </w:pPr>
            <w:r>
              <w:rPr>
                <w:rStyle w:val="37"/>
                <w:rFonts w:hint="eastAsia" w:asciiTheme="majorEastAsia" w:hAnsiTheme="majorEastAsia" w:eastAsiaTheme="majorEastAsia" w:cstheme="majorEastAsia"/>
                <w:color w:val="auto"/>
                <w:kern w:val="0"/>
                <w:sz w:val="18"/>
                <w:szCs w:val="18"/>
                <w:highlight w:val="none"/>
                <w:u w:val="single"/>
              </w:rPr>
              <w:t>本工程已参保建安一切险及第三者责任险，发生重大自然灾害（如：地震、台风、龙卷风、水灾造成水毁等）、盗抢等造成的损失，经保险公司审核并进行赔偿，承包人配合理赔相关工作。</w:t>
            </w:r>
          </w:p>
          <w:p w14:paraId="5C9F6FE8">
            <w:pPr>
              <w:numPr>
                <w:ilvl w:val="0"/>
                <w:numId w:val="10"/>
              </w:numPr>
              <w:adjustRightInd w:val="0"/>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u w:val="single"/>
              </w:rPr>
            </w:pPr>
            <w:r>
              <w:rPr>
                <w:rStyle w:val="37"/>
                <w:rFonts w:hint="eastAsia" w:asciiTheme="majorEastAsia" w:hAnsiTheme="majorEastAsia" w:eastAsiaTheme="majorEastAsia" w:cstheme="majorEastAsia"/>
                <w:color w:val="auto"/>
                <w:kern w:val="0"/>
                <w:sz w:val="18"/>
                <w:szCs w:val="18"/>
                <w:highlight w:val="none"/>
                <w:u w:val="single"/>
              </w:rPr>
              <w:t>由于发包人原因产生的返工费用和合同范围外增加的项目（包括发包人另行委托承包人采购的材料、试验项目；发包人另行委托承包人办理的原合同未包括的其他项目或费用）属于结算可调整范围。</w:t>
            </w:r>
          </w:p>
          <w:p w14:paraId="6123C94E">
            <w:pPr>
              <w:numPr>
                <w:ilvl w:val="0"/>
                <w:numId w:val="10"/>
              </w:numPr>
              <w:adjustRightInd w:val="0"/>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u w:val="single"/>
              </w:rPr>
            </w:pPr>
            <w:r>
              <w:rPr>
                <w:rStyle w:val="37"/>
                <w:rFonts w:hint="eastAsia" w:asciiTheme="majorEastAsia" w:hAnsiTheme="majorEastAsia" w:eastAsiaTheme="majorEastAsia" w:cstheme="majorEastAsia"/>
                <w:color w:val="auto"/>
                <w:kern w:val="0"/>
                <w:sz w:val="18"/>
                <w:szCs w:val="18"/>
                <w:highlight w:val="none"/>
                <w:u w:val="single"/>
              </w:rPr>
              <w:t>非设计需要，承包人为减少自身风险或降低施工成本提出的变更设计，应由设计方根据承包人提出的施工方案对变更设计做技术经济方案比较，如造成发包人建设费用增加，必须经发包人确认后实施。</w:t>
            </w:r>
          </w:p>
          <w:p w14:paraId="2D939D43">
            <w:pPr>
              <w:numPr>
                <w:ilvl w:val="0"/>
                <w:numId w:val="10"/>
              </w:numPr>
              <w:adjustRightInd w:val="0"/>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u w:val="single"/>
              </w:rPr>
              <w:t>由于发包人更改经审定批准的施工组织设计（修正错误除外），造成承包人施工费用的增加，经发包人审核后，可予以调整。</w:t>
            </w:r>
          </w:p>
        </w:tc>
        <w:tc>
          <w:tcPr>
            <w:tcW w:w="475" w:type="dxa"/>
            <w:tcBorders>
              <w:top w:val="single" w:color="000000" w:sz="4" w:space="0"/>
              <w:left w:val="single" w:color="000000" w:sz="4" w:space="0"/>
              <w:bottom w:val="single" w:color="000000" w:sz="4" w:space="0"/>
              <w:right w:val="nil"/>
            </w:tcBorders>
            <w:vAlign w:val="center"/>
          </w:tcPr>
          <w:p w14:paraId="247CC67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BADD072">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5025" w:hRule="atLeast"/>
          <w:jc w:val="center"/>
        </w:trPr>
        <w:tc>
          <w:tcPr>
            <w:tcW w:w="1437" w:type="dxa"/>
            <w:tcBorders>
              <w:top w:val="single" w:color="000000" w:sz="4" w:space="0"/>
              <w:left w:val="nil"/>
              <w:bottom w:val="single" w:color="000000" w:sz="4" w:space="0"/>
              <w:right w:val="single" w:color="000000" w:sz="4" w:space="0"/>
            </w:tcBorders>
            <w:vAlign w:val="center"/>
          </w:tcPr>
          <w:p w14:paraId="1A51F223">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9F8D01E">
            <w:pPr>
              <w:snapToGrid w:val="0"/>
              <w:spacing w:line="240" w:lineRule="atLeast"/>
              <w:jc w:val="left"/>
              <w:rPr>
                <w:rStyle w:val="37"/>
                <w:rFonts w:hint="default" w:asciiTheme="majorEastAsia" w:hAnsiTheme="majorEastAsia" w:eastAsiaTheme="majorEastAsia" w:cstheme="majorEastAsia"/>
                <w:color w:val="auto"/>
                <w:kern w:val="0"/>
                <w:sz w:val="18"/>
                <w:szCs w:val="18"/>
                <w:highlight w:val="none"/>
                <w:lang w:val="en-US" w:eastAsia="zh-CN"/>
              </w:rPr>
            </w:pPr>
            <w:r>
              <w:rPr>
                <w:rStyle w:val="37"/>
                <w:rFonts w:hint="eastAsia" w:asciiTheme="majorEastAsia" w:hAnsiTheme="majorEastAsia" w:eastAsiaTheme="majorEastAsia" w:cstheme="majorEastAsia"/>
                <w:color w:val="auto"/>
                <w:kern w:val="0"/>
                <w:sz w:val="18"/>
                <w:szCs w:val="18"/>
                <w:highlight w:val="none"/>
                <w:lang w:val="en-US" w:eastAsia="zh-CN"/>
              </w:rPr>
              <w:t>专用条款第16.3条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63D0E58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16.3 其他</w:t>
            </w:r>
          </w:p>
          <w:p w14:paraId="00C9BDF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ermStart w:id="6" w:edGrp="everyone"/>
            <w:r>
              <w:rPr>
                <w:rStyle w:val="37"/>
                <w:rFonts w:hint="eastAsia" w:asciiTheme="majorEastAsia" w:hAnsiTheme="majorEastAsia" w:eastAsiaTheme="majorEastAsia" w:cstheme="majorEastAsia"/>
                <w:color w:val="auto"/>
                <w:kern w:val="0"/>
                <w:sz w:val="18"/>
                <w:szCs w:val="18"/>
                <w:highlight w:val="none"/>
                <w:u w:val="single"/>
              </w:rPr>
              <w:t xml:space="preserve">                                                                                                                                                                            </w:t>
            </w:r>
            <w:permEnd w:id="6"/>
            <w:r>
              <w:rPr>
                <w:rStyle w:val="37"/>
                <w:rFonts w:hint="eastAsia" w:asciiTheme="majorEastAsia" w:hAnsiTheme="majorEastAsia" w:eastAsiaTheme="majorEastAsia" w:cstheme="majorEastAsia"/>
                <w:color w:val="auto"/>
                <w:kern w:val="0"/>
                <w:sz w:val="18"/>
                <w:szCs w:val="18"/>
                <w:highlight w:val="none"/>
              </w:rPr>
              <w:t>。</w:t>
            </w:r>
          </w:p>
        </w:tc>
        <w:tc>
          <w:tcPr>
            <w:tcW w:w="4247" w:type="dxa"/>
            <w:tcBorders>
              <w:top w:val="single" w:color="000000" w:sz="4" w:space="0"/>
              <w:left w:val="single" w:color="000000" w:sz="4" w:space="0"/>
              <w:bottom w:val="single" w:color="000000" w:sz="4" w:space="0"/>
              <w:right w:val="single" w:color="000000" w:sz="4" w:space="0"/>
            </w:tcBorders>
            <w:vAlign w:val="center"/>
          </w:tcPr>
          <w:p w14:paraId="3D5B4F5E">
            <w:pPr>
              <w:numPr>
                <w:ilvl w:val="0"/>
                <w:numId w:val="0"/>
              </w:numPr>
              <w:adjustRightInd w:val="0"/>
              <w:spacing w:line="240" w:lineRule="exact"/>
              <w:jc w:val="left"/>
              <w:rPr>
                <w:rStyle w:val="37"/>
                <w:rFonts w:hint="eastAsia" w:asciiTheme="majorEastAsia" w:hAnsiTheme="majorEastAsia" w:eastAsiaTheme="majorEastAsia" w:cstheme="majorEastAsia"/>
                <w:color w:val="auto"/>
                <w:kern w:val="0"/>
                <w:sz w:val="18"/>
                <w:szCs w:val="18"/>
                <w:highlight w:val="none"/>
                <w:u w:val="none"/>
                <w:lang w:val="en-US" w:eastAsia="zh-CN"/>
              </w:rPr>
            </w:pPr>
            <w:r>
              <w:rPr>
                <w:rStyle w:val="37"/>
                <w:rFonts w:hint="eastAsia" w:asciiTheme="majorEastAsia" w:hAnsiTheme="majorEastAsia" w:eastAsiaTheme="majorEastAsia" w:cstheme="majorEastAsia"/>
                <w:color w:val="auto"/>
                <w:kern w:val="0"/>
                <w:sz w:val="18"/>
                <w:szCs w:val="18"/>
                <w:highlight w:val="none"/>
                <w:u w:val="none"/>
                <w:lang w:val="en-US" w:eastAsia="zh-CN"/>
              </w:rPr>
              <w:t>修改为：</w:t>
            </w:r>
          </w:p>
          <w:p w14:paraId="5B105BD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16.3 其他</w:t>
            </w:r>
          </w:p>
          <w:p w14:paraId="04469A91">
            <w:pPr>
              <w:keepNext w:val="0"/>
              <w:keepLines w:val="0"/>
              <w:pageBreakBefore w:val="0"/>
              <w:widowControl/>
              <w:numPr>
                <w:ilvl w:val="0"/>
                <w:numId w:val="0"/>
              </w:numPr>
              <w:kinsoku/>
              <w:wordWrap/>
              <w:overflowPunct/>
              <w:topLinePunct w:val="0"/>
              <w:autoSpaceDE/>
              <w:autoSpaceDN/>
              <w:bidi w:val="0"/>
              <w:adjustRightInd w:val="0"/>
              <w:snapToGrid/>
              <w:spacing w:line="240" w:lineRule="exact"/>
              <w:ind w:firstLine="360" w:firstLineChars="200"/>
              <w:jc w:val="left"/>
              <w:textAlignment w:val="baseline"/>
              <w:rPr>
                <w:rStyle w:val="37"/>
                <w:rFonts w:hint="default" w:asciiTheme="majorEastAsia" w:hAnsiTheme="majorEastAsia" w:eastAsiaTheme="majorEastAsia" w:cstheme="majorEastAsia"/>
                <w:color w:val="auto"/>
                <w:kern w:val="0"/>
                <w:sz w:val="18"/>
                <w:szCs w:val="18"/>
                <w:highlight w:val="none"/>
                <w:u w:val="none"/>
                <w:lang w:val="en-US" w:eastAsia="zh-CN"/>
              </w:rPr>
            </w:pPr>
            <w:r>
              <w:rPr>
                <w:rStyle w:val="37"/>
                <w:rFonts w:hint="default" w:asciiTheme="majorEastAsia" w:hAnsiTheme="majorEastAsia" w:eastAsiaTheme="majorEastAsia" w:cstheme="majorEastAsia"/>
                <w:color w:val="auto"/>
                <w:kern w:val="0"/>
                <w:sz w:val="18"/>
                <w:szCs w:val="18"/>
                <w:highlight w:val="none"/>
                <w:u w:val="single"/>
                <w:lang w:val="en-US" w:eastAsia="zh-CN"/>
              </w:rPr>
              <w:t>其他关于合同价款调整的约定详见本合同附件《国家电网有限公司变电（换流）站工程建设电力建设工程工程量清单规范（2021年版）应用工作指南》。</w:t>
            </w:r>
          </w:p>
        </w:tc>
        <w:tc>
          <w:tcPr>
            <w:tcW w:w="475" w:type="dxa"/>
            <w:tcBorders>
              <w:top w:val="single" w:color="000000" w:sz="4" w:space="0"/>
              <w:left w:val="single" w:color="000000" w:sz="4" w:space="0"/>
              <w:bottom w:val="single" w:color="000000" w:sz="4" w:space="0"/>
              <w:right w:val="nil"/>
            </w:tcBorders>
            <w:vAlign w:val="center"/>
          </w:tcPr>
          <w:p w14:paraId="085A02E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FEC7A84">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65" w:hRule="atLeast"/>
          <w:jc w:val="center"/>
        </w:trPr>
        <w:tc>
          <w:tcPr>
            <w:tcW w:w="1437" w:type="dxa"/>
            <w:tcBorders>
              <w:top w:val="single" w:color="000000" w:sz="4" w:space="0"/>
              <w:left w:val="nil"/>
              <w:bottom w:val="single" w:color="000000" w:sz="4" w:space="0"/>
              <w:right w:val="single" w:color="000000" w:sz="4" w:space="0"/>
            </w:tcBorders>
            <w:vAlign w:val="center"/>
          </w:tcPr>
          <w:p w14:paraId="24BE94B4">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5AC3642">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专用条款第17.1.2条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7E33FB9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17.1.2计量方法（补充）：</w:t>
            </w:r>
          </w:p>
          <w:p w14:paraId="70E0305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工程的计量应以净值为准，除非合同另有约定。</w:t>
            </w:r>
          </w:p>
          <w:p w14:paraId="5DE2781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有责任对合同约定的工作内容的工程量进行测算或计量。监理人、发包人中的任何一方有权对工作内容中的任何工程量进行计量或不计量。但任何一方或多方共同的计量结果，均不应成为任何一方要求变更、调整合同价格的理由。</w:t>
            </w:r>
          </w:p>
        </w:tc>
        <w:tc>
          <w:tcPr>
            <w:tcW w:w="4247" w:type="dxa"/>
            <w:tcBorders>
              <w:top w:val="single" w:color="000000" w:sz="4" w:space="0"/>
              <w:left w:val="single" w:color="000000" w:sz="4" w:space="0"/>
              <w:bottom w:val="single" w:color="000000" w:sz="4" w:space="0"/>
              <w:right w:val="single" w:color="000000" w:sz="4" w:space="0"/>
            </w:tcBorders>
            <w:vAlign w:val="center"/>
          </w:tcPr>
          <w:p w14:paraId="3CDD728D">
            <w:pPr>
              <w:snapToGrid w:val="0"/>
              <w:spacing w:line="240" w:lineRule="atLeast"/>
              <w:jc w:val="left"/>
              <w:rPr>
                <w:rStyle w:val="37"/>
                <w:rFonts w:hint="eastAsia" w:asciiTheme="majorEastAsia" w:hAnsiTheme="majorEastAsia" w:eastAsiaTheme="majorEastAsia" w:cstheme="majorEastAsia"/>
                <w:b w:val="0"/>
                <w:bCs/>
                <w:color w:val="auto"/>
                <w:kern w:val="0"/>
                <w:sz w:val="18"/>
                <w:szCs w:val="18"/>
                <w:highlight w:val="none"/>
              </w:rPr>
            </w:pPr>
            <w:r>
              <w:rPr>
                <w:rStyle w:val="37"/>
                <w:rFonts w:hint="eastAsia" w:asciiTheme="majorEastAsia" w:hAnsiTheme="majorEastAsia" w:eastAsiaTheme="majorEastAsia" w:cstheme="majorEastAsia"/>
                <w:b w:val="0"/>
                <w:bCs/>
                <w:color w:val="auto"/>
                <w:kern w:val="0"/>
                <w:sz w:val="18"/>
                <w:szCs w:val="18"/>
                <w:highlight w:val="none"/>
              </w:rPr>
              <w:t>修改为：</w:t>
            </w:r>
          </w:p>
          <w:p w14:paraId="2923D27E">
            <w:pPr>
              <w:snapToGrid w:val="0"/>
              <w:spacing w:line="240" w:lineRule="atLeast"/>
              <w:ind w:firstLine="360" w:firstLineChars="200"/>
              <w:jc w:val="left"/>
              <w:rPr>
                <w:rStyle w:val="37"/>
                <w:rFonts w:hint="eastAsia" w:asciiTheme="majorEastAsia" w:hAnsiTheme="majorEastAsia" w:eastAsiaTheme="majorEastAsia" w:cstheme="majorEastAsia"/>
                <w:b w:val="0"/>
                <w:bCs/>
                <w:color w:val="auto"/>
                <w:kern w:val="0"/>
                <w:sz w:val="18"/>
                <w:szCs w:val="18"/>
                <w:highlight w:val="none"/>
              </w:rPr>
            </w:pPr>
            <w:r>
              <w:rPr>
                <w:rStyle w:val="37"/>
                <w:rFonts w:hint="eastAsia" w:asciiTheme="majorEastAsia" w:hAnsiTheme="majorEastAsia" w:eastAsiaTheme="majorEastAsia" w:cstheme="majorEastAsia"/>
                <w:b w:val="0"/>
                <w:bCs/>
                <w:color w:val="auto"/>
                <w:kern w:val="0"/>
                <w:sz w:val="18"/>
                <w:szCs w:val="18"/>
                <w:highlight w:val="none"/>
              </w:rPr>
              <w:t>17.1.2计量方法（补充）：</w:t>
            </w:r>
          </w:p>
          <w:p w14:paraId="44D61E6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val="0"/>
                <w:bCs/>
                <w:color w:val="auto"/>
                <w:kern w:val="0"/>
                <w:sz w:val="18"/>
                <w:szCs w:val="18"/>
                <w:highlight w:val="none"/>
              </w:rPr>
              <w:t>工程的结算工程量依据审定的施工图工程量（包括发包人认可的设计变更、签证）计算；</w:t>
            </w:r>
            <w:r>
              <w:rPr>
                <w:rFonts w:hint="eastAsia" w:asciiTheme="majorEastAsia" w:hAnsiTheme="majorEastAsia" w:eastAsiaTheme="majorEastAsia" w:cstheme="majorEastAsia"/>
                <w:b w:val="0"/>
                <w:bCs/>
                <w:color w:val="auto"/>
                <w:sz w:val="18"/>
                <w:szCs w:val="18"/>
                <w:highlight w:val="none"/>
              </w:rPr>
              <w:t>中华人民共和国电力行业标准《电力建设工程工程量清单计价规范》（DL/T 5745-2021）、《电力建设工程工程量清单计算规范 变电工程》（DL/T 5341-2021）</w:t>
            </w:r>
            <w:r>
              <w:rPr>
                <w:rStyle w:val="37"/>
                <w:rFonts w:hint="eastAsia" w:asciiTheme="majorEastAsia" w:hAnsiTheme="majorEastAsia" w:eastAsiaTheme="majorEastAsia" w:cstheme="majorEastAsia"/>
                <w:b w:val="0"/>
                <w:bCs/>
                <w:color w:val="auto"/>
                <w:kern w:val="0"/>
                <w:sz w:val="18"/>
                <w:szCs w:val="18"/>
                <w:highlight w:val="none"/>
              </w:rPr>
              <w:t>及招标文件明确的工程量计算规则。承包人有责任对合同约定的工作内容的工程量进行</w:t>
            </w:r>
            <w:r>
              <w:rPr>
                <w:rStyle w:val="37"/>
                <w:rFonts w:hint="eastAsia" w:asciiTheme="majorEastAsia" w:hAnsiTheme="majorEastAsia" w:eastAsiaTheme="majorEastAsia" w:cstheme="majorEastAsia"/>
                <w:color w:val="auto"/>
                <w:kern w:val="0"/>
                <w:sz w:val="18"/>
                <w:szCs w:val="18"/>
                <w:highlight w:val="none"/>
              </w:rPr>
              <w:t>测算或计量。监理人、发包人中的任何一方有权对工作内容中的任何工程量进行计量或不计量。但任何一方或多方共同的计量结果，均不应成为任何一方要求变更、调整合同价格的理由。</w:t>
            </w:r>
          </w:p>
        </w:tc>
        <w:tc>
          <w:tcPr>
            <w:tcW w:w="475" w:type="dxa"/>
            <w:tcBorders>
              <w:top w:val="single" w:color="000000" w:sz="4" w:space="0"/>
              <w:left w:val="single" w:color="000000" w:sz="4" w:space="0"/>
              <w:bottom w:val="single" w:color="000000" w:sz="4" w:space="0"/>
              <w:right w:val="nil"/>
            </w:tcBorders>
            <w:vAlign w:val="center"/>
          </w:tcPr>
          <w:p w14:paraId="3117E60B">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w:t>
            </w:r>
          </w:p>
        </w:tc>
      </w:tr>
      <w:tr w14:paraId="35EDE6A2">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65" w:hRule="atLeast"/>
          <w:jc w:val="center"/>
        </w:trPr>
        <w:tc>
          <w:tcPr>
            <w:tcW w:w="1437" w:type="dxa"/>
            <w:tcBorders>
              <w:top w:val="single" w:color="000000" w:sz="4" w:space="0"/>
              <w:left w:val="nil"/>
              <w:bottom w:val="single" w:color="000000" w:sz="4" w:space="0"/>
              <w:right w:val="single" w:color="000000" w:sz="4" w:space="0"/>
            </w:tcBorders>
            <w:vAlign w:val="center"/>
          </w:tcPr>
          <w:p w14:paraId="27CD100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F730981">
            <w:pPr>
              <w:adjustRightInd w:val="0"/>
              <w:snapToGrid w:val="0"/>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sz w:val="18"/>
                <w:szCs w:val="18"/>
              </w:rPr>
              <w:t>专用条款</w:t>
            </w:r>
          </w:p>
          <w:p w14:paraId="39E4814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lang w:val="en-US" w:eastAsia="zh-CN"/>
              </w:rPr>
            </w:pPr>
            <w:r>
              <w:rPr>
                <w:rFonts w:hint="eastAsia" w:asciiTheme="majorEastAsia" w:hAnsiTheme="majorEastAsia" w:eastAsiaTheme="majorEastAsia" w:cstheme="majorEastAsia"/>
                <w:sz w:val="18"/>
                <w:szCs w:val="18"/>
              </w:rPr>
              <w:t>17.1.3</w:t>
            </w:r>
            <w:r>
              <w:rPr>
                <w:rFonts w:hint="eastAsia" w:asciiTheme="majorEastAsia" w:hAnsiTheme="majorEastAsia" w:eastAsiaTheme="majorEastAsia" w:cstheme="majorEastAsia"/>
                <w:sz w:val="18"/>
                <w:szCs w:val="18"/>
                <w:lang w:val="en-US" w:eastAsia="zh-CN"/>
              </w:rPr>
              <w:t>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72710F08">
            <w:pPr>
              <w:widowControl/>
              <w:adjustRightInd w:val="0"/>
              <w:snapToGrid w:val="0"/>
              <w:jc w:val="left"/>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sz w:val="18"/>
                <w:szCs w:val="18"/>
              </w:rPr>
              <w:t>17.1.3 计量周期：</w:t>
            </w:r>
          </w:p>
          <w:p w14:paraId="4214326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sz w:val="18"/>
                <w:szCs w:val="18"/>
              </w:rPr>
              <w:t xml:space="preserve">按月计量。 </w:t>
            </w:r>
          </w:p>
        </w:tc>
        <w:tc>
          <w:tcPr>
            <w:tcW w:w="4247" w:type="dxa"/>
            <w:tcBorders>
              <w:top w:val="single" w:color="000000" w:sz="4" w:space="0"/>
              <w:left w:val="single" w:color="000000" w:sz="4" w:space="0"/>
              <w:bottom w:val="single" w:color="000000" w:sz="4" w:space="0"/>
              <w:right w:val="single" w:color="000000" w:sz="4" w:space="0"/>
            </w:tcBorders>
            <w:vAlign w:val="center"/>
          </w:tcPr>
          <w:p w14:paraId="5AFD5F93">
            <w:pPr>
              <w:widowControl/>
              <w:adjustRightInd w:val="0"/>
              <w:snapToGrid w:val="0"/>
              <w:jc w:val="left"/>
              <w:rPr>
                <w:rFonts w:hint="eastAsia" w:asciiTheme="majorEastAsia" w:hAnsiTheme="majorEastAsia" w:eastAsiaTheme="majorEastAsia" w:cstheme="majorEastAsia"/>
                <w:sz w:val="18"/>
                <w:szCs w:val="18"/>
              </w:rPr>
            </w:pPr>
            <w:r>
              <w:rPr>
                <w:rFonts w:hint="eastAsia" w:asciiTheme="majorEastAsia" w:hAnsiTheme="majorEastAsia" w:eastAsiaTheme="majorEastAsia" w:cstheme="majorEastAsia"/>
                <w:sz w:val="18"/>
                <w:szCs w:val="18"/>
              </w:rPr>
              <w:t>17.1.3修改为：计量周期：</w:t>
            </w:r>
          </w:p>
          <w:p w14:paraId="16BC590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sz w:val="18"/>
                <w:szCs w:val="18"/>
              </w:rPr>
              <w:t>按月计量，自愿申报。</w:t>
            </w:r>
          </w:p>
        </w:tc>
        <w:tc>
          <w:tcPr>
            <w:tcW w:w="475" w:type="dxa"/>
            <w:tcBorders>
              <w:top w:val="single" w:color="000000" w:sz="4" w:space="0"/>
              <w:left w:val="single" w:color="000000" w:sz="4" w:space="0"/>
              <w:bottom w:val="single" w:color="000000" w:sz="4" w:space="0"/>
              <w:right w:val="nil"/>
            </w:tcBorders>
            <w:vAlign w:val="center"/>
          </w:tcPr>
          <w:p w14:paraId="398D2334">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325A68A">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65" w:hRule="atLeast"/>
          <w:jc w:val="center"/>
        </w:trPr>
        <w:tc>
          <w:tcPr>
            <w:tcW w:w="1437" w:type="dxa"/>
            <w:tcBorders>
              <w:top w:val="single" w:color="000000" w:sz="4" w:space="0"/>
              <w:left w:val="nil"/>
              <w:bottom w:val="single" w:color="000000" w:sz="4" w:space="0"/>
              <w:right w:val="single" w:color="000000" w:sz="4" w:space="0"/>
            </w:tcBorders>
            <w:vAlign w:val="center"/>
          </w:tcPr>
          <w:p w14:paraId="2BEF3EA5">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b w:val="0"/>
                <w:bCs w:val="0"/>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C09A701">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专用条款第</w:t>
            </w:r>
          </w:p>
          <w:p w14:paraId="0E13D30F">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17.2.1条（3）</w:t>
            </w:r>
          </w:p>
        </w:tc>
        <w:tc>
          <w:tcPr>
            <w:tcW w:w="4066" w:type="dxa"/>
            <w:tcBorders>
              <w:top w:val="single" w:color="000000" w:sz="4" w:space="0"/>
              <w:left w:val="single" w:color="000000" w:sz="4" w:space="0"/>
              <w:bottom w:val="single" w:color="000000" w:sz="4" w:space="0"/>
              <w:right w:val="single" w:color="000000" w:sz="4" w:space="0"/>
            </w:tcBorders>
            <w:vAlign w:val="center"/>
          </w:tcPr>
          <w:p w14:paraId="7A6104B9">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17.2 预付款</w:t>
            </w:r>
          </w:p>
          <w:p w14:paraId="7B34E8D8">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17.2.1 预付款的额度和预付办法如下：</w:t>
            </w:r>
          </w:p>
          <w:p w14:paraId="232211FF">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（1）工程预付款的额度：预付款比例为合同金额（扣除暂列金额）的20%，安全文明措施费预付款金额按照附件《安全协议书》执行。</w:t>
            </w:r>
          </w:p>
          <w:p w14:paraId="36D965F4">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（2）工程预付款的支付时间：在具备施工条件的前提下，发包人应在双方签订合同后的一个月内或约定的开工日期前7天内预付工程款。</w:t>
            </w:r>
          </w:p>
          <w:p w14:paraId="152A7C59">
            <w:pPr>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sz w:val="18"/>
                <w:szCs w:val="18"/>
                <w:highlight w:val="none"/>
              </w:rPr>
              <w:t>（3）若发包人未按合同约定预付工程款，承包人应在预付时间到期后14天内向发包人发出要求预付的通知，发包人收到通知后仍不按要求预付，承包人可在发出通知14天后停止施工，发包人应向承包人支付从约定应付之日起按合同订立时全国银行间同业拆借中心公布的1年期贷款市场报价利率计算的逾期付款违约金。</w:t>
            </w:r>
          </w:p>
        </w:tc>
        <w:tc>
          <w:tcPr>
            <w:tcW w:w="4247" w:type="dxa"/>
            <w:tcBorders>
              <w:top w:val="single" w:color="000000" w:sz="4" w:space="0"/>
              <w:left w:val="single" w:color="000000" w:sz="4" w:space="0"/>
              <w:bottom w:val="single" w:color="000000" w:sz="4" w:space="0"/>
              <w:right w:val="single" w:color="000000" w:sz="4" w:space="0"/>
            </w:tcBorders>
          </w:tcPr>
          <w:p w14:paraId="2CA92982">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17.2.1修改为：</w:t>
            </w:r>
          </w:p>
          <w:p w14:paraId="3214D5D3">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预付款的额度和预付办法如下：                                                    （1）工程预付款的额度：工程预付款比例为合同金额（扣除暂列金额和安全文明措施费）的20%，其中人工费预付款应拨付至承包人开设的农民工工资款专用账户。</w:t>
            </w:r>
          </w:p>
          <w:p w14:paraId="0745F326">
            <w:pPr>
              <w:numPr>
                <w:ilvl w:val="0"/>
                <w:numId w:val="11"/>
              </w:numPr>
              <w:adjustRightInd w:val="0"/>
              <w:snapToGrid w:val="0"/>
              <w:jc w:val="left"/>
              <w:textAlignment w:val="auto"/>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工程预付款的支付时间：发包人应在双方签订合同后，在具备施工条件的前提下，发包人收到承包人提供的预付款收据和工程预付款支付报审表、开工报审表、履约保函或保险保单</w:t>
            </w:r>
            <w:r>
              <w:rPr>
                <w:rFonts w:hint="eastAsia" w:asciiTheme="majorEastAsia" w:hAnsiTheme="majorEastAsia" w:eastAsiaTheme="majorEastAsia" w:cstheme="majorEastAsia"/>
                <w:b w:val="0"/>
                <w:bCs w:val="0"/>
                <w:color w:val="auto"/>
                <w:sz w:val="18"/>
                <w:szCs w:val="18"/>
                <w:highlight w:val="none"/>
                <w:lang w:eastAsia="zh-CN"/>
              </w:rPr>
              <w:t>等材料</w:t>
            </w:r>
            <w:r>
              <w:rPr>
                <w:rFonts w:hint="eastAsia" w:asciiTheme="majorEastAsia" w:hAnsiTheme="majorEastAsia" w:eastAsiaTheme="majorEastAsia" w:cstheme="majorEastAsia"/>
                <w:b w:val="0"/>
                <w:bCs w:val="0"/>
                <w:color w:val="auto"/>
                <w:sz w:val="18"/>
                <w:szCs w:val="18"/>
                <w:highlight w:val="none"/>
              </w:rPr>
              <w:t>，核实承包人提供的相关预付款申请资料后60个工作日内将预付款支付给承包人。</w:t>
            </w:r>
          </w:p>
          <w:p w14:paraId="41302A93">
            <w:pPr>
              <w:numPr>
                <w:ilvl w:val="0"/>
                <w:numId w:val="11"/>
              </w:numPr>
              <w:adjustRightInd w:val="0"/>
              <w:snapToGrid w:val="0"/>
              <w:jc w:val="left"/>
              <w:textAlignment w:val="auto"/>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若发包人未按合同约定预付工程款，承包人应在预付时间到期后14天内向发包人发出要求预付的通知，发包人收到通知后仍不按要求预付，承包人可在发出通知14天后停止施工，发包人应向承包人支付从约定应付之日起按合同订立时全国银行间同业拆借中心公布的1年期贷款市场报价利率计算的逾期付款违约金。</w:t>
            </w:r>
          </w:p>
          <w:p w14:paraId="5B6C7F7E">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sz w:val="18"/>
                <w:szCs w:val="18"/>
                <w:highlight w:val="none"/>
              </w:rPr>
              <w:t>（4）安全文明措施费：安全文明措施费按照附件5：《安全协议书》执行，在工程开工支付工程预付款时，承包人可按照签约合同价中安全文明施工费总额的50%申请第一期安全文明措施费，并开具增值税专用发票，其余费用按照施工进度支付，每期申请工程进度款同时单独列明安全文明施工费，可随工程进度款一并开具增值税专用发票。</w:t>
            </w:r>
          </w:p>
        </w:tc>
        <w:tc>
          <w:tcPr>
            <w:tcW w:w="475" w:type="dxa"/>
            <w:tcBorders>
              <w:top w:val="single" w:color="000000" w:sz="4" w:space="0"/>
              <w:left w:val="single" w:color="000000" w:sz="4" w:space="0"/>
              <w:bottom w:val="single" w:color="000000" w:sz="4" w:space="0"/>
              <w:right w:val="nil"/>
            </w:tcBorders>
            <w:vAlign w:val="center"/>
          </w:tcPr>
          <w:p w14:paraId="3D1923B2">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1300E11">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65" w:hRule="atLeast"/>
          <w:jc w:val="center"/>
        </w:trPr>
        <w:tc>
          <w:tcPr>
            <w:tcW w:w="1437" w:type="dxa"/>
            <w:tcBorders>
              <w:top w:val="single" w:color="000000" w:sz="4" w:space="0"/>
              <w:left w:val="nil"/>
              <w:bottom w:val="single" w:color="000000" w:sz="4" w:space="0"/>
              <w:right w:val="single" w:color="000000" w:sz="4" w:space="0"/>
            </w:tcBorders>
            <w:vAlign w:val="center"/>
          </w:tcPr>
          <w:p w14:paraId="04CF3B87">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b w:val="0"/>
                <w:bCs w:val="0"/>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AE95C0C">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lang w:val="en-US" w:eastAsia="zh-CN"/>
              </w:rPr>
            </w:pPr>
            <w:r>
              <w:rPr>
                <w:rFonts w:hint="eastAsia" w:asciiTheme="majorEastAsia" w:hAnsiTheme="majorEastAsia" w:eastAsiaTheme="majorEastAsia" w:cstheme="majorEastAsia"/>
                <w:kern w:val="0"/>
                <w:sz w:val="18"/>
                <w:szCs w:val="18"/>
              </w:rPr>
              <w:t>专用条款</w:t>
            </w:r>
            <w:r>
              <w:rPr>
                <w:rFonts w:hint="eastAsia" w:asciiTheme="majorEastAsia" w:hAnsiTheme="majorEastAsia" w:eastAsiaTheme="majorEastAsia" w:cstheme="majorEastAsia"/>
                <w:sz w:val="18"/>
                <w:szCs w:val="18"/>
              </w:rPr>
              <w:t>17.2.3</w:t>
            </w:r>
            <w:r>
              <w:rPr>
                <w:rFonts w:hint="eastAsia" w:asciiTheme="majorEastAsia" w:hAnsiTheme="majorEastAsia" w:eastAsiaTheme="majorEastAsia" w:cstheme="majorEastAsia"/>
                <w:sz w:val="18"/>
                <w:szCs w:val="18"/>
                <w:lang w:val="en-US" w:eastAsia="zh-CN"/>
              </w:rPr>
              <w:t>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49B142ED">
            <w:pPr>
              <w:widowControl/>
              <w:adjustRightInd w:val="0"/>
              <w:snapToGrid w:val="0"/>
              <w:rPr>
                <w:rFonts w:hint="eastAsia" w:asciiTheme="majorEastAsia" w:hAnsiTheme="majorEastAsia" w:eastAsiaTheme="majorEastAsia" w:cstheme="majorEastAsia"/>
                <w:color w:val="000000" w:themeColor="text1"/>
                <w:sz w:val="18"/>
                <w:szCs w:val="18"/>
                <w14:textFill>
                  <w14:solidFill>
                    <w14:schemeClr w14:val="tx1"/>
                  </w14:solidFill>
                </w14:textFill>
              </w:rPr>
            </w:pPr>
            <w:r>
              <w:rPr>
                <w:rFonts w:hint="eastAsia" w:asciiTheme="majorEastAsia" w:hAnsiTheme="majorEastAsia" w:eastAsiaTheme="majorEastAsia" w:cstheme="majorEastAsia"/>
                <w:color w:val="000000" w:themeColor="text1"/>
                <w:sz w:val="18"/>
                <w:szCs w:val="18"/>
                <w14:textFill>
                  <w14:solidFill>
                    <w14:schemeClr w14:val="tx1"/>
                  </w14:solidFill>
                </w14:textFill>
              </w:rPr>
              <w:t>17.2.3 款预付款扣回与还清</w:t>
            </w:r>
          </w:p>
          <w:p w14:paraId="1F185968">
            <w:pPr>
              <w:widowControl/>
              <w:adjustRightInd w:val="0"/>
              <w:snapToGrid w:val="0"/>
              <w:rPr>
                <w:rFonts w:hint="eastAsia" w:asciiTheme="majorEastAsia" w:hAnsiTheme="majorEastAsia" w:eastAsiaTheme="majorEastAsia" w:cstheme="majorEastAsia"/>
                <w:color w:val="000000" w:themeColor="text1"/>
                <w:sz w:val="18"/>
                <w:szCs w:val="18"/>
                <w14:textFill>
                  <w14:solidFill>
                    <w14:schemeClr w14:val="tx1"/>
                  </w14:solidFill>
                </w14:textFill>
              </w:rPr>
            </w:pPr>
            <w:r>
              <w:rPr>
                <w:rFonts w:hint="eastAsia" w:asciiTheme="majorEastAsia" w:hAnsiTheme="majorEastAsia" w:eastAsiaTheme="majorEastAsia" w:cstheme="majorEastAsia"/>
                <w:color w:val="000000" w:themeColor="text1"/>
                <w:sz w:val="18"/>
                <w:szCs w:val="18"/>
                <w14:textFill>
                  <w14:solidFill>
                    <w14:schemeClr w14:val="tx1"/>
                  </w14:solidFill>
                </w14:textFill>
              </w:rPr>
              <w:t xml:space="preserve">预付款的扣回办法如下： </w:t>
            </w:r>
          </w:p>
          <w:p w14:paraId="2A90DE50">
            <w:pPr>
              <w:snapToGrid w:val="0"/>
              <w:spacing w:line="240" w:lineRule="atLeast"/>
              <w:ind w:firstLine="360" w:firstLineChars="20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color w:val="000000" w:themeColor="text1"/>
                <w:sz w:val="18"/>
                <w:szCs w:val="18"/>
                <w14:textFill>
                  <w14:solidFill>
                    <w14:schemeClr w14:val="tx1"/>
                  </w14:solidFill>
                </w14:textFill>
              </w:rPr>
              <w:t>当工程价款支付至合同价款的50%时，开始抵扣工程预付款，每次扣除当月进度款的60%，扣完为止。</w:t>
            </w:r>
          </w:p>
        </w:tc>
        <w:tc>
          <w:tcPr>
            <w:tcW w:w="4247" w:type="dxa"/>
            <w:tcBorders>
              <w:top w:val="single" w:color="000000" w:sz="4" w:space="0"/>
              <w:left w:val="single" w:color="000000" w:sz="4" w:space="0"/>
              <w:bottom w:val="single" w:color="000000" w:sz="4" w:space="0"/>
              <w:right w:val="single" w:color="000000" w:sz="4" w:space="0"/>
            </w:tcBorders>
          </w:tcPr>
          <w:p w14:paraId="79ABBB35">
            <w:pPr>
              <w:widowControl/>
              <w:adjustRightInd w:val="0"/>
              <w:snapToGrid w:val="0"/>
              <w:rPr>
                <w:rFonts w:hint="eastAsia" w:asciiTheme="majorEastAsia" w:hAnsiTheme="majorEastAsia" w:eastAsiaTheme="majorEastAsia" w:cstheme="majorEastAsia"/>
                <w:color w:val="000000" w:themeColor="text1"/>
                <w:sz w:val="18"/>
                <w:szCs w:val="18"/>
                <w14:textFill>
                  <w14:solidFill>
                    <w14:schemeClr w14:val="tx1"/>
                  </w14:solidFill>
                </w14:textFill>
              </w:rPr>
            </w:pPr>
            <w:r>
              <w:rPr>
                <w:rFonts w:hint="eastAsia" w:asciiTheme="majorEastAsia" w:hAnsiTheme="majorEastAsia" w:eastAsiaTheme="majorEastAsia" w:cstheme="majorEastAsia"/>
                <w:color w:val="000000" w:themeColor="text1"/>
                <w:sz w:val="18"/>
                <w:szCs w:val="18"/>
                <w14:textFill>
                  <w14:solidFill>
                    <w14:schemeClr w14:val="tx1"/>
                  </w14:solidFill>
                </w14:textFill>
              </w:rPr>
              <w:t>17.2.3 款预付款扣回与还清</w:t>
            </w:r>
          </w:p>
          <w:p w14:paraId="471CEBD6">
            <w:pPr>
              <w:widowControl/>
              <w:adjustRightInd w:val="0"/>
              <w:snapToGrid w:val="0"/>
              <w:rPr>
                <w:rFonts w:hint="eastAsia" w:asciiTheme="majorEastAsia" w:hAnsiTheme="majorEastAsia" w:eastAsiaTheme="majorEastAsia" w:cstheme="majorEastAsia"/>
                <w:color w:val="000000" w:themeColor="text1"/>
                <w:sz w:val="18"/>
                <w:szCs w:val="18"/>
                <w14:textFill>
                  <w14:solidFill>
                    <w14:schemeClr w14:val="tx1"/>
                  </w14:solidFill>
                </w14:textFill>
              </w:rPr>
            </w:pPr>
            <w:r>
              <w:rPr>
                <w:rFonts w:hint="eastAsia" w:asciiTheme="majorEastAsia" w:hAnsiTheme="majorEastAsia" w:eastAsiaTheme="majorEastAsia" w:cstheme="majorEastAsia"/>
                <w:color w:val="000000" w:themeColor="text1"/>
                <w:sz w:val="18"/>
                <w:szCs w:val="18"/>
                <w14:textFill>
                  <w14:solidFill>
                    <w14:schemeClr w14:val="tx1"/>
                  </w14:solidFill>
                </w14:textFill>
              </w:rPr>
              <w:t>预付款的扣回办法如下：</w:t>
            </w:r>
          </w:p>
          <w:p w14:paraId="4A1BEDB8">
            <w:pPr>
              <w:snapToGrid w:val="0"/>
              <w:spacing w:line="240" w:lineRule="atLeast"/>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color w:val="000000"/>
                <w:sz w:val="18"/>
                <w:szCs w:val="18"/>
              </w:rPr>
              <w:t>发包人在支付承包人的工程进度款时，扣除当期工程进度款(扣除暂列金额和安全文明措施费)的20%用于抵扣工程预付款，剩下的80%为承包人当期应得工程进度款，其中人工费用应拨付至承包人开设的农民工工资款专用账户。承包人在申报最后一笔进度款时，应将剩余未抵扣完的预付款一次性抵扣完毕。</w:t>
            </w:r>
          </w:p>
        </w:tc>
        <w:tc>
          <w:tcPr>
            <w:tcW w:w="475" w:type="dxa"/>
            <w:tcBorders>
              <w:top w:val="single" w:color="000000" w:sz="4" w:space="0"/>
              <w:left w:val="single" w:color="000000" w:sz="4" w:space="0"/>
              <w:bottom w:val="single" w:color="000000" w:sz="4" w:space="0"/>
              <w:right w:val="nil"/>
            </w:tcBorders>
            <w:vAlign w:val="center"/>
          </w:tcPr>
          <w:p w14:paraId="2E10115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73FB068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2793" w:hRule="atLeast"/>
          <w:jc w:val="center"/>
        </w:trPr>
        <w:tc>
          <w:tcPr>
            <w:tcW w:w="1437" w:type="dxa"/>
            <w:tcBorders>
              <w:top w:val="single" w:color="000000" w:sz="4" w:space="0"/>
              <w:left w:val="nil"/>
              <w:bottom w:val="single" w:color="000000" w:sz="4" w:space="0"/>
              <w:right w:val="single" w:color="000000" w:sz="4" w:space="0"/>
            </w:tcBorders>
            <w:vAlign w:val="center"/>
          </w:tcPr>
          <w:p w14:paraId="0FD0B964">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b w:val="0"/>
                <w:bCs w:val="0"/>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8DA6378">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专用条款第17.2.5条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22A25D5F">
            <w:pPr>
              <w:snapToGrid w:val="0"/>
              <w:spacing w:line="240" w:lineRule="atLeast"/>
              <w:ind w:firstLine="360"/>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17.2.5 （增加）：</w:t>
            </w:r>
          </w:p>
          <w:p w14:paraId="342C4D91">
            <w:pPr>
              <w:snapToGrid w:val="0"/>
              <w:spacing w:line="240" w:lineRule="atLeast"/>
              <w:ind w:firstLine="360"/>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符合合同约定的预付款支付条件时，承包人向监理人报送符合发包人要求的预付款支付报审表，经监理人核实、签证并签署意见后，由承包人报发包人，发包人收到上述资料后，在7个工作日内完成审核批准并通知承包人提供有效发票或税务收据，发包人收到承包人提供的有效发票或税务收据等票据后7个工作日内将预付款支付给承包人。</w:t>
            </w:r>
          </w:p>
          <w:p w14:paraId="0F763F31">
            <w:pPr>
              <w:snapToGrid w:val="0"/>
              <w:spacing w:line="240" w:lineRule="atLeast"/>
              <w:ind w:firstLine="360"/>
              <w:jc w:val="left"/>
              <w:rPr>
                <w:rStyle w:val="37"/>
                <w:rFonts w:hint="eastAsia" w:asciiTheme="majorEastAsia" w:hAnsiTheme="majorEastAsia" w:eastAsiaTheme="majorEastAsia" w:cstheme="majorEastAsia"/>
                <w:b w:val="0"/>
                <w:bCs w:val="0"/>
                <w:color w:val="auto"/>
                <w:kern w:val="0"/>
                <w:sz w:val="18"/>
                <w:szCs w:val="18"/>
                <w:highlight w:val="none"/>
              </w:rPr>
            </w:pPr>
          </w:p>
        </w:tc>
        <w:tc>
          <w:tcPr>
            <w:tcW w:w="4247" w:type="dxa"/>
            <w:tcBorders>
              <w:top w:val="single" w:color="000000" w:sz="4" w:space="0"/>
              <w:left w:val="single" w:color="000000" w:sz="4" w:space="0"/>
              <w:bottom w:val="single" w:color="000000" w:sz="4" w:space="0"/>
              <w:right w:val="single" w:color="000000" w:sz="4" w:space="0"/>
            </w:tcBorders>
            <w:vAlign w:val="center"/>
          </w:tcPr>
          <w:p w14:paraId="5DDD9F33">
            <w:pPr>
              <w:snapToGrid w:val="0"/>
              <w:spacing w:line="240" w:lineRule="atLeast"/>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修改为：</w:t>
            </w:r>
          </w:p>
          <w:p w14:paraId="2358543A">
            <w:pPr>
              <w:snapToGrid w:val="0"/>
              <w:spacing w:line="240" w:lineRule="atLeast"/>
              <w:ind w:firstLine="42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17.2.5 （增加）：</w:t>
            </w:r>
          </w:p>
          <w:p w14:paraId="2FD7DC4F">
            <w:pPr>
              <w:snapToGrid w:val="0"/>
              <w:spacing w:line="240" w:lineRule="atLeast"/>
              <w:ind w:firstLine="42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符合合同约定的预付款支付条件时，承包人向监理人报送符合发包人要求的工程预付款报审表（并将预付农民工工资款和安全文明措施费单独列示），经监理人核实、签证并签署意见后，由承包人报发包人，发包人收到上述资料后，在7个工作日内完成审核批准并通知承包人提供有效发票或符合规定的收据，发包人收到承包人提供的有效发票或符合规定的收据等票据后如期将预付款支付给承包人。</w:t>
            </w:r>
          </w:p>
        </w:tc>
        <w:tc>
          <w:tcPr>
            <w:tcW w:w="475" w:type="dxa"/>
            <w:tcBorders>
              <w:top w:val="single" w:color="000000" w:sz="4" w:space="0"/>
              <w:left w:val="single" w:color="000000" w:sz="4" w:space="0"/>
              <w:bottom w:val="single" w:color="000000" w:sz="4" w:space="0"/>
              <w:right w:val="nil"/>
            </w:tcBorders>
            <w:vAlign w:val="center"/>
          </w:tcPr>
          <w:p w14:paraId="7A4F37E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3B90937E">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733" w:hRule="atLeast"/>
          <w:jc w:val="center"/>
        </w:trPr>
        <w:tc>
          <w:tcPr>
            <w:tcW w:w="1437" w:type="dxa"/>
            <w:tcBorders>
              <w:top w:val="single" w:color="000000" w:sz="4" w:space="0"/>
              <w:left w:val="nil"/>
              <w:bottom w:val="single" w:color="000000" w:sz="4" w:space="0"/>
              <w:right w:val="single" w:color="000000" w:sz="4" w:space="0"/>
            </w:tcBorders>
            <w:vAlign w:val="center"/>
          </w:tcPr>
          <w:p w14:paraId="3363A8E6">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b w:val="0"/>
                <w:bCs w:val="0"/>
                <w:color w:val="auto"/>
                <w:kern w:val="0"/>
                <w:sz w:val="18"/>
                <w:szCs w:val="18"/>
                <w:highlight w:val="none"/>
              </w:rPr>
            </w:pPr>
          </w:p>
        </w:tc>
        <w:tc>
          <w:tcPr>
            <w:tcW w:w="992" w:type="dxa"/>
            <w:vAlign w:val="center"/>
          </w:tcPr>
          <w:p w14:paraId="5A0577BA">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kern w:val="0"/>
                <w:sz w:val="18"/>
                <w:szCs w:val="18"/>
                <w:highlight w:val="none"/>
              </w:rPr>
              <w:t>专用条款17.3.2（补充）</w:t>
            </w:r>
          </w:p>
        </w:tc>
        <w:tc>
          <w:tcPr>
            <w:tcW w:w="4066" w:type="dxa"/>
            <w:vAlign w:val="center"/>
          </w:tcPr>
          <w:p w14:paraId="2A37CA34">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17.3.2 进度付款申请单（补充）：</w:t>
            </w:r>
          </w:p>
          <w:p w14:paraId="4EB7A362">
            <w:pPr>
              <w:adjustRightInd w:val="0"/>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sz w:val="18"/>
                <w:szCs w:val="18"/>
                <w:highlight w:val="none"/>
              </w:rPr>
              <w:t>承包人在每次申请进度款时，应向监理人提交符合发包人要求的工程形象进度表、完成投资额统计表、进度款报审表及价款结算单，经监理人核实、签证并签署意见后，由承包人报发包人。</w:t>
            </w:r>
          </w:p>
        </w:tc>
        <w:tc>
          <w:tcPr>
            <w:tcW w:w="4247" w:type="dxa"/>
            <w:vAlign w:val="center"/>
          </w:tcPr>
          <w:p w14:paraId="540D69CB">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17.3.2进度付款申请单（补充）：</w:t>
            </w:r>
          </w:p>
          <w:p w14:paraId="5E1D2AC3">
            <w:pPr>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 xml:space="preserve">工程进度款按照“按月计量，自愿申报”原则进行。承包人在每次申请进度款时，应向监理人提交符合发包人要求的工程形象进度表、完成投资额统计表、进度款报审表及价款结算单，经监理人核实、签证并签署意见后，由承包人报发包人。所申报每期进度款中，应明确所含人工费总额。                                                    工程进度款报审相关表格按照发包人要求的工程进度款申报及审核工作相关规定执行。  </w:t>
            </w:r>
          </w:p>
          <w:p w14:paraId="73C9FDF5">
            <w:pPr>
              <w:spacing w:line="240" w:lineRule="exact"/>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 xml:space="preserve">  安全文明施工费的支付：安全文明施工费按照附件5：《安全协议书》执行，在工程开工支付工程预付款时，承包人可按照签约合同价中安全文明施工费总额的50%申请第一期安全文明措施费，并开具增值税专用发票，其余费用按照施工进度支付，每期申请工程进度款同时单独列明安全文明施工费，可随工程进度款一并开具增值税专用发票。承包人应对安全文明施工费专款专用，在财务账目中单独列项备查，不得挪作他用，否则发包人有权要求其限期改正；逾期未改正的，造成的损失和延误的工期由承包人承担。</w:t>
            </w:r>
          </w:p>
        </w:tc>
        <w:tc>
          <w:tcPr>
            <w:tcW w:w="475" w:type="dxa"/>
            <w:tcBorders>
              <w:top w:val="single" w:color="000000" w:sz="4" w:space="0"/>
              <w:left w:val="single" w:color="000000" w:sz="4" w:space="0"/>
              <w:bottom w:val="single" w:color="000000" w:sz="4" w:space="0"/>
              <w:right w:val="nil"/>
            </w:tcBorders>
            <w:vAlign w:val="center"/>
          </w:tcPr>
          <w:p w14:paraId="570AE823">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316B394C">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733" w:hRule="atLeast"/>
          <w:jc w:val="center"/>
        </w:trPr>
        <w:tc>
          <w:tcPr>
            <w:tcW w:w="1437" w:type="dxa"/>
            <w:tcBorders>
              <w:top w:val="single" w:color="000000" w:sz="4" w:space="0"/>
              <w:left w:val="nil"/>
              <w:bottom w:val="single" w:color="000000" w:sz="4" w:space="0"/>
              <w:right w:val="single" w:color="000000" w:sz="4" w:space="0"/>
            </w:tcBorders>
            <w:vAlign w:val="center"/>
          </w:tcPr>
          <w:p w14:paraId="7EC9E3A6">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AED5F4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专用条款第17.3.3条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51C15CED">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17.3.3 （1）修改为： </w:t>
            </w:r>
          </w:p>
          <w:p w14:paraId="1D4FD5BD">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监理人在收到承包人进度付款申请单以及相应的支持性证明文件后的14天内完成核查，提出发包人到期应支付给承包人的金额以及相应的支持性材料，并签署意见。监理人有权扣发承包人未能按照合同要求履行任何工作或义务的相应金额。</w:t>
            </w:r>
          </w:p>
          <w:p w14:paraId="50C1B735">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17.3.3 （2）修改为：</w:t>
            </w:r>
          </w:p>
          <w:p w14:paraId="207BB855">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包人收到上述资料后，如确认资料符合要求，应在14个工作日内完成审核并通知监理人向承包人出具经发包人签认的进度付款证书。如资料不合要求，发包人应及时通知承包人，由承包人将资料修改后重新申报。发包人应在签发进度付款证书后的28天内，将进度应付款支付给承包人。</w:t>
            </w:r>
          </w:p>
          <w:p w14:paraId="558A413B">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17.3.3 （5）（增加）：</w:t>
            </w:r>
          </w:p>
          <w:p w14:paraId="283E7C93">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进度付款证书和支付时间的其他约定如下：</w:t>
            </w:r>
          </w:p>
          <w:p w14:paraId="4D64B250">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发包人应在签发进度付款证书后的</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天内，向承包人按不高于阶段结算计量工程价款的90%向承包人支付工程进度款。</w:t>
            </w:r>
          </w:p>
        </w:tc>
        <w:tc>
          <w:tcPr>
            <w:tcW w:w="4247" w:type="dxa"/>
            <w:tcBorders>
              <w:top w:val="single" w:color="000000" w:sz="4" w:space="0"/>
              <w:left w:val="single" w:color="000000" w:sz="4" w:space="0"/>
              <w:bottom w:val="single" w:color="000000" w:sz="4" w:space="0"/>
              <w:right w:val="single" w:color="000000" w:sz="4" w:space="0"/>
            </w:tcBorders>
            <w:vAlign w:val="center"/>
          </w:tcPr>
          <w:p w14:paraId="65037281">
            <w:pPr>
              <w:spacing w:line="240" w:lineRule="exact"/>
              <w:jc w:val="left"/>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5A1F5ECC">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17.3.3 修改为：</w:t>
            </w:r>
          </w:p>
          <w:p w14:paraId="1E38D612">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（1）符合合同规定的进度款支付条件时，承包人编制工程进度款报审表和工程价款结算单等资料报送监理人，经监理人对工程价款结算单中的工程量进行核实并签章后，于每月</w:t>
            </w:r>
            <w:r>
              <w:rPr>
                <w:rStyle w:val="37"/>
                <w:rFonts w:hint="eastAsia" w:asciiTheme="majorEastAsia" w:hAnsiTheme="majorEastAsia" w:eastAsiaTheme="majorEastAsia" w:cstheme="majorEastAsia"/>
                <w:color w:val="auto"/>
                <w:kern w:val="0"/>
                <w:sz w:val="18"/>
                <w:szCs w:val="18"/>
                <w:highlight w:val="none"/>
                <w:lang w:val="en-US" w:eastAsia="zh-CN"/>
              </w:rPr>
              <w:t>20</w:t>
            </w:r>
            <w:r>
              <w:rPr>
                <w:rStyle w:val="37"/>
                <w:rFonts w:hint="eastAsia" w:asciiTheme="majorEastAsia" w:hAnsiTheme="majorEastAsia" w:eastAsiaTheme="majorEastAsia" w:cstheme="majorEastAsia"/>
                <w:color w:val="auto"/>
                <w:kern w:val="0"/>
                <w:sz w:val="18"/>
                <w:szCs w:val="18"/>
                <w:highlight w:val="none"/>
              </w:rPr>
              <w:t>日前报送发包人；发包人对承包人上报的付款资料中工程量和相关价款的真实性、准确性进行复核并签章后，编制次月月度资金预算申请表，按规定时间上报国网特高压部。同时通知承包人按核定后金额开具增值税专用发票，及时提供给发包人。</w:t>
            </w:r>
          </w:p>
          <w:p w14:paraId="2E7AAF4B">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（2）发包人于</w:t>
            </w:r>
            <w:r>
              <w:rPr>
                <w:rStyle w:val="37"/>
                <w:rFonts w:hint="eastAsia" w:asciiTheme="majorEastAsia" w:hAnsiTheme="majorEastAsia" w:eastAsiaTheme="majorEastAsia" w:cstheme="majorEastAsia"/>
                <w:color w:val="auto"/>
                <w:kern w:val="0"/>
                <w:sz w:val="18"/>
                <w:szCs w:val="18"/>
                <w:highlight w:val="none"/>
                <w:lang w:val="en-US" w:eastAsia="zh-CN"/>
              </w:rPr>
              <w:t>次</w:t>
            </w:r>
            <w:r>
              <w:rPr>
                <w:rStyle w:val="37"/>
                <w:rFonts w:hint="eastAsia" w:asciiTheme="majorEastAsia" w:hAnsiTheme="majorEastAsia" w:eastAsiaTheme="majorEastAsia" w:cstheme="majorEastAsia"/>
                <w:color w:val="auto"/>
                <w:kern w:val="0"/>
                <w:sz w:val="18"/>
                <w:szCs w:val="18"/>
                <w:highlight w:val="none"/>
              </w:rPr>
              <w:t>月月末前将工程款支付给承包人。</w:t>
            </w:r>
          </w:p>
          <w:p w14:paraId="237E1AFF">
            <w:pPr>
              <w:snapToGrid w:val="0"/>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w:t>
            </w:r>
            <w:r>
              <w:rPr>
                <w:rFonts w:hint="eastAsia" w:asciiTheme="majorEastAsia" w:hAnsiTheme="majorEastAsia" w:eastAsiaTheme="majorEastAsia" w:cstheme="majorEastAsia"/>
                <w:color w:val="auto"/>
                <w:sz w:val="18"/>
                <w:szCs w:val="18"/>
                <w:highlight w:val="none"/>
              </w:rPr>
              <w:t>根据《安全协议书》有关约定，承包人应在每月工程进度款支付申请同时单独申报安全文明施工费，在工程验收和完成结算审价前，安全文明施工费累计申请金额应控制在签约合同价中安全文明施工费总额范围内。</w:t>
            </w:r>
          </w:p>
          <w:p w14:paraId="6363DAED">
            <w:pPr>
              <w:spacing w:line="240" w:lineRule="exact"/>
              <w:ind w:firstLine="360" w:firstLineChars="200"/>
              <w:jc w:val="left"/>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w:t>
            </w:r>
            <w:r>
              <w:rPr>
                <w:rStyle w:val="37"/>
                <w:rFonts w:hint="eastAsia" w:asciiTheme="majorEastAsia" w:hAnsiTheme="majorEastAsia" w:eastAsiaTheme="majorEastAsia" w:cstheme="majorEastAsia"/>
                <w:color w:val="auto"/>
                <w:kern w:val="0"/>
                <w:sz w:val="18"/>
                <w:szCs w:val="18"/>
                <w:highlight w:val="none"/>
                <w:lang w:val="en-US" w:eastAsia="zh-CN"/>
              </w:rPr>
              <w:t>4</w:t>
            </w:r>
            <w:r>
              <w:rPr>
                <w:rStyle w:val="37"/>
                <w:rFonts w:hint="eastAsia" w:asciiTheme="majorEastAsia" w:hAnsiTheme="majorEastAsia" w:eastAsiaTheme="majorEastAsia" w:cstheme="majorEastAsia"/>
                <w:color w:val="auto"/>
                <w:kern w:val="0"/>
                <w:sz w:val="18"/>
                <w:szCs w:val="18"/>
                <w:highlight w:val="none"/>
              </w:rPr>
              <w:t>）在工程验收和完成结算审价前，工程预付款和工程进度款支付总额应不高于已完工程价款的85％。</w:t>
            </w:r>
          </w:p>
          <w:p w14:paraId="55252B3E">
            <w:pPr>
              <w:adjustRightInd w:val="0"/>
              <w:snapToGrid w:val="0"/>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w:t>
            </w:r>
            <w:r>
              <w:rPr>
                <w:rStyle w:val="37"/>
                <w:rFonts w:hint="eastAsia" w:asciiTheme="majorEastAsia" w:hAnsiTheme="majorEastAsia" w:eastAsiaTheme="majorEastAsia" w:cstheme="majorEastAsia"/>
                <w:color w:val="auto"/>
                <w:kern w:val="0"/>
                <w:sz w:val="18"/>
                <w:szCs w:val="18"/>
                <w:highlight w:val="none"/>
                <w:lang w:val="en-US" w:eastAsia="zh-CN"/>
              </w:rPr>
              <w:t>5</w:t>
            </w:r>
            <w:r>
              <w:rPr>
                <w:rStyle w:val="37"/>
                <w:rFonts w:hint="eastAsia" w:asciiTheme="majorEastAsia" w:hAnsiTheme="majorEastAsia" w:eastAsiaTheme="majorEastAsia" w:cstheme="majorEastAsia"/>
                <w:color w:val="auto"/>
                <w:kern w:val="0"/>
                <w:sz w:val="18"/>
                <w:szCs w:val="18"/>
                <w:highlight w:val="none"/>
              </w:rPr>
              <w:t>）进度付款证书和支付时间的其他约定如下：发包人应在签发进度付款证书后的60天内，向承包人按不高于阶段结算计量工程价款的 90%向承包人支付工程进度款</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lang w:val="en-US" w:eastAsia="zh-CN"/>
              </w:rPr>
              <w:t>且</w:t>
            </w:r>
            <w:r>
              <w:rPr>
                <w:rStyle w:val="37"/>
                <w:rFonts w:hint="eastAsia" w:asciiTheme="majorEastAsia" w:hAnsiTheme="majorEastAsia" w:eastAsiaTheme="majorEastAsia" w:cstheme="majorEastAsia"/>
                <w:color w:val="auto"/>
                <w:kern w:val="0"/>
                <w:sz w:val="18"/>
                <w:szCs w:val="18"/>
                <w:highlight w:val="none"/>
              </w:rPr>
              <w:t>工程进度款支付应不低于已完成工程价款的80%。结算前累计支付进度款总额(包含预付款)不高于签约合同价的85%。剩余工程价款应在工程验收并完成结算批复后，以经确认的竣工结算合同为结算依据，扣除合同约定的工程质保金后办理单项工程结算支付申请手续。发包人负责核实承包人提供的相关结算款申请资料后，如期办理工程结算款的支付手续。在结算过程中，若发生进度款支付超出实际已完成工程价款的情况，承包人应按规定在结算后30日内向发包人返还多收到的工程进度款。。</w:t>
            </w:r>
          </w:p>
        </w:tc>
        <w:tc>
          <w:tcPr>
            <w:tcW w:w="475" w:type="dxa"/>
            <w:tcBorders>
              <w:top w:val="single" w:color="000000" w:sz="4" w:space="0"/>
              <w:left w:val="single" w:color="000000" w:sz="4" w:space="0"/>
              <w:bottom w:val="single" w:color="000000" w:sz="4" w:space="0"/>
              <w:right w:val="nil"/>
            </w:tcBorders>
            <w:vAlign w:val="center"/>
          </w:tcPr>
          <w:p w14:paraId="7FD2A6F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w:t>
            </w:r>
          </w:p>
        </w:tc>
      </w:tr>
      <w:tr w14:paraId="7F37B953">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733" w:hRule="atLeast"/>
          <w:jc w:val="center"/>
        </w:trPr>
        <w:tc>
          <w:tcPr>
            <w:tcW w:w="1437" w:type="dxa"/>
            <w:tcBorders>
              <w:top w:val="single" w:color="000000" w:sz="4" w:space="0"/>
              <w:left w:val="nil"/>
              <w:bottom w:val="single" w:color="000000" w:sz="4" w:space="0"/>
              <w:right w:val="single" w:color="000000" w:sz="4" w:space="0"/>
            </w:tcBorders>
            <w:vAlign w:val="center"/>
          </w:tcPr>
          <w:p w14:paraId="1035767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317C50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专用条款第17.3.</w:t>
            </w:r>
            <w:r>
              <w:rPr>
                <w:rStyle w:val="37"/>
                <w:rFonts w:hint="eastAsia" w:asciiTheme="majorEastAsia" w:hAnsiTheme="majorEastAsia" w:eastAsiaTheme="majorEastAsia" w:cstheme="majorEastAsia"/>
                <w:color w:val="auto"/>
                <w:kern w:val="0"/>
                <w:sz w:val="18"/>
                <w:szCs w:val="18"/>
                <w:highlight w:val="none"/>
                <w:lang w:val="en-US" w:eastAsia="zh-CN"/>
              </w:rPr>
              <w:t>5</w:t>
            </w:r>
            <w:r>
              <w:rPr>
                <w:rStyle w:val="37"/>
                <w:rFonts w:hint="eastAsia" w:asciiTheme="majorEastAsia" w:hAnsiTheme="majorEastAsia" w:eastAsiaTheme="majorEastAsia" w:cstheme="majorEastAsia"/>
                <w:color w:val="auto"/>
                <w:kern w:val="0"/>
                <w:sz w:val="18"/>
                <w:szCs w:val="18"/>
                <w:highlight w:val="none"/>
              </w:rPr>
              <w:t>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0A161D6B">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17.3.5 分部结算（增加）：</w:t>
            </w:r>
          </w:p>
          <w:p w14:paraId="6782BC7F">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（1）承包人应严格执行国家电网有限公司分部结算相关规定，并按下列约定的时间、要求上报分部结算资料：</w:t>
            </w:r>
          </w:p>
          <w:p w14:paraId="556B6CB5">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报送时间：                 。</w:t>
            </w:r>
          </w:p>
          <w:p w14:paraId="397673E2">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报送要求：  </w:t>
            </w:r>
            <w:r>
              <w:rPr>
                <w:rStyle w:val="37"/>
                <w:rFonts w:hint="eastAsia" w:asciiTheme="majorEastAsia" w:hAnsiTheme="majorEastAsia" w:eastAsiaTheme="majorEastAsia" w:cstheme="majorEastAsia"/>
                <w:color w:val="auto"/>
                <w:kern w:val="0"/>
                <w:sz w:val="18"/>
                <w:szCs w:val="18"/>
                <w:highlight w:val="none"/>
                <w:lang w:val="en-US" w:eastAsia="zh-CN"/>
              </w:rPr>
              <w:t xml:space="preserve">         </w:t>
            </w:r>
            <w:r>
              <w:rPr>
                <w:rStyle w:val="37"/>
                <w:rFonts w:hint="eastAsia" w:asciiTheme="majorEastAsia" w:hAnsiTheme="majorEastAsia" w:eastAsiaTheme="majorEastAsia" w:cstheme="majorEastAsia"/>
                <w:color w:val="auto"/>
                <w:kern w:val="0"/>
                <w:sz w:val="18"/>
                <w:szCs w:val="18"/>
                <w:highlight w:val="none"/>
              </w:rPr>
              <w:t xml:space="preserve">      。</w:t>
            </w:r>
          </w:p>
        </w:tc>
        <w:tc>
          <w:tcPr>
            <w:tcW w:w="4247" w:type="dxa"/>
            <w:tcBorders>
              <w:top w:val="single" w:color="000000" w:sz="4" w:space="0"/>
              <w:left w:val="single" w:color="000000" w:sz="4" w:space="0"/>
              <w:bottom w:val="single" w:color="000000" w:sz="4" w:space="0"/>
              <w:right w:val="single" w:color="000000" w:sz="4" w:space="0"/>
            </w:tcBorders>
            <w:vAlign w:val="center"/>
          </w:tcPr>
          <w:p w14:paraId="2AD8658B">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17.3.5 分部结算（增加）：</w:t>
            </w:r>
          </w:p>
          <w:p w14:paraId="79D144BA">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（1）承包人应严格执行国家电网有限公司分部结算相关规定，并按下列约定的时间、要求上报分部结算资料：</w:t>
            </w:r>
          </w:p>
          <w:p w14:paraId="7D08E30A">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报送时间：    按业主要求      。</w:t>
            </w:r>
          </w:p>
          <w:p w14:paraId="28D8592B">
            <w:pPr>
              <w:adjustRightInd w:val="0"/>
              <w:snapToGrid w:val="0"/>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报送要求：    按业主要求      。</w:t>
            </w:r>
          </w:p>
        </w:tc>
        <w:tc>
          <w:tcPr>
            <w:tcW w:w="475" w:type="dxa"/>
            <w:tcBorders>
              <w:top w:val="single" w:color="000000" w:sz="4" w:space="0"/>
              <w:left w:val="single" w:color="000000" w:sz="4" w:space="0"/>
              <w:bottom w:val="single" w:color="000000" w:sz="4" w:space="0"/>
              <w:right w:val="nil"/>
            </w:tcBorders>
            <w:vAlign w:val="center"/>
          </w:tcPr>
          <w:p w14:paraId="5539ED9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99CAAF1">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182" w:hRule="atLeast"/>
          <w:jc w:val="center"/>
        </w:trPr>
        <w:tc>
          <w:tcPr>
            <w:tcW w:w="1437" w:type="dxa"/>
            <w:tcBorders>
              <w:top w:val="single" w:color="000000" w:sz="4" w:space="0"/>
              <w:left w:val="nil"/>
              <w:bottom w:val="double" w:color="000000" w:sz="4" w:space="0"/>
              <w:right w:val="single" w:color="000000" w:sz="4" w:space="0"/>
            </w:tcBorders>
            <w:vAlign w:val="center"/>
          </w:tcPr>
          <w:p w14:paraId="56B42B44">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double" w:color="000000" w:sz="4" w:space="0"/>
              <w:right w:val="single" w:color="000000" w:sz="4" w:space="0"/>
            </w:tcBorders>
            <w:vAlign w:val="center"/>
          </w:tcPr>
          <w:p w14:paraId="305F7E9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专用条款第17.4.1条</w:t>
            </w:r>
          </w:p>
        </w:tc>
        <w:tc>
          <w:tcPr>
            <w:tcW w:w="4066" w:type="dxa"/>
            <w:tcBorders>
              <w:top w:val="single" w:color="000000" w:sz="4" w:space="0"/>
              <w:left w:val="single" w:color="000000" w:sz="4" w:space="0"/>
              <w:bottom w:val="double" w:color="000000" w:sz="4" w:space="0"/>
              <w:right w:val="single" w:color="000000" w:sz="4" w:space="0"/>
            </w:tcBorders>
            <w:vAlign w:val="center"/>
          </w:tcPr>
          <w:p w14:paraId="098827C8">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17.4.1 质量保证金为合同结算价格的3％。质量保证金有效期限从颁发工程竣工证书后至承包人完成工程并修补全部缺陷，且发包人根据有关条款发出保修证书。承包人应在竣工结算报告经发、承包双方确认后30日内，向发包人提供质量保证金保函或工程质量保证保险。承包人提供质量保证金保函的，质量保证金保函应为中国注册的具有担保经营业务资格的银行或有关金融机构开具；承包人投保工程质量保证保险的，保险公司应具有建设工程类保证保险经营业务资格，且相关建设工程质量保证保险产品应经银行保险监管部门审批或备案。</w:t>
            </w:r>
          </w:p>
          <w:p w14:paraId="5B4E2CBF">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包人在收到质量保证金保函或工程质量保证保险后向承包人支付质量保证金。逾期不提交或者质量保证金保函或工程质量保证保险不符合要求的，视为承包人选择以现金保证金替代质量保证金保函或工程质量保证保险，发包人将向承包人支付扣除上述保证金后的剩余结算金额。质量保证金应在结算批复下达后一次性从竣工结算款中预留。</w:t>
            </w:r>
          </w:p>
          <w:p w14:paraId="41931411">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p>
        </w:tc>
        <w:tc>
          <w:tcPr>
            <w:tcW w:w="4247" w:type="dxa"/>
            <w:tcBorders>
              <w:top w:val="single" w:color="000000" w:sz="4" w:space="0"/>
              <w:left w:val="single" w:color="000000" w:sz="4" w:space="0"/>
              <w:bottom w:val="double" w:color="000000" w:sz="4" w:space="0"/>
              <w:right w:val="single" w:color="000000" w:sz="4" w:space="0"/>
            </w:tcBorders>
            <w:vAlign w:val="center"/>
          </w:tcPr>
          <w:p w14:paraId="71A7A9BB">
            <w:pPr>
              <w:adjustRightInd w:val="0"/>
              <w:spacing w:line="240" w:lineRule="exact"/>
              <w:jc w:val="left"/>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2245BAE1">
            <w:pPr>
              <w:adjustRightInd w:val="0"/>
              <w:snapToGrid w:val="0"/>
              <w:spacing w:line="240" w:lineRule="atLeast"/>
              <w:ind w:firstLine="360" w:firstLineChars="200"/>
              <w:jc w:val="left"/>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17.4.1</w:t>
            </w:r>
            <w:r>
              <w:rPr>
                <w:rFonts w:hint="eastAsia" w:asciiTheme="majorEastAsia" w:hAnsiTheme="majorEastAsia" w:eastAsiaTheme="majorEastAsia" w:cstheme="majorEastAsia"/>
                <w:color w:val="auto"/>
                <w:sz w:val="18"/>
                <w:szCs w:val="18"/>
                <w:highlight w:val="none"/>
              </w:rPr>
              <w:t>质量保证金为合同结算价格的3％。质量保证金有效期限为工程竣工验收签证书签发之日起</w:t>
            </w:r>
            <w:r>
              <w:rPr>
                <w:rFonts w:hint="eastAsia" w:asciiTheme="majorEastAsia" w:hAnsiTheme="majorEastAsia" w:eastAsiaTheme="majorEastAsia" w:cstheme="majorEastAsia"/>
                <w:color w:val="auto"/>
                <w:sz w:val="18"/>
                <w:szCs w:val="18"/>
                <w:highlight w:val="none"/>
                <w:lang w:val="en-US" w:eastAsia="zh-CN"/>
              </w:rPr>
              <w:t>24</w:t>
            </w:r>
            <w:r>
              <w:rPr>
                <w:rFonts w:hint="eastAsia" w:asciiTheme="majorEastAsia" w:hAnsiTheme="majorEastAsia" w:eastAsiaTheme="majorEastAsia" w:cstheme="majorEastAsia"/>
                <w:color w:val="auto"/>
                <w:sz w:val="18"/>
                <w:szCs w:val="18"/>
                <w:highlight w:val="none"/>
              </w:rPr>
              <w:t>个月，且承包人修补完成工程全部缺陷。</w:t>
            </w:r>
          </w:p>
          <w:p w14:paraId="0627DD7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sz w:val="18"/>
                <w:szCs w:val="18"/>
                <w:highlight w:val="none"/>
              </w:rPr>
              <w:t>承包人应在施工结算书签订后30日内，向发包人提供质量保证金保函或工程质量保证保险。承包人提供质量保证金保函的，质量保证金保函应为中国注册的具有担保经营业务资格的银行或有关金融机构开具；承包人投保工程质量保证保险的，保险公司应具有建设工程类保证保险经营业务资格，且相关建设工程质量保证保险产品应经银行保险监管部门审批或备案。</w:t>
            </w:r>
          </w:p>
          <w:p w14:paraId="681FF274">
            <w:pPr>
              <w:adjustRightInd w:val="0"/>
              <w:snapToGrid w:val="0"/>
              <w:spacing w:line="240" w:lineRule="atLeast"/>
              <w:ind w:firstLine="360" w:firstLineChars="200"/>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发包人在收到质量保证金保函或工程质量保证保险后向承包人支付质量保证金。逾期不提交或者质量保证金保函或工程质量保证保险不符合要求的，视为承包人选择以现金保证金替代质量保证金保函或工程质量保证保险，发包人将向承包人支付扣除上述保证金后的剩余结算金额。</w:t>
            </w:r>
          </w:p>
          <w:p w14:paraId="582C7480">
            <w:pPr>
              <w:adjustRightInd w:val="0"/>
              <w:snapToGrid w:val="0"/>
              <w:spacing w:line="240" w:lineRule="atLeast"/>
              <w:ind w:firstLine="360" w:firstLineChars="200"/>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符合合同约定的质量保证金支付条件时，承包人向监理人报送符合发包人要求的工程保证金付款报审表、保证金收款收据等付款手续，经监理人审查并签署意见后，承包人按时将手续报送发包人，发包人审核无误后，将质量保证金保函退还承包人或于付款月月末将预留的现金保证金支付给承包人。</w:t>
            </w:r>
          </w:p>
        </w:tc>
        <w:tc>
          <w:tcPr>
            <w:tcW w:w="475" w:type="dxa"/>
            <w:tcBorders>
              <w:top w:val="single" w:color="000000" w:sz="4" w:space="0"/>
              <w:left w:val="single" w:color="000000" w:sz="4" w:space="0"/>
              <w:bottom w:val="double" w:color="000000" w:sz="4" w:space="0"/>
              <w:right w:val="nil"/>
            </w:tcBorders>
            <w:vAlign w:val="center"/>
          </w:tcPr>
          <w:p w14:paraId="25FE507B">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4B30230A">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90" w:hRule="atLeast"/>
          <w:jc w:val="center"/>
        </w:trPr>
        <w:tc>
          <w:tcPr>
            <w:tcW w:w="1437" w:type="dxa"/>
            <w:tcBorders>
              <w:top w:val="single" w:color="000000" w:sz="4" w:space="0"/>
              <w:left w:val="nil"/>
              <w:bottom w:val="single" w:color="000000" w:sz="4" w:space="0"/>
              <w:right w:val="single" w:color="000000" w:sz="4" w:space="0"/>
            </w:tcBorders>
            <w:vAlign w:val="center"/>
          </w:tcPr>
          <w:p w14:paraId="14133D2F">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b w:val="0"/>
                <w:bCs w:val="0"/>
                <w:color w:val="auto"/>
                <w:kern w:val="0"/>
                <w:sz w:val="18"/>
                <w:szCs w:val="18"/>
                <w:highlight w:val="none"/>
              </w:rPr>
            </w:pPr>
          </w:p>
        </w:tc>
        <w:tc>
          <w:tcPr>
            <w:tcW w:w="992" w:type="dxa"/>
            <w:vAlign w:val="center"/>
          </w:tcPr>
          <w:p w14:paraId="4B51E7B9">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kern w:val="0"/>
                <w:sz w:val="18"/>
                <w:szCs w:val="18"/>
                <w:highlight w:val="none"/>
              </w:rPr>
              <w:t>专用条款17.4.3</w:t>
            </w:r>
            <w:r>
              <w:rPr>
                <w:rFonts w:hint="eastAsia" w:asciiTheme="majorEastAsia" w:hAnsiTheme="majorEastAsia" w:eastAsiaTheme="majorEastAsia" w:cstheme="majorEastAsia"/>
                <w:b w:val="0"/>
                <w:bCs w:val="0"/>
                <w:snapToGrid w:val="0"/>
                <w:color w:val="auto"/>
                <w:kern w:val="0"/>
                <w:sz w:val="18"/>
                <w:szCs w:val="18"/>
                <w:highlight w:val="none"/>
              </w:rPr>
              <w:t>（补充）</w:t>
            </w:r>
          </w:p>
        </w:tc>
        <w:tc>
          <w:tcPr>
            <w:tcW w:w="4066" w:type="dxa"/>
            <w:vAlign w:val="center"/>
          </w:tcPr>
          <w:p w14:paraId="23122FB1">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17.4.3质量保证金按照以下约定扣减（补充）：</w:t>
            </w:r>
          </w:p>
          <w:p w14:paraId="7A0FB919">
            <w:pPr>
              <w:adjustRightInd w:val="0"/>
              <w:snapToGrid w:val="0"/>
              <w:rPr>
                <w:rFonts w:hint="eastAsia" w:asciiTheme="majorEastAsia" w:hAnsiTheme="majorEastAsia" w:eastAsiaTheme="majorEastAsia" w:cstheme="majorEastAsia"/>
                <w:b w:val="0"/>
                <w:bCs w:val="0"/>
                <w:color w:val="auto"/>
                <w:sz w:val="18"/>
                <w:szCs w:val="18"/>
                <w:highlight w:val="none"/>
              </w:rPr>
            </w:pPr>
          </w:p>
          <w:p w14:paraId="668B80FA">
            <w:pPr>
              <w:adjustRightInd w:val="0"/>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sz w:val="18"/>
                <w:szCs w:val="18"/>
                <w:highlight w:val="none"/>
              </w:rPr>
              <w:t xml:space="preserve">                                                                     。</w:t>
            </w:r>
          </w:p>
        </w:tc>
        <w:tc>
          <w:tcPr>
            <w:tcW w:w="4247" w:type="dxa"/>
            <w:vAlign w:val="center"/>
          </w:tcPr>
          <w:p w14:paraId="55AD1EC5">
            <w:pPr>
              <w:jc w:val="left"/>
              <w:rPr>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kern w:val="0"/>
                <w:sz w:val="18"/>
                <w:szCs w:val="18"/>
                <w:highlight w:val="none"/>
              </w:rPr>
              <w:t xml:space="preserve">17.4.3质量保证金（质量保证金保函）按照以下约定扣减（补充）修改为： </w:t>
            </w:r>
          </w:p>
          <w:p w14:paraId="1272CDAE">
            <w:pPr>
              <w:adjustRightInd w:val="0"/>
              <w:snapToGrid w:val="0"/>
              <w:rPr>
                <w:rFonts w:hint="eastAsia" w:asciiTheme="majorEastAsia" w:hAnsiTheme="majorEastAsia" w:eastAsiaTheme="majorEastAsia" w:cstheme="majorEastAsia"/>
                <w:b w:val="0"/>
                <w:bCs w:val="0"/>
                <w:color w:val="auto"/>
                <w:sz w:val="18"/>
                <w:szCs w:val="18"/>
                <w:highlight w:val="none"/>
                <w:u w:val="single"/>
              </w:rPr>
            </w:pPr>
            <w:r>
              <w:rPr>
                <w:rFonts w:hint="eastAsia" w:asciiTheme="majorEastAsia" w:hAnsiTheme="majorEastAsia" w:eastAsiaTheme="majorEastAsia" w:cstheme="majorEastAsia"/>
                <w:b w:val="0"/>
                <w:bCs w:val="0"/>
                <w:color w:val="auto"/>
                <w:sz w:val="18"/>
                <w:szCs w:val="18"/>
                <w:highlight w:val="none"/>
                <w:u w:val="single"/>
                <w:lang w:eastAsia="zh-CN"/>
              </w:rPr>
              <w:t>（</w:t>
            </w:r>
            <w:r>
              <w:rPr>
                <w:rFonts w:hint="eastAsia" w:asciiTheme="majorEastAsia" w:hAnsiTheme="majorEastAsia" w:eastAsiaTheme="majorEastAsia" w:cstheme="majorEastAsia"/>
                <w:b w:val="0"/>
                <w:bCs w:val="0"/>
                <w:color w:val="auto"/>
                <w:sz w:val="18"/>
                <w:szCs w:val="18"/>
                <w:highlight w:val="none"/>
                <w:u w:val="single"/>
                <w:lang w:val="en-US" w:eastAsia="zh-CN"/>
              </w:rPr>
              <w:t>1</w:t>
            </w:r>
            <w:r>
              <w:rPr>
                <w:rFonts w:hint="eastAsia" w:asciiTheme="majorEastAsia" w:hAnsiTheme="majorEastAsia" w:eastAsiaTheme="majorEastAsia" w:cstheme="majorEastAsia"/>
                <w:b w:val="0"/>
                <w:bCs w:val="0"/>
                <w:color w:val="auto"/>
                <w:sz w:val="18"/>
                <w:szCs w:val="18"/>
                <w:highlight w:val="none"/>
                <w:u w:val="single"/>
                <w:lang w:eastAsia="zh-CN"/>
              </w:rPr>
              <w:t>）</w:t>
            </w:r>
            <w:r>
              <w:rPr>
                <w:rFonts w:hint="eastAsia" w:asciiTheme="majorEastAsia" w:hAnsiTheme="majorEastAsia" w:eastAsiaTheme="majorEastAsia" w:cstheme="majorEastAsia"/>
                <w:b w:val="0"/>
                <w:bCs w:val="0"/>
                <w:color w:val="auto"/>
                <w:sz w:val="18"/>
                <w:szCs w:val="18"/>
                <w:highlight w:val="none"/>
                <w:u w:val="single"/>
              </w:rPr>
              <w:t>质量保证金按照约定扣减完成后一次性支付剩余部分。工程缺陷责任期满，承包人凭相关单位确认保修工作全部完成的“工程质量保证金付款报审表”签字即可申请全额支付工程质量保证金或退还质量保证金保函。</w:t>
            </w:r>
          </w:p>
          <w:p w14:paraId="3664E6E9">
            <w:pPr>
              <w:adjustRightInd w:val="0"/>
              <w:snapToGrid w:val="0"/>
              <w:rPr>
                <w:rFonts w:hint="eastAsia" w:asciiTheme="majorEastAsia" w:hAnsiTheme="majorEastAsia" w:eastAsiaTheme="majorEastAsia" w:cstheme="majorEastAsia"/>
                <w:b w:val="0"/>
                <w:bCs w:val="0"/>
                <w:color w:val="auto"/>
                <w:sz w:val="18"/>
                <w:szCs w:val="18"/>
                <w:highlight w:val="none"/>
                <w:u w:val="single"/>
              </w:rPr>
            </w:pPr>
            <w:r>
              <w:rPr>
                <w:rFonts w:hint="eastAsia" w:asciiTheme="majorEastAsia" w:hAnsiTheme="majorEastAsia" w:eastAsiaTheme="majorEastAsia" w:cstheme="majorEastAsia"/>
                <w:b w:val="0"/>
                <w:bCs w:val="0"/>
                <w:color w:val="auto"/>
                <w:sz w:val="18"/>
                <w:szCs w:val="18"/>
                <w:highlight w:val="none"/>
                <w:u w:val="single"/>
              </w:rPr>
              <w:t>增加：如用质量保证金保函替代工程质量保证金的，保函到期前三个月，承包人开始办理由相关单位签署意见的“工程质量保证金付款报审表”。承包人如不能在质量保证金保函到期前一个月将该表办理完成，则办理保函续期；续期质量保证金保函应不晚于缺陷责任期结束前15天提供，续期时长根据工程具体情况确定，最长不超过一年。如续期保函的提交晚于上述时间点，则发包人则有权向提供保函的各商业银行或财务公司发出无条件扣款通知，办理质量保证金扣款事宜。</w:t>
            </w:r>
          </w:p>
          <w:p w14:paraId="207C3B72">
            <w:pPr>
              <w:adjustRightInd w:val="0"/>
              <w:snapToGrid w:val="0"/>
              <w:rPr>
                <w:rFonts w:hint="eastAsia" w:asciiTheme="majorEastAsia" w:hAnsiTheme="majorEastAsia" w:eastAsiaTheme="majorEastAsia" w:cstheme="majorEastAsia"/>
                <w:b w:val="0"/>
                <w:bCs w:val="0"/>
                <w:color w:val="auto"/>
                <w:sz w:val="18"/>
                <w:szCs w:val="18"/>
                <w:highlight w:val="none"/>
                <w:u w:val="single"/>
              </w:rPr>
            </w:pPr>
            <w:r>
              <w:rPr>
                <w:rFonts w:hint="eastAsia" w:asciiTheme="majorEastAsia" w:hAnsiTheme="majorEastAsia" w:eastAsiaTheme="majorEastAsia" w:cstheme="majorEastAsia"/>
                <w:b w:val="0"/>
                <w:bCs w:val="0"/>
                <w:color w:val="auto"/>
                <w:sz w:val="18"/>
                <w:szCs w:val="18"/>
                <w:highlight w:val="none"/>
                <w:u w:val="single"/>
              </w:rPr>
              <w:t>如每遗留1条承包人责任缺陷，则扣除工程质量保证金的1%。</w:t>
            </w:r>
          </w:p>
          <w:p w14:paraId="21839156">
            <w:pPr>
              <w:adjustRightInd w:val="0"/>
              <w:snapToGrid w:val="0"/>
              <w:rPr>
                <w:rFonts w:hint="eastAsia" w:asciiTheme="majorEastAsia" w:hAnsiTheme="majorEastAsia" w:eastAsiaTheme="majorEastAsia" w:cstheme="majorEastAsia"/>
                <w:b w:val="0"/>
                <w:bCs w:val="0"/>
                <w:color w:val="auto"/>
                <w:sz w:val="18"/>
                <w:szCs w:val="18"/>
                <w:highlight w:val="none"/>
                <w:u w:val="single"/>
              </w:rPr>
            </w:pPr>
            <w:r>
              <w:rPr>
                <w:rFonts w:hint="eastAsia" w:asciiTheme="majorEastAsia" w:hAnsiTheme="majorEastAsia" w:eastAsiaTheme="majorEastAsia" w:cstheme="majorEastAsia"/>
                <w:b w:val="0"/>
                <w:bCs w:val="0"/>
                <w:color w:val="auto"/>
                <w:sz w:val="18"/>
                <w:szCs w:val="18"/>
                <w:highlight w:val="none"/>
                <w:u w:val="single"/>
              </w:rPr>
              <w:t>（2）工程档案自查、预验收以及专项验收等档案专项检查工作配合不到位，且发现问题，未按要求进行整改闭环，则扣除质量保证金的10%；工程竣工后，未按规定办理完成竣工资料归档移交工作，竣工资料的准确性、规范性、系统性不满足档案管理要求，则扣除质量保证金的10%；在项目档案专项验收检查中，因承包商自身资料问题，对项目管理造成不良影响，则扣除质量保证金20%。</w:t>
            </w:r>
          </w:p>
          <w:p w14:paraId="6A4AE451">
            <w:pPr>
              <w:adjustRightInd w:val="0"/>
              <w:snapToGrid w:val="0"/>
              <w:rPr>
                <w:rFonts w:hint="eastAsia" w:asciiTheme="majorEastAsia" w:hAnsiTheme="majorEastAsia" w:eastAsiaTheme="majorEastAsia" w:cstheme="majorEastAsia"/>
                <w:b w:val="0"/>
                <w:bCs w:val="0"/>
                <w:color w:val="auto"/>
                <w:sz w:val="18"/>
                <w:szCs w:val="18"/>
                <w:highlight w:val="none"/>
                <w:u w:val="single"/>
              </w:rPr>
            </w:pPr>
            <w:r>
              <w:rPr>
                <w:rFonts w:hint="eastAsia" w:asciiTheme="majorEastAsia" w:hAnsiTheme="majorEastAsia" w:eastAsiaTheme="majorEastAsia" w:cstheme="majorEastAsia"/>
                <w:b w:val="0"/>
                <w:bCs w:val="0"/>
                <w:color w:val="auto"/>
                <w:sz w:val="18"/>
                <w:szCs w:val="18"/>
                <w:highlight w:val="none"/>
                <w:u w:val="single"/>
              </w:rPr>
              <w:t>（3）在收到发包人最终结算合同后15天内，承包人应按照ERP系统中调整后的WBS架构提供全口径施工价款结算分析表，如未能及时正确提供，造成竣工决算报告编制工作滞后，则扣除质量保证金10%。</w:t>
            </w:r>
          </w:p>
          <w:p w14:paraId="2E145BE5">
            <w:pPr>
              <w:adjustRightInd w:val="0"/>
              <w:snapToGrid w:val="0"/>
              <w:rPr>
                <w:rFonts w:hint="eastAsia" w:asciiTheme="majorEastAsia" w:hAnsiTheme="majorEastAsia" w:eastAsiaTheme="majorEastAsia" w:cstheme="majorEastAsia"/>
                <w:b w:val="0"/>
                <w:bCs w:val="0"/>
                <w:color w:val="auto"/>
                <w:sz w:val="18"/>
                <w:szCs w:val="18"/>
                <w:highlight w:val="none"/>
                <w:u w:val="single"/>
              </w:rPr>
            </w:pPr>
            <w:r>
              <w:rPr>
                <w:rFonts w:hint="eastAsia" w:asciiTheme="majorEastAsia" w:hAnsiTheme="majorEastAsia" w:eastAsiaTheme="majorEastAsia" w:cstheme="majorEastAsia"/>
                <w:b w:val="0"/>
                <w:bCs w:val="0"/>
                <w:color w:val="auto"/>
                <w:sz w:val="18"/>
                <w:szCs w:val="18"/>
                <w:highlight w:val="none"/>
                <w:u w:val="single"/>
              </w:rPr>
              <w:t>（4）工程在达标投产、中电建协质量评价、国网公司优质工程、电力行业优质工程、国家级优质工程检查中，检查组查出因承包人原因产生的问题和缺陷（包括现场和资料），每1项扣质量保证金的0.1%。</w:t>
            </w:r>
          </w:p>
          <w:p w14:paraId="5E99C699">
            <w:pPr>
              <w:adjustRightInd w:val="0"/>
              <w:snapToGrid w:val="0"/>
              <w:rPr>
                <w:rFonts w:hint="eastAsia" w:asciiTheme="majorEastAsia" w:hAnsiTheme="majorEastAsia" w:eastAsiaTheme="majorEastAsia" w:cstheme="majorEastAsia"/>
                <w:b w:val="0"/>
                <w:bCs w:val="0"/>
                <w:color w:val="auto"/>
                <w:sz w:val="18"/>
                <w:szCs w:val="18"/>
                <w:highlight w:val="none"/>
                <w:u w:val="single"/>
              </w:rPr>
            </w:pPr>
            <w:r>
              <w:rPr>
                <w:rFonts w:hint="eastAsia" w:asciiTheme="majorEastAsia" w:hAnsiTheme="majorEastAsia" w:eastAsiaTheme="majorEastAsia" w:cstheme="majorEastAsia"/>
                <w:b w:val="0"/>
                <w:bCs w:val="0"/>
                <w:color w:val="auto"/>
                <w:sz w:val="18"/>
                <w:szCs w:val="18"/>
                <w:highlight w:val="none"/>
                <w:u w:val="single"/>
              </w:rPr>
              <w:t>工程在电力行业优质工程申报时，未取得专项验收合格证明，缺1项扣质量保证金的5%。</w:t>
            </w:r>
          </w:p>
          <w:p w14:paraId="52BDF490">
            <w:pPr>
              <w:adjustRightInd w:val="0"/>
              <w:snapToGrid w:val="0"/>
              <w:rPr>
                <w:rFonts w:hint="eastAsia" w:asciiTheme="majorEastAsia" w:hAnsiTheme="majorEastAsia" w:eastAsiaTheme="majorEastAsia" w:cstheme="majorEastAsia"/>
                <w:b w:val="0"/>
                <w:bCs w:val="0"/>
                <w:color w:val="auto"/>
                <w:sz w:val="18"/>
                <w:szCs w:val="18"/>
                <w:highlight w:val="none"/>
                <w:u w:val="single"/>
                <w:lang w:eastAsia="zh-CN"/>
              </w:rPr>
            </w:pPr>
            <w:r>
              <w:rPr>
                <w:rFonts w:hint="eastAsia" w:asciiTheme="majorEastAsia" w:hAnsiTheme="majorEastAsia" w:eastAsiaTheme="majorEastAsia" w:cstheme="majorEastAsia"/>
                <w:b w:val="0"/>
                <w:bCs w:val="0"/>
                <w:color w:val="auto"/>
                <w:sz w:val="18"/>
                <w:szCs w:val="18"/>
                <w:highlight w:val="none"/>
                <w:u w:val="single"/>
                <w:lang w:eastAsia="zh-CN"/>
              </w:rPr>
              <w:t>（</w:t>
            </w:r>
            <w:r>
              <w:rPr>
                <w:rFonts w:hint="eastAsia" w:asciiTheme="majorEastAsia" w:hAnsiTheme="majorEastAsia" w:eastAsiaTheme="majorEastAsia" w:cstheme="majorEastAsia"/>
                <w:b w:val="0"/>
                <w:bCs w:val="0"/>
                <w:color w:val="auto"/>
                <w:sz w:val="18"/>
                <w:szCs w:val="18"/>
                <w:highlight w:val="none"/>
                <w:u w:val="single"/>
                <w:lang w:val="en-US" w:eastAsia="zh-CN"/>
              </w:rPr>
              <w:t>5</w:t>
            </w:r>
            <w:r>
              <w:rPr>
                <w:rFonts w:hint="eastAsia" w:asciiTheme="majorEastAsia" w:hAnsiTheme="majorEastAsia" w:eastAsiaTheme="majorEastAsia" w:cstheme="majorEastAsia"/>
                <w:b w:val="0"/>
                <w:bCs w:val="0"/>
                <w:color w:val="auto"/>
                <w:sz w:val="18"/>
                <w:szCs w:val="18"/>
                <w:highlight w:val="none"/>
                <w:u w:val="single"/>
                <w:lang w:eastAsia="zh-CN"/>
              </w:rPr>
              <w:t>）工程在电力行业优质工程申报时，承包人未实现取得省(部)级及以上科技奖</w:t>
            </w:r>
            <w:r>
              <w:rPr>
                <w:rFonts w:hint="eastAsia" w:asciiTheme="majorEastAsia" w:hAnsiTheme="majorEastAsia" w:eastAsiaTheme="majorEastAsia" w:cstheme="majorEastAsia"/>
                <w:b w:val="0"/>
                <w:bCs w:val="0"/>
                <w:color w:val="auto"/>
                <w:sz w:val="18"/>
                <w:szCs w:val="18"/>
                <w:highlight w:val="none"/>
                <w:u w:val="single"/>
                <w:lang w:val="en-US" w:eastAsia="zh-CN"/>
              </w:rPr>
              <w:t>2</w:t>
            </w:r>
            <w:r>
              <w:rPr>
                <w:rFonts w:hint="eastAsia" w:asciiTheme="majorEastAsia" w:hAnsiTheme="majorEastAsia" w:eastAsiaTheme="majorEastAsia" w:cstheme="majorEastAsia"/>
                <w:b w:val="0"/>
                <w:bCs w:val="0"/>
                <w:color w:val="auto"/>
                <w:sz w:val="18"/>
                <w:szCs w:val="18"/>
                <w:highlight w:val="none"/>
                <w:u w:val="single"/>
                <w:lang w:eastAsia="zh-CN"/>
              </w:rPr>
              <w:t>项，发明专利</w:t>
            </w:r>
            <w:r>
              <w:rPr>
                <w:rFonts w:hint="eastAsia" w:asciiTheme="majorEastAsia" w:hAnsiTheme="majorEastAsia" w:eastAsiaTheme="majorEastAsia" w:cstheme="majorEastAsia"/>
                <w:b w:val="0"/>
                <w:bCs w:val="0"/>
                <w:color w:val="auto"/>
                <w:sz w:val="18"/>
                <w:szCs w:val="18"/>
                <w:highlight w:val="none"/>
                <w:u w:val="single"/>
                <w:lang w:val="en-US" w:eastAsia="zh-CN"/>
              </w:rPr>
              <w:t>1</w:t>
            </w:r>
            <w:r>
              <w:rPr>
                <w:rFonts w:hint="eastAsia" w:asciiTheme="majorEastAsia" w:hAnsiTheme="majorEastAsia" w:eastAsiaTheme="majorEastAsia" w:cstheme="majorEastAsia"/>
                <w:b w:val="0"/>
                <w:bCs w:val="0"/>
                <w:color w:val="auto"/>
                <w:sz w:val="18"/>
                <w:szCs w:val="18"/>
                <w:highlight w:val="none"/>
                <w:u w:val="single"/>
                <w:lang w:eastAsia="zh-CN"/>
              </w:rPr>
              <w:t>项或实用新型专利</w:t>
            </w:r>
            <w:r>
              <w:rPr>
                <w:rFonts w:hint="eastAsia" w:asciiTheme="majorEastAsia" w:hAnsiTheme="majorEastAsia" w:eastAsiaTheme="majorEastAsia" w:cstheme="majorEastAsia"/>
                <w:b w:val="0"/>
                <w:bCs w:val="0"/>
                <w:color w:val="auto"/>
                <w:sz w:val="18"/>
                <w:szCs w:val="18"/>
                <w:highlight w:val="none"/>
                <w:u w:val="single"/>
                <w:lang w:val="en-US" w:eastAsia="zh-CN"/>
              </w:rPr>
              <w:t>3</w:t>
            </w:r>
            <w:r>
              <w:rPr>
                <w:rFonts w:hint="eastAsia" w:asciiTheme="majorEastAsia" w:hAnsiTheme="majorEastAsia" w:eastAsiaTheme="majorEastAsia" w:cstheme="majorEastAsia"/>
                <w:b w:val="0"/>
                <w:bCs w:val="0"/>
                <w:color w:val="auto"/>
                <w:sz w:val="18"/>
                <w:szCs w:val="18"/>
                <w:highlight w:val="none"/>
                <w:u w:val="single"/>
                <w:lang w:eastAsia="zh-CN"/>
              </w:rPr>
              <w:t>项，省部级工法</w:t>
            </w:r>
            <w:r>
              <w:rPr>
                <w:rFonts w:hint="eastAsia" w:asciiTheme="majorEastAsia" w:hAnsiTheme="majorEastAsia" w:eastAsiaTheme="majorEastAsia" w:cstheme="majorEastAsia"/>
                <w:b w:val="0"/>
                <w:bCs w:val="0"/>
                <w:color w:val="auto"/>
                <w:sz w:val="18"/>
                <w:szCs w:val="18"/>
                <w:highlight w:val="none"/>
                <w:u w:val="single"/>
                <w:lang w:val="en-US" w:eastAsia="zh-CN"/>
              </w:rPr>
              <w:t>1</w:t>
            </w:r>
            <w:r>
              <w:rPr>
                <w:rFonts w:hint="eastAsia" w:asciiTheme="majorEastAsia" w:hAnsiTheme="majorEastAsia" w:eastAsiaTheme="majorEastAsia" w:cstheme="majorEastAsia"/>
                <w:b w:val="0"/>
                <w:bCs w:val="0"/>
                <w:color w:val="auto"/>
                <w:sz w:val="18"/>
                <w:szCs w:val="18"/>
                <w:highlight w:val="none"/>
                <w:u w:val="single"/>
                <w:lang w:eastAsia="zh-CN"/>
              </w:rPr>
              <w:t>项，省部级QC小组成果奖</w:t>
            </w:r>
            <w:r>
              <w:rPr>
                <w:rFonts w:hint="eastAsia" w:asciiTheme="majorEastAsia" w:hAnsiTheme="majorEastAsia" w:eastAsiaTheme="majorEastAsia" w:cstheme="majorEastAsia"/>
                <w:b w:val="0"/>
                <w:bCs w:val="0"/>
                <w:color w:val="auto"/>
                <w:sz w:val="18"/>
                <w:szCs w:val="18"/>
                <w:highlight w:val="none"/>
                <w:u w:val="single"/>
                <w:lang w:val="en-US" w:eastAsia="zh-CN"/>
              </w:rPr>
              <w:t>2</w:t>
            </w:r>
            <w:r>
              <w:rPr>
                <w:rFonts w:hint="eastAsia" w:asciiTheme="majorEastAsia" w:hAnsiTheme="majorEastAsia" w:eastAsiaTheme="majorEastAsia" w:cstheme="majorEastAsia"/>
                <w:b w:val="0"/>
                <w:bCs w:val="0"/>
                <w:color w:val="auto"/>
                <w:sz w:val="18"/>
                <w:szCs w:val="18"/>
                <w:highlight w:val="none"/>
                <w:u w:val="single"/>
                <w:lang w:eastAsia="zh-CN"/>
              </w:rPr>
              <w:t>项的目标，缺1项扣质量保证金的4%。</w:t>
            </w:r>
          </w:p>
          <w:p w14:paraId="048F5E0E">
            <w:pPr>
              <w:adjustRightInd w:val="0"/>
              <w:snapToGrid w:val="0"/>
              <w:rPr>
                <w:rFonts w:hint="eastAsia" w:asciiTheme="majorEastAsia" w:hAnsiTheme="majorEastAsia" w:eastAsiaTheme="majorEastAsia" w:cstheme="majorEastAsia"/>
                <w:b w:val="0"/>
                <w:bCs w:val="0"/>
                <w:color w:val="auto"/>
                <w:sz w:val="18"/>
                <w:szCs w:val="18"/>
                <w:highlight w:val="none"/>
                <w:u w:val="single"/>
                <w:lang w:eastAsia="zh-CN"/>
              </w:rPr>
            </w:pPr>
            <w:r>
              <w:rPr>
                <w:rFonts w:hint="eastAsia" w:asciiTheme="majorEastAsia" w:hAnsiTheme="majorEastAsia" w:eastAsiaTheme="majorEastAsia" w:cstheme="majorEastAsia"/>
                <w:b w:val="0"/>
                <w:bCs w:val="0"/>
                <w:color w:val="auto"/>
                <w:sz w:val="18"/>
                <w:szCs w:val="18"/>
                <w:highlight w:val="none"/>
                <w:u w:val="single"/>
                <w:lang w:eastAsia="zh-CN"/>
              </w:rPr>
              <w:t>（</w:t>
            </w:r>
            <w:r>
              <w:rPr>
                <w:rFonts w:hint="eastAsia" w:asciiTheme="majorEastAsia" w:hAnsiTheme="majorEastAsia" w:eastAsiaTheme="majorEastAsia" w:cstheme="majorEastAsia"/>
                <w:b w:val="0"/>
                <w:bCs w:val="0"/>
                <w:color w:val="auto"/>
                <w:sz w:val="18"/>
                <w:szCs w:val="18"/>
                <w:highlight w:val="none"/>
                <w:u w:val="single"/>
                <w:lang w:val="en-US" w:eastAsia="zh-CN"/>
              </w:rPr>
              <w:t>6）</w:t>
            </w:r>
            <w:r>
              <w:rPr>
                <w:rFonts w:hint="eastAsia" w:asciiTheme="majorEastAsia" w:hAnsiTheme="majorEastAsia" w:eastAsiaTheme="majorEastAsia" w:cstheme="majorEastAsia"/>
                <w:b w:val="0"/>
                <w:bCs w:val="0"/>
                <w:color w:val="auto"/>
                <w:sz w:val="18"/>
                <w:szCs w:val="18"/>
                <w:highlight w:val="none"/>
                <w:u w:val="single"/>
                <w:lang w:eastAsia="zh-CN"/>
              </w:rPr>
              <w:t>在电力行业优质工程申报前，因承包人责任未取得专项验收合格证明，地基结构，绿色施工，新技术应用，整体质量等专项评价，缺1项扣质量保证金的5%。</w:t>
            </w:r>
          </w:p>
          <w:p w14:paraId="141181C1">
            <w:pPr>
              <w:adjustRightInd w:val="0"/>
              <w:snapToGrid w:val="0"/>
              <w:rPr>
                <w:rFonts w:hint="eastAsia" w:asciiTheme="majorEastAsia" w:hAnsiTheme="majorEastAsia" w:eastAsiaTheme="majorEastAsia" w:cstheme="majorEastAsia"/>
                <w:b w:val="0"/>
                <w:bCs w:val="0"/>
                <w:color w:val="auto"/>
                <w:sz w:val="18"/>
                <w:szCs w:val="18"/>
                <w:highlight w:val="none"/>
                <w:u w:val="single"/>
                <w:lang w:eastAsia="zh-CN"/>
              </w:rPr>
            </w:pPr>
            <w:r>
              <w:rPr>
                <w:rFonts w:hint="eastAsia" w:asciiTheme="majorEastAsia" w:hAnsiTheme="majorEastAsia" w:eastAsiaTheme="majorEastAsia" w:cstheme="majorEastAsia"/>
                <w:b w:val="0"/>
                <w:bCs w:val="0"/>
                <w:color w:val="auto"/>
                <w:sz w:val="18"/>
                <w:szCs w:val="18"/>
                <w:highlight w:val="none"/>
                <w:u w:val="single"/>
                <w:lang w:eastAsia="zh-CN"/>
              </w:rPr>
              <w:t>（</w:t>
            </w:r>
            <w:r>
              <w:rPr>
                <w:rFonts w:hint="eastAsia" w:asciiTheme="majorEastAsia" w:hAnsiTheme="majorEastAsia" w:eastAsiaTheme="majorEastAsia" w:cstheme="majorEastAsia"/>
                <w:b w:val="0"/>
                <w:bCs w:val="0"/>
                <w:color w:val="auto"/>
                <w:sz w:val="18"/>
                <w:szCs w:val="18"/>
                <w:highlight w:val="none"/>
                <w:u w:val="single"/>
                <w:lang w:val="en-US" w:eastAsia="zh-CN"/>
              </w:rPr>
              <w:t>7</w:t>
            </w:r>
            <w:r>
              <w:rPr>
                <w:rFonts w:hint="eastAsia" w:asciiTheme="majorEastAsia" w:hAnsiTheme="majorEastAsia" w:eastAsiaTheme="majorEastAsia" w:cstheme="majorEastAsia"/>
                <w:b w:val="0"/>
                <w:bCs w:val="0"/>
                <w:color w:val="auto"/>
                <w:sz w:val="18"/>
                <w:szCs w:val="18"/>
                <w:highlight w:val="none"/>
                <w:u w:val="single"/>
                <w:lang w:eastAsia="zh-CN"/>
              </w:rPr>
              <w:t>）工程在达标投产复检，四个专项评价，国家电网公司输变电优质工程金银奖，中国电力行业优质工程，国家级优质工程检查中，检查组查出因承包人原因产生的问题和缺陷(包括现场和资料),每1项扣质量保证金的0.1%。</w:t>
            </w:r>
          </w:p>
          <w:p w14:paraId="7A3FFFBB">
            <w:pPr>
              <w:adjustRightInd w:val="0"/>
              <w:snapToGrid w:val="0"/>
              <w:rPr>
                <w:rFonts w:hint="default" w:asciiTheme="majorEastAsia" w:hAnsiTheme="majorEastAsia" w:eastAsiaTheme="majorEastAsia" w:cstheme="majorEastAsia"/>
                <w:b w:val="0"/>
                <w:bCs w:val="0"/>
                <w:color w:val="auto"/>
                <w:sz w:val="18"/>
                <w:szCs w:val="18"/>
                <w:highlight w:val="none"/>
                <w:u w:val="single"/>
                <w:lang w:val="en-US" w:eastAsia="zh-CN"/>
              </w:rPr>
            </w:pPr>
            <w:r>
              <w:rPr>
                <w:rFonts w:hint="eastAsia" w:asciiTheme="majorEastAsia" w:hAnsiTheme="majorEastAsia" w:eastAsiaTheme="majorEastAsia" w:cstheme="majorEastAsia"/>
                <w:b w:val="0"/>
                <w:bCs w:val="0"/>
                <w:color w:val="auto"/>
                <w:sz w:val="18"/>
                <w:szCs w:val="18"/>
                <w:highlight w:val="none"/>
                <w:u w:val="single"/>
                <w:lang w:eastAsia="zh-CN"/>
              </w:rPr>
              <w:t>档案管理不到位、结算资料提交延迟、创优检查问题、科技成果未达标、未实现科技奖、专利、工法等创优目标的等情形之一的，视为承包人违约，需按照合同金额</w:t>
            </w:r>
            <w:r>
              <w:rPr>
                <w:rFonts w:hint="eastAsia" w:asciiTheme="majorEastAsia" w:hAnsiTheme="majorEastAsia" w:eastAsiaTheme="majorEastAsia" w:cstheme="majorEastAsia"/>
                <w:b w:val="0"/>
                <w:bCs w:val="0"/>
                <w:color w:val="auto"/>
                <w:sz w:val="18"/>
                <w:szCs w:val="18"/>
                <w:highlight w:val="none"/>
                <w:u w:val="single"/>
                <w:lang w:val="en-US" w:eastAsia="zh-CN"/>
              </w:rPr>
              <w:t xml:space="preserve"> /</w:t>
            </w:r>
            <w:r>
              <w:rPr>
                <w:rFonts w:hint="eastAsia" w:asciiTheme="majorEastAsia" w:hAnsiTheme="majorEastAsia" w:eastAsiaTheme="majorEastAsia" w:cstheme="majorEastAsia"/>
                <w:b w:val="0"/>
                <w:bCs w:val="0"/>
                <w:color w:val="auto"/>
                <w:sz w:val="18"/>
                <w:szCs w:val="18"/>
                <w:highlight w:val="none"/>
                <w:u w:val="single"/>
                <w:lang w:eastAsia="zh-CN"/>
              </w:rPr>
              <w:t>%向发包人承担违约责任，违约金发包人有权直接从应付工程款或履约保证金计扣，质保期到期，承包人存在违约金未付的，在办理质保金结算时，发包人有权进行抵扣。</w:t>
            </w:r>
          </w:p>
        </w:tc>
        <w:tc>
          <w:tcPr>
            <w:tcW w:w="475" w:type="dxa"/>
            <w:tcBorders>
              <w:top w:val="single" w:color="000000" w:sz="4" w:space="0"/>
              <w:left w:val="single" w:color="000000" w:sz="4" w:space="0"/>
              <w:bottom w:val="single" w:color="000000" w:sz="4" w:space="0"/>
              <w:right w:val="nil"/>
            </w:tcBorders>
            <w:vAlign w:val="center"/>
          </w:tcPr>
          <w:p w14:paraId="2DC015A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6A8295A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90" w:hRule="atLeast"/>
          <w:jc w:val="center"/>
        </w:trPr>
        <w:tc>
          <w:tcPr>
            <w:tcW w:w="1437" w:type="dxa"/>
            <w:tcBorders>
              <w:top w:val="single" w:color="000000" w:sz="4" w:space="0"/>
              <w:left w:val="nil"/>
              <w:bottom w:val="single" w:color="000000" w:sz="4" w:space="0"/>
              <w:right w:val="single" w:color="000000" w:sz="4" w:space="0"/>
            </w:tcBorders>
            <w:vAlign w:val="center"/>
          </w:tcPr>
          <w:p w14:paraId="1EB0A6C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b w:val="0"/>
                <w:bCs w:val="0"/>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41A6EC78">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kern w:val="0"/>
                <w:sz w:val="18"/>
                <w:szCs w:val="18"/>
                <w:highlight w:val="none"/>
              </w:rPr>
              <w:t>专用条款17.4.4（新增）</w:t>
            </w:r>
          </w:p>
        </w:tc>
        <w:tc>
          <w:tcPr>
            <w:tcW w:w="4066" w:type="dxa"/>
            <w:vAlign w:val="center"/>
          </w:tcPr>
          <w:p w14:paraId="2A3F134B">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kern w:val="0"/>
                <w:sz w:val="18"/>
                <w:szCs w:val="18"/>
                <w:highlight w:val="none"/>
              </w:rPr>
              <w:t>无</w:t>
            </w:r>
          </w:p>
          <w:p w14:paraId="726F82B2">
            <w:pPr>
              <w:adjustRightInd w:val="0"/>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p>
        </w:tc>
        <w:tc>
          <w:tcPr>
            <w:tcW w:w="4247" w:type="dxa"/>
            <w:vAlign w:val="center"/>
          </w:tcPr>
          <w:p w14:paraId="7CEACBF6">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17.4.5（新增）</w:t>
            </w:r>
          </w:p>
          <w:p w14:paraId="55915B7C">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1、过程考核金按照以下约定执行：</w:t>
            </w:r>
          </w:p>
          <w:p w14:paraId="2103EDAE">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过程考核金与过程评价成绩对应关系见下表。过程评价成绩执行合同附件</w:t>
            </w:r>
            <w:r>
              <w:rPr>
                <w:rFonts w:hint="eastAsia" w:asciiTheme="majorEastAsia" w:hAnsiTheme="majorEastAsia" w:eastAsiaTheme="majorEastAsia" w:cstheme="majorEastAsia"/>
                <w:b w:val="0"/>
                <w:bCs w:val="0"/>
                <w:color w:val="auto"/>
                <w:sz w:val="18"/>
                <w:szCs w:val="18"/>
                <w:highlight w:val="none"/>
                <w:lang w:val="en-US" w:eastAsia="zh-CN"/>
              </w:rPr>
              <w:t>11</w:t>
            </w:r>
            <w:r>
              <w:rPr>
                <w:rFonts w:hint="eastAsia" w:asciiTheme="majorEastAsia" w:hAnsiTheme="majorEastAsia" w:eastAsiaTheme="majorEastAsia" w:cstheme="majorEastAsia"/>
                <w:b w:val="0"/>
                <w:bCs w:val="0"/>
                <w:color w:val="auto"/>
                <w:sz w:val="18"/>
                <w:szCs w:val="18"/>
                <w:highlight w:val="none"/>
              </w:rPr>
              <w:t>：《施工承包商过程考核实施细则》。</w:t>
            </w:r>
          </w:p>
          <w:tbl>
            <w:tblPr>
              <w:tblStyle w:val="14"/>
              <w:tblW w:w="38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3"/>
              <w:gridCol w:w="2154"/>
            </w:tblGrid>
            <w:tr w14:paraId="78D3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3DA86F7F">
                  <w:pPr>
                    <w:adjustRightInd w:val="0"/>
                    <w:snapToGrid w:val="0"/>
                    <w:jc w:val="center"/>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过程评价成绩(分)</w:t>
                  </w:r>
                </w:p>
              </w:tc>
              <w:tc>
                <w:tcPr>
                  <w:tcW w:w="2154" w:type="dxa"/>
                </w:tcPr>
                <w:p w14:paraId="38F7A804">
                  <w:pPr>
                    <w:adjustRightInd w:val="0"/>
                    <w:snapToGrid w:val="0"/>
                    <w:jc w:val="center"/>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过程考核金</w:t>
                  </w:r>
                </w:p>
              </w:tc>
            </w:tr>
            <w:tr w14:paraId="4147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2064CF3B">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f&lt;80</w:t>
                  </w:r>
                </w:p>
              </w:tc>
              <w:tc>
                <w:tcPr>
                  <w:tcW w:w="2154" w:type="dxa"/>
                </w:tcPr>
                <w:p w14:paraId="03E45817">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签约合同价总额*（-2%）</w:t>
                  </w:r>
                </w:p>
              </w:tc>
            </w:tr>
            <w:tr w14:paraId="5EB8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1EB101FC">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80≤f＜85</w:t>
                  </w:r>
                </w:p>
              </w:tc>
              <w:tc>
                <w:tcPr>
                  <w:tcW w:w="2154" w:type="dxa"/>
                </w:tcPr>
                <w:p w14:paraId="4CE727F0">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签约合同价总额*（-1.6%）</w:t>
                  </w:r>
                </w:p>
              </w:tc>
            </w:tr>
            <w:tr w14:paraId="46142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4465701E">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85≤f＜90</w:t>
                  </w:r>
                </w:p>
              </w:tc>
              <w:tc>
                <w:tcPr>
                  <w:tcW w:w="2154" w:type="dxa"/>
                </w:tcPr>
                <w:p w14:paraId="733DD844">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签约合同价总额*（-1.2%）</w:t>
                  </w:r>
                </w:p>
              </w:tc>
            </w:tr>
            <w:tr w14:paraId="7154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7CBFB9A8">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90≤f＜95</w:t>
                  </w:r>
                </w:p>
              </w:tc>
              <w:tc>
                <w:tcPr>
                  <w:tcW w:w="2154" w:type="dxa"/>
                </w:tcPr>
                <w:p w14:paraId="5C659580">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签约合同价总额*（-0.8%）</w:t>
                  </w:r>
                </w:p>
              </w:tc>
            </w:tr>
            <w:tr w14:paraId="1553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7FDAE475">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95≤f＜99</w:t>
                  </w:r>
                </w:p>
              </w:tc>
              <w:tc>
                <w:tcPr>
                  <w:tcW w:w="2154" w:type="dxa"/>
                </w:tcPr>
                <w:p w14:paraId="6AC6D740">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签约合同价总额*（-0.4%）</w:t>
                  </w:r>
                </w:p>
              </w:tc>
            </w:tr>
            <w:tr w14:paraId="7B1B7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7FA0DA19">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99≤f≤100</w:t>
                  </w:r>
                </w:p>
              </w:tc>
              <w:tc>
                <w:tcPr>
                  <w:tcW w:w="2154" w:type="dxa"/>
                </w:tcPr>
                <w:p w14:paraId="52A96CA4">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签约合同价总额*0</w:t>
                  </w:r>
                </w:p>
              </w:tc>
            </w:tr>
            <w:tr w14:paraId="5B811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33AC9FD0">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100＜f≤102</w:t>
                  </w:r>
                </w:p>
              </w:tc>
              <w:tc>
                <w:tcPr>
                  <w:tcW w:w="2154" w:type="dxa"/>
                </w:tcPr>
                <w:p w14:paraId="028D6272">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签约合同价总额*0.5%</w:t>
                  </w:r>
                </w:p>
              </w:tc>
            </w:tr>
            <w:tr w14:paraId="6A54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1683" w:type="dxa"/>
                </w:tcPr>
                <w:p w14:paraId="4CEBC3A1">
                  <w:pPr>
                    <w:adjustRightInd w:val="0"/>
                    <w:snapToGrid w:val="0"/>
                    <w:rPr>
                      <w:rFonts w:hint="eastAsia" w:asciiTheme="majorEastAsia" w:hAnsiTheme="majorEastAsia" w:eastAsiaTheme="majorEastAsia" w:cstheme="majorEastAsia"/>
                      <w:b w:val="0"/>
                      <w:bCs w:val="0"/>
                      <w:color w:val="auto"/>
                      <w:sz w:val="18"/>
                      <w:szCs w:val="18"/>
                      <w:highlight w:val="none"/>
                      <w:lang w:val="en-US" w:eastAsia="zh-CN"/>
                    </w:rPr>
                  </w:pPr>
                  <w:r>
                    <w:rPr>
                      <w:rFonts w:hint="eastAsia" w:asciiTheme="majorEastAsia" w:hAnsiTheme="majorEastAsia" w:eastAsiaTheme="majorEastAsia" w:cstheme="majorEastAsia"/>
                      <w:b w:val="0"/>
                      <w:bCs w:val="0"/>
                      <w:color w:val="auto"/>
                      <w:sz w:val="18"/>
                      <w:szCs w:val="18"/>
                      <w:highlight w:val="none"/>
                    </w:rPr>
                    <w:t>102＜f≤10</w:t>
                  </w:r>
                  <w:r>
                    <w:rPr>
                      <w:rFonts w:hint="eastAsia" w:asciiTheme="majorEastAsia" w:hAnsiTheme="majorEastAsia" w:eastAsiaTheme="majorEastAsia" w:cstheme="majorEastAsia"/>
                      <w:b w:val="0"/>
                      <w:bCs w:val="0"/>
                      <w:color w:val="auto"/>
                      <w:sz w:val="18"/>
                      <w:szCs w:val="18"/>
                      <w:highlight w:val="none"/>
                      <w:lang w:val="en-US" w:eastAsia="zh-CN"/>
                    </w:rPr>
                    <w:t>6</w:t>
                  </w:r>
                </w:p>
              </w:tc>
              <w:tc>
                <w:tcPr>
                  <w:tcW w:w="2154" w:type="dxa"/>
                </w:tcPr>
                <w:p w14:paraId="44AF5226">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签约合同价总额*1%</w:t>
                  </w:r>
                </w:p>
              </w:tc>
            </w:tr>
            <w:tr w14:paraId="6191F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Pr>
                <w:p w14:paraId="6CC3F394">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106＜f≤110</w:t>
                  </w:r>
                </w:p>
              </w:tc>
              <w:tc>
                <w:tcPr>
                  <w:tcW w:w="2154" w:type="dxa"/>
                </w:tcPr>
                <w:p w14:paraId="354807CA">
                  <w:pPr>
                    <w:adjustRightInd w:val="0"/>
                    <w:snapToGrid w:val="0"/>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签约合同价总额*1.5%</w:t>
                  </w:r>
                </w:p>
              </w:tc>
            </w:tr>
          </w:tbl>
          <w:p w14:paraId="357B83FC">
            <w:pPr>
              <w:snapToGrid w:val="0"/>
              <w:spacing w:line="240" w:lineRule="atLeast"/>
              <w:jc w:val="left"/>
              <w:rPr>
                <w:rFonts w:hint="eastAsia" w:asciiTheme="majorEastAsia" w:hAnsiTheme="majorEastAsia" w:eastAsiaTheme="majorEastAsia" w:cstheme="majorEastAsia"/>
                <w:b w:val="0"/>
                <w:bCs w:val="0"/>
                <w:color w:val="auto"/>
                <w:sz w:val="18"/>
                <w:szCs w:val="18"/>
                <w:highlight w:val="none"/>
              </w:rPr>
            </w:pPr>
          </w:p>
        </w:tc>
        <w:tc>
          <w:tcPr>
            <w:tcW w:w="475" w:type="dxa"/>
            <w:tcBorders>
              <w:top w:val="single" w:color="000000" w:sz="4" w:space="0"/>
              <w:left w:val="single" w:color="000000" w:sz="4" w:space="0"/>
              <w:bottom w:val="single" w:color="000000" w:sz="4" w:space="0"/>
              <w:right w:val="nil"/>
            </w:tcBorders>
            <w:vAlign w:val="center"/>
          </w:tcPr>
          <w:p w14:paraId="27215F0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2543D83F">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90" w:hRule="atLeast"/>
          <w:jc w:val="center"/>
        </w:trPr>
        <w:tc>
          <w:tcPr>
            <w:tcW w:w="1437" w:type="dxa"/>
            <w:tcBorders>
              <w:top w:val="single" w:color="000000" w:sz="4" w:space="0"/>
              <w:left w:val="nil"/>
              <w:bottom w:val="single" w:color="000000" w:sz="4" w:space="0"/>
              <w:right w:val="single" w:color="000000" w:sz="4" w:space="0"/>
            </w:tcBorders>
            <w:vAlign w:val="center"/>
          </w:tcPr>
          <w:p w14:paraId="0C566E9C">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4AE2624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专用条款第17.5.1条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5AB59454">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17.5.1竣工付款申请单</w:t>
            </w:r>
          </w:p>
          <w:p w14:paraId="31A07C6A">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17.5.1（1）修改为：</w:t>
            </w:r>
          </w:p>
          <w:p w14:paraId="0A9EE259">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①承包人应按照下列期限内向监理人提交8份竣工付款申请单及相关竣工结算资料：</w:t>
            </w:r>
          </w:p>
          <w:p w14:paraId="0EA1B6B4">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220千伏及以上输变电工程，应于输变电工程竣工验收后15日内编制完成并提交；110千伏及以下输变电工程，应于输变电工程竣工验收后10日内编制完成并提交。</w:t>
            </w:r>
          </w:p>
          <w:p w14:paraId="0BCD5D5A">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如承包人未在本合同约定的时间内提供完整的工程竣工结算资料，经发包人催促后14天内仍未提供或没有明确答复，发包人有权根据已有资料进行审查，责任由承包人自负。除合同另有约定外，竣工付款申请单应包括下列内容：竣工结算合同价格、发包人已支付承包人的工程价款、应扣留的违约金、应支付的竣工付款金额、索赔清单及其索赔费用、由发包人提供的材料/设备等剩余实物清单等。</w:t>
            </w:r>
          </w:p>
          <w:p w14:paraId="2625DB7E">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lang w:eastAsia="zh-CN"/>
              </w:rPr>
            </w:pPr>
            <w:r>
              <w:rPr>
                <w:rStyle w:val="37"/>
                <w:rFonts w:hint="eastAsia" w:asciiTheme="majorEastAsia" w:hAnsiTheme="majorEastAsia" w:eastAsiaTheme="majorEastAsia" w:cstheme="majorEastAsia"/>
                <w:color w:val="auto"/>
                <w:kern w:val="0"/>
                <w:sz w:val="18"/>
                <w:szCs w:val="18"/>
                <w:highlight w:val="none"/>
              </w:rPr>
              <w:t>承包人未按合同约定的期限及时报送工程结算文件的，每延期一天，应向发包人支付签约合同价</w:t>
            </w:r>
            <w:r>
              <w:rPr>
                <w:rStyle w:val="37"/>
                <w:rFonts w:hint="eastAsia" w:asciiTheme="majorEastAsia" w:hAnsiTheme="majorEastAsia" w:eastAsiaTheme="majorEastAsia" w:cstheme="majorEastAsia"/>
                <w:color w:val="auto"/>
                <w:kern w:val="0"/>
                <w:sz w:val="18"/>
                <w:szCs w:val="18"/>
                <w:highlight w:val="none"/>
                <w:lang w:val="en-US" w:eastAsia="zh-CN"/>
              </w:rPr>
              <w:t>_</w:t>
            </w:r>
            <w:r>
              <w:rPr>
                <w:rStyle w:val="37"/>
                <w:rFonts w:hint="eastAsia" w:asciiTheme="majorEastAsia" w:hAnsiTheme="majorEastAsia" w:eastAsiaTheme="majorEastAsia" w:cstheme="majorEastAsia"/>
                <w:color w:val="auto"/>
                <w:kern w:val="0"/>
                <w:sz w:val="18"/>
                <w:szCs w:val="18"/>
                <w:highlight w:val="none"/>
              </w:rPr>
              <w:t>%的违约金</w:t>
            </w:r>
            <w:r>
              <w:rPr>
                <w:rStyle w:val="37"/>
                <w:rFonts w:hint="eastAsia" w:asciiTheme="majorEastAsia" w:hAnsiTheme="majorEastAsia" w:eastAsiaTheme="majorEastAsia" w:cstheme="majorEastAsia"/>
                <w:color w:val="auto"/>
                <w:kern w:val="0"/>
                <w:sz w:val="18"/>
                <w:szCs w:val="18"/>
                <w:highlight w:val="none"/>
                <w:lang w:eastAsia="zh-CN"/>
              </w:rPr>
              <w:t>。</w:t>
            </w:r>
          </w:p>
          <w:p w14:paraId="5CE89C75">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除合同已有约定外，竣工付款申请单还需包含的其他内容如下：</w:t>
            </w:r>
          </w:p>
          <w:p w14:paraId="36E92816">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 竣工结算由承包人编制，发包人核对。实行总承包的工程，由总承包人对竣工结算的编制负总责。</w:t>
            </w:r>
          </w:p>
          <w:p w14:paraId="1D48C37C">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b. 办理工程竣工结算价款的依据：</w:t>
            </w:r>
          </w:p>
          <w:p w14:paraId="39454528">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施工合同；</w:t>
            </w:r>
          </w:p>
          <w:p w14:paraId="2D4D6A74">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国家相关标准和国家电网</w:t>
            </w:r>
            <w:r>
              <w:rPr>
                <w:rStyle w:val="37"/>
                <w:rFonts w:hint="eastAsia" w:asciiTheme="majorEastAsia" w:hAnsiTheme="majorEastAsia" w:eastAsiaTheme="majorEastAsia" w:cstheme="majorEastAsia"/>
                <w:color w:val="auto"/>
                <w:kern w:val="0"/>
                <w:sz w:val="18"/>
                <w:szCs w:val="18"/>
                <w:highlight w:val="none"/>
                <w:lang w:eastAsia="zh-CN"/>
              </w:rPr>
              <w:t>有限</w:t>
            </w:r>
            <w:r>
              <w:rPr>
                <w:rStyle w:val="37"/>
                <w:rFonts w:hint="eastAsia" w:asciiTheme="majorEastAsia" w:hAnsiTheme="majorEastAsia" w:eastAsiaTheme="majorEastAsia" w:cstheme="majorEastAsia"/>
                <w:color w:val="auto"/>
                <w:kern w:val="0"/>
                <w:sz w:val="18"/>
                <w:szCs w:val="18"/>
                <w:highlight w:val="none"/>
              </w:rPr>
              <w:t>公司相关管理规定；</w:t>
            </w:r>
          </w:p>
          <w:p w14:paraId="16A6AA41">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工程竣工图纸（施工图纸、变更）及其他资料；</w:t>
            </w:r>
          </w:p>
          <w:p w14:paraId="21C30B70">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双方确认的工程量；</w:t>
            </w:r>
          </w:p>
          <w:p w14:paraId="6CD4F0A4">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双方确认追加（减）的工程价款；</w:t>
            </w:r>
          </w:p>
          <w:p w14:paraId="383DD82B">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双方确认的索赔、现场签证事项及价款；</w:t>
            </w:r>
          </w:p>
          <w:p w14:paraId="3EBD5770">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投标文件；</w:t>
            </w:r>
          </w:p>
          <w:p w14:paraId="1EC51067">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招标文件；</w:t>
            </w:r>
          </w:p>
          <w:p w14:paraId="0E901094">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其他依据。</w:t>
            </w:r>
          </w:p>
          <w:p w14:paraId="6F02EED6">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c. 竣工结算资料由承包人按照施工合同、各类补充合同或发包人书面委托、工程结算有效签证、阶段结算资料等进行汇总编制。施工结算文件中应包含承包人申请结算的全部费用及相关依据，未在规定时间内提交结算资料和结算资料不齐全的项目不计入工程结算。</w:t>
            </w:r>
          </w:p>
          <w:p w14:paraId="7E116FA5">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②其它项目费在办理竣工结算时的规定：</w:t>
            </w:r>
          </w:p>
          <w:p w14:paraId="2CBDB337">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办理竣工结算时，措施项目费应依据合同约定的措施项目和金额（费率）或发、承包双方确认调整后的措施项目费金额计算。措施项目费中的安全文明施工费应按照国家或省级、行业建设主管部门规定的费率计算，计算基数随建筑安装工程施工费的调整据实计列。施工过程中，国家或省级、行业建设主管部门对安全文明施工费进行了调整的，措施项目费中的安全文明施工费应作相应调整。</w:t>
            </w:r>
          </w:p>
          <w:p w14:paraId="0B28E4EA">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当暂估价中的专业工程是招标采购的，其金额按中标价计算。当暂估价中的专业工程为非招标采购的，其金额按发、承包双方与分包人最终确认的金额计算； </w:t>
            </w:r>
          </w:p>
          <w:p w14:paraId="50D468FE">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施工总承包服务费不做调整；</w:t>
            </w:r>
          </w:p>
          <w:p w14:paraId="26547E7E">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索赔费用的金额应依据发、承包双方确认的索赔项目和金额计算；</w:t>
            </w:r>
          </w:p>
          <w:p w14:paraId="358CC45C">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合同价款中的暂列金额在用于各项价款调整、索赔与现场签证后，若有余额，则余额归发包人，若出现差额，则由发包人补足并反映在相应的工程价款中。</w:t>
            </w:r>
          </w:p>
          <w:p w14:paraId="2BE0A81D">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拆除工程费用应依据发、承包双方确认的工程量、合同约定的综合单价计算；如发生调整的，以发、承包双方确认调整的综合单价计算。</w:t>
            </w:r>
          </w:p>
          <w:p w14:paraId="668AD02B">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发包人供应设备、材料装卸保管费按招标文件执行，不做调整。</w:t>
            </w:r>
          </w:p>
          <w:p w14:paraId="37278311">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③ 竣工付款申请单：</w:t>
            </w:r>
          </w:p>
          <w:p w14:paraId="61C14D22">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竣工付款申请单的份数和提交期限：工程移交签证书颁发后28个工作日内，承包人应向监理人提交4份竣工付款申请单，同时提交竣工付款申请单给本工程的发包人1份，并提供竣工结算书3份（包括阶段结算的详细资料）。</w:t>
            </w:r>
          </w:p>
          <w:p w14:paraId="112AF06A">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④ 竣工结算办理完毕，发包人在竣工结算书确认后42天时间内向承包人支付工程结算价款。</w:t>
            </w:r>
          </w:p>
        </w:tc>
        <w:tc>
          <w:tcPr>
            <w:tcW w:w="4247" w:type="dxa"/>
            <w:tcBorders>
              <w:top w:val="single" w:color="000000" w:sz="4" w:space="0"/>
              <w:left w:val="single" w:color="000000" w:sz="4" w:space="0"/>
              <w:bottom w:val="single" w:color="000000" w:sz="4" w:space="0"/>
              <w:right w:val="single" w:color="000000" w:sz="4" w:space="0"/>
            </w:tcBorders>
            <w:vAlign w:val="center"/>
          </w:tcPr>
          <w:p w14:paraId="14FE3D80">
            <w:pPr>
              <w:snapToGrid w:val="0"/>
              <w:spacing w:line="240" w:lineRule="atLeast"/>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r>
              <w:rPr>
                <w:rFonts w:hint="eastAsia" w:asciiTheme="majorEastAsia" w:hAnsiTheme="majorEastAsia" w:eastAsiaTheme="majorEastAsia" w:cstheme="majorEastAsia"/>
                <w:color w:val="auto"/>
                <w:sz w:val="18"/>
                <w:szCs w:val="18"/>
                <w:highlight w:val="none"/>
              </w:rPr>
              <w:t>：</w:t>
            </w:r>
          </w:p>
          <w:p w14:paraId="2AD7F355">
            <w:pPr>
              <w:pStyle w:val="53"/>
              <w:snapToGrid w:val="0"/>
              <w:spacing w:after="0" w:line="240" w:lineRule="atLeas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17.5.1（1）</w:t>
            </w:r>
          </w:p>
          <w:p w14:paraId="26ACDBAD">
            <w:pPr>
              <w:pStyle w:val="53"/>
              <w:keepNext w:val="0"/>
              <w:keepLines w:val="0"/>
              <w:pageBreakBefore w:val="0"/>
              <w:widowControl/>
              <w:kinsoku/>
              <w:wordWrap/>
              <w:overflowPunct/>
              <w:topLinePunct w:val="0"/>
              <w:autoSpaceDE/>
              <w:autoSpaceDN/>
              <w:bidi w:val="0"/>
              <w:adjustRightInd/>
              <w:snapToGrid w:val="0"/>
              <w:spacing w:after="0" w:line="240" w:lineRule="atLeast"/>
              <w:ind w:firstLine="360" w:firstLineChars="200"/>
              <w:textAlignment w:val="baseline"/>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承包人应在工程竣工验收签证书颁发后10个工作日内向监理人提交8份竣工付款申请单及相关竣工结算资料。</w:t>
            </w:r>
          </w:p>
          <w:p w14:paraId="3604B7F6">
            <w:pPr>
              <w:pStyle w:val="53"/>
              <w:keepNext w:val="0"/>
              <w:keepLines w:val="0"/>
              <w:pageBreakBefore w:val="0"/>
              <w:widowControl/>
              <w:kinsoku/>
              <w:wordWrap/>
              <w:overflowPunct/>
              <w:topLinePunct w:val="0"/>
              <w:autoSpaceDE/>
              <w:autoSpaceDN/>
              <w:bidi w:val="0"/>
              <w:adjustRightInd/>
              <w:snapToGrid w:val="0"/>
              <w:spacing w:after="0" w:line="240" w:lineRule="atLeast"/>
              <w:ind w:firstLine="360" w:firstLineChars="200"/>
              <w:textAlignment w:val="baseline"/>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如承包人未在本合同约定的时间内提供完整的工程竣工结算资料，经发包人催促后14天内仍未提供或没有明确答复，发包人有权根据已有资料进行审查，责任由承包人自负。除合同另有约定外，竣工付款申请单应包括下列内容：竣工结算合同价格、发包人已支付承包人的工程价款、应扣留的违约金、应支付的竣工付款金额、索赔清单及其索赔费用、由发包人提供的材料/设备等剩余实物清单等。</w:t>
            </w:r>
          </w:p>
          <w:p w14:paraId="39D3879A">
            <w:pPr>
              <w:pStyle w:val="53"/>
              <w:keepNext w:val="0"/>
              <w:keepLines w:val="0"/>
              <w:pageBreakBefore w:val="0"/>
              <w:widowControl/>
              <w:kinsoku/>
              <w:wordWrap/>
              <w:overflowPunct/>
              <w:topLinePunct w:val="0"/>
              <w:autoSpaceDE/>
              <w:autoSpaceDN/>
              <w:bidi w:val="0"/>
              <w:adjustRightInd/>
              <w:snapToGrid w:val="0"/>
              <w:spacing w:after="0" w:line="240" w:lineRule="atLeast"/>
              <w:ind w:firstLine="360" w:firstLineChars="200"/>
              <w:textAlignment w:val="baseline"/>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sz w:val="18"/>
                <w:szCs w:val="18"/>
                <w:highlight w:val="none"/>
              </w:rPr>
              <w:t>承包人未按合同约定的期限及时报送工程结算文件的，每延期一天，应向发包人支付签约合同价0.001%的违约金。</w:t>
            </w:r>
          </w:p>
          <w:p w14:paraId="66FF4176">
            <w:pPr>
              <w:pStyle w:val="53"/>
              <w:snapToGrid w:val="0"/>
              <w:spacing w:after="0" w:line="240" w:lineRule="atLeast"/>
              <w:ind w:firstLine="360" w:firstLineChars="200"/>
              <w:rPr>
                <w:rStyle w:val="37"/>
                <w:rFonts w:hint="eastAsia" w:asciiTheme="majorEastAsia" w:hAnsiTheme="majorEastAsia" w:eastAsiaTheme="majorEastAsia" w:cstheme="majorEastAsia"/>
                <w:color w:val="auto"/>
                <w:kern w:val="0"/>
                <w:sz w:val="18"/>
                <w:szCs w:val="18"/>
                <w:highlight w:val="none"/>
              </w:rPr>
            </w:pPr>
          </w:p>
        </w:tc>
        <w:tc>
          <w:tcPr>
            <w:tcW w:w="475" w:type="dxa"/>
            <w:tcBorders>
              <w:top w:val="single" w:color="000000" w:sz="4" w:space="0"/>
              <w:left w:val="single" w:color="000000" w:sz="4" w:space="0"/>
              <w:bottom w:val="single" w:color="000000" w:sz="4" w:space="0"/>
              <w:right w:val="nil"/>
            </w:tcBorders>
            <w:vAlign w:val="center"/>
          </w:tcPr>
          <w:p w14:paraId="045FA1D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5B2C06DB">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90" w:hRule="atLeast"/>
          <w:jc w:val="center"/>
        </w:trPr>
        <w:tc>
          <w:tcPr>
            <w:tcW w:w="1437" w:type="dxa"/>
            <w:tcBorders>
              <w:top w:val="single" w:color="000000" w:sz="4" w:space="0"/>
              <w:left w:val="nil"/>
              <w:bottom w:val="single" w:color="000000" w:sz="4" w:space="0"/>
              <w:right w:val="single" w:color="000000" w:sz="4" w:space="0"/>
            </w:tcBorders>
            <w:vAlign w:val="center"/>
          </w:tcPr>
          <w:p w14:paraId="66D8AC05">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1C209">
            <w:pPr>
              <w:snapToGrid w:val="0"/>
              <w:spacing w:line="240" w:lineRule="atLeast"/>
              <w:jc w:val="left"/>
              <w:rPr>
                <w:rFonts w:hint="eastAsia" w:asciiTheme="majorEastAsia" w:hAnsiTheme="majorEastAsia" w:eastAsiaTheme="majorEastAsia" w:cstheme="majorEastAsia"/>
                <w:color w:val="auto"/>
                <w:kern w:val="0"/>
                <w:sz w:val="18"/>
                <w:szCs w:val="18"/>
                <w:highlight w:val="none"/>
                <w:lang w:val="en-US" w:eastAsia="zh-CN" w:bidi="ar-SA"/>
              </w:rPr>
            </w:pPr>
            <w:r>
              <w:rPr>
                <w:rStyle w:val="37"/>
                <w:rFonts w:hint="eastAsia" w:asciiTheme="majorEastAsia" w:hAnsiTheme="majorEastAsia" w:eastAsiaTheme="majorEastAsia" w:cstheme="majorEastAsia"/>
                <w:color w:val="auto"/>
                <w:kern w:val="0"/>
                <w:sz w:val="18"/>
                <w:szCs w:val="18"/>
                <w:highlight w:val="none"/>
              </w:rPr>
              <w:t>专用条款第17.</w:t>
            </w:r>
            <w:r>
              <w:rPr>
                <w:rStyle w:val="37"/>
                <w:rFonts w:hint="eastAsia" w:asciiTheme="majorEastAsia" w:hAnsiTheme="majorEastAsia" w:eastAsiaTheme="majorEastAsia" w:cstheme="majorEastAsia"/>
                <w:color w:val="auto"/>
                <w:kern w:val="0"/>
                <w:sz w:val="18"/>
                <w:szCs w:val="18"/>
                <w:highlight w:val="none"/>
                <w:lang w:val="en-US" w:eastAsia="zh-CN"/>
              </w:rPr>
              <w:t>5.2</w:t>
            </w:r>
            <w:r>
              <w:rPr>
                <w:rStyle w:val="37"/>
                <w:rFonts w:hint="eastAsia" w:asciiTheme="majorEastAsia" w:hAnsiTheme="majorEastAsia" w:eastAsiaTheme="majorEastAsia" w:cstheme="majorEastAsia"/>
                <w:color w:val="auto"/>
                <w:kern w:val="0"/>
                <w:sz w:val="18"/>
                <w:szCs w:val="18"/>
                <w:highlight w:val="none"/>
              </w:rPr>
              <w:t>条</w:t>
            </w:r>
          </w:p>
        </w:tc>
        <w:tc>
          <w:tcPr>
            <w:tcW w:w="40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455112">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17.5.</w:t>
            </w:r>
            <w:r>
              <w:rPr>
                <w:rStyle w:val="37"/>
                <w:rFonts w:hint="eastAsia" w:asciiTheme="majorEastAsia" w:hAnsiTheme="majorEastAsia" w:eastAsiaTheme="majorEastAsia" w:cstheme="majorEastAsia"/>
                <w:color w:val="auto"/>
                <w:kern w:val="0"/>
                <w:sz w:val="18"/>
                <w:szCs w:val="18"/>
                <w:highlight w:val="none"/>
                <w:lang w:val="en-US" w:eastAsia="zh-CN"/>
              </w:rPr>
              <w:t>2</w:t>
            </w:r>
            <w:r>
              <w:rPr>
                <w:rStyle w:val="37"/>
                <w:rFonts w:hint="eastAsia" w:asciiTheme="majorEastAsia" w:hAnsiTheme="majorEastAsia" w:eastAsiaTheme="majorEastAsia" w:cstheme="majorEastAsia"/>
                <w:color w:val="auto"/>
                <w:kern w:val="0"/>
                <w:sz w:val="18"/>
                <w:szCs w:val="18"/>
                <w:highlight w:val="none"/>
              </w:rPr>
              <w:t>竣工付款证书及支付时间</w:t>
            </w:r>
          </w:p>
          <w:p w14:paraId="7BE12312">
            <w:pPr>
              <w:adjustRightInd w:val="0"/>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17.5.</w:t>
            </w:r>
            <w:r>
              <w:rPr>
                <w:rStyle w:val="37"/>
                <w:rFonts w:hint="eastAsia" w:asciiTheme="majorEastAsia" w:hAnsiTheme="majorEastAsia" w:eastAsiaTheme="majorEastAsia" w:cstheme="majorEastAsia"/>
                <w:color w:val="auto"/>
                <w:kern w:val="0"/>
                <w:sz w:val="18"/>
                <w:szCs w:val="18"/>
                <w:highlight w:val="none"/>
                <w:lang w:val="en-US" w:eastAsia="zh-CN"/>
              </w:rPr>
              <w:t>2</w:t>
            </w:r>
            <w:r>
              <w:rPr>
                <w:rStyle w:val="37"/>
                <w:rFonts w:hint="eastAsia" w:asciiTheme="majorEastAsia" w:hAnsiTheme="majorEastAsia" w:eastAsiaTheme="majorEastAsia" w:cstheme="majorEastAsia"/>
                <w:color w:val="auto"/>
                <w:kern w:val="0"/>
                <w:sz w:val="18"/>
                <w:szCs w:val="18"/>
                <w:highlight w:val="none"/>
              </w:rPr>
              <w:t>（</w:t>
            </w:r>
            <w:r>
              <w:rPr>
                <w:rStyle w:val="37"/>
                <w:rFonts w:hint="eastAsia" w:asciiTheme="majorEastAsia" w:hAnsiTheme="majorEastAsia" w:eastAsiaTheme="majorEastAsia" w:cstheme="majorEastAsia"/>
                <w:color w:val="auto"/>
                <w:kern w:val="0"/>
                <w:sz w:val="18"/>
                <w:szCs w:val="18"/>
                <w:highlight w:val="none"/>
                <w:lang w:val="en-US" w:eastAsia="zh-CN"/>
              </w:rPr>
              <w:t>2</w:t>
            </w:r>
            <w:r>
              <w:rPr>
                <w:rStyle w:val="37"/>
                <w:rFonts w:hint="eastAsia" w:asciiTheme="majorEastAsia" w:hAnsiTheme="majorEastAsia" w:eastAsiaTheme="majorEastAsia" w:cstheme="majorEastAsia"/>
                <w:color w:val="auto"/>
                <w:kern w:val="0"/>
                <w:sz w:val="18"/>
                <w:szCs w:val="18"/>
                <w:highlight w:val="none"/>
              </w:rPr>
              <w:t>）修改为：</w:t>
            </w:r>
          </w:p>
          <w:p w14:paraId="77FB60E3">
            <w:pPr>
              <w:adjustRightInd w:val="0"/>
              <w:snapToGrid w:val="0"/>
              <w:spacing w:line="240" w:lineRule="atLeast"/>
              <w:ind w:firstLine="360" w:firstLineChars="200"/>
              <w:jc w:val="left"/>
              <w:rPr>
                <w:rFonts w:hint="eastAsia" w:asciiTheme="majorEastAsia" w:hAnsiTheme="majorEastAsia" w:eastAsiaTheme="majorEastAsia" w:cstheme="majorEastAsia"/>
                <w:color w:val="auto"/>
                <w:kern w:val="0"/>
                <w:sz w:val="18"/>
                <w:szCs w:val="18"/>
                <w:highlight w:val="none"/>
                <w:lang w:val="en-US" w:eastAsia="zh-CN" w:bidi="ar-SA"/>
              </w:rPr>
            </w:pPr>
            <w:r>
              <w:rPr>
                <w:rStyle w:val="37"/>
                <w:rFonts w:hint="eastAsia" w:asciiTheme="majorEastAsia" w:hAnsiTheme="majorEastAsia" w:eastAsiaTheme="majorEastAsia" w:cstheme="majorEastAsia"/>
                <w:color w:val="auto"/>
                <w:kern w:val="0"/>
                <w:sz w:val="18"/>
                <w:szCs w:val="18"/>
                <w:highlight w:val="none"/>
              </w:rPr>
              <w:t>发包人审核完毕后，承包人同意由发包人委托具有相应资质的中介机构就竣工结算进行审核或审计，且发包人和承包人同意以该审核或审计结论作为本合同工程竣工结算依据。但是，在法律、行政法规明确规定的前提下，若政府有关审计机关或财政等行政机关按照法律规定对项目进行审计或财政评审的，发包人和承包人同意以审计机关作出的审计报告、财政评审机构作出的评审结论据实调整工程价款。</w:t>
            </w:r>
          </w:p>
        </w:tc>
        <w:tc>
          <w:tcPr>
            <w:tcW w:w="424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253B3">
            <w:pPr>
              <w:pStyle w:val="53"/>
              <w:snapToGrid w:val="0"/>
              <w:spacing w:after="0" w:line="240" w:lineRule="atLeast"/>
              <w:ind w:firstLine="0" w:firstLineChars="0"/>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修改为：</w:t>
            </w:r>
          </w:p>
          <w:p w14:paraId="498F41A6">
            <w:pPr>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17.5.</w:t>
            </w:r>
            <w:r>
              <w:rPr>
                <w:rStyle w:val="37"/>
                <w:rFonts w:hint="eastAsia" w:asciiTheme="majorEastAsia" w:hAnsiTheme="majorEastAsia" w:eastAsiaTheme="majorEastAsia" w:cstheme="majorEastAsia"/>
                <w:color w:val="auto"/>
                <w:kern w:val="0"/>
                <w:sz w:val="18"/>
                <w:szCs w:val="18"/>
                <w:highlight w:val="none"/>
                <w:lang w:val="en-US" w:eastAsia="zh-CN"/>
              </w:rPr>
              <w:t>2</w:t>
            </w:r>
            <w:r>
              <w:rPr>
                <w:rStyle w:val="37"/>
                <w:rFonts w:hint="eastAsia" w:asciiTheme="majorEastAsia" w:hAnsiTheme="majorEastAsia" w:eastAsiaTheme="majorEastAsia" w:cstheme="majorEastAsia"/>
                <w:color w:val="auto"/>
                <w:kern w:val="0"/>
                <w:sz w:val="18"/>
                <w:szCs w:val="18"/>
                <w:highlight w:val="none"/>
              </w:rPr>
              <w:t>（</w:t>
            </w:r>
            <w:r>
              <w:rPr>
                <w:rStyle w:val="37"/>
                <w:rFonts w:hint="eastAsia" w:asciiTheme="majorEastAsia" w:hAnsiTheme="majorEastAsia" w:eastAsiaTheme="majorEastAsia" w:cstheme="majorEastAsia"/>
                <w:color w:val="auto"/>
                <w:kern w:val="0"/>
                <w:sz w:val="18"/>
                <w:szCs w:val="18"/>
                <w:highlight w:val="none"/>
                <w:lang w:val="en-US" w:eastAsia="zh-CN"/>
              </w:rPr>
              <w:t>2</w:t>
            </w:r>
            <w:r>
              <w:rPr>
                <w:rStyle w:val="37"/>
                <w:rFonts w:hint="eastAsia" w:asciiTheme="majorEastAsia" w:hAnsiTheme="majorEastAsia" w:eastAsiaTheme="majorEastAsia" w:cstheme="majorEastAsia"/>
                <w:color w:val="auto"/>
                <w:kern w:val="0"/>
                <w:sz w:val="18"/>
                <w:szCs w:val="18"/>
                <w:highlight w:val="none"/>
              </w:rPr>
              <w:t>）</w:t>
            </w:r>
          </w:p>
          <w:p w14:paraId="46C3EE59">
            <w:pPr>
              <w:adjustRightInd w:val="0"/>
              <w:snapToGrid w:val="0"/>
              <w:spacing w:line="240" w:lineRule="atLeast"/>
              <w:ind w:firstLine="360" w:firstLineChars="200"/>
              <w:jc w:val="left"/>
              <w:rPr>
                <w:rFonts w:hint="eastAsia" w:asciiTheme="majorEastAsia" w:hAnsiTheme="majorEastAsia" w:eastAsiaTheme="majorEastAsia" w:cstheme="majorEastAsia"/>
                <w:color w:val="auto"/>
                <w:kern w:val="0"/>
                <w:sz w:val="18"/>
                <w:szCs w:val="18"/>
                <w:highlight w:val="none"/>
                <w:lang w:val="en-US" w:eastAsia="zh-CN" w:bidi="ar-SA"/>
              </w:rPr>
            </w:pPr>
            <w:r>
              <w:rPr>
                <w:rStyle w:val="37"/>
                <w:rFonts w:hint="eastAsia" w:asciiTheme="majorEastAsia" w:hAnsiTheme="majorEastAsia" w:eastAsiaTheme="majorEastAsia" w:cstheme="majorEastAsia"/>
                <w:color w:val="auto"/>
                <w:kern w:val="0"/>
                <w:sz w:val="18"/>
                <w:szCs w:val="18"/>
                <w:highlight w:val="none"/>
              </w:rPr>
              <w:t>发包人审核完毕后，承包人同意由发包人委托具有相应资质的中介机构就竣工结算进行审核或审计，且发包人和承包人同意以该审核或审计结论作为本合同工程竣工结算依据。但是，在法律、行政法规明确规定的前提下，若政府有关审计机关或财政等行政机关按照法律规定对项目进行审计或财政评审的，发包人和承包人同意以审计机关作出的审计报告、财政评审机构作出的评审结论作为工程价款结算依据，并据此据实调整工程价款</w:t>
            </w: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rPr>
              <w:t>承包人为中小企业的除外。</w:t>
            </w:r>
          </w:p>
        </w:tc>
        <w:tc>
          <w:tcPr>
            <w:tcW w:w="475" w:type="dxa"/>
            <w:tcBorders>
              <w:top w:val="single" w:color="000000" w:sz="4" w:space="0"/>
              <w:left w:val="single" w:color="000000" w:sz="4" w:space="0"/>
              <w:bottom w:val="single" w:color="000000" w:sz="4" w:space="0"/>
              <w:right w:val="nil"/>
            </w:tcBorders>
            <w:vAlign w:val="center"/>
          </w:tcPr>
          <w:p w14:paraId="177236C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545045C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415" w:hRule="atLeast"/>
          <w:jc w:val="center"/>
        </w:trPr>
        <w:tc>
          <w:tcPr>
            <w:tcW w:w="1437" w:type="dxa"/>
            <w:tcBorders>
              <w:top w:val="single" w:color="000000" w:sz="4" w:space="0"/>
              <w:left w:val="nil"/>
              <w:bottom w:val="single" w:color="000000" w:sz="4" w:space="0"/>
              <w:right w:val="single" w:color="000000" w:sz="4" w:space="0"/>
            </w:tcBorders>
            <w:vAlign w:val="center"/>
          </w:tcPr>
          <w:p w14:paraId="2C44B658">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975B47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专用条款第17.7条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016CC67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17.7承包人应开具增值税专用发票。</w:t>
            </w:r>
          </w:p>
        </w:tc>
        <w:tc>
          <w:tcPr>
            <w:tcW w:w="4247" w:type="dxa"/>
            <w:tcBorders>
              <w:top w:val="single" w:color="000000" w:sz="4" w:space="0"/>
              <w:left w:val="single" w:color="000000" w:sz="4" w:space="0"/>
              <w:bottom w:val="single" w:color="000000" w:sz="4" w:space="0"/>
              <w:right w:val="single" w:color="000000" w:sz="4" w:space="0"/>
            </w:tcBorders>
          </w:tcPr>
          <w:p w14:paraId="17548D3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bCs/>
                <w:color w:val="auto"/>
                <w:sz w:val="18"/>
                <w:szCs w:val="18"/>
                <w:highlight w:val="none"/>
              </w:rPr>
              <w:t>修改为</w:t>
            </w:r>
            <w:r>
              <w:rPr>
                <w:rFonts w:hint="eastAsia" w:asciiTheme="majorEastAsia" w:hAnsiTheme="majorEastAsia" w:eastAsiaTheme="majorEastAsia" w:cstheme="majorEastAsia"/>
                <w:color w:val="auto"/>
                <w:sz w:val="18"/>
                <w:szCs w:val="18"/>
                <w:highlight w:val="none"/>
              </w:rPr>
              <w:t>：</w:t>
            </w:r>
          </w:p>
          <w:p w14:paraId="12F7276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17.7受托方签订合同的需明确委托责任，增加以下条款：</w:t>
            </w:r>
          </w:p>
          <w:p w14:paraId="05D3DCB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（1）甲方（受托方）系受xx（委托方）授权委托签署本合同，本合同项下约定的采购货物/劳务/服务的实际购买方为xx（委托方）。</w:t>
            </w:r>
          </w:p>
          <w:p w14:paraId="27992FA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（2）受xx（委托方）委托，因履行本合同产生的价款结算义务，由xx（委托方）支付至甲方（受托方），再由甲方（受托方）直接向乙方进行结算，甲方（受托方）不垫付资金。</w:t>
            </w:r>
          </w:p>
          <w:p w14:paraId="6A37E9A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（3）鉴于xx（委托方）为实际购买方及款项承担方，乙方应向xx（委托方）开具增值税专用发票，开票信息如下：</w:t>
            </w:r>
          </w:p>
          <w:p w14:paraId="65F1EC1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发票类型：增值税专用发票</w:t>
            </w:r>
          </w:p>
          <w:p w14:paraId="0D823C7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发票抬头：</w:t>
            </w:r>
            <w:r>
              <w:rPr>
                <w:rStyle w:val="37"/>
                <w:rFonts w:hint="eastAsia" w:asciiTheme="majorEastAsia" w:hAnsiTheme="majorEastAsia" w:eastAsiaTheme="majorEastAsia" w:cstheme="majorEastAsia"/>
                <w:color w:val="auto"/>
                <w:kern w:val="0"/>
                <w:sz w:val="18"/>
                <w:szCs w:val="18"/>
                <w:highlight w:val="none"/>
                <w:lang w:val="zh-CN"/>
              </w:rPr>
              <w:t>国网</w:t>
            </w:r>
            <w:r>
              <w:rPr>
                <w:rStyle w:val="37"/>
                <w:rFonts w:hint="eastAsia" w:asciiTheme="majorEastAsia" w:hAnsiTheme="majorEastAsia" w:eastAsiaTheme="majorEastAsia" w:cstheme="majorEastAsia"/>
                <w:color w:val="auto"/>
                <w:kern w:val="0"/>
                <w:sz w:val="18"/>
                <w:szCs w:val="18"/>
                <w:highlight w:val="none"/>
                <w:lang w:val="zh-CN" w:eastAsia="zh-CN"/>
              </w:rPr>
              <w:t>浙江</w:t>
            </w:r>
            <w:r>
              <w:rPr>
                <w:rStyle w:val="37"/>
                <w:rFonts w:hint="eastAsia" w:asciiTheme="majorEastAsia" w:hAnsiTheme="majorEastAsia" w:eastAsiaTheme="majorEastAsia" w:cstheme="majorEastAsia"/>
                <w:color w:val="auto"/>
                <w:kern w:val="0"/>
                <w:sz w:val="18"/>
                <w:szCs w:val="18"/>
                <w:highlight w:val="none"/>
                <w:lang w:val="zh-CN"/>
              </w:rPr>
              <w:t>省电力有限公司</w:t>
            </w:r>
          </w:p>
          <w:p w14:paraId="26668A3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纳税人识别号：</w:t>
            </w:r>
            <w:r>
              <w:rPr>
                <w:rStyle w:val="37"/>
                <w:rFonts w:hint="eastAsia" w:asciiTheme="majorEastAsia" w:hAnsiTheme="majorEastAsia" w:eastAsiaTheme="majorEastAsia" w:cstheme="majorEastAsia"/>
                <w:color w:val="auto"/>
                <w:kern w:val="0"/>
                <w:sz w:val="18"/>
                <w:szCs w:val="18"/>
                <w:highlight w:val="none"/>
                <w:lang w:val="zh-CN"/>
              </w:rPr>
              <w:t>913</w:t>
            </w:r>
            <w:r>
              <w:rPr>
                <w:rStyle w:val="37"/>
                <w:rFonts w:hint="eastAsia" w:asciiTheme="majorEastAsia" w:hAnsiTheme="majorEastAsia" w:eastAsiaTheme="majorEastAsia" w:cstheme="majorEastAsia"/>
                <w:color w:val="auto"/>
                <w:kern w:val="0"/>
                <w:sz w:val="18"/>
                <w:szCs w:val="18"/>
                <w:highlight w:val="none"/>
                <w:lang w:val="zh-CN" w:eastAsia="zh-CN"/>
              </w:rPr>
              <w:t>30000142911635Y</w:t>
            </w:r>
          </w:p>
          <w:p w14:paraId="6470A41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地址：</w:t>
            </w:r>
            <w:r>
              <w:rPr>
                <w:rStyle w:val="37"/>
                <w:rFonts w:hint="eastAsia" w:asciiTheme="majorEastAsia" w:hAnsiTheme="majorEastAsia" w:eastAsiaTheme="majorEastAsia" w:cstheme="majorEastAsia"/>
                <w:color w:val="auto"/>
                <w:kern w:val="0"/>
                <w:sz w:val="18"/>
                <w:szCs w:val="18"/>
                <w:highlight w:val="none"/>
                <w:lang w:val="zh-CN" w:eastAsia="zh-CN"/>
              </w:rPr>
              <w:t>杭州</w:t>
            </w:r>
            <w:r>
              <w:rPr>
                <w:rStyle w:val="37"/>
                <w:rFonts w:hint="eastAsia" w:asciiTheme="majorEastAsia" w:hAnsiTheme="majorEastAsia" w:eastAsiaTheme="majorEastAsia" w:cstheme="majorEastAsia"/>
                <w:color w:val="auto"/>
                <w:kern w:val="0"/>
                <w:sz w:val="18"/>
                <w:szCs w:val="18"/>
                <w:highlight w:val="none"/>
                <w:lang w:val="zh-CN"/>
              </w:rPr>
              <w:t>市</w:t>
            </w:r>
            <w:r>
              <w:rPr>
                <w:rStyle w:val="37"/>
                <w:rFonts w:hint="eastAsia" w:asciiTheme="majorEastAsia" w:hAnsiTheme="majorEastAsia" w:eastAsiaTheme="majorEastAsia" w:cstheme="majorEastAsia"/>
                <w:color w:val="auto"/>
                <w:kern w:val="0"/>
                <w:sz w:val="18"/>
                <w:szCs w:val="18"/>
                <w:highlight w:val="none"/>
                <w:lang w:val="zh-CN" w:eastAsia="zh-CN"/>
              </w:rPr>
              <w:t>黄龙</w:t>
            </w:r>
            <w:r>
              <w:rPr>
                <w:rStyle w:val="37"/>
                <w:rFonts w:hint="eastAsia" w:asciiTheme="majorEastAsia" w:hAnsiTheme="majorEastAsia" w:eastAsiaTheme="majorEastAsia" w:cstheme="majorEastAsia"/>
                <w:color w:val="auto"/>
                <w:kern w:val="0"/>
                <w:sz w:val="18"/>
                <w:szCs w:val="18"/>
                <w:highlight w:val="none"/>
                <w:lang w:val="zh-CN"/>
              </w:rPr>
              <w:t>路</w:t>
            </w:r>
            <w:r>
              <w:rPr>
                <w:rStyle w:val="37"/>
                <w:rFonts w:hint="eastAsia" w:asciiTheme="majorEastAsia" w:hAnsiTheme="majorEastAsia" w:eastAsiaTheme="majorEastAsia" w:cstheme="majorEastAsia"/>
                <w:color w:val="auto"/>
                <w:kern w:val="0"/>
                <w:sz w:val="18"/>
                <w:szCs w:val="18"/>
                <w:highlight w:val="none"/>
                <w:lang w:val="zh-CN" w:eastAsia="zh-CN"/>
              </w:rPr>
              <w:t>8</w:t>
            </w:r>
            <w:r>
              <w:rPr>
                <w:rStyle w:val="37"/>
                <w:rFonts w:hint="eastAsia" w:asciiTheme="majorEastAsia" w:hAnsiTheme="majorEastAsia" w:eastAsiaTheme="majorEastAsia" w:cstheme="majorEastAsia"/>
                <w:color w:val="auto"/>
                <w:kern w:val="0"/>
                <w:sz w:val="18"/>
                <w:szCs w:val="18"/>
                <w:highlight w:val="none"/>
                <w:lang w:val="zh-CN"/>
              </w:rPr>
              <w:t>号</w:t>
            </w:r>
          </w:p>
          <w:p w14:paraId="7250AB8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电话：</w:t>
            </w:r>
            <w:r>
              <w:rPr>
                <w:rStyle w:val="37"/>
                <w:rFonts w:hint="eastAsia" w:asciiTheme="majorEastAsia" w:hAnsiTheme="majorEastAsia" w:eastAsiaTheme="majorEastAsia" w:cstheme="majorEastAsia"/>
                <w:color w:val="auto"/>
                <w:kern w:val="0"/>
                <w:sz w:val="18"/>
                <w:szCs w:val="18"/>
                <w:highlight w:val="none"/>
                <w:lang w:val="zh-CN"/>
              </w:rPr>
              <w:t>05</w:t>
            </w:r>
            <w:r>
              <w:rPr>
                <w:rStyle w:val="37"/>
                <w:rFonts w:hint="eastAsia" w:asciiTheme="majorEastAsia" w:hAnsiTheme="majorEastAsia" w:eastAsiaTheme="majorEastAsia" w:cstheme="majorEastAsia"/>
                <w:color w:val="auto"/>
                <w:kern w:val="0"/>
                <w:sz w:val="18"/>
                <w:szCs w:val="18"/>
                <w:highlight w:val="none"/>
                <w:lang w:val="zh-CN" w:eastAsia="zh-CN"/>
              </w:rPr>
              <w:t>7</w:t>
            </w:r>
            <w:r>
              <w:rPr>
                <w:rStyle w:val="37"/>
                <w:rFonts w:hint="eastAsia" w:asciiTheme="majorEastAsia" w:hAnsiTheme="majorEastAsia" w:eastAsiaTheme="majorEastAsia" w:cstheme="majorEastAsia"/>
                <w:color w:val="auto"/>
                <w:kern w:val="0"/>
                <w:sz w:val="18"/>
                <w:szCs w:val="18"/>
                <w:highlight w:val="none"/>
                <w:lang w:val="zh-CN"/>
              </w:rPr>
              <w:t>1—</w:t>
            </w:r>
            <w:r>
              <w:rPr>
                <w:rStyle w:val="37"/>
                <w:rFonts w:hint="eastAsia" w:asciiTheme="majorEastAsia" w:hAnsiTheme="majorEastAsia" w:eastAsiaTheme="majorEastAsia" w:cstheme="majorEastAsia"/>
                <w:color w:val="auto"/>
                <w:kern w:val="0"/>
                <w:sz w:val="18"/>
                <w:szCs w:val="18"/>
                <w:highlight w:val="none"/>
                <w:lang w:val="zh-CN" w:eastAsia="zh-CN"/>
              </w:rPr>
              <w:t>51102856</w:t>
            </w:r>
          </w:p>
          <w:p w14:paraId="3CA3716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开户行：</w:t>
            </w:r>
            <w:r>
              <w:rPr>
                <w:rStyle w:val="37"/>
                <w:rFonts w:hint="eastAsia" w:asciiTheme="majorEastAsia" w:hAnsiTheme="majorEastAsia" w:eastAsiaTheme="majorEastAsia" w:cstheme="majorEastAsia"/>
                <w:color w:val="auto"/>
                <w:kern w:val="0"/>
                <w:sz w:val="18"/>
                <w:szCs w:val="18"/>
                <w:highlight w:val="none"/>
                <w:lang w:val="zh-CN" w:eastAsia="zh-CN"/>
              </w:rPr>
              <w:t>工行杭州体育场路</w:t>
            </w:r>
            <w:r>
              <w:rPr>
                <w:rStyle w:val="37"/>
                <w:rFonts w:hint="eastAsia" w:asciiTheme="majorEastAsia" w:hAnsiTheme="majorEastAsia" w:eastAsiaTheme="majorEastAsia" w:cstheme="majorEastAsia"/>
                <w:color w:val="auto"/>
                <w:kern w:val="0"/>
                <w:sz w:val="18"/>
                <w:szCs w:val="18"/>
                <w:highlight w:val="none"/>
                <w:lang w:val="zh-CN"/>
              </w:rPr>
              <w:t>支行</w:t>
            </w:r>
          </w:p>
          <w:p w14:paraId="546FF8C6">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账号：</w:t>
            </w:r>
            <w:r>
              <w:rPr>
                <w:rStyle w:val="37"/>
                <w:rFonts w:hint="eastAsia" w:asciiTheme="majorEastAsia" w:hAnsiTheme="majorEastAsia" w:eastAsiaTheme="majorEastAsia" w:cstheme="majorEastAsia"/>
                <w:color w:val="auto"/>
                <w:kern w:val="0"/>
                <w:sz w:val="18"/>
                <w:szCs w:val="18"/>
                <w:highlight w:val="none"/>
                <w:lang w:val="zh-CN" w:eastAsia="zh-CN"/>
              </w:rPr>
              <w:t>1202021009003400122</w:t>
            </w:r>
          </w:p>
          <w:p w14:paraId="5CC4C6D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考虑到增值税抵扣的时效性，承包人必须在增值税发票开票日期30日内将取得的增值税发票随工程资金付款手续一并送达发包人。承包人应按当期工程形象进度开具发票金额。如承包人应提供而未提供增值税发票，发包人有权拒绝支付当期工程进度款。</w:t>
            </w:r>
          </w:p>
        </w:tc>
        <w:tc>
          <w:tcPr>
            <w:tcW w:w="475" w:type="dxa"/>
            <w:tcBorders>
              <w:top w:val="single" w:color="000000" w:sz="4" w:space="0"/>
              <w:left w:val="single" w:color="000000" w:sz="4" w:space="0"/>
              <w:bottom w:val="single" w:color="000000" w:sz="4" w:space="0"/>
              <w:right w:val="nil"/>
            </w:tcBorders>
            <w:vAlign w:val="center"/>
          </w:tcPr>
          <w:p w14:paraId="67C641A2">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w:t>
            </w:r>
          </w:p>
        </w:tc>
      </w:tr>
      <w:tr w14:paraId="2E9DD6D5">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415" w:hRule="atLeast"/>
          <w:jc w:val="center"/>
        </w:trPr>
        <w:tc>
          <w:tcPr>
            <w:tcW w:w="1437" w:type="dxa"/>
            <w:tcBorders>
              <w:top w:val="single" w:color="000000" w:sz="4" w:space="0"/>
              <w:left w:val="nil"/>
              <w:bottom w:val="single" w:color="000000" w:sz="4" w:space="0"/>
              <w:right w:val="single" w:color="000000" w:sz="4" w:space="0"/>
            </w:tcBorders>
            <w:vAlign w:val="center"/>
          </w:tcPr>
          <w:p w14:paraId="74CDA260">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1BCD107">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专用条款第17.8条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6A44A4ED">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17.8人工费用（增加）：</w:t>
            </w:r>
          </w:p>
          <w:p w14:paraId="290353AF">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17.8.1为全面保障农民工工资按时足额支付，人工费用按以下第   种方式计算：</w:t>
            </w:r>
          </w:p>
          <w:p w14:paraId="2504CC54">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（1）通过预算定额，依据现场实际已完工程量进行计算。</w:t>
            </w:r>
          </w:p>
          <w:p w14:paraId="6C2B62CF">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（2）通过工程量清单计价，依据现场实际已完工程量进行计算。</w:t>
            </w:r>
          </w:p>
          <w:p w14:paraId="0894378E">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（3）其他：              。</w:t>
            </w:r>
          </w:p>
          <w:p w14:paraId="0BE07EDA">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17.8.2人工费用拨付周期不得超过1个月，具体为：</w:t>
            </w:r>
          </w:p>
          <w:p w14:paraId="5BEC9E53">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□按月拨付</w:t>
            </w:r>
          </w:p>
          <w:p w14:paraId="58E13BB0">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□按周拨付</w:t>
            </w:r>
          </w:p>
          <w:p w14:paraId="2F0B4597">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□其他：          。</w:t>
            </w:r>
          </w:p>
          <w:p w14:paraId="6FA325AF">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承包人应在人工费用到达专用账户后    日内支付给农民工。</w:t>
            </w:r>
          </w:p>
        </w:tc>
        <w:tc>
          <w:tcPr>
            <w:tcW w:w="4247" w:type="dxa"/>
            <w:tcBorders>
              <w:top w:val="single" w:color="000000" w:sz="4" w:space="0"/>
              <w:left w:val="single" w:color="000000" w:sz="4" w:space="0"/>
              <w:bottom w:val="single" w:color="000000" w:sz="4" w:space="0"/>
              <w:right w:val="single" w:color="000000" w:sz="4" w:space="0"/>
            </w:tcBorders>
          </w:tcPr>
          <w:p w14:paraId="557E471B">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b/>
                <w:bCs/>
                <w:color w:val="auto"/>
                <w:sz w:val="18"/>
                <w:szCs w:val="18"/>
                <w:highlight w:val="none"/>
              </w:rPr>
            </w:pPr>
            <w:r>
              <w:rPr>
                <w:rFonts w:hint="eastAsia" w:asciiTheme="majorEastAsia" w:hAnsiTheme="majorEastAsia" w:eastAsiaTheme="majorEastAsia" w:cstheme="majorEastAsia"/>
                <w:b/>
                <w:bCs/>
                <w:color w:val="auto"/>
                <w:sz w:val="18"/>
                <w:szCs w:val="18"/>
                <w:highlight w:val="none"/>
              </w:rPr>
              <w:t>修改为：</w:t>
            </w:r>
          </w:p>
          <w:p w14:paraId="7DD21585">
            <w:pPr>
              <w:pBdr>
                <w:bottom w:val="single" w:color="000000" w:sz="6" w:space="1"/>
              </w:pBdr>
              <w:tabs>
                <w:tab w:val="center" w:pos="4153"/>
                <w:tab w:val="right" w:pos="8306"/>
              </w:tabs>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17.8人工费用（增加）：</w:t>
            </w:r>
          </w:p>
          <w:p w14:paraId="6EC6E2DD">
            <w:pPr>
              <w:pBdr>
                <w:bottom w:val="single" w:color="000000" w:sz="6" w:space="1"/>
              </w:pBdr>
              <w:tabs>
                <w:tab w:val="center" w:pos="4153"/>
                <w:tab w:val="right" w:pos="8306"/>
              </w:tabs>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17.8.1为全面保障农民工工资按时足额支付，人工费用按以下第</w:t>
            </w:r>
            <w:permStart w:id="7" w:edGrp="everyone"/>
            <w:r>
              <w:rPr>
                <w:rFonts w:hint="eastAsia" w:asciiTheme="majorEastAsia" w:hAnsiTheme="majorEastAsia" w:eastAsiaTheme="majorEastAsia" w:cstheme="majorEastAsia"/>
                <w:color w:val="000000"/>
                <w:kern w:val="0"/>
                <w:sz w:val="18"/>
                <w:szCs w:val="18"/>
                <w:u w:val="single"/>
              </w:rPr>
              <w:t>（2）或（3）</w:t>
            </w:r>
            <w:permEnd w:id="7"/>
            <w:r>
              <w:rPr>
                <w:rStyle w:val="37"/>
                <w:rFonts w:hint="eastAsia" w:asciiTheme="majorEastAsia" w:hAnsiTheme="majorEastAsia" w:eastAsiaTheme="majorEastAsia" w:cstheme="majorEastAsia"/>
                <w:color w:val="auto"/>
                <w:kern w:val="0"/>
                <w:sz w:val="18"/>
                <w:szCs w:val="18"/>
                <w:highlight w:val="none"/>
              </w:rPr>
              <w:t>种方式计算：</w:t>
            </w:r>
          </w:p>
          <w:p w14:paraId="026424A7">
            <w:pPr>
              <w:pBdr>
                <w:bottom w:val="single" w:color="000000" w:sz="6" w:space="1"/>
              </w:pBdr>
              <w:tabs>
                <w:tab w:val="center" w:pos="4153"/>
                <w:tab w:val="right" w:pos="8306"/>
              </w:tabs>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（1）通过预算定额，依据现场实际已完工程量进行计算。</w:t>
            </w:r>
          </w:p>
          <w:p w14:paraId="44E80EBF">
            <w:pPr>
              <w:pBdr>
                <w:bottom w:val="single" w:color="000000" w:sz="6" w:space="1"/>
              </w:pBdr>
              <w:tabs>
                <w:tab w:val="center" w:pos="4153"/>
                <w:tab w:val="right" w:pos="8306"/>
              </w:tabs>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（2）通过工程量清单计价，依据现场实际已完工程量进行计算。</w:t>
            </w:r>
          </w:p>
          <w:p w14:paraId="467784DE">
            <w:pPr>
              <w:pBdr>
                <w:bottom w:val="single" w:color="000000" w:sz="6" w:space="1"/>
              </w:pBdr>
              <w:tabs>
                <w:tab w:val="center" w:pos="4153"/>
                <w:tab w:val="right" w:pos="8306"/>
              </w:tabs>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（3）其他：</w:t>
            </w:r>
            <w:permStart w:id="8" w:edGrp="everyone"/>
            <w:r>
              <w:rPr>
                <w:rFonts w:hint="eastAsia" w:asciiTheme="majorEastAsia" w:hAnsiTheme="majorEastAsia" w:eastAsiaTheme="majorEastAsia" w:cstheme="majorEastAsia"/>
                <w:sz w:val="18"/>
                <w:szCs w:val="18"/>
              </w:rPr>
              <w:t>由施工单位根据现场农民工工资实际发放需求确定</w:t>
            </w:r>
            <w:permEnd w:id="8"/>
            <w:r>
              <w:rPr>
                <w:rStyle w:val="37"/>
                <w:rFonts w:hint="eastAsia" w:asciiTheme="majorEastAsia" w:hAnsiTheme="majorEastAsia" w:eastAsiaTheme="majorEastAsia" w:cstheme="majorEastAsia"/>
                <w:color w:val="auto"/>
                <w:kern w:val="0"/>
                <w:sz w:val="18"/>
                <w:szCs w:val="18"/>
                <w:highlight w:val="none"/>
              </w:rPr>
              <w:t>。</w:t>
            </w:r>
          </w:p>
          <w:p w14:paraId="4CBC49E8">
            <w:pPr>
              <w:pBdr>
                <w:bottom w:val="single" w:color="000000" w:sz="6" w:space="1"/>
              </w:pBdr>
              <w:tabs>
                <w:tab w:val="center" w:pos="4153"/>
                <w:tab w:val="right" w:pos="8306"/>
              </w:tabs>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17.8.2人工费用拨付周期不得超过1个月，具体为：</w:t>
            </w:r>
          </w:p>
          <w:p w14:paraId="6E2FB21E">
            <w:pPr>
              <w:pBdr>
                <w:bottom w:val="single" w:color="000000" w:sz="6" w:space="1"/>
              </w:pBdr>
              <w:tabs>
                <w:tab w:val="center" w:pos="4153"/>
                <w:tab w:val="right" w:pos="8306"/>
              </w:tabs>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lang w:eastAsia="zh-CN"/>
              </w:rPr>
              <w:t>☑</w:t>
            </w:r>
            <w:r>
              <w:rPr>
                <w:rStyle w:val="37"/>
                <w:rFonts w:hint="eastAsia" w:asciiTheme="majorEastAsia" w:hAnsiTheme="majorEastAsia" w:eastAsiaTheme="majorEastAsia" w:cstheme="majorEastAsia"/>
                <w:color w:val="auto"/>
                <w:kern w:val="0"/>
                <w:sz w:val="18"/>
                <w:szCs w:val="18"/>
                <w:highlight w:val="none"/>
              </w:rPr>
              <w:t>按月拨付</w:t>
            </w:r>
          </w:p>
          <w:p w14:paraId="110F2936">
            <w:pPr>
              <w:pBdr>
                <w:bottom w:val="single" w:color="000000" w:sz="6" w:space="1"/>
              </w:pBdr>
              <w:tabs>
                <w:tab w:val="center" w:pos="4153"/>
                <w:tab w:val="right" w:pos="8306"/>
              </w:tabs>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□按周拨付</w:t>
            </w:r>
          </w:p>
          <w:p w14:paraId="1F0353BD">
            <w:pPr>
              <w:pBdr>
                <w:bottom w:val="single" w:color="000000" w:sz="6" w:space="1"/>
              </w:pBdr>
              <w:tabs>
                <w:tab w:val="center" w:pos="4153"/>
                <w:tab w:val="right" w:pos="8306"/>
              </w:tabs>
              <w:snapToGrid w:val="0"/>
              <w:spacing w:line="240" w:lineRule="atLeast"/>
              <w:jc w:val="left"/>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□其他：</w:t>
            </w:r>
            <w:permStart w:id="9" w:edGrp="everyone"/>
            <w:r>
              <w:rPr>
                <w:rFonts w:hint="eastAsia" w:asciiTheme="majorEastAsia" w:hAnsiTheme="majorEastAsia" w:eastAsiaTheme="majorEastAsia" w:cstheme="majorEastAsia"/>
                <w:color w:val="auto"/>
                <w:kern w:val="0"/>
                <w:sz w:val="18"/>
                <w:szCs w:val="18"/>
                <w:highlight w:val="none"/>
                <w:u w:val="single"/>
              </w:rPr>
              <w:t xml:space="preserve"> </w:t>
            </w:r>
            <w:permEnd w:id="9"/>
            <w:r>
              <w:rPr>
                <w:rFonts w:hint="eastAsia" w:asciiTheme="majorEastAsia" w:hAnsiTheme="majorEastAsia" w:eastAsiaTheme="majorEastAsia" w:cstheme="majorEastAsia"/>
                <w:color w:val="auto"/>
                <w:kern w:val="0"/>
                <w:sz w:val="18"/>
                <w:szCs w:val="18"/>
                <w:highlight w:val="none"/>
              </w:rPr>
              <w:t>。</w:t>
            </w:r>
            <w:r>
              <w:rPr>
                <w:rStyle w:val="37"/>
                <w:rFonts w:hint="eastAsia" w:asciiTheme="majorEastAsia" w:hAnsiTheme="majorEastAsia" w:eastAsiaTheme="majorEastAsia" w:cstheme="majorEastAsia"/>
                <w:color w:val="auto"/>
                <w:kern w:val="0"/>
                <w:sz w:val="18"/>
                <w:szCs w:val="18"/>
                <w:highlight w:val="none"/>
              </w:rPr>
              <w:t xml:space="preserve">                                     17.8.3（增加）                                                     承包人应将工程预付款中的20%支付至其农民工工资专用</w:t>
            </w:r>
            <w:r>
              <w:rPr>
                <w:rStyle w:val="37"/>
                <w:rFonts w:hint="eastAsia" w:asciiTheme="majorEastAsia" w:hAnsiTheme="majorEastAsia" w:eastAsiaTheme="majorEastAsia" w:cstheme="majorEastAsia"/>
                <w:b w:val="0"/>
                <w:bCs w:val="0"/>
                <w:color w:val="auto"/>
                <w:kern w:val="0"/>
                <w:sz w:val="18"/>
                <w:szCs w:val="18"/>
                <w:highlight w:val="none"/>
              </w:rPr>
              <w:t>账户，作为农民工工资发放</w:t>
            </w:r>
            <w:r>
              <w:rPr>
                <w:rStyle w:val="37"/>
                <w:rFonts w:hint="eastAsia" w:asciiTheme="majorEastAsia" w:hAnsiTheme="majorEastAsia" w:eastAsiaTheme="majorEastAsia" w:cstheme="majorEastAsia"/>
                <w:color w:val="auto"/>
                <w:kern w:val="0"/>
                <w:sz w:val="18"/>
                <w:szCs w:val="18"/>
                <w:highlight w:val="none"/>
              </w:rPr>
              <w:t>的预付保障。</w:t>
            </w:r>
          </w:p>
        </w:tc>
        <w:tc>
          <w:tcPr>
            <w:tcW w:w="475" w:type="dxa"/>
            <w:tcBorders>
              <w:top w:val="single" w:color="000000" w:sz="4" w:space="0"/>
              <w:left w:val="single" w:color="000000" w:sz="4" w:space="0"/>
              <w:bottom w:val="single" w:color="000000" w:sz="4" w:space="0"/>
              <w:right w:val="nil"/>
            </w:tcBorders>
            <w:vAlign w:val="center"/>
          </w:tcPr>
          <w:p w14:paraId="4E20C9D5">
            <w:pPr>
              <w:snapToGrid w:val="0"/>
              <w:spacing w:line="240" w:lineRule="atLeast"/>
              <w:jc w:val="left"/>
              <w:rPr>
                <w:rFonts w:hint="eastAsia" w:asciiTheme="majorEastAsia" w:hAnsiTheme="majorEastAsia" w:eastAsiaTheme="majorEastAsia" w:cstheme="majorEastAsia"/>
                <w:color w:val="auto"/>
                <w:sz w:val="18"/>
                <w:szCs w:val="18"/>
                <w:highlight w:val="none"/>
              </w:rPr>
            </w:pPr>
          </w:p>
          <w:p w14:paraId="521E733D">
            <w:pPr>
              <w:pStyle w:val="53"/>
              <w:rPr>
                <w:rFonts w:hint="eastAsia" w:asciiTheme="majorEastAsia" w:hAnsiTheme="majorEastAsia" w:eastAsiaTheme="majorEastAsia" w:cstheme="majorEastAsia"/>
                <w:color w:val="auto"/>
                <w:sz w:val="18"/>
                <w:szCs w:val="18"/>
                <w:highlight w:val="none"/>
              </w:rPr>
            </w:pPr>
          </w:p>
          <w:p w14:paraId="081DDB0B">
            <w:pPr>
              <w:rPr>
                <w:rFonts w:hint="eastAsia" w:asciiTheme="majorEastAsia" w:hAnsiTheme="majorEastAsia" w:eastAsiaTheme="majorEastAsia" w:cstheme="majorEastAsia"/>
                <w:color w:val="auto"/>
                <w:sz w:val="18"/>
                <w:szCs w:val="18"/>
                <w:highlight w:val="none"/>
              </w:rPr>
            </w:pPr>
          </w:p>
          <w:p w14:paraId="1B02CCE8">
            <w:pPr>
              <w:pStyle w:val="53"/>
              <w:rPr>
                <w:rFonts w:hint="eastAsia" w:asciiTheme="majorEastAsia" w:hAnsiTheme="majorEastAsia" w:eastAsiaTheme="majorEastAsia" w:cstheme="majorEastAsia"/>
                <w:color w:val="auto"/>
                <w:sz w:val="18"/>
                <w:szCs w:val="18"/>
                <w:highlight w:val="none"/>
              </w:rPr>
            </w:pPr>
          </w:p>
          <w:p w14:paraId="6648F496">
            <w:pPr>
              <w:rPr>
                <w:rFonts w:hint="eastAsia" w:asciiTheme="majorEastAsia" w:hAnsiTheme="majorEastAsia" w:eastAsiaTheme="majorEastAsia" w:cstheme="majorEastAsia"/>
                <w:color w:val="auto"/>
                <w:sz w:val="18"/>
                <w:szCs w:val="18"/>
                <w:highlight w:val="none"/>
              </w:rPr>
            </w:pPr>
          </w:p>
          <w:p w14:paraId="45D4C875">
            <w:pPr>
              <w:pStyle w:val="53"/>
              <w:rPr>
                <w:rFonts w:hint="eastAsia" w:asciiTheme="majorEastAsia" w:hAnsiTheme="majorEastAsia" w:eastAsiaTheme="majorEastAsia" w:cstheme="majorEastAsia"/>
                <w:color w:val="auto"/>
                <w:sz w:val="18"/>
                <w:szCs w:val="18"/>
                <w:highlight w:val="none"/>
              </w:rPr>
            </w:pPr>
          </w:p>
          <w:p w14:paraId="155E8490">
            <w:pPr>
              <w:rPr>
                <w:rFonts w:hint="eastAsia" w:asciiTheme="majorEastAsia" w:hAnsiTheme="majorEastAsia" w:eastAsiaTheme="majorEastAsia" w:cstheme="majorEastAsia"/>
                <w:color w:val="auto"/>
                <w:sz w:val="18"/>
                <w:szCs w:val="18"/>
                <w:highlight w:val="none"/>
              </w:rPr>
            </w:pPr>
          </w:p>
          <w:p w14:paraId="4BFF8AA9">
            <w:pPr>
              <w:rPr>
                <w:rFonts w:hint="eastAsia" w:asciiTheme="majorEastAsia" w:hAnsiTheme="majorEastAsia" w:eastAsiaTheme="majorEastAsia" w:cstheme="majorEastAsia"/>
                <w:color w:val="auto"/>
                <w:sz w:val="18"/>
                <w:szCs w:val="18"/>
                <w:highlight w:val="none"/>
              </w:rPr>
            </w:pPr>
          </w:p>
        </w:tc>
      </w:tr>
      <w:tr w14:paraId="5139513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1480" w:hRule="atLeast"/>
          <w:jc w:val="center"/>
        </w:trPr>
        <w:tc>
          <w:tcPr>
            <w:tcW w:w="1437" w:type="dxa"/>
            <w:tcBorders>
              <w:top w:val="single" w:color="000000" w:sz="4" w:space="0"/>
              <w:left w:val="nil"/>
              <w:bottom w:val="single" w:color="000000" w:sz="4" w:space="0"/>
              <w:right w:val="single" w:color="000000" w:sz="4" w:space="0"/>
            </w:tcBorders>
            <w:vAlign w:val="center"/>
          </w:tcPr>
          <w:p w14:paraId="3AA43E57">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4C83B3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专用条款第17.8.4条（增加）</w:t>
            </w:r>
          </w:p>
        </w:tc>
        <w:tc>
          <w:tcPr>
            <w:tcW w:w="4066" w:type="dxa"/>
            <w:tcBorders>
              <w:top w:val="single" w:color="000000" w:sz="4" w:space="0"/>
              <w:left w:val="single" w:color="000000" w:sz="4" w:space="0"/>
              <w:bottom w:val="single" w:color="000000" w:sz="4" w:space="0"/>
              <w:right w:val="single" w:color="000000" w:sz="4" w:space="0"/>
            </w:tcBorders>
            <w:vAlign w:val="center"/>
          </w:tcPr>
          <w:p w14:paraId="01B6394B">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无</w:t>
            </w:r>
          </w:p>
        </w:tc>
        <w:tc>
          <w:tcPr>
            <w:tcW w:w="4247" w:type="dxa"/>
            <w:tcBorders>
              <w:top w:val="single" w:color="000000" w:sz="4" w:space="0"/>
              <w:left w:val="single" w:color="000000" w:sz="4" w:space="0"/>
              <w:bottom w:val="single" w:color="000000" w:sz="4" w:space="0"/>
              <w:right w:val="single" w:color="000000" w:sz="4" w:space="0"/>
            </w:tcBorders>
          </w:tcPr>
          <w:p w14:paraId="6227E99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17.8.4（增加）：</w:t>
            </w:r>
          </w:p>
          <w:p w14:paraId="7EE33A47">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sz w:val="18"/>
                <w:szCs w:val="18"/>
                <w:highlight w:val="none"/>
              </w:rPr>
              <w:t>承包人需按照2020年5月1日起施行的《国家电网有限公司关于保障输变电工程建设农民工工资支付的通知》（国家电网基建〔2020〕151号）条款执行，并将本单位相应的农民工工资专用账户信息及农民工用工管理办法报发包人监管。</w:t>
            </w:r>
          </w:p>
        </w:tc>
        <w:tc>
          <w:tcPr>
            <w:tcW w:w="475" w:type="dxa"/>
            <w:tcBorders>
              <w:top w:val="single" w:color="000000" w:sz="4" w:space="0"/>
              <w:left w:val="single" w:color="000000" w:sz="4" w:space="0"/>
              <w:bottom w:val="single" w:color="000000" w:sz="4" w:space="0"/>
              <w:right w:val="nil"/>
            </w:tcBorders>
            <w:vAlign w:val="center"/>
          </w:tcPr>
          <w:p w14:paraId="5A8A4923">
            <w:pPr>
              <w:snapToGrid w:val="0"/>
              <w:spacing w:line="240" w:lineRule="atLeast"/>
              <w:jc w:val="left"/>
              <w:rPr>
                <w:rFonts w:hint="eastAsia" w:asciiTheme="majorEastAsia" w:hAnsiTheme="majorEastAsia" w:eastAsiaTheme="majorEastAsia" w:cstheme="majorEastAsia"/>
                <w:color w:val="auto"/>
                <w:sz w:val="18"/>
                <w:szCs w:val="18"/>
                <w:highlight w:val="none"/>
              </w:rPr>
            </w:pPr>
          </w:p>
          <w:p w14:paraId="11E4C825">
            <w:pPr>
              <w:pStyle w:val="53"/>
              <w:rPr>
                <w:rFonts w:hint="eastAsia" w:asciiTheme="majorEastAsia" w:hAnsiTheme="majorEastAsia" w:eastAsiaTheme="majorEastAsia" w:cstheme="majorEastAsia"/>
                <w:color w:val="auto"/>
                <w:sz w:val="18"/>
                <w:szCs w:val="18"/>
                <w:highlight w:val="none"/>
              </w:rPr>
            </w:pPr>
          </w:p>
          <w:p w14:paraId="48584D07">
            <w:pPr>
              <w:rPr>
                <w:rFonts w:hint="eastAsia" w:asciiTheme="majorEastAsia" w:hAnsiTheme="majorEastAsia" w:eastAsiaTheme="majorEastAsia" w:cstheme="majorEastAsia"/>
                <w:color w:val="auto"/>
                <w:sz w:val="18"/>
                <w:szCs w:val="18"/>
                <w:highlight w:val="none"/>
              </w:rPr>
            </w:pPr>
          </w:p>
          <w:p w14:paraId="36302ADF">
            <w:pPr>
              <w:pStyle w:val="53"/>
              <w:rPr>
                <w:rFonts w:hint="eastAsia" w:asciiTheme="majorEastAsia" w:hAnsiTheme="majorEastAsia" w:eastAsiaTheme="majorEastAsia" w:cstheme="majorEastAsia"/>
                <w:color w:val="auto"/>
                <w:sz w:val="18"/>
                <w:szCs w:val="18"/>
                <w:highlight w:val="none"/>
              </w:rPr>
            </w:pPr>
          </w:p>
        </w:tc>
      </w:tr>
      <w:tr w14:paraId="5E7B90E0">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7FEA747C">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7720332">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专用条款第18.1.9条</w:t>
            </w:r>
          </w:p>
          <w:p w14:paraId="20B1F15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（增加）</w:t>
            </w:r>
          </w:p>
        </w:tc>
        <w:tc>
          <w:tcPr>
            <w:tcW w:w="4066" w:type="dxa"/>
            <w:tcBorders>
              <w:top w:val="single" w:color="000000" w:sz="4" w:space="0"/>
              <w:left w:val="single" w:color="000000" w:sz="4" w:space="0"/>
              <w:bottom w:val="single" w:color="000000" w:sz="4" w:space="0"/>
              <w:right w:val="single" w:color="000000" w:sz="4" w:space="0"/>
            </w:tcBorders>
            <w:vAlign w:val="center"/>
          </w:tcPr>
          <w:p w14:paraId="09EB187B">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无</w:t>
            </w:r>
          </w:p>
        </w:tc>
        <w:tc>
          <w:tcPr>
            <w:tcW w:w="4247" w:type="dxa"/>
            <w:tcBorders>
              <w:top w:val="single" w:color="000000" w:sz="4" w:space="0"/>
              <w:left w:val="single" w:color="000000" w:sz="4" w:space="0"/>
              <w:bottom w:val="single" w:color="000000" w:sz="4" w:space="0"/>
              <w:right w:val="single" w:color="000000" w:sz="4" w:space="0"/>
            </w:tcBorders>
            <w:vAlign w:val="center"/>
          </w:tcPr>
          <w:p w14:paraId="66A1707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18.1.9（增加）：</w:t>
            </w:r>
          </w:p>
          <w:p w14:paraId="6DA181EB">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通过达标和“零缺陷移交”复检的工程，由发包人主管单位审批并行文，命名“达标投产工程”。</w:t>
            </w:r>
          </w:p>
        </w:tc>
        <w:tc>
          <w:tcPr>
            <w:tcW w:w="475" w:type="dxa"/>
            <w:tcBorders>
              <w:top w:val="single" w:color="000000" w:sz="4" w:space="0"/>
              <w:left w:val="single" w:color="000000" w:sz="4" w:space="0"/>
              <w:bottom w:val="single" w:color="000000" w:sz="4" w:space="0"/>
              <w:right w:val="nil"/>
            </w:tcBorders>
            <w:vAlign w:val="center"/>
          </w:tcPr>
          <w:p w14:paraId="58DBCAE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577A88D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1FC9405C">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6FBD2B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专用条款第18.2.3条</w:t>
            </w:r>
          </w:p>
          <w:p w14:paraId="7BD46FB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c>
          <w:tcPr>
            <w:tcW w:w="4066" w:type="dxa"/>
            <w:tcBorders>
              <w:top w:val="single" w:color="000000" w:sz="4" w:space="0"/>
              <w:left w:val="single" w:color="000000" w:sz="4" w:space="0"/>
              <w:bottom w:val="single" w:color="000000" w:sz="4" w:space="0"/>
              <w:right w:val="single" w:color="000000" w:sz="4" w:space="0"/>
            </w:tcBorders>
            <w:vAlign w:val="center"/>
          </w:tcPr>
          <w:p w14:paraId="520FE623">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18.2.3 竣工资料</w:t>
            </w:r>
          </w:p>
          <w:p w14:paraId="4C88714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承包人应提交的工程竣工资料的内容、要求及份数如下：</w:t>
            </w:r>
          </w:p>
          <w:p w14:paraId="7EE2A87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（1）工程竣工资料包括：</w:t>
            </w:r>
          </w:p>
          <w:p w14:paraId="665B74C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工程开、竣工报告；</w:t>
            </w:r>
          </w:p>
          <w:p w14:paraId="64CA21A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施工记录、工程检验与评定记录；</w:t>
            </w:r>
          </w:p>
          <w:p w14:paraId="2A4B015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施工图会审纪要；</w:t>
            </w:r>
          </w:p>
          <w:p w14:paraId="72DB094A">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设计变更通知；</w:t>
            </w:r>
          </w:p>
          <w:p w14:paraId="1DE2319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材料代用清单；</w:t>
            </w:r>
          </w:p>
          <w:p w14:paraId="30FD4E92">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重大补偿协议、合同等相关外协文件资料；</w:t>
            </w:r>
          </w:p>
          <w:p w14:paraId="565F03FB">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材料、加工件出厂质量合格证明或试验报告；</w:t>
            </w:r>
          </w:p>
          <w:p w14:paraId="5B9F2B2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施工试验报告；</w:t>
            </w:r>
          </w:p>
          <w:p w14:paraId="7A40A5E4">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施工缺陷处理明细表及附图；</w:t>
            </w:r>
          </w:p>
          <w:p w14:paraId="4B63CC5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发包人、监理人与承包人往来的技术文件；</w:t>
            </w:r>
          </w:p>
          <w:p w14:paraId="40DE9EE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声像资料素材。</w:t>
            </w:r>
          </w:p>
          <w:p w14:paraId="6E771B2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（2）要求：</w:t>
            </w:r>
          </w:p>
          <w:p w14:paraId="3FC923F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a.在通过监理人初检、发包人会同运行单位进行的预验收后，承包人确认所承包的全部工程均达到质量标准，移交的工程资料齐备后，应写出申请竣工验收报告，提交发包人竣工验收，此报告应同时提交监理人。</w:t>
            </w:r>
          </w:p>
          <w:p w14:paraId="15E551E3">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b.竣工验收时，要首先核查承包人应移交的工程资料和施工记录（施工检查记录、隐蔽工程记录等）。工程资料不全或施工记录不能如实反映施工的实际情况，则不能组织验收。</w:t>
            </w:r>
          </w:p>
          <w:p w14:paraId="6E90B94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c.本工程要求承包人进行有关声像素材的拍摄与初步整理。施工过程中，承包人必须对隐蔽工程、关键工序、重要工序及重要活动按照发包人相关拍摄要求进行过程拍摄，通过录像、图片等形式形成文件资料，并作为竣工验收资料的重要组成部分。</w:t>
            </w:r>
          </w:p>
          <w:p w14:paraId="46D9C16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d.竣工移交资料质量要求：档案归档率100％，资料准确率100％，案卷合格率100％。档案归档率100％：按发包人的档案相关管理规定归档的项目文件应为原件、正本；施工记录、报审文件等用表应采用统一、规范格式；归档文件应齐全、完整、准确，符合其形成规律；分类、组卷、排列、编目整理系统。电子版必须与纸质文件一致。项目文件应采用耐久性强的书写材料，禁止使用红色墨水、纯蓝墨水、圆珠笔、复写纸、铅笔等易褪色的书写材料；项目文件应字迹清楚，图样清晰，图表整洁，签字、日期、盖章手续完备；案卷题名准确、规范；组卷系统、规范；装订整齐。</w:t>
            </w:r>
          </w:p>
          <w:p w14:paraId="51680B6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e.竣工移交资料归档时间：本工程由设计人编制竣工图。设计人修改合格的全套竣工图，由施工、监理人审核、盖章、组卷归档，与竣工资料一起于启动投运后28天内归档。</w:t>
            </w:r>
          </w:p>
          <w:p w14:paraId="43BC4B2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（3）份数：除竣工图外的其他竣工资料通过监理移交四套（一正三副），并按要求提供一套电子版竣工资料。</w:t>
            </w:r>
          </w:p>
        </w:tc>
        <w:tc>
          <w:tcPr>
            <w:tcW w:w="4247" w:type="dxa"/>
            <w:tcBorders>
              <w:top w:val="single" w:color="000000" w:sz="4" w:space="0"/>
              <w:left w:val="single" w:color="000000" w:sz="4" w:space="0"/>
              <w:bottom w:val="single" w:color="000000" w:sz="4" w:space="0"/>
              <w:right w:val="single" w:color="000000" w:sz="4" w:space="0"/>
            </w:tcBorders>
            <w:vAlign w:val="center"/>
          </w:tcPr>
          <w:p w14:paraId="17C0952A">
            <w:pPr>
              <w:snapToGrid w:val="0"/>
              <w:spacing w:line="240" w:lineRule="atLeast"/>
              <w:jc w:val="lef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3C04610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18.2.3 竣工资料</w:t>
            </w:r>
          </w:p>
          <w:p w14:paraId="7D2F5AC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承包人应提交的工程竣工资料的内容、要求及份数如下：</w:t>
            </w:r>
          </w:p>
          <w:p w14:paraId="64C1CD2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（1）内容、要求：</w:t>
            </w:r>
          </w:p>
          <w:p w14:paraId="5F01C278">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按发包人的档案相关管理规定执行，承包人应提供完整及正确的竣工草图两套，草图须按设计变更修改并加盖施工竣工章，通过监理交设计人，由设计出最终竣工图。其他竣工资料通过监理移交四套一正三副，正本要求原件。</w:t>
            </w:r>
          </w:p>
          <w:p w14:paraId="2481C05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1）在通过监理人初检、发包人会同运行单位进行的预验收后，承包人确认所承包的全部工程均达到质量标准，移交的整理的工程资料齐全后，做好竣工验收准备。</w:t>
            </w:r>
          </w:p>
          <w:p w14:paraId="466F91C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2）竣工验收时，要首先核查承包人应移交的工程资料和施工记录。</w:t>
            </w:r>
          </w:p>
          <w:p w14:paraId="42E735C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工程竣工资料包括：</w:t>
            </w:r>
          </w:p>
          <w:p w14:paraId="0716F096">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工程开工申请报告；</w:t>
            </w:r>
          </w:p>
          <w:p w14:paraId="49A25AE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工程开、竣工报告；</w:t>
            </w:r>
          </w:p>
          <w:p w14:paraId="43426A6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竣工草图及施工图会审纪要；</w:t>
            </w:r>
          </w:p>
          <w:p w14:paraId="3C933886">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设计变更通知；</w:t>
            </w:r>
          </w:p>
          <w:p w14:paraId="0E6E479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材料代用清单；</w:t>
            </w:r>
          </w:p>
          <w:p w14:paraId="0332486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重大补偿协议、合同等相关外协文件资料；</w:t>
            </w:r>
          </w:p>
          <w:p w14:paraId="796D9F6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材料、加工件出厂质量合格证明或试验报告；</w:t>
            </w:r>
          </w:p>
          <w:p w14:paraId="57A458C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施工试验报告；</w:t>
            </w:r>
          </w:p>
          <w:p w14:paraId="6605DEE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施工缺陷处理明细表及附图；</w:t>
            </w:r>
          </w:p>
          <w:p w14:paraId="5E9DC58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发包人、监理人与承包人往来的技术文件；</w:t>
            </w:r>
          </w:p>
          <w:p w14:paraId="06CA7C5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声像资料素材:根据国家电网公司文件要求进行施工过程有关声像素材的拍摄，整理与归档。</w:t>
            </w:r>
          </w:p>
          <w:p w14:paraId="619DCA1C">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3）竣工移交资料质量要求：按发包人的档案管理相关管理规定归档的项目文件应为原件、正本；施工记录、报审文件等用表应采用统一、规范格式；归档文件应齐全、完整、准确，符合其形成规律；分类、组卷、排列、编目整理系统。电子版必须与纸质文件一致。项目文件应采用耐久性强的书写材料，禁止使用红色墨水、纯蓝墨水、圆珠笔、复写纸、铅笔等易褪色的书写材料；项目文件应字迹清楚，图样清晰，图表整洁，签字、日期、盖章手续完备。案卷题名准确、规范；组卷系统、规范；装订整齐。</w:t>
            </w:r>
          </w:p>
          <w:p w14:paraId="7E7F2F2A">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4）竣工移交资料归档份数：承包人提供竣工草图，通过监理交设计人，由设计出最终竣工图。其他竣工资料通过监理移交四套一正三副，正本要求原件，并按要求提供一套电子版竣工资料。</w:t>
            </w:r>
          </w:p>
          <w:p w14:paraId="1515A1B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5）竣工移交资料归档时间：本工程由设计人编制出版竣工图。承包人于承包工程竣工后具备条件时向设计人提交有变更的竣工草图。设计人修改合格的全套竣工图，由监理人审核、盖章，由设计人负责组卷归档。</w:t>
            </w:r>
          </w:p>
          <w:p w14:paraId="1737D5B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6）工程资料不全或施工记录不能如实反映施工的实际情况，则不能组织验收。</w:t>
            </w:r>
          </w:p>
          <w:p w14:paraId="0CF36323">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（2）份数:竣工资料正本1套，副本</w:t>
            </w:r>
            <w:r>
              <w:rPr>
                <w:rStyle w:val="37"/>
                <w:rFonts w:hint="eastAsia" w:asciiTheme="majorEastAsia" w:hAnsiTheme="majorEastAsia" w:eastAsiaTheme="majorEastAsia" w:cstheme="majorEastAsia"/>
                <w:color w:val="auto"/>
                <w:kern w:val="0"/>
                <w:sz w:val="18"/>
                <w:szCs w:val="18"/>
                <w:highlight w:val="none"/>
                <w:lang w:val="en-US" w:eastAsia="zh-CN"/>
              </w:rPr>
              <w:t>4</w:t>
            </w:r>
            <w:r>
              <w:rPr>
                <w:rStyle w:val="37"/>
                <w:rFonts w:hint="eastAsia" w:asciiTheme="majorEastAsia" w:hAnsiTheme="majorEastAsia" w:eastAsiaTheme="majorEastAsia" w:cstheme="majorEastAsia"/>
                <w:color w:val="auto"/>
                <w:kern w:val="0"/>
                <w:sz w:val="18"/>
                <w:szCs w:val="18"/>
                <w:highlight w:val="none"/>
              </w:rPr>
              <w:t>套，正本应为原件；全套竣工资料电子版一份（采用不可擦除型光盘）。</w:t>
            </w:r>
          </w:p>
        </w:tc>
        <w:tc>
          <w:tcPr>
            <w:tcW w:w="475" w:type="dxa"/>
            <w:tcBorders>
              <w:top w:val="single" w:color="000000" w:sz="4" w:space="0"/>
              <w:left w:val="single" w:color="000000" w:sz="4" w:space="0"/>
              <w:bottom w:val="single" w:color="000000" w:sz="4" w:space="0"/>
              <w:right w:val="nil"/>
            </w:tcBorders>
            <w:vAlign w:val="center"/>
          </w:tcPr>
          <w:p w14:paraId="69B6E41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23063A5F">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1F120FD6">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6FA7CCF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专用条款第18.2.4条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0B9A03CD">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18.2.4 工程档案管理</w:t>
            </w:r>
          </w:p>
          <w:p w14:paraId="1ED9A23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特高压工程适用）为实现工程档案管理目标，根据《工程项目档案管理方案》，承包人应建立相应的工程档案管理组织机构，专人负责；积极参加档案技术培训，提高档案资料管理水平，确保工程档案资料完整移交。按照国网公司《工程项目档案管理方案》要求，业主项目部对施工项目部档案管理工作进行月评价，评价结果汇总后报发包人。发包人将对承包人的档案管理工作进行考核，发包人对承包人档案管理工作进行考核的具体办法如下：</w:t>
            </w:r>
          </w:p>
          <w:p w14:paraId="576EBE82">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档案（竣工资料或图纸）质量不满足档案管理有关规定或不能按照要求的时间进行移交：应支付签约合同价的0.5％的违约金；工程档案过程检查、自查、预验收以及专项验收等档案专项检查工作配合不到位，且发现问题，未按要求进行整改闭环，则应支付签约合同价的0.2％的违约金；工程竣工后，未按规定办理完成竣工资料归档移交工作，竣工资料的准确性、规范性、系统性不满足档案管理要求，则应支付签约合同价的0.3％的违约金；在项目档案专项验收检查时，因承包人自身资料问题，对项目管理造成不良影响，则应支付签约合同价的0.5%的违约金。</w:t>
            </w:r>
          </w:p>
        </w:tc>
        <w:tc>
          <w:tcPr>
            <w:tcW w:w="4247" w:type="dxa"/>
            <w:tcBorders>
              <w:top w:val="single" w:color="000000" w:sz="4" w:space="0"/>
              <w:left w:val="single" w:color="000000" w:sz="4" w:space="0"/>
              <w:bottom w:val="single" w:color="000000" w:sz="4" w:space="0"/>
              <w:right w:val="single" w:color="000000" w:sz="4" w:space="0"/>
            </w:tcBorders>
            <w:vAlign w:val="center"/>
          </w:tcPr>
          <w:p w14:paraId="63D897B3">
            <w:pPr>
              <w:snapToGrid w:val="0"/>
              <w:spacing w:line="240" w:lineRule="atLeast"/>
              <w:jc w:val="lef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11F45A89">
            <w:pPr>
              <w:snapToGrid w:val="0"/>
              <w:spacing w:line="240" w:lineRule="atLeast"/>
              <w:ind w:firstLine="540" w:firstLineChars="300"/>
              <w:jc w:val="left"/>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18.2.4 工程档案管理</w:t>
            </w:r>
          </w:p>
          <w:p w14:paraId="6F12162F">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特高压工程适用）为实现工程档案管理目标，根据《工程项目档案管理方案》，承包人应建立相应的工程档案管理组织机构，专人负责；积极参加档案技术培训，提高档案资料管理水平，确保工程档案资料完整移交。按照国网公司《工程项目档案管理方案》要求，业主项目部对施工项目部档案管理工作进行月评价，评价结果汇总后报发包人。发包人将按照《施工承包商现场考核实施细则》对承包人的档案管理工作进行考核。</w:t>
            </w:r>
          </w:p>
        </w:tc>
        <w:tc>
          <w:tcPr>
            <w:tcW w:w="475" w:type="dxa"/>
            <w:tcBorders>
              <w:top w:val="single" w:color="000000" w:sz="4" w:space="0"/>
              <w:left w:val="single" w:color="000000" w:sz="4" w:space="0"/>
              <w:bottom w:val="single" w:color="000000" w:sz="4" w:space="0"/>
              <w:right w:val="nil"/>
            </w:tcBorders>
            <w:vAlign w:val="center"/>
          </w:tcPr>
          <w:p w14:paraId="12B1B232">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58D466C">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1342FD5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888CFE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专用条款第18.</w:t>
            </w:r>
            <w:r>
              <w:rPr>
                <w:rStyle w:val="37"/>
                <w:rFonts w:hint="eastAsia" w:asciiTheme="majorEastAsia" w:hAnsiTheme="majorEastAsia" w:eastAsiaTheme="majorEastAsia" w:cstheme="majorEastAsia"/>
                <w:color w:val="auto"/>
                <w:kern w:val="0"/>
                <w:sz w:val="18"/>
                <w:szCs w:val="18"/>
                <w:highlight w:val="none"/>
                <w:lang w:val="en-US" w:eastAsia="zh-CN"/>
              </w:rPr>
              <w:t>8</w:t>
            </w:r>
            <w:r>
              <w:rPr>
                <w:rStyle w:val="37"/>
                <w:rFonts w:hint="eastAsia" w:asciiTheme="majorEastAsia" w:hAnsiTheme="majorEastAsia" w:eastAsiaTheme="majorEastAsia" w:cstheme="majorEastAsia"/>
                <w:color w:val="auto"/>
                <w:kern w:val="0"/>
                <w:sz w:val="18"/>
                <w:szCs w:val="18"/>
                <w:highlight w:val="none"/>
              </w:rPr>
              <w:t>.</w:t>
            </w:r>
            <w:r>
              <w:rPr>
                <w:rStyle w:val="37"/>
                <w:rFonts w:hint="eastAsia" w:asciiTheme="majorEastAsia" w:hAnsiTheme="majorEastAsia" w:eastAsiaTheme="majorEastAsia" w:cstheme="majorEastAsia"/>
                <w:color w:val="auto"/>
                <w:kern w:val="0"/>
                <w:sz w:val="18"/>
                <w:szCs w:val="18"/>
                <w:highlight w:val="none"/>
                <w:lang w:val="en-US" w:eastAsia="zh-CN"/>
              </w:rPr>
              <w:t>1</w:t>
            </w:r>
            <w:r>
              <w:rPr>
                <w:rStyle w:val="37"/>
                <w:rFonts w:hint="eastAsia" w:asciiTheme="majorEastAsia" w:hAnsiTheme="majorEastAsia" w:eastAsiaTheme="majorEastAsia" w:cstheme="majorEastAsia"/>
                <w:color w:val="auto"/>
                <w:kern w:val="0"/>
                <w:sz w:val="18"/>
                <w:szCs w:val="18"/>
                <w:highlight w:val="none"/>
              </w:rPr>
              <w:t>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53DFDB59">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18.8.1 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14:paraId="632F8FC5">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工程试运行天数为     天。</w:t>
            </w:r>
          </w:p>
        </w:tc>
        <w:tc>
          <w:tcPr>
            <w:tcW w:w="4247" w:type="dxa"/>
            <w:tcBorders>
              <w:top w:val="single" w:color="000000" w:sz="4" w:space="0"/>
              <w:left w:val="single" w:color="000000" w:sz="4" w:space="0"/>
              <w:bottom w:val="single" w:color="000000" w:sz="4" w:space="0"/>
              <w:right w:val="single" w:color="000000" w:sz="4" w:space="0"/>
            </w:tcBorders>
            <w:vAlign w:val="center"/>
          </w:tcPr>
          <w:p w14:paraId="6234B63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18.8.1 除合同另有约定外，承包人应按合同约定进行工程及工程设备试运行，负责提供试运行所需的人员、器材和必要的条件，并承担全部试运行费用。试运行自发包人或监理人宣布联合试运转结束之日开始，试运行天数按现行规定或按合同下列约定（如有）执行。</w:t>
            </w:r>
          </w:p>
          <w:p w14:paraId="55317D6E">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工程试运行天数为  </w:t>
            </w:r>
            <w:r>
              <w:rPr>
                <w:rStyle w:val="37"/>
                <w:rFonts w:hint="eastAsia" w:asciiTheme="majorEastAsia" w:hAnsiTheme="majorEastAsia" w:eastAsiaTheme="majorEastAsia" w:cstheme="majorEastAsia"/>
                <w:color w:val="auto"/>
                <w:kern w:val="0"/>
                <w:sz w:val="18"/>
                <w:szCs w:val="18"/>
                <w:highlight w:val="none"/>
                <w:lang w:val="en-US" w:eastAsia="zh-CN"/>
              </w:rPr>
              <w:t>7</w:t>
            </w:r>
            <w:r>
              <w:rPr>
                <w:rStyle w:val="37"/>
                <w:rFonts w:hint="eastAsia" w:asciiTheme="majorEastAsia" w:hAnsiTheme="majorEastAsia" w:eastAsiaTheme="majorEastAsia" w:cstheme="majorEastAsia"/>
                <w:color w:val="auto"/>
                <w:kern w:val="0"/>
                <w:sz w:val="18"/>
                <w:szCs w:val="18"/>
                <w:highlight w:val="none"/>
              </w:rPr>
              <w:t xml:space="preserve">  天。</w:t>
            </w:r>
          </w:p>
        </w:tc>
        <w:tc>
          <w:tcPr>
            <w:tcW w:w="475" w:type="dxa"/>
            <w:tcBorders>
              <w:top w:val="single" w:color="000000" w:sz="4" w:space="0"/>
              <w:left w:val="single" w:color="000000" w:sz="4" w:space="0"/>
              <w:bottom w:val="single" w:color="000000" w:sz="4" w:space="0"/>
              <w:right w:val="nil"/>
            </w:tcBorders>
            <w:vAlign w:val="center"/>
          </w:tcPr>
          <w:p w14:paraId="4B1D4DE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3B90564A">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60729EDA">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9A85C6B">
            <w:pPr>
              <w:spacing w:line="240" w:lineRule="exact"/>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专用条款第18.11条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122A50D2">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18.11 其他事项（增加）：</w:t>
            </w:r>
          </w:p>
          <w:p w14:paraId="396AF34A">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关于工程竣工验收的其他约定如下：</w:t>
            </w:r>
          </w:p>
          <w:p w14:paraId="543EAE84">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 xml:space="preserve">                 。 </w:t>
            </w:r>
          </w:p>
        </w:tc>
        <w:tc>
          <w:tcPr>
            <w:tcW w:w="4247" w:type="dxa"/>
            <w:tcBorders>
              <w:top w:val="single" w:color="000000" w:sz="4" w:space="0"/>
              <w:left w:val="single" w:color="000000" w:sz="4" w:space="0"/>
              <w:bottom w:val="single" w:color="000000" w:sz="4" w:space="0"/>
              <w:right w:val="single" w:color="000000" w:sz="4" w:space="0"/>
            </w:tcBorders>
            <w:vAlign w:val="center"/>
          </w:tcPr>
          <w:p w14:paraId="3E9C3BA2">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18.11 其他事项（增加）：</w:t>
            </w:r>
          </w:p>
          <w:p w14:paraId="31CA6FB5">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关于工程竣工验收的其他约定如下：</w:t>
            </w:r>
          </w:p>
          <w:p w14:paraId="123D53FD">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 xml:space="preserve">       </w:t>
            </w:r>
            <w:r>
              <w:rPr>
                <w:rFonts w:hint="eastAsia" w:asciiTheme="majorEastAsia" w:hAnsiTheme="majorEastAsia" w:eastAsiaTheme="majorEastAsia" w:cstheme="majorEastAsia"/>
                <w:color w:val="auto"/>
                <w:kern w:val="0"/>
                <w:sz w:val="18"/>
                <w:szCs w:val="18"/>
                <w:highlight w:val="none"/>
                <w:lang w:val="en-US" w:eastAsia="zh-CN"/>
              </w:rPr>
              <w:t>/</w:t>
            </w:r>
            <w:r>
              <w:rPr>
                <w:rFonts w:hint="eastAsia" w:asciiTheme="majorEastAsia" w:hAnsiTheme="majorEastAsia" w:eastAsiaTheme="majorEastAsia" w:cstheme="majorEastAsia"/>
                <w:color w:val="auto"/>
                <w:kern w:val="0"/>
                <w:sz w:val="18"/>
                <w:szCs w:val="18"/>
                <w:highlight w:val="none"/>
              </w:rPr>
              <w:t xml:space="preserve">         。 </w:t>
            </w:r>
          </w:p>
        </w:tc>
        <w:tc>
          <w:tcPr>
            <w:tcW w:w="475" w:type="dxa"/>
            <w:tcBorders>
              <w:top w:val="single" w:color="000000" w:sz="4" w:space="0"/>
              <w:left w:val="single" w:color="000000" w:sz="4" w:space="0"/>
              <w:bottom w:val="single" w:color="000000" w:sz="4" w:space="0"/>
              <w:right w:val="nil"/>
            </w:tcBorders>
            <w:vAlign w:val="center"/>
          </w:tcPr>
          <w:p w14:paraId="1E29420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7F737339">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1A8066B1">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5F0813A">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专用条款第20.1条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3476F5B6">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工程保险</w:t>
            </w:r>
          </w:p>
          <w:p w14:paraId="16B63A5E">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 xml:space="preserve">建筑工程一切险和安装工程一切险由发包人投保。具体的投保内容、保险金额、保险期限等有关内容如下 ： </w:t>
            </w:r>
          </w:p>
        </w:tc>
        <w:tc>
          <w:tcPr>
            <w:tcW w:w="4247" w:type="dxa"/>
            <w:tcBorders>
              <w:top w:val="single" w:color="000000" w:sz="4" w:space="0"/>
              <w:left w:val="single" w:color="000000" w:sz="4" w:space="0"/>
              <w:bottom w:val="single" w:color="000000" w:sz="4" w:space="0"/>
              <w:right w:val="single" w:color="000000" w:sz="4" w:space="0"/>
            </w:tcBorders>
            <w:vAlign w:val="center"/>
          </w:tcPr>
          <w:p w14:paraId="414BBF25">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b/>
                <w:color w:val="auto"/>
                <w:kern w:val="0"/>
                <w:sz w:val="18"/>
                <w:szCs w:val="18"/>
                <w:highlight w:val="none"/>
              </w:rPr>
              <w:t>（补充）</w:t>
            </w:r>
            <w:r>
              <w:rPr>
                <w:rFonts w:hint="eastAsia" w:asciiTheme="majorEastAsia" w:hAnsiTheme="majorEastAsia" w:eastAsiaTheme="majorEastAsia" w:cstheme="majorEastAsia"/>
                <w:color w:val="auto"/>
                <w:kern w:val="0"/>
                <w:sz w:val="18"/>
                <w:szCs w:val="18"/>
                <w:highlight w:val="none"/>
              </w:rPr>
              <w:t>：</w:t>
            </w:r>
          </w:p>
          <w:p w14:paraId="6804F819">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工程保险</w:t>
            </w:r>
          </w:p>
          <w:p w14:paraId="785FD8EB">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建筑工程一切险和安装工程一切险由发包人投保。具体的投保内容、保险金额、保险期限等有关内容如下 ：执行国家及国家电网有限公司相关文件规定要求。</w:t>
            </w:r>
            <w:r>
              <w:rPr>
                <w:rFonts w:hint="eastAsia" w:asciiTheme="majorEastAsia" w:hAnsiTheme="majorEastAsia" w:eastAsiaTheme="majorEastAsia" w:cstheme="majorEastAsia"/>
                <w:bCs/>
                <w:color w:val="auto"/>
                <w:kern w:val="0"/>
                <w:sz w:val="18"/>
                <w:szCs w:val="18"/>
                <w:highlight w:val="none"/>
              </w:rPr>
              <w:t>当保险事故发生后，施工方应当及时通知保险经纪人，并配合发包人开展修复工作，留存事故现场照片或影像资料。</w:t>
            </w:r>
          </w:p>
        </w:tc>
        <w:tc>
          <w:tcPr>
            <w:tcW w:w="475" w:type="dxa"/>
            <w:tcBorders>
              <w:top w:val="single" w:color="000000" w:sz="4" w:space="0"/>
              <w:left w:val="single" w:color="000000" w:sz="4" w:space="0"/>
              <w:bottom w:val="single" w:color="000000" w:sz="4" w:space="0"/>
              <w:right w:val="nil"/>
            </w:tcBorders>
            <w:vAlign w:val="center"/>
          </w:tcPr>
          <w:p w14:paraId="6E2482F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01D611E">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5266D239">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FFB61AA">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专用条款第20.4.2条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31EBACC1">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 xml:space="preserve">在缺陷责任期终止证书颁发前，第三者责任险由发包人投保。具体的投保内容、保险金额、保险期限等有关内容如下 ： </w:t>
            </w:r>
          </w:p>
        </w:tc>
        <w:tc>
          <w:tcPr>
            <w:tcW w:w="4247" w:type="dxa"/>
            <w:tcBorders>
              <w:top w:val="single" w:color="000000" w:sz="4" w:space="0"/>
              <w:left w:val="single" w:color="000000" w:sz="4" w:space="0"/>
              <w:bottom w:val="single" w:color="000000" w:sz="4" w:space="0"/>
              <w:right w:val="single" w:color="000000" w:sz="4" w:space="0"/>
            </w:tcBorders>
            <w:vAlign w:val="center"/>
          </w:tcPr>
          <w:p w14:paraId="4B754BD5">
            <w:pPr>
              <w:spacing w:line="240" w:lineRule="exact"/>
              <w:jc w:val="left"/>
              <w:rPr>
                <w:rFonts w:hint="eastAsia" w:asciiTheme="majorEastAsia" w:hAnsiTheme="majorEastAsia" w:eastAsiaTheme="majorEastAsia" w:cstheme="majorEastAsia"/>
                <w:b/>
                <w:color w:val="auto"/>
                <w:kern w:val="0"/>
                <w:sz w:val="18"/>
                <w:szCs w:val="18"/>
                <w:highlight w:val="none"/>
              </w:rPr>
            </w:pPr>
            <w:r>
              <w:rPr>
                <w:rFonts w:hint="eastAsia" w:asciiTheme="majorEastAsia" w:hAnsiTheme="majorEastAsia" w:eastAsiaTheme="majorEastAsia" w:cstheme="majorEastAsia"/>
                <w:b/>
                <w:color w:val="auto"/>
                <w:kern w:val="0"/>
                <w:sz w:val="18"/>
                <w:szCs w:val="18"/>
                <w:highlight w:val="none"/>
              </w:rPr>
              <w:t>补充：</w:t>
            </w:r>
          </w:p>
          <w:p w14:paraId="61FB76AC">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在缺陷责任期终止证书颁发前，第三者责任险由发包人投保。具体的投保内容、保险金额、保险期限等有关内容如下 ：执行国家及国家电网有限公司相关文件规定要求。</w:t>
            </w:r>
          </w:p>
        </w:tc>
        <w:tc>
          <w:tcPr>
            <w:tcW w:w="475" w:type="dxa"/>
            <w:tcBorders>
              <w:top w:val="single" w:color="000000" w:sz="4" w:space="0"/>
              <w:left w:val="single" w:color="000000" w:sz="4" w:space="0"/>
              <w:bottom w:val="single" w:color="000000" w:sz="4" w:space="0"/>
              <w:right w:val="nil"/>
            </w:tcBorders>
            <w:vAlign w:val="center"/>
          </w:tcPr>
          <w:p w14:paraId="31B75763">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95C7087">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10AE3CC4">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6B3AE">
            <w:pPr>
              <w:spacing w:line="240" w:lineRule="exact"/>
              <w:jc w:val="left"/>
              <w:rPr>
                <w:rFonts w:hint="eastAsia" w:asciiTheme="majorEastAsia" w:hAnsiTheme="majorEastAsia" w:eastAsiaTheme="majorEastAsia" w:cstheme="majorEastAsia"/>
                <w:color w:val="auto"/>
                <w:kern w:val="0"/>
                <w:sz w:val="18"/>
                <w:szCs w:val="18"/>
                <w:highlight w:val="none"/>
                <w:lang w:val="en-US" w:eastAsia="zh-CN" w:bidi="ar-SA"/>
              </w:rPr>
            </w:pPr>
            <w:r>
              <w:rPr>
                <w:rFonts w:hint="eastAsia" w:asciiTheme="majorEastAsia" w:hAnsiTheme="majorEastAsia" w:eastAsiaTheme="majorEastAsia" w:cstheme="majorEastAsia"/>
                <w:color w:val="auto"/>
                <w:kern w:val="0"/>
                <w:sz w:val="18"/>
                <w:szCs w:val="18"/>
                <w:highlight w:val="none"/>
              </w:rPr>
              <w:t>专用条款第20.6.1条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04DFCE30">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20.6.1 保险凭证</w:t>
            </w:r>
          </w:p>
          <w:p w14:paraId="6CEB8196">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承包人应在合同生效后     日内提交所投保险生效的证据和保险单副本。</w:t>
            </w:r>
          </w:p>
        </w:tc>
        <w:tc>
          <w:tcPr>
            <w:tcW w:w="4247" w:type="dxa"/>
            <w:tcBorders>
              <w:top w:val="single" w:color="000000" w:sz="4" w:space="0"/>
              <w:left w:val="single" w:color="000000" w:sz="4" w:space="0"/>
              <w:bottom w:val="single" w:color="000000" w:sz="4" w:space="0"/>
              <w:right w:val="single" w:color="000000" w:sz="4" w:space="0"/>
            </w:tcBorders>
            <w:vAlign w:val="center"/>
          </w:tcPr>
          <w:p w14:paraId="1C01587E">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20.6.1 保险凭证</w:t>
            </w:r>
          </w:p>
          <w:p w14:paraId="5FE049AF">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 xml:space="preserve">承包人应在合同生效后  </w:t>
            </w:r>
            <w:r>
              <w:rPr>
                <w:rFonts w:hint="eastAsia" w:asciiTheme="majorEastAsia" w:hAnsiTheme="majorEastAsia" w:eastAsiaTheme="majorEastAsia" w:cstheme="majorEastAsia"/>
                <w:color w:val="auto"/>
                <w:kern w:val="0"/>
                <w:sz w:val="18"/>
                <w:szCs w:val="18"/>
                <w:highlight w:val="none"/>
                <w:lang w:val="en-US" w:eastAsia="zh-CN"/>
              </w:rPr>
              <w:t>60</w:t>
            </w:r>
            <w:r>
              <w:rPr>
                <w:rFonts w:hint="eastAsia" w:asciiTheme="majorEastAsia" w:hAnsiTheme="majorEastAsia" w:eastAsiaTheme="majorEastAsia" w:cstheme="majorEastAsia"/>
                <w:color w:val="auto"/>
                <w:kern w:val="0"/>
                <w:sz w:val="18"/>
                <w:szCs w:val="18"/>
                <w:highlight w:val="none"/>
              </w:rPr>
              <w:t xml:space="preserve">  日内提交所投保险生效的证据和保险单副本。</w:t>
            </w:r>
          </w:p>
        </w:tc>
        <w:tc>
          <w:tcPr>
            <w:tcW w:w="475" w:type="dxa"/>
            <w:tcBorders>
              <w:top w:val="single" w:color="000000" w:sz="4" w:space="0"/>
              <w:left w:val="single" w:color="000000" w:sz="4" w:space="0"/>
              <w:bottom w:val="single" w:color="000000" w:sz="4" w:space="0"/>
              <w:right w:val="nil"/>
            </w:tcBorders>
            <w:vAlign w:val="center"/>
          </w:tcPr>
          <w:p w14:paraId="29D1E15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4148ABC">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2F0BBA82">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b w:val="0"/>
                <w:bCs w:val="0"/>
                <w:color w:val="auto"/>
                <w:kern w:val="0"/>
                <w:sz w:val="18"/>
                <w:szCs w:val="18"/>
                <w:highlight w:val="none"/>
              </w:rPr>
            </w:pPr>
          </w:p>
        </w:tc>
        <w:tc>
          <w:tcPr>
            <w:tcW w:w="992" w:type="dxa"/>
            <w:vAlign w:val="center"/>
          </w:tcPr>
          <w:p w14:paraId="64A65724">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kern w:val="0"/>
                <w:sz w:val="18"/>
                <w:szCs w:val="18"/>
                <w:highlight w:val="none"/>
              </w:rPr>
              <w:t>专用条款</w:t>
            </w:r>
            <w:r>
              <w:rPr>
                <w:rFonts w:hint="eastAsia" w:asciiTheme="majorEastAsia" w:hAnsiTheme="majorEastAsia" w:eastAsiaTheme="majorEastAsia" w:cstheme="majorEastAsia"/>
                <w:b w:val="0"/>
                <w:bCs w:val="0"/>
                <w:color w:val="auto"/>
                <w:sz w:val="18"/>
                <w:szCs w:val="18"/>
                <w:highlight w:val="none"/>
              </w:rPr>
              <w:t>20.6.10（增加）</w:t>
            </w:r>
          </w:p>
        </w:tc>
        <w:tc>
          <w:tcPr>
            <w:tcW w:w="4066" w:type="dxa"/>
            <w:vAlign w:val="center"/>
          </w:tcPr>
          <w:p w14:paraId="13F8571C">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无</w:t>
            </w:r>
          </w:p>
        </w:tc>
        <w:tc>
          <w:tcPr>
            <w:tcW w:w="4247" w:type="dxa"/>
            <w:vAlign w:val="center"/>
          </w:tcPr>
          <w:p w14:paraId="3E62D426">
            <w:pPr>
              <w:autoSpaceDE w:val="0"/>
              <w:autoSpaceDN w:val="0"/>
              <w:adjustRightInd w:val="0"/>
              <w:snapToGrid w:val="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20.6.10（增加）：</w:t>
            </w:r>
          </w:p>
          <w:p w14:paraId="1C94DD41">
            <w:pPr>
              <w:autoSpaceDE w:val="0"/>
              <w:autoSpaceDN w:val="0"/>
              <w:adjustRightInd w:val="0"/>
              <w:snapToGrid w:val="0"/>
              <w:ind w:firstLine="360" w:firstLineChars="200"/>
              <w:jc w:val="left"/>
              <w:rPr>
                <w:rFonts w:hint="eastAsia" w:asciiTheme="majorEastAsia" w:hAnsiTheme="majorEastAsia" w:eastAsiaTheme="majorEastAsia" w:cstheme="majorEastAsia"/>
                <w:b w:val="0"/>
                <w:bCs w:val="0"/>
                <w:color w:val="auto"/>
                <w:sz w:val="18"/>
                <w:szCs w:val="18"/>
                <w:highlight w:val="none"/>
              </w:rPr>
            </w:pPr>
            <w:r>
              <w:rPr>
                <w:rFonts w:hint="eastAsia" w:asciiTheme="majorEastAsia" w:hAnsiTheme="majorEastAsia" w:eastAsiaTheme="majorEastAsia" w:cstheme="majorEastAsia"/>
                <w:b w:val="0"/>
                <w:bCs w:val="0"/>
                <w:color w:val="auto"/>
                <w:sz w:val="18"/>
                <w:szCs w:val="18"/>
                <w:highlight w:val="none"/>
              </w:rPr>
              <w:t>1.承包人应按照《安全生产责任保险实施办法》（应急〔2025〕27号）规定投保安全生产责任保险。</w:t>
            </w:r>
          </w:p>
          <w:p w14:paraId="06BF07FB">
            <w:pPr>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Fonts w:hint="eastAsia" w:asciiTheme="majorEastAsia" w:hAnsiTheme="majorEastAsia" w:eastAsiaTheme="majorEastAsia" w:cstheme="majorEastAsia"/>
                <w:b w:val="0"/>
                <w:bCs w:val="0"/>
                <w:color w:val="auto"/>
                <w:sz w:val="18"/>
                <w:szCs w:val="18"/>
                <w:highlight w:val="none"/>
              </w:rPr>
              <w:t>2.承包人应按照《建设工程安全管理条例》第三十八条要求，为施工现场从事危险作业的人员办理意外伤害保险。意外伤害保险期限自建设工程开工之日起至竣工验收合格止。</w:t>
            </w:r>
          </w:p>
        </w:tc>
        <w:tc>
          <w:tcPr>
            <w:tcW w:w="475" w:type="dxa"/>
            <w:tcBorders>
              <w:top w:val="single" w:color="000000" w:sz="4" w:space="0"/>
              <w:left w:val="single" w:color="000000" w:sz="4" w:space="0"/>
              <w:bottom w:val="single" w:color="000000" w:sz="4" w:space="0"/>
              <w:right w:val="nil"/>
            </w:tcBorders>
            <w:vAlign w:val="center"/>
          </w:tcPr>
          <w:p w14:paraId="70BA62E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70194B12">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6488E7F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77E11BFD">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专用条款22.1.1（14）</w:t>
            </w:r>
          </w:p>
        </w:tc>
        <w:tc>
          <w:tcPr>
            <w:tcW w:w="4066" w:type="dxa"/>
            <w:tcBorders>
              <w:top w:val="single" w:color="000000" w:sz="4" w:space="0"/>
              <w:left w:val="single" w:color="000000" w:sz="4" w:space="0"/>
              <w:bottom w:val="single" w:color="000000" w:sz="4" w:space="0"/>
              <w:right w:val="single" w:color="000000" w:sz="4" w:space="0"/>
            </w:tcBorders>
            <w:vAlign w:val="center"/>
          </w:tcPr>
          <w:p w14:paraId="5DF8884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无</w:t>
            </w:r>
          </w:p>
        </w:tc>
        <w:tc>
          <w:tcPr>
            <w:tcW w:w="4247" w:type="dxa"/>
            <w:tcBorders>
              <w:top w:val="single" w:color="000000" w:sz="4" w:space="0"/>
              <w:left w:val="single" w:color="000000" w:sz="4" w:space="0"/>
              <w:bottom w:val="single" w:color="000000" w:sz="4" w:space="0"/>
              <w:right w:val="single" w:color="000000" w:sz="4" w:space="0"/>
            </w:tcBorders>
            <w:vAlign w:val="center"/>
          </w:tcPr>
          <w:p w14:paraId="0366F7DF">
            <w:pPr>
              <w:snapToGrid w:val="0"/>
              <w:spacing w:line="240" w:lineRule="atLeast"/>
              <w:ind w:firstLine="361" w:firstLineChars="200"/>
              <w:jc w:val="lef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22.1.1（14）增加</w:t>
            </w:r>
          </w:p>
          <w:p w14:paraId="0A9D278E">
            <w:pPr>
              <w:pStyle w:val="53"/>
              <w:snapToGrid w:val="0"/>
              <w:spacing w:line="240" w:lineRule="atLeast"/>
              <w:rPr>
                <w:rFonts w:hint="eastAsia" w:asciiTheme="majorEastAsia" w:hAnsiTheme="majorEastAsia" w:eastAsiaTheme="majorEastAsia" w:cstheme="majorEastAsia"/>
                <w:color w:val="auto"/>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    承包人未按合同约定的人工费用拨付周期申请人工费用，由此导致出现拖欠农民工工资情况的。</w:t>
            </w:r>
          </w:p>
        </w:tc>
        <w:tc>
          <w:tcPr>
            <w:tcW w:w="475" w:type="dxa"/>
            <w:tcBorders>
              <w:top w:val="single" w:color="000000" w:sz="4" w:space="0"/>
              <w:left w:val="single" w:color="000000" w:sz="4" w:space="0"/>
              <w:bottom w:val="single" w:color="000000" w:sz="4" w:space="0"/>
              <w:right w:val="nil"/>
            </w:tcBorders>
            <w:vAlign w:val="center"/>
          </w:tcPr>
          <w:p w14:paraId="78B3E105">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94A6288">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702B8A25">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strike/>
                <w:color w:val="auto"/>
                <w:kern w:val="0"/>
                <w:sz w:val="18"/>
                <w:szCs w:val="18"/>
                <w:highlight w:val="none"/>
              </w:rPr>
            </w:pPr>
          </w:p>
        </w:tc>
        <w:tc>
          <w:tcPr>
            <w:tcW w:w="992" w:type="dxa"/>
            <w:vAlign w:val="center"/>
          </w:tcPr>
          <w:p w14:paraId="223831A9">
            <w:pPr>
              <w:snapToGrid w:val="0"/>
              <w:spacing w:line="240" w:lineRule="atLeast"/>
              <w:jc w:val="left"/>
              <w:rPr>
                <w:rStyle w:val="37"/>
                <w:rFonts w:hint="eastAsia" w:asciiTheme="majorEastAsia" w:hAnsiTheme="majorEastAsia" w:eastAsiaTheme="majorEastAsia" w:cstheme="majorEastAsia"/>
                <w:strike/>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专用条款22.1.1（1</w:t>
            </w:r>
            <w:r>
              <w:rPr>
                <w:rStyle w:val="37"/>
                <w:rFonts w:hint="eastAsia" w:asciiTheme="majorEastAsia" w:hAnsiTheme="majorEastAsia" w:eastAsiaTheme="majorEastAsia" w:cstheme="majorEastAsia"/>
                <w:color w:val="auto"/>
                <w:kern w:val="0"/>
                <w:sz w:val="18"/>
                <w:szCs w:val="18"/>
                <w:highlight w:val="none"/>
                <w:lang w:val="en-US" w:eastAsia="zh-CN"/>
              </w:rPr>
              <w:t>5</w:t>
            </w:r>
            <w:r>
              <w:rPr>
                <w:rStyle w:val="37"/>
                <w:rFonts w:hint="eastAsia" w:asciiTheme="majorEastAsia" w:hAnsiTheme="majorEastAsia" w:eastAsiaTheme="majorEastAsia" w:cstheme="majorEastAsia"/>
                <w:color w:val="auto"/>
                <w:kern w:val="0"/>
                <w:sz w:val="18"/>
                <w:szCs w:val="18"/>
                <w:highlight w:val="none"/>
              </w:rPr>
              <w:t>）</w:t>
            </w:r>
            <w:r>
              <w:rPr>
                <w:rFonts w:hint="eastAsia" w:asciiTheme="majorEastAsia" w:hAnsiTheme="majorEastAsia" w:eastAsiaTheme="majorEastAsia" w:cstheme="majorEastAsia"/>
                <w:b/>
                <w:color w:val="auto"/>
                <w:sz w:val="18"/>
                <w:szCs w:val="18"/>
                <w:highlight w:val="none"/>
              </w:rPr>
              <w:t>（增加）</w:t>
            </w:r>
          </w:p>
        </w:tc>
        <w:tc>
          <w:tcPr>
            <w:tcW w:w="4066" w:type="dxa"/>
            <w:vAlign w:val="center"/>
          </w:tcPr>
          <w:p w14:paraId="30DD64DC">
            <w:pPr>
              <w:snapToGrid w:val="0"/>
              <w:spacing w:line="240" w:lineRule="atLeast"/>
              <w:jc w:val="left"/>
              <w:rPr>
                <w:rFonts w:hint="eastAsia" w:asciiTheme="majorEastAsia" w:hAnsiTheme="majorEastAsia" w:eastAsiaTheme="majorEastAsia" w:cstheme="majorEastAsia"/>
                <w:strike/>
                <w:color w:val="auto"/>
                <w:sz w:val="18"/>
                <w:szCs w:val="18"/>
                <w:highlight w:val="none"/>
                <w:lang w:val="en-US" w:eastAsia="zh-CN"/>
              </w:rPr>
            </w:pPr>
            <w:r>
              <w:rPr>
                <w:rFonts w:hint="eastAsia" w:asciiTheme="majorEastAsia" w:hAnsiTheme="majorEastAsia" w:eastAsiaTheme="majorEastAsia" w:cstheme="majorEastAsia"/>
                <w:strike/>
                <w:color w:val="auto"/>
                <w:sz w:val="18"/>
                <w:szCs w:val="18"/>
                <w:highlight w:val="none"/>
                <w:lang w:val="en-US" w:eastAsia="zh-CN"/>
              </w:rPr>
              <w:t>无</w:t>
            </w:r>
          </w:p>
        </w:tc>
        <w:tc>
          <w:tcPr>
            <w:tcW w:w="4247" w:type="dxa"/>
            <w:vAlign w:val="center"/>
          </w:tcPr>
          <w:p w14:paraId="16399D27">
            <w:pPr>
              <w:snapToGrid w:val="0"/>
              <w:spacing w:line="240" w:lineRule="atLeast"/>
              <w:ind w:firstLine="361" w:firstLineChars="200"/>
              <w:jc w:val="lef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22.1.1（1</w:t>
            </w:r>
            <w:r>
              <w:rPr>
                <w:rStyle w:val="37"/>
                <w:rFonts w:hint="eastAsia" w:asciiTheme="majorEastAsia" w:hAnsiTheme="majorEastAsia" w:eastAsiaTheme="majorEastAsia" w:cstheme="majorEastAsia"/>
                <w:b/>
                <w:bCs/>
                <w:color w:val="auto"/>
                <w:kern w:val="0"/>
                <w:sz w:val="18"/>
                <w:szCs w:val="18"/>
                <w:highlight w:val="none"/>
                <w:lang w:val="en-US" w:eastAsia="zh-CN"/>
              </w:rPr>
              <w:t>5</w:t>
            </w:r>
            <w:r>
              <w:rPr>
                <w:rStyle w:val="37"/>
                <w:rFonts w:hint="eastAsia" w:asciiTheme="majorEastAsia" w:hAnsiTheme="majorEastAsia" w:eastAsiaTheme="majorEastAsia" w:cstheme="majorEastAsia"/>
                <w:b/>
                <w:bCs/>
                <w:color w:val="auto"/>
                <w:kern w:val="0"/>
                <w:sz w:val="18"/>
                <w:szCs w:val="18"/>
                <w:highlight w:val="none"/>
              </w:rPr>
              <w:t>）增加</w:t>
            </w:r>
          </w:p>
          <w:p w14:paraId="22E10508">
            <w:pPr>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各施工承包人应严格落实《国务院办公厅转发国家发改委关于在重点工程项目中大力实施以工代赈 促进当地群众就业增收工作方案的通知》（国办函〔2022〕58号）、《国家发展改革委等部门关于印发2022年度适用以工代振的国家重点工程项目清单的通知》（发改振兴〔2022〕1563号）等有关以工代赈的要求，做好以工代赈工作，充分吸纳带动更多项目所在地群众实现就近就业增收；同时，充分吸纳中西部欠发达地区农民工参与工程项目建设。重点包括不限于：</w:t>
            </w:r>
          </w:p>
          <w:p w14:paraId="30AAAAE1">
            <w:pPr>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1.及时掌握属地政府和上级单位有关要求，尽量扩充以工代赈就业岗位，合理确定以工代赈劳务报酬标准，尽可能增加劳务报酬发放规模。</w:t>
            </w:r>
          </w:p>
          <w:p w14:paraId="7F8384C3">
            <w:pPr>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2.及时与项目所在地县政府充分沟通，按照当地政府要求，充分利用项目施工场地机械设备等，开展劳动技能培训和安全生产培训。组织工程项目有针对性地开展劳动技能培训和安全生产培训，培养熟练劳动力。</w:t>
            </w:r>
          </w:p>
          <w:p w14:paraId="4C0A648B">
            <w:pPr>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3.规范用工名册和劳务报酬发放台账，经务工人员签字确认后，原则上将劳务报酬通过银行卡发放至本人，并将劳务报酬发放台账送县级相关部门备案。坚决杜绝劳务报酬发放过程中拖欠克扣、弄虚作假等行为。</w:t>
            </w:r>
          </w:p>
          <w:p w14:paraId="15AE0669">
            <w:pPr>
              <w:snapToGrid w:val="0"/>
              <w:spacing w:line="240" w:lineRule="atLeast"/>
              <w:ind w:firstLine="360" w:firstLineChars="200"/>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做好以工代赈策划、执行、统计、自评价工作，积极配合竣工验收评价等工作。</w:t>
            </w:r>
          </w:p>
          <w:p w14:paraId="1466486C">
            <w:pPr>
              <w:pStyle w:val="2"/>
              <w:ind w:firstLine="360" w:firstLineChars="200"/>
              <w:rPr>
                <w:rFonts w:hint="eastAsia"/>
              </w:rPr>
            </w:pPr>
            <w:r>
              <w:rPr>
                <w:rFonts w:hint="eastAsia"/>
              </w:rPr>
              <w:t>以工代赈相关费用已包含在合同价格中，结算时不予另行调整</w:t>
            </w:r>
          </w:p>
        </w:tc>
        <w:tc>
          <w:tcPr>
            <w:tcW w:w="475" w:type="dxa"/>
            <w:tcBorders>
              <w:top w:val="single" w:color="000000" w:sz="4" w:space="0"/>
              <w:left w:val="single" w:color="000000" w:sz="4" w:space="0"/>
              <w:bottom w:val="single" w:color="000000" w:sz="4" w:space="0"/>
              <w:right w:val="nil"/>
            </w:tcBorders>
            <w:vAlign w:val="center"/>
          </w:tcPr>
          <w:p w14:paraId="5F11F7E2">
            <w:pPr>
              <w:snapToGrid w:val="0"/>
              <w:spacing w:line="240" w:lineRule="atLeast"/>
              <w:jc w:val="left"/>
              <w:rPr>
                <w:rStyle w:val="37"/>
                <w:rFonts w:hint="eastAsia" w:asciiTheme="majorEastAsia" w:hAnsiTheme="majorEastAsia" w:eastAsiaTheme="majorEastAsia" w:cstheme="majorEastAsia"/>
                <w:strike/>
                <w:color w:val="auto"/>
                <w:kern w:val="0"/>
                <w:sz w:val="18"/>
                <w:szCs w:val="18"/>
                <w:highlight w:val="none"/>
              </w:rPr>
            </w:pPr>
          </w:p>
        </w:tc>
      </w:tr>
      <w:tr w14:paraId="42CD7F40">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1FCA7574">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625AC21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专用条款第22.1.2条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7AF73D08">
            <w:pPr>
              <w:snapToGrid w:val="0"/>
              <w:spacing w:line="240" w:lineRule="atLeast"/>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w:t>
            </w:r>
            <w:r>
              <w:rPr>
                <w:rStyle w:val="37"/>
                <w:rFonts w:hint="eastAsia" w:asciiTheme="majorEastAsia" w:hAnsiTheme="majorEastAsia" w:eastAsiaTheme="majorEastAsia" w:cstheme="majorEastAsia"/>
                <w:color w:val="auto"/>
                <w:kern w:val="0"/>
                <w:sz w:val="18"/>
                <w:szCs w:val="18"/>
                <w:highlight w:val="none"/>
              </w:rPr>
              <w:t>（前序内容不变）</w:t>
            </w:r>
          </w:p>
          <w:p w14:paraId="7A3FCE56">
            <w:p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15）承包人违反17.4.1条约定，逾期不提交质量保证金担保或者提交的质量保证金担保不符合要求的，如不能发生视为承包人选择以现金保证金替代质量保证金保函或工程质量保证保险的后果，承包人应立即向发包人提供现金担保或银行担保，应向发包人支付质量保证金金额</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 xml:space="preserve"> %的违约金，并应承担由此给发包人造成的全部损失。</w:t>
            </w:r>
          </w:p>
          <w:p w14:paraId="62AC8360">
            <w:p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p>
          <w:p w14:paraId="035BEC88">
            <w:pPr>
              <w:snapToGrid w:val="0"/>
              <w:spacing w:line="240" w:lineRule="atLeast"/>
              <w:ind w:firstLine="180" w:firstLineChars="1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（16）承包人应承担的其他违约责任：</w:t>
            </w:r>
            <w:r>
              <w:rPr>
                <w:rStyle w:val="37"/>
                <w:rFonts w:hint="eastAsia" w:asciiTheme="majorEastAsia" w:hAnsiTheme="majorEastAsia" w:eastAsiaTheme="majorEastAsia" w:cstheme="majorEastAsia"/>
                <w:color w:val="auto"/>
                <w:kern w:val="0"/>
                <w:sz w:val="18"/>
                <w:szCs w:val="18"/>
                <w:highlight w:val="none"/>
                <w:u w:val="single"/>
              </w:rPr>
              <w:t xml:space="preserve">   </w:t>
            </w:r>
            <w:r>
              <w:rPr>
                <w:rStyle w:val="37"/>
                <w:rFonts w:hint="eastAsia" w:asciiTheme="majorEastAsia" w:hAnsiTheme="majorEastAsia" w:eastAsiaTheme="majorEastAsia" w:cstheme="majorEastAsia"/>
                <w:color w:val="auto"/>
                <w:kern w:val="0"/>
                <w:sz w:val="18"/>
                <w:szCs w:val="18"/>
                <w:highlight w:val="none"/>
              </w:rPr>
              <w:t xml:space="preserve">。 </w:t>
            </w:r>
          </w:p>
          <w:p w14:paraId="1612FD0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c>
          <w:tcPr>
            <w:tcW w:w="4247" w:type="dxa"/>
            <w:tcBorders>
              <w:top w:val="single" w:color="000000" w:sz="4" w:space="0"/>
              <w:left w:val="single" w:color="000000" w:sz="4" w:space="0"/>
              <w:bottom w:val="single" w:color="000000" w:sz="4" w:space="0"/>
              <w:right w:val="single" w:color="000000" w:sz="4" w:space="0"/>
            </w:tcBorders>
            <w:vAlign w:val="center"/>
          </w:tcPr>
          <w:p w14:paraId="069A249C">
            <w:pPr>
              <w:snapToGrid w:val="0"/>
              <w:spacing w:line="240" w:lineRule="atLeast"/>
              <w:jc w:val="left"/>
              <w:rPr>
                <w:rStyle w:val="37"/>
                <w:rFonts w:hint="eastAsia" w:asciiTheme="majorEastAsia" w:hAnsiTheme="majorEastAsia" w:eastAsiaTheme="majorEastAsia" w:cstheme="majorEastAsia"/>
                <w:b w:val="0"/>
                <w:bCs w:val="0"/>
                <w:color w:val="auto"/>
                <w:kern w:val="0"/>
                <w:sz w:val="18"/>
                <w:szCs w:val="18"/>
                <w:highlight w:val="none"/>
              </w:rPr>
            </w:pPr>
            <w:r>
              <w:rPr>
                <w:rStyle w:val="37"/>
                <w:rFonts w:hint="eastAsia" w:asciiTheme="majorEastAsia" w:hAnsiTheme="majorEastAsia" w:eastAsiaTheme="majorEastAsia" w:cstheme="majorEastAsia"/>
                <w:b w:val="0"/>
                <w:bCs w:val="0"/>
                <w:color w:val="auto"/>
                <w:kern w:val="0"/>
                <w:sz w:val="18"/>
                <w:szCs w:val="18"/>
                <w:highlight w:val="none"/>
              </w:rPr>
              <w:t>修改为：</w:t>
            </w:r>
          </w:p>
          <w:p w14:paraId="4C73BACE">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（1）承包人发生第22.1.1（1）目约定的违约情况时，承包人应向发包人支付签约合同价的</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10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%的违约金，且发包人有权解除本合同。</w:t>
            </w:r>
          </w:p>
          <w:p w14:paraId="49C8C545">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（2）承包人发生第22.1.1（4）目约定的违约情况时，每延误一日，承包人应向发包人支付签约合同价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0.2   </w:t>
            </w:r>
            <w:r>
              <w:rPr>
                <w:rFonts w:hint="eastAsia" w:asciiTheme="majorEastAsia" w:hAnsiTheme="majorEastAsia" w:eastAsiaTheme="majorEastAsia" w:cstheme="majorEastAsia"/>
                <w:b w:val="0"/>
                <w:bCs w:val="0"/>
                <w:snapToGrid w:val="0"/>
                <w:color w:val="auto"/>
                <w:kern w:val="0"/>
                <w:sz w:val="18"/>
                <w:szCs w:val="18"/>
                <w:highlight w:val="none"/>
              </w:rPr>
              <w:t>‰的违约金；延误超过60日的，发包人有权解除合同，承包人应向发包人支付签约合同价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10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w:t>
            </w:r>
          </w:p>
          <w:p w14:paraId="1F77055E">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 xml:space="preserve">（3）承包人发生第22.1.1（6）目约定的违约情况时，发包人可通知承包人立即解除合同，可按以下约定的违约责任进行处理： </w:t>
            </w:r>
          </w:p>
          <w:p w14:paraId="01CA04C9">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承包人应在30天内向发包人退还所有已支付费用，并支付签约合同价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20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w:t>
            </w:r>
          </w:p>
          <w:p w14:paraId="101FBA20">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（4）承包人发生第22.1.1（8）目约定的违约情况时，承包人应及时负责采取有效措施直至符合规定标准，承包人应向发包人支付签约合同价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10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%的违约金，并应承担由此引起的一切额外费用，且发包人有权解除合同。</w:t>
            </w:r>
          </w:p>
          <w:p w14:paraId="294FCE10">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 xml:space="preserve">（5）承包人发生除第22.1.1（4）、（6）、（8）目约定以外的其他违约情况时，发包人或监理人可向承包人发出整改通知，要求其在指定的期限内改正，由于以上原因造成工程延期交付的视同延误工期，承包人应按照本条第22.1.2（2）目约定的方式承担违约责任，并承担其违约所引起的费用增加和（或）工期延误责任；若承包人逾期整改，或整改后不符合发包人要求的，发包人有权解除合同，承包人应向发包人支付签约合同价 </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10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%的违约金，并应承担由此引起的一切额外费用。</w:t>
            </w:r>
          </w:p>
          <w:p w14:paraId="4DDE1BBC">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（6）施工期间发生重大责任事故的，承包人应承担全部事故责任，承包人应向发包人支付签约合同价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10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%的违约金，并应承担由此引起的一切额外费用，且发包人有权解除合同。</w:t>
            </w:r>
          </w:p>
          <w:p w14:paraId="5E7EDC7B">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（7）承包人违反本合同通用条款第1.11款约定义务的，发包人有权要求承包人承担合同价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5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%的违约金，并有权解除本合同。承包人未经发包人同意转让或许可第三方使用发包人所有的技术成果和知识产权的，所获收益归发包人所有。 </w:t>
            </w:r>
          </w:p>
          <w:p w14:paraId="0D646426">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（8）承包人违反本合同通用条款第1.12款约定义务的，应向发包人支付签约合同价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5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%的违约金，并应承担一切法律责任。</w:t>
            </w:r>
          </w:p>
          <w:p w14:paraId="6C9C780D">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（9）若因承包人违约导致合同解除的，则合同结算金额按经发包人确认后的实际工程量结算确认，但承包人应向发包人承担签约合同价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20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 </w:t>
            </w:r>
          </w:p>
          <w:p w14:paraId="2AABF7BD">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（10）承包人发生第22.1.1（11）目约定的违约情况时，承包人应向发包人支付签约合同价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20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%的违约金，并应承担相应法律责任。</w:t>
            </w:r>
          </w:p>
          <w:p w14:paraId="0706B317">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 xml:space="preserve">（11）承包人发生第22.1.1（12）目约定的违约情况时，承包人应向发包人支付签约合同价 </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10    </w:t>
            </w:r>
            <w:r>
              <w:rPr>
                <w:rFonts w:hint="eastAsia" w:asciiTheme="majorEastAsia" w:hAnsiTheme="majorEastAsia" w:eastAsiaTheme="majorEastAsia" w:cstheme="majorEastAsia"/>
                <w:b w:val="0"/>
                <w:bCs w:val="0"/>
                <w:snapToGrid w:val="0"/>
                <w:color w:val="auto"/>
                <w:kern w:val="0"/>
                <w:sz w:val="18"/>
                <w:szCs w:val="18"/>
                <w:highlight w:val="none"/>
              </w:rPr>
              <w:t>%的违约金，并应承担相应法律责任。</w:t>
            </w:r>
          </w:p>
          <w:p w14:paraId="030771A8">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（12）承包人发生第22.1.1（13）目约定的违约情况时，承包人应向发包人支付签约合同价</w:t>
            </w:r>
            <w:r>
              <w:rPr>
                <w:rFonts w:hint="eastAsia" w:asciiTheme="majorEastAsia" w:hAnsiTheme="majorEastAsia" w:eastAsiaTheme="majorEastAsia" w:cstheme="majorEastAsia"/>
                <w:b w:val="0"/>
                <w:bCs w:val="0"/>
                <w:snapToGrid w:val="0"/>
                <w:color w:val="auto"/>
                <w:kern w:val="0"/>
                <w:sz w:val="18"/>
                <w:szCs w:val="18"/>
                <w:highlight w:val="none"/>
                <w:u w:val="single"/>
              </w:rPr>
              <w:t xml:space="preserve"> 10   </w:t>
            </w:r>
            <w:r>
              <w:rPr>
                <w:rFonts w:hint="eastAsia" w:asciiTheme="majorEastAsia" w:hAnsiTheme="majorEastAsia" w:eastAsiaTheme="majorEastAsia" w:cstheme="majorEastAsia"/>
                <w:b w:val="0"/>
                <w:bCs w:val="0"/>
                <w:snapToGrid w:val="0"/>
                <w:color w:val="auto"/>
                <w:kern w:val="0"/>
                <w:sz w:val="18"/>
                <w:szCs w:val="18"/>
                <w:highlight w:val="none"/>
              </w:rPr>
              <w:t xml:space="preserve"> %的违约金，并应承担相应法律责任。</w:t>
            </w:r>
          </w:p>
          <w:p w14:paraId="47397FB9">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（13）承包人按合同约定应支付的违约金低于给发包人造成的损失的，并应就差额部分向发包人进行赔偿，应承担的赔偿金额不以签约合同价为限。</w:t>
            </w:r>
          </w:p>
          <w:p w14:paraId="49E58BB5">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（14）承包人违约除应承担相应违约责任外，发包人向承包人主张权利所产生的费用亦由承包方承担。</w:t>
            </w:r>
          </w:p>
          <w:p w14:paraId="4FBC6C7E">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（15）承包人应支付和承担的所有违约金及赔偿金，发包人可以直接从应付给承包人的任何款项中扣除。</w:t>
            </w:r>
          </w:p>
          <w:p w14:paraId="471CA146">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rPr>
            </w:pPr>
            <w:r>
              <w:rPr>
                <w:rFonts w:hint="eastAsia" w:asciiTheme="majorEastAsia" w:hAnsiTheme="majorEastAsia" w:eastAsiaTheme="majorEastAsia" w:cstheme="majorEastAsia"/>
                <w:b w:val="0"/>
                <w:bCs w:val="0"/>
                <w:snapToGrid w:val="0"/>
                <w:color w:val="auto"/>
                <w:kern w:val="0"/>
                <w:sz w:val="18"/>
                <w:szCs w:val="18"/>
                <w:highlight w:val="none"/>
              </w:rPr>
              <w:t>（16）</w:t>
            </w:r>
          </w:p>
          <w:p w14:paraId="7B8AC01D">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a.承包人（项目经理）未经发包人同意，擅自离开施工现场，每发现一次，扣除5000元/天；承包人未经发包人批准更换项目经理扣除20万元人民币/每人次，未按规定履行手续擅自更换项目部关键人员扣除10万元/每人次，未按规定履行手续擅自更换项目部其他人员扣除5万元/每人次。未按发包人要求及时更换项目经理、关键人员、其他人员扣除10万元/次。</w:t>
            </w:r>
          </w:p>
          <w:p w14:paraId="3CA7810F">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b.实施专业分包作业的专业分包商未按规定成立项目部，未建立健全组织机构不得开展现场作业，由此产生的相关责任由承包人承担，限期整改，每逾期一天按5000元/天考核，逾期15天不整改责令该分包商退出工程现场。</w:t>
            </w:r>
          </w:p>
          <w:p w14:paraId="08CC4B7A">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c.专业分包商（项目经理）未经发包人同意，擅自离开施工现场，每发现一次，扣除5000元/天，专业分包商更换项目经理扣除20万元人民币/每人次，未经发包人同意更换项目部关键人员扣除5万元/每人次。</w:t>
            </w:r>
          </w:p>
          <w:p w14:paraId="643166AA">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d.因承包人未按《国家电网公司关于深化基建队伍改革、强化施工安全管理有关配套政策的通知》、《国家电网有限公司关于全面推进输变电工程施工作业层班组标准化建设的通知》要求选用柔性建制模式或流水作业模式组建，或未按“骨干+核心”配置模式，或未按合同约定擅自变更作业班组骨干人员，或劳务分包未采用核心劳务分包队伍，发包人、工程监理人员有权暂停施工作业，直至承包人按要求完成整改，由此造成的损失由承包人承担，其次因承包人原因导致暂停施工作业的，按照5000元/日进行考核。</w:t>
            </w:r>
          </w:p>
          <w:p w14:paraId="14FA40D1">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e.承包人未严格落实《国网基建部关于加强输变电工程建设现场作业人员安全管理的通知》（基建安质[2021]36号），参与电网建设的现场作业人员必须参加岗前培训考试合格、安全考试合格、签订劳动合同、购买意外伤害保险、体检合格、录入实名制信息库后，方可参加施工作业要求的，发包人、工程监理人员有权要求限期整改或予以清退出场，按2000元/人/项考核。</w:t>
            </w:r>
          </w:p>
          <w:p w14:paraId="5F061C31">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g.施工现场的员工未统一着装、佩戴胸卡、正确使用安全防护用具，发包人、工程监理人员有权要求限期整改，按500元/人次考核。</w:t>
            </w:r>
          </w:p>
          <w:p w14:paraId="6C07C3CE">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h.施工现场（包括办公区、生活区）能造成人员伤害或物品坠落的孔洞未采用孔洞盖板或安全围栏实施有效防护,发包人、工程监理人员有权要求限期整改，按5000元/处考核。</w:t>
            </w:r>
          </w:p>
          <w:p w14:paraId="64844088">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i.特种作业人员未持证上岗，禁止上岗作业，按2000元/人次考核。</w:t>
            </w:r>
          </w:p>
          <w:p w14:paraId="3BD95ABB">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j.施工机械、设备无合格证并经检测合格，发包人、工程监理人员有权要求限期整改，按2000元/处考核。</w:t>
            </w:r>
          </w:p>
          <w:p w14:paraId="310DEF50">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k.人工挖孔基础作业未使用一体化深基坑作业智能机,孔内作业未实行“先通风、再检测、后作业”的原则，发包人、工程监理人员有权要求限期整改或暂停施工，按5000元/处考核 。</w:t>
            </w:r>
          </w:p>
          <w:p w14:paraId="0BC12667">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l.专项施工方案未经施工单位技术、安全、质量等管理部门审核签字，施工单位技术负责人批准或审核、批准不严格以及存在冒签、代签签名，需按规定组织专家论证而未组织的，发包人、工程监理人员有权要求限期整改或暂停施工，由此造成的损失由承包人承担，并按5000元/项考核。</w:t>
            </w:r>
          </w:p>
          <w:p w14:paraId="4E27CF77">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m.推广应用的创新工法承包人未应用尽用，除扣除相关费用外，按5000元/项考核。</w:t>
            </w:r>
          </w:p>
          <w:p w14:paraId="78B64E32">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n.站区施工未做到“先拦后弃、先围后挖、先护后扰”，临时弃土、剥离的表层土及砂石料堆好后未用纤维布或密目布苫盖，发包人、工程监理人员有权要求限期整改或暂停施工，由此造成的损失由承包人承担，按2000元/处考核。</w:t>
            </w:r>
          </w:p>
          <w:p w14:paraId="1C92AFBD">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o.发包人、工程监理人员实施分项施工放行制度，按照报审质量检验评定范围划分标，每个分项工程施工现场安全文明施工现场未做到安全管理制度化、安全设施标准化、现场布置条理化、机料摆放定置化、作业行为规范化、环境影响最小化等常态化，发包人、工程监理人员有权要求限期整改或暂停施工，由此造成的损失由承包人承担，按2000元/项考核。</w:t>
            </w:r>
          </w:p>
          <w:p w14:paraId="185477AB">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p.发包人、工程监理人员审批、审核施工项目部编制的施工进度计划，定期组织召开月度工作例会，开展进度计划执行情况的统计与分析，对偏离进度计划的项目制订并落实纠偏措施，因承包人原因造成实际进度滞后进度计划超10%时，发包人、工程监理人员有权要求承包人落实增加人力资源及设备投入、分公司经理常驻现场督导等纠偏措施，并按10000元/10%考核。</w:t>
            </w:r>
          </w:p>
          <w:p w14:paraId="6996E363">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q.施工过程中各类施工资料未与施工进度同步，管理部要求后未及时完善，按1000元/天考核。</w:t>
            </w:r>
          </w:p>
          <w:p w14:paraId="6C220E58">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r.承包人（监理）对发包人发出的各类整改通知、联系单未按要求及时整改、回复，按2000元/条考核。</w:t>
            </w:r>
          </w:p>
          <w:p w14:paraId="6B9B0127">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s.承包人未按发包人要求参加各种会议、会务或参加人员不满足要求（含晚班会），按1000元/次考核。</w:t>
            </w:r>
          </w:p>
          <w:p w14:paraId="4DADA517">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t.承包人因出入场管控不利，有外来人员或未经项目管理部同意私自入站的，按1000元/人考核。</w:t>
            </w:r>
          </w:p>
          <w:p w14:paraId="4C17FE62">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u.对各级检查、督察、巡视过程配合不力，因承包方原因造成工程建设被通报、整改，按10000元/次考核。</w:t>
            </w:r>
          </w:p>
          <w:p w14:paraId="10AFAF8B">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v.因承包方原因施工过程中对环境造成污染，与当地居民发生安全稳定事件，除承担全部责任外，按2000元/次考核。</w:t>
            </w:r>
          </w:p>
          <w:p w14:paraId="0EC6D38F">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w.承包方人员造成信息外泄或私自通过自媒体、社交平台转发工程涉及内容，造成负面影响，按10000元/次考核。</w:t>
            </w:r>
          </w:p>
          <w:p w14:paraId="52C94532">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x.站内机具、工具间、库房、材料堆放、安全文明施工设施未经监理人批准擅自改变位置、布置，按1000元/次考核。</w:t>
            </w:r>
          </w:p>
          <w:p w14:paraId="5C98DB84">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y.临时施工用电、有限空间、高处作业等危及人身安全作业及区域监理人检查不合格，按1000元/处考核。</w:t>
            </w:r>
          </w:p>
          <w:p w14:paraId="1352B2FE">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z.项目部、班组生活、办公区、施工现场未达到安全文明施工规程要求或不满足安全文明施工设施标准化配置的，按1000元/处考核。</w:t>
            </w:r>
          </w:p>
          <w:p w14:paraId="34DDFAEC">
            <w:pPr>
              <w:widowControl w:val="0"/>
              <w:autoSpaceDE w:val="0"/>
              <w:autoSpaceDN w:val="0"/>
              <w:adjustRightInd w:val="0"/>
              <w:snapToGrid w:val="0"/>
              <w:jc w:val="left"/>
              <w:textAlignment w:val="auto"/>
              <w:rPr>
                <w:rFonts w:hint="eastAsia" w:asciiTheme="majorEastAsia" w:hAnsiTheme="majorEastAsia" w:eastAsiaTheme="majorEastAsia" w:cstheme="majorEastAsia"/>
                <w:b w:val="0"/>
                <w:bCs w:val="0"/>
                <w:snapToGrid w:val="0"/>
                <w:color w:val="auto"/>
                <w:kern w:val="0"/>
                <w:sz w:val="18"/>
                <w:szCs w:val="18"/>
                <w:highlight w:val="none"/>
                <w:lang w:val="en-US" w:eastAsia="zh-CN"/>
              </w:rPr>
            </w:pPr>
            <w:r>
              <w:rPr>
                <w:rFonts w:hint="eastAsia" w:asciiTheme="majorEastAsia" w:hAnsiTheme="majorEastAsia" w:eastAsiaTheme="majorEastAsia" w:cstheme="majorEastAsia"/>
                <w:b w:val="0"/>
                <w:bCs w:val="0"/>
                <w:snapToGrid w:val="0"/>
                <w:color w:val="auto"/>
                <w:kern w:val="0"/>
                <w:sz w:val="18"/>
                <w:szCs w:val="18"/>
                <w:highlight w:val="none"/>
                <w:lang w:val="en-US" w:eastAsia="zh-CN"/>
              </w:rPr>
              <w:t>aa.承包人录入到安全生产风险管控平台的作业计划，在上级单位检查中发现漏报、错报的，按5000元/条考核，被上级单位通报考核的，按20000元/条考核。</w:t>
            </w:r>
          </w:p>
          <w:p w14:paraId="1F6A2C79">
            <w:pPr>
              <w:pStyle w:val="2"/>
              <w:rPr>
                <w:rFonts w:hint="eastAsia" w:asciiTheme="majorEastAsia" w:hAnsiTheme="majorEastAsia" w:eastAsiaTheme="majorEastAsia" w:cstheme="majorEastAsia"/>
                <w:b w:val="0"/>
                <w:bCs w:val="0"/>
                <w:color w:val="auto"/>
                <w:sz w:val="18"/>
                <w:szCs w:val="18"/>
                <w:highlight w:val="none"/>
                <w:lang w:val="en-US" w:eastAsia="zh-CN"/>
              </w:rPr>
            </w:pPr>
            <w:r>
              <w:rPr>
                <w:rFonts w:hint="eastAsia" w:asciiTheme="majorEastAsia" w:hAnsiTheme="majorEastAsia" w:eastAsiaTheme="majorEastAsia" w:cstheme="majorEastAsia"/>
                <w:b w:val="0"/>
                <w:bCs w:val="0"/>
                <w:color w:val="auto"/>
                <w:sz w:val="18"/>
                <w:szCs w:val="18"/>
                <w:highlight w:val="none"/>
                <w:lang w:val="en-US" w:eastAsia="zh-CN"/>
              </w:rPr>
              <w:t>ab.未派人参与基建安全风险值班或所派人员能力不符合要求的，承包人按5万元/月支付违约金，不足一个月按一个月计算。</w:t>
            </w:r>
          </w:p>
          <w:p w14:paraId="04AF82B2">
            <w:pPr>
              <w:pStyle w:val="2"/>
              <w:rPr>
                <w:rFonts w:hint="eastAsia" w:asciiTheme="majorEastAsia" w:hAnsiTheme="majorEastAsia" w:eastAsiaTheme="majorEastAsia" w:cstheme="majorEastAsia"/>
                <w:b w:val="0"/>
                <w:bCs w:val="0"/>
                <w:color w:val="auto"/>
                <w:sz w:val="18"/>
                <w:szCs w:val="18"/>
                <w:highlight w:val="none"/>
                <w:lang w:val="en-US" w:eastAsia="zh-CN"/>
              </w:rPr>
            </w:pPr>
            <w:r>
              <w:rPr>
                <w:rFonts w:hint="eastAsia" w:asciiTheme="majorEastAsia" w:hAnsiTheme="majorEastAsia" w:eastAsiaTheme="majorEastAsia" w:cstheme="majorEastAsia"/>
                <w:b w:val="0"/>
                <w:bCs w:val="0"/>
                <w:color w:val="auto"/>
                <w:sz w:val="18"/>
                <w:szCs w:val="18"/>
                <w:highlight w:val="none"/>
                <w:lang w:val="en-US" w:eastAsia="zh-CN"/>
              </w:rPr>
              <w:t>ac.检查每发现一项未配置感知设备应配未配，承包人支付5000元违约金；检查每发现一项感知设备未接入省公司物联感知平台，承包人支付2000元违约金。</w:t>
            </w:r>
          </w:p>
          <w:p w14:paraId="2B9B665E">
            <w:pPr>
              <w:pStyle w:val="2"/>
              <w:rPr>
                <w:rFonts w:hint="eastAsia" w:asciiTheme="majorEastAsia" w:hAnsiTheme="majorEastAsia" w:eastAsiaTheme="majorEastAsia" w:cstheme="majorEastAsia"/>
                <w:b w:val="0"/>
                <w:bCs w:val="0"/>
                <w:color w:val="auto"/>
                <w:sz w:val="18"/>
                <w:szCs w:val="18"/>
                <w:highlight w:val="none"/>
                <w:lang w:val="en-US" w:eastAsia="zh-CN"/>
              </w:rPr>
            </w:pPr>
            <w:r>
              <w:rPr>
                <w:rFonts w:hint="eastAsia" w:asciiTheme="majorEastAsia" w:hAnsiTheme="majorEastAsia" w:eastAsiaTheme="majorEastAsia" w:cstheme="majorEastAsia"/>
                <w:b w:val="0"/>
                <w:bCs w:val="0"/>
                <w:color w:val="auto"/>
                <w:sz w:val="18"/>
                <w:szCs w:val="18"/>
                <w:highlight w:val="none"/>
                <w:lang w:val="en-US" w:eastAsia="zh-CN"/>
              </w:rPr>
              <w:t>ad.未按时报送班组分级清单，对承包人考核20000元；被上级单位或公司每查处一起班组未纳入分级清单的，对承包人考核2000元；被上级单位或公司每查处一起班组等级与作业风险不匹配的，对承包人考核2000元。</w:t>
            </w:r>
          </w:p>
          <w:p w14:paraId="3BFACF80">
            <w:pPr>
              <w:pStyle w:val="2"/>
              <w:rPr>
                <w:rFonts w:hint="default" w:asciiTheme="majorEastAsia" w:hAnsiTheme="majorEastAsia" w:eastAsiaTheme="majorEastAsia" w:cstheme="majorEastAsia"/>
                <w:b w:val="0"/>
                <w:bCs w:val="0"/>
                <w:color w:val="auto"/>
                <w:sz w:val="18"/>
                <w:szCs w:val="18"/>
                <w:highlight w:val="none"/>
                <w:lang w:val="en-US" w:eastAsia="zh-CN"/>
              </w:rPr>
            </w:pPr>
            <w:r>
              <w:rPr>
                <w:rFonts w:hint="eastAsia" w:asciiTheme="majorEastAsia" w:hAnsiTheme="majorEastAsia" w:eastAsiaTheme="majorEastAsia" w:cstheme="majorEastAsia"/>
                <w:b w:val="0"/>
                <w:bCs w:val="0"/>
                <w:color w:val="auto"/>
                <w:sz w:val="18"/>
                <w:szCs w:val="18"/>
                <w:highlight w:val="none"/>
                <w:lang w:val="en-US" w:eastAsia="zh-CN"/>
              </w:rPr>
              <w:t>ae.</w:t>
            </w:r>
            <w:r>
              <w:rPr>
                <w:rFonts w:hint="default" w:asciiTheme="majorEastAsia" w:hAnsiTheme="majorEastAsia" w:eastAsiaTheme="majorEastAsia" w:cstheme="majorEastAsia"/>
                <w:b w:val="0"/>
                <w:bCs w:val="0"/>
                <w:color w:val="auto"/>
                <w:sz w:val="18"/>
                <w:szCs w:val="18"/>
                <w:highlight w:val="none"/>
                <w:lang w:val="en-US" w:eastAsia="zh-CN"/>
              </w:rPr>
              <w:t>承包人项目经理每月驻现场工作应不少于22天。离开施工现场履行工作交接程序，并向监理项目部总监（或总监代表）执行书面请假</w:t>
            </w:r>
            <w:r>
              <w:rPr>
                <w:rFonts w:hint="eastAsia" w:asciiTheme="majorEastAsia" w:hAnsiTheme="majorEastAsia" w:eastAsiaTheme="majorEastAsia" w:cstheme="majorEastAsia"/>
                <w:b w:val="0"/>
                <w:bCs w:val="0"/>
                <w:color w:val="auto"/>
                <w:sz w:val="18"/>
                <w:szCs w:val="18"/>
                <w:highlight w:val="none"/>
                <w:lang w:val="en-US" w:eastAsia="zh-CN"/>
              </w:rPr>
              <w:t>。</w:t>
            </w:r>
            <w:r>
              <w:rPr>
                <w:rFonts w:hint="default" w:asciiTheme="majorEastAsia" w:hAnsiTheme="majorEastAsia" w:eastAsiaTheme="majorEastAsia" w:cstheme="majorEastAsia"/>
                <w:b w:val="0"/>
                <w:bCs w:val="0"/>
                <w:color w:val="auto"/>
                <w:sz w:val="18"/>
                <w:szCs w:val="18"/>
                <w:highlight w:val="none"/>
                <w:lang w:val="en-US" w:eastAsia="zh-CN"/>
              </w:rPr>
              <w:t>未经发包人同意，项目经理每月驻现场时间少于22天，每减少1天扣除5万元人民币违约金。</w:t>
            </w:r>
          </w:p>
          <w:p w14:paraId="62706EAA">
            <w:pPr>
              <w:pStyle w:val="2"/>
              <w:rPr>
                <w:rFonts w:hint="default" w:asciiTheme="majorEastAsia" w:hAnsiTheme="majorEastAsia" w:eastAsiaTheme="majorEastAsia" w:cstheme="majorEastAsia"/>
                <w:b w:val="0"/>
                <w:bCs w:val="0"/>
                <w:color w:val="auto"/>
                <w:sz w:val="18"/>
                <w:szCs w:val="18"/>
                <w:highlight w:val="none"/>
                <w:lang w:val="en-US" w:eastAsia="zh-CN"/>
              </w:rPr>
            </w:pPr>
            <w:r>
              <w:rPr>
                <w:rFonts w:hint="eastAsia" w:asciiTheme="majorEastAsia" w:hAnsiTheme="majorEastAsia" w:eastAsiaTheme="majorEastAsia" w:cstheme="majorEastAsia"/>
                <w:b w:val="0"/>
                <w:bCs w:val="0"/>
                <w:color w:val="auto"/>
                <w:sz w:val="18"/>
                <w:szCs w:val="18"/>
                <w:highlight w:val="none"/>
                <w:lang w:val="en-US" w:eastAsia="zh-CN"/>
              </w:rPr>
              <w:t>af.</w:t>
            </w:r>
            <w:r>
              <w:rPr>
                <w:rFonts w:hint="default" w:asciiTheme="majorEastAsia" w:hAnsiTheme="majorEastAsia" w:eastAsiaTheme="majorEastAsia" w:cstheme="majorEastAsia"/>
                <w:b w:val="0"/>
                <w:bCs w:val="0"/>
                <w:color w:val="auto"/>
                <w:sz w:val="18"/>
                <w:szCs w:val="18"/>
                <w:highlight w:val="none"/>
                <w:lang w:val="en-US" w:eastAsia="zh-CN"/>
              </w:rPr>
              <w:t>发包人有权要求承包人公司管理层到场协调工程事项，承包人应予配合，承包人拒不配合的，视为承包人违约，每次向发包人支付违约金</w:t>
            </w:r>
            <w:r>
              <w:rPr>
                <w:rFonts w:hint="eastAsia" w:asciiTheme="majorEastAsia" w:hAnsiTheme="majorEastAsia" w:eastAsiaTheme="majorEastAsia" w:cstheme="majorEastAsia"/>
                <w:b w:val="0"/>
                <w:bCs w:val="0"/>
                <w:color w:val="auto"/>
                <w:sz w:val="18"/>
                <w:szCs w:val="18"/>
                <w:highlight w:val="none"/>
                <w:lang w:val="en-US" w:eastAsia="zh-CN"/>
              </w:rPr>
              <w:t>10</w:t>
            </w:r>
            <w:r>
              <w:rPr>
                <w:rFonts w:hint="default" w:asciiTheme="majorEastAsia" w:hAnsiTheme="majorEastAsia" w:eastAsiaTheme="majorEastAsia" w:cstheme="majorEastAsia"/>
                <w:b w:val="0"/>
                <w:bCs w:val="0"/>
                <w:color w:val="auto"/>
                <w:sz w:val="18"/>
                <w:szCs w:val="18"/>
                <w:highlight w:val="none"/>
                <w:lang w:val="en-US" w:eastAsia="zh-CN"/>
              </w:rPr>
              <w:t>万元</w:t>
            </w:r>
            <w:r>
              <w:rPr>
                <w:rFonts w:hint="eastAsia" w:asciiTheme="majorEastAsia" w:hAnsiTheme="majorEastAsia" w:eastAsiaTheme="majorEastAsia" w:cstheme="majorEastAsia"/>
                <w:b w:val="0"/>
                <w:bCs w:val="0"/>
                <w:color w:val="auto"/>
                <w:sz w:val="18"/>
                <w:szCs w:val="18"/>
                <w:highlight w:val="none"/>
                <w:lang w:val="en-US" w:eastAsia="zh-CN"/>
              </w:rPr>
              <w:t>。</w:t>
            </w:r>
          </w:p>
          <w:p w14:paraId="607BAE52">
            <w:pPr>
              <w:pStyle w:val="2"/>
              <w:rPr>
                <w:rFonts w:hint="default" w:asciiTheme="majorEastAsia" w:hAnsiTheme="majorEastAsia" w:eastAsiaTheme="majorEastAsia" w:cstheme="majorEastAsia"/>
                <w:b w:val="0"/>
                <w:bCs w:val="0"/>
                <w:color w:val="auto"/>
                <w:sz w:val="18"/>
                <w:szCs w:val="18"/>
                <w:highlight w:val="none"/>
                <w:lang w:val="en-US" w:eastAsia="zh-CN"/>
              </w:rPr>
            </w:pPr>
            <w:r>
              <w:rPr>
                <w:rFonts w:hint="eastAsia" w:asciiTheme="majorEastAsia" w:hAnsiTheme="majorEastAsia" w:eastAsiaTheme="majorEastAsia" w:cstheme="majorEastAsia"/>
                <w:b w:val="0"/>
                <w:bCs w:val="0"/>
                <w:color w:val="auto"/>
                <w:sz w:val="18"/>
                <w:szCs w:val="18"/>
                <w:highlight w:val="none"/>
                <w:lang w:val="en-US" w:eastAsia="zh-CN"/>
              </w:rPr>
              <w:t>ag.</w:t>
            </w:r>
            <w:r>
              <w:rPr>
                <w:rFonts w:hint="default" w:asciiTheme="majorEastAsia" w:hAnsiTheme="majorEastAsia" w:eastAsiaTheme="majorEastAsia" w:cstheme="majorEastAsia"/>
                <w:b w:val="0"/>
                <w:bCs w:val="0"/>
                <w:color w:val="auto"/>
                <w:sz w:val="18"/>
                <w:szCs w:val="18"/>
                <w:highlight w:val="none"/>
                <w:lang w:val="en-US" w:eastAsia="zh-CN"/>
              </w:rPr>
              <w:t>未规范开展“首例试点”，每项试点支付10000元违约金。</w:t>
            </w:r>
          </w:p>
          <w:p w14:paraId="0F9C13AF">
            <w:pPr>
              <w:snapToGrid w:val="0"/>
              <w:jc w:val="left"/>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ah.未按照招投标文件及合同要求配备其他相关人员或不配合工作，扣除每人每月10000元违约金。</w:t>
            </w:r>
          </w:p>
          <w:p w14:paraId="6C4E2E2C">
            <w:pPr>
              <w:pStyle w:val="2"/>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ai.承包人未承办创优相关会议并承担费用的，每发生一起，扣签约合同价的0.1%违约金。</w:t>
            </w:r>
          </w:p>
          <w:p w14:paraId="0E92D1D5">
            <w:pPr>
              <w:pStyle w:val="2"/>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aj.承包人不按要求履行质量管理相关程序，每次扣5000元。发包人组织质量检查时，对未能达到标准要求且未在规定期限完成整改消缺的承包人，每次扣10000元。</w:t>
            </w:r>
          </w:p>
          <w:p w14:paraId="335C0DA4">
            <w:pPr>
              <w:pStyle w:val="2"/>
              <w:rPr>
                <w:rFonts w:hint="eastAsia"/>
                <w:color w:val="auto"/>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ak.</w:t>
            </w:r>
            <w:r>
              <w:rPr>
                <w:rFonts w:hint="eastAsia"/>
                <w:color w:val="auto"/>
                <w:highlight w:val="none"/>
                <w:lang w:val="en-US" w:eastAsia="zh-CN"/>
              </w:rPr>
              <w:t>承包人关于管理提升、数字化应用、档案管理等全流程管理要求未按时执行或执行不到位的，一次扣10000元。</w:t>
            </w:r>
          </w:p>
          <w:p w14:paraId="1E188E8A">
            <w:pPr>
              <w:pStyle w:val="2"/>
              <w:rPr>
                <w:rFonts w:hint="default"/>
                <w:color w:val="auto"/>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bidi="ar-SA"/>
              </w:rPr>
              <w:t>al.</w:t>
            </w:r>
            <w:r>
              <w:rPr>
                <w:rFonts w:hint="eastAsia"/>
                <w:color w:val="auto"/>
                <w:highlight w:val="none"/>
                <w:lang w:val="en-US" w:eastAsia="zh-CN"/>
              </w:rPr>
              <w:t>未按照业主项目部要求配置满足工程建设进度所需数量的桩机，承担因此造成的责任，并扣除5000元/台/天违约金。</w:t>
            </w:r>
          </w:p>
        </w:tc>
        <w:tc>
          <w:tcPr>
            <w:tcW w:w="475" w:type="dxa"/>
            <w:tcBorders>
              <w:top w:val="single" w:color="000000" w:sz="4" w:space="0"/>
              <w:left w:val="single" w:color="000000" w:sz="4" w:space="0"/>
              <w:bottom w:val="single" w:color="000000" w:sz="4" w:space="0"/>
              <w:right w:val="nil"/>
            </w:tcBorders>
            <w:vAlign w:val="center"/>
          </w:tcPr>
          <w:p w14:paraId="46853F7E">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738D729E">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4180874F">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DA898AF">
            <w:pPr>
              <w:spacing w:line="240" w:lineRule="exact"/>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专用条款第22.2.3条（4）</w:t>
            </w:r>
          </w:p>
        </w:tc>
        <w:tc>
          <w:tcPr>
            <w:tcW w:w="4066" w:type="dxa"/>
            <w:tcBorders>
              <w:top w:val="single" w:color="000000" w:sz="4" w:space="0"/>
              <w:left w:val="single" w:color="000000" w:sz="4" w:space="0"/>
              <w:bottom w:val="single" w:color="000000" w:sz="4" w:space="0"/>
              <w:right w:val="single" w:color="000000" w:sz="4" w:space="0"/>
            </w:tcBorders>
            <w:vAlign w:val="center"/>
          </w:tcPr>
          <w:p w14:paraId="0BFDE138">
            <w:pPr>
              <w:snapToGrid w:val="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22.2.3 发包人违约责任</w:t>
            </w:r>
          </w:p>
          <w:p w14:paraId="5A692259">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发生第22.2.1（6）目的违约情况时，发包人应就逾期未付部分向承包人支付按照合同订立时全国银行间同业拆借中心公布的1年期贷款市场报价利率计算的逾期付款违约金计算的逾期付款违约金，但因承包人原因造成的除外。</w:t>
            </w:r>
          </w:p>
        </w:tc>
        <w:tc>
          <w:tcPr>
            <w:tcW w:w="4247" w:type="dxa"/>
            <w:tcBorders>
              <w:top w:val="single" w:color="000000" w:sz="4" w:space="0"/>
              <w:left w:val="single" w:color="000000" w:sz="4" w:space="0"/>
              <w:bottom w:val="single" w:color="000000" w:sz="4" w:space="0"/>
              <w:right w:val="single" w:color="000000" w:sz="4" w:space="0"/>
            </w:tcBorders>
            <w:vAlign w:val="center"/>
          </w:tcPr>
          <w:p w14:paraId="01F6E0F0">
            <w:pPr>
              <w:adjustRightInd w:val="0"/>
              <w:snapToGrid w:val="0"/>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22.2.3 发包人违约责任</w:t>
            </w:r>
          </w:p>
          <w:p w14:paraId="0AEE845A">
            <w:pPr>
              <w:spacing w:line="240" w:lineRule="exact"/>
              <w:ind w:firstLine="360" w:firstLineChars="200"/>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（4）发生第22.2.1（6）目的违约情况时，发包人应就逾期未付部分向承包人支付按照合同订立时全国银行间同业拆借中心公布的1年期贷款市场报价利率计算的逾期付款违约金，但因承包人原因造成的除外。</w:t>
            </w:r>
          </w:p>
        </w:tc>
        <w:tc>
          <w:tcPr>
            <w:tcW w:w="475" w:type="dxa"/>
            <w:tcBorders>
              <w:top w:val="single" w:color="000000" w:sz="4" w:space="0"/>
              <w:left w:val="single" w:color="000000" w:sz="4" w:space="0"/>
              <w:bottom w:val="single" w:color="000000" w:sz="4" w:space="0"/>
              <w:right w:val="nil"/>
            </w:tcBorders>
            <w:vAlign w:val="center"/>
          </w:tcPr>
          <w:p w14:paraId="0BF2A6F3">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5F629581">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52006DD3">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1119401">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专用条款第22.4条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3D7FDA65">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22.4 （增加）</w:t>
            </w:r>
          </w:p>
          <w:p w14:paraId="1561EFB8">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任何一方违反合同义务，应按照合同约定支付违约金的，但应当支付的违约金总额累计以不超过签约合同价格的    %为限。但是，违约方应支付的违约金低于给对方造成的损失的，应就差额部分进行赔偿，且承担的赔偿金额不以签约合同价为限。</w:t>
            </w:r>
          </w:p>
        </w:tc>
        <w:tc>
          <w:tcPr>
            <w:tcW w:w="4247" w:type="dxa"/>
            <w:tcBorders>
              <w:top w:val="single" w:color="000000" w:sz="4" w:space="0"/>
              <w:left w:val="single" w:color="000000" w:sz="4" w:space="0"/>
              <w:bottom w:val="single" w:color="000000" w:sz="4" w:space="0"/>
              <w:right w:val="single" w:color="000000" w:sz="4" w:space="0"/>
            </w:tcBorders>
            <w:vAlign w:val="center"/>
          </w:tcPr>
          <w:p w14:paraId="58209217">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22.4 （增加）</w:t>
            </w:r>
          </w:p>
          <w:p w14:paraId="571D753C">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任何一方违反合同义务，应按照合同约定支付违约金的，但应当支付的违约金总额累计以不超过签约合同价格的 </w:t>
            </w:r>
            <w:r>
              <w:rPr>
                <w:rStyle w:val="37"/>
                <w:rFonts w:hint="eastAsia" w:asciiTheme="majorEastAsia" w:hAnsiTheme="majorEastAsia" w:eastAsiaTheme="majorEastAsia" w:cstheme="majorEastAsia"/>
                <w:color w:val="auto"/>
                <w:kern w:val="0"/>
                <w:sz w:val="18"/>
                <w:szCs w:val="18"/>
                <w:highlight w:val="none"/>
                <w:lang w:val="en-US" w:eastAsia="zh-CN"/>
              </w:rPr>
              <w:t xml:space="preserve"> 30</w:t>
            </w:r>
            <w:r>
              <w:rPr>
                <w:rStyle w:val="37"/>
                <w:rFonts w:hint="eastAsia" w:asciiTheme="majorEastAsia" w:hAnsiTheme="majorEastAsia" w:eastAsiaTheme="majorEastAsia" w:cstheme="majorEastAsia"/>
                <w:color w:val="auto"/>
                <w:kern w:val="0"/>
                <w:sz w:val="18"/>
                <w:szCs w:val="18"/>
                <w:highlight w:val="none"/>
              </w:rPr>
              <w:t xml:space="preserve">  %为限。但是，违约方应支付的违约金低于给对方造成的损失的，应就差额部分进行赔偿，且承担的赔偿金额不以签约合同价为限。</w:t>
            </w:r>
          </w:p>
        </w:tc>
        <w:tc>
          <w:tcPr>
            <w:tcW w:w="475" w:type="dxa"/>
            <w:tcBorders>
              <w:top w:val="single" w:color="000000" w:sz="4" w:space="0"/>
              <w:left w:val="single" w:color="000000" w:sz="4" w:space="0"/>
              <w:bottom w:val="single" w:color="000000" w:sz="4" w:space="0"/>
              <w:right w:val="nil"/>
            </w:tcBorders>
            <w:vAlign w:val="center"/>
          </w:tcPr>
          <w:p w14:paraId="59735ADB">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DCCA120">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312" w:hRule="atLeast"/>
          <w:jc w:val="center"/>
        </w:trPr>
        <w:tc>
          <w:tcPr>
            <w:tcW w:w="1437" w:type="dxa"/>
            <w:tcBorders>
              <w:top w:val="single" w:color="000000" w:sz="4" w:space="0"/>
              <w:left w:val="nil"/>
              <w:bottom w:val="single" w:color="000000" w:sz="4" w:space="0"/>
              <w:right w:val="single" w:color="000000" w:sz="4" w:space="0"/>
            </w:tcBorders>
            <w:vAlign w:val="center"/>
          </w:tcPr>
          <w:p w14:paraId="2A99DF2C">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5AA61F04">
            <w:pPr>
              <w:spacing w:line="240" w:lineRule="exac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专用条款第24.1条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403ED3F1">
            <w:pPr>
              <w:spacing w:line="240" w:lineRule="exac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因合同及合同有关事项发生的争议，合同当事人友好协商不成、不愿提请争议评审或者不接受争议评审组意见的，按以下第</w:t>
            </w:r>
            <w:r>
              <w:rPr>
                <w:rStyle w:val="37"/>
                <w:rFonts w:hint="eastAsia" w:asciiTheme="majorEastAsia" w:hAnsiTheme="majorEastAsia" w:eastAsiaTheme="majorEastAsia" w:cstheme="majorEastAsia"/>
                <w:color w:val="auto"/>
                <w:kern w:val="0"/>
                <w:sz w:val="18"/>
                <w:szCs w:val="18"/>
                <w:highlight w:val="none"/>
                <w:u w:val="single"/>
              </w:rPr>
              <w:t xml:space="preserve">   </w:t>
            </w:r>
            <w:r>
              <w:rPr>
                <w:rFonts w:hint="eastAsia" w:asciiTheme="majorEastAsia" w:hAnsiTheme="majorEastAsia" w:eastAsiaTheme="majorEastAsia" w:cstheme="majorEastAsia"/>
                <w:color w:val="auto"/>
                <w:kern w:val="0"/>
                <w:sz w:val="18"/>
                <w:szCs w:val="18"/>
                <w:highlight w:val="none"/>
              </w:rPr>
              <w:t>种方式处理 ：</w:t>
            </w:r>
            <w:r>
              <w:rPr>
                <w:rFonts w:hint="eastAsia" w:asciiTheme="majorEastAsia" w:hAnsiTheme="majorEastAsia" w:eastAsiaTheme="majorEastAsia" w:cstheme="majorEastAsia"/>
                <w:color w:val="auto"/>
                <w:kern w:val="0"/>
                <w:sz w:val="18"/>
                <w:szCs w:val="18"/>
                <w:highlight w:val="none"/>
              </w:rPr>
              <w:br w:type="textWrapping"/>
            </w:r>
            <w:r>
              <w:rPr>
                <w:rFonts w:hint="eastAsia" w:asciiTheme="majorEastAsia" w:hAnsiTheme="majorEastAsia" w:eastAsiaTheme="majorEastAsia" w:cstheme="majorEastAsia"/>
                <w:color w:val="auto"/>
                <w:kern w:val="0"/>
                <w:sz w:val="18"/>
                <w:szCs w:val="18"/>
                <w:highlight w:val="none"/>
              </w:rPr>
              <w:t xml:space="preserve">  （1）仲裁：提交</w:t>
            </w:r>
            <w:r>
              <w:rPr>
                <w:rStyle w:val="37"/>
                <w:rFonts w:hint="eastAsia" w:asciiTheme="majorEastAsia" w:hAnsiTheme="majorEastAsia" w:eastAsiaTheme="majorEastAsia" w:cstheme="majorEastAsia"/>
                <w:color w:val="auto"/>
                <w:kern w:val="0"/>
                <w:sz w:val="18"/>
                <w:szCs w:val="18"/>
                <w:highlight w:val="none"/>
                <w:u w:val="single"/>
              </w:rPr>
              <w:t xml:space="preserve">   </w:t>
            </w:r>
            <w:r>
              <w:rPr>
                <w:rFonts w:hint="eastAsia" w:asciiTheme="majorEastAsia" w:hAnsiTheme="majorEastAsia" w:eastAsiaTheme="majorEastAsia" w:cstheme="majorEastAsia"/>
                <w:color w:val="auto"/>
                <w:kern w:val="0"/>
                <w:sz w:val="18"/>
                <w:szCs w:val="18"/>
                <w:highlight w:val="none"/>
              </w:rPr>
              <w:t xml:space="preserve">仲裁，按照申请仲裁时该仲裁机构有效的仲裁规则进行仲裁。仲裁裁决是终局的，对双方均有约束力。     </w:t>
            </w:r>
            <w:r>
              <w:rPr>
                <w:rFonts w:hint="eastAsia" w:asciiTheme="majorEastAsia" w:hAnsiTheme="majorEastAsia" w:eastAsiaTheme="majorEastAsia" w:cstheme="majorEastAsia"/>
                <w:color w:val="auto"/>
                <w:kern w:val="0"/>
                <w:sz w:val="18"/>
                <w:szCs w:val="18"/>
                <w:highlight w:val="none"/>
              </w:rPr>
              <w:br w:type="textWrapping"/>
            </w:r>
            <w:r>
              <w:rPr>
                <w:rFonts w:hint="eastAsia" w:asciiTheme="majorEastAsia" w:hAnsiTheme="majorEastAsia" w:eastAsiaTheme="majorEastAsia" w:cstheme="majorEastAsia"/>
                <w:color w:val="auto"/>
                <w:kern w:val="0"/>
                <w:sz w:val="18"/>
                <w:szCs w:val="18"/>
                <w:highlight w:val="none"/>
              </w:rPr>
              <w:t xml:space="preserve">  （2）诉讼：向</w:t>
            </w:r>
            <w:r>
              <w:rPr>
                <w:rStyle w:val="37"/>
                <w:rFonts w:hint="eastAsia" w:asciiTheme="majorEastAsia" w:hAnsiTheme="majorEastAsia" w:eastAsiaTheme="majorEastAsia" w:cstheme="majorEastAsia"/>
                <w:color w:val="auto"/>
                <w:kern w:val="0"/>
                <w:sz w:val="18"/>
                <w:szCs w:val="18"/>
                <w:highlight w:val="none"/>
                <w:u w:val="single"/>
              </w:rPr>
              <w:t xml:space="preserve">   </w:t>
            </w:r>
            <w:r>
              <w:rPr>
                <w:rFonts w:hint="eastAsia" w:asciiTheme="majorEastAsia" w:hAnsiTheme="majorEastAsia" w:eastAsiaTheme="majorEastAsia" w:cstheme="majorEastAsia"/>
                <w:color w:val="auto"/>
                <w:kern w:val="0"/>
                <w:sz w:val="18"/>
                <w:szCs w:val="18"/>
                <w:highlight w:val="none"/>
              </w:rPr>
              <w:t>所在地人民法院提起诉讼。</w:t>
            </w:r>
            <w:r>
              <w:rPr>
                <w:rFonts w:hint="eastAsia" w:asciiTheme="majorEastAsia" w:hAnsiTheme="majorEastAsia" w:eastAsiaTheme="majorEastAsia" w:cstheme="majorEastAsia"/>
                <w:color w:val="auto"/>
                <w:kern w:val="0"/>
                <w:sz w:val="18"/>
                <w:szCs w:val="18"/>
                <w:highlight w:val="none"/>
              </w:rPr>
              <w:br w:type="textWrapping"/>
            </w:r>
            <w:r>
              <w:rPr>
                <w:rFonts w:hint="eastAsia" w:asciiTheme="majorEastAsia" w:hAnsiTheme="majorEastAsia" w:eastAsiaTheme="majorEastAsia" w:cstheme="majorEastAsia"/>
                <w:color w:val="auto"/>
                <w:kern w:val="0"/>
                <w:sz w:val="18"/>
                <w:szCs w:val="18"/>
                <w:highlight w:val="none"/>
              </w:rPr>
              <w:t>在争议解决期间，合同中未涉及争议部分的条款仍须履行。</w:t>
            </w:r>
            <w:r>
              <w:rPr>
                <w:rFonts w:hint="eastAsia" w:asciiTheme="majorEastAsia" w:hAnsiTheme="majorEastAsia" w:eastAsiaTheme="majorEastAsia" w:cstheme="majorEastAsia"/>
                <w:color w:val="auto"/>
                <w:kern w:val="0"/>
                <w:sz w:val="18"/>
                <w:szCs w:val="18"/>
                <w:highlight w:val="none"/>
              </w:rPr>
              <w:br w:type="textWrapping"/>
            </w:r>
            <w:r>
              <w:rPr>
                <w:rFonts w:hint="eastAsia" w:asciiTheme="majorEastAsia" w:hAnsiTheme="majorEastAsia" w:eastAsiaTheme="majorEastAsia" w:cstheme="majorEastAsia"/>
                <w:color w:val="auto"/>
                <w:kern w:val="0"/>
                <w:sz w:val="18"/>
                <w:szCs w:val="18"/>
                <w:highlight w:val="none"/>
              </w:rPr>
              <w:t xml:space="preserve">   增加条款：</w:t>
            </w:r>
          </w:p>
        </w:tc>
        <w:tc>
          <w:tcPr>
            <w:tcW w:w="4247" w:type="dxa"/>
            <w:tcBorders>
              <w:top w:val="single" w:color="000000" w:sz="4" w:space="0"/>
              <w:left w:val="single" w:color="000000" w:sz="4" w:space="0"/>
              <w:bottom w:val="single" w:color="000000" w:sz="4" w:space="0"/>
              <w:right w:val="single" w:color="000000" w:sz="4" w:space="0"/>
            </w:tcBorders>
            <w:vAlign w:val="center"/>
          </w:tcPr>
          <w:p w14:paraId="5F445D25">
            <w:pPr>
              <w:spacing w:line="240" w:lineRule="exact"/>
              <w:jc w:val="left"/>
              <w:rPr>
                <w:rFonts w:hint="eastAsia" w:asciiTheme="majorEastAsia" w:hAnsiTheme="majorEastAsia" w:eastAsiaTheme="majorEastAsia" w:cstheme="majorEastAsia"/>
                <w:b/>
                <w:color w:val="auto"/>
                <w:kern w:val="0"/>
                <w:sz w:val="18"/>
                <w:szCs w:val="18"/>
                <w:highlight w:val="none"/>
                <w:lang w:eastAsia="zh-CN"/>
              </w:rPr>
            </w:pPr>
            <w:r>
              <w:rPr>
                <w:rFonts w:hint="eastAsia" w:asciiTheme="majorEastAsia" w:hAnsiTheme="majorEastAsia" w:eastAsiaTheme="majorEastAsia" w:cstheme="majorEastAsia"/>
                <w:b/>
                <w:color w:val="auto"/>
                <w:kern w:val="0"/>
                <w:sz w:val="18"/>
                <w:szCs w:val="18"/>
                <w:highlight w:val="none"/>
              </w:rPr>
              <w:t>补充：</w:t>
            </w:r>
          </w:p>
          <w:p w14:paraId="0B7B387D">
            <w:pPr>
              <w:spacing w:line="240" w:lineRule="exac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因合同及合同有关事项发生的争议，合同当事人友好协商不成、不愿提请争议评审或者不接受争议评审组意见的，按以下第</w:t>
            </w:r>
            <w:r>
              <w:rPr>
                <w:rFonts w:hint="eastAsia" w:asciiTheme="majorEastAsia" w:hAnsiTheme="majorEastAsia" w:eastAsiaTheme="majorEastAsia" w:cstheme="majorEastAsia"/>
                <w:color w:val="auto"/>
                <w:kern w:val="0"/>
                <w:sz w:val="18"/>
                <w:szCs w:val="18"/>
                <w:highlight w:val="none"/>
                <w:u w:val="single"/>
              </w:rPr>
              <w:t xml:space="preserve"> </w:t>
            </w:r>
            <w:r>
              <w:rPr>
                <w:rFonts w:hint="eastAsia" w:asciiTheme="majorEastAsia" w:hAnsiTheme="majorEastAsia" w:eastAsiaTheme="majorEastAsia" w:cstheme="majorEastAsia"/>
                <w:color w:val="auto"/>
                <w:kern w:val="0"/>
                <w:sz w:val="18"/>
                <w:szCs w:val="18"/>
                <w:highlight w:val="none"/>
                <w:u w:val="single"/>
                <w:lang w:val="en-US" w:eastAsia="zh-CN"/>
              </w:rPr>
              <w:t>2</w:t>
            </w:r>
            <w:r>
              <w:rPr>
                <w:rFonts w:hint="eastAsia" w:asciiTheme="majorEastAsia" w:hAnsiTheme="majorEastAsia" w:eastAsiaTheme="majorEastAsia" w:cstheme="majorEastAsia"/>
                <w:color w:val="auto"/>
                <w:kern w:val="0"/>
                <w:sz w:val="18"/>
                <w:szCs w:val="18"/>
                <w:highlight w:val="none"/>
                <w:u w:val="single"/>
              </w:rPr>
              <w:t xml:space="preserve"> </w:t>
            </w:r>
            <w:r>
              <w:rPr>
                <w:rFonts w:hint="eastAsia" w:asciiTheme="majorEastAsia" w:hAnsiTheme="majorEastAsia" w:eastAsiaTheme="majorEastAsia" w:cstheme="majorEastAsia"/>
                <w:color w:val="auto"/>
                <w:kern w:val="0"/>
                <w:sz w:val="18"/>
                <w:szCs w:val="18"/>
                <w:highlight w:val="none"/>
              </w:rPr>
              <w:t>种方式处理：</w:t>
            </w:r>
            <w:r>
              <w:rPr>
                <w:rFonts w:hint="eastAsia" w:asciiTheme="majorEastAsia" w:hAnsiTheme="majorEastAsia" w:eastAsiaTheme="majorEastAsia" w:cstheme="majorEastAsia"/>
                <w:color w:val="auto"/>
                <w:kern w:val="0"/>
                <w:sz w:val="18"/>
                <w:szCs w:val="18"/>
                <w:highlight w:val="none"/>
              </w:rPr>
              <w:br w:type="textWrapping"/>
            </w:r>
            <w:r>
              <w:rPr>
                <w:rFonts w:hint="eastAsia" w:asciiTheme="majorEastAsia" w:hAnsiTheme="majorEastAsia" w:eastAsiaTheme="majorEastAsia" w:cstheme="majorEastAsia"/>
                <w:color w:val="auto"/>
                <w:kern w:val="0"/>
                <w:sz w:val="18"/>
                <w:szCs w:val="18"/>
                <w:highlight w:val="none"/>
              </w:rPr>
              <w:t xml:space="preserve">  （1）仲裁：提交</w:t>
            </w:r>
            <w:r>
              <w:rPr>
                <w:rStyle w:val="37"/>
                <w:rFonts w:hint="eastAsia" w:asciiTheme="majorEastAsia" w:hAnsiTheme="majorEastAsia" w:eastAsiaTheme="majorEastAsia" w:cstheme="majorEastAsia"/>
                <w:color w:val="auto"/>
                <w:kern w:val="0"/>
                <w:sz w:val="18"/>
                <w:szCs w:val="18"/>
                <w:highlight w:val="none"/>
                <w:u w:val="single"/>
              </w:rPr>
              <w:t xml:space="preserve">  </w:t>
            </w:r>
            <w:r>
              <w:rPr>
                <w:rFonts w:hint="eastAsia" w:asciiTheme="majorEastAsia" w:hAnsiTheme="majorEastAsia" w:eastAsiaTheme="majorEastAsia" w:cstheme="majorEastAsia"/>
                <w:color w:val="auto"/>
                <w:kern w:val="0"/>
                <w:sz w:val="18"/>
                <w:szCs w:val="18"/>
                <w:highlight w:val="none"/>
              </w:rPr>
              <w:t xml:space="preserve">仲裁 ，按照申请仲裁时该仲裁机构有效的仲裁规则进行仲裁。仲裁裁决是终局的，对双方均有约束力。     </w:t>
            </w:r>
            <w:r>
              <w:rPr>
                <w:rFonts w:hint="eastAsia" w:asciiTheme="majorEastAsia" w:hAnsiTheme="majorEastAsia" w:eastAsiaTheme="majorEastAsia" w:cstheme="majorEastAsia"/>
                <w:color w:val="auto"/>
                <w:kern w:val="0"/>
                <w:sz w:val="18"/>
                <w:szCs w:val="18"/>
                <w:highlight w:val="none"/>
              </w:rPr>
              <w:br w:type="textWrapping"/>
            </w:r>
            <w:r>
              <w:rPr>
                <w:rFonts w:hint="eastAsia" w:asciiTheme="majorEastAsia" w:hAnsiTheme="majorEastAsia" w:eastAsiaTheme="majorEastAsia" w:cstheme="majorEastAsia"/>
                <w:color w:val="auto"/>
                <w:kern w:val="0"/>
                <w:sz w:val="18"/>
                <w:szCs w:val="18"/>
                <w:highlight w:val="none"/>
              </w:rPr>
              <w:t xml:space="preserve">  （2）诉讼：向</w:t>
            </w:r>
            <w:r>
              <w:rPr>
                <w:rFonts w:hint="eastAsia" w:asciiTheme="majorEastAsia" w:hAnsiTheme="majorEastAsia" w:eastAsiaTheme="majorEastAsia" w:cstheme="majorEastAsia"/>
                <w:color w:val="auto"/>
                <w:kern w:val="0"/>
                <w:sz w:val="18"/>
                <w:szCs w:val="18"/>
                <w:highlight w:val="none"/>
                <w:u w:val="single"/>
              </w:rPr>
              <w:t xml:space="preserve"> 工程项目</w:t>
            </w:r>
            <w:r>
              <w:rPr>
                <w:rFonts w:hint="eastAsia" w:asciiTheme="majorEastAsia" w:hAnsiTheme="majorEastAsia" w:eastAsiaTheme="majorEastAsia" w:cstheme="majorEastAsia"/>
                <w:color w:val="auto"/>
                <w:kern w:val="0"/>
                <w:sz w:val="18"/>
                <w:szCs w:val="18"/>
                <w:highlight w:val="none"/>
                <w:u w:val="single"/>
                <w:lang w:val="en-US" w:eastAsia="zh-CN"/>
              </w:rPr>
              <w:t xml:space="preserve"> </w:t>
            </w:r>
            <w:r>
              <w:rPr>
                <w:rFonts w:hint="eastAsia" w:asciiTheme="majorEastAsia" w:hAnsiTheme="majorEastAsia" w:eastAsiaTheme="majorEastAsia" w:cstheme="majorEastAsia"/>
                <w:color w:val="auto"/>
                <w:kern w:val="0"/>
                <w:sz w:val="18"/>
                <w:szCs w:val="18"/>
                <w:highlight w:val="none"/>
                <w:u w:val="single"/>
              </w:rPr>
              <w:t xml:space="preserve"> </w:t>
            </w:r>
            <w:r>
              <w:rPr>
                <w:rFonts w:hint="eastAsia" w:asciiTheme="majorEastAsia" w:hAnsiTheme="majorEastAsia" w:eastAsiaTheme="majorEastAsia" w:cstheme="majorEastAsia"/>
                <w:color w:val="auto"/>
                <w:kern w:val="0"/>
                <w:sz w:val="18"/>
                <w:szCs w:val="18"/>
                <w:highlight w:val="none"/>
              </w:rPr>
              <w:t>所在地人民法院提起诉讼。在争议解决期间，合同中未涉及争议部分的条款仍须履行。</w:t>
            </w:r>
          </w:p>
          <w:p w14:paraId="77240805">
            <w:pPr>
              <w:spacing w:line="240" w:lineRule="exact"/>
              <w:ind w:firstLine="360" w:firstLineChars="200"/>
              <w:jc w:val="left"/>
              <w:rPr>
                <w:rFonts w:hint="default" w:asciiTheme="majorEastAsia" w:hAnsiTheme="majorEastAsia" w:eastAsiaTheme="majorEastAsia" w:cstheme="majorEastAsia"/>
                <w:color w:val="auto"/>
                <w:kern w:val="0"/>
                <w:sz w:val="18"/>
                <w:szCs w:val="18"/>
                <w:highlight w:val="none"/>
                <w:lang w:val="en-US" w:eastAsia="zh-CN"/>
              </w:rPr>
            </w:pPr>
            <w:r>
              <w:rPr>
                <w:rFonts w:hint="eastAsia" w:asciiTheme="majorEastAsia" w:hAnsiTheme="majorEastAsia" w:eastAsiaTheme="majorEastAsia" w:cstheme="majorEastAsia"/>
                <w:color w:val="auto"/>
                <w:kern w:val="0"/>
                <w:sz w:val="18"/>
                <w:szCs w:val="18"/>
                <w:highlight w:val="none"/>
              </w:rPr>
              <w:t>增加条款：</w:t>
            </w:r>
            <w:r>
              <w:rPr>
                <w:rFonts w:hint="eastAsia" w:asciiTheme="majorEastAsia" w:hAnsiTheme="majorEastAsia" w:eastAsiaTheme="majorEastAsia" w:cstheme="majorEastAsia"/>
                <w:color w:val="auto"/>
                <w:kern w:val="0"/>
                <w:sz w:val="18"/>
                <w:szCs w:val="18"/>
                <w:highlight w:val="none"/>
                <w:u w:val="single"/>
                <w:lang w:val="en-US" w:eastAsia="zh-CN"/>
              </w:rPr>
              <w:t xml:space="preserve">   /   </w:t>
            </w:r>
            <w:r>
              <w:rPr>
                <w:rFonts w:hint="eastAsia" w:asciiTheme="majorEastAsia" w:hAnsiTheme="majorEastAsia" w:eastAsiaTheme="majorEastAsia" w:cstheme="majorEastAsia"/>
                <w:color w:val="auto"/>
                <w:kern w:val="0"/>
                <w:sz w:val="18"/>
                <w:szCs w:val="18"/>
                <w:highlight w:val="none"/>
                <w:lang w:val="en-US" w:eastAsia="zh-CN"/>
              </w:rPr>
              <w:t xml:space="preserve"> 。</w:t>
            </w:r>
          </w:p>
        </w:tc>
        <w:tc>
          <w:tcPr>
            <w:tcW w:w="475" w:type="dxa"/>
            <w:tcBorders>
              <w:top w:val="single" w:color="000000" w:sz="4" w:space="0"/>
              <w:left w:val="single" w:color="000000" w:sz="4" w:space="0"/>
              <w:bottom w:val="single" w:color="000000" w:sz="4" w:space="0"/>
              <w:right w:val="nil"/>
            </w:tcBorders>
            <w:vAlign w:val="center"/>
          </w:tcPr>
          <w:p w14:paraId="4FB2C640">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A601538">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899" w:hRule="atLeast"/>
          <w:jc w:val="center"/>
        </w:trPr>
        <w:tc>
          <w:tcPr>
            <w:tcW w:w="1437" w:type="dxa"/>
            <w:tcBorders>
              <w:top w:val="single" w:color="000000" w:sz="4" w:space="0"/>
              <w:left w:val="nil"/>
              <w:bottom w:val="single" w:color="000000" w:sz="4" w:space="0"/>
              <w:right w:val="single" w:color="000000" w:sz="4" w:space="0"/>
            </w:tcBorders>
            <w:vAlign w:val="center"/>
          </w:tcPr>
          <w:p w14:paraId="2E2E464C">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372A59D8">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专用条款 第26条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1D647704">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xml:space="preserve">26特别约定 </w:t>
            </w:r>
          </w:p>
          <w:p w14:paraId="1305FCE1">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本特别约定是合同各方经协商后对通用合同条款的修改或补充，如有不一致，以特别约定为准。</w:t>
            </w:r>
          </w:p>
        </w:tc>
        <w:tc>
          <w:tcPr>
            <w:tcW w:w="4247" w:type="dxa"/>
            <w:tcBorders>
              <w:top w:val="single" w:color="000000" w:sz="4" w:space="0"/>
              <w:left w:val="single" w:color="000000" w:sz="4" w:space="0"/>
              <w:bottom w:val="single" w:color="000000" w:sz="4" w:space="0"/>
              <w:right w:val="single" w:color="000000" w:sz="4" w:space="0"/>
            </w:tcBorders>
            <w:vAlign w:val="center"/>
          </w:tcPr>
          <w:p w14:paraId="184BF687">
            <w:pPr>
              <w:adjustRightInd w:val="0"/>
              <w:snapToGrid w:val="0"/>
              <w:spacing w:line="240" w:lineRule="atLeast"/>
              <w:ind w:firstLine="360" w:firstLineChars="200"/>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26特别约定</w:t>
            </w:r>
          </w:p>
          <w:p w14:paraId="6649DDE2">
            <w:pPr>
              <w:adjustRightInd w:val="0"/>
              <w:snapToGrid w:val="0"/>
              <w:spacing w:line="240" w:lineRule="atLeast"/>
              <w:ind w:firstLine="360" w:firstLineChars="200"/>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本特别约定是合同各方经协商后对通用合同条款的修改或补充，如有不一致，以特别约定为准。</w:t>
            </w:r>
          </w:p>
          <w:p w14:paraId="6188FC52">
            <w:pPr>
              <w:adjustRightInd w:val="0"/>
              <w:snapToGrid w:val="0"/>
              <w:spacing w:line="240" w:lineRule="atLeast"/>
              <w:ind w:firstLine="360" w:firstLineChars="200"/>
              <w:jc w:val="left"/>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1. 承包人对于国家电网有限公司及其所属单位针对承包商资信评价的结论一经认可，在资信评价有效期内，资信评价结论将作为国家电网有限公司及其所属单位招标时商务评分标准“合同履约及资信情况”的主要依据。</w:t>
            </w:r>
          </w:p>
          <w:p w14:paraId="56E3A2A1">
            <w:pPr>
              <w:adjustRightInd w:val="0"/>
              <w:snapToGrid w:val="0"/>
              <w:spacing w:line="240" w:lineRule="atLeast"/>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2.承包人发生以下情况，除执行国家电网公司相关管理制度规定外，执行以下规定并追究相关单位、责任人的责任：</w:t>
            </w:r>
          </w:p>
          <w:p w14:paraId="3DE6119A">
            <w:pPr>
              <w:adjustRightInd w:val="0"/>
              <w:snapToGrid w:val="0"/>
              <w:spacing w:line="240" w:lineRule="atLeast"/>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（1）发生拖欠农民工工资事件，每起支付10万元人民币违约金；</w:t>
            </w:r>
          </w:p>
          <w:p w14:paraId="4F39CD5C">
            <w:pPr>
              <w:adjustRightInd w:val="0"/>
              <w:snapToGrid w:val="0"/>
              <w:spacing w:line="240" w:lineRule="atLeast"/>
              <w:ind w:firstLine="360" w:firstLineChars="200"/>
              <w:rPr>
                <w:rFonts w:hint="eastAsia" w:asciiTheme="majorEastAsia" w:hAnsiTheme="majorEastAsia" w:eastAsiaTheme="majorEastAsia" w:cstheme="majorEastAsia"/>
                <w:color w:val="auto"/>
                <w:sz w:val="18"/>
                <w:szCs w:val="18"/>
                <w:highlight w:val="none"/>
              </w:rPr>
            </w:pPr>
            <w:r>
              <w:rPr>
                <w:rFonts w:hint="eastAsia" w:asciiTheme="majorEastAsia" w:hAnsiTheme="majorEastAsia" w:eastAsiaTheme="majorEastAsia" w:cstheme="majorEastAsia"/>
                <w:color w:val="auto"/>
                <w:sz w:val="18"/>
                <w:szCs w:val="18"/>
                <w:highlight w:val="none"/>
              </w:rPr>
              <w:t>（2）发生施工队伍（作业人员）群体上访及围堵政府、业主等事件，每起支付20万元人民币违约金。</w:t>
            </w:r>
          </w:p>
          <w:p w14:paraId="714F96FF">
            <w:pPr>
              <w:pStyle w:val="2"/>
              <w:ind w:firstLine="540" w:firstLineChars="300"/>
              <w:rPr>
                <w:rFonts w:hint="eastAsia" w:asciiTheme="majorEastAsia" w:hAnsiTheme="majorEastAsia" w:eastAsiaTheme="majorEastAsia" w:cstheme="majorEastAsia"/>
                <w:color w:val="auto"/>
                <w:sz w:val="18"/>
                <w:szCs w:val="18"/>
                <w:highlight w:val="none"/>
                <w:u w:val="none"/>
              </w:rPr>
            </w:pPr>
            <w:r>
              <w:rPr>
                <w:rFonts w:hint="eastAsia" w:asciiTheme="majorEastAsia" w:hAnsiTheme="majorEastAsia" w:eastAsiaTheme="majorEastAsia" w:cstheme="majorEastAsia"/>
                <w:color w:val="auto"/>
                <w:sz w:val="18"/>
                <w:szCs w:val="18"/>
                <w:highlight w:val="none"/>
                <w:u w:val="none"/>
              </w:rPr>
              <w:t>3. 承包人应深入贯彻落实《国务院办公厅转发国家发展改革委关于在重点工程项目中大力实施以工代赈促进当地群众就业增收工作方案的通知》（国办函〔2022〕58号）中关于以工代赈工作要求，与当地政府密切对接，按照“应用尽用、能用尽用”原则，充分挖掘主体工程建设及附属临建、工地服务保障、建后管护等方面用工潜力。因地制宜采取措施，在保证工程安全高质量建设的同时，尽可能多地通过实施以工代赈，带动更多项目所在地群众实现就近就业增收、促进农村经济发展。施工期间政府机构出具的以工代赈相关文件要求仍需严格执行。落实以工代赈政策相关费用请承包人投标时自行测算，结算不予调整（政府发文明确规定调整的除外）。</w:t>
            </w:r>
          </w:p>
          <w:p w14:paraId="2E54DFD7">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4.承包人未按照国家有关规定、国家电网有限公司规章制度、项目环保水保方案及批复、设计文件等要求开展现场环保水保施工工作，存在环水保问题未整改或整改不到位的，按照10000元/项进行考核。</w:t>
            </w:r>
          </w:p>
          <w:p w14:paraId="7FB815A8">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5.存在严重环保水保问题，或收到环保、水保管理部门考核的，承包人应向发包人支付签约合同价2%的违约金，并承担相应法律责任。</w:t>
            </w:r>
          </w:p>
          <w:p w14:paraId="07D1601D">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6.承包人未按要求开展环保自查、检查、核查，不配合开展环保监测、验收、归档等工作，经发包人或监理人发现而未及时整改的。导致工程投入试运行3个月内未完成环保验收，逾期30日内的，每逾期1日承包人向发包人支付签约合同价0.1‰的违约金；逾期31-60日内的，每逾期1日承包人向发包人支付签约合同价0.2‰的违约金；逾期61-90日内的，每逾期1日承包人向发包人支付签约合同价0.3‰的违约金，逾期91日以上的，承包人应向发包人支付签约合同价2%违约金。</w:t>
            </w:r>
          </w:p>
          <w:p w14:paraId="3454E3C8">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7.各类质量检查、验收过程中发现的问题和缺陷(包括现场和资料)，按照5000元/条在合同中予以扣除。承包人不整改或整改不到位不及时，按照10000元/条在合同中予以扣除；对于重复发生的质量问题和缺陷，按照20000元/条在合同中予以扣除。</w:t>
            </w:r>
          </w:p>
          <w:p w14:paraId="4D23C7D2">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8.在工程建设过程中出现施工单位未对建筑材料、建筑构配件、设备和商品混凝土进行检验，或者未对涉及结构安全的试块、试件以及有关材料取样检测且不可逆转的，或者有不按照工程设计图纸或者施工技术标准施工的责令整改，向建设单位支付5000元/项次的违约金；造成建设工程质量不符合规定质量标准的，负责返工、返修。</w:t>
            </w:r>
          </w:p>
          <w:p w14:paraId="258166A6">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9.创优管理</w:t>
            </w:r>
          </w:p>
          <w:p w14:paraId="7E3B7850">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1）承包人必须在开工前将本工程所开展的科技项目，工法，群众性创新项目，QC小组，专利计划上报发包人审核批准。所有相关工作同时要符合国网公司的规定要求，符合发包人的工作要求。应取得省(部)级及以上科技奖2项，发明专利1项或实用新型专利3项，省部级工法1项，省部级QC小组成果奖2项的目标。</w:t>
            </w:r>
          </w:p>
          <w:p w14:paraId="0D7CC966">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2）工程在电力行业优质工程，国家优质工程申报前，应取得专项验收合格证明，地基结构，绿色施工，新技术应用，整体质量等专项评价（四项专项评价）。</w:t>
            </w:r>
          </w:p>
          <w:p w14:paraId="311334FC">
            <w:pPr>
              <w:pStyle w:val="2"/>
              <w:ind w:firstLine="540" w:firstLineChars="300"/>
              <w:rPr>
                <w:rFonts w:hint="eastAsia"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3）承包人负责质量检查和创优相关会议的承办工作，包括但不限于质量专项检查，地基基础及结构验收，质量评价咨询检查，新技术专项评价评比，绿色施工专项评价评比，各阶段创优咨询检查，网优检查，中国电力优质工程检查，国家优质工程等检查，负责会务工作和费用。</w:t>
            </w:r>
          </w:p>
          <w:p w14:paraId="4BC55718">
            <w:pPr>
              <w:pStyle w:val="2"/>
              <w:ind w:firstLine="540" w:firstLineChars="300"/>
              <w:rPr>
                <w:rFonts w:hint="default" w:asciiTheme="majorEastAsia" w:hAnsiTheme="majorEastAsia" w:eastAsiaTheme="majorEastAsia" w:cstheme="majorEastAsia"/>
                <w:color w:val="auto"/>
                <w:sz w:val="18"/>
                <w:szCs w:val="18"/>
                <w:highlight w:val="none"/>
                <w:u w:val="none"/>
                <w:lang w:val="en-US" w:eastAsia="zh-CN"/>
              </w:rPr>
            </w:pPr>
            <w:r>
              <w:rPr>
                <w:rFonts w:hint="eastAsia" w:asciiTheme="majorEastAsia" w:hAnsiTheme="majorEastAsia" w:eastAsiaTheme="majorEastAsia" w:cstheme="majorEastAsia"/>
                <w:color w:val="auto"/>
                <w:sz w:val="18"/>
                <w:szCs w:val="18"/>
                <w:highlight w:val="none"/>
                <w:u w:val="none"/>
                <w:lang w:val="en-US" w:eastAsia="zh-CN"/>
              </w:rPr>
              <w:t>10.承包人应实时监测人员、车辆、设备的位置及状态信息，并将相关数据同步上传至建设管理单位的数字化平台。每发现一处人员、车辆或设备的位置或状态信息未按要求监测或上传，承包人应支付违约金人民币500元。</w:t>
            </w:r>
          </w:p>
        </w:tc>
        <w:tc>
          <w:tcPr>
            <w:tcW w:w="475" w:type="dxa"/>
            <w:tcBorders>
              <w:top w:val="single" w:color="000000" w:sz="4" w:space="0"/>
              <w:left w:val="single" w:color="000000" w:sz="4" w:space="0"/>
              <w:bottom w:val="single" w:color="000000" w:sz="4" w:space="0"/>
              <w:right w:val="nil"/>
            </w:tcBorders>
            <w:vAlign w:val="center"/>
          </w:tcPr>
          <w:p w14:paraId="52CD106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　</w:t>
            </w:r>
          </w:p>
        </w:tc>
      </w:tr>
      <w:tr w14:paraId="772ACB5A">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899" w:hRule="atLeast"/>
          <w:jc w:val="center"/>
        </w:trPr>
        <w:tc>
          <w:tcPr>
            <w:tcW w:w="1437" w:type="dxa"/>
            <w:tcBorders>
              <w:top w:val="single" w:color="000000" w:sz="4" w:space="0"/>
              <w:left w:val="nil"/>
              <w:bottom w:val="single" w:color="000000" w:sz="4" w:space="0"/>
              <w:right w:val="single" w:color="000000" w:sz="4" w:space="0"/>
            </w:tcBorders>
            <w:vAlign w:val="center"/>
          </w:tcPr>
          <w:p w14:paraId="6BAA13B3">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6CAEDCB2">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附件2：规章制度清单</w:t>
            </w:r>
          </w:p>
        </w:tc>
        <w:tc>
          <w:tcPr>
            <w:tcW w:w="4066" w:type="dxa"/>
            <w:tcBorders>
              <w:top w:val="single" w:color="000000" w:sz="4" w:space="0"/>
              <w:left w:val="single" w:color="000000" w:sz="4" w:space="0"/>
              <w:bottom w:val="single" w:color="000000" w:sz="4" w:space="0"/>
              <w:right w:val="single" w:color="000000" w:sz="4" w:space="0"/>
            </w:tcBorders>
            <w:vAlign w:val="center"/>
          </w:tcPr>
          <w:p w14:paraId="52E48363">
            <w:pPr>
              <w:snapToGrid w:val="0"/>
              <w:spacing w:line="240" w:lineRule="atLeast"/>
              <w:rPr>
                <w:rStyle w:val="37"/>
                <w:rFonts w:hint="eastAsia" w:asciiTheme="majorEastAsia" w:hAnsiTheme="majorEastAsia" w:eastAsiaTheme="majorEastAsia" w:cstheme="majorEastAsia"/>
                <w:color w:val="auto"/>
                <w:kern w:val="0"/>
                <w:sz w:val="18"/>
                <w:szCs w:val="18"/>
                <w:highlight w:val="none"/>
              </w:rPr>
            </w:pPr>
          </w:p>
        </w:tc>
        <w:tc>
          <w:tcPr>
            <w:tcW w:w="4247" w:type="dxa"/>
            <w:tcBorders>
              <w:top w:val="single" w:color="000000" w:sz="4" w:space="0"/>
              <w:left w:val="single" w:color="000000" w:sz="4" w:space="0"/>
              <w:bottom w:val="single" w:color="000000" w:sz="4" w:space="0"/>
              <w:right w:val="single" w:color="000000" w:sz="4" w:space="0"/>
            </w:tcBorders>
            <w:vAlign w:val="center"/>
          </w:tcPr>
          <w:p w14:paraId="1856096F">
            <w:pPr>
              <w:snapToGrid w:val="0"/>
              <w:spacing w:line="240" w:lineRule="atLeast"/>
              <w:rPr>
                <w:rFonts w:hint="eastAsia" w:asciiTheme="majorEastAsia" w:hAnsiTheme="majorEastAsia" w:eastAsiaTheme="majorEastAsia" w:cstheme="majorEastAsia"/>
                <w:b/>
                <w:bCs/>
                <w:color w:val="auto"/>
                <w:kern w:val="0"/>
                <w:sz w:val="18"/>
                <w:szCs w:val="18"/>
                <w:highlight w:val="none"/>
              </w:rPr>
            </w:pPr>
            <w:r>
              <w:rPr>
                <w:rFonts w:hint="eastAsia" w:asciiTheme="majorEastAsia" w:hAnsiTheme="majorEastAsia" w:eastAsiaTheme="majorEastAsia" w:cstheme="majorEastAsia"/>
                <w:b/>
                <w:bCs/>
                <w:color w:val="auto"/>
                <w:kern w:val="0"/>
                <w:sz w:val="18"/>
                <w:szCs w:val="18"/>
                <w:highlight w:val="none"/>
              </w:rPr>
              <w:t>新增：</w:t>
            </w:r>
          </w:p>
          <w:p w14:paraId="2C2855B8">
            <w:pPr>
              <w:snapToGrid w:val="0"/>
              <w:spacing w:line="240" w:lineRule="atLeas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《国家电网有限公司关于保障输变电工程建设农民工工资支付的通知》（国家电网基建〔2020〕151号）</w:t>
            </w:r>
          </w:p>
          <w:p w14:paraId="408BC13B">
            <w:pPr>
              <w:snapToGrid w:val="0"/>
              <w:spacing w:line="240" w:lineRule="atLeas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《国家电网有限公司关于实施&lt;保障中小企业款项支付条例&gt;的意见》（国家电网财〔2020〕519号）　</w:t>
            </w:r>
          </w:p>
        </w:tc>
        <w:tc>
          <w:tcPr>
            <w:tcW w:w="475" w:type="dxa"/>
            <w:tcBorders>
              <w:top w:val="single" w:color="000000" w:sz="4" w:space="0"/>
              <w:left w:val="single" w:color="000000" w:sz="4" w:space="0"/>
              <w:bottom w:val="single" w:color="000000" w:sz="4" w:space="0"/>
              <w:right w:val="nil"/>
            </w:tcBorders>
            <w:vAlign w:val="center"/>
          </w:tcPr>
          <w:p w14:paraId="64801D27">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173F89B3">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899" w:hRule="atLeast"/>
          <w:jc w:val="center"/>
        </w:trPr>
        <w:tc>
          <w:tcPr>
            <w:tcW w:w="1437" w:type="dxa"/>
            <w:tcBorders>
              <w:top w:val="single" w:color="000000" w:sz="4" w:space="0"/>
              <w:left w:val="nil"/>
              <w:bottom w:val="single" w:color="000000" w:sz="4" w:space="0"/>
              <w:right w:val="single" w:color="000000" w:sz="4" w:space="0"/>
            </w:tcBorders>
            <w:vAlign w:val="center"/>
          </w:tcPr>
          <w:p w14:paraId="564DD946">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4179425">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附件5</w:t>
            </w:r>
          </w:p>
          <w:p w14:paraId="067DA77F">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安全协议书</w:t>
            </w:r>
          </w:p>
          <w:p w14:paraId="28ADB96F">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七、甲方安全文明施工管理责任、权利和义务</w:t>
            </w:r>
          </w:p>
        </w:tc>
        <w:tc>
          <w:tcPr>
            <w:tcW w:w="4066" w:type="dxa"/>
            <w:tcBorders>
              <w:top w:val="single" w:color="000000" w:sz="4" w:space="0"/>
              <w:left w:val="single" w:color="000000" w:sz="4" w:space="0"/>
              <w:bottom w:val="single" w:color="000000" w:sz="4" w:space="0"/>
              <w:right w:val="single" w:color="000000" w:sz="4" w:space="0"/>
            </w:tcBorders>
            <w:vAlign w:val="center"/>
          </w:tcPr>
          <w:p w14:paraId="72AF4566">
            <w:pPr>
              <w:snapToGrid w:val="0"/>
              <w:spacing w:line="240" w:lineRule="atLeast"/>
              <w:rPr>
                <w:rStyle w:val="37"/>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color w:val="auto"/>
                <w:kern w:val="0"/>
                <w:sz w:val="18"/>
                <w:szCs w:val="18"/>
                <w:highlight w:val="none"/>
              </w:rPr>
              <w:t>（9）负责审核批准乙方的项目安全文明施工费使用计划。负责在工程开工时，向乙方支付不低于当年施工进度计划的安全文明施工费总额的60%作为安全文明施工费预付款。负责控制安全文明施工费得到有效使用。乙方应在每月工程进度款支付申请同时单独申报安全文明施工费。</w:t>
            </w:r>
          </w:p>
        </w:tc>
        <w:tc>
          <w:tcPr>
            <w:tcW w:w="4247" w:type="dxa"/>
            <w:tcBorders>
              <w:top w:val="single" w:color="000000" w:sz="4" w:space="0"/>
              <w:left w:val="single" w:color="000000" w:sz="4" w:space="0"/>
              <w:bottom w:val="single" w:color="000000" w:sz="4" w:space="0"/>
              <w:right w:val="single" w:color="000000" w:sz="4" w:space="0"/>
            </w:tcBorders>
            <w:vAlign w:val="center"/>
          </w:tcPr>
          <w:p w14:paraId="09641309">
            <w:pPr>
              <w:adjustRightInd w:val="0"/>
              <w:snapToGrid w:val="0"/>
              <w:spacing w:line="240" w:lineRule="atLeast"/>
              <w:jc w:val="left"/>
              <w:rPr>
                <w:rStyle w:val="37"/>
                <w:rFonts w:hint="eastAsia" w:asciiTheme="majorEastAsia" w:hAnsiTheme="majorEastAsia" w:eastAsiaTheme="majorEastAsia" w:cstheme="majorEastAsia"/>
                <w:b/>
                <w:bCs/>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70E4B41F">
            <w:pPr>
              <w:snapToGrid w:val="0"/>
              <w:spacing w:line="240" w:lineRule="atLeas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（9）负责审核批准乙方的项目安全文明施工费使用计划。负责</w:t>
            </w:r>
            <w:r>
              <w:rPr>
                <w:rFonts w:hint="eastAsia" w:asciiTheme="majorEastAsia" w:hAnsiTheme="majorEastAsia" w:eastAsiaTheme="majorEastAsia" w:cstheme="majorEastAsia"/>
                <w:b/>
                <w:color w:val="auto"/>
                <w:sz w:val="18"/>
                <w:szCs w:val="18"/>
                <w:highlight w:val="none"/>
              </w:rPr>
              <w:t>按照专用条款17.2.1约定支付给乙方</w:t>
            </w:r>
            <w:r>
              <w:rPr>
                <w:rFonts w:hint="eastAsia" w:asciiTheme="majorEastAsia" w:hAnsiTheme="majorEastAsia" w:eastAsiaTheme="majorEastAsia" w:cstheme="majorEastAsia"/>
                <w:color w:val="auto"/>
                <w:kern w:val="0"/>
                <w:sz w:val="18"/>
                <w:szCs w:val="18"/>
                <w:highlight w:val="none"/>
              </w:rPr>
              <w:t>。负责控制安全文明施工费得到有效使用。乙方应在每月工程进度款支付申请同时单独申报安全文明施工费。</w:t>
            </w:r>
          </w:p>
        </w:tc>
        <w:tc>
          <w:tcPr>
            <w:tcW w:w="475" w:type="dxa"/>
            <w:tcBorders>
              <w:top w:val="single" w:color="000000" w:sz="4" w:space="0"/>
              <w:left w:val="single" w:color="000000" w:sz="4" w:space="0"/>
              <w:bottom w:val="single" w:color="000000" w:sz="4" w:space="0"/>
              <w:right w:val="nil"/>
            </w:tcBorders>
            <w:vAlign w:val="center"/>
          </w:tcPr>
          <w:p w14:paraId="40EF49A6">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28FF98E2">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437" w:type="dxa"/>
            <w:tcBorders>
              <w:top w:val="single" w:color="000000" w:sz="4" w:space="0"/>
              <w:left w:val="nil"/>
              <w:bottom w:val="single" w:color="000000" w:sz="4" w:space="0"/>
              <w:right w:val="single" w:color="000000" w:sz="4" w:space="0"/>
            </w:tcBorders>
            <w:vAlign w:val="center"/>
          </w:tcPr>
          <w:p w14:paraId="78EFE3C7">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17B80E31">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附件5</w:t>
            </w:r>
          </w:p>
          <w:p w14:paraId="76AE1DC1">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安全协议书</w:t>
            </w:r>
          </w:p>
          <w:p w14:paraId="78699030">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十、</w:t>
            </w:r>
          </w:p>
        </w:tc>
        <w:tc>
          <w:tcPr>
            <w:tcW w:w="4066" w:type="dxa"/>
            <w:tcBorders>
              <w:top w:val="single" w:color="000000" w:sz="4" w:space="0"/>
              <w:left w:val="single" w:color="000000" w:sz="4" w:space="0"/>
              <w:bottom w:val="single" w:color="000000" w:sz="4" w:space="0"/>
              <w:right w:val="single" w:color="000000" w:sz="4" w:space="0"/>
            </w:tcBorders>
            <w:vAlign w:val="center"/>
          </w:tcPr>
          <w:p w14:paraId="25168D81">
            <w:pPr>
              <w:autoSpaceDN w:val="0"/>
              <w:snapToGrid w:val="0"/>
              <w:spacing w:line="240" w:lineRule="atLeast"/>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 安全违约金支付标准</w:t>
            </w:r>
          </w:p>
          <w:p w14:paraId="226D5CF1">
            <w:pPr>
              <w:autoSpaceDN w:val="0"/>
              <w:snapToGrid w:val="0"/>
              <w:spacing w:line="240" w:lineRule="atLeast"/>
              <w:ind w:firstLine="378"/>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（1）发生重大安全事故（二级及以上人身、电网、设备安全事件）或人身死亡事故（四级及以上人身安全事件），支付签约合同价2%的安全违约金。</w:t>
            </w:r>
          </w:p>
          <w:p w14:paraId="22A5536C">
            <w:pPr>
              <w:autoSpaceDN w:val="0"/>
              <w:snapToGrid w:val="0"/>
              <w:spacing w:line="240" w:lineRule="atLeast"/>
              <w:ind w:firstLine="378"/>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（2）发生人身重伤事故（四级及以上人身安全事件），一人•次，支付签约合同价6‰的安全违约金；二人•次，支付签约合同价1.2%的安全违约；三人•次及以上，支付签约合同价2%的安全违约金。</w:t>
            </w:r>
          </w:p>
          <w:p w14:paraId="11941E3A">
            <w:pPr>
              <w:autoSpaceDN w:val="0"/>
              <w:snapToGrid w:val="0"/>
              <w:spacing w:line="240" w:lineRule="atLeast"/>
              <w:ind w:firstLine="378"/>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（3）发生设备事故或火灾事故或负主要责任的交通事故，视事故的性质和严重程度，支付签约合同价4‰～2%的安全违约金。</w:t>
            </w:r>
          </w:p>
          <w:p w14:paraId="46B895E3">
            <w:pPr>
              <w:autoSpaceDN w:val="0"/>
              <w:snapToGrid w:val="0"/>
              <w:spacing w:line="240" w:lineRule="atLeast"/>
              <w:ind w:firstLine="378"/>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（4）发生因工程建设而造成的电网停电事故，视事故影响的大小和严重程度，支付签约合同价4‰～2%的安全违约金。</w:t>
            </w:r>
          </w:p>
          <w:p w14:paraId="231ECA47">
            <w:pPr>
              <w:autoSpaceDN w:val="0"/>
              <w:snapToGrid w:val="0"/>
              <w:spacing w:line="240" w:lineRule="atLeast"/>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（5）发包人组织安全监督检查时，未能达到标准要求的，每次支付签约合同价2‰的安全违约金。</w:t>
            </w:r>
          </w:p>
          <w:p w14:paraId="020A2808">
            <w:pPr>
              <w:autoSpaceDN w:val="0"/>
              <w:snapToGrid w:val="0"/>
              <w:spacing w:line="240" w:lineRule="atLeast"/>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3. 乙方对业主单位、项目建设管理单位、监理单位签发的工程现场安全检查通知单处罚事由和数额有异议的，有权向有关单位和部门进行申辩。</w:t>
            </w:r>
          </w:p>
          <w:p w14:paraId="4B4DFC4B">
            <w:pPr>
              <w:autoSpaceDN w:val="0"/>
              <w:snapToGrid w:val="0"/>
              <w:spacing w:line="240" w:lineRule="atLeast"/>
              <w:ind w:firstLine="360"/>
              <w:textAlignment w:val="auto"/>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 工程竣工后，对乙方的经济处罚，由甲方在竣工结算时汇总在施工过程中发生的《基建安全隐患罚款单》，通过公司财务在工程结算时直接扣除。处罚执行单位（部门）不允许接受罚金，被处罚单位（部门）不允许以现金形式交纳罚金。</w:t>
            </w:r>
          </w:p>
        </w:tc>
        <w:tc>
          <w:tcPr>
            <w:tcW w:w="4247" w:type="dxa"/>
            <w:tcBorders>
              <w:top w:val="single" w:color="000000" w:sz="4" w:space="0"/>
              <w:left w:val="single" w:color="000000" w:sz="4" w:space="0"/>
              <w:bottom w:val="single" w:color="000000" w:sz="4" w:space="0"/>
              <w:right w:val="single" w:color="000000" w:sz="4" w:space="0"/>
            </w:tcBorders>
            <w:vAlign w:val="center"/>
          </w:tcPr>
          <w:p w14:paraId="2870EC8D">
            <w:pPr>
              <w:adjustRightInd w:val="0"/>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3F73D060">
            <w:pPr>
              <w:snapToGrid w:val="0"/>
              <w:spacing w:line="240" w:lineRule="atLeast"/>
              <w:ind w:firstLine="360" w:firstLineChars="200"/>
              <w:jc w:val="lef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2. 安全违约金支付标准</w:t>
            </w:r>
          </w:p>
          <w:p w14:paraId="312F7538">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（1）发生重大安全事故（二级及以上人身、电网、设备安全事件）或人身死亡事故（四级及以上人身安全事件），违约金为签约合同价的2%。</w:t>
            </w:r>
          </w:p>
          <w:p w14:paraId="7470F609">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（2）发生人身重伤事故（四级及以上人身安全事件），1人•次违约金为签约合同价的6‰、2人•次违约金为签约合同价的1.2%、3人•次及以上违约金为签约合同价的2%。</w:t>
            </w:r>
          </w:p>
          <w:p w14:paraId="51A31226">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（3）发生设备事故或火灾事故或负主要责任的交通事故，视事故的性质和严重程度，违约金为签约合同价的4‰～2%。</w:t>
            </w:r>
          </w:p>
          <w:p w14:paraId="27435050">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（4）发生因工程建设而造成的电网停电事故，视事故影响的大小和严重程度，违约金为签约合同价的4‰～2%。</w:t>
            </w:r>
          </w:p>
          <w:p w14:paraId="4CA26DA6">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5）发生因工程建设引起的六级及以上电网及设备安全事件，每次违约金为签约合同价的0.75%；发生六级以上、四级以下人身事件，每次违约金为签约合同价的0.75%；发生六级以上及以上施工机械设备事件，每次违约金为签约合同价的0.75%。</w:t>
            </w:r>
          </w:p>
          <w:p w14:paraId="62DAD1CF">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（6）发生对公司造成影响的安全稳定事件，每次违约金为签约合同价的0.75%；发生环境污染事件的，每次违约金为签约合同价的0.75%；发生基建信息安全事件，每次违约金为签约合同价的0.75%。</w:t>
            </w:r>
          </w:p>
          <w:p w14:paraId="4F916C05">
            <w:pPr>
              <w:snapToGrid w:val="0"/>
              <w:ind w:firstLine="360" w:firstLineChars="200"/>
              <w:rPr>
                <w:rStyle w:val="37"/>
                <w:rFonts w:hint="eastAsia" w:asciiTheme="majorEastAsia" w:hAnsiTheme="majorEastAsia" w:eastAsiaTheme="majorEastAsia" w:cstheme="majorEastAsia"/>
                <w:bCs/>
                <w:color w:val="auto"/>
                <w:kern w:val="0"/>
                <w:sz w:val="18"/>
                <w:szCs w:val="18"/>
                <w:highlight w:val="none"/>
              </w:rPr>
            </w:pPr>
            <w:r>
              <w:rPr>
                <w:rStyle w:val="37"/>
                <w:rFonts w:hint="eastAsia" w:asciiTheme="majorEastAsia" w:hAnsiTheme="majorEastAsia" w:eastAsiaTheme="majorEastAsia" w:cstheme="majorEastAsia"/>
                <w:bCs/>
                <w:color w:val="auto"/>
                <w:kern w:val="0"/>
                <w:sz w:val="18"/>
                <w:szCs w:val="18"/>
                <w:highlight w:val="none"/>
              </w:rPr>
              <w:t>（7）发生被地方政府查处的重大安全隐患，每次违约金为签约合同价的0.75%。</w:t>
            </w:r>
          </w:p>
          <w:p w14:paraId="5B60C6F4">
            <w:pPr>
              <w:snapToGrid w:val="0"/>
              <w:ind w:firstLine="360" w:firstLineChars="200"/>
              <w:rPr>
                <w:rStyle w:val="37"/>
                <w:rFonts w:hint="eastAsia" w:asciiTheme="majorEastAsia" w:hAnsiTheme="majorEastAsia" w:eastAsiaTheme="majorEastAsia" w:cstheme="majorEastAsia"/>
                <w:bCs/>
                <w:color w:val="auto"/>
                <w:kern w:val="0"/>
                <w:sz w:val="18"/>
                <w:szCs w:val="18"/>
                <w:highlight w:val="none"/>
                <w:lang w:eastAsia="zh-CN"/>
              </w:rPr>
            </w:pPr>
            <w:r>
              <w:rPr>
                <w:rStyle w:val="37"/>
                <w:rFonts w:hint="eastAsia" w:asciiTheme="majorEastAsia" w:hAnsiTheme="majorEastAsia" w:eastAsiaTheme="majorEastAsia" w:cstheme="majorEastAsia"/>
                <w:bCs/>
                <w:color w:val="auto"/>
                <w:kern w:val="0"/>
                <w:sz w:val="18"/>
                <w:szCs w:val="18"/>
                <w:highlight w:val="none"/>
              </w:rPr>
              <w:t>（8）发生国家电网公司查处的严重违章，每次违约金为签约合同价的0.5%；发生国家电网公司查处的一般违章，每次违约金为签约合同价的0.2%</w:t>
            </w:r>
            <w:r>
              <w:rPr>
                <w:rStyle w:val="37"/>
                <w:rFonts w:hint="eastAsia" w:asciiTheme="majorEastAsia" w:hAnsiTheme="majorEastAsia" w:eastAsiaTheme="majorEastAsia" w:cstheme="majorEastAsia"/>
                <w:bCs/>
                <w:color w:val="auto"/>
                <w:kern w:val="0"/>
                <w:sz w:val="18"/>
                <w:szCs w:val="18"/>
                <w:highlight w:val="none"/>
                <w:lang w:eastAsia="zh-CN"/>
              </w:rPr>
              <w:t>。</w:t>
            </w:r>
          </w:p>
          <w:p w14:paraId="3DC3782A">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rPr>
              <w:t>（</w:t>
            </w:r>
            <w:r>
              <w:rPr>
                <w:rStyle w:val="37"/>
                <w:rFonts w:hint="eastAsia" w:asciiTheme="majorEastAsia" w:hAnsiTheme="majorEastAsia" w:eastAsiaTheme="majorEastAsia" w:cstheme="majorEastAsia"/>
                <w:bCs/>
                <w:color w:val="auto"/>
                <w:kern w:val="0"/>
                <w:sz w:val="18"/>
                <w:szCs w:val="18"/>
                <w:highlight w:val="none"/>
                <w:lang w:val="en-US" w:eastAsia="zh-CN"/>
              </w:rPr>
              <w:t>9</w:t>
            </w:r>
            <w:r>
              <w:rPr>
                <w:rStyle w:val="37"/>
                <w:rFonts w:hint="eastAsia" w:asciiTheme="majorEastAsia" w:hAnsiTheme="majorEastAsia" w:eastAsiaTheme="majorEastAsia" w:cstheme="majorEastAsia"/>
                <w:bCs/>
                <w:color w:val="auto"/>
                <w:kern w:val="0"/>
                <w:sz w:val="18"/>
                <w:szCs w:val="18"/>
                <w:highlight w:val="none"/>
              </w:rPr>
              <w:t>）</w:t>
            </w:r>
            <w:r>
              <w:rPr>
                <w:rStyle w:val="37"/>
                <w:rFonts w:hint="eastAsia" w:asciiTheme="majorEastAsia" w:hAnsiTheme="majorEastAsia" w:eastAsiaTheme="majorEastAsia" w:cstheme="majorEastAsia"/>
                <w:bCs/>
                <w:color w:val="auto"/>
                <w:kern w:val="0"/>
                <w:sz w:val="18"/>
                <w:szCs w:val="18"/>
                <w:highlight w:val="none"/>
                <w:lang w:val="en-US" w:eastAsia="zh-CN"/>
              </w:rPr>
              <w:t>省级电力公司和建设单位公司（安全监督部门）层级查处施工项目部、作业班组严重违章的，对承包人考核50000元，同次检查发现多项严重违章对承包人进行累加考核，单次检查考核金额不超过100000元；承包人应对责任部门及责任人员按五级安全事件进行考核，并将考核结果报发包人。重复发生严重违章的可对承包人加倍考核，承包人应对相关责任者，自第二起提升考核等级。</w:t>
            </w:r>
          </w:p>
          <w:p w14:paraId="5EAE5DE5">
            <w:pPr>
              <w:snapToGrid w:val="0"/>
              <w:ind w:firstLine="360" w:firstLineChars="200"/>
              <w:jc w:val="left"/>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10）省级电力公司和建设单位公司（安全监督部门）层级查处施工项目部、作业班组重复性典型一般违章的，对承包人考核5000-10000元;同次检查发现重复性典型一般违章对承包人进行累加考核，单次检查考核金额不超过20000元。</w:t>
            </w:r>
          </w:p>
          <w:p w14:paraId="06B40713">
            <w:pPr>
              <w:snapToGrid w:val="0"/>
              <w:ind w:firstLine="360" w:firstLineChars="200"/>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（11）业主项目部层级查处的严重违章、重复性典型一般违章的按照建设单位公司查处的考核金额减半考核。</w:t>
            </w:r>
          </w:p>
          <w:p w14:paraId="71D11ACD">
            <w:pPr>
              <w:snapToGrid w:val="0"/>
              <w:spacing w:line="240" w:lineRule="atLeast"/>
              <w:ind w:firstLine="360" w:firstLineChars="200"/>
              <w:jc w:val="left"/>
              <w:rPr>
                <w:rStyle w:val="37"/>
                <w:rFonts w:hint="eastAsia" w:asciiTheme="majorEastAsia" w:hAnsiTheme="majorEastAsia" w:eastAsiaTheme="majorEastAsia" w:cstheme="majorEastAsia"/>
                <w:bCs/>
                <w:color w:val="auto"/>
                <w:kern w:val="0"/>
                <w:sz w:val="18"/>
                <w:szCs w:val="18"/>
                <w:highlight w:val="none"/>
                <w:lang w:val="en-US" w:eastAsia="zh-CN"/>
              </w:rPr>
            </w:pPr>
            <w:r>
              <w:rPr>
                <w:rStyle w:val="37"/>
                <w:rFonts w:hint="eastAsia" w:asciiTheme="majorEastAsia" w:hAnsiTheme="majorEastAsia" w:eastAsiaTheme="majorEastAsia" w:cstheme="majorEastAsia"/>
                <w:bCs/>
                <w:color w:val="auto"/>
                <w:kern w:val="0"/>
                <w:sz w:val="18"/>
                <w:szCs w:val="18"/>
                <w:highlight w:val="none"/>
                <w:lang w:val="en-US" w:eastAsia="zh-CN"/>
              </w:rPr>
              <w:t>3. 乙方对业主单位、项目建设管理单位、监理单位签发的工程现场安全检查通知单考核事由和数额有异议的，有权向有关单位和部门进行申辩。</w:t>
            </w:r>
          </w:p>
        </w:tc>
        <w:tc>
          <w:tcPr>
            <w:tcW w:w="475" w:type="dxa"/>
            <w:tcBorders>
              <w:top w:val="single" w:color="000000" w:sz="4" w:space="0"/>
              <w:left w:val="single" w:color="000000" w:sz="4" w:space="0"/>
              <w:bottom w:val="single" w:color="000000" w:sz="4" w:space="0"/>
              <w:right w:val="nil"/>
            </w:tcBorders>
            <w:vAlign w:val="center"/>
          </w:tcPr>
          <w:p w14:paraId="33A358FC">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5BFBC466">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899" w:hRule="atLeast"/>
          <w:jc w:val="center"/>
        </w:trPr>
        <w:tc>
          <w:tcPr>
            <w:tcW w:w="1437" w:type="dxa"/>
            <w:tcBorders>
              <w:top w:val="single" w:color="000000" w:sz="4" w:space="0"/>
              <w:left w:val="nil"/>
              <w:bottom w:val="single" w:color="000000" w:sz="4" w:space="0"/>
              <w:right w:val="single" w:color="000000" w:sz="4" w:space="0"/>
            </w:tcBorders>
            <w:vAlign w:val="center"/>
          </w:tcPr>
          <w:p w14:paraId="01435C85">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04141C0F">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附件5</w:t>
            </w:r>
          </w:p>
          <w:p w14:paraId="5C151172">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安全协议书</w:t>
            </w:r>
          </w:p>
          <w:p w14:paraId="7F2D3FD8">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十、</w:t>
            </w:r>
          </w:p>
        </w:tc>
        <w:tc>
          <w:tcPr>
            <w:tcW w:w="4066" w:type="dxa"/>
            <w:tcBorders>
              <w:top w:val="single" w:color="000000" w:sz="4" w:space="0"/>
              <w:left w:val="single" w:color="000000" w:sz="4" w:space="0"/>
              <w:bottom w:val="single" w:color="000000" w:sz="4" w:space="0"/>
              <w:right w:val="single" w:color="000000" w:sz="4" w:space="0"/>
            </w:tcBorders>
            <w:vAlign w:val="center"/>
          </w:tcPr>
          <w:p w14:paraId="31ACF872">
            <w:pPr>
              <w:autoSpaceDN w:val="0"/>
              <w:snapToGrid w:val="0"/>
              <w:spacing w:line="240" w:lineRule="atLeast"/>
              <w:ind w:firstLine="360"/>
              <w:textAlignment w:val="auto"/>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4. 工程竣工后，对乙方的经济</w:t>
            </w:r>
            <w:r>
              <w:rPr>
                <w:rFonts w:hint="eastAsia" w:asciiTheme="majorEastAsia" w:hAnsiTheme="majorEastAsia" w:eastAsiaTheme="majorEastAsia" w:cstheme="majorEastAsia"/>
                <w:color w:val="auto"/>
                <w:kern w:val="0"/>
                <w:sz w:val="18"/>
                <w:szCs w:val="18"/>
                <w:highlight w:val="none"/>
                <w:lang w:eastAsia="zh-CN"/>
              </w:rPr>
              <w:t>考核</w:t>
            </w:r>
            <w:r>
              <w:rPr>
                <w:rFonts w:hint="eastAsia" w:asciiTheme="majorEastAsia" w:hAnsiTheme="majorEastAsia" w:eastAsiaTheme="majorEastAsia" w:cstheme="majorEastAsia"/>
                <w:color w:val="auto"/>
                <w:kern w:val="0"/>
                <w:sz w:val="18"/>
                <w:szCs w:val="18"/>
                <w:highlight w:val="none"/>
              </w:rPr>
              <w:t>，由甲方在竣工结算时汇总在施工过程中发生的《基建安全隐患罚款单》，通过公司财务在工程结算时直接扣除。</w:t>
            </w:r>
            <w:r>
              <w:rPr>
                <w:rFonts w:hint="eastAsia" w:asciiTheme="majorEastAsia" w:hAnsiTheme="majorEastAsia" w:eastAsiaTheme="majorEastAsia" w:cstheme="majorEastAsia"/>
                <w:color w:val="auto"/>
                <w:kern w:val="0"/>
                <w:sz w:val="18"/>
                <w:szCs w:val="18"/>
                <w:highlight w:val="none"/>
                <w:lang w:eastAsia="zh-CN"/>
              </w:rPr>
              <w:t>考核</w:t>
            </w:r>
            <w:r>
              <w:rPr>
                <w:rFonts w:hint="eastAsia" w:asciiTheme="majorEastAsia" w:hAnsiTheme="majorEastAsia" w:eastAsiaTheme="majorEastAsia" w:cstheme="majorEastAsia"/>
                <w:color w:val="auto"/>
                <w:kern w:val="0"/>
                <w:sz w:val="18"/>
                <w:szCs w:val="18"/>
                <w:highlight w:val="none"/>
              </w:rPr>
              <w:t>执行单位（部门）不允许接受罚金，被</w:t>
            </w:r>
            <w:r>
              <w:rPr>
                <w:rFonts w:hint="eastAsia" w:asciiTheme="majorEastAsia" w:hAnsiTheme="majorEastAsia" w:eastAsiaTheme="majorEastAsia" w:cstheme="majorEastAsia"/>
                <w:color w:val="auto"/>
                <w:kern w:val="0"/>
                <w:sz w:val="18"/>
                <w:szCs w:val="18"/>
                <w:highlight w:val="none"/>
                <w:lang w:eastAsia="zh-CN"/>
              </w:rPr>
              <w:t>考核</w:t>
            </w:r>
            <w:r>
              <w:rPr>
                <w:rFonts w:hint="eastAsia" w:asciiTheme="majorEastAsia" w:hAnsiTheme="majorEastAsia" w:eastAsiaTheme="majorEastAsia" w:cstheme="majorEastAsia"/>
                <w:color w:val="auto"/>
                <w:kern w:val="0"/>
                <w:sz w:val="18"/>
                <w:szCs w:val="18"/>
                <w:highlight w:val="none"/>
              </w:rPr>
              <w:t>单位（部门）不允许以现金形式交纳罚金。</w:t>
            </w:r>
          </w:p>
        </w:tc>
        <w:tc>
          <w:tcPr>
            <w:tcW w:w="4247" w:type="dxa"/>
            <w:tcBorders>
              <w:top w:val="single" w:color="000000" w:sz="4" w:space="0"/>
              <w:left w:val="single" w:color="000000" w:sz="4" w:space="0"/>
              <w:bottom w:val="single" w:color="000000" w:sz="4" w:space="0"/>
              <w:right w:val="single" w:color="000000" w:sz="4" w:space="0"/>
            </w:tcBorders>
            <w:vAlign w:val="center"/>
          </w:tcPr>
          <w:p w14:paraId="2924B5A1">
            <w:pPr>
              <w:adjustRightInd w:val="0"/>
              <w:snapToGrid w:val="0"/>
              <w:spacing w:line="240" w:lineRule="atLeast"/>
              <w:jc w:val="left"/>
              <w:rPr>
                <w:rFonts w:hint="eastAsia" w:asciiTheme="majorEastAsia" w:hAnsiTheme="majorEastAsia" w:eastAsiaTheme="majorEastAsia" w:cstheme="majorEastAsia"/>
                <w:color w:val="auto"/>
                <w:kern w:val="0"/>
                <w:sz w:val="18"/>
                <w:szCs w:val="18"/>
                <w:highlight w:val="none"/>
              </w:rPr>
            </w:pPr>
            <w:r>
              <w:rPr>
                <w:rStyle w:val="37"/>
                <w:rFonts w:hint="eastAsia" w:asciiTheme="majorEastAsia" w:hAnsiTheme="majorEastAsia" w:eastAsiaTheme="majorEastAsia" w:cstheme="majorEastAsia"/>
                <w:b/>
                <w:bCs/>
                <w:color w:val="auto"/>
                <w:kern w:val="0"/>
                <w:sz w:val="18"/>
                <w:szCs w:val="18"/>
                <w:highlight w:val="none"/>
              </w:rPr>
              <w:t>修改为：</w:t>
            </w:r>
          </w:p>
          <w:p w14:paraId="2DC75EE4">
            <w:pPr>
              <w:numPr>
                <w:ilvl w:val="0"/>
                <w:numId w:val="0"/>
              </w:numPr>
              <w:autoSpaceDN w:val="0"/>
              <w:snapToGrid w:val="0"/>
              <w:spacing w:line="240" w:lineRule="atLeast"/>
              <w:textAlignment w:val="auto"/>
              <w:rPr>
                <w:rFonts w:hint="eastAsia" w:asciiTheme="majorEastAsia" w:hAnsiTheme="majorEastAsia" w:eastAsiaTheme="majorEastAsia" w:cstheme="majorEastAsia"/>
                <w:strike w:val="0"/>
                <w:dstrike w:val="0"/>
                <w:color w:val="auto"/>
                <w:kern w:val="0"/>
                <w:sz w:val="18"/>
                <w:szCs w:val="18"/>
                <w:highlight w:val="none"/>
              </w:rPr>
            </w:pPr>
            <w:r>
              <w:rPr>
                <w:rFonts w:hint="eastAsia" w:asciiTheme="majorEastAsia" w:hAnsiTheme="majorEastAsia" w:eastAsiaTheme="majorEastAsia" w:cstheme="majorEastAsia"/>
                <w:strike w:val="0"/>
                <w:dstrike w:val="0"/>
                <w:color w:val="auto"/>
                <w:kern w:val="0"/>
                <w:sz w:val="18"/>
                <w:szCs w:val="18"/>
                <w:highlight w:val="none"/>
                <w:lang w:val="en-US" w:eastAsia="zh-CN"/>
              </w:rPr>
              <w:t>4.</w:t>
            </w:r>
            <w:r>
              <w:rPr>
                <w:rFonts w:hint="eastAsia" w:asciiTheme="majorEastAsia" w:hAnsiTheme="majorEastAsia" w:eastAsiaTheme="majorEastAsia" w:cstheme="majorEastAsia"/>
                <w:strike w:val="0"/>
                <w:dstrike w:val="0"/>
                <w:color w:val="auto"/>
                <w:kern w:val="0"/>
                <w:sz w:val="18"/>
                <w:szCs w:val="18"/>
                <w:highlight w:val="none"/>
              </w:rPr>
              <w:t>对乙方的经济处理，由甲方在工程进度款支付中予以扣除，或结算时汇总，并纳入工程合同竣工结算。处理执行单位（部门）不允许接受相关处理费用，被处理单位（部门）不允许以现金形式交纳相关处理费用。</w:t>
            </w:r>
          </w:p>
          <w:p w14:paraId="525C901A">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p>
        </w:tc>
        <w:tc>
          <w:tcPr>
            <w:tcW w:w="475" w:type="dxa"/>
            <w:tcBorders>
              <w:top w:val="single" w:color="000000" w:sz="4" w:space="0"/>
              <w:left w:val="single" w:color="000000" w:sz="4" w:space="0"/>
              <w:bottom w:val="single" w:color="000000" w:sz="4" w:space="0"/>
              <w:right w:val="nil"/>
            </w:tcBorders>
            <w:vAlign w:val="center"/>
          </w:tcPr>
          <w:p w14:paraId="2EC92264">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0C120CAB">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899" w:hRule="atLeast"/>
          <w:jc w:val="center"/>
        </w:trPr>
        <w:tc>
          <w:tcPr>
            <w:tcW w:w="1437" w:type="dxa"/>
            <w:tcBorders>
              <w:top w:val="single" w:color="000000" w:sz="4" w:space="0"/>
              <w:left w:val="nil"/>
              <w:bottom w:val="single" w:color="000000" w:sz="4" w:space="0"/>
              <w:right w:val="single" w:color="000000" w:sz="4" w:space="0"/>
            </w:tcBorders>
            <w:vAlign w:val="center"/>
          </w:tcPr>
          <w:p w14:paraId="0A9AE99B">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4D29043A">
            <w:pPr>
              <w:snapToGrid w:val="0"/>
              <w:spacing w:line="240" w:lineRule="atLeast"/>
              <w:jc w:val="left"/>
              <w:rPr>
                <w:rFonts w:hint="eastAsia" w:asciiTheme="majorEastAsia" w:hAnsiTheme="majorEastAsia" w:eastAsiaTheme="majorEastAsia" w:cstheme="majorEastAsia"/>
                <w:color w:val="auto"/>
                <w:sz w:val="18"/>
                <w:szCs w:val="18"/>
                <w:highlight w:val="none"/>
                <w:lang w:val="en-US" w:eastAsia="zh-CN"/>
              </w:rPr>
            </w:pPr>
            <w:r>
              <w:rPr>
                <w:rFonts w:hint="eastAsia" w:asciiTheme="majorEastAsia" w:hAnsiTheme="majorEastAsia" w:eastAsiaTheme="majorEastAsia" w:cstheme="majorEastAsia"/>
                <w:color w:val="auto"/>
                <w:kern w:val="0"/>
                <w:sz w:val="18"/>
                <w:szCs w:val="18"/>
                <w:highlight w:val="none"/>
              </w:rPr>
              <w:t xml:space="preserve">12.3.1 </w:t>
            </w:r>
            <w:r>
              <w:rPr>
                <w:rFonts w:hint="eastAsia" w:asciiTheme="majorEastAsia" w:hAnsiTheme="majorEastAsia" w:eastAsiaTheme="majorEastAsia" w:cstheme="majorEastAsia"/>
                <w:color w:val="auto"/>
                <w:kern w:val="0"/>
                <w:sz w:val="18"/>
                <w:szCs w:val="18"/>
                <w:highlight w:val="none"/>
                <w:lang w:val="en-US" w:eastAsia="zh-CN"/>
              </w:rPr>
              <w:t>条</w:t>
            </w:r>
          </w:p>
        </w:tc>
        <w:tc>
          <w:tcPr>
            <w:tcW w:w="4066" w:type="dxa"/>
            <w:tcBorders>
              <w:top w:val="single" w:color="000000" w:sz="4" w:space="0"/>
              <w:left w:val="single" w:color="000000" w:sz="4" w:space="0"/>
              <w:bottom w:val="single" w:color="000000" w:sz="4" w:space="0"/>
              <w:right w:val="single" w:color="000000" w:sz="4" w:space="0"/>
            </w:tcBorders>
            <w:vAlign w:val="center"/>
          </w:tcPr>
          <w:p w14:paraId="02BAB0F6">
            <w:pPr>
              <w:snapToGrid w:val="0"/>
              <w:spacing w:line="240" w:lineRule="atLeast"/>
              <w:rPr>
                <w:rStyle w:val="37"/>
                <w:rFonts w:hint="eastAsia" w:asciiTheme="majorEastAsia" w:hAnsiTheme="majorEastAsia" w:eastAsiaTheme="majorEastAsia" w:cstheme="majorEastAsia"/>
                <w:color w:val="auto"/>
                <w:kern w:val="0"/>
                <w:sz w:val="18"/>
                <w:szCs w:val="18"/>
                <w:highlight w:val="none"/>
              </w:rPr>
            </w:pPr>
            <w:r>
              <w:rPr>
                <w:rFonts w:hint="eastAsia" w:asciiTheme="majorEastAsia" w:hAnsiTheme="majorEastAsia" w:eastAsiaTheme="majorEastAsia" w:cstheme="majorEastAsia"/>
                <w:color w:val="auto"/>
                <w:kern w:val="0"/>
                <w:sz w:val="18"/>
                <w:szCs w:val="18"/>
                <w:highlight w:val="none"/>
              </w:rPr>
              <w:t>监理人认为有必要时，可向承包人作出暂停施工的指示，承包人应按监理人指示暂停施工</w:t>
            </w:r>
            <w:r>
              <w:rPr>
                <w:rFonts w:hint="eastAsia" w:asciiTheme="majorEastAsia" w:hAnsiTheme="majorEastAsia" w:eastAsiaTheme="majorEastAsia" w:cstheme="majorEastAsia"/>
                <w:color w:val="auto"/>
                <w:kern w:val="0"/>
                <w:sz w:val="18"/>
                <w:szCs w:val="18"/>
                <w:highlight w:val="none"/>
                <w:lang w:eastAsia="zh-CN"/>
              </w:rPr>
              <w:t>；</w:t>
            </w:r>
            <w:r>
              <w:rPr>
                <w:rFonts w:hint="eastAsia" w:asciiTheme="majorEastAsia" w:hAnsiTheme="majorEastAsia" w:eastAsiaTheme="majorEastAsia" w:cstheme="majorEastAsia"/>
                <w:color w:val="auto"/>
                <w:kern w:val="0"/>
                <w:sz w:val="18"/>
                <w:szCs w:val="18"/>
                <w:highlight w:val="none"/>
              </w:rPr>
              <w:t>不论由于何种原因引起的暂停施工，暂停施工期间承包人应负责妥善保护工程并提供安全保障</w:t>
            </w:r>
            <w:r>
              <w:rPr>
                <w:rFonts w:hint="eastAsia" w:asciiTheme="majorEastAsia" w:hAnsiTheme="majorEastAsia" w:eastAsiaTheme="majorEastAsia" w:cstheme="majorEastAsia"/>
                <w:color w:val="auto"/>
                <w:kern w:val="0"/>
                <w:sz w:val="18"/>
                <w:szCs w:val="18"/>
                <w:highlight w:val="none"/>
                <w:lang w:eastAsia="zh-CN"/>
              </w:rPr>
              <w:t>。</w:t>
            </w:r>
          </w:p>
        </w:tc>
        <w:tc>
          <w:tcPr>
            <w:tcW w:w="4247" w:type="dxa"/>
            <w:tcBorders>
              <w:top w:val="single" w:color="000000" w:sz="4" w:space="0"/>
              <w:left w:val="single" w:color="000000" w:sz="4" w:space="0"/>
              <w:bottom w:val="single" w:color="000000" w:sz="4" w:space="0"/>
              <w:right w:val="single" w:color="000000" w:sz="4" w:space="0"/>
            </w:tcBorders>
            <w:vAlign w:val="center"/>
          </w:tcPr>
          <w:p w14:paraId="14553422">
            <w:pPr>
              <w:numPr>
                <w:ilvl w:val="0"/>
                <w:numId w:val="0"/>
              </w:numPr>
              <w:autoSpaceDN w:val="0"/>
              <w:snapToGrid w:val="0"/>
              <w:spacing w:line="240" w:lineRule="atLeast"/>
              <w:textAlignment w:val="auto"/>
              <w:rPr>
                <w:rFonts w:hint="eastAsia" w:asciiTheme="majorEastAsia" w:hAnsiTheme="majorEastAsia" w:eastAsiaTheme="majorEastAsia" w:cstheme="majorEastAsia"/>
                <w:strike w:val="0"/>
                <w:dstrike w:val="0"/>
                <w:color w:val="auto"/>
                <w:kern w:val="0"/>
                <w:sz w:val="18"/>
                <w:szCs w:val="18"/>
                <w:highlight w:val="none"/>
                <w:lang w:val="en-US" w:eastAsia="zh-CN"/>
              </w:rPr>
            </w:pPr>
            <w:r>
              <w:rPr>
                <w:rFonts w:hint="eastAsia" w:asciiTheme="majorEastAsia" w:hAnsiTheme="majorEastAsia" w:eastAsiaTheme="majorEastAsia" w:cstheme="majorEastAsia"/>
                <w:strike w:val="0"/>
                <w:dstrike w:val="0"/>
                <w:color w:val="auto"/>
                <w:kern w:val="0"/>
                <w:sz w:val="18"/>
                <w:szCs w:val="18"/>
                <w:highlight w:val="none"/>
                <w:lang w:val="en-US" w:eastAsia="zh-CN"/>
              </w:rPr>
              <w:t>修改为：</w:t>
            </w:r>
            <w:r>
              <w:rPr>
                <w:rFonts w:hint="eastAsia" w:asciiTheme="majorEastAsia" w:hAnsiTheme="majorEastAsia" w:eastAsiaTheme="majorEastAsia" w:cstheme="majorEastAsia"/>
                <w:strike w:val="0"/>
                <w:dstrike w:val="0"/>
                <w:color w:val="auto"/>
                <w:kern w:val="0"/>
                <w:sz w:val="18"/>
                <w:szCs w:val="18"/>
                <w:highlight w:val="none"/>
              </w:rPr>
              <w:t>监理人认为有必要时，可向承包人作出暂停施工的指示，承包人应按监理人指示暂停施工。不论由于何种原因引起的暂停施工，暂停施工期间承包人应负责妥善保护工程并提供安全保障。</w:t>
            </w:r>
            <w:r>
              <w:rPr>
                <w:rFonts w:hint="eastAsia" w:asciiTheme="majorEastAsia" w:hAnsiTheme="majorEastAsia" w:eastAsiaTheme="majorEastAsia" w:cstheme="majorEastAsia"/>
                <w:strike w:val="0"/>
                <w:dstrike w:val="0"/>
                <w:color w:val="auto"/>
                <w:kern w:val="0"/>
                <w:sz w:val="18"/>
                <w:szCs w:val="18"/>
                <w:highlight w:val="none"/>
                <w:lang w:val="en-US" w:eastAsia="zh-CN"/>
              </w:rPr>
              <w:t>停工期间施工单位擅自施工工程量不予计列。</w:t>
            </w:r>
          </w:p>
          <w:p w14:paraId="2D3D225D">
            <w:pPr>
              <w:snapToGrid w:val="0"/>
              <w:spacing w:line="240" w:lineRule="atLeast"/>
              <w:jc w:val="left"/>
              <w:rPr>
                <w:rFonts w:hint="eastAsia" w:asciiTheme="majorEastAsia" w:hAnsiTheme="majorEastAsia" w:eastAsiaTheme="majorEastAsia" w:cstheme="majorEastAsia"/>
                <w:color w:val="auto"/>
                <w:kern w:val="0"/>
                <w:sz w:val="18"/>
                <w:szCs w:val="18"/>
                <w:highlight w:val="none"/>
              </w:rPr>
            </w:pPr>
          </w:p>
        </w:tc>
        <w:tc>
          <w:tcPr>
            <w:tcW w:w="475" w:type="dxa"/>
            <w:tcBorders>
              <w:top w:val="single" w:color="000000" w:sz="4" w:space="0"/>
              <w:left w:val="single" w:color="000000" w:sz="4" w:space="0"/>
              <w:bottom w:val="single" w:color="000000" w:sz="4" w:space="0"/>
              <w:right w:val="nil"/>
            </w:tcBorders>
            <w:vAlign w:val="center"/>
          </w:tcPr>
          <w:p w14:paraId="600685CF">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r w14:paraId="3BB69914">
        <w:tblPrEx>
          <w:tblBorders>
            <w:top w:val="double" w:color="000000" w:sz="4" w:space="0"/>
            <w:left w:val="none" w:color="auto" w:sz="0" w:space="0"/>
            <w:bottom w:val="double" w:color="000000" w:sz="4" w:space="0"/>
            <w:right w:val="none" w:color="auto" w:sz="0" w:space="0"/>
            <w:insideH w:val="single" w:color="000000" w:sz="4" w:space="0"/>
            <w:insideV w:val="single" w:color="000000" w:sz="4" w:space="0"/>
          </w:tblBorders>
          <w:tblCellMar>
            <w:top w:w="0" w:type="dxa"/>
            <w:left w:w="0" w:type="dxa"/>
            <w:bottom w:w="0" w:type="dxa"/>
            <w:right w:w="0" w:type="dxa"/>
          </w:tblCellMar>
        </w:tblPrEx>
        <w:trPr>
          <w:trHeight w:val="4854" w:hRule="atLeast"/>
          <w:jc w:val="center"/>
        </w:trPr>
        <w:tc>
          <w:tcPr>
            <w:tcW w:w="1437" w:type="dxa"/>
            <w:tcBorders>
              <w:top w:val="single" w:color="000000" w:sz="4" w:space="0"/>
              <w:left w:val="nil"/>
              <w:bottom w:val="single" w:color="000000" w:sz="4" w:space="0"/>
              <w:right w:val="single" w:color="000000" w:sz="4" w:space="0"/>
            </w:tcBorders>
            <w:vAlign w:val="center"/>
          </w:tcPr>
          <w:p w14:paraId="2CED1494">
            <w:pPr>
              <w:pStyle w:val="47"/>
              <w:numPr>
                <w:ilvl w:val="0"/>
                <w:numId w:val="1"/>
              </w:numPr>
              <w:snapToGrid w:val="0"/>
              <w:spacing w:line="240" w:lineRule="atLeast"/>
              <w:ind w:firstLineChars="0"/>
              <w:jc w:val="center"/>
              <w:rPr>
                <w:rStyle w:val="37"/>
                <w:rFonts w:hint="eastAsia" w:asciiTheme="majorEastAsia" w:hAnsiTheme="majorEastAsia" w:eastAsiaTheme="majorEastAsia" w:cstheme="majorEastAsia"/>
                <w:color w:val="auto"/>
                <w:kern w:val="0"/>
                <w:sz w:val="18"/>
                <w:szCs w:val="18"/>
                <w:highlight w:val="none"/>
              </w:rPr>
            </w:pPr>
          </w:p>
        </w:tc>
        <w:tc>
          <w:tcPr>
            <w:tcW w:w="992" w:type="dxa"/>
            <w:tcBorders>
              <w:top w:val="single" w:color="000000" w:sz="4" w:space="0"/>
              <w:left w:val="single" w:color="000000" w:sz="4" w:space="0"/>
              <w:bottom w:val="single" w:color="000000" w:sz="4" w:space="0"/>
              <w:right w:val="single" w:color="000000" w:sz="4" w:space="0"/>
            </w:tcBorders>
            <w:vAlign w:val="center"/>
          </w:tcPr>
          <w:p w14:paraId="2B1A4FAF">
            <w:pPr>
              <w:snapToGrid w:val="0"/>
              <w:spacing w:line="240" w:lineRule="atLeast"/>
              <w:jc w:val="left"/>
              <w:rPr>
                <w:rFonts w:hint="eastAsia" w:asciiTheme="majorEastAsia" w:hAnsiTheme="majorEastAsia" w:eastAsiaTheme="majorEastAsia" w:cstheme="majorEastAsia"/>
                <w:color w:val="auto"/>
                <w:sz w:val="18"/>
                <w:szCs w:val="18"/>
                <w:highlight w:val="none"/>
              </w:rPr>
            </w:pPr>
          </w:p>
        </w:tc>
        <w:tc>
          <w:tcPr>
            <w:tcW w:w="4066" w:type="dxa"/>
            <w:tcBorders>
              <w:top w:val="single" w:color="000000" w:sz="4" w:space="0"/>
              <w:left w:val="single" w:color="000000" w:sz="4" w:space="0"/>
              <w:bottom w:val="single" w:color="000000" w:sz="4" w:space="0"/>
              <w:right w:val="single" w:color="000000" w:sz="4" w:space="0"/>
            </w:tcBorders>
            <w:vAlign w:val="center"/>
          </w:tcPr>
          <w:p w14:paraId="5C60C3AE">
            <w:pPr>
              <w:snapToGrid w:val="0"/>
              <w:spacing w:line="240" w:lineRule="atLeast"/>
              <w:rPr>
                <w:rStyle w:val="37"/>
                <w:rFonts w:hint="eastAsia" w:asciiTheme="majorEastAsia" w:hAnsiTheme="majorEastAsia" w:eastAsiaTheme="majorEastAsia" w:cstheme="majorEastAsia"/>
                <w:color w:val="auto"/>
                <w:kern w:val="0"/>
                <w:sz w:val="18"/>
                <w:szCs w:val="18"/>
                <w:highlight w:val="none"/>
              </w:rPr>
            </w:pPr>
          </w:p>
        </w:tc>
        <w:tc>
          <w:tcPr>
            <w:tcW w:w="4247" w:type="dxa"/>
            <w:tcBorders>
              <w:top w:val="single" w:color="000000" w:sz="4" w:space="0"/>
              <w:left w:val="single" w:color="000000" w:sz="4" w:space="0"/>
              <w:bottom w:val="single" w:color="000000" w:sz="4" w:space="0"/>
              <w:right w:val="single" w:color="000000" w:sz="4" w:space="0"/>
            </w:tcBorders>
            <w:vAlign w:val="center"/>
          </w:tcPr>
          <w:p w14:paraId="6088C950">
            <w:pPr>
              <w:pStyle w:val="2"/>
              <w:spacing w:line="360" w:lineRule="auto"/>
              <w:jc w:val="both"/>
              <w:rPr>
                <w:rFonts w:hint="eastAsia" w:asciiTheme="majorEastAsia" w:hAnsiTheme="majorEastAsia" w:eastAsiaTheme="majorEastAsia" w:cstheme="majorEastAsia"/>
                <w:strike w:val="0"/>
                <w:dstrike w:val="0"/>
                <w:color w:val="auto"/>
                <w:kern w:val="0"/>
                <w:sz w:val="18"/>
                <w:szCs w:val="18"/>
                <w:highlight w:val="none"/>
                <w:lang w:val="en-US" w:eastAsia="zh-CN"/>
              </w:rPr>
            </w:pPr>
            <w:r>
              <w:rPr>
                <w:rFonts w:hint="eastAsia" w:asciiTheme="majorEastAsia" w:hAnsiTheme="majorEastAsia" w:eastAsiaTheme="majorEastAsia" w:cstheme="majorEastAsia"/>
                <w:color w:val="auto"/>
                <w:kern w:val="0"/>
                <w:sz w:val="18"/>
                <w:szCs w:val="18"/>
                <w:highlight w:val="none"/>
                <w:lang w:val="en-US" w:eastAsia="zh-CN"/>
              </w:rPr>
              <w:t>增加：</w:t>
            </w:r>
            <w:r>
              <w:rPr>
                <w:rFonts w:hint="eastAsia" w:asciiTheme="majorEastAsia" w:hAnsiTheme="majorEastAsia" w:eastAsiaTheme="majorEastAsia" w:cstheme="majorEastAsia"/>
                <w:strike w:val="0"/>
                <w:dstrike w:val="0"/>
                <w:color w:val="auto"/>
                <w:kern w:val="0"/>
                <w:sz w:val="18"/>
                <w:szCs w:val="18"/>
                <w:highlight w:val="none"/>
                <w:lang w:val="en-US" w:eastAsia="zh-CN"/>
              </w:rPr>
              <w:t>质量违约金出发约定</w:t>
            </w:r>
          </w:p>
          <w:p w14:paraId="4A99F9BC">
            <w:pPr>
              <w:pStyle w:val="2"/>
              <w:spacing w:line="360" w:lineRule="auto"/>
              <w:ind w:firstLine="540" w:firstLineChars="300"/>
              <w:jc w:val="both"/>
              <w:rPr>
                <w:rFonts w:hint="eastAsia" w:asciiTheme="majorEastAsia" w:hAnsiTheme="majorEastAsia" w:eastAsiaTheme="majorEastAsia" w:cstheme="majorEastAsia"/>
                <w:strike w:val="0"/>
                <w:dstrike w:val="0"/>
                <w:color w:val="auto"/>
                <w:kern w:val="0"/>
                <w:sz w:val="18"/>
                <w:szCs w:val="18"/>
                <w:highlight w:val="none"/>
                <w:lang w:val="en-US" w:eastAsia="zh-CN"/>
              </w:rPr>
            </w:pPr>
            <w:r>
              <w:rPr>
                <w:rFonts w:hint="eastAsia" w:asciiTheme="majorEastAsia" w:hAnsiTheme="majorEastAsia" w:eastAsiaTheme="majorEastAsia" w:cstheme="majorEastAsia"/>
                <w:strike w:val="0"/>
                <w:dstrike w:val="0"/>
                <w:color w:val="auto"/>
                <w:kern w:val="0"/>
                <w:sz w:val="18"/>
                <w:szCs w:val="18"/>
                <w:highlight w:val="none"/>
                <w:lang w:val="en-US" w:eastAsia="zh-CN"/>
              </w:rPr>
              <w:t>质量违约金按照以下约定执行：</w:t>
            </w:r>
          </w:p>
          <w:p w14:paraId="707F80D3">
            <w:pPr>
              <w:pStyle w:val="2"/>
              <w:spacing w:line="360" w:lineRule="auto"/>
              <w:ind w:firstLine="540" w:firstLineChars="300"/>
              <w:jc w:val="both"/>
              <w:rPr>
                <w:rFonts w:hint="eastAsia" w:asciiTheme="majorEastAsia" w:hAnsiTheme="majorEastAsia" w:eastAsiaTheme="majorEastAsia" w:cstheme="majorEastAsia"/>
                <w:strike w:val="0"/>
                <w:dstrike w:val="0"/>
                <w:color w:val="auto"/>
                <w:kern w:val="0"/>
                <w:sz w:val="18"/>
                <w:szCs w:val="18"/>
                <w:highlight w:val="none"/>
                <w:lang w:val="en-US" w:eastAsia="zh-CN"/>
              </w:rPr>
            </w:pPr>
            <w:r>
              <w:rPr>
                <w:rFonts w:hint="eastAsia" w:asciiTheme="majorEastAsia" w:hAnsiTheme="majorEastAsia" w:eastAsiaTheme="majorEastAsia" w:cstheme="majorEastAsia"/>
                <w:strike w:val="0"/>
                <w:dstrike w:val="0"/>
                <w:color w:val="auto"/>
                <w:kern w:val="0"/>
                <w:sz w:val="18"/>
                <w:szCs w:val="18"/>
                <w:highlight w:val="none"/>
                <w:lang w:val="en-US" w:eastAsia="zh-CN"/>
              </w:rPr>
              <w:t>工程建设过程中，工程参加国网公司专项检查、质量监督检查或建设管理单位专项检查，检查组查出因承包人原因产生的质量方面问题和缺陷（包括现场和资料），每1条承包人每次支付签约合同价的0.003%。出现国网总部部门通报的质量问题，每1条承包人支付签约合同价的0.3%。工程竣工预验收时，建设管理单位组织标准工艺应用评价，标准工艺应用率未达到100%，承包人支付签约合同价的0.15%；管理工作评价得分率低于95%，承包人每次支付签约合同价的0.15%。对于发包人项目部安排的标准工艺研究项目，未按时上报研究成果或未通过国网公司评审，承包人每次支付签约合同价的0.02%。</w:t>
            </w:r>
          </w:p>
          <w:p w14:paraId="75E35FE0">
            <w:pPr>
              <w:snapToGrid w:val="0"/>
              <w:spacing w:line="240" w:lineRule="atLeast"/>
              <w:jc w:val="left"/>
              <w:rPr>
                <w:rFonts w:hint="default" w:asciiTheme="majorEastAsia" w:hAnsiTheme="majorEastAsia" w:eastAsiaTheme="majorEastAsia" w:cstheme="majorEastAsia"/>
                <w:color w:val="auto"/>
                <w:kern w:val="0"/>
                <w:sz w:val="18"/>
                <w:szCs w:val="18"/>
                <w:highlight w:val="none"/>
                <w:lang w:val="en-US" w:eastAsia="zh-CN"/>
              </w:rPr>
            </w:pPr>
          </w:p>
        </w:tc>
        <w:tc>
          <w:tcPr>
            <w:tcW w:w="475" w:type="dxa"/>
            <w:tcBorders>
              <w:top w:val="single" w:color="000000" w:sz="4" w:space="0"/>
              <w:left w:val="single" w:color="000000" w:sz="4" w:space="0"/>
              <w:bottom w:val="single" w:color="000000" w:sz="4" w:space="0"/>
              <w:right w:val="nil"/>
            </w:tcBorders>
            <w:vAlign w:val="center"/>
          </w:tcPr>
          <w:p w14:paraId="57779199">
            <w:pPr>
              <w:snapToGrid w:val="0"/>
              <w:spacing w:line="240" w:lineRule="atLeast"/>
              <w:jc w:val="left"/>
              <w:rPr>
                <w:rStyle w:val="37"/>
                <w:rFonts w:hint="eastAsia" w:asciiTheme="majorEastAsia" w:hAnsiTheme="majorEastAsia" w:eastAsiaTheme="majorEastAsia" w:cstheme="majorEastAsia"/>
                <w:color w:val="auto"/>
                <w:kern w:val="0"/>
                <w:sz w:val="18"/>
                <w:szCs w:val="18"/>
                <w:highlight w:val="none"/>
              </w:rPr>
            </w:pPr>
          </w:p>
        </w:tc>
      </w:tr>
    </w:tbl>
    <w:p w14:paraId="3814ECD8">
      <w:pPr>
        <w:pStyle w:val="53"/>
        <w:rPr>
          <w:rStyle w:val="37"/>
          <w:color w:val="auto"/>
          <w:highlight w:val="none"/>
        </w:rPr>
        <w:sectPr>
          <w:footerReference r:id="rId3" w:type="default"/>
          <w:pgSz w:w="11906" w:h="16838"/>
          <w:pgMar w:top="1701" w:right="1247" w:bottom="1560" w:left="1247" w:header="851" w:footer="992" w:gutter="0"/>
          <w:cols w:space="720" w:num="1"/>
          <w:docGrid w:type="lines" w:linePitch="312" w:charSpace="0"/>
        </w:sectPr>
      </w:pPr>
    </w:p>
    <w:p w14:paraId="4C0877DA">
      <w:pPr>
        <w:topLinePunct/>
        <w:snapToGrid w:val="0"/>
        <w:spacing w:line="240" w:lineRule="atLeast"/>
        <w:jc w:val="left"/>
        <w:rPr>
          <w:rFonts w:ascii="方正黑体_GBK" w:hAnsi="方正黑体_GBK" w:eastAsia="方正黑体_GBK" w:cs="方正黑体_GBK"/>
          <w:sz w:val="24"/>
          <w:szCs w:val="24"/>
        </w:rPr>
      </w:pPr>
      <w:r>
        <w:rPr>
          <w:rFonts w:hint="eastAsia" w:ascii="方正黑体_GBK" w:hAnsi="方正黑体_GBK" w:eastAsia="方正黑体_GBK" w:cs="方正黑体_GBK"/>
          <w:sz w:val="24"/>
          <w:szCs w:val="24"/>
        </w:rPr>
        <w:t>附件11</w:t>
      </w:r>
      <w:r>
        <w:rPr>
          <w:rFonts w:ascii="方正黑体_GBK" w:hAnsi="方正黑体_GBK" w:eastAsia="方正黑体_GBK" w:cs="方正黑体_GBK"/>
          <w:sz w:val="24"/>
          <w:szCs w:val="24"/>
        </w:rPr>
        <w:t>：</w:t>
      </w:r>
    </w:p>
    <w:p w14:paraId="37421222">
      <w:pPr>
        <w:topLinePunct/>
        <w:snapToGrid w:val="0"/>
        <w:spacing w:line="240" w:lineRule="atLeast"/>
        <w:jc w:val="center"/>
        <w:rPr>
          <w:rFonts w:ascii="方正黑体_GBK" w:hAnsi="方正黑体_GBK" w:eastAsia="方正黑体_GBK" w:cs="方正黑体_GBK"/>
          <w:sz w:val="24"/>
          <w:szCs w:val="24"/>
        </w:rPr>
      </w:pPr>
      <w:r>
        <w:rPr>
          <w:rFonts w:hint="eastAsia" w:ascii="方正黑体_GBK" w:hAnsi="方正黑体_GBK" w:eastAsia="方正黑体_GBK" w:cs="方正黑体_GBK"/>
          <w:sz w:val="24"/>
          <w:szCs w:val="24"/>
        </w:rPr>
        <w:t>施工承包商过程考核实施细则</w:t>
      </w:r>
    </w:p>
    <w:p w14:paraId="0755B8F0">
      <w:pPr>
        <w:numPr>
          <w:ilvl w:val="0"/>
          <w:numId w:val="12"/>
        </w:numPr>
        <w:topLinePunct/>
        <w:snapToGrid w:val="0"/>
        <w:spacing w:beforeLines="50" w:afterLines="50" w:line="240" w:lineRule="atLeast"/>
        <w:outlineLvl w:val="0"/>
        <w:rPr>
          <w:rFonts w:ascii="方正楷体_GBK" w:hAnsi="方正楷体_GBK" w:eastAsia="方正楷体_GBK" w:cs="方正楷体_GBK"/>
          <w:b/>
          <w:bCs/>
          <w:sz w:val="24"/>
          <w:szCs w:val="24"/>
        </w:rPr>
      </w:pPr>
      <w:r>
        <w:rPr>
          <w:rFonts w:hint="eastAsia" w:ascii="方正楷体_GBK" w:hAnsi="方正楷体_GBK" w:eastAsia="方正楷体_GBK" w:cs="方正楷体_GBK"/>
          <w:b/>
          <w:bCs/>
          <w:sz w:val="24"/>
          <w:szCs w:val="24"/>
        </w:rPr>
        <w:t>总则</w:t>
      </w:r>
    </w:p>
    <w:p w14:paraId="38A52748">
      <w:p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为进一步贯彻落实国家电网有限公司关于基建标准化管理体系建设的要求，加强施工承包商建设和责任制的落实，规范施工行为，激励施工人员发挥积极性和创造性，全面提高工程建设和管理水平，结合变电站现场建设实际，特制定本细则。本办法用于变电站工程施工的考核评价工作。</w:t>
      </w:r>
    </w:p>
    <w:p w14:paraId="58314579">
      <w:pPr>
        <w:numPr>
          <w:ilvl w:val="0"/>
          <w:numId w:val="12"/>
        </w:numPr>
        <w:topLinePunct/>
        <w:snapToGrid w:val="0"/>
        <w:spacing w:beforeLines="50" w:afterLines="50" w:line="240" w:lineRule="atLeast"/>
        <w:outlineLvl w:val="0"/>
        <w:rPr>
          <w:rFonts w:ascii="方正楷体_GBK" w:hAnsi="方正楷体_GBK" w:eastAsia="方正楷体_GBK" w:cs="方正楷体_GBK"/>
          <w:b/>
          <w:bCs/>
          <w:sz w:val="24"/>
          <w:szCs w:val="24"/>
        </w:rPr>
      </w:pPr>
      <w:r>
        <w:rPr>
          <w:rFonts w:hint="eastAsia" w:ascii="方正楷体_GBK" w:hAnsi="方正楷体_GBK" w:eastAsia="方正楷体_GBK" w:cs="方正楷体_GBK"/>
          <w:b/>
          <w:bCs/>
          <w:sz w:val="24"/>
          <w:szCs w:val="24"/>
        </w:rPr>
        <w:t>考核评价方式</w:t>
      </w:r>
    </w:p>
    <w:p w14:paraId="1EA8EA36">
      <w:p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业主项目部负责对施工承包商进行阶段性考核评价，考核期为合同约定的工期，按月进行考核。业主项目部在工程施工过程中组织相关专责，通过资料查阅和现场实际检查的方式，对施工承包商进行检查评价，并按“施工承包商现场考核表”进行过程考核打分，形成考核评价意见。</w:t>
      </w:r>
    </w:p>
    <w:p w14:paraId="2A57F591">
      <w:p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对于考核评价中发现的主要问题，业主项目部对整改情况进行复查。在施工合同最终结算前，汇总评价情况及相关记录，上报建设管理单位审核。</w:t>
      </w:r>
    </w:p>
    <w:p w14:paraId="51643F33">
      <w:pPr>
        <w:numPr>
          <w:ilvl w:val="0"/>
          <w:numId w:val="12"/>
        </w:numPr>
        <w:topLinePunct/>
        <w:snapToGrid w:val="0"/>
        <w:spacing w:beforeLines="50" w:afterLines="50" w:line="240" w:lineRule="atLeast"/>
        <w:outlineLvl w:val="0"/>
        <w:rPr>
          <w:rFonts w:ascii="方正楷体_GBK" w:hAnsi="方正楷体_GBK" w:eastAsia="方正楷体_GBK" w:cs="方正楷体_GBK"/>
          <w:b/>
          <w:bCs/>
          <w:sz w:val="24"/>
          <w:szCs w:val="24"/>
        </w:rPr>
      </w:pPr>
      <w:r>
        <w:rPr>
          <w:rFonts w:hint="eastAsia" w:ascii="方正楷体_GBK" w:hAnsi="方正楷体_GBK" w:eastAsia="方正楷体_GBK" w:cs="方正楷体_GBK"/>
          <w:b/>
          <w:bCs/>
          <w:sz w:val="24"/>
          <w:szCs w:val="24"/>
        </w:rPr>
        <w:t>考核标准</w:t>
      </w:r>
    </w:p>
    <w:p w14:paraId="6E83E189">
      <w:pPr>
        <w:numPr>
          <w:ilvl w:val="0"/>
          <w:numId w:val="13"/>
        </w:num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对施工承包商在一个考核周期内工作开展情况进行考核评价的满分为</w:t>
      </w:r>
      <w:r>
        <w:rPr>
          <w:rFonts w:ascii="方正仿宋_GBK" w:hAnsi="方正仿宋_GBK" w:eastAsia="方正仿宋_GBK" w:cs="方正仿宋_GBK"/>
          <w:sz w:val="24"/>
          <w:szCs w:val="24"/>
        </w:rPr>
        <w:t>100分（</w:t>
      </w:r>
      <w:r>
        <w:rPr>
          <w:rFonts w:hint="eastAsia" w:ascii="方正仿宋_GBK" w:hAnsi="方正仿宋_GBK" w:eastAsia="方正仿宋_GBK" w:cs="方正仿宋_GBK"/>
          <w:sz w:val="24"/>
          <w:szCs w:val="24"/>
        </w:rPr>
        <w:t>涵盖项目部配置、策划管理、项目管理、安全管理、质量管理、技术管理、环水保管理、造价管理和工作成绩等</w:t>
      </w:r>
      <w:r>
        <w:rPr>
          <w:rFonts w:ascii="方正仿宋_GBK" w:hAnsi="方正仿宋_GBK" w:eastAsia="方正仿宋_GBK" w:cs="方正仿宋_GBK"/>
          <w:sz w:val="24"/>
          <w:szCs w:val="24"/>
        </w:rPr>
        <w:t>9部分）</w:t>
      </w:r>
      <w:r>
        <w:rPr>
          <w:rFonts w:hint="eastAsia" w:ascii="方正仿宋_GBK" w:hAnsi="方正仿宋_GBK" w:eastAsia="方正仿宋_GBK" w:cs="方正仿宋_GBK"/>
          <w:sz w:val="24"/>
          <w:szCs w:val="24"/>
        </w:rPr>
        <w:t>。实际得分作为施工承包商在该考核周期内的基本评价得分。</w:t>
      </w:r>
    </w:p>
    <w:p w14:paraId="6BFF3074">
      <w:pPr>
        <w:numPr>
          <w:ilvl w:val="0"/>
          <w:numId w:val="13"/>
        </w:num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为鼓励施工承包商加强管理、争先创优，另设加分项</w:t>
      </w:r>
      <w:r>
        <w:rPr>
          <w:rFonts w:ascii="方正仿宋_GBK" w:hAnsi="方正仿宋_GBK" w:eastAsia="方正仿宋_GBK" w:cs="方正仿宋_GBK"/>
          <w:sz w:val="24"/>
          <w:szCs w:val="24"/>
        </w:rPr>
        <w:t>10分，作为整个考核期内的总体评价加分，具体考核评价指标及标准见“施工</w:t>
      </w:r>
      <w:r>
        <w:rPr>
          <w:rFonts w:hint="eastAsia" w:ascii="方正仿宋_GBK" w:hAnsi="方正仿宋_GBK" w:eastAsia="方正仿宋_GBK" w:cs="方正仿宋_GBK"/>
          <w:sz w:val="24"/>
          <w:szCs w:val="24"/>
        </w:rPr>
        <w:t>项目部现场履约总体评价加分表”。</w:t>
      </w:r>
    </w:p>
    <w:p w14:paraId="506D490B">
      <w:pPr>
        <w:numPr>
          <w:ilvl w:val="0"/>
          <w:numId w:val="13"/>
        </w:num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每次检查都应在检查表的相应栏目内，记录该次检查得分，并对扣分原因作出简要说明。</w:t>
      </w:r>
    </w:p>
    <w:p w14:paraId="4561F304">
      <w:pPr>
        <w:numPr>
          <w:ilvl w:val="0"/>
          <w:numId w:val="12"/>
        </w:numPr>
        <w:topLinePunct/>
        <w:snapToGrid w:val="0"/>
        <w:spacing w:beforeLines="50" w:afterLines="50" w:line="240" w:lineRule="atLeast"/>
        <w:outlineLvl w:val="0"/>
        <w:rPr>
          <w:rFonts w:ascii="方正楷体_GBK" w:hAnsi="方正楷体_GBK" w:eastAsia="方正楷体_GBK" w:cs="方正楷体_GBK"/>
          <w:b/>
          <w:bCs/>
          <w:sz w:val="24"/>
          <w:szCs w:val="24"/>
        </w:rPr>
      </w:pPr>
      <w:r>
        <w:rPr>
          <w:rFonts w:hint="eastAsia" w:ascii="方正楷体_GBK" w:hAnsi="方正楷体_GBK" w:eastAsia="方正楷体_GBK" w:cs="方正楷体_GBK"/>
          <w:b/>
          <w:bCs/>
          <w:sz w:val="24"/>
          <w:szCs w:val="24"/>
        </w:rPr>
        <w:t>考核成绩及奖惩措施</w:t>
      </w:r>
    </w:p>
    <w:p w14:paraId="2CB8523C">
      <w:pPr>
        <w:topLinePunct/>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考核成绩作为施工费最终结算的重要依据，与施工承包商费用结算直接挂钩。具体计算方法如下：</w:t>
      </w:r>
    </w:p>
    <w:p w14:paraId="53EFF082">
      <w:pPr>
        <w:numPr>
          <w:ilvl w:val="0"/>
          <w:numId w:val="14"/>
        </w:numPr>
        <w:topLinePunct/>
        <w:adjustRightInd w:val="0"/>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业主项目部在每个考核周期内对施工承包商的打分记为当期基本评价得分</w:t>
      </w:r>
      <w:r>
        <w:rPr>
          <w:rFonts w:ascii="方正仿宋_GBK" w:hAnsi="方正仿宋_GBK" w:eastAsia="方正仿宋_GBK" w:cs="方正仿宋_GBK"/>
          <w:sz w:val="24"/>
          <w:szCs w:val="24"/>
        </w:rPr>
        <w:t>a</w:t>
      </w:r>
      <w:r>
        <w:rPr>
          <w:rFonts w:hint="eastAsia" w:ascii="方正仿宋_GBK" w:hAnsi="方正仿宋_GBK" w:eastAsia="方正仿宋_GBK" w:cs="方正仿宋_GBK"/>
          <w:sz w:val="24"/>
          <w:szCs w:val="24"/>
        </w:rPr>
        <w:t>。</w:t>
      </w:r>
    </w:p>
    <w:p w14:paraId="7B9CF5B1">
      <w:pPr>
        <w:numPr>
          <w:ilvl w:val="0"/>
          <w:numId w:val="14"/>
        </w:numPr>
        <w:topLinePunct/>
        <w:adjustRightInd w:val="0"/>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过程考核成绩</w:t>
      </w:r>
      <w:r>
        <w:rPr>
          <w:rFonts w:ascii="方正仿宋_GBK" w:hAnsi="方正仿宋_GBK" w:eastAsia="方正仿宋_GBK" w:cs="方正仿宋_GBK"/>
          <w:sz w:val="24"/>
          <w:szCs w:val="24"/>
        </w:rPr>
        <w:t>f为整个考核期内基本评价得分的平均值与总体评价加分c之和，即：f=(a1+a2+···+an)/n+c，其中n为整个考核期的考核评价次数，c为总体评价加分。</w:t>
      </w:r>
    </w:p>
    <w:p w14:paraId="0AA95D7C">
      <w:pPr>
        <w:topLinePunct/>
        <w:adjustRightInd w:val="0"/>
        <w:snapToGrid w:val="0"/>
        <w:spacing w:line="240" w:lineRule="atLeast"/>
        <w:ind w:firstLine="480" w:firstLineChars="200"/>
        <w:rPr>
          <w:rFonts w:ascii="方正仿宋_GBK" w:hAnsi="方正仿宋_GBK" w:eastAsia="方正仿宋_GBK" w:cs="方正仿宋_GBK"/>
          <w:sz w:val="24"/>
          <w:szCs w:val="24"/>
        </w:rPr>
      </w:pPr>
      <w:r>
        <w:rPr>
          <w:rFonts w:hint="eastAsia" w:ascii="方正仿宋_GBK" w:hAnsi="方正仿宋_GBK" w:eastAsia="方正仿宋_GBK" w:cs="方正仿宋_GBK"/>
          <w:sz w:val="24"/>
          <w:szCs w:val="24"/>
        </w:rPr>
        <w:t>其中总体评价加分根据施工单位在工程建设中做出的突出贡献，待工程结算时由建设管理单位评分。</w:t>
      </w:r>
    </w:p>
    <w:p w14:paraId="3A800F88">
      <w:pPr>
        <w:topLinePunct/>
        <w:adjustRightInd w:val="0"/>
        <w:snapToGrid w:val="0"/>
        <w:spacing w:line="240" w:lineRule="atLeast"/>
        <w:ind w:firstLine="640" w:firstLineChars="200"/>
        <w:rPr>
          <w:rFonts w:ascii="方正仿宋_GBK" w:hAnsi="方正仿宋_GBK" w:eastAsia="方正仿宋_GBK" w:cs="方正仿宋_GBK"/>
          <w:sz w:val="32"/>
          <w:szCs w:val="32"/>
        </w:rPr>
      </w:pPr>
    </w:p>
    <w:p w14:paraId="0CC0B4AC">
      <w:pPr>
        <w:pStyle w:val="2"/>
        <w:sectPr>
          <w:pgSz w:w="16838" w:h="11906" w:orient="landscape"/>
          <w:pgMar w:top="1247" w:right="1701" w:bottom="1247" w:left="1560" w:header="851" w:footer="992" w:gutter="0"/>
          <w:cols w:space="0" w:num="1"/>
          <w:rtlGutter w:val="0"/>
          <w:docGrid w:type="lines" w:linePitch="313" w:charSpace="0"/>
        </w:sectPr>
      </w:pPr>
    </w:p>
    <w:p w14:paraId="30837DE7">
      <w:pPr>
        <w:topLinePunct/>
        <w:adjustRightInd w:val="0"/>
        <w:snapToGrid w:val="0"/>
        <w:spacing w:line="240" w:lineRule="atLeast"/>
        <w:jc w:val="left"/>
        <w:rPr>
          <w:b/>
          <w:sz w:val="32"/>
          <w:szCs w:val="32"/>
        </w:rPr>
      </w:pPr>
      <w:r>
        <w:rPr>
          <w:rFonts w:hint="eastAsia" w:ascii="方正仿宋_GBK" w:hAnsi="方正仿宋_GBK" w:eastAsia="方正仿宋_GBK" w:cs="方正仿宋_GBK"/>
          <w:sz w:val="32"/>
          <w:szCs w:val="32"/>
        </w:rPr>
        <w:t>附表</w:t>
      </w:r>
    </w:p>
    <w:p w14:paraId="5F0B9B31">
      <w:pPr>
        <w:topLinePunct/>
        <w:adjustRightInd w:val="0"/>
        <w:snapToGrid w:val="0"/>
        <w:spacing w:line="240" w:lineRule="atLeast"/>
        <w:jc w:val="left"/>
        <w:rPr>
          <w:b/>
          <w:sz w:val="32"/>
          <w:szCs w:val="32"/>
        </w:rPr>
      </w:pPr>
    </w:p>
    <w:p w14:paraId="656B17D8">
      <w:pPr>
        <w:spacing w:line="360" w:lineRule="auto"/>
        <w:jc w:val="center"/>
        <w:outlineLvl w:val="0"/>
        <w:rPr>
          <w:b/>
          <w:sz w:val="32"/>
          <w:szCs w:val="32"/>
        </w:rPr>
      </w:pPr>
      <w:r>
        <w:rPr>
          <w:rFonts w:hint="eastAsia"/>
          <w:b/>
          <w:sz w:val="32"/>
          <w:szCs w:val="32"/>
        </w:rPr>
        <w:t>施工项目部现场履约评价标准表</w:t>
      </w:r>
    </w:p>
    <w:tbl>
      <w:tblPr>
        <w:tblStyle w:val="14"/>
        <w:tblW w:w="1284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547"/>
        <w:gridCol w:w="1976"/>
        <w:gridCol w:w="951"/>
        <w:gridCol w:w="3348"/>
        <w:gridCol w:w="3890"/>
        <w:gridCol w:w="1117"/>
        <w:gridCol w:w="1020"/>
      </w:tblGrid>
      <w:tr w14:paraId="63BF69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97" w:hRule="atLeast"/>
          <w:tblHeader/>
          <w:jc w:val="center"/>
        </w:trPr>
        <w:tc>
          <w:tcPr>
            <w:tcW w:w="547" w:type="dxa"/>
            <w:tcMar>
              <w:left w:w="28" w:type="dxa"/>
              <w:right w:w="28" w:type="dxa"/>
            </w:tcMar>
            <w:vAlign w:val="center"/>
          </w:tcPr>
          <w:p w14:paraId="665767BA">
            <w:pPr>
              <w:spacing w:line="260" w:lineRule="exact"/>
              <w:jc w:val="center"/>
              <w:rPr>
                <w:rFonts w:ascii="宋体" w:hAnsi="宋体" w:cs="宋体"/>
                <w:b/>
                <w:sz w:val="18"/>
              </w:rPr>
            </w:pPr>
            <w:r>
              <w:rPr>
                <w:rFonts w:hint="eastAsia" w:ascii="宋体" w:hAnsi="宋体" w:cs="宋体"/>
                <w:b/>
                <w:sz w:val="18"/>
              </w:rPr>
              <w:t>序号</w:t>
            </w:r>
          </w:p>
        </w:tc>
        <w:tc>
          <w:tcPr>
            <w:tcW w:w="1976" w:type="dxa"/>
            <w:tcMar>
              <w:left w:w="28" w:type="dxa"/>
              <w:right w:w="28" w:type="dxa"/>
            </w:tcMar>
            <w:vAlign w:val="center"/>
          </w:tcPr>
          <w:p w14:paraId="3C04E67A">
            <w:pPr>
              <w:spacing w:line="260" w:lineRule="exact"/>
              <w:jc w:val="center"/>
              <w:rPr>
                <w:rFonts w:ascii="宋体" w:hAnsi="宋体" w:cs="宋体"/>
                <w:b/>
                <w:sz w:val="18"/>
              </w:rPr>
            </w:pPr>
            <w:r>
              <w:rPr>
                <w:rFonts w:hint="eastAsia" w:ascii="宋体" w:hAnsi="宋体" w:cs="宋体"/>
                <w:b/>
                <w:sz w:val="18"/>
              </w:rPr>
              <w:t>评价内容</w:t>
            </w:r>
          </w:p>
        </w:tc>
        <w:tc>
          <w:tcPr>
            <w:tcW w:w="951" w:type="dxa"/>
            <w:tcMar>
              <w:left w:w="28" w:type="dxa"/>
              <w:right w:w="28" w:type="dxa"/>
            </w:tcMar>
            <w:vAlign w:val="center"/>
          </w:tcPr>
          <w:p w14:paraId="0F8363A5">
            <w:pPr>
              <w:spacing w:line="260" w:lineRule="exact"/>
              <w:jc w:val="center"/>
              <w:rPr>
                <w:rFonts w:ascii="宋体" w:hAnsi="宋体" w:cs="宋体"/>
                <w:b/>
                <w:sz w:val="18"/>
              </w:rPr>
            </w:pPr>
            <w:r>
              <w:rPr>
                <w:rFonts w:hint="eastAsia" w:ascii="宋体" w:hAnsi="宋体" w:cs="宋体"/>
                <w:b/>
                <w:sz w:val="18"/>
              </w:rPr>
              <w:t>标准分值</w:t>
            </w:r>
          </w:p>
        </w:tc>
        <w:tc>
          <w:tcPr>
            <w:tcW w:w="3348" w:type="dxa"/>
            <w:tcMar>
              <w:left w:w="28" w:type="dxa"/>
              <w:right w:w="28" w:type="dxa"/>
            </w:tcMar>
            <w:vAlign w:val="center"/>
          </w:tcPr>
          <w:p w14:paraId="2099F9CC">
            <w:pPr>
              <w:spacing w:line="260" w:lineRule="exact"/>
              <w:jc w:val="center"/>
              <w:rPr>
                <w:rFonts w:ascii="宋体" w:hAnsi="宋体" w:cs="宋体"/>
                <w:b/>
                <w:sz w:val="18"/>
              </w:rPr>
            </w:pPr>
            <w:r>
              <w:rPr>
                <w:rFonts w:hint="eastAsia" w:ascii="宋体" w:hAnsi="宋体" w:cs="宋体"/>
                <w:b/>
                <w:sz w:val="18"/>
              </w:rPr>
              <w:t>评价标准</w:t>
            </w:r>
          </w:p>
        </w:tc>
        <w:tc>
          <w:tcPr>
            <w:tcW w:w="3890" w:type="dxa"/>
            <w:tcMar>
              <w:left w:w="28" w:type="dxa"/>
              <w:right w:w="28" w:type="dxa"/>
            </w:tcMar>
            <w:vAlign w:val="center"/>
          </w:tcPr>
          <w:p w14:paraId="2E845BC4">
            <w:pPr>
              <w:spacing w:line="260" w:lineRule="exact"/>
              <w:jc w:val="center"/>
              <w:rPr>
                <w:rFonts w:ascii="宋体" w:hAnsi="宋体" w:cs="宋体"/>
                <w:b/>
                <w:sz w:val="18"/>
              </w:rPr>
            </w:pPr>
            <w:r>
              <w:rPr>
                <w:rFonts w:hint="eastAsia" w:ascii="宋体" w:hAnsi="宋体" w:cs="宋体"/>
                <w:b/>
                <w:sz w:val="18"/>
              </w:rPr>
              <w:t>扣分标准</w:t>
            </w:r>
          </w:p>
        </w:tc>
        <w:tc>
          <w:tcPr>
            <w:tcW w:w="1117" w:type="dxa"/>
            <w:tcBorders>
              <w:right w:val="single" w:color="auto" w:sz="4" w:space="0"/>
            </w:tcBorders>
            <w:tcMar>
              <w:left w:w="28" w:type="dxa"/>
              <w:right w:w="28" w:type="dxa"/>
            </w:tcMar>
            <w:vAlign w:val="center"/>
          </w:tcPr>
          <w:p w14:paraId="11A7656F">
            <w:pPr>
              <w:tabs>
                <w:tab w:val="left" w:pos="1127"/>
              </w:tabs>
              <w:spacing w:line="260" w:lineRule="exact"/>
              <w:jc w:val="center"/>
              <w:rPr>
                <w:rFonts w:ascii="宋体" w:hAnsi="宋体" w:cs="宋体"/>
                <w:b/>
                <w:sz w:val="18"/>
              </w:rPr>
            </w:pPr>
            <w:r>
              <w:rPr>
                <w:rFonts w:hint="eastAsia" w:ascii="宋体" w:hAnsi="宋体" w:cs="宋体"/>
                <w:b/>
                <w:sz w:val="18"/>
              </w:rPr>
              <w:t>检查得分</w:t>
            </w:r>
          </w:p>
        </w:tc>
        <w:tc>
          <w:tcPr>
            <w:tcW w:w="1020" w:type="dxa"/>
            <w:tcBorders>
              <w:left w:val="single" w:color="auto" w:sz="4" w:space="0"/>
            </w:tcBorders>
            <w:tcMar>
              <w:left w:w="28" w:type="dxa"/>
              <w:right w:w="28" w:type="dxa"/>
            </w:tcMar>
            <w:vAlign w:val="center"/>
          </w:tcPr>
          <w:p w14:paraId="66BBD205">
            <w:pPr>
              <w:tabs>
                <w:tab w:val="left" w:pos="1127"/>
              </w:tabs>
              <w:spacing w:line="260" w:lineRule="exact"/>
              <w:jc w:val="center"/>
              <w:rPr>
                <w:rFonts w:ascii="宋体" w:hAnsi="宋体" w:cs="宋体"/>
                <w:b/>
                <w:sz w:val="18"/>
              </w:rPr>
            </w:pPr>
            <w:r>
              <w:rPr>
                <w:rFonts w:hint="eastAsia" w:ascii="宋体" w:hAnsi="宋体" w:cs="宋体"/>
                <w:b/>
                <w:sz w:val="18"/>
              </w:rPr>
              <w:t>扣分说明</w:t>
            </w:r>
          </w:p>
        </w:tc>
      </w:tr>
      <w:tr w14:paraId="3088E1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55" w:hRule="atLeast"/>
          <w:jc w:val="center"/>
        </w:trPr>
        <w:tc>
          <w:tcPr>
            <w:tcW w:w="547" w:type="dxa"/>
            <w:shd w:val="clear" w:color="auto" w:fill="BFBFBF"/>
            <w:tcMar>
              <w:left w:w="28" w:type="dxa"/>
              <w:right w:w="28" w:type="dxa"/>
            </w:tcMar>
            <w:vAlign w:val="center"/>
          </w:tcPr>
          <w:p w14:paraId="087110FE">
            <w:pPr>
              <w:spacing w:line="260" w:lineRule="exact"/>
              <w:jc w:val="center"/>
              <w:rPr>
                <w:rFonts w:ascii="宋体" w:hAnsi="宋体" w:cs="宋体"/>
                <w:b/>
                <w:sz w:val="18"/>
              </w:rPr>
            </w:pPr>
            <w:r>
              <w:rPr>
                <w:rFonts w:hint="eastAsia" w:ascii="宋体" w:hAnsi="宋体" w:cs="宋体"/>
                <w:b/>
                <w:sz w:val="18"/>
              </w:rPr>
              <w:t>1</w:t>
            </w:r>
          </w:p>
        </w:tc>
        <w:tc>
          <w:tcPr>
            <w:tcW w:w="12302" w:type="dxa"/>
            <w:gridSpan w:val="6"/>
            <w:shd w:val="clear" w:color="auto" w:fill="BFBFBF"/>
            <w:tcMar>
              <w:left w:w="28" w:type="dxa"/>
              <w:right w:w="28" w:type="dxa"/>
            </w:tcMar>
            <w:vAlign w:val="center"/>
          </w:tcPr>
          <w:p w14:paraId="2A7249D7">
            <w:pPr>
              <w:spacing w:line="260" w:lineRule="exact"/>
              <w:rPr>
                <w:rFonts w:ascii="宋体" w:hAnsi="宋体" w:cs="宋体"/>
                <w:sz w:val="18"/>
              </w:rPr>
            </w:pPr>
            <w:r>
              <w:rPr>
                <w:rFonts w:hint="eastAsia" w:ascii="宋体" w:hAnsi="宋体" w:cs="宋体"/>
                <w:b/>
                <w:sz w:val="18"/>
              </w:rPr>
              <w:t>项目部配置（5分）</w:t>
            </w:r>
          </w:p>
        </w:tc>
      </w:tr>
      <w:tr w14:paraId="362825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70F1E02C">
            <w:pPr>
              <w:spacing w:line="260" w:lineRule="exact"/>
              <w:jc w:val="center"/>
              <w:rPr>
                <w:rFonts w:ascii="宋体" w:hAnsi="宋体" w:cs="宋体"/>
                <w:b/>
                <w:bCs/>
                <w:sz w:val="18"/>
              </w:rPr>
            </w:pPr>
            <w:r>
              <w:rPr>
                <w:rFonts w:hint="eastAsia" w:ascii="宋体" w:hAnsi="宋体" w:cs="宋体"/>
                <w:b/>
                <w:bCs/>
                <w:sz w:val="18"/>
              </w:rPr>
              <w:t>1.1</w:t>
            </w:r>
          </w:p>
        </w:tc>
        <w:tc>
          <w:tcPr>
            <w:tcW w:w="1976" w:type="dxa"/>
            <w:vMerge w:val="restart"/>
            <w:tcMar>
              <w:left w:w="28" w:type="dxa"/>
              <w:right w:w="28" w:type="dxa"/>
            </w:tcMar>
            <w:vAlign w:val="center"/>
          </w:tcPr>
          <w:p w14:paraId="50CBCFFF">
            <w:pPr>
              <w:spacing w:line="260" w:lineRule="exact"/>
              <w:rPr>
                <w:rFonts w:ascii="宋体" w:hAnsi="宋体" w:cs="宋体"/>
                <w:b/>
                <w:bCs/>
                <w:sz w:val="18"/>
              </w:rPr>
            </w:pPr>
            <w:r>
              <w:rPr>
                <w:rFonts w:hint="eastAsia" w:ascii="宋体" w:hAnsi="宋体" w:cs="宋体"/>
                <w:b/>
                <w:bCs/>
                <w:sz w:val="18"/>
              </w:rPr>
              <w:t>项目部人员配置</w:t>
            </w:r>
          </w:p>
        </w:tc>
        <w:tc>
          <w:tcPr>
            <w:tcW w:w="951" w:type="dxa"/>
            <w:tcMar>
              <w:left w:w="28" w:type="dxa"/>
              <w:right w:w="28" w:type="dxa"/>
            </w:tcMar>
            <w:vAlign w:val="center"/>
          </w:tcPr>
          <w:p w14:paraId="4D98BC2E">
            <w:pPr>
              <w:spacing w:line="260" w:lineRule="exact"/>
              <w:jc w:val="center"/>
              <w:rPr>
                <w:rFonts w:ascii="宋体" w:hAnsi="宋体" w:cs="宋体"/>
                <w:sz w:val="18"/>
              </w:rPr>
            </w:pPr>
            <w:r>
              <w:rPr>
                <w:rFonts w:hint="eastAsia" w:ascii="宋体" w:hAnsi="宋体" w:cs="宋体"/>
                <w:sz w:val="18"/>
              </w:rPr>
              <w:t>3</w:t>
            </w:r>
          </w:p>
        </w:tc>
        <w:tc>
          <w:tcPr>
            <w:tcW w:w="3348" w:type="dxa"/>
            <w:tcMar>
              <w:left w:w="28" w:type="dxa"/>
              <w:right w:w="28" w:type="dxa"/>
            </w:tcMar>
            <w:vAlign w:val="center"/>
          </w:tcPr>
          <w:p w14:paraId="133BE89B">
            <w:pPr>
              <w:spacing w:line="260" w:lineRule="exact"/>
              <w:rPr>
                <w:rFonts w:ascii="宋体" w:hAnsi="宋体" w:cs="宋体"/>
                <w:sz w:val="18"/>
              </w:rPr>
            </w:pPr>
            <w:r>
              <w:rPr>
                <w:rFonts w:hint="eastAsia" w:ascii="宋体" w:hAnsi="宋体" w:cs="宋体"/>
                <w:sz w:val="18"/>
              </w:rPr>
              <w:t>项目部组建和管理人员任职资格符合</w:t>
            </w:r>
            <w:r>
              <w:rPr>
                <w:rFonts w:hint="eastAsia" w:ascii="宋体" w:hAnsi="宋体" w:cs="宋体"/>
                <w:sz w:val="18"/>
                <w:szCs w:val="18"/>
              </w:rPr>
              <w:t>国网公司及合同文件</w:t>
            </w:r>
            <w:r>
              <w:rPr>
                <w:rFonts w:hint="eastAsia"/>
                <w:color w:val="000000"/>
                <w:sz w:val="18"/>
                <w:szCs w:val="18"/>
              </w:rPr>
              <w:t>要求，管理人员任职资格符合要求并持证上岗，主要管理人员与合同约定一致。项目部关键人员在岗在位天数与合同约定一致。（3分）</w:t>
            </w:r>
          </w:p>
        </w:tc>
        <w:tc>
          <w:tcPr>
            <w:tcW w:w="3890" w:type="dxa"/>
            <w:tcMar>
              <w:left w:w="28" w:type="dxa"/>
              <w:right w:w="28" w:type="dxa"/>
            </w:tcMar>
            <w:vAlign w:val="center"/>
          </w:tcPr>
          <w:p w14:paraId="113F8394">
            <w:pPr>
              <w:spacing w:line="260" w:lineRule="exact"/>
              <w:rPr>
                <w:color w:val="000000"/>
                <w:sz w:val="18"/>
                <w:szCs w:val="18"/>
              </w:rPr>
            </w:pPr>
            <w:r>
              <w:rPr>
                <w:rFonts w:hint="eastAsia"/>
                <w:color w:val="000000"/>
                <w:sz w:val="18"/>
                <w:szCs w:val="18"/>
              </w:rPr>
              <w:t>（1）无任命文件或未按要求报备，扣1分；</w:t>
            </w:r>
          </w:p>
          <w:p w14:paraId="476C54E1">
            <w:pPr>
              <w:spacing w:line="260" w:lineRule="exact"/>
              <w:rPr>
                <w:rFonts w:ascii="宋体" w:hAnsi="宋体" w:cs="宋体"/>
                <w:sz w:val="18"/>
                <w:szCs w:val="18"/>
              </w:rPr>
            </w:pPr>
            <w:r>
              <w:rPr>
                <w:rFonts w:hint="eastAsia"/>
                <w:color w:val="000000"/>
                <w:sz w:val="18"/>
                <w:szCs w:val="18"/>
              </w:rPr>
              <w:t>（2）</w:t>
            </w:r>
            <w:r>
              <w:rPr>
                <w:rFonts w:hint="eastAsia" w:ascii="宋体" w:hAnsi="宋体" w:cs="宋体"/>
                <w:sz w:val="18"/>
                <w:szCs w:val="18"/>
              </w:rPr>
              <w:t>项目部管理人员与合同约定不一致，每人扣0.5分；项目经理或副经理、安全总监、项目总工等主要管理人员与合同约定不一致，每人扣2分（经业主批准同意并履行相应手续的，不扣分）；</w:t>
            </w:r>
          </w:p>
          <w:p w14:paraId="42C456AF">
            <w:pPr>
              <w:spacing w:line="260" w:lineRule="exact"/>
              <w:rPr>
                <w:color w:val="000000"/>
                <w:sz w:val="18"/>
                <w:szCs w:val="18"/>
              </w:rPr>
            </w:pPr>
            <w:r>
              <w:rPr>
                <w:rFonts w:hint="eastAsia"/>
                <w:color w:val="000000"/>
                <w:sz w:val="18"/>
                <w:szCs w:val="18"/>
              </w:rPr>
              <w:t>（3）人员配备数量不满足要求，每缺一人扣0.5分；其他主要管理人员任职资格不符合要求每人扣0.5分；</w:t>
            </w:r>
          </w:p>
          <w:p w14:paraId="337D5A5A">
            <w:pPr>
              <w:spacing w:line="260" w:lineRule="exact"/>
              <w:rPr>
                <w:color w:val="000000"/>
                <w:sz w:val="18"/>
                <w:szCs w:val="18"/>
              </w:rPr>
            </w:pPr>
            <w:r>
              <w:rPr>
                <w:rFonts w:hint="eastAsia"/>
                <w:color w:val="000000"/>
                <w:sz w:val="18"/>
                <w:szCs w:val="18"/>
              </w:rPr>
              <w:t>（4）无法定代表人授权书和质量终身承诺书，扣1分；</w:t>
            </w:r>
          </w:p>
          <w:p w14:paraId="7AF27B85">
            <w:pPr>
              <w:tabs>
                <w:tab w:val="center" w:pos="4153"/>
                <w:tab w:val="right" w:pos="8306"/>
              </w:tabs>
              <w:spacing w:line="260" w:lineRule="exact"/>
              <w:rPr>
                <w:color w:val="000000"/>
                <w:sz w:val="18"/>
                <w:szCs w:val="18"/>
              </w:rPr>
            </w:pPr>
            <w:r>
              <w:rPr>
                <w:rFonts w:hint="eastAsia"/>
                <w:color w:val="000000"/>
                <w:sz w:val="18"/>
                <w:szCs w:val="18"/>
              </w:rPr>
              <w:t>（5）每月现场施工项目部人员未满足要求，扣1分。</w:t>
            </w:r>
          </w:p>
          <w:p w14:paraId="43F70B5E">
            <w:pPr>
              <w:tabs>
                <w:tab w:val="center" w:pos="4153"/>
                <w:tab w:val="right" w:pos="8306"/>
              </w:tabs>
              <w:spacing w:line="260" w:lineRule="exact"/>
              <w:rPr>
                <w:rFonts w:ascii="宋体" w:hAnsi="宋体" w:cs="宋体"/>
              </w:rPr>
            </w:pPr>
            <w:r>
              <w:rPr>
                <w:rFonts w:hint="eastAsia"/>
                <w:color w:val="000000"/>
                <w:sz w:val="18"/>
                <w:szCs w:val="18"/>
              </w:rPr>
              <w:t>（6）在岗少于合同约定天数，每人扣0.5分/天（经业主批准同意并履行相应手续，不扣分）</w:t>
            </w:r>
          </w:p>
        </w:tc>
        <w:tc>
          <w:tcPr>
            <w:tcW w:w="1117" w:type="dxa"/>
            <w:tcMar>
              <w:left w:w="28" w:type="dxa"/>
              <w:right w:w="28" w:type="dxa"/>
            </w:tcMar>
            <w:vAlign w:val="center"/>
          </w:tcPr>
          <w:p w14:paraId="29E335DC">
            <w:pPr>
              <w:spacing w:line="260" w:lineRule="exact"/>
              <w:rPr>
                <w:rFonts w:ascii="宋体" w:hAnsi="宋体" w:cs="宋体"/>
                <w:sz w:val="18"/>
              </w:rPr>
            </w:pPr>
          </w:p>
        </w:tc>
        <w:tc>
          <w:tcPr>
            <w:tcW w:w="1020" w:type="dxa"/>
            <w:tcMar>
              <w:left w:w="28" w:type="dxa"/>
              <w:right w:w="28" w:type="dxa"/>
            </w:tcMar>
            <w:vAlign w:val="center"/>
          </w:tcPr>
          <w:p w14:paraId="02B0144D">
            <w:pPr>
              <w:spacing w:line="260" w:lineRule="exact"/>
              <w:rPr>
                <w:rFonts w:ascii="宋体" w:hAnsi="宋体" w:cs="宋体"/>
                <w:sz w:val="18"/>
              </w:rPr>
            </w:pPr>
          </w:p>
        </w:tc>
      </w:tr>
      <w:tr w14:paraId="4B03F7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01A01653">
            <w:pPr>
              <w:spacing w:line="260" w:lineRule="exact"/>
              <w:jc w:val="center"/>
              <w:rPr>
                <w:rFonts w:ascii="宋体" w:hAnsi="宋体" w:cs="宋体"/>
                <w:b/>
                <w:bCs/>
                <w:sz w:val="18"/>
              </w:rPr>
            </w:pPr>
            <w:r>
              <w:rPr>
                <w:rFonts w:hint="eastAsia" w:ascii="宋体" w:hAnsi="宋体" w:cs="宋体"/>
                <w:b/>
                <w:bCs/>
                <w:sz w:val="18"/>
              </w:rPr>
              <w:t>1.2</w:t>
            </w:r>
          </w:p>
        </w:tc>
        <w:tc>
          <w:tcPr>
            <w:tcW w:w="1976"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2F8AF9B0">
            <w:pPr>
              <w:spacing w:line="260" w:lineRule="exact"/>
              <w:rPr>
                <w:rFonts w:ascii="宋体" w:hAnsi="宋体" w:cs="宋体"/>
                <w:b/>
                <w:bCs/>
                <w:sz w:val="18"/>
              </w:rPr>
            </w:pPr>
            <w:r>
              <w:rPr>
                <w:rFonts w:hint="eastAsia" w:ascii="宋体" w:hAnsi="宋体" w:cs="宋体"/>
                <w:b/>
                <w:bCs/>
                <w:sz w:val="18"/>
              </w:rPr>
              <w:t>项目部资源配置</w:t>
            </w:r>
          </w:p>
        </w:tc>
        <w:tc>
          <w:tcPr>
            <w:tcW w:w="951" w:type="dxa"/>
            <w:tcMar>
              <w:left w:w="28" w:type="dxa"/>
              <w:right w:w="28" w:type="dxa"/>
            </w:tcMar>
            <w:vAlign w:val="center"/>
          </w:tcPr>
          <w:p w14:paraId="4F1288B5">
            <w:pPr>
              <w:spacing w:line="260" w:lineRule="exact"/>
              <w:jc w:val="center"/>
              <w:rPr>
                <w:rFonts w:ascii="宋体" w:hAnsi="宋体" w:cs="宋体"/>
                <w:sz w:val="18"/>
              </w:rPr>
            </w:pPr>
            <w:r>
              <w:rPr>
                <w:rFonts w:hint="eastAsia" w:ascii="宋体" w:hAnsi="宋体" w:cs="宋体"/>
                <w:sz w:val="18"/>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6B358AA6">
            <w:pPr>
              <w:spacing w:line="260" w:lineRule="exact"/>
              <w:rPr>
                <w:rFonts w:ascii="宋体" w:hAnsi="宋体" w:cs="宋体"/>
                <w:sz w:val="18"/>
              </w:rPr>
            </w:pPr>
            <w:r>
              <w:rPr>
                <w:rFonts w:hint="eastAsia" w:ascii="宋体" w:hAnsi="宋体" w:cs="宋体"/>
                <w:sz w:val="18"/>
              </w:rPr>
              <w:t>施工项目部办公设施、交通工具、主要施工工器具、规程规范和标准的配备满足要求；生产临建选址合理，办公及生活设施配备满足需要。（2分）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39CD9C74">
            <w:pPr>
              <w:spacing w:line="260" w:lineRule="exact"/>
              <w:rPr>
                <w:rFonts w:ascii="宋体" w:hAnsi="宋体" w:cs="宋体"/>
                <w:sz w:val="18"/>
              </w:rPr>
            </w:pPr>
            <w:r>
              <w:rPr>
                <w:rFonts w:hint="eastAsia" w:ascii="宋体" w:hAnsi="宋体" w:cs="宋体"/>
                <w:sz w:val="18"/>
              </w:rPr>
              <w:t>（1）生产临建未按业主整体策划实施，扣1分；</w:t>
            </w:r>
          </w:p>
          <w:p w14:paraId="05F21EDF">
            <w:pPr>
              <w:spacing w:line="260" w:lineRule="exact"/>
              <w:rPr>
                <w:rFonts w:ascii="宋体" w:hAnsi="宋体" w:cs="宋体"/>
                <w:sz w:val="18"/>
              </w:rPr>
            </w:pPr>
            <w:r>
              <w:rPr>
                <w:rFonts w:hint="eastAsia" w:ascii="宋体" w:hAnsi="宋体" w:cs="宋体"/>
                <w:sz w:val="18"/>
              </w:rPr>
              <w:t>（2）办公及生活临建不符合安全文明施工标准要求，每处扣0.5分；工器具配置不符合合同约定或实际施工需求，每项扣0.5分。</w:t>
            </w:r>
          </w:p>
        </w:tc>
        <w:tc>
          <w:tcPr>
            <w:tcW w:w="1117" w:type="dxa"/>
            <w:tcMar>
              <w:left w:w="28" w:type="dxa"/>
              <w:right w:w="28" w:type="dxa"/>
            </w:tcMar>
            <w:vAlign w:val="center"/>
          </w:tcPr>
          <w:p w14:paraId="65EFA584">
            <w:pPr>
              <w:spacing w:line="260" w:lineRule="exact"/>
              <w:rPr>
                <w:rFonts w:ascii="宋体" w:hAnsi="宋体" w:cs="宋体"/>
                <w:sz w:val="18"/>
              </w:rPr>
            </w:pPr>
          </w:p>
        </w:tc>
        <w:tc>
          <w:tcPr>
            <w:tcW w:w="1020" w:type="dxa"/>
            <w:tcMar>
              <w:left w:w="28" w:type="dxa"/>
              <w:right w:w="28" w:type="dxa"/>
            </w:tcMar>
            <w:vAlign w:val="center"/>
          </w:tcPr>
          <w:p w14:paraId="2A5A5841">
            <w:pPr>
              <w:spacing w:line="260" w:lineRule="exact"/>
              <w:rPr>
                <w:rFonts w:ascii="宋体" w:hAnsi="宋体" w:cs="宋体"/>
                <w:sz w:val="18"/>
              </w:rPr>
            </w:pPr>
          </w:p>
        </w:tc>
      </w:tr>
      <w:tr w14:paraId="31B4BD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05" w:hRule="atLeast"/>
          <w:jc w:val="center"/>
        </w:trPr>
        <w:tc>
          <w:tcPr>
            <w:tcW w:w="547" w:type="dxa"/>
            <w:shd w:val="clear" w:color="auto" w:fill="BFBFBF"/>
            <w:tcMar>
              <w:left w:w="28" w:type="dxa"/>
              <w:right w:w="28" w:type="dxa"/>
            </w:tcMar>
            <w:vAlign w:val="center"/>
          </w:tcPr>
          <w:p w14:paraId="5CE6F497">
            <w:pPr>
              <w:spacing w:line="260" w:lineRule="exact"/>
              <w:jc w:val="center"/>
              <w:rPr>
                <w:rFonts w:ascii="宋体" w:hAnsi="宋体" w:cs="宋体"/>
                <w:b/>
                <w:sz w:val="18"/>
              </w:rPr>
            </w:pPr>
            <w:r>
              <w:rPr>
                <w:rFonts w:hint="eastAsia" w:ascii="宋体" w:hAnsi="宋体" w:cs="宋体"/>
                <w:b/>
                <w:sz w:val="18"/>
              </w:rPr>
              <w:t>2</w:t>
            </w:r>
          </w:p>
        </w:tc>
        <w:tc>
          <w:tcPr>
            <w:tcW w:w="12302" w:type="dxa"/>
            <w:gridSpan w:val="6"/>
            <w:shd w:val="clear" w:color="auto" w:fill="BFBFBF"/>
            <w:tcMar>
              <w:left w:w="28" w:type="dxa"/>
              <w:right w:w="28" w:type="dxa"/>
            </w:tcMar>
            <w:vAlign w:val="center"/>
          </w:tcPr>
          <w:p w14:paraId="2BB41413">
            <w:pPr>
              <w:spacing w:line="260" w:lineRule="exact"/>
              <w:rPr>
                <w:rFonts w:ascii="宋体" w:hAnsi="宋体" w:cs="宋体"/>
                <w:sz w:val="18"/>
              </w:rPr>
            </w:pPr>
            <w:r>
              <w:rPr>
                <w:rFonts w:hint="eastAsia" w:ascii="宋体" w:hAnsi="宋体" w:cs="宋体"/>
                <w:b/>
                <w:sz w:val="18"/>
              </w:rPr>
              <w:t>策划管理（2分）</w:t>
            </w:r>
          </w:p>
        </w:tc>
      </w:tr>
      <w:tr w14:paraId="48159F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7D8DB38E">
            <w:pPr>
              <w:spacing w:line="260" w:lineRule="exact"/>
              <w:jc w:val="center"/>
              <w:rPr>
                <w:rFonts w:ascii="宋体" w:hAnsi="宋体" w:cs="宋体"/>
                <w:b/>
                <w:bCs/>
                <w:sz w:val="18"/>
              </w:rPr>
            </w:pPr>
            <w:r>
              <w:rPr>
                <w:rFonts w:hint="eastAsia" w:ascii="宋体" w:hAnsi="宋体" w:cs="宋体"/>
                <w:b/>
                <w:bCs/>
                <w:sz w:val="18"/>
              </w:rPr>
              <w:t>2.1</w:t>
            </w:r>
          </w:p>
        </w:tc>
        <w:tc>
          <w:tcPr>
            <w:tcW w:w="1976" w:type="dxa"/>
            <w:tcMar>
              <w:left w:w="28" w:type="dxa"/>
              <w:right w:w="28" w:type="dxa"/>
            </w:tcMar>
            <w:vAlign w:val="center"/>
          </w:tcPr>
          <w:p w14:paraId="632FE088">
            <w:pPr>
              <w:spacing w:line="260" w:lineRule="exact"/>
              <w:rPr>
                <w:rFonts w:ascii="宋体" w:hAnsi="宋体" w:cs="宋体"/>
                <w:b/>
                <w:bCs/>
                <w:sz w:val="18"/>
              </w:rPr>
            </w:pPr>
            <w:r>
              <w:rPr>
                <w:rFonts w:hint="eastAsia" w:ascii="宋体" w:hAnsi="宋体" w:cs="宋体"/>
                <w:b/>
                <w:bCs/>
                <w:sz w:val="18"/>
              </w:rPr>
              <w:t>策划管理</w:t>
            </w:r>
          </w:p>
        </w:tc>
        <w:tc>
          <w:tcPr>
            <w:tcW w:w="951" w:type="dxa"/>
            <w:tcMar>
              <w:left w:w="28" w:type="dxa"/>
              <w:right w:w="28" w:type="dxa"/>
            </w:tcMar>
            <w:vAlign w:val="center"/>
          </w:tcPr>
          <w:p w14:paraId="0FEB3D3B">
            <w:pPr>
              <w:spacing w:line="260" w:lineRule="exact"/>
              <w:jc w:val="center"/>
              <w:rPr>
                <w:rFonts w:ascii="宋体" w:hAnsi="宋体" w:cs="宋体"/>
                <w:sz w:val="18"/>
              </w:rPr>
            </w:pPr>
            <w:r>
              <w:rPr>
                <w:rFonts w:hint="eastAsia" w:ascii="宋体" w:hAnsi="宋体" w:cs="宋体"/>
                <w:sz w:val="18"/>
              </w:rPr>
              <w:t>2</w:t>
            </w:r>
          </w:p>
        </w:tc>
        <w:tc>
          <w:tcPr>
            <w:tcW w:w="3348" w:type="dxa"/>
            <w:tcMar>
              <w:left w:w="28" w:type="dxa"/>
              <w:right w:w="28" w:type="dxa"/>
            </w:tcMar>
            <w:vAlign w:val="center"/>
          </w:tcPr>
          <w:p w14:paraId="0CB4E20E">
            <w:pPr>
              <w:spacing w:line="260" w:lineRule="exact"/>
              <w:rPr>
                <w:rFonts w:ascii="宋体" w:hAnsi="宋体" w:cs="宋体"/>
                <w:sz w:val="18"/>
              </w:rPr>
            </w:pPr>
            <w:r>
              <w:rPr>
                <w:rFonts w:hint="eastAsia" w:ascii="宋体" w:hAnsi="宋体" w:cs="宋体"/>
                <w:sz w:val="18"/>
              </w:rPr>
              <w:t>项目管理实施规划、强制性条文执行计划、施工安全管理及风险控制方案、施工质量通病防治措施、工程项目档案资料过程管控方案等策划文件。策划文件与实际实施一致，建设条件变化时及时修编，工程项目档案资料过程管控方案编制。（2分）</w:t>
            </w:r>
          </w:p>
        </w:tc>
        <w:tc>
          <w:tcPr>
            <w:tcW w:w="3890" w:type="dxa"/>
            <w:tcMar>
              <w:left w:w="28" w:type="dxa"/>
              <w:right w:w="28" w:type="dxa"/>
            </w:tcMar>
            <w:vAlign w:val="center"/>
          </w:tcPr>
          <w:p w14:paraId="472ABEAC">
            <w:pPr>
              <w:spacing w:line="260" w:lineRule="exact"/>
              <w:rPr>
                <w:rFonts w:ascii="宋体" w:hAnsi="宋体" w:cs="宋体"/>
                <w:sz w:val="18"/>
              </w:rPr>
            </w:pPr>
            <w:r>
              <w:rPr>
                <w:rFonts w:hint="eastAsia" w:ascii="宋体" w:hAnsi="宋体" w:cs="宋体"/>
                <w:sz w:val="18"/>
              </w:rPr>
              <w:t>（1）每缺少一项扣0.5分；</w:t>
            </w:r>
          </w:p>
          <w:p w14:paraId="12A7CC7D">
            <w:pPr>
              <w:spacing w:line="260" w:lineRule="exact"/>
              <w:rPr>
                <w:rFonts w:ascii="宋体" w:hAnsi="宋体" w:cs="宋体"/>
                <w:sz w:val="18"/>
              </w:rPr>
            </w:pPr>
            <w:r>
              <w:rPr>
                <w:rFonts w:hint="eastAsia" w:ascii="宋体" w:hAnsi="宋体" w:cs="宋体"/>
                <w:sz w:val="18"/>
              </w:rPr>
              <w:t>（2）存在内容不全面、不符合要求、方案未结合工程实际、引用过期文件，报审不及时、编审批不符合要求等不规范现象，每项扣0.5分；</w:t>
            </w:r>
          </w:p>
          <w:p w14:paraId="4287F14F">
            <w:pPr>
              <w:spacing w:line="260" w:lineRule="exact"/>
              <w:rPr>
                <w:rFonts w:ascii="宋体" w:hAnsi="宋体" w:cs="宋体"/>
                <w:sz w:val="18"/>
              </w:rPr>
            </w:pPr>
            <w:r>
              <w:rPr>
                <w:rFonts w:hint="eastAsia" w:ascii="宋体" w:hAnsi="宋体" w:cs="宋体"/>
                <w:sz w:val="18"/>
              </w:rPr>
              <w:t>（3）修编不及时，每项扣0.5分；</w:t>
            </w:r>
          </w:p>
          <w:p w14:paraId="67BC3799">
            <w:pPr>
              <w:spacing w:line="260" w:lineRule="exact"/>
              <w:rPr>
                <w:rFonts w:ascii="宋体" w:hAnsi="宋体" w:cs="宋体"/>
                <w:sz w:val="18"/>
              </w:rPr>
            </w:pPr>
            <w:r>
              <w:rPr>
                <w:rFonts w:hint="eastAsia" w:ascii="宋体" w:hAnsi="宋体" w:cs="宋体"/>
                <w:sz w:val="18"/>
              </w:rPr>
              <w:t>（4）批准后的策划文件关键内容与实际实施存在明显差异，每项扣2分。</w:t>
            </w:r>
          </w:p>
        </w:tc>
        <w:tc>
          <w:tcPr>
            <w:tcW w:w="1117" w:type="dxa"/>
            <w:tcMar>
              <w:left w:w="28" w:type="dxa"/>
              <w:right w:w="28" w:type="dxa"/>
            </w:tcMar>
            <w:vAlign w:val="center"/>
          </w:tcPr>
          <w:p w14:paraId="0756C291">
            <w:pPr>
              <w:spacing w:line="260" w:lineRule="exact"/>
              <w:rPr>
                <w:rFonts w:ascii="宋体" w:hAnsi="宋体" w:cs="宋体"/>
                <w:sz w:val="18"/>
              </w:rPr>
            </w:pPr>
          </w:p>
        </w:tc>
        <w:tc>
          <w:tcPr>
            <w:tcW w:w="1020" w:type="dxa"/>
            <w:tcMar>
              <w:left w:w="28" w:type="dxa"/>
              <w:right w:w="28" w:type="dxa"/>
            </w:tcMar>
            <w:vAlign w:val="center"/>
          </w:tcPr>
          <w:p w14:paraId="700C6733">
            <w:pPr>
              <w:spacing w:line="260" w:lineRule="exact"/>
              <w:rPr>
                <w:rFonts w:ascii="宋体" w:hAnsi="宋体" w:cs="宋体"/>
                <w:sz w:val="18"/>
              </w:rPr>
            </w:pPr>
          </w:p>
        </w:tc>
      </w:tr>
      <w:tr w14:paraId="2BAE96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15" w:hRule="atLeast"/>
          <w:jc w:val="center"/>
        </w:trPr>
        <w:tc>
          <w:tcPr>
            <w:tcW w:w="547" w:type="dxa"/>
            <w:shd w:val="clear" w:color="auto" w:fill="BFBFBF"/>
            <w:tcMar>
              <w:left w:w="28" w:type="dxa"/>
              <w:right w:w="28" w:type="dxa"/>
            </w:tcMar>
            <w:vAlign w:val="center"/>
          </w:tcPr>
          <w:p w14:paraId="5DA4A6F9">
            <w:pPr>
              <w:spacing w:line="260" w:lineRule="exact"/>
              <w:jc w:val="center"/>
              <w:rPr>
                <w:rFonts w:ascii="宋体" w:hAnsi="宋体" w:cs="宋体"/>
                <w:b/>
                <w:sz w:val="18"/>
              </w:rPr>
            </w:pPr>
            <w:r>
              <w:rPr>
                <w:rFonts w:hint="eastAsia" w:ascii="宋体" w:hAnsi="宋体" w:cs="宋体"/>
                <w:b/>
                <w:sz w:val="18"/>
              </w:rPr>
              <w:t>3</w:t>
            </w:r>
          </w:p>
        </w:tc>
        <w:tc>
          <w:tcPr>
            <w:tcW w:w="12302" w:type="dxa"/>
            <w:gridSpan w:val="6"/>
            <w:shd w:val="clear" w:color="auto" w:fill="BFBFBF"/>
            <w:tcMar>
              <w:left w:w="28" w:type="dxa"/>
              <w:right w:w="28" w:type="dxa"/>
            </w:tcMar>
            <w:vAlign w:val="center"/>
          </w:tcPr>
          <w:p w14:paraId="25C203AA">
            <w:pPr>
              <w:spacing w:line="260" w:lineRule="exact"/>
              <w:rPr>
                <w:rFonts w:ascii="宋体" w:hAnsi="宋体" w:cs="宋体"/>
                <w:sz w:val="18"/>
              </w:rPr>
            </w:pPr>
            <w:r>
              <w:rPr>
                <w:rFonts w:hint="eastAsia" w:ascii="宋体" w:hAnsi="宋体" w:cs="宋体"/>
                <w:b/>
                <w:sz w:val="18"/>
              </w:rPr>
              <w:t>项目管理（15分）</w:t>
            </w:r>
          </w:p>
        </w:tc>
      </w:tr>
      <w:tr w14:paraId="7CAFA9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41399827">
            <w:pPr>
              <w:spacing w:line="260" w:lineRule="exact"/>
              <w:jc w:val="center"/>
              <w:rPr>
                <w:rFonts w:ascii="宋体" w:hAnsi="宋体" w:cs="宋体"/>
                <w:sz w:val="18"/>
              </w:rPr>
            </w:pPr>
            <w:r>
              <w:rPr>
                <w:rFonts w:hint="eastAsia" w:ascii="宋体" w:hAnsi="宋体" w:cs="宋体"/>
                <w:b/>
                <w:bCs/>
                <w:sz w:val="18"/>
              </w:rPr>
              <w:t>3.1</w:t>
            </w:r>
          </w:p>
        </w:tc>
        <w:tc>
          <w:tcPr>
            <w:tcW w:w="1976" w:type="dxa"/>
            <w:tcMar>
              <w:left w:w="28" w:type="dxa"/>
              <w:right w:w="28" w:type="dxa"/>
            </w:tcMar>
            <w:vAlign w:val="center"/>
          </w:tcPr>
          <w:p w14:paraId="1DDD6025">
            <w:pPr>
              <w:spacing w:line="260" w:lineRule="exact"/>
              <w:rPr>
                <w:rFonts w:ascii="宋体" w:hAnsi="宋体" w:cs="宋体"/>
                <w:b/>
                <w:sz w:val="18"/>
              </w:rPr>
            </w:pPr>
            <w:r>
              <w:rPr>
                <w:rFonts w:hint="eastAsia" w:ascii="宋体" w:hAnsi="宋体" w:cs="宋体"/>
                <w:b/>
                <w:bCs/>
                <w:sz w:val="18"/>
              </w:rPr>
              <w:t>策划管理</w:t>
            </w:r>
          </w:p>
        </w:tc>
        <w:tc>
          <w:tcPr>
            <w:tcW w:w="951" w:type="dxa"/>
            <w:tcMar>
              <w:left w:w="28" w:type="dxa"/>
              <w:right w:w="28" w:type="dxa"/>
            </w:tcMar>
            <w:vAlign w:val="center"/>
          </w:tcPr>
          <w:p w14:paraId="12E2086E">
            <w:pPr>
              <w:spacing w:line="260" w:lineRule="exact"/>
              <w:jc w:val="center"/>
              <w:rPr>
                <w:rFonts w:ascii="宋体" w:hAnsi="宋体" w:cs="宋体"/>
                <w:sz w:val="18"/>
              </w:rPr>
            </w:pPr>
            <w:r>
              <w:rPr>
                <w:rFonts w:hint="eastAsia" w:ascii="宋体" w:hAnsi="宋体" w:cs="宋体"/>
                <w:sz w:val="18"/>
              </w:rPr>
              <w:t>2</w:t>
            </w:r>
          </w:p>
        </w:tc>
        <w:tc>
          <w:tcPr>
            <w:tcW w:w="3348" w:type="dxa"/>
            <w:tcMar>
              <w:left w:w="28" w:type="dxa"/>
              <w:right w:w="28" w:type="dxa"/>
            </w:tcMar>
            <w:vAlign w:val="center"/>
          </w:tcPr>
          <w:p w14:paraId="67590C7E">
            <w:pPr>
              <w:spacing w:line="260" w:lineRule="exact"/>
              <w:rPr>
                <w:rFonts w:ascii="宋体" w:hAnsi="宋体" w:cs="宋体"/>
                <w:sz w:val="18"/>
              </w:rPr>
            </w:pPr>
            <w:r>
              <w:rPr>
                <w:rFonts w:hint="eastAsia" w:ascii="宋体" w:hAnsi="宋体" w:cs="宋体"/>
                <w:sz w:val="18"/>
              </w:rPr>
              <w:t>项目管理实施规划、强制性条文执行计划、施工安全管理及风险控制方案、施工质量通病防治措施、工程项目档案资料过程管控方案等策划文件。策划文件与实际实施一致，建设条件变化时及时修编，工程项目档案资料过程管控方案编制。（2分）</w:t>
            </w:r>
          </w:p>
        </w:tc>
        <w:tc>
          <w:tcPr>
            <w:tcW w:w="3890" w:type="dxa"/>
            <w:tcMar>
              <w:left w:w="28" w:type="dxa"/>
              <w:right w:w="28" w:type="dxa"/>
            </w:tcMar>
            <w:vAlign w:val="center"/>
          </w:tcPr>
          <w:p w14:paraId="1110AB7F">
            <w:pPr>
              <w:spacing w:line="260" w:lineRule="exact"/>
              <w:rPr>
                <w:rFonts w:ascii="宋体" w:hAnsi="宋体" w:cs="宋体"/>
                <w:sz w:val="18"/>
              </w:rPr>
            </w:pPr>
            <w:r>
              <w:rPr>
                <w:rFonts w:hint="eastAsia" w:ascii="宋体" w:hAnsi="宋体" w:cs="宋体"/>
                <w:sz w:val="18"/>
              </w:rPr>
              <w:t>（1）存在内容不全面、不符合要求、方案未结合工程实际、引用过期文件，报审不及时、编审批不符合要求等不规范现象，每项扣0.5分；</w:t>
            </w:r>
          </w:p>
          <w:p w14:paraId="63FA833A">
            <w:pPr>
              <w:spacing w:line="260" w:lineRule="exact"/>
              <w:rPr>
                <w:rFonts w:ascii="宋体" w:hAnsi="宋体" w:cs="宋体"/>
                <w:sz w:val="18"/>
              </w:rPr>
            </w:pPr>
            <w:r>
              <w:rPr>
                <w:rFonts w:hint="eastAsia" w:ascii="宋体" w:hAnsi="宋体" w:cs="宋体"/>
                <w:sz w:val="18"/>
              </w:rPr>
              <w:t>（2）修编不及时，每项扣0.5分；</w:t>
            </w:r>
          </w:p>
          <w:p w14:paraId="5617EB4E">
            <w:pPr>
              <w:spacing w:line="260" w:lineRule="exact"/>
              <w:rPr>
                <w:rFonts w:ascii="宋体" w:hAnsi="宋体" w:cs="宋体"/>
                <w:b/>
                <w:sz w:val="18"/>
              </w:rPr>
            </w:pPr>
            <w:r>
              <w:rPr>
                <w:rFonts w:hint="eastAsia" w:ascii="宋体" w:hAnsi="宋体" w:cs="宋体"/>
                <w:sz w:val="18"/>
              </w:rPr>
              <w:t>（3）批准后的策划文件关键内容与实际实施存在明显差异，每项扣1分。</w:t>
            </w:r>
          </w:p>
        </w:tc>
        <w:tc>
          <w:tcPr>
            <w:tcW w:w="1117" w:type="dxa"/>
            <w:tcMar>
              <w:left w:w="28" w:type="dxa"/>
              <w:right w:w="28" w:type="dxa"/>
            </w:tcMar>
            <w:vAlign w:val="center"/>
          </w:tcPr>
          <w:p w14:paraId="4C361741">
            <w:pPr>
              <w:spacing w:line="260" w:lineRule="exact"/>
              <w:rPr>
                <w:rFonts w:ascii="宋体" w:hAnsi="宋体" w:cs="宋体"/>
                <w:sz w:val="18"/>
              </w:rPr>
            </w:pPr>
          </w:p>
        </w:tc>
        <w:tc>
          <w:tcPr>
            <w:tcW w:w="1020" w:type="dxa"/>
            <w:tcMar>
              <w:left w:w="28" w:type="dxa"/>
              <w:right w:w="28" w:type="dxa"/>
            </w:tcMar>
            <w:vAlign w:val="center"/>
          </w:tcPr>
          <w:p w14:paraId="06A7DC42">
            <w:pPr>
              <w:spacing w:line="260" w:lineRule="exact"/>
              <w:rPr>
                <w:rFonts w:ascii="宋体" w:hAnsi="宋体" w:cs="宋体"/>
                <w:sz w:val="18"/>
              </w:rPr>
            </w:pPr>
          </w:p>
        </w:tc>
      </w:tr>
      <w:tr w14:paraId="5C5EEF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602243C5">
            <w:pPr>
              <w:spacing w:line="260" w:lineRule="exact"/>
              <w:jc w:val="center"/>
              <w:rPr>
                <w:rFonts w:ascii="宋体" w:hAnsi="宋体" w:cs="宋体"/>
                <w:b/>
                <w:bCs/>
                <w:sz w:val="18"/>
              </w:rPr>
            </w:pPr>
            <w:r>
              <w:rPr>
                <w:rFonts w:hint="eastAsia" w:ascii="宋体" w:hAnsi="宋体" w:cs="宋体"/>
                <w:b/>
                <w:bCs/>
                <w:sz w:val="18"/>
              </w:rPr>
              <w:t>3.2</w:t>
            </w:r>
          </w:p>
        </w:tc>
        <w:tc>
          <w:tcPr>
            <w:tcW w:w="1976" w:type="dxa"/>
            <w:tcMar>
              <w:left w:w="28" w:type="dxa"/>
              <w:right w:w="28" w:type="dxa"/>
            </w:tcMar>
            <w:vAlign w:val="center"/>
          </w:tcPr>
          <w:p w14:paraId="611476EC">
            <w:pPr>
              <w:spacing w:line="260" w:lineRule="exact"/>
              <w:rPr>
                <w:rFonts w:ascii="宋体" w:hAnsi="宋体" w:cs="宋体"/>
                <w:b/>
                <w:sz w:val="18"/>
              </w:rPr>
            </w:pPr>
            <w:r>
              <w:rPr>
                <w:rFonts w:hint="eastAsia" w:ascii="宋体" w:hAnsi="宋体" w:cs="宋体"/>
                <w:b/>
                <w:sz w:val="18"/>
              </w:rPr>
              <w:t>开工管理</w:t>
            </w:r>
          </w:p>
        </w:tc>
        <w:tc>
          <w:tcPr>
            <w:tcW w:w="951" w:type="dxa"/>
            <w:tcMar>
              <w:left w:w="28" w:type="dxa"/>
              <w:right w:w="28" w:type="dxa"/>
            </w:tcMar>
            <w:vAlign w:val="center"/>
          </w:tcPr>
          <w:p w14:paraId="46A226A1">
            <w:pPr>
              <w:spacing w:line="260" w:lineRule="exact"/>
              <w:jc w:val="center"/>
              <w:rPr>
                <w:rFonts w:ascii="宋体" w:hAnsi="宋体" w:cs="宋体"/>
                <w:sz w:val="18"/>
              </w:rPr>
            </w:pPr>
            <w:r>
              <w:rPr>
                <w:rFonts w:hint="eastAsia" w:ascii="宋体" w:hAnsi="宋体" w:cs="宋体"/>
                <w:sz w:val="18"/>
              </w:rPr>
              <w:t>2</w:t>
            </w:r>
          </w:p>
        </w:tc>
        <w:tc>
          <w:tcPr>
            <w:tcW w:w="3348" w:type="dxa"/>
            <w:tcMar>
              <w:left w:w="28" w:type="dxa"/>
              <w:right w:w="28" w:type="dxa"/>
            </w:tcMar>
            <w:vAlign w:val="center"/>
          </w:tcPr>
          <w:p w14:paraId="0B513FCD">
            <w:pPr>
              <w:spacing w:line="260" w:lineRule="exact"/>
              <w:rPr>
                <w:rFonts w:ascii="宋体" w:hAnsi="宋体" w:cs="宋体"/>
                <w:sz w:val="18"/>
              </w:rPr>
            </w:pPr>
            <w:r>
              <w:rPr>
                <w:rFonts w:hint="eastAsia" w:ascii="宋体" w:hAnsi="宋体" w:cs="宋体"/>
                <w:sz w:val="18"/>
              </w:rPr>
              <w:t>按要求落实标准化开工条件、上报开工报审表。（2分）</w:t>
            </w:r>
          </w:p>
        </w:tc>
        <w:tc>
          <w:tcPr>
            <w:tcW w:w="3890" w:type="dxa"/>
            <w:tcMar>
              <w:left w:w="28" w:type="dxa"/>
              <w:right w:w="28" w:type="dxa"/>
            </w:tcMar>
            <w:vAlign w:val="center"/>
          </w:tcPr>
          <w:p w14:paraId="3F5B6AF4">
            <w:pPr>
              <w:spacing w:line="260" w:lineRule="exact"/>
              <w:rPr>
                <w:rFonts w:ascii="宋体" w:hAnsi="宋体" w:cs="宋体"/>
                <w:sz w:val="18"/>
              </w:rPr>
            </w:pPr>
            <w:r>
              <w:rPr>
                <w:rFonts w:hint="eastAsia" w:ascii="宋体" w:hAnsi="宋体" w:cs="宋体"/>
                <w:sz w:val="18"/>
              </w:rPr>
              <w:t>（1）现场准备不充分，开工报审内容不真实，每项扣1分；</w:t>
            </w:r>
          </w:p>
          <w:p w14:paraId="528A7A96">
            <w:pPr>
              <w:spacing w:line="260" w:lineRule="exact"/>
              <w:rPr>
                <w:rFonts w:ascii="宋体" w:hAnsi="宋体" w:cs="宋体"/>
                <w:sz w:val="18"/>
              </w:rPr>
            </w:pPr>
            <w:r>
              <w:rPr>
                <w:rFonts w:hint="eastAsia" w:ascii="宋体" w:hAnsi="宋体" w:cs="宋体"/>
                <w:sz w:val="18"/>
              </w:rPr>
              <w:t>（2）未报审或未批准擅自开工，扣2分。</w:t>
            </w:r>
          </w:p>
        </w:tc>
        <w:tc>
          <w:tcPr>
            <w:tcW w:w="1117" w:type="dxa"/>
            <w:tcMar>
              <w:left w:w="28" w:type="dxa"/>
              <w:right w:w="28" w:type="dxa"/>
            </w:tcMar>
            <w:vAlign w:val="center"/>
          </w:tcPr>
          <w:p w14:paraId="34834A0A">
            <w:pPr>
              <w:spacing w:line="260" w:lineRule="exact"/>
              <w:rPr>
                <w:rFonts w:ascii="宋体" w:hAnsi="宋体" w:cs="宋体"/>
                <w:sz w:val="18"/>
              </w:rPr>
            </w:pPr>
          </w:p>
        </w:tc>
        <w:tc>
          <w:tcPr>
            <w:tcW w:w="1020" w:type="dxa"/>
            <w:tcMar>
              <w:left w:w="28" w:type="dxa"/>
              <w:right w:w="28" w:type="dxa"/>
            </w:tcMar>
            <w:vAlign w:val="center"/>
          </w:tcPr>
          <w:p w14:paraId="6B80B750">
            <w:pPr>
              <w:spacing w:line="260" w:lineRule="exact"/>
              <w:rPr>
                <w:rFonts w:ascii="宋体" w:hAnsi="宋体" w:cs="宋体"/>
                <w:sz w:val="18"/>
              </w:rPr>
            </w:pPr>
          </w:p>
        </w:tc>
      </w:tr>
      <w:tr w14:paraId="7A0CC7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03EBC44E">
            <w:pPr>
              <w:spacing w:line="260" w:lineRule="exact"/>
              <w:jc w:val="center"/>
              <w:rPr>
                <w:rFonts w:ascii="宋体" w:hAnsi="宋体" w:cs="宋体"/>
                <w:b/>
                <w:bCs/>
                <w:sz w:val="18"/>
              </w:rPr>
            </w:pPr>
            <w:r>
              <w:rPr>
                <w:rFonts w:hint="eastAsia" w:ascii="宋体" w:hAnsi="宋体" w:cs="宋体"/>
                <w:b/>
                <w:bCs/>
                <w:sz w:val="18"/>
              </w:rPr>
              <w:t>3.3</w:t>
            </w:r>
          </w:p>
        </w:tc>
        <w:tc>
          <w:tcPr>
            <w:tcW w:w="1976" w:type="dxa"/>
            <w:vMerge w:val="restart"/>
            <w:tcMar>
              <w:left w:w="28" w:type="dxa"/>
              <w:right w:w="28" w:type="dxa"/>
            </w:tcMar>
            <w:vAlign w:val="center"/>
          </w:tcPr>
          <w:p w14:paraId="2017945C">
            <w:pPr>
              <w:spacing w:line="260" w:lineRule="exact"/>
              <w:rPr>
                <w:rFonts w:ascii="宋体" w:hAnsi="宋体" w:cs="宋体"/>
                <w:b/>
                <w:bCs/>
                <w:sz w:val="18"/>
              </w:rPr>
            </w:pPr>
            <w:r>
              <w:rPr>
                <w:rFonts w:hint="eastAsia" w:ascii="宋体" w:hAnsi="宋体" w:cs="宋体"/>
                <w:b/>
                <w:bCs/>
                <w:sz w:val="18"/>
              </w:rPr>
              <w:t>进度管理</w:t>
            </w:r>
          </w:p>
        </w:tc>
        <w:tc>
          <w:tcPr>
            <w:tcW w:w="951" w:type="dxa"/>
            <w:vMerge w:val="restart"/>
            <w:tcMar>
              <w:left w:w="28" w:type="dxa"/>
              <w:right w:w="28" w:type="dxa"/>
            </w:tcMar>
            <w:vAlign w:val="center"/>
          </w:tcPr>
          <w:p w14:paraId="4FF4E1F4">
            <w:pPr>
              <w:spacing w:line="260" w:lineRule="exact"/>
              <w:jc w:val="center"/>
              <w:rPr>
                <w:rFonts w:ascii="宋体" w:hAnsi="宋体" w:cs="宋体"/>
                <w:sz w:val="18"/>
              </w:rPr>
            </w:pPr>
            <w:r>
              <w:rPr>
                <w:rFonts w:hint="eastAsia" w:ascii="宋体" w:hAnsi="宋体" w:cs="宋体"/>
                <w:sz w:val="18"/>
              </w:rPr>
              <w:t>4</w:t>
            </w:r>
          </w:p>
        </w:tc>
        <w:tc>
          <w:tcPr>
            <w:tcW w:w="3348" w:type="dxa"/>
            <w:tcMar>
              <w:left w:w="28" w:type="dxa"/>
              <w:right w:w="28" w:type="dxa"/>
            </w:tcMar>
            <w:vAlign w:val="center"/>
          </w:tcPr>
          <w:p w14:paraId="00F7F9E6">
            <w:pPr>
              <w:spacing w:line="260" w:lineRule="exact"/>
              <w:rPr>
                <w:rFonts w:ascii="宋体" w:hAnsi="宋体" w:cs="宋体"/>
                <w:sz w:val="18"/>
              </w:rPr>
            </w:pPr>
            <w:r>
              <w:rPr>
                <w:rFonts w:hint="eastAsia" w:ascii="宋体" w:hAnsi="宋体" w:cs="宋体"/>
                <w:sz w:val="18"/>
              </w:rPr>
              <w:t>编制施工进度计划并报审，对进度计划进行过程动态管理，落实业主方进度计划管理要求；根据工程实际，合理调配资源，保障进度计划有效执行；施工进度与计划存在偏差，无法满足进度计划节点要求时，及时滚动修编进度计划并报审。工程停复工时及时办理相关手续。（</w:t>
            </w:r>
            <w:r>
              <w:rPr>
                <w:rFonts w:hint="eastAsia" w:ascii="宋体" w:hAnsi="宋体" w:cs="宋体"/>
                <w:sz w:val="15"/>
                <w:szCs w:val="15"/>
              </w:rPr>
              <w:t>2</w:t>
            </w:r>
            <w:r>
              <w:rPr>
                <w:rFonts w:hint="eastAsia" w:ascii="宋体" w:hAnsi="宋体" w:cs="宋体"/>
                <w:sz w:val="18"/>
              </w:rPr>
              <w:t>分）</w:t>
            </w:r>
          </w:p>
        </w:tc>
        <w:tc>
          <w:tcPr>
            <w:tcW w:w="3890" w:type="dxa"/>
            <w:tcMar>
              <w:left w:w="28" w:type="dxa"/>
              <w:right w:w="28" w:type="dxa"/>
            </w:tcMar>
            <w:vAlign w:val="center"/>
          </w:tcPr>
          <w:p w14:paraId="3551203E">
            <w:pPr>
              <w:spacing w:line="260" w:lineRule="exact"/>
              <w:rPr>
                <w:rFonts w:ascii="宋体" w:hAnsi="宋体" w:cs="宋体"/>
                <w:sz w:val="18"/>
              </w:rPr>
            </w:pPr>
            <w:r>
              <w:rPr>
                <w:rFonts w:hint="eastAsia" w:ascii="宋体" w:hAnsi="宋体" w:cs="宋体"/>
                <w:sz w:val="18"/>
              </w:rPr>
              <w:t>（1）未编制施工进度计划扣1分；未及时编制停电需求计划（如有）并上报，每项扣0.5分/次。</w:t>
            </w:r>
          </w:p>
          <w:p w14:paraId="3EB53FF9">
            <w:pPr>
              <w:spacing w:line="260" w:lineRule="exact"/>
              <w:rPr>
                <w:rFonts w:ascii="宋体" w:hAnsi="宋体" w:cs="宋体"/>
                <w:sz w:val="18"/>
              </w:rPr>
            </w:pPr>
            <w:r>
              <w:rPr>
                <w:rFonts w:hint="eastAsia" w:ascii="宋体" w:hAnsi="宋体" w:cs="宋体"/>
                <w:sz w:val="18"/>
              </w:rPr>
              <w:t>（2）施工进度计划不满足关键进度节点要求且未采取有效纠偏措施，每次扣1分；施工资源未按计划按时到位，每次扣0.5分</w:t>
            </w:r>
          </w:p>
          <w:p w14:paraId="5EA6F64E">
            <w:pPr>
              <w:spacing w:line="260" w:lineRule="exact"/>
              <w:rPr>
                <w:rFonts w:ascii="宋体" w:hAnsi="宋体" w:cs="宋体"/>
                <w:sz w:val="18"/>
              </w:rPr>
            </w:pPr>
            <w:r>
              <w:rPr>
                <w:rFonts w:hint="eastAsia" w:ascii="宋体" w:hAnsi="宋体" w:cs="宋体"/>
                <w:sz w:val="18"/>
              </w:rPr>
              <w:t>（3）业主要求的施工措施未要求到位，每次扣0.5分；</w:t>
            </w:r>
          </w:p>
          <w:p w14:paraId="1DAF3692">
            <w:pPr>
              <w:spacing w:line="260" w:lineRule="exact"/>
              <w:rPr>
                <w:rFonts w:ascii="宋体" w:hAnsi="宋体" w:cs="宋体"/>
                <w:sz w:val="18"/>
              </w:rPr>
            </w:pPr>
            <w:r>
              <w:rPr>
                <w:rFonts w:hint="eastAsia" w:ascii="宋体" w:hAnsi="宋体" w:cs="宋体"/>
                <w:sz w:val="18"/>
              </w:rPr>
              <w:t>（4）未定期（每月）分析、总结计划执行情况，每次扣0.5分；</w:t>
            </w:r>
          </w:p>
          <w:p w14:paraId="2264C27D">
            <w:pPr>
              <w:spacing w:line="260" w:lineRule="exact"/>
              <w:rPr>
                <w:rFonts w:ascii="宋体" w:hAnsi="宋体" w:cs="宋体"/>
                <w:sz w:val="18"/>
              </w:rPr>
            </w:pPr>
            <w:r>
              <w:rPr>
                <w:rFonts w:hint="eastAsia" w:ascii="宋体" w:hAnsi="宋体" w:cs="宋体"/>
                <w:sz w:val="18"/>
              </w:rPr>
              <w:t>（5）工程停、复工未办理停复工批准手续，每次扣0.5分。</w:t>
            </w:r>
          </w:p>
        </w:tc>
        <w:tc>
          <w:tcPr>
            <w:tcW w:w="1117" w:type="dxa"/>
            <w:tcMar>
              <w:left w:w="28" w:type="dxa"/>
              <w:right w:w="28" w:type="dxa"/>
            </w:tcMar>
            <w:vAlign w:val="center"/>
          </w:tcPr>
          <w:p w14:paraId="2C289894">
            <w:pPr>
              <w:spacing w:line="260" w:lineRule="exact"/>
              <w:rPr>
                <w:rFonts w:ascii="宋体" w:hAnsi="宋体" w:cs="宋体"/>
                <w:sz w:val="18"/>
              </w:rPr>
            </w:pPr>
          </w:p>
        </w:tc>
        <w:tc>
          <w:tcPr>
            <w:tcW w:w="1020" w:type="dxa"/>
            <w:tcMar>
              <w:left w:w="28" w:type="dxa"/>
              <w:right w:w="28" w:type="dxa"/>
            </w:tcMar>
            <w:vAlign w:val="center"/>
          </w:tcPr>
          <w:p w14:paraId="060F1E68">
            <w:pPr>
              <w:spacing w:line="260" w:lineRule="exact"/>
              <w:rPr>
                <w:rFonts w:ascii="宋体" w:hAnsi="宋体" w:cs="宋体"/>
                <w:sz w:val="18"/>
              </w:rPr>
            </w:pPr>
          </w:p>
          <w:p w14:paraId="42866252">
            <w:pPr>
              <w:spacing w:line="260" w:lineRule="exact"/>
              <w:rPr>
                <w:rFonts w:ascii="宋体" w:hAnsi="宋体" w:cs="宋体"/>
                <w:sz w:val="18"/>
              </w:rPr>
            </w:pPr>
          </w:p>
          <w:p w14:paraId="05701EDC">
            <w:pPr>
              <w:spacing w:line="260" w:lineRule="exact"/>
              <w:rPr>
                <w:rFonts w:ascii="宋体" w:hAnsi="宋体" w:cs="宋体"/>
                <w:sz w:val="18"/>
              </w:rPr>
            </w:pPr>
          </w:p>
          <w:p w14:paraId="6074E0D4">
            <w:pPr>
              <w:spacing w:line="260" w:lineRule="exact"/>
              <w:rPr>
                <w:rFonts w:ascii="宋体" w:hAnsi="宋体" w:cs="宋体"/>
                <w:sz w:val="18"/>
              </w:rPr>
            </w:pPr>
          </w:p>
          <w:p w14:paraId="06D1124E">
            <w:pPr>
              <w:spacing w:line="260" w:lineRule="exact"/>
              <w:rPr>
                <w:rFonts w:ascii="宋体" w:hAnsi="宋体" w:cs="宋体"/>
                <w:sz w:val="18"/>
              </w:rPr>
            </w:pPr>
          </w:p>
          <w:p w14:paraId="18366BAC">
            <w:pPr>
              <w:spacing w:line="260" w:lineRule="exact"/>
              <w:rPr>
                <w:rFonts w:ascii="宋体" w:hAnsi="宋体" w:cs="宋体"/>
                <w:sz w:val="18"/>
              </w:rPr>
            </w:pPr>
          </w:p>
          <w:p w14:paraId="3FA16A49">
            <w:pPr>
              <w:spacing w:line="260" w:lineRule="exact"/>
              <w:rPr>
                <w:rFonts w:ascii="宋体" w:hAnsi="宋体" w:cs="宋体"/>
                <w:sz w:val="18"/>
              </w:rPr>
            </w:pPr>
          </w:p>
          <w:p w14:paraId="684DD22B">
            <w:pPr>
              <w:spacing w:line="260" w:lineRule="exact"/>
              <w:rPr>
                <w:rFonts w:ascii="宋体" w:hAnsi="宋体" w:cs="宋体"/>
                <w:sz w:val="18"/>
              </w:rPr>
            </w:pPr>
          </w:p>
          <w:p w14:paraId="07A85644">
            <w:pPr>
              <w:spacing w:line="260" w:lineRule="exact"/>
              <w:rPr>
                <w:rFonts w:ascii="宋体" w:hAnsi="宋体" w:cs="宋体"/>
                <w:sz w:val="18"/>
              </w:rPr>
            </w:pPr>
          </w:p>
          <w:p w14:paraId="5982B847">
            <w:pPr>
              <w:spacing w:line="260" w:lineRule="exact"/>
              <w:rPr>
                <w:rFonts w:ascii="宋体" w:hAnsi="宋体" w:cs="宋体"/>
                <w:sz w:val="18"/>
              </w:rPr>
            </w:pPr>
          </w:p>
        </w:tc>
      </w:tr>
      <w:tr w14:paraId="423496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7527CAC2">
            <w:pPr>
              <w:spacing w:line="260" w:lineRule="exact"/>
              <w:jc w:val="center"/>
              <w:rPr>
                <w:rFonts w:ascii="宋体" w:hAnsi="宋体" w:cs="宋体"/>
                <w:sz w:val="18"/>
              </w:rPr>
            </w:pPr>
          </w:p>
        </w:tc>
        <w:tc>
          <w:tcPr>
            <w:tcW w:w="1976" w:type="dxa"/>
            <w:vMerge w:val="continue"/>
            <w:tcBorders>
              <w:bottom w:val="single" w:color="000000" w:sz="6" w:space="0"/>
            </w:tcBorders>
            <w:tcMar>
              <w:left w:w="28" w:type="dxa"/>
              <w:right w:w="28" w:type="dxa"/>
            </w:tcMar>
            <w:vAlign w:val="center"/>
          </w:tcPr>
          <w:p w14:paraId="2DA20FD2">
            <w:pPr>
              <w:spacing w:line="260" w:lineRule="exact"/>
              <w:rPr>
                <w:rFonts w:ascii="宋体" w:hAnsi="宋体" w:cs="宋体"/>
                <w:sz w:val="18"/>
              </w:rPr>
            </w:pPr>
          </w:p>
        </w:tc>
        <w:tc>
          <w:tcPr>
            <w:tcW w:w="951" w:type="dxa"/>
            <w:vMerge w:val="continue"/>
            <w:tcBorders>
              <w:bottom w:val="single" w:color="000000" w:sz="6" w:space="0"/>
            </w:tcBorders>
            <w:tcMar>
              <w:left w:w="28" w:type="dxa"/>
              <w:right w:w="28" w:type="dxa"/>
            </w:tcMar>
            <w:vAlign w:val="center"/>
          </w:tcPr>
          <w:p w14:paraId="6DEA0C96">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59A735F3">
            <w:pPr>
              <w:spacing w:line="260" w:lineRule="exact"/>
              <w:rPr>
                <w:rFonts w:ascii="宋体" w:hAnsi="宋体" w:cs="宋体"/>
                <w:sz w:val="18"/>
              </w:rPr>
            </w:pPr>
            <w:r>
              <w:rPr>
                <w:rFonts w:hint="eastAsia" w:ascii="宋体" w:hAnsi="宋体" w:cs="宋体"/>
                <w:sz w:val="18"/>
              </w:rPr>
              <w:t>及时提出与进度计划相关的图纸需求、设备物资需求、工序交接需求。在各施工单位进行交叉平行施工时，其施工顺序和节点应服从业主或监理项目部统一安排。（2分）</w:t>
            </w:r>
          </w:p>
        </w:tc>
        <w:tc>
          <w:tcPr>
            <w:tcW w:w="3890" w:type="dxa"/>
            <w:tcBorders>
              <w:bottom w:val="single" w:color="000000" w:sz="6" w:space="0"/>
            </w:tcBorders>
            <w:tcMar>
              <w:left w:w="28" w:type="dxa"/>
              <w:right w:w="28" w:type="dxa"/>
            </w:tcMar>
            <w:vAlign w:val="center"/>
          </w:tcPr>
          <w:p w14:paraId="2B6E944E">
            <w:pPr>
              <w:spacing w:line="260" w:lineRule="exact"/>
              <w:rPr>
                <w:rFonts w:ascii="宋体" w:hAnsi="宋体" w:cs="宋体"/>
                <w:sz w:val="18"/>
              </w:rPr>
            </w:pPr>
            <w:r>
              <w:rPr>
                <w:rFonts w:hint="eastAsia" w:ascii="宋体" w:hAnsi="宋体" w:cs="宋体"/>
                <w:sz w:val="18"/>
              </w:rPr>
              <w:t>（1）未及时提出与进度计划相关的图纸需求、设备物资需求、工序交接需求，扣1分。</w:t>
            </w:r>
          </w:p>
          <w:p w14:paraId="0FA0CC09">
            <w:pPr>
              <w:spacing w:line="260" w:lineRule="exact"/>
              <w:rPr>
                <w:rFonts w:ascii="宋体" w:hAnsi="宋体" w:cs="宋体"/>
                <w:sz w:val="18"/>
              </w:rPr>
            </w:pPr>
            <w:r>
              <w:rPr>
                <w:rFonts w:hint="eastAsia" w:ascii="宋体" w:hAnsi="宋体" w:cs="宋体"/>
                <w:sz w:val="18"/>
              </w:rPr>
              <w:t>（2）未按业主或监理业主项目部统一安排开展工作，每次扣0.5分。</w:t>
            </w:r>
          </w:p>
        </w:tc>
        <w:tc>
          <w:tcPr>
            <w:tcW w:w="1117" w:type="dxa"/>
            <w:tcBorders>
              <w:bottom w:val="single" w:color="000000" w:sz="6" w:space="0"/>
            </w:tcBorders>
            <w:tcMar>
              <w:left w:w="28" w:type="dxa"/>
              <w:right w:w="28" w:type="dxa"/>
            </w:tcMar>
            <w:vAlign w:val="center"/>
          </w:tcPr>
          <w:p w14:paraId="1B556869">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07215763">
            <w:pPr>
              <w:spacing w:line="260" w:lineRule="exact"/>
              <w:rPr>
                <w:rFonts w:ascii="宋体" w:hAnsi="宋体" w:cs="宋体"/>
                <w:sz w:val="18"/>
              </w:rPr>
            </w:pPr>
          </w:p>
        </w:tc>
      </w:tr>
      <w:tr w14:paraId="76D0A5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54180810">
            <w:pPr>
              <w:spacing w:line="260" w:lineRule="exact"/>
              <w:jc w:val="center"/>
              <w:rPr>
                <w:rFonts w:ascii="宋体" w:hAnsi="宋体" w:cs="宋体"/>
                <w:sz w:val="18"/>
              </w:rPr>
            </w:pPr>
            <w:r>
              <w:rPr>
                <w:rFonts w:hint="eastAsia" w:ascii="宋体" w:hAnsi="宋体" w:cs="宋体"/>
                <w:b/>
                <w:bCs/>
                <w:sz w:val="18"/>
              </w:rPr>
              <w:t>3.4</w:t>
            </w:r>
          </w:p>
        </w:tc>
        <w:tc>
          <w:tcPr>
            <w:tcW w:w="1976" w:type="dxa"/>
            <w:vMerge w:val="restart"/>
            <w:tcMar>
              <w:left w:w="28" w:type="dxa"/>
              <w:right w:w="28" w:type="dxa"/>
            </w:tcMar>
            <w:vAlign w:val="center"/>
          </w:tcPr>
          <w:p w14:paraId="2C3248E3">
            <w:pPr>
              <w:spacing w:line="260" w:lineRule="exact"/>
              <w:rPr>
                <w:rFonts w:ascii="宋体" w:hAnsi="宋体" w:cs="宋体"/>
                <w:sz w:val="18"/>
              </w:rPr>
            </w:pPr>
            <w:r>
              <w:rPr>
                <w:rFonts w:hint="eastAsia" w:ascii="宋体" w:hAnsi="宋体" w:cs="宋体"/>
                <w:b/>
                <w:sz w:val="18"/>
              </w:rPr>
              <w:t>协调管理</w:t>
            </w:r>
          </w:p>
        </w:tc>
        <w:tc>
          <w:tcPr>
            <w:tcW w:w="951" w:type="dxa"/>
            <w:vMerge w:val="restart"/>
            <w:tcMar>
              <w:left w:w="28" w:type="dxa"/>
              <w:right w:w="28" w:type="dxa"/>
            </w:tcMar>
            <w:vAlign w:val="center"/>
          </w:tcPr>
          <w:p w14:paraId="3E0F322A">
            <w:pPr>
              <w:spacing w:line="260" w:lineRule="exact"/>
              <w:jc w:val="center"/>
              <w:rPr>
                <w:rFonts w:ascii="宋体" w:hAnsi="宋体" w:cs="宋体"/>
                <w:sz w:val="18"/>
              </w:rPr>
            </w:pPr>
            <w:r>
              <w:rPr>
                <w:rFonts w:hint="eastAsia" w:ascii="宋体" w:hAnsi="宋体" w:cs="宋体"/>
                <w:sz w:val="18"/>
              </w:rPr>
              <w:t>3</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tcPr>
          <w:p w14:paraId="63CBB482">
            <w:pPr>
              <w:spacing w:line="260" w:lineRule="exact"/>
              <w:rPr>
                <w:rFonts w:ascii="宋体" w:hAnsi="宋体" w:cs="宋体"/>
                <w:sz w:val="18"/>
              </w:rPr>
            </w:pPr>
            <w:r>
              <w:rPr>
                <w:rFonts w:hint="eastAsia" w:ascii="宋体" w:hAnsi="宋体" w:cs="宋体"/>
                <w:sz w:val="18"/>
              </w:rPr>
              <w:t>加强外部协调，确保工程建设期间不发生因施工原因造成的上访、堵门等群体性事件，做好政府部门协调工作。（2分）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tcPr>
          <w:p w14:paraId="1A92EDE6">
            <w:pPr>
              <w:spacing w:line="260" w:lineRule="exact"/>
              <w:rPr>
                <w:rFonts w:ascii="宋体" w:hAnsi="宋体" w:cs="宋体"/>
                <w:sz w:val="18"/>
              </w:rPr>
            </w:pPr>
            <w:r>
              <w:rPr>
                <w:rFonts w:ascii="宋体" w:hAnsi="宋体" w:cs="宋体"/>
                <w:sz w:val="18"/>
              </w:rPr>
              <w:t>（1）上访一次扣2分</w:t>
            </w:r>
            <w:r>
              <w:rPr>
                <w:rFonts w:hint="eastAsia" w:ascii="宋体" w:hAnsi="宋体" w:cs="宋体"/>
                <w:sz w:val="18"/>
              </w:rPr>
              <w:t>；</w:t>
            </w:r>
            <w:r>
              <w:rPr>
                <w:rFonts w:ascii="宋体" w:hAnsi="宋体" w:cs="宋体"/>
                <w:sz w:val="18"/>
              </w:rPr>
              <w:t>被政府部门处罚一次扣2分</w:t>
            </w:r>
            <w:r>
              <w:rPr>
                <w:rFonts w:hint="eastAsia" w:ascii="宋体" w:hAnsi="宋体" w:cs="宋体"/>
                <w:sz w:val="18"/>
              </w:rPr>
              <w:t>；</w:t>
            </w:r>
            <w:r>
              <w:rPr>
                <w:rFonts w:ascii="宋体" w:hAnsi="宋体" w:cs="宋体"/>
                <w:sz w:val="18"/>
              </w:rPr>
              <w:t>堵门一次扣1分</w:t>
            </w:r>
            <w:r>
              <w:rPr>
                <w:rFonts w:hint="eastAsia" w:ascii="宋体" w:hAnsi="宋体" w:cs="宋体"/>
                <w:sz w:val="18"/>
              </w:rPr>
              <w:t>；</w:t>
            </w:r>
          </w:p>
          <w:p w14:paraId="42A620E7">
            <w:pPr>
              <w:tabs>
                <w:tab w:val="center" w:pos="4153"/>
                <w:tab w:val="right" w:pos="8306"/>
              </w:tabs>
              <w:spacing w:line="260" w:lineRule="exact"/>
              <w:rPr>
                <w:rFonts w:ascii="宋体" w:hAnsi="宋体" w:cs="宋体"/>
                <w:sz w:val="18"/>
              </w:rPr>
            </w:pPr>
            <w:r>
              <w:rPr>
                <w:rFonts w:hint="eastAsia" w:ascii="宋体" w:hAnsi="宋体" w:cs="宋体"/>
                <w:sz w:val="18"/>
              </w:rPr>
              <w:t>（2）因施工单位与劳务分包单位、所属劳务分包单位与施工队伍、劳务人员欠薪，导致的投诉合同纠纷及欠薪事件，扣2分。</w:t>
            </w:r>
          </w:p>
        </w:tc>
        <w:tc>
          <w:tcPr>
            <w:tcW w:w="1117" w:type="dxa"/>
            <w:tcMar>
              <w:left w:w="28" w:type="dxa"/>
              <w:right w:w="28" w:type="dxa"/>
            </w:tcMar>
            <w:vAlign w:val="center"/>
          </w:tcPr>
          <w:p w14:paraId="277DFAB2">
            <w:pPr>
              <w:spacing w:line="260" w:lineRule="exact"/>
              <w:rPr>
                <w:rFonts w:ascii="宋体" w:hAnsi="宋体" w:cs="宋体"/>
                <w:sz w:val="18"/>
              </w:rPr>
            </w:pPr>
          </w:p>
        </w:tc>
        <w:tc>
          <w:tcPr>
            <w:tcW w:w="1020" w:type="dxa"/>
            <w:tcMar>
              <w:left w:w="28" w:type="dxa"/>
              <w:right w:w="28" w:type="dxa"/>
            </w:tcMar>
            <w:vAlign w:val="center"/>
          </w:tcPr>
          <w:p w14:paraId="46CD79AD">
            <w:pPr>
              <w:spacing w:line="260" w:lineRule="exact"/>
              <w:rPr>
                <w:rFonts w:ascii="宋体" w:hAnsi="宋体" w:cs="宋体"/>
                <w:sz w:val="18"/>
              </w:rPr>
            </w:pPr>
          </w:p>
        </w:tc>
      </w:tr>
      <w:tr w14:paraId="61E8B6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7414362D">
            <w:pPr>
              <w:spacing w:line="260" w:lineRule="exact"/>
              <w:jc w:val="center"/>
              <w:rPr>
                <w:rFonts w:ascii="宋体" w:hAnsi="宋体" w:cs="宋体"/>
                <w:sz w:val="18"/>
              </w:rPr>
            </w:pPr>
          </w:p>
        </w:tc>
        <w:tc>
          <w:tcPr>
            <w:tcW w:w="1976" w:type="dxa"/>
            <w:vMerge w:val="continue"/>
            <w:tcMar>
              <w:left w:w="28" w:type="dxa"/>
              <w:right w:w="28" w:type="dxa"/>
            </w:tcMar>
            <w:vAlign w:val="center"/>
          </w:tcPr>
          <w:p w14:paraId="1F76CFD4">
            <w:pPr>
              <w:spacing w:line="260" w:lineRule="exact"/>
              <w:rPr>
                <w:rFonts w:ascii="宋体" w:hAnsi="宋体" w:cs="宋体"/>
                <w:sz w:val="18"/>
              </w:rPr>
            </w:pPr>
          </w:p>
        </w:tc>
        <w:tc>
          <w:tcPr>
            <w:tcW w:w="951" w:type="dxa"/>
            <w:vMerge w:val="continue"/>
            <w:tcMar>
              <w:left w:w="28" w:type="dxa"/>
              <w:right w:w="28" w:type="dxa"/>
            </w:tcMar>
            <w:vAlign w:val="center"/>
          </w:tcPr>
          <w:p w14:paraId="21EF2E9A">
            <w:pPr>
              <w:spacing w:line="260" w:lineRule="exact"/>
              <w:jc w:val="center"/>
              <w:rPr>
                <w:rFonts w:ascii="宋体" w:hAnsi="宋体" w:cs="宋体"/>
                <w:sz w:val="18"/>
              </w:rPr>
            </w:pP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30BD9C02">
            <w:pPr>
              <w:spacing w:line="260" w:lineRule="exact"/>
              <w:rPr>
                <w:rFonts w:ascii="宋体" w:hAnsi="宋体" w:cs="宋体"/>
                <w:sz w:val="18"/>
              </w:rPr>
            </w:pPr>
            <w:r>
              <w:rPr>
                <w:rFonts w:hint="eastAsia" w:ascii="宋体" w:hAnsi="宋体" w:cs="宋体"/>
                <w:sz w:val="18"/>
              </w:rPr>
              <w:t>及时响应业主、监理项目部的各项工作要求；对内部人员需进行有效管理，杜绝出现吵架、打架斗殴等现象。（1分）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29ABF8B6">
            <w:pPr>
              <w:spacing w:line="260" w:lineRule="exact"/>
              <w:rPr>
                <w:rFonts w:ascii="宋体" w:hAnsi="宋体" w:cs="宋体"/>
                <w:sz w:val="18"/>
              </w:rPr>
            </w:pPr>
            <w:r>
              <w:rPr>
                <w:rFonts w:hint="eastAsia" w:ascii="宋体" w:hAnsi="宋体" w:cs="宋体"/>
                <w:sz w:val="18"/>
              </w:rPr>
              <w:t>（1）一次不响应业主项目部的工作要求，一次扣0.5分；</w:t>
            </w:r>
          </w:p>
          <w:p w14:paraId="031833DA">
            <w:pPr>
              <w:spacing w:line="260" w:lineRule="exact"/>
              <w:rPr>
                <w:rFonts w:ascii="宋体" w:hAnsi="宋体" w:cs="宋体"/>
                <w:sz w:val="18"/>
              </w:rPr>
            </w:pPr>
            <w:r>
              <w:rPr>
                <w:rFonts w:hint="eastAsia" w:ascii="宋体" w:hAnsi="宋体" w:cs="宋体"/>
                <w:sz w:val="18"/>
              </w:rPr>
              <w:t>（2）现场出现吵架、打架斗殴等现象，一次扣0.5分。</w:t>
            </w:r>
          </w:p>
        </w:tc>
        <w:tc>
          <w:tcPr>
            <w:tcW w:w="1117" w:type="dxa"/>
            <w:tcMar>
              <w:left w:w="28" w:type="dxa"/>
              <w:right w:w="28" w:type="dxa"/>
            </w:tcMar>
            <w:vAlign w:val="center"/>
          </w:tcPr>
          <w:p w14:paraId="031ED86D">
            <w:pPr>
              <w:spacing w:line="260" w:lineRule="exact"/>
              <w:rPr>
                <w:rFonts w:ascii="宋体" w:hAnsi="宋体" w:cs="宋体"/>
                <w:sz w:val="18"/>
              </w:rPr>
            </w:pPr>
          </w:p>
        </w:tc>
        <w:tc>
          <w:tcPr>
            <w:tcW w:w="1020" w:type="dxa"/>
            <w:tcMar>
              <w:left w:w="28" w:type="dxa"/>
              <w:right w:w="28" w:type="dxa"/>
            </w:tcMar>
            <w:vAlign w:val="center"/>
          </w:tcPr>
          <w:p w14:paraId="618B73AA">
            <w:pPr>
              <w:spacing w:line="260" w:lineRule="exact"/>
              <w:rPr>
                <w:rFonts w:ascii="宋体" w:hAnsi="宋体" w:cs="宋体"/>
                <w:sz w:val="18"/>
              </w:rPr>
            </w:pPr>
          </w:p>
        </w:tc>
      </w:tr>
      <w:tr w14:paraId="245D78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19F8A076">
            <w:pPr>
              <w:spacing w:line="260" w:lineRule="exact"/>
              <w:jc w:val="center"/>
              <w:rPr>
                <w:rFonts w:ascii="宋体" w:hAnsi="宋体" w:cs="宋体"/>
                <w:b/>
                <w:bCs/>
                <w:sz w:val="18"/>
              </w:rPr>
            </w:pPr>
            <w:r>
              <w:rPr>
                <w:rFonts w:hint="eastAsia" w:ascii="宋体" w:hAnsi="宋体" w:cs="宋体"/>
                <w:b/>
                <w:bCs/>
                <w:sz w:val="18"/>
              </w:rPr>
              <w:t>3.5</w:t>
            </w:r>
          </w:p>
        </w:tc>
        <w:tc>
          <w:tcPr>
            <w:tcW w:w="1976" w:type="dxa"/>
            <w:tcMar>
              <w:left w:w="28" w:type="dxa"/>
              <w:right w:w="28" w:type="dxa"/>
            </w:tcMar>
            <w:vAlign w:val="center"/>
          </w:tcPr>
          <w:p w14:paraId="6332F29A">
            <w:pPr>
              <w:spacing w:line="260" w:lineRule="exact"/>
              <w:rPr>
                <w:rFonts w:ascii="宋体" w:hAnsi="宋体" w:cs="宋体"/>
                <w:b/>
                <w:bCs/>
                <w:sz w:val="18"/>
              </w:rPr>
            </w:pPr>
            <w:r>
              <w:rPr>
                <w:rFonts w:hint="eastAsia" w:ascii="宋体" w:hAnsi="宋体" w:cs="宋体"/>
                <w:b/>
                <w:bCs/>
                <w:sz w:val="18"/>
              </w:rPr>
              <w:t>信息管理</w:t>
            </w:r>
          </w:p>
        </w:tc>
        <w:tc>
          <w:tcPr>
            <w:tcW w:w="951" w:type="dxa"/>
            <w:tcMar>
              <w:left w:w="28" w:type="dxa"/>
              <w:right w:w="28" w:type="dxa"/>
            </w:tcMar>
            <w:vAlign w:val="center"/>
          </w:tcPr>
          <w:p w14:paraId="0D207B2C">
            <w:pPr>
              <w:spacing w:line="260" w:lineRule="exact"/>
              <w:jc w:val="center"/>
              <w:rPr>
                <w:rFonts w:ascii="宋体" w:hAnsi="宋体" w:cs="宋体"/>
                <w:sz w:val="18"/>
              </w:rPr>
            </w:pPr>
            <w:r>
              <w:rPr>
                <w:rFonts w:hint="eastAsia" w:ascii="宋体" w:hAnsi="宋体" w:cs="宋体"/>
                <w:sz w:val="18"/>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7611677B">
            <w:pPr>
              <w:rPr>
                <w:rFonts w:ascii="宋体" w:hAnsi="宋体" w:cs="宋体"/>
                <w:sz w:val="18"/>
              </w:rPr>
            </w:pPr>
            <w:r>
              <w:rPr>
                <w:rFonts w:hint="eastAsia"/>
                <w:color w:val="000000"/>
                <w:sz w:val="18"/>
                <w:szCs w:val="18"/>
              </w:rPr>
              <w:t>按照业主项目部要求，完成会议材料报送、会议纪要编制工作。完成“e基建”信息录入。</w:t>
            </w:r>
            <w:r>
              <w:rPr>
                <w:rFonts w:hint="eastAsia" w:ascii="宋体" w:hAnsi="宋体" w:cs="宋体"/>
                <w:sz w:val="18"/>
              </w:rPr>
              <w:t>及时组织宣贯上级文件，来往文件记录清晰。每月编制施工月报并及时报送监理项目部。（2分）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15B9E3C1">
            <w:pPr>
              <w:spacing w:line="260" w:lineRule="exact"/>
              <w:rPr>
                <w:color w:val="000000"/>
                <w:sz w:val="18"/>
                <w:szCs w:val="18"/>
              </w:rPr>
            </w:pPr>
            <w:r>
              <w:rPr>
                <w:rFonts w:hint="eastAsia"/>
                <w:color w:val="000000"/>
                <w:sz w:val="18"/>
                <w:szCs w:val="18"/>
              </w:rPr>
              <w:t>（1）未完成会议材料报送、会议纪要编制工作，扣1分；相关材料起草不符合质量要求，每次扣0.5分；</w:t>
            </w:r>
          </w:p>
          <w:p w14:paraId="1E5CF148">
            <w:pPr>
              <w:spacing w:line="260" w:lineRule="exact"/>
              <w:rPr>
                <w:color w:val="000000"/>
                <w:sz w:val="18"/>
                <w:szCs w:val="18"/>
              </w:rPr>
            </w:pPr>
            <w:r>
              <w:rPr>
                <w:rFonts w:hint="eastAsia"/>
                <w:color w:val="000000"/>
                <w:sz w:val="18"/>
                <w:szCs w:val="18"/>
              </w:rPr>
              <w:t>（2）系统中关键数据录入不准确，出现缺失或错误，每次扣0.5分；</w:t>
            </w:r>
          </w:p>
          <w:p w14:paraId="0FCC099E">
            <w:pPr>
              <w:spacing w:line="260" w:lineRule="exact"/>
              <w:rPr>
                <w:rFonts w:ascii="宋体" w:hAnsi="宋体" w:cs="宋体"/>
                <w:sz w:val="18"/>
              </w:rPr>
            </w:pPr>
            <w:r>
              <w:rPr>
                <w:rFonts w:hint="eastAsia"/>
                <w:color w:val="000000"/>
                <w:sz w:val="18"/>
                <w:szCs w:val="18"/>
              </w:rPr>
              <w:t>（3）</w:t>
            </w:r>
            <w:r>
              <w:rPr>
                <w:rFonts w:hint="eastAsia" w:ascii="宋体" w:hAnsi="宋体" w:cs="宋体"/>
                <w:sz w:val="18"/>
              </w:rPr>
              <w:t>未编制施工月报或无实质性内容、未及时上报，每次扣0.5分。</w:t>
            </w:r>
          </w:p>
        </w:tc>
        <w:tc>
          <w:tcPr>
            <w:tcW w:w="1117" w:type="dxa"/>
            <w:tcMar>
              <w:left w:w="28" w:type="dxa"/>
              <w:right w:w="28" w:type="dxa"/>
            </w:tcMar>
            <w:vAlign w:val="center"/>
          </w:tcPr>
          <w:p w14:paraId="4409172B">
            <w:pPr>
              <w:spacing w:line="260" w:lineRule="exact"/>
              <w:rPr>
                <w:rFonts w:ascii="宋体" w:hAnsi="宋体" w:cs="宋体"/>
                <w:sz w:val="18"/>
              </w:rPr>
            </w:pPr>
          </w:p>
        </w:tc>
        <w:tc>
          <w:tcPr>
            <w:tcW w:w="1020" w:type="dxa"/>
            <w:tcMar>
              <w:left w:w="28" w:type="dxa"/>
              <w:right w:w="28" w:type="dxa"/>
            </w:tcMar>
            <w:vAlign w:val="center"/>
          </w:tcPr>
          <w:p w14:paraId="3A2CDC8B">
            <w:pPr>
              <w:spacing w:line="260" w:lineRule="exact"/>
              <w:rPr>
                <w:rFonts w:ascii="宋体" w:hAnsi="宋体" w:cs="宋体"/>
                <w:sz w:val="18"/>
              </w:rPr>
            </w:pPr>
          </w:p>
        </w:tc>
      </w:tr>
      <w:tr w14:paraId="0B1980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4ADDE1CB">
            <w:pPr>
              <w:spacing w:line="260" w:lineRule="exact"/>
              <w:jc w:val="center"/>
              <w:rPr>
                <w:rFonts w:ascii="宋体" w:hAnsi="宋体" w:cs="宋体"/>
                <w:b/>
                <w:bCs/>
                <w:sz w:val="18"/>
              </w:rPr>
            </w:pPr>
            <w:r>
              <w:rPr>
                <w:rFonts w:hint="eastAsia" w:ascii="宋体" w:hAnsi="宋体" w:cs="宋体"/>
                <w:b/>
                <w:bCs/>
                <w:sz w:val="18"/>
              </w:rPr>
              <w:t>3.6</w:t>
            </w:r>
          </w:p>
        </w:tc>
        <w:tc>
          <w:tcPr>
            <w:tcW w:w="1976" w:type="dxa"/>
            <w:vMerge w:val="restart"/>
            <w:tcMar>
              <w:left w:w="28" w:type="dxa"/>
              <w:right w:w="28" w:type="dxa"/>
            </w:tcMar>
            <w:vAlign w:val="center"/>
          </w:tcPr>
          <w:p w14:paraId="3BB9F52D">
            <w:pPr>
              <w:spacing w:line="260" w:lineRule="exact"/>
              <w:rPr>
                <w:rFonts w:ascii="宋体" w:hAnsi="宋体" w:cs="宋体"/>
                <w:b/>
                <w:bCs/>
                <w:sz w:val="18"/>
              </w:rPr>
            </w:pPr>
            <w:r>
              <w:rPr>
                <w:rFonts w:hint="eastAsia" w:ascii="宋体" w:hAnsi="宋体" w:cs="宋体"/>
                <w:b/>
                <w:bCs/>
                <w:sz w:val="18"/>
              </w:rPr>
              <w:t>档案管理</w:t>
            </w:r>
          </w:p>
        </w:tc>
        <w:tc>
          <w:tcPr>
            <w:tcW w:w="951" w:type="dxa"/>
            <w:vMerge w:val="restart"/>
            <w:tcMar>
              <w:left w:w="28" w:type="dxa"/>
              <w:right w:w="28" w:type="dxa"/>
            </w:tcMar>
            <w:vAlign w:val="center"/>
          </w:tcPr>
          <w:p w14:paraId="46CB0A41">
            <w:pPr>
              <w:spacing w:line="260" w:lineRule="exact"/>
              <w:jc w:val="center"/>
              <w:rPr>
                <w:rFonts w:ascii="宋体" w:hAnsi="宋体" w:cs="宋体"/>
                <w:sz w:val="18"/>
              </w:rPr>
            </w:pPr>
            <w:r>
              <w:rPr>
                <w:rFonts w:hint="eastAsia" w:ascii="宋体" w:hAnsi="宋体" w:cs="宋体"/>
                <w:sz w:val="18"/>
              </w:rPr>
              <w:t>2</w:t>
            </w: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4F9B08D8">
            <w:pPr>
              <w:spacing w:line="260" w:lineRule="exact"/>
              <w:rPr>
                <w:rFonts w:ascii="宋体" w:hAnsi="宋体" w:cs="宋体"/>
                <w:sz w:val="18"/>
              </w:rPr>
            </w:pPr>
            <w:r>
              <w:rPr>
                <w:rFonts w:hint="eastAsia" w:ascii="宋体" w:hAnsi="宋体" w:cs="宋体"/>
                <w:sz w:val="18"/>
              </w:rPr>
              <w:t>施工项目部配置专人负责档案工作，确保工程档案资料分阶段完成，工程档案完整、字体规范、载体合格，移交及时。（2分）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61D7978F">
            <w:pPr>
              <w:pStyle w:val="2"/>
              <w:spacing w:line="260" w:lineRule="exact"/>
              <w:rPr>
                <w:rFonts w:ascii="宋体" w:hAnsi="宋体" w:cs="宋体"/>
              </w:rPr>
            </w:pPr>
            <w:r>
              <w:rPr>
                <w:rFonts w:hint="eastAsia" w:ascii="宋体" w:hAnsi="宋体" w:cs="宋体"/>
              </w:rPr>
              <w:t>（</w:t>
            </w:r>
            <w:r>
              <w:rPr>
                <w:rFonts w:hint="eastAsia" w:ascii="宋体" w:hAnsi="宋体" w:cs="宋体"/>
                <w:lang w:val="en-US"/>
              </w:rPr>
              <w:t>1</w:t>
            </w:r>
            <w:r>
              <w:rPr>
                <w:rFonts w:hint="eastAsia" w:ascii="宋体" w:hAnsi="宋体" w:cs="宋体"/>
              </w:rPr>
              <w:t>）</w:t>
            </w:r>
            <w:r>
              <w:rPr>
                <w:rFonts w:hint="eastAsia" w:ascii="宋体" w:hAnsi="宋体" w:cs="宋体"/>
                <w:lang w:val="en-US"/>
              </w:rPr>
              <w:t>档案管理人员未经业主项目部批准更换，扣1分；</w:t>
            </w:r>
            <w:r>
              <w:rPr>
                <w:rFonts w:ascii="宋体" w:hAnsi="宋体" w:cs="宋体"/>
              </w:rPr>
              <w:t>未按要求分阶段开展并完成档案整理，每超出10天，扣1分</w:t>
            </w:r>
            <w:r>
              <w:rPr>
                <w:rFonts w:hint="eastAsia" w:ascii="宋体" w:hAnsi="宋体" w:cs="宋体"/>
              </w:rPr>
              <w:t>；</w:t>
            </w:r>
          </w:p>
          <w:p w14:paraId="20D0EC9E">
            <w:pPr>
              <w:pStyle w:val="2"/>
              <w:spacing w:line="260" w:lineRule="exact"/>
              <w:rPr>
                <w:rFonts w:ascii="宋体" w:hAnsi="宋体" w:cs="宋体"/>
              </w:rPr>
            </w:pPr>
            <w:r>
              <w:rPr>
                <w:rFonts w:hint="eastAsia" w:ascii="宋体" w:hAnsi="宋体" w:cs="宋体"/>
              </w:rPr>
              <w:t>（</w:t>
            </w:r>
            <w:r>
              <w:rPr>
                <w:rFonts w:hint="eastAsia" w:ascii="宋体" w:hAnsi="宋体" w:cs="宋体"/>
                <w:lang w:val="en-US"/>
              </w:rPr>
              <w:t>2</w:t>
            </w:r>
            <w:r>
              <w:rPr>
                <w:rFonts w:hint="eastAsia" w:ascii="宋体" w:hAnsi="宋体" w:cs="宋体"/>
              </w:rPr>
              <w:t>）</w:t>
            </w:r>
            <w:r>
              <w:rPr>
                <w:rFonts w:hint="eastAsia" w:ascii="宋体" w:hAnsi="宋体" w:cs="宋体"/>
                <w:lang w:val="en-US"/>
              </w:rPr>
              <w:t>质量监督前档案不全扣1分；</w:t>
            </w:r>
            <w:r>
              <w:rPr>
                <w:rFonts w:ascii="宋体" w:hAnsi="宋体" w:cs="宋体"/>
              </w:rPr>
              <w:t>资料质量（包括纸质及数字化电子文件）不完整、不符合规范要求，每份文件扣0.</w:t>
            </w:r>
            <w:r>
              <w:rPr>
                <w:rFonts w:hint="eastAsia" w:ascii="宋体" w:hAnsi="宋体" w:cs="宋体"/>
                <w:lang w:val="en-US"/>
              </w:rPr>
              <w:t>5</w:t>
            </w:r>
            <w:r>
              <w:rPr>
                <w:rFonts w:ascii="宋体" w:hAnsi="宋体" w:cs="宋体"/>
              </w:rPr>
              <w:t>分</w:t>
            </w:r>
            <w:r>
              <w:rPr>
                <w:rFonts w:hint="eastAsia" w:ascii="宋体" w:hAnsi="宋体" w:cs="宋体"/>
              </w:rPr>
              <w:t>；</w:t>
            </w:r>
          </w:p>
          <w:p w14:paraId="2AA813FB">
            <w:pPr>
              <w:pStyle w:val="2"/>
              <w:spacing w:line="260" w:lineRule="exact"/>
              <w:rPr>
                <w:rFonts w:ascii="宋体" w:hAnsi="宋体" w:cs="宋体"/>
              </w:rPr>
            </w:pPr>
            <w:r>
              <w:rPr>
                <w:rFonts w:hint="eastAsia" w:ascii="宋体" w:hAnsi="宋体" w:cs="宋体"/>
              </w:rPr>
              <w:t>（</w:t>
            </w:r>
            <w:r>
              <w:rPr>
                <w:rFonts w:hint="eastAsia" w:ascii="宋体" w:hAnsi="宋体" w:cs="宋体"/>
                <w:lang w:val="en-US"/>
              </w:rPr>
              <w:t>3</w:t>
            </w:r>
            <w:r>
              <w:rPr>
                <w:rFonts w:hint="eastAsia" w:ascii="宋体" w:hAnsi="宋体" w:cs="宋体"/>
              </w:rPr>
              <w:t>）</w:t>
            </w:r>
            <w:r>
              <w:rPr>
                <w:rFonts w:ascii="宋体" w:hAnsi="宋体" w:cs="宋体"/>
              </w:rPr>
              <w:t>因自身原因，导致归档文件进行修改，每份文件扣0.</w:t>
            </w:r>
            <w:r>
              <w:rPr>
                <w:rFonts w:hint="eastAsia" w:ascii="宋体" w:hAnsi="宋体" w:cs="宋体"/>
                <w:lang w:val="en-US"/>
              </w:rPr>
              <w:t>5</w:t>
            </w:r>
            <w:r>
              <w:rPr>
                <w:rFonts w:ascii="宋体" w:hAnsi="宋体" w:cs="宋体"/>
              </w:rPr>
              <w:t>分。</w:t>
            </w:r>
          </w:p>
        </w:tc>
        <w:tc>
          <w:tcPr>
            <w:tcW w:w="1117" w:type="dxa"/>
            <w:tcMar>
              <w:left w:w="28" w:type="dxa"/>
              <w:right w:w="28" w:type="dxa"/>
            </w:tcMar>
            <w:vAlign w:val="center"/>
          </w:tcPr>
          <w:p w14:paraId="1A7D9A46">
            <w:pPr>
              <w:spacing w:line="260" w:lineRule="exact"/>
              <w:rPr>
                <w:rFonts w:ascii="宋体" w:hAnsi="宋体" w:cs="宋体"/>
                <w:sz w:val="18"/>
              </w:rPr>
            </w:pPr>
          </w:p>
        </w:tc>
        <w:tc>
          <w:tcPr>
            <w:tcW w:w="1020" w:type="dxa"/>
            <w:tcMar>
              <w:left w:w="28" w:type="dxa"/>
              <w:right w:w="28" w:type="dxa"/>
            </w:tcMar>
            <w:vAlign w:val="center"/>
          </w:tcPr>
          <w:p w14:paraId="6EEB4424">
            <w:pPr>
              <w:spacing w:line="260" w:lineRule="exact"/>
              <w:rPr>
                <w:rFonts w:ascii="宋体" w:hAnsi="宋体" w:cs="宋体"/>
                <w:sz w:val="18"/>
              </w:rPr>
            </w:pPr>
          </w:p>
        </w:tc>
      </w:tr>
      <w:tr w14:paraId="3FB6D7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636D733F">
            <w:pPr>
              <w:spacing w:line="260" w:lineRule="exact"/>
              <w:jc w:val="center"/>
              <w:rPr>
                <w:rFonts w:ascii="宋体" w:hAnsi="宋体" w:cs="宋体"/>
                <w:sz w:val="18"/>
              </w:rPr>
            </w:pPr>
          </w:p>
        </w:tc>
        <w:tc>
          <w:tcPr>
            <w:tcW w:w="1976" w:type="dxa"/>
            <w:vMerge w:val="continue"/>
            <w:tcMar>
              <w:left w:w="28" w:type="dxa"/>
              <w:right w:w="28" w:type="dxa"/>
            </w:tcMar>
            <w:vAlign w:val="center"/>
          </w:tcPr>
          <w:p w14:paraId="6431C91D">
            <w:pPr>
              <w:spacing w:line="260" w:lineRule="exact"/>
              <w:rPr>
                <w:rFonts w:ascii="宋体" w:hAnsi="宋体" w:cs="宋体"/>
                <w:sz w:val="18"/>
              </w:rPr>
            </w:pPr>
          </w:p>
        </w:tc>
        <w:tc>
          <w:tcPr>
            <w:tcW w:w="951" w:type="dxa"/>
            <w:vMerge w:val="continue"/>
            <w:tcMar>
              <w:left w:w="28" w:type="dxa"/>
              <w:right w:w="28" w:type="dxa"/>
            </w:tcMar>
            <w:vAlign w:val="center"/>
          </w:tcPr>
          <w:p w14:paraId="4155FBE8">
            <w:pPr>
              <w:spacing w:line="260" w:lineRule="exact"/>
              <w:jc w:val="center"/>
              <w:rPr>
                <w:rFonts w:ascii="宋体" w:hAnsi="宋体" w:cs="宋体"/>
                <w:sz w:val="18"/>
              </w:rPr>
            </w:pPr>
          </w:p>
        </w:tc>
        <w:tc>
          <w:tcPr>
            <w:tcW w:w="3348"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151E8B4E">
            <w:pPr>
              <w:spacing w:line="260" w:lineRule="exact"/>
              <w:rPr>
                <w:rFonts w:ascii="宋体" w:hAnsi="宋体" w:cs="宋体"/>
                <w:sz w:val="18"/>
              </w:rPr>
            </w:pPr>
            <w:r>
              <w:rPr>
                <w:rFonts w:hint="eastAsia" w:ascii="宋体" w:hAnsi="宋体" w:cs="宋体"/>
                <w:sz w:val="18"/>
              </w:rPr>
              <w:t>按照公司管理制度，采集、管理施工过程安全、质量控制数码照片。按照每周拍摄工程单位工程、分部工程、分项工程照片，照片分总体、局部、细节照片，照片质量必须符合要求，按要求提交安全质量亮点照片数量齐全。（1分）</w:t>
            </w:r>
          </w:p>
        </w:tc>
        <w:tc>
          <w:tcPr>
            <w:tcW w:w="3890" w:type="dxa"/>
            <w:tcBorders>
              <w:top w:val="single" w:color="000000" w:sz="4" w:space="0"/>
              <w:left w:val="single" w:color="000000" w:sz="4" w:space="0"/>
              <w:bottom w:val="single" w:color="000000" w:sz="4" w:space="0"/>
              <w:right w:val="single" w:color="000000" w:sz="4" w:space="0"/>
            </w:tcBorders>
            <w:tcMar>
              <w:left w:w="28" w:type="dxa"/>
              <w:right w:w="28" w:type="dxa"/>
            </w:tcMar>
            <w:vAlign w:val="center"/>
          </w:tcPr>
          <w:p w14:paraId="301B7759">
            <w:pPr>
              <w:spacing w:line="260" w:lineRule="exact"/>
              <w:rPr>
                <w:rFonts w:ascii="宋体" w:hAnsi="宋体" w:cs="宋体"/>
                <w:sz w:val="18"/>
              </w:rPr>
            </w:pPr>
            <w:r>
              <w:rPr>
                <w:rFonts w:hint="eastAsia" w:ascii="宋体" w:hAnsi="宋体" w:cs="宋体"/>
                <w:sz w:val="18"/>
              </w:rPr>
              <w:t>（1）有弄虚作假问题，每张扣0.5分；</w:t>
            </w:r>
          </w:p>
          <w:p w14:paraId="59A7662C">
            <w:pPr>
              <w:spacing w:line="260" w:lineRule="exact"/>
              <w:rPr>
                <w:rFonts w:ascii="宋体" w:hAnsi="宋体" w:cs="宋体"/>
                <w:sz w:val="18"/>
              </w:rPr>
            </w:pPr>
            <w:r>
              <w:rPr>
                <w:rFonts w:hint="eastAsia" w:ascii="宋体" w:hAnsi="宋体" w:cs="宋体"/>
                <w:sz w:val="18"/>
              </w:rPr>
              <w:t>（2）缺项、主题不明确、数量不足、未按要求分类整理、不规范或不满足要求，每张扣0.1分；</w:t>
            </w:r>
          </w:p>
          <w:p w14:paraId="5AD0D93D">
            <w:pPr>
              <w:spacing w:line="260" w:lineRule="exact"/>
              <w:rPr>
                <w:rFonts w:ascii="宋体" w:hAnsi="宋体" w:cs="宋体"/>
                <w:sz w:val="18"/>
              </w:rPr>
            </w:pPr>
            <w:r>
              <w:rPr>
                <w:rFonts w:hint="eastAsia" w:ascii="宋体" w:hAnsi="宋体" w:cs="宋体"/>
                <w:sz w:val="18"/>
              </w:rPr>
              <w:t>（3）未按要求整理、移交，扣0.5分。</w:t>
            </w:r>
          </w:p>
        </w:tc>
        <w:tc>
          <w:tcPr>
            <w:tcW w:w="1117" w:type="dxa"/>
            <w:tcMar>
              <w:left w:w="28" w:type="dxa"/>
              <w:right w:w="28" w:type="dxa"/>
            </w:tcMar>
            <w:vAlign w:val="center"/>
          </w:tcPr>
          <w:p w14:paraId="155DFAA4">
            <w:pPr>
              <w:spacing w:line="260" w:lineRule="exact"/>
              <w:rPr>
                <w:rFonts w:ascii="宋体" w:hAnsi="宋体" w:cs="宋体"/>
                <w:sz w:val="18"/>
              </w:rPr>
            </w:pPr>
          </w:p>
        </w:tc>
        <w:tc>
          <w:tcPr>
            <w:tcW w:w="1020" w:type="dxa"/>
            <w:tcMar>
              <w:left w:w="28" w:type="dxa"/>
              <w:right w:w="28" w:type="dxa"/>
            </w:tcMar>
            <w:vAlign w:val="center"/>
          </w:tcPr>
          <w:p w14:paraId="6D5881C9">
            <w:pPr>
              <w:spacing w:line="260" w:lineRule="exact"/>
              <w:rPr>
                <w:rFonts w:ascii="宋体" w:hAnsi="宋体" w:cs="宋体"/>
                <w:sz w:val="18"/>
              </w:rPr>
            </w:pPr>
          </w:p>
        </w:tc>
      </w:tr>
      <w:tr w14:paraId="582404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45" w:hRule="atLeast"/>
          <w:jc w:val="center"/>
        </w:trPr>
        <w:tc>
          <w:tcPr>
            <w:tcW w:w="547" w:type="dxa"/>
            <w:shd w:val="clear" w:color="auto" w:fill="BFBFBF"/>
            <w:tcMar>
              <w:left w:w="28" w:type="dxa"/>
              <w:right w:w="28" w:type="dxa"/>
            </w:tcMar>
            <w:vAlign w:val="center"/>
          </w:tcPr>
          <w:p w14:paraId="4D3D8EA8">
            <w:pPr>
              <w:spacing w:line="260" w:lineRule="exact"/>
              <w:jc w:val="center"/>
              <w:rPr>
                <w:rFonts w:ascii="宋体" w:hAnsi="宋体" w:cs="宋体"/>
                <w:b/>
                <w:sz w:val="18"/>
              </w:rPr>
            </w:pPr>
            <w:r>
              <w:rPr>
                <w:rFonts w:hint="eastAsia" w:ascii="宋体" w:hAnsi="宋体" w:cs="宋体"/>
                <w:b/>
                <w:sz w:val="18"/>
              </w:rPr>
              <w:t>4</w:t>
            </w:r>
          </w:p>
        </w:tc>
        <w:tc>
          <w:tcPr>
            <w:tcW w:w="12302" w:type="dxa"/>
            <w:gridSpan w:val="6"/>
            <w:shd w:val="clear" w:color="auto" w:fill="BFBFBF"/>
            <w:tcMar>
              <w:left w:w="28" w:type="dxa"/>
              <w:right w:w="28" w:type="dxa"/>
            </w:tcMar>
            <w:vAlign w:val="center"/>
          </w:tcPr>
          <w:p w14:paraId="3C970316">
            <w:pPr>
              <w:spacing w:line="260" w:lineRule="exact"/>
              <w:rPr>
                <w:rFonts w:ascii="宋体" w:hAnsi="宋体" w:cs="宋体"/>
                <w:b/>
                <w:sz w:val="18"/>
              </w:rPr>
            </w:pPr>
            <w:r>
              <w:rPr>
                <w:rFonts w:hint="eastAsia" w:ascii="宋体" w:hAnsi="宋体" w:cs="宋体"/>
                <w:b/>
                <w:sz w:val="18"/>
              </w:rPr>
              <w:t>安全管理（22分）</w:t>
            </w:r>
          </w:p>
        </w:tc>
      </w:tr>
      <w:tr w14:paraId="265631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2567CFA4">
            <w:pPr>
              <w:spacing w:line="260" w:lineRule="exact"/>
              <w:jc w:val="center"/>
              <w:rPr>
                <w:b/>
                <w:bCs/>
              </w:rPr>
            </w:pPr>
            <w:r>
              <w:rPr>
                <w:rFonts w:hint="eastAsia" w:ascii="宋体" w:hAnsi="宋体" w:cs="宋体"/>
                <w:b/>
                <w:bCs/>
                <w:sz w:val="18"/>
              </w:rPr>
              <w:t>4.1</w:t>
            </w:r>
          </w:p>
        </w:tc>
        <w:tc>
          <w:tcPr>
            <w:tcW w:w="1976" w:type="dxa"/>
            <w:shd w:val="clear" w:color="auto" w:fill="FFFFFF"/>
            <w:tcMar>
              <w:left w:w="28" w:type="dxa"/>
              <w:right w:w="28" w:type="dxa"/>
            </w:tcMar>
            <w:vAlign w:val="center"/>
          </w:tcPr>
          <w:p w14:paraId="71164078">
            <w:pPr>
              <w:spacing w:line="260" w:lineRule="exact"/>
              <w:ind w:right="53"/>
              <w:jc w:val="left"/>
              <w:rPr>
                <w:b/>
                <w:bCs/>
                <w:color w:val="000000"/>
                <w:sz w:val="18"/>
                <w:szCs w:val="18"/>
              </w:rPr>
            </w:pPr>
            <w:r>
              <w:rPr>
                <w:rFonts w:hint="eastAsia" w:ascii="宋体" w:hAnsi="宋体" w:cs="宋体"/>
                <w:b/>
                <w:bCs/>
                <w:sz w:val="18"/>
              </w:rPr>
              <w:t>安全风险管理</w:t>
            </w:r>
          </w:p>
        </w:tc>
        <w:tc>
          <w:tcPr>
            <w:tcW w:w="951" w:type="dxa"/>
            <w:shd w:val="clear" w:color="auto" w:fill="FFFFFF"/>
            <w:tcMar>
              <w:left w:w="28" w:type="dxa"/>
              <w:right w:w="28" w:type="dxa"/>
            </w:tcMar>
            <w:vAlign w:val="center"/>
          </w:tcPr>
          <w:p w14:paraId="273CF8E8">
            <w:pPr>
              <w:spacing w:line="260" w:lineRule="exact"/>
              <w:jc w:val="center"/>
              <w:rPr>
                <w:color w:val="000000"/>
                <w:sz w:val="18"/>
                <w:szCs w:val="18"/>
              </w:rPr>
            </w:pPr>
            <w:r>
              <w:rPr>
                <w:rFonts w:hint="eastAsia" w:ascii="宋体" w:hAnsi="宋体" w:cs="宋体"/>
                <w:sz w:val="18"/>
              </w:rPr>
              <w:t>2</w:t>
            </w:r>
          </w:p>
        </w:tc>
        <w:tc>
          <w:tcPr>
            <w:tcW w:w="3348" w:type="dxa"/>
            <w:shd w:val="clear" w:color="auto" w:fill="FFFFFF"/>
            <w:tcMar>
              <w:left w:w="28" w:type="dxa"/>
              <w:right w:w="28" w:type="dxa"/>
            </w:tcMar>
          </w:tcPr>
          <w:p w14:paraId="4C7E9C47">
            <w:pPr>
              <w:rPr>
                <w:color w:val="000000"/>
                <w:sz w:val="18"/>
                <w:szCs w:val="18"/>
              </w:rPr>
            </w:pPr>
            <w:r>
              <w:rPr>
                <w:rFonts w:hint="eastAsia" w:ascii="宋体" w:hAnsi="宋体" w:cs="宋体"/>
                <w:sz w:val="18"/>
              </w:rPr>
              <w:t>开展施工风险识别、评估，制定风险评估措施并在施工中落实。对现场作业风险进行复测，加强重点工序及作业内容的管控，按要求做好安全监护及到岗履职。</w:t>
            </w:r>
            <w:r>
              <w:rPr>
                <w:rFonts w:hint="eastAsia"/>
                <w:color w:val="000000"/>
                <w:sz w:val="18"/>
                <w:szCs w:val="18"/>
              </w:rPr>
              <w:t>（2分）</w:t>
            </w:r>
          </w:p>
        </w:tc>
        <w:tc>
          <w:tcPr>
            <w:tcW w:w="3890" w:type="dxa"/>
            <w:shd w:val="clear" w:color="auto" w:fill="FFFFFF"/>
            <w:tcMar>
              <w:left w:w="28" w:type="dxa"/>
              <w:right w:w="28" w:type="dxa"/>
            </w:tcMar>
          </w:tcPr>
          <w:p w14:paraId="34A5E560">
            <w:pPr>
              <w:spacing w:line="260" w:lineRule="exact"/>
              <w:rPr>
                <w:rFonts w:ascii="宋体" w:hAnsi="宋体" w:cs="宋体"/>
                <w:sz w:val="18"/>
              </w:rPr>
            </w:pPr>
            <w:r>
              <w:rPr>
                <w:rFonts w:hint="eastAsia" w:ascii="宋体" w:hAnsi="宋体" w:cs="宋体"/>
                <w:sz w:val="18"/>
              </w:rPr>
              <w:t>（1）未按规定开展相关工作，每项扣1分；</w:t>
            </w:r>
          </w:p>
          <w:p w14:paraId="590B0F2F">
            <w:pPr>
              <w:spacing w:line="260" w:lineRule="exact"/>
              <w:rPr>
                <w:color w:val="000000"/>
                <w:sz w:val="18"/>
                <w:szCs w:val="18"/>
              </w:rPr>
            </w:pPr>
            <w:r>
              <w:rPr>
                <w:rFonts w:hint="eastAsia" w:ascii="宋体" w:hAnsi="宋体" w:cs="宋体"/>
                <w:sz w:val="18"/>
              </w:rPr>
              <w:t>（2）工作开展不规范或不符合要求，每项扣0.5分。</w:t>
            </w:r>
          </w:p>
        </w:tc>
        <w:tc>
          <w:tcPr>
            <w:tcW w:w="1117" w:type="dxa"/>
            <w:shd w:val="clear" w:color="auto" w:fill="FFFFFF"/>
            <w:tcMar>
              <w:left w:w="28" w:type="dxa"/>
              <w:right w:w="28" w:type="dxa"/>
            </w:tcMar>
            <w:vAlign w:val="center"/>
          </w:tcPr>
          <w:p w14:paraId="4C677254">
            <w:pPr>
              <w:jc w:val="center"/>
              <w:rPr>
                <w:rFonts w:ascii="宋体" w:hAnsi="宋体" w:cs="宋体"/>
                <w:b/>
                <w:sz w:val="18"/>
              </w:rPr>
            </w:pPr>
          </w:p>
        </w:tc>
        <w:tc>
          <w:tcPr>
            <w:tcW w:w="1020" w:type="dxa"/>
            <w:shd w:val="clear" w:color="auto" w:fill="FFFFFF"/>
            <w:tcMar>
              <w:left w:w="28" w:type="dxa"/>
              <w:right w:w="28" w:type="dxa"/>
            </w:tcMar>
            <w:vAlign w:val="center"/>
          </w:tcPr>
          <w:p w14:paraId="2C230E2D">
            <w:pPr>
              <w:jc w:val="center"/>
              <w:rPr>
                <w:rFonts w:ascii="宋体" w:hAnsi="宋体" w:cs="宋体"/>
                <w:b/>
                <w:sz w:val="18"/>
              </w:rPr>
            </w:pPr>
          </w:p>
        </w:tc>
      </w:tr>
      <w:tr w14:paraId="7083A3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7906A98B">
            <w:pPr>
              <w:spacing w:line="260" w:lineRule="exact"/>
              <w:jc w:val="center"/>
              <w:rPr>
                <w:b/>
                <w:bCs/>
              </w:rPr>
            </w:pPr>
            <w:r>
              <w:rPr>
                <w:rFonts w:hint="eastAsia" w:ascii="宋体" w:hAnsi="宋体" w:cs="宋体"/>
                <w:b/>
                <w:bCs/>
                <w:sz w:val="18"/>
              </w:rPr>
              <w:t>4.2</w:t>
            </w:r>
          </w:p>
        </w:tc>
        <w:tc>
          <w:tcPr>
            <w:tcW w:w="1976" w:type="dxa"/>
            <w:shd w:val="clear" w:color="auto" w:fill="FFFFFF"/>
            <w:tcMar>
              <w:left w:w="28" w:type="dxa"/>
              <w:right w:w="28" w:type="dxa"/>
            </w:tcMar>
            <w:vAlign w:val="center"/>
          </w:tcPr>
          <w:p w14:paraId="3E1E18D7">
            <w:pPr>
              <w:spacing w:line="260" w:lineRule="exact"/>
              <w:ind w:right="53"/>
              <w:jc w:val="left"/>
              <w:rPr>
                <w:b/>
                <w:bCs/>
                <w:color w:val="000000"/>
                <w:sz w:val="18"/>
                <w:szCs w:val="18"/>
              </w:rPr>
            </w:pPr>
            <w:r>
              <w:rPr>
                <w:rFonts w:hint="eastAsia" w:ascii="宋体" w:hAnsi="宋体" w:cs="宋体"/>
                <w:b/>
                <w:bCs/>
                <w:sz w:val="18"/>
              </w:rPr>
              <w:t>隐患排查治理</w:t>
            </w:r>
          </w:p>
        </w:tc>
        <w:tc>
          <w:tcPr>
            <w:tcW w:w="951" w:type="dxa"/>
            <w:shd w:val="clear" w:color="auto" w:fill="FFFFFF"/>
            <w:tcMar>
              <w:left w:w="28" w:type="dxa"/>
              <w:right w:w="28" w:type="dxa"/>
            </w:tcMar>
            <w:vAlign w:val="center"/>
          </w:tcPr>
          <w:p w14:paraId="7AC16679">
            <w:pPr>
              <w:spacing w:line="260" w:lineRule="exact"/>
              <w:jc w:val="center"/>
              <w:rPr>
                <w:color w:val="000000"/>
                <w:sz w:val="18"/>
                <w:szCs w:val="18"/>
              </w:rPr>
            </w:pPr>
            <w:r>
              <w:rPr>
                <w:rFonts w:hint="eastAsia" w:ascii="宋体" w:hAnsi="宋体" w:cs="宋体"/>
                <w:sz w:val="18"/>
              </w:rPr>
              <w:t>2</w:t>
            </w:r>
          </w:p>
        </w:tc>
        <w:tc>
          <w:tcPr>
            <w:tcW w:w="3348" w:type="dxa"/>
            <w:shd w:val="clear" w:color="auto" w:fill="FFFFFF"/>
            <w:tcMar>
              <w:left w:w="28" w:type="dxa"/>
              <w:right w:w="28" w:type="dxa"/>
            </w:tcMar>
            <w:vAlign w:val="center"/>
          </w:tcPr>
          <w:p w14:paraId="5D814B69">
            <w:pPr>
              <w:spacing w:line="260" w:lineRule="exact"/>
              <w:rPr>
                <w:rFonts w:ascii="宋体" w:hAnsi="宋体" w:cs="宋体"/>
                <w:sz w:val="18"/>
              </w:rPr>
            </w:pPr>
            <w:r>
              <w:rPr>
                <w:rFonts w:hint="eastAsia" w:ascii="宋体" w:hAnsi="宋体" w:cs="宋体"/>
                <w:sz w:val="18"/>
              </w:rPr>
              <w:t>定期组织隐患排查评估、定级和治理。（2分）</w:t>
            </w:r>
          </w:p>
        </w:tc>
        <w:tc>
          <w:tcPr>
            <w:tcW w:w="3890" w:type="dxa"/>
            <w:shd w:val="clear" w:color="auto" w:fill="FFFFFF"/>
            <w:tcMar>
              <w:left w:w="28" w:type="dxa"/>
              <w:right w:w="28" w:type="dxa"/>
            </w:tcMar>
          </w:tcPr>
          <w:p w14:paraId="505BFE12">
            <w:pPr>
              <w:spacing w:line="260" w:lineRule="exact"/>
              <w:rPr>
                <w:rFonts w:ascii="宋体" w:hAnsi="宋体" w:cs="宋体"/>
                <w:sz w:val="18"/>
              </w:rPr>
            </w:pPr>
            <w:r>
              <w:rPr>
                <w:rFonts w:hint="eastAsia" w:ascii="宋体" w:hAnsi="宋体" w:cs="宋体"/>
                <w:sz w:val="18"/>
              </w:rPr>
              <w:t>（1）未及时开展隐患排查评估、定级，每次扣0.5分；</w:t>
            </w:r>
          </w:p>
          <w:p w14:paraId="28EFF8AD">
            <w:pPr>
              <w:spacing w:line="260" w:lineRule="exact"/>
              <w:rPr>
                <w:rFonts w:ascii="宋体" w:hAnsi="宋体" w:cs="宋体"/>
                <w:sz w:val="18"/>
              </w:rPr>
            </w:pPr>
            <w:r>
              <w:rPr>
                <w:rFonts w:hint="eastAsia" w:ascii="宋体" w:hAnsi="宋体" w:cs="宋体"/>
                <w:sz w:val="18"/>
              </w:rPr>
              <w:t>（2）隐患评估定级未及时上报审核，每次扣0.5分；</w:t>
            </w:r>
          </w:p>
          <w:p w14:paraId="1E718AC8">
            <w:pPr>
              <w:spacing w:line="260" w:lineRule="exact"/>
              <w:rPr>
                <w:rFonts w:ascii="宋体" w:hAnsi="宋体" w:cs="宋体"/>
                <w:sz w:val="18"/>
              </w:rPr>
            </w:pPr>
            <w:r>
              <w:rPr>
                <w:rFonts w:hint="eastAsia" w:ascii="宋体" w:hAnsi="宋体" w:cs="宋体"/>
                <w:sz w:val="18"/>
              </w:rPr>
              <w:t>（3）针对排查出的隐患，未制定整改措施，或整改措施不到位，每次扣0.5分。</w:t>
            </w:r>
          </w:p>
        </w:tc>
        <w:tc>
          <w:tcPr>
            <w:tcW w:w="1117" w:type="dxa"/>
            <w:shd w:val="clear" w:color="auto" w:fill="FFFFFF"/>
            <w:tcMar>
              <w:left w:w="28" w:type="dxa"/>
              <w:right w:w="28" w:type="dxa"/>
            </w:tcMar>
            <w:vAlign w:val="center"/>
          </w:tcPr>
          <w:p w14:paraId="7C0541B2">
            <w:pPr>
              <w:jc w:val="center"/>
              <w:rPr>
                <w:rFonts w:ascii="宋体" w:hAnsi="宋体" w:cs="宋体"/>
                <w:b/>
                <w:sz w:val="18"/>
              </w:rPr>
            </w:pPr>
          </w:p>
        </w:tc>
        <w:tc>
          <w:tcPr>
            <w:tcW w:w="1020" w:type="dxa"/>
            <w:shd w:val="clear" w:color="auto" w:fill="FFFFFF"/>
            <w:tcMar>
              <w:left w:w="28" w:type="dxa"/>
              <w:right w:w="28" w:type="dxa"/>
            </w:tcMar>
            <w:vAlign w:val="center"/>
          </w:tcPr>
          <w:p w14:paraId="210432E4">
            <w:pPr>
              <w:jc w:val="center"/>
              <w:rPr>
                <w:rFonts w:ascii="宋体" w:hAnsi="宋体" w:cs="宋体"/>
                <w:b/>
                <w:sz w:val="18"/>
              </w:rPr>
            </w:pPr>
          </w:p>
        </w:tc>
      </w:tr>
      <w:tr w14:paraId="285CC4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shd w:val="clear" w:color="auto" w:fill="FFFFFF"/>
            <w:tcMar>
              <w:left w:w="28" w:type="dxa"/>
              <w:right w:w="28" w:type="dxa"/>
            </w:tcMar>
            <w:vAlign w:val="center"/>
          </w:tcPr>
          <w:p w14:paraId="4C72060A">
            <w:pPr>
              <w:spacing w:line="260" w:lineRule="exact"/>
              <w:jc w:val="center"/>
              <w:rPr>
                <w:b/>
                <w:bCs/>
              </w:rPr>
            </w:pPr>
            <w:r>
              <w:rPr>
                <w:rFonts w:hint="eastAsia" w:ascii="宋体" w:hAnsi="宋体" w:cs="宋体"/>
                <w:b/>
                <w:bCs/>
                <w:sz w:val="18"/>
              </w:rPr>
              <w:t>4.3</w:t>
            </w:r>
          </w:p>
        </w:tc>
        <w:tc>
          <w:tcPr>
            <w:tcW w:w="1976" w:type="dxa"/>
            <w:vMerge w:val="restart"/>
            <w:shd w:val="clear" w:color="auto" w:fill="FFFFFF"/>
            <w:tcMar>
              <w:left w:w="28" w:type="dxa"/>
              <w:right w:w="28" w:type="dxa"/>
            </w:tcMar>
            <w:vAlign w:val="center"/>
          </w:tcPr>
          <w:p w14:paraId="6EB9998A">
            <w:pPr>
              <w:spacing w:line="260" w:lineRule="exact"/>
              <w:ind w:right="53"/>
              <w:jc w:val="left"/>
              <w:rPr>
                <w:b/>
                <w:bCs/>
                <w:color w:val="000000"/>
                <w:sz w:val="18"/>
                <w:szCs w:val="18"/>
              </w:rPr>
            </w:pPr>
            <w:r>
              <w:rPr>
                <w:rFonts w:hint="eastAsia" w:ascii="宋体" w:hAnsi="宋体" w:cs="宋体"/>
                <w:b/>
                <w:bCs/>
                <w:sz w:val="18"/>
              </w:rPr>
              <w:t>安全教育培训</w:t>
            </w:r>
          </w:p>
        </w:tc>
        <w:tc>
          <w:tcPr>
            <w:tcW w:w="951" w:type="dxa"/>
            <w:vMerge w:val="restart"/>
            <w:shd w:val="clear" w:color="auto" w:fill="FFFFFF"/>
            <w:tcMar>
              <w:left w:w="28" w:type="dxa"/>
              <w:right w:w="28" w:type="dxa"/>
            </w:tcMar>
            <w:vAlign w:val="center"/>
          </w:tcPr>
          <w:p w14:paraId="7049CB5E">
            <w:pPr>
              <w:spacing w:line="260" w:lineRule="exact"/>
              <w:jc w:val="center"/>
              <w:rPr>
                <w:color w:val="000000"/>
                <w:sz w:val="18"/>
                <w:szCs w:val="18"/>
              </w:rPr>
            </w:pPr>
            <w:r>
              <w:rPr>
                <w:rFonts w:hint="eastAsia" w:ascii="宋体" w:hAnsi="宋体" w:cs="宋体"/>
                <w:sz w:val="18"/>
              </w:rPr>
              <w:t>4</w:t>
            </w:r>
          </w:p>
        </w:tc>
        <w:tc>
          <w:tcPr>
            <w:tcW w:w="3348" w:type="dxa"/>
            <w:shd w:val="clear" w:color="auto" w:fill="FFFFFF"/>
            <w:tcMar>
              <w:left w:w="28" w:type="dxa"/>
              <w:right w:w="28" w:type="dxa"/>
            </w:tcMar>
            <w:vAlign w:val="center"/>
          </w:tcPr>
          <w:p w14:paraId="3229168B">
            <w:pPr>
              <w:rPr>
                <w:color w:val="000000"/>
                <w:sz w:val="18"/>
                <w:szCs w:val="18"/>
              </w:rPr>
            </w:pPr>
            <w:r>
              <w:rPr>
                <w:rFonts w:hint="eastAsia" w:ascii="宋体" w:hAnsi="宋体" w:cs="宋体"/>
                <w:sz w:val="18"/>
              </w:rPr>
              <w:t>组织全体人员进行安全教育培训，经考试合格上岗。</w:t>
            </w:r>
            <w:r>
              <w:rPr>
                <w:rFonts w:hint="eastAsia"/>
                <w:color w:val="000000"/>
                <w:sz w:val="18"/>
                <w:szCs w:val="18"/>
              </w:rPr>
              <w:t>（2分）</w:t>
            </w:r>
          </w:p>
        </w:tc>
        <w:tc>
          <w:tcPr>
            <w:tcW w:w="3890" w:type="dxa"/>
            <w:shd w:val="clear" w:color="auto" w:fill="FFFFFF"/>
            <w:tcMar>
              <w:left w:w="28" w:type="dxa"/>
              <w:right w:w="28" w:type="dxa"/>
            </w:tcMar>
            <w:vAlign w:val="center"/>
          </w:tcPr>
          <w:p w14:paraId="6A697B96">
            <w:pPr>
              <w:spacing w:line="260" w:lineRule="exact"/>
              <w:rPr>
                <w:rFonts w:ascii="宋体" w:hAnsi="宋体" w:cs="宋体"/>
                <w:sz w:val="18"/>
              </w:rPr>
            </w:pPr>
            <w:r>
              <w:rPr>
                <w:rFonts w:hint="eastAsia" w:ascii="宋体" w:hAnsi="宋体" w:cs="宋体"/>
                <w:sz w:val="18"/>
              </w:rPr>
              <w:t>（1）未组织岗前安全培训教育和考试，每人扣1分；</w:t>
            </w:r>
          </w:p>
          <w:p w14:paraId="18F5C80C">
            <w:pPr>
              <w:spacing w:line="260" w:lineRule="exact"/>
              <w:rPr>
                <w:rFonts w:ascii="宋体" w:hAnsi="宋体" w:cs="宋体"/>
                <w:sz w:val="18"/>
              </w:rPr>
            </w:pPr>
            <w:r>
              <w:rPr>
                <w:rFonts w:hint="eastAsia" w:ascii="宋体" w:hAnsi="宋体" w:cs="宋体"/>
                <w:sz w:val="18"/>
              </w:rPr>
              <w:t>（2）教育和培训记录存在代考/代签现象的，每人扣0.5分。</w:t>
            </w:r>
          </w:p>
          <w:p w14:paraId="6E68ABD4">
            <w:pPr>
              <w:spacing w:line="260" w:lineRule="exact"/>
              <w:rPr>
                <w:color w:val="000000"/>
                <w:sz w:val="18"/>
                <w:szCs w:val="18"/>
              </w:rPr>
            </w:pPr>
            <w:r>
              <w:rPr>
                <w:rFonts w:hint="eastAsia" w:ascii="宋体" w:hAnsi="宋体" w:cs="宋体"/>
                <w:sz w:val="18"/>
              </w:rPr>
              <w:t>（3）考试结果未及时上报监理部，扣0.5分。</w:t>
            </w:r>
          </w:p>
        </w:tc>
        <w:tc>
          <w:tcPr>
            <w:tcW w:w="1117" w:type="dxa"/>
            <w:shd w:val="clear" w:color="auto" w:fill="FFFFFF"/>
            <w:tcMar>
              <w:left w:w="28" w:type="dxa"/>
              <w:right w:w="28" w:type="dxa"/>
            </w:tcMar>
            <w:vAlign w:val="center"/>
          </w:tcPr>
          <w:p w14:paraId="5C67D813">
            <w:pPr>
              <w:jc w:val="center"/>
              <w:rPr>
                <w:rFonts w:ascii="宋体" w:hAnsi="宋体" w:cs="宋体"/>
                <w:b/>
                <w:sz w:val="18"/>
              </w:rPr>
            </w:pPr>
          </w:p>
        </w:tc>
        <w:tc>
          <w:tcPr>
            <w:tcW w:w="1020" w:type="dxa"/>
            <w:shd w:val="clear" w:color="auto" w:fill="FFFFFF"/>
            <w:tcMar>
              <w:left w:w="28" w:type="dxa"/>
              <w:right w:w="28" w:type="dxa"/>
            </w:tcMar>
            <w:vAlign w:val="center"/>
          </w:tcPr>
          <w:p w14:paraId="4A7D6F05">
            <w:pPr>
              <w:jc w:val="center"/>
              <w:rPr>
                <w:rFonts w:ascii="宋体" w:hAnsi="宋体" w:cs="宋体"/>
                <w:b/>
                <w:sz w:val="18"/>
              </w:rPr>
            </w:pPr>
          </w:p>
        </w:tc>
      </w:tr>
      <w:tr w14:paraId="23DFEE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shd w:val="clear" w:color="auto" w:fill="FFFFFF"/>
            <w:tcMar>
              <w:left w:w="28" w:type="dxa"/>
              <w:right w:w="28" w:type="dxa"/>
            </w:tcMar>
            <w:vAlign w:val="center"/>
          </w:tcPr>
          <w:p w14:paraId="4252DB0B">
            <w:pPr>
              <w:spacing w:line="260" w:lineRule="exact"/>
              <w:jc w:val="center"/>
            </w:pPr>
          </w:p>
        </w:tc>
        <w:tc>
          <w:tcPr>
            <w:tcW w:w="1976" w:type="dxa"/>
            <w:vMerge w:val="continue"/>
            <w:shd w:val="clear" w:color="auto" w:fill="FFFFFF"/>
            <w:tcMar>
              <w:left w:w="28" w:type="dxa"/>
              <w:right w:w="28" w:type="dxa"/>
            </w:tcMar>
            <w:vAlign w:val="center"/>
          </w:tcPr>
          <w:p w14:paraId="7049A898">
            <w:pPr>
              <w:spacing w:line="260" w:lineRule="exact"/>
              <w:ind w:right="53"/>
              <w:jc w:val="left"/>
              <w:rPr>
                <w:color w:val="000000"/>
                <w:sz w:val="18"/>
                <w:szCs w:val="18"/>
              </w:rPr>
            </w:pPr>
          </w:p>
        </w:tc>
        <w:tc>
          <w:tcPr>
            <w:tcW w:w="951" w:type="dxa"/>
            <w:vMerge w:val="continue"/>
            <w:shd w:val="clear" w:color="auto" w:fill="FFFFFF"/>
            <w:tcMar>
              <w:left w:w="28" w:type="dxa"/>
              <w:right w:w="28" w:type="dxa"/>
            </w:tcMar>
            <w:vAlign w:val="center"/>
          </w:tcPr>
          <w:p w14:paraId="00272096">
            <w:pPr>
              <w:spacing w:line="260" w:lineRule="exact"/>
              <w:jc w:val="center"/>
              <w:rPr>
                <w:color w:val="000000"/>
                <w:sz w:val="18"/>
                <w:szCs w:val="18"/>
              </w:rPr>
            </w:pPr>
          </w:p>
        </w:tc>
        <w:tc>
          <w:tcPr>
            <w:tcW w:w="3348" w:type="dxa"/>
            <w:shd w:val="clear" w:color="auto" w:fill="FFFFFF"/>
            <w:tcMar>
              <w:left w:w="28" w:type="dxa"/>
              <w:right w:w="28" w:type="dxa"/>
            </w:tcMar>
            <w:vAlign w:val="center"/>
          </w:tcPr>
          <w:p w14:paraId="5753B771">
            <w:pPr>
              <w:spacing w:line="260" w:lineRule="exact"/>
              <w:rPr>
                <w:color w:val="000000"/>
                <w:sz w:val="18"/>
                <w:szCs w:val="18"/>
              </w:rPr>
            </w:pPr>
            <w:r>
              <w:rPr>
                <w:rFonts w:hint="eastAsia" w:ascii="宋体" w:hAnsi="宋体" w:cs="宋体"/>
                <w:sz w:val="18"/>
              </w:rPr>
              <w:t>组织全体施工人员进行安全技术交底。</w:t>
            </w:r>
            <w:r>
              <w:rPr>
                <w:rFonts w:hint="eastAsia"/>
                <w:color w:val="000000"/>
                <w:sz w:val="18"/>
                <w:szCs w:val="18"/>
              </w:rPr>
              <w:t>（2分）</w:t>
            </w:r>
          </w:p>
        </w:tc>
        <w:tc>
          <w:tcPr>
            <w:tcW w:w="3890" w:type="dxa"/>
            <w:shd w:val="clear" w:color="auto" w:fill="FFFFFF"/>
            <w:tcMar>
              <w:left w:w="28" w:type="dxa"/>
              <w:right w:w="28" w:type="dxa"/>
            </w:tcMar>
            <w:vAlign w:val="center"/>
          </w:tcPr>
          <w:p w14:paraId="092E84CC">
            <w:pPr>
              <w:spacing w:line="260" w:lineRule="exact"/>
              <w:rPr>
                <w:rFonts w:ascii="宋体" w:hAnsi="宋体" w:cs="宋体"/>
                <w:sz w:val="18"/>
              </w:rPr>
            </w:pPr>
            <w:r>
              <w:rPr>
                <w:rFonts w:hint="eastAsia" w:ascii="宋体" w:hAnsi="宋体" w:cs="宋体"/>
                <w:sz w:val="18"/>
              </w:rPr>
              <w:t>（1）未进行全员安全技术交底，每次扣1分；</w:t>
            </w:r>
          </w:p>
          <w:p w14:paraId="2D5EF19F">
            <w:pPr>
              <w:spacing w:line="260" w:lineRule="exact"/>
              <w:rPr>
                <w:rFonts w:ascii="宋体" w:hAnsi="宋体" w:cs="宋体"/>
                <w:sz w:val="18"/>
              </w:rPr>
            </w:pPr>
            <w:r>
              <w:rPr>
                <w:rFonts w:hint="eastAsia" w:ascii="宋体" w:hAnsi="宋体" w:cs="宋体"/>
                <w:sz w:val="18"/>
              </w:rPr>
              <w:t>（2）未全员签字或存在代签现象，每人扣0.5分；</w:t>
            </w:r>
          </w:p>
          <w:p w14:paraId="684B639E">
            <w:pPr>
              <w:spacing w:line="260" w:lineRule="exact"/>
              <w:rPr>
                <w:color w:val="000000"/>
                <w:sz w:val="18"/>
                <w:szCs w:val="18"/>
              </w:rPr>
            </w:pPr>
            <w:r>
              <w:rPr>
                <w:rFonts w:hint="eastAsia" w:ascii="宋体" w:hAnsi="宋体" w:cs="宋体"/>
                <w:sz w:val="18"/>
              </w:rPr>
              <w:t>（3）交底内容针对性差、过于简单，或后补交底过程材料等，每次扣0.5分。</w:t>
            </w:r>
          </w:p>
        </w:tc>
        <w:tc>
          <w:tcPr>
            <w:tcW w:w="1117" w:type="dxa"/>
            <w:shd w:val="clear" w:color="auto" w:fill="FFFFFF"/>
            <w:tcMar>
              <w:left w:w="28" w:type="dxa"/>
              <w:right w:w="28" w:type="dxa"/>
            </w:tcMar>
            <w:vAlign w:val="center"/>
          </w:tcPr>
          <w:p w14:paraId="7025762C">
            <w:pPr>
              <w:jc w:val="center"/>
              <w:rPr>
                <w:rFonts w:ascii="宋体" w:hAnsi="宋体" w:cs="宋体"/>
                <w:b/>
                <w:sz w:val="18"/>
              </w:rPr>
            </w:pPr>
          </w:p>
        </w:tc>
        <w:tc>
          <w:tcPr>
            <w:tcW w:w="1020" w:type="dxa"/>
            <w:shd w:val="clear" w:color="auto" w:fill="FFFFFF"/>
            <w:tcMar>
              <w:left w:w="28" w:type="dxa"/>
              <w:right w:w="28" w:type="dxa"/>
            </w:tcMar>
            <w:vAlign w:val="center"/>
          </w:tcPr>
          <w:p w14:paraId="5373080C">
            <w:pPr>
              <w:jc w:val="center"/>
              <w:rPr>
                <w:rFonts w:ascii="宋体" w:hAnsi="宋体" w:cs="宋体"/>
                <w:b/>
                <w:sz w:val="18"/>
              </w:rPr>
            </w:pPr>
          </w:p>
        </w:tc>
      </w:tr>
      <w:tr w14:paraId="28918F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1B4B8B97">
            <w:pPr>
              <w:spacing w:line="260" w:lineRule="exact"/>
              <w:jc w:val="center"/>
              <w:rPr>
                <w:b/>
                <w:bCs/>
              </w:rPr>
            </w:pPr>
            <w:r>
              <w:rPr>
                <w:rFonts w:hint="eastAsia" w:ascii="宋体" w:hAnsi="宋体" w:cs="宋体"/>
                <w:b/>
                <w:bCs/>
                <w:sz w:val="18"/>
              </w:rPr>
              <w:t>4.4</w:t>
            </w:r>
          </w:p>
        </w:tc>
        <w:tc>
          <w:tcPr>
            <w:tcW w:w="1976" w:type="dxa"/>
            <w:shd w:val="clear" w:color="auto" w:fill="FFFFFF"/>
            <w:tcMar>
              <w:left w:w="28" w:type="dxa"/>
              <w:right w:w="28" w:type="dxa"/>
            </w:tcMar>
            <w:vAlign w:val="center"/>
          </w:tcPr>
          <w:p w14:paraId="617C54DA">
            <w:pPr>
              <w:spacing w:line="260" w:lineRule="exact"/>
              <w:ind w:right="53"/>
              <w:jc w:val="left"/>
              <w:rPr>
                <w:b/>
                <w:bCs/>
                <w:color w:val="000000"/>
                <w:sz w:val="18"/>
                <w:szCs w:val="18"/>
              </w:rPr>
            </w:pPr>
            <w:r>
              <w:rPr>
                <w:rFonts w:hint="eastAsia" w:ascii="宋体" w:hAnsi="宋体" w:cs="宋体"/>
                <w:b/>
                <w:bCs/>
                <w:sz w:val="18"/>
              </w:rPr>
              <w:t>安全文明施工管理</w:t>
            </w:r>
          </w:p>
        </w:tc>
        <w:tc>
          <w:tcPr>
            <w:tcW w:w="951" w:type="dxa"/>
            <w:shd w:val="clear" w:color="auto" w:fill="FFFFFF"/>
            <w:tcMar>
              <w:left w:w="28" w:type="dxa"/>
              <w:right w:w="28" w:type="dxa"/>
            </w:tcMar>
            <w:vAlign w:val="center"/>
          </w:tcPr>
          <w:p w14:paraId="3DAAB453">
            <w:pPr>
              <w:spacing w:line="260" w:lineRule="exact"/>
              <w:jc w:val="center"/>
              <w:rPr>
                <w:color w:val="000000"/>
                <w:sz w:val="18"/>
                <w:szCs w:val="18"/>
              </w:rPr>
            </w:pPr>
            <w:r>
              <w:rPr>
                <w:rFonts w:hint="eastAsia" w:ascii="宋体" w:hAnsi="宋体" w:cs="宋体"/>
                <w:sz w:val="18"/>
              </w:rPr>
              <w:t>2</w:t>
            </w:r>
          </w:p>
        </w:tc>
        <w:tc>
          <w:tcPr>
            <w:tcW w:w="3348" w:type="dxa"/>
            <w:shd w:val="clear" w:color="auto" w:fill="FFFFFF"/>
            <w:tcMar>
              <w:left w:w="28" w:type="dxa"/>
              <w:right w:w="28" w:type="dxa"/>
            </w:tcMar>
            <w:vAlign w:val="center"/>
          </w:tcPr>
          <w:p w14:paraId="4B246FAA">
            <w:pPr>
              <w:spacing w:line="260" w:lineRule="exact"/>
              <w:rPr>
                <w:color w:val="000000"/>
                <w:sz w:val="18"/>
                <w:szCs w:val="18"/>
              </w:rPr>
            </w:pPr>
            <w:r>
              <w:rPr>
                <w:rFonts w:hint="eastAsia" w:ascii="宋体" w:hAnsi="宋体" w:cs="宋体"/>
                <w:sz w:val="18"/>
              </w:rPr>
              <w:t>编制并上报安全生产费使用计划，贯彻落实安全文明施工标准化要求，实现“六化”要求。（2分）</w:t>
            </w:r>
          </w:p>
        </w:tc>
        <w:tc>
          <w:tcPr>
            <w:tcW w:w="3890" w:type="dxa"/>
            <w:shd w:val="clear" w:color="auto" w:fill="FFFFFF"/>
            <w:tcMar>
              <w:left w:w="28" w:type="dxa"/>
              <w:right w:w="28" w:type="dxa"/>
            </w:tcMar>
          </w:tcPr>
          <w:p w14:paraId="7F72679C">
            <w:pPr>
              <w:spacing w:line="260" w:lineRule="exact"/>
              <w:rPr>
                <w:rFonts w:ascii="宋体" w:hAnsi="宋体" w:cs="宋体"/>
                <w:sz w:val="18"/>
              </w:rPr>
            </w:pPr>
            <w:r>
              <w:rPr>
                <w:rFonts w:hint="eastAsia" w:ascii="宋体" w:hAnsi="宋体" w:cs="宋体"/>
                <w:sz w:val="18"/>
              </w:rPr>
              <w:t>（1）安全防护设施配置不统一、不规范每处扣0.</w:t>
            </w:r>
            <w:r>
              <w:rPr>
                <w:rFonts w:ascii="宋体" w:hAnsi="宋体" w:cs="宋体"/>
                <w:sz w:val="18"/>
              </w:rPr>
              <w:t xml:space="preserve">5 </w:t>
            </w:r>
            <w:r>
              <w:rPr>
                <w:rFonts w:hint="eastAsia" w:ascii="宋体" w:hAnsi="宋体" w:cs="宋体"/>
                <w:sz w:val="18"/>
              </w:rPr>
              <w:t>分；安全文明施工类物品（包括：安全帽、安全带、速差自控器、安全自锁器、下线爬梯、验电器、接地线等）的管理和使用不符合规定，每类扣0.</w:t>
            </w:r>
            <w:r>
              <w:rPr>
                <w:rFonts w:ascii="宋体" w:hAnsi="宋体" w:cs="宋体"/>
                <w:sz w:val="18"/>
              </w:rPr>
              <w:t>5</w:t>
            </w:r>
            <w:r>
              <w:rPr>
                <w:rFonts w:hint="eastAsia" w:ascii="宋体" w:hAnsi="宋体" w:cs="宋体"/>
                <w:sz w:val="18"/>
              </w:rPr>
              <w:t>分；</w:t>
            </w:r>
          </w:p>
          <w:p w14:paraId="3C399D85">
            <w:pPr>
              <w:spacing w:line="260" w:lineRule="exact"/>
              <w:rPr>
                <w:rFonts w:ascii="宋体" w:hAnsi="宋体" w:cs="宋体"/>
                <w:sz w:val="18"/>
              </w:rPr>
            </w:pPr>
            <w:r>
              <w:rPr>
                <w:rFonts w:hint="eastAsia" w:ascii="宋体" w:hAnsi="宋体" w:cs="宋体"/>
                <w:sz w:val="18"/>
              </w:rPr>
              <w:t>（</w:t>
            </w:r>
            <w:r>
              <w:rPr>
                <w:rFonts w:ascii="宋体" w:hAnsi="宋体" w:cs="宋体"/>
                <w:sz w:val="18"/>
              </w:rPr>
              <w:t>2</w:t>
            </w:r>
            <w:r>
              <w:rPr>
                <w:rFonts w:hint="eastAsia" w:ascii="宋体" w:hAnsi="宋体" w:cs="宋体"/>
                <w:sz w:val="18"/>
              </w:rPr>
              <w:t>）安全生产费未按月使用计划进行，每次扣0.5分；</w:t>
            </w:r>
          </w:p>
          <w:p w14:paraId="51ED4FC3">
            <w:pPr>
              <w:spacing w:line="260" w:lineRule="exact"/>
              <w:rPr>
                <w:rFonts w:ascii="宋体" w:hAnsi="宋体" w:cs="宋体"/>
                <w:sz w:val="18"/>
              </w:rPr>
            </w:pPr>
            <w:r>
              <w:rPr>
                <w:rFonts w:hint="eastAsia" w:ascii="宋体" w:hAnsi="宋体" w:cs="宋体"/>
                <w:sz w:val="18"/>
              </w:rPr>
              <w:t>（</w:t>
            </w:r>
            <w:r>
              <w:rPr>
                <w:rFonts w:ascii="宋体" w:hAnsi="宋体" w:cs="宋体"/>
                <w:sz w:val="18"/>
              </w:rPr>
              <w:t>3</w:t>
            </w:r>
            <w:r>
              <w:rPr>
                <w:rFonts w:hint="eastAsia" w:ascii="宋体" w:hAnsi="宋体" w:cs="宋体"/>
                <w:sz w:val="18"/>
              </w:rPr>
              <w:t>）安全文明施工未实行常态化管理，每次扣0.5分；安全文明施工缺陷整改不及时、不彻底，每次扣0.</w:t>
            </w:r>
            <w:r>
              <w:rPr>
                <w:rFonts w:ascii="宋体" w:hAnsi="宋体" w:cs="宋体"/>
                <w:sz w:val="18"/>
              </w:rPr>
              <w:t>5</w:t>
            </w:r>
            <w:r>
              <w:rPr>
                <w:rFonts w:hint="eastAsia" w:ascii="宋体" w:hAnsi="宋体" w:cs="宋体"/>
                <w:sz w:val="18"/>
              </w:rPr>
              <w:t>分；</w:t>
            </w:r>
          </w:p>
          <w:p w14:paraId="4C834D22">
            <w:pPr>
              <w:spacing w:line="260" w:lineRule="exact"/>
              <w:rPr>
                <w:rFonts w:ascii="宋体" w:hAnsi="宋体" w:cs="宋体"/>
                <w:sz w:val="18"/>
              </w:rPr>
            </w:pPr>
            <w:r>
              <w:rPr>
                <w:rFonts w:hint="eastAsia" w:ascii="宋体" w:hAnsi="宋体" w:cs="宋体"/>
                <w:sz w:val="18"/>
              </w:rPr>
              <w:t>（</w:t>
            </w:r>
            <w:r>
              <w:rPr>
                <w:rFonts w:ascii="宋体" w:hAnsi="宋体" w:cs="宋体"/>
                <w:sz w:val="18"/>
              </w:rPr>
              <w:t>4</w:t>
            </w:r>
            <w:r>
              <w:rPr>
                <w:rFonts w:hint="eastAsia" w:ascii="宋体" w:hAnsi="宋体" w:cs="宋体"/>
                <w:sz w:val="18"/>
              </w:rPr>
              <w:t>）现场安全文明施工形象差，被公司领导、专家组及业主项目部批评，每批评一次扣1分。</w:t>
            </w:r>
          </w:p>
          <w:p w14:paraId="2F1709A2">
            <w:pPr>
              <w:pStyle w:val="2"/>
              <w:rPr>
                <w:lang w:val="en-US"/>
              </w:rPr>
            </w:pPr>
            <w:r>
              <w:rPr>
                <w:rFonts w:hint="eastAsia" w:ascii="宋体" w:hAnsi="宋体" w:cs="宋体"/>
                <w:szCs w:val="22"/>
              </w:rPr>
              <w:t>（</w:t>
            </w:r>
            <w:r>
              <w:rPr>
                <w:rFonts w:hint="eastAsia" w:ascii="宋体" w:hAnsi="宋体" w:cs="宋体"/>
                <w:szCs w:val="22"/>
                <w:lang w:val="en-US"/>
              </w:rPr>
              <w:t>5</w:t>
            </w:r>
            <w:r>
              <w:rPr>
                <w:rFonts w:hint="eastAsia" w:ascii="宋体" w:hAnsi="宋体" w:cs="宋体"/>
                <w:szCs w:val="22"/>
              </w:rPr>
              <w:t>）</w:t>
            </w:r>
            <w:r>
              <w:rPr>
                <w:rFonts w:hint="eastAsia" w:ascii="仿宋_GB2312" w:hAnsi="仿宋_GB2312" w:cs="仿宋_GB2312"/>
                <w:bCs/>
                <w:lang w:val="en-US"/>
              </w:rPr>
              <w:t>在现场安全文明管理上实施“6s”管理法，提升现场安全文明施工水平，大力推动参建人员素质养成，提高技能，规范作业行为。未编制场安全文明管理上实施“6s”管理法实施方案一次扣2分，未落实相关要求至少扣除1分。</w:t>
            </w:r>
          </w:p>
        </w:tc>
        <w:tc>
          <w:tcPr>
            <w:tcW w:w="1117" w:type="dxa"/>
            <w:shd w:val="clear" w:color="auto" w:fill="FFFFFF"/>
            <w:tcMar>
              <w:left w:w="28" w:type="dxa"/>
              <w:right w:w="28" w:type="dxa"/>
            </w:tcMar>
            <w:vAlign w:val="center"/>
          </w:tcPr>
          <w:p w14:paraId="73462AC9">
            <w:pPr>
              <w:jc w:val="center"/>
              <w:rPr>
                <w:rFonts w:ascii="宋体" w:hAnsi="宋体" w:cs="宋体"/>
                <w:b/>
                <w:sz w:val="18"/>
              </w:rPr>
            </w:pPr>
          </w:p>
        </w:tc>
        <w:tc>
          <w:tcPr>
            <w:tcW w:w="1020" w:type="dxa"/>
            <w:shd w:val="clear" w:color="auto" w:fill="FFFFFF"/>
            <w:tcMar>
              <w:left w:w="28" w:type="dxa"/>
              <w:right w:w="28" w:type="dxa"/>
            </w:tcMar>
            <w:vAlign w:val="center"/>
          </w:tcPr>
          <w:p w14:paraId="33CC45C0">
            <w:pPr>
              <w:jc w:val="center"/>
              <w:rPr>
                <w:rFonts w:ascii="宋体" w:hAnsi="宋体" w:cs="宋体"/>
                <w:b/>
                <w:sz w:val="18"/>
              </w:rPr>
            </w:pPr>
          </w:p>
        </w:tc>
      </w:tr>
      <w:tr w14:paraId="3B8855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53338E35">
            <w:pPr>
              <w:spacing w:line="260" w:lineRule="exact"/>
              <w:jc w:val="center"/>
              <w:rPr>
                <w:b/>
                <w:bCs/>
              </w:rPr>
            </w:pPr>
            <w:r>
              <w:rPr>
                <w:rFonts w:hint="eastAsia" w:ascii="宋体" w:hAnsi="宋体" w:cs="宋体"/>
                <w:b/>
                <w:bCs/>
                <w:sz w:val="18"/>
              </w:rPr>
              <w:t>4.5</w:t>
            </w:r>
          </w:p>
        </w:tc>
        <w:tc>
          <w:tcPr>
            <w:tcW w:w="1976" w:type="dxa"/>
            <w:shd w:val="clear" w:color="auto" w:fill="FFFFFF"/>
            <w:tcMar>
              <w:left w:w="28" w:type="dxa"/>
              <w:right w:w="28" w:type="dxa"/>
            </w:tcMar>
            <w:vAlign w:val="center"/>
          </w:tcPr>
          <w:p w14:paraId="21E9F8A5">
            <w:pPr>
              <w:pStyle w:val="46"/>
              <w:spacing w:line="260" w:lineRule="exact"/>
              <w:ind w:left="0" w:leftChars="0" w:right="53"/>
              <w:jc w:val="left"/>
              <w:rPr>
                <w:b/>
                <w:bCs/>
                <w:szCs w:val="18"/>
              </w:rPr>
            </w:pPr>
            <w:r>
              <w:rPr>
                <w:rFonts w:hint="eastAsia" w:ascii="宋体" w:hAnsi="宋体" w:cs="宋体"/>
                <w:b/>
                <w:bCs/>
              </w:rPr>
              <w:t>分包安全管理</w:t>
            </w:r>
          </w:p>
        </w:tc>
        <w:tc>
          <w:tcPr>
            <w:tcW w:w="951" w:type="dxa"/>
            <w:shd w:val="clear" w:color="auto" w:fill="FFFFFF"/>
            <w:tcMar>
              <w:left w:w="28" w:type="dxa"/>
              <w:right w:w="28" w:type="dxa"/>
            </w:tcMar>
            <w:vAlign w:val="center"/>
          </w:tcPr>
          <w:p w14:paraId="68171265">
            <w:pPr>
              <w:spacing w:line="260" w:lineRule="exact"/>
              <w:jc w:val="center"/>
              <w:rPr>
                <w:color w:val="000000"/>
                <w:sz w:val="18"/>
                <w:szCs w:val="18"/>
              </w:rPr>
            </w:pPr>
            <w:r>
              <w:rPr>
                <w:rFonts w:hint="eastAsia" w:ascii="宋体" w:hAnsi="宋体" w:cs="宋体"/>
                <w:sz w:val="18"/>
              </w:rPr>
              <w:t>4</w:t>
            </w:r>
          </w:p>
        </w:tc>
        <w:tc>
          <w:tcPr>
            <w:tcW w:w="3348" w:type="dxa"/>
            <w:shd w:val="clear" w:color="auto" w:fill="FFFFFF"/>
            <w:tcMar>
              <w:left w:w="28" w:type="dxa"/>
              <w:right w:w="28" w:type="dxa"/>
            </w:tcMar>
            <w:vAlign w:val="center"/>
          </w:tcPr>
          <w:p w14:paraId="60D5AADE">
            <w:pPr>
              <w:spacing w:line="260" w:lineRule="exact"/>
              <w:rPr>
                <w:color w:val="000000"/>
                <w:sz w:val="18"/>
                <w:szCs w:val="18"/>
              </w:rPr>
            </w:pPr>
            <w:r>
              <w:rPr>
                <w:rFonts w:hint="eastAsia" w:ascii="宋体" w:hAnsi="宋体" w:cs="宋体"/>
                <w:sz w:val="18"/>
              </w:rPr>
              <w:t>分包队伍选用规范，在分包工程开工前报监理和业主项目部备案。对分包工程施工安全实施全过程动态管理，将分包商纳入现场施工项目部安全管理体系。</w:t>
            </w:r>
            <w:r>
              <w:rPr>
                <w:rFonts w:hint="eastAsia"/>
                <w:color w:val="000000"/>
                <w:sz w:val="18"/>
                <w:szCs w:val="18"/>
              </w:rPr>
              <w:t>（4分）</w:t>
            </w:r>
          </w:p>
        </w:tc>
        <w:tc>
          <w:tcPr>
            <w:tcW w:w="3890" w:type="dxa"/>
            <w:shd w:val="clear" w:color="auto" w:fill="FFFFFF"/>
            <w:tcMar>
              <w:left w:w="28" w:type="dxa"/>
              <w:right w:w="28" w:type="dxa"/>
            </w:tcMar>
            <w:vAlign w:val="center"/>
          </w:tcPr>
          <w:p w14:paraId="4D25425E">
            <w:pPr>
              <w:spacing w:line="260" w:lineRule="exact"/>
              <w:rPr>
                <w:rFonts w:ascii="宋体" w:hAnsi="宋体" w:cs="宋体"/>
                <w:sz w:val="18"/>
              </w:rPr>
            </w:pPr>
            <w:r>
              <w:rPr>
                <w:rFonts w:hint="eastAsia" w:ascii="宋体" w:hAnsi="宋体" w:cs="宋体"/>
                <w:sz w:val="18"/>
              </w:rPr>
              <w:t>（1）分包不规范，存在转包、违规分包，每例/项扣2分；</w:t>
            </w:r>
          </w:p>
          <w:p w14:paraId="07C89860">
            <w:pPr>
              <w:spacing w:line="260" w:lineRule="exact"/>
              <w:rPr>
                <w:rFonts w:ascii="宋体" w:hAnsi="宋体" w:cs="宋体"/>
                <w:sz w:val="18"/>
              </w:rPr>
            </w:pPr>
            <w:r>
              <w:rPr>
                <w:rFonts w:hint="eastAsia" w:ascii="宋体" w:hAnsi="宋体" w:cs="宋体"/>
                <w:sz w:val="18"/>
              </w:rPr>
              <w:t>（2）分包商人员和数量无法满足工程进度要求，每项扣1分；</w:t>
            </w:r>
          </w:p>
          <w:p w14:paraId="5CDD30D1">
            <w:pPr>
              <w:spacing w:line="260" w:lineRule="exact"/>
              <w:rPr>
                <w:rFonts w:ascii="宋体" w:hAnsi="宋体" w:cs="宋体"/>
                <w:sz w:val="18"/>
              </w:rPr>
            </w:pPr>
            <w:r>
              <w:rPr>
                <w:rFonts w:hint="eastAsia" w:ascii="宋体" w:hAnsi="宋体" w:cs="宋体"/>
                <w:sz w:val="18"/>
              </w:rPr>
              <w:t>（3）对分包人员未进行培训考试，未建立台账，每人次扣0.5分。</w:t>
            </w:r>
          </w:p>
          <w:p w14:paraId="5DD5CFBB">
            <w:pPr>
              <w:spacing w:line="260" w:lineRule="exact"/>
              <w:rPr>
                <w:rFonts w:ascii="宋体" w:hAnsi="宋体" w:cs="宋体"/>
                <w:sz w:val="18"/>
              </w:rPr>
            </w:pPr>
            <w:r>
              <w:rPr>
                <w:rFonts w:hint="eastAsia" w:ascii="宋体" w:hAnsi="宋体" w:cs="宋体"/>
                <w:sz w:val="18"/>
              </w:rPr>
              <w:t>（4）劳务分包人员防护用品配置不齐全，每人次扣0.5分；</w:t>
            </w:r>
          </w:p>
          <w:p w14:paraId="101A8EC4">
            <w:pPr>
              <w:spacing w:line="260" w:lineRule="exact"/>
              <w:rPr>
                <w:rFonts w:ascii="宋体" w:hAnsi="宋体" w:cs="宋体"/>
                <w:sz w:val="18"/>
              </w:rPr>
            </w:pPr>
            <w:r>
              <w:rPr>
                <w:rFonts w:hint="eastAsia" w:ascii="宋体" w:hAnsi="宋体" w:cs="宋体"/>
                <w:sz w:val="18"/>
              </w:rPr>
              <w:t>（5）动态核查分包商人员人证相符情况，如不符合每人次扣0.5分；</w:t>
            </w:r>
          </w:p>
          <w:p w14:paraId="34003226">
            <w:pPr>
              <w:spacing w:line="260" w:lineRule="exact"/>
              <w:rPr>
                <w:rFonts w:ascii="宋体" w:hAnsi="宋体" w:cs="宋体"/>
                <w:sz w:val="18"/>
              </w:rPr>
            </w:pPr>
            <w:r>
              <w:rPr>
                <w:rFonts w:hint="eastAsia" w:ascii="宋体" w:hAnsi="宋体" w:cs="宋体"/>
                <w:sz w:val="18"/>
              </w:rPr>
              <w:t>（6）分包单位项目管理关键人员、作业层班组骨干岗位任职资格为与投标承诺一致、不满足要求，每人次扣0.5分；</w:t>
            </w:r>
          </w:p>
          <w:p w14:paraId="4DE86567">
            <w:pPr>
              <w:spacing w:line="260" w:lineRule="exact"/>
              <w:rPr>
                <w:color w:val="000000"/>
                <w:sz w:val="18"/>
                <w:szCs w:val="18"/>
              </w:rPr>
            </w:pPr>
            <w:r>
              <w:rPr>
                <w:rFonts w:hint="eastAsia" w:ascii="宋体" w:hAnsi="宋体" w:cs="宋体"/>
                <w:sz w:val="18"/>
              </w:rPr>
              <w:t>（7）分包单位施工资质、人员配置、施工机具为满足工程需要，每项扣0.5分。</w:t>
            </w:r>
          </w:p>
        </w:tc>
        <w:tc>
          <w:tcPr>
            <w:tcW w:w="1117" w:type="dxa"/>
            <w:shd w:val="clear" w:color="auto" w:fill="FFFFFF"/>
            <w:tcMar>
              <w:left w:w="28" w:type="dxa"/>
              <w:right w:w="28" w:type="dxa"/>
            </w:tcMar>
            <w:vAlign w:val="center"/>
          </w:tcPr>
          <w:p w14:paraId="1C244A74">
            <w:pPr>
              <w:jc w:val="center"/>
              <w:rPr>
                <w:rFonts w:ascii="宋体" w:hAnsi="宋体" w:cs="宋体"/>
                <w:b/>
                <w:sz w:val="18"/>
              </w:rPr>
            </w:pPr>
          </w:p>
        </w:tc>
        <w:tc>
          <w:tcPr>
            <w:tcW w:w="1020" w:type="dxa"/>
            <w:shd w:val="clear" w:color="auto" w:fill="FFFFFF"/>
            <w:tcMar>
              <w:left w:w="28" w:type="dxa"/>
              <w:right w:w="28" w:type="dxa"/>
            </w:tcMar>
            <w:vAlign w:val="center"/>
          </w:tcPr>
          <w:p w14:paraId="542F2580">
            <w:pPr>
              <w:jc w:val="center"/>
              <w:rPr>
                <w:rFonts w:ascii="宋体" w:hAnsi="宋体" w:cs="宋体"/>
                <w:b/>
                <w:sz w:val="18"/>
              </w:rPr>
            </w:pPr>
          </w:p>
        </w:tc>
      </w:tr>
      <w:tr w14:paraId="40F9C5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shd w:val="clear" w:color="auto" w:fill="FFFFFF"/>
            <w:tcMar>
              <w:left w:w="28" w:type="dxa"/>
              <w:right w:w="28" w:type="dxa"/>
            </w:tcMar>
            <w:vAlign w:val="center"/>
          </w:tcPr>
          <w:p w14:paraId="452F91D5">
            <w:pPr>
              <w:spacing w:line="260" w:lineRule="exact"/>
              <w:jc w:val="center"/>
              <w:rPr>
                <w:b/>
                <w:bCs/>
              </w:rPr>
            </w:pPr>
            <w:r>
              <w:rPr>
                <w:rFonts w:hint="eastAsia" w:ascii="宋体" w:hAnsi="宋体" w:cs="宋体"/>
                <w:b/>
                <w:bCs/>
                <w:sz w:val="18"/>
              </w:rPr>
              <w:t>4.6</w:t>
            </w:r>
          </w:p>
        </w:tc>
        <w:tc>
          <w:tcPr>
            <w:tcW w:w="1976" w:type="dxa"/>
            <w:shd w:val="clear" w:color="auto" w:fill="FFFFFF"/>
            <w:tcMar>
              <w:left w:w="28" w:type="dxa"/>
              <w:right w:w="28" w:type="dxa"/>
            </w:tcMar>
            <w:vAlign w:val="center"/>
          </w:tcPr>
          <w:p w14:paraId="2696FB01">
            <w:pPr>
              <w:pStyle w:val="46"/>
              <w:spacing w:line="260" w:lineRule="exact"/>
              <w:ind w:left="0" w:leftChars="0" w:right="53"/>
              <w:jc w:val="left"/>
              <w:rPr>
                <w:b/>
                <w:bCs/>
                <w:szCs w:val="18"/>
              </w:rPr>
            </w:pPr>
            <w:r>
              <w:rPr>
                <w:rFonts w:hint="eastAsia" w:ascii="宋体" w:hAnsi="宋体" w:cs="宋体"/>
                <w:b/>
                <w:bCs/>
              </w:rPr>
              <w:t>应急管理</w:t>
            </w:r>
          </w:p>
        </w:tc>
        <w:tc>
          <w:tcPr>
            <w:tcW w:w="951" w:type="dxa"/>
            <w:shd w:val="clear" w:color="auto" w:fill="FFFFFF"/>
            <w:tcMar>
              <w:left w:w="28" w:type="dxa"/>
              <w:right w:w="28" w:type="dxa"/>
            </w:tcMar>
            <w:vAlign w:val="center"/>
          </w:tcPr>
          <w:p w14:paraId="049E6FB0">
            <w:pPr>
              <w:spacing w:line="260" w:lineRule="exact"/>
              <w:jc w:val="center"/>
              <w:rPr>
                <w:color w:val="000000"/>
                <w:sz w:val="18"/>
                <w:szCs w:val="18"/>
              </w:rPr>
            </w:pPr>
            <w:r>
              <w:rPr>
                <w:rFonts w:hint="eastAsia" w:ascii="宋体" w:hAnsi="宋体" w:cs="宋体"/>
                <w:sz w:val="18"/>
              </w:rPr>
              <w:t>2</w:t>
            </w:r>
          </w:p>
        </w:tc>
        <w:tc>
          <w:tcPr>
            <w:tcW w:w="3348" w:type="dxa"/>
            <w:shd w:val="clear" w:color="auto" w:fill="FFFFFF"/>
            <w:tcMar>
              <w:left w:w="28" w:type="dxa"/>
              <w:right w:w="28" w:type="dxa"/>
            </w:tcMar>
          </w:tcPr>
          <w:p w14:paraId="373D71BB">
            <w:pPr>
              <w:spacing w:line="260" w:lineRule="exact"/>
              <w:rPr>
                <w:color w:val="000000"/>
                <w:sz w:val="18"/>
                <w:szCs w:val="18"/>
              </w:rPr>
            </w:pPr>
            <w:r>
              <w:rPr>
                <w:rFonts w:hint="eastAsia" w:ascii="宋体" w:hAnsi="宋体" w:cs="宋体"/>
                <w:sz w:val="18"/>
                <w:szCs w:val="24"/>
              </w:rPr>
              <w:t>组建现场应急救援队伍，配备应急救援物资和工器具，参加应急救援知识培训和现场应急演练。</w:t>
            </w:r>
            <w:r>
              <w:rPr>
                <w:rFonts w:hint="eastAsia"/>
                <w:color w:val="000000"/>
                <w:sz w:val="18"/>
                <w:szCs w:val="18"/>
              </w:rPr>
              <w:t>（2分）</w:t>
            </w:r>
          </w:p>
        </w:tc>
        <w:tc>
          <w:tcPr>
            <w:tcW w:w="3890" w:type="dxa"/>
            <w:shd w:val="clear" w:color="auto" w:fill="FFFFFF"/>
            <w:tcMar>
              <w:left w:w="28" w:type="dxa"/>
              <w:right w:w="28" w:type="dxa"/>
            </w:tcMar>
          </w:tcPr>
          <w:p w14:paraId="21E2C649">
            <w:pPr>
              <w:spacing w:line="260" w:lineRule="exact"/>
              <w:rPr>
                <w:rFonts w:ascii="宋体" w:hAnsi="宋体" w:cs="宋体"/>
                <w:sz w:val="18"/>
              </w:rPr>
            </w:pPr>
            <w:r>
              <w:rPr>
                <w:rFonts w:hint="eastAsia" w:ascii="宋体" w:hAnsi="宋体" w:cs="宋体"/>
                <w:sz w:val="18"/>
              </w:rPr>
              <w:t>（1）未按要求组建现场应急救援队伍，扣1分；</w:t>
            </w:r>
          </w:p>
          <w:p w14:paraId="68FF1116">
            <w:pPr>
              <w:spacing w:line="260" w:lineRule="exact"/>
              <w:rPr>
                <w:rFonts w:ascii="宋体" w:hAnsi="宋体" w:cs="宋体"/>
                <w:sz w:val="18"/>
              </w:rPr>
            </w:pPr>
            <w:r>
              <w:rPr>
                <w:rFonts w:hint="eastAsia" w:ascii="宋体" w:hAnsi="宋体" w:cs="宋体"/>
                <w:sz w:val="18"/>
              </w:rPr>
              <w:t>（2）未配备应急救援物资和工器具，或未落实管理人员及责任，扣1分；</w:t>
            </w:r>
          </w:p>
          <w:p w14:paraId="1457189B">
            <w:pPr>
              <w:spacing w:line="260" w:lineRule="exact"/>
              <w:rPr>
                <w:rFonts w:ascii="宋体" w:hAnsi="宋体" w:cs="宋体"/>
                <w:sz w:val="18"/>
              </w:rPr>
            </w:pPr>
            <w:r>
              <w:rPr>
                <w:rFonts w:hint="eastAsia" w:ascii="宋体" w:hAnsi="宋体" w:cs="宋体"/>
                <w:sz w:val="18"/>
              </w:rPr>
              <w:t>（3）应急救援物资和工器具配备不全，每缺少一项扣0.5分；</w:t>
            </w:r>
          </w:p>
          <w:p w14:paraId="1A96EE5E">
            <w:pPr>
              <w:spacing w:line="260" w:lineRule="exact"/>
              <w:rPr>
                <w:color w:val="000000"/>
                <w:sz w:val="18"/>
                <w:szCs w:val="18"/>
              </w:rPr>
            </w:pPr>
            <w:r>
              <w:rPr>
                <w:rFonts w:hint="eastAsia" w:ascii="宋体" w:hAnsi="宋体" w:cs="宋体"/>
                <w:sz w:val="18"/>
              </w:rPr>
              <w:t>（4）未填写现场应急处置方案演练记录，扣0.5分。</w:t>
            </w:r>
          </w:p>
        </w:tc>
        <w:tc>
          <w:tcPr>
            <w:tcW w:w="1117" w:type="dxa"/>
            <w:shd w:val="clear" w:color="auto" w:fill="FFFFFF"/>
            <w:tcMar>
              <w:left w:w="28" w:type="dxa"/>
              <w:right w:w="28" w:type="dxa"/>
            </w:tcMar>
            <w:vAlign w:val="center"/>
          </w:tcPr>
          <w:p w14:paraId="3EEE5725">
            <w:pPr>
              <w:jc w:val="center"/>
              <w:rPr>
                <w:rFonts w:ascii="宋体" w:hAnsi="宋体" w:cs="宋体"/>
                <w:b/>
                <w:sz w:val="18"/>
              </w:rPr>
            </w:pPr>
          </w:p>
        </w:tc>
        <w:tc>
          <w:tcPr>
            <w:tcW w:w="1020" w:type="dxa"/>
            <w:shd w:val="clear" w:color="auto" w:fill="FFFFFF"/>
            <w:tcMar>
              <w:left w:w="28" w:type="dxa"/>
              <w:right w:w="28" w:type="dxa"/>
            </w:tcMar>
            <w:vAlign w:val="center"/>
          </w:tcPr>
          <w:p w14:paraId="2F7008D3">
            <w:pPr>
              <w:jc w:val="center"/>
              <w:rPr>
                <w:rFonts w:ascii="宋体" w:hAnsi="宋体" w:cs="宋体"/>
                <w:b/>
                <w:sz w:val="18"/>
              </w:rPr>
            </w:pPr>
          </w:p>
        </w:tc>
      </w:tr>
      <w:tr w14:paraId="21EFE9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shd w:val="clear" w:color="auto" w:fill="FFFFFF"/>
            <w:tcMar>
              <w:left w:w="28" w:type="dxa"/>
              <w:right w:w="28" w:type="dxa"/>
            </w:tcMar>
            <w:vAlign w:val="center"/>
          </w:tcPr>
          <w:p w14:paraId="06654C52">
            <w:pPr>
              <w:spacing w:line="260" w:lineRule="exact"/>
              <w:jc w:val="center"/>
              <w:rPr>
                <w:b/>
                <w:bCs/>
                <w:color w:val="000000"/>
                <w:sz w:val="18"/>
                <w:szCs w:val="18"/>
              </w:rPr>
            </w:pPr>
            <w:r>
              <w:rPr>
                <w:rFonts w:hint="eastAsia" w:ascii="宋体" w:hAnsi="宋体" w:cs="宋体"/>
                <w:b/>
                <w:bCs/>
                <w:sz w:val="18"/>
              </w:rPr>
              <w:t>4.7</w:t>
            </w:r>
          </w:p>
        </w:tc>
        <w:tc>
          <w:tcPr>
            <w:tcW w:w="1976" w:type="dxa"/>
            <w:vMerge w:val="restart"/>
            <w:shd w:val="clear" w:color="auto" w:fill="FFFFFF"/>
            <w:tcMar>
              <w:left w:w="28" w:type="dxa"/>
              <w:right w:w="28" w:type="dxa"/>
            </w:tcMar>
            <w:vAlign w:val="center"/>
          </w:tcPr>
          <w:p w14:paraId="77BFE533">
            <w:pPr>
              <w:spacing w:line="260" w:lineRule="exact"/>
              <w:ind w:right="53"/>
              <w:jc w:val="left"/>
              <w:rPr>
                <w:b/>
                <w:bCs/>
                <w:color w:val="000000"/>
                <w:sz w:val="18"/>
                <w:szCs w:val="18"/>
              </w:rPr>
            </w:pPr>
            <w:r>
              <w:rPr>
                <w:rFonts w:hint="eastAsia" w:ascii="宋体" w:hAnsi="宋体" w:cs="宋体"/>
                <w:b/>
                <w:bCs/>
                <w:sz w:val="18"/>
              </w:rPr>
              <w:t>反违章管理</w:t>
            </w:r>
          </w:p>
        </w:tc>
        <w:tc>
          <w:tcPr>
            <w:tcW w:w="951" w:type="dxa"/>
            <w:vMerge w:val="restart"/>
            <w:shd w:val="clear" w:color="auto" w:fill="FFFFFF"/>
            <w:tcMar>
              <w:left w:w="28" w:type="dxa"/>
              <w:right w:w="28" w:type="dxa"/>
            </w:tcMar>
            <w:vAlign w:val="center"/>
          </w:tcPr>
          <w:p w14:paraId="635FC40D">
            <w:pPr>
              <w:spacing w:line="260" w:lineRule="exact"/>
              <w:jc w:val="center"/>
              <w:rPr>
                <w:color w:val="000000"/>
                <w:sz w:val="18"/>
                <w:szCs w:val="18"/>
              </w:rPr>
            </w:pPr>
            <w:r>
              <w:rPr>
                <w:rFonts w:hint="eastAsia" w:ascii="宋体" w:hAnsi="宋体" w:cs="宋体"/>
                <w:sz w:val="18"/>
              </w:rPr>
              <w:t>6</w:t>
            </w:r>
          </w:p>
        </w:tc>
        <w:tc>
          <w:tcPr>
            <w:tcW w:w="3348" w:type="dxa"/>
            <w:shd w:val="clear" w:color="auto" w:fill="FFFFFF"/>
            <w:tcMar>
              <w:left w:w="28" w:type="dxa"/>
              <w:right w:w="28" w:type="dxa"/>
            </w:tcMar>
          </w:tcPr>
          <w:p w14:paraId="1258EEF8">
            <w:pPr>
              <w:spacing w:line="260" w:lineRule="exact"/>
              <w:rPr>
                <w:color w:val="000000"/>
                <w:sz w:val="18"/>
                <w:szCs w:val="18"/>
              </w:rPr>
            </w:pPr>
            <w:r>
              <w:rPr>
                <w:rFonts w:hint="eastAsia" w:ascii="宋体" w:hAnsi="宋体" w:cs="宋体"/>
                <w:sz w:val="18"/>
              </w:rPr>
              <w:t>组织安全及文明施工例行检查，对检查中发现的各类安全隐患及时整改闭环。</w:t>
            </w:r>
            <w:r>
              <w:rPr>
                <w:rFonts w:hint="eastAsia"/>
                <w:color w:val="000000"/>
                <w:sz w:val="18"/>
                <w:szCs w:val="18"/>
              </w:rPr>
              <w:t>（3分）</w:t>
            </w:r>
          </w:p>
        </w:tc>
        <w:tc>
          <w:tcPr>
            <w:tcW w:w="3890" w:type="dxa"/>
            <w:shd w:val="clear" w:color="auto" w:fill="FFFFFF"/>
            <w:tcMar>
              <w:left w:w="28" w:type="dxa"/>
              <w:right w:w="28" w:type="dxa"/>
            </w:tcMar>
          </w:tcPr>
          <w:p w14:paraId="6FB8FF76">
            <w:pPr>
              <w:spacing w:line="260" w:lineRule="exact"/>
              <w:rPr>
                <w:rFonts w:ascii="宋体" w:hAnsi="宋体" w:cs="宋体"/>
                <w:sz w:val="18"/>
              </w:rPr>
            </w:pPr>
            <w:r>
              <w:rPr>
                <w:rFonts w:hint="eastAsia" w:ascii="宋体" w:hAnsi="宋体" w:cs="宋体"/>
                <w:sz w:val="18"/>
              </w:rPr>
              <w:t>（1）未按规定组织安全检查，缺少一次扣1分；</w:t>
            </w:r>
          </w:p>
          <w:p w14:paraId="4962515C">
            <w:pPr>
              <w:spacing w:line="260" w:lineRule="exact"/>
              <w:rPr>
                <w:rFonts w:ascii="宋体" w:hAnsi="宋体" w:cs="宋体"/>
                <w:sz w:val="18"/>
              </w:rPr>
            </w:pPr>
            <w:r>
              <w:rPr>
                <w:rFonts w:hint="eastAsia" w:ascii="宋体" w:hAnsi="宋体" w:cs="宋体"/>
                <w:sz w:val="18"/>
              </w:rPr>
              <w:t>（2）安全检查发现的问题未及时整改，每次扣0.5分；</w:t>
            </w:r>
          </w:p>
          <w:p w14:paraId="41CB6C64">
            <w:pPr>
              <w:spacing w:line="260" w:lineRule="exact"/>
              <w:rPr>
                <w:color w:val="000000"/>
                <w:sz w:val="18"/>
                <w:szCs w:val="18"/>
              </w:rPr>
            </w:pPr>
            <w:r>
              <w:rPr>
                <w:rFonts w:hint="eastAsia" w:ascii="宋体" w:hAnsi="宋体" w:cs="宋体"/>
                <w:sz w:val="18"/>
              </w:rPr>
              <w:t>（3）安全检查不认真，每次扣0.5分。</w:t>
            </w:r>
          </w:p>
        </w:tc>
        <w:tc>
          <w:tcPr>
            <w:tcW w:w="1117" w:type="dxa"/>
            <w:shd w:val="clear" w:color="auto" w:fill="FFFFFF"/>
            <w:tcMar>
              <w:left w:w="28" w:type="dxa"/>
              <w:right w:w="28" w:type="dxa"/>
            </w:tcMar>
            <w:vAlign w:val="center"/>
          </w:tcPr>
          <w:p w14:paraId="0E76E439">
            <w:pPr>
              <w:jc w:val="center"/>
              <w:rPr>
                <w:rFonts w:ascii="宋体" w:hAnsi="宋体" w:cs="宋体"/>
                <w:b/>
                <w:sz w:val="18"/>
              </w:rPr>
            </w:pPr>
          </w:p>
        </w:tc>
        <w:tc>
          <w:tcPr>
            <w:tcW w:w="1020" w:type="dxa"/>
            <w:shd w:val="clear" w:color="auto" w:fill="FFFFFF"/>
            <w:tcMar>
              <w:left w:w="28" w:type="dxa"/>
              <w:right w:w="28" w:type="dxa"/>
            </w:tcMar>
            <w:vAlign w:val="center"/>
          </w:tcPr>
          <w:p w14:paraId="234EC7DF">
            <w:pPr>
              <w:jc w:val="center"/>
              <w:rPr>
                <w:rFonts w:ascii="宋体" w:hAnsi="宋体" w:cs="宋体"/>
                <w:b/>
                <w:sz w:val="18"/>
              </w:rPr>
            </w:pPr>
          </w:p>
        </w:tc>
      </w:tr>
      <w:tr w14:paraId="5191F6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shd w:val="clear" w:color="auto" w:fill="FFFFFF"/>
            <w:tcMar>
              <w:left w:w="28" w:type="dxa"/>
              <w:right w:w="28" w:type="dxa"/>
            </w:tcMar>
            <w:vAlign w:val="center"/>
          </w:tcPr>
          <w:p w14:paraId="0B5FC801">
            <w:pPr>
              <w:spacing w:line="260" w:lineRule="exact"/>
              <w:jc w:val="center"/>
              <w:rPr>
                <w:color w:val="000000"/>
                <w:sz w:val="18"/>
                <w:szCs w:val="18"/>
              </w:rPr>
            </w:pPr>
          </w:p>
        </w:tc>
        <w:tc>
          <w:tcPr>
            <w:tcW w:w="1976" w:type="dxa"/>
            <w:vMerge w:val="continue"/>
            <w:shd w:val="clear" w:color="auto" w:fill="FFFFFF"/>
            <w:tcMar>
              <w:left w:w="28" w:type="dxa"/>
              <w:right w:w="28" w:type="dxa"/>
            </w:tcMar>
            <w:vAlign w:val="center"/>
          </w:tcPr>
          <w:p w14:paraId="3F45622B">
            <w:pPr>
              <w:spacing w:line="260" w:lineRule="exact"/>
              <w:ind w:right="53"/>
              <w:jc w:val="left"/>
              <w:rPr>
                <w:color w:val="000000"/>
                <w:sz w:val="18"/>
                <w:szCs w:val="18"/>
              </w:rPr>
            </w:pPr>
          </w:p>
        </w:tc>
        <w:tc>
          <w:tcPr>
            <w:tcW w:w="951" w:type="dxa"/>
            <w:vMerge w:val="continue"/>
            <w:shd w:val="clear" w:color="auto" w:fill="FFFFFF"/>
            <w:tcMar>
              <w:left w:w="28" w:type="dxa"/>
              <w:right w:w="28" w:type="dxa"/>
            </w:tcMar>
            <w:vAlign w:val="center"/>
          </w:tcPr>
          <w:p w14:paraId="637FCB69">
            <w:pPr>
              <w:spacing w:line="260" w:lineRule="exact"/>
              <w:jc w:val="center"/>
              <w:rPr>
                <w:color w:val="000000"/>
                <w:sz w:val="18"/>
                <w:szCs w:val="18"/>
              </w:rPr>
            </w:pPr>
          </w:p>
        </w:tc>
        <w:tc>
          <w:tcPr>
            <w:tcW w:w="3348" w:type="dxa"/>
            <w:shd w:val="clear" w:color="auto" w:fill="FFFFFF"/>
            <w:tcMar>
              <w:left w:w="28" w:type="dxa"/>
              <w:right w:w="28" w:type="dxa"/>
            </w:tcMar>
          </w:tcPr>
          <w:p w14:paraId="71736CF2">
            <w:pPr>
              <w:spacing w:line="260" w:lineRule="exact"/>
              <w:rPr>
                <w:color w:val="000000"/>
                <w:sz w:val="18"/>
                <w:szCs w:val="18"/>
              </w:rPr>
            </w:pPr>
            <w:r>
              <w:rPr>
                <w:rFonts w:hint="eastAsia" w:ascii="宋体" w:hAnsi="宋体" w:cs="宋体"/>
                <w:sz w:val="18"/>
              </w:rPr>
              <w:t>做好各级安全检查迎检工作，并按时完成缺陷整改闭环。</w:t>
            </w:r>
            <w:r>
              <w:rPr>
                <w:rFonts w:hint="eastAsia"/>
                <w:color w:val="000000"/>
                <w:sz w:val="18"/>
                <w:szCs w:val="18"/>
              </w:rPr>
              <w:t>（3分）</w:t>
            </w:r>
          </w:p>
        </w:tc>
        <w:tc>
          <w:tcPr>
            <w:tcW w:w="3890" w:type="dxa"/>
            <w:shd w:val="clear" w:color="auto" w:fill="FFFFFF"/>
            <w:tcMar>
              <w:left w:w="28" w:type="dxa"/>
              <w:right w:w="28" w:type="dxa"/>
            </w:tcMar>
          </w:tcPr>
          <w:p w14:paraId="235898E4">
            <w:pPr>
              <w:spacing w:line="260" w:lineRule="exact"/>
              <w:rPr>
                <w:color w:val="000000"/>
                <w:sz w:val="18"/>
                <w:szCs w:val="18"/>
              </w:rPr>
            </w:pPr>
            <w:r>
              <w:rPr>
                <w:rFonts w:hint="eastAsia" w:ascii="宋体" w:hAnsi="宋体" w:cs="宋体"/>
                <w:sz w:val="18"/>
              </w:rPr>
              <w:t>未对各级安全检查所发现的问题进行整改闭环，每项扣0.5分。</w:t>
            </w:r>
          </w:p>
        </w:tc>
        <w:tc>
          <w:tcPr>
            <w:tcW w:w="1117" w:type="dxa"/>
            <w:shd w:val="clear" w:color="auto" w:fill="FFFFFF"/>
            <w:tcMar>
              <w:left w:w="28" w:type="dxa"/>
              <w:right w:w="28" w:type="dxa"/>
            </w:tcMar>
            <w:vAlign w:val="center"/>
          </w:tcPr>
          <w:p w14:paraId="50C979DE">
            <w:pPr>
              <w:jc w:val="center"/>
              <w:rPr>
                <w:rFonts w:ascii="宋体" w:hAnsi="宋体" w:cs="宋体"/>
                <w:b/>
                <w:sz w:val="18"/>
              </w:rPr>
            </w:pPr>
          </w:p>
        </w:tc>
        <w:tc>
          <w:tcPr>
            <w:tcW w:w="1020" w:type="dxa"/>
            <w:shd w:val="clear" w:color="auto" w:fill="FFFFFF"/>
            <w:tcMar>
              <w:left w:w="28" w:type="dxa"/>
              <w:right w:w="28" w:type="dxa"/>
            </w:tcMar>
            <w:vAlign w:val="center"/>
          </w:tcPr>
          <w:p w14:paraId="7DAA9542">
            <w:pPr>
              <w:jc w:val="center"/>
              <w:rPr>
                <w:rFonts w:ascii="宋体" w:hAnsi="宋体" w:cs="宋体"/>
                <w:b/>
                <w:sz w:val="18"/>
              </w:rPr>
            </w:pPr>
          </w:p>
        </w:tc>
      </w:tr>
      <w:tr w14:paraId="08098E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60" w:hRule="atLeast"/>
          <w:jc w:val="center"/>
        </w:trPr>
        <w:tc>
          <w:tcPr>
            <w:tcW w:w="547" w:type="dxa"/>
            <w:shd w:val="clear" w:color="auto" w:fill="BFBFBF"/>
            <w:tcMar>
              <w:left w:w="28" w:type="dxa"/>
              <w:right w:w="28" w:type="dxa"/>
            </w:tcMar>
            <w:vAlign w:val="center"/>
          </w:tcPr>
          <w:p w14:paraId="497F9D46">
            <w:pPr>
              <w:spacing w:line="260" w:lineRule="exact"/>
              <w:jc w:val="center"/>
              <w:rPr>
                <w:rFonts w:ascii="宋体" w:hAnsi="宋体" w:cs="宋体"/>
                <w:b/>
                <w:sz w:val="18"/>
              </w:rPr>
            </w:pPr>
            <w:r>
              <w:rPr>
                <w:rFonts w:hint="eastAsia" w:ascii="宋体" w:hAnsi="宋体" w:cs="宋体"/>
                <w:b/>
                <w:sz w:val="18"/>
              </w:rPr>
              <w:t>5</w:t>
            </w:r>
          </w:p>
        </w:tc>
        <w:tc>
          <w:tcPr>
            <w:tcW w:w="12302" w:type="dxa"/>
            <w:gridSpan w:val="6"/>
            <w:shd w:val="clear" w:color="auto" w:fill="BFBFBF"/>
            <w:tcMar>
              <w:left w:w="28" w:type="dxa"/>
              <w:right w:w="28" w:type="dxa"/>
            </w:tcMar>
            <w:vAlign w:val="center"/>
          </w:tcPr>
          <w:p w14:paraId="2FDE4D74">
            <w:pPr>
              <w:spacing w:line="260" w:lineRule="exact"/>
              <w:rPr>
                <w:rFonts w:ascii="宋体" w:hAnsi="宋体" w:cs="宋体"/>
                <w:sz w:val="18"/>
              </w:rPr>
            </w:pPr>
            <w:r>
              <w:rPr>
                <w:rFonts w:hint="eastAsia" w:ascii="宋体" w:hAnsi="宋体" w:cs="宋体"/>
                <w:b/>
                <w:sz w:val="18"/>
              </w:rPr>
              <w:t>质量管理（28分）</w:t>
            </w:r>
          </w:p>
        </w:tc>
      </w:tr>
      <w:tr w14:paraId="33725F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5C71D34D">
            <w:pPr>
              <w:spacing w:line="260" w:lineRule="exact"/>
              <w:jc w:val="center"/>
              <w:rPr>
                <w:rFonts w:ascii="宋体" w:hAnsi="宋体" w:cs="宋体"/>
                <w:b/>
                <w:bCs/>
                <w:sz w:val="18"/>
              </w:rPr>
            </w:pPr>
            <w:r>
              <w:rPr>
                <w:rFonts w:hint="eastAsia" w:ascii="宋体" w:hAnsi="宋体" w:cs="宋体"/>
                <w:b/>
                <w:bCs/>
                <w:sz w:val="18"/>
              </w:rPr>
              <w:t>5.1</w:t>
            </w:r>
          </w:p>
        </w:tc>
        <w:tc>
          <w:tcPr>
            <w:tcW w:w="1976" w:type="dxa"/>
            <w:vMerge w:val="restart"/>
            <w:tcMar>
              <w:left w:w="28" w:type="dxa"/>
              <w:right w:w="28" w:type="dxa"/>
            </w:tcMar>
            <w:vAlign w:val="center"/>
          </w:tcPr>
          <w:p w14:paraId="68F342B5">
            <w:pPr>
              <w:spacing w:line="260" w:lineRule="exact"/>
              <w:ind w:right="53"/>
              <w:jc w:val="left"/>
              <w:rPr>
                <w:rFonts w:ascii="宋体" w:hAnsi="宋体" w:cs="宋体"/>
                <w:b/>
                <w:bCs/>
                <w:sz w:val="18"/>
              </w:rPr>
            </w:pPr>
            <w:r>
              <w:rPr>
                <w:rFonts w:hint="eastAsia" w:ascii="宋体" w:hAnsi="宋体" w:cs="宋体"/>
                <w:b/>
                <w:bCs/>
                <w:sz w:val="18"/>
              </w:rPr>
              <w:t>设备管理</w:t>
            </w:r>
          </w:p>
        </w:tc>
        <w:tc>
          <w:tcPr>
            <w:tcW w:w="951" w:type="dxa"/>
            <w:vMerge w:val="restart"/>
            <w:tcMar>
              <w:left w:w="28" w:type="dxa"/>
              <w:right w:w="28" w:type="dxa"/>
            </w:tcMar>
            <w:vAlign w:val="center"/>
          </w:tcPr>
          <w:p w14:paraId="36F83D76">
            <w:pPr>
              <w:spacing w:line="260" w:lineRule="exact"/>
              <w:jc w:val="center"/>
              <w:rPr>
                <w:rFonts w:ascii="宋体" w:hAnsi="宋体" w:cs="宋体"/>
                <w:sz w:val="18"/>
              </w:rPr>
            </w:pPr>
            <w:r>
              <w:rPr>
                <w:rFonts w:hint="eastAsia" w:ascii="宋体" w:hAnsi="宋体" w:cs="宋体"/>
                <w:sz w:val="18"/>
              </w:rPr>
              <w:t>4</w:t>
            </w:r>
          </w:p>
        </w:tc>
        <w:tc>
          <w:tcPr>
            <w:tcW w:w="3348" w:type="dxa"/>
            <w:tcBorders>
              <w:bottom w:val="single" w:color="000000" w:sz="6" w:space="0"/>
            </w:tcBorders>
            <w:tcMar>
              <w:left w:w="28" w:type="dxa"/>
              <w:right w:w="28" w:type="dxa"/>
            </w:tcMar>
            <w:vAlign w:val="center"/>
          </w:tcPr>
          <w:p w14:paraId="415E0B61">
            <w:pPr>
              <w:pStyle w:val="46"/>
              <w:spacing w:line="240" w:lineRule="atLeast"/>
              <w:ind w:left="0" w:leftChars="0" w:rightChars="0"/>
              <w:jc w:val="left"/>
              <w:rPr>
                <w:rFonts w:ascii="宋体" w:hAnsi="宋体" w:cs="宋体"/>
                <w:color w:val="auto"/>
              </w:rPr>
            </w:pPr>
            <w:r>
              <w:rPr>
                <w:rFonts w:hint="eastAsia"/>
                <w:color w:val="auto"/>
              </w:rPr>
              <w:t>对计量器具、检测设备建立台账并报审，对试验（检测）单位资质进行报审；对主要材料或构配件、设备生产厂家的资质证明文件进行报审，对原材料进行跟踪管理。（2分）</w:t>
            </w:r>
          </w:p>
        </w:tc>
        <w:tc>
          <w:tcPr>
            <w:tcW w:w="3890" w:type="dxa"/>
            <w:tcBorders>
              <w:bottom w:val="single" w:color="000000" w:sz="6" w:space="0"/>
            </w:tcBorders>
            <w:tcMar>
              <w:left w:w="28" w:type="dxa"/>
              <w:right w:w="28" w:type="dxa"/>
            </w:tcMar>
            <w:vAlign w:val="center"/>
          </w:tcPr>
          <w:p w14:paraId="49799D12">
            <w:pPr>
              <w:rPr>
                <w:rFonts w:ascii="宋体" w:hAnsi="宋体" w:cs="宋体"/>
                <w:sz w:val="18"/>
              </w:rPr>
            </w:pPr>
            <w:r>
              <w:rPr>
                <w:rFonts w:hint="eastAsia"/>
                <w:sz w:val="18"/>
              </w:rPr>
              <w:t>（1）各类报审表、台账不完备或不规范，每项扣</w:t>
            </w:r>
            <w:r>
              <w:rPr>
                <w:sz w:val="18"/>
              </w:rPr>
              <w:t>0.</w:t>
            </w:r>
            <w:r>
              <w:rPr>
                <w:rFonts w:hint="eastAsia"/>
                <w:sz w:val="18"/>
              </w:rPr>
              <w:t>5分。（2）供货商资质、业绩报审不规范，每项扣0.5分。供货商资质、业绩造假，每项扣2分。</w:t>
            </w:r>
          </w:p>
        </w:tc>
        <w:tc>
          <w:tcPr>
            <w:tcW w:w="1117" w:type="dxa"/>
            <w:tcBorders>
              <w:bottom w:val="single" w:color="000000" w:sz="6" w:space="0"/>
            </w:tcBorders>
            <w:tcMar>
              <w:left w:w="28" w:type="dxa"/>
              <w:right w:w="28" w:type="dxa"/>
            </w:tcMar>
            <w:vAlign w:val="center"/>
          </w:tcPr>
          <w:p w14:paraId="648D6788">
            <w:pPr>
              <w:topLinePunct/>
              <w:snapToGrid w:val="0"/>
              <w:spacing w:line="240" w:lineRule="atLeast"/>
              <w:rPr>
                <w:rFonts w:ascii="宋体" w:hAnsi="宋体" w:cs="宋体"/>
                <w:sz w:val="18"/>
              </w:rPr>
            </w:pPr>
          </w:p>
        </w:tc>
        <w:tc>
          <w:tcPr>
            <w:tcW w:w="1020" w:type="dxa"/>
            <w:tcBorders>
              <w:bottom w:val="single" w:color="000000" w:sz="6" w:space="0"/>
            </w:tcBorders>
            <w:tcMar>
              <w:left w:w="28" w:type="dxa"/>
              <w:right w:w="28" w:type="dxa"/>
            </w:tcMar>
            <w:vAlign w:val="center"/>
          </w:tcPr>
          <w:p w14:paraId="0FAE5261">
            <w:pPr>
              <w:spacing w:line="260" w:lineRule="exact"/>
              <w:rPr>
                <w:rFonts w:ascii="宋体" w:hAnsi="宋体" w:cs="宋体"/>
                <w:sz w:val="18"/>
              </w:rPr>
            </w:pPr>
          </w:p>
        </w:tc>
      </w:tr>
      <w:tr w14:paraId="34EA9B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3837C868">
            <w:pPr>
              <w:spacing w:line="260" w:lineRule="exact"/>
              <w:jc w:val="center"/>
              <w:rPr>
                <w:rFonts w:ascii="宋体" w:hAnsi="宋体" w:cs="宋体"/>
                <w:b/>
                <w:bCs/>
                <w:sz w:val="18"/>
              </w:rPr>
            </w:pPr>
          </w:p>
        </w:tc>
        <w:tc>
          <w:tcPr>
            <w:tcW w:w="1976" w:type="dxa"/>
            <w:vMerge w:val="continue"/>
            <w:tcBorders>
              <w:bottom w:val="single" w:color="000000" w:sz="6" w:space="0"/>
            </w:tcBorders>
            <w:tcMar>
              <w:left w:w="28" w:type="dxa"/>
              <w:right w:w="28" w:type="dxa"/>
            </w:tcMar>
            <w:vAlign w:val="center"/>
          </w:tcPr>
          <w:p w14:paraId="1D38C790">
            <w:pPr>
              <w:spacing w:line="260" w:lineRule="exact"/>
              <w:ind w:right="53"/>
              <w:jc w:val="left"/>
              <w:rPr>
                <w:rFonts w:ascii="宋体" w:hAnsi="宋体" w:cs="宋体"/>
                <w:sz w:val="18"/>
              </w:rPr>
            </w:pPr>
          </w:p>
        </w:tc>
        <w:tc>
          <w:tcPr>
            <w:tcW w:w="951" w:type="dxa"/>
            <w:vMerge w:val="continue"/>
            <w:tcBorders>
              <w:bottom w:val="single" w:color="000000" w:sz="6" w:space="0"/>
            </w:tcBorders>
            <w:tcMar>
              <w:left w:w="28" w:type="dxa"/>
              <w:right w:w="28" w:type="dxa"/>
            </w:tcMar>
            <w:vAlign w:val="center"/>
          </w:tcPr>
          <w:p w14:paraId="362940E9">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6B91C6DE">
            <w:pPr>
              <w:spacing w:line="260" w:lineRule="exact"/>
              <w:rPr>
                <w:rFonts w:ascii="宋体" w:hAnsi="宋体" w:cs="宋体"/>
                <w:sz w:val="18"/>
              </w:rPr>
            </w:pPr>
            <w:r>
              <w:rPr>
                <w:rFonts w:hint="eastAsia" w:ascii="宋体" w:hAnsi="宋体" w:cs="宋体"/>
                <w:sz w:val="18"/>
              </w:rPr>
              <w:t>对特殊工种和特殊作业人员资格、主要施工机械/工器具/安全用具、大中型施工机械进场/出场进行检查并报审。（2分）</w:t>
            </w:r>
          </w:p>
        </w:tc>
        <w:tc>
          <w:tcPr>
            <w:tcW w:w="3890" w:type="dxa"/>
            <w:tcBorders>
              <w:bottom w:val="single" w:color="000000" w:sz="6" w:space="0"/>
            </w:tcBorders>
            <w:tcMar>
              <w:left w:w="28" w:type="dxa"/>
              <w:right w:w="28" w:type="dxa"/>
            </w:tcMar>
          </w:tcPr>
          <w:p w14:paraId="442D2275">
            <w:pPr>
              <w:spacing w:line="260" w:lineRule="exact"/>
              <w:jc w:val="left"/>
              <w:rPr>
                <w:rFonts w:ascii="宋体" w:hAnsi="宋体" w:cs="宋体"/>
                <w:sz w:val="18"/>
              </w:rPr>
            </w:pPr>
            <w:r>
              <w:rPr>
                <w:rFonts w:hint="eastAsia" w:ascii="宋体" w:hAnsi="宋体" w:cs="宋体"/>
                <w:sz w:val="18"/>
              </w:rPr>
              <w:t>（1）特种作业人员未做到持有效证件上岗，每人扣0.5分；</w:t>
            </w:r>
          </w:p>
          <w:p w14:paraId="517EC2CB">
            <w:pPr>
              <w:spacing w:line="260" w:lineRule="exact"/>
              <w:jc w:val="left"/>
              <w:rPr>
                <w:rFonts w:ascii="宋体" w:hAnsi="宋体" w:cs="宋体"/>
                <w:sz w:val="18"/>
              </w:rPr>
            </w:pPr>
            <w:r>
              <w:rPr>
                <w:rFonts w:hint="eastAsia" w:ascii="宋体" w:hAnsi="宋体" w:cs="宋体"/>
                <w:sz w:val="18"/>
              </w:rPr>
              <w:t>（2）证件不合格、过期、存档证件复印件不清楚按无证作业，扣0.5分；</w:t>
            </w:r>
          </w:p>
          <w:p w14:paraId="0248DA09">
            <w:pPr>
              <w:spacing w:line="260" w:lineRule="exact"/>
              <w:jc w:val="left"/>
              <w:rPr>
                <w:rFonts w:ascii="宋体" w:hAnsi="宋体" w:cs="宋体"/>
                <w:sz w:val="18"/>
              </w:rPr>
            </w:pPr>
            <w:r>
              <w:rPr>
                <w:rFonts w:hint="eastAsia" w:ascii="宋体" w:hAnsi="宋体" w:cs="宋体"/>
                <w:sz w:val="18"/>
              </w:rPr>
              <w:t>（3）未向监理项目部报审特殊工种/特殊作业人员、主要施工机械/工器具/安全用具、报审大中型施工机械进场/出场，每缺一项扣0.5分。</w:t>
            </w:r>
          </w:p>
        </w:tc>
        <w:tc>
          <w:tcPr>
            <w:tcW w:w="1117" w:type="dxa"/>
            <w:tcBorders>
              <w:bottom w:val="single" w:color="000000" w:sz="6" w:space="0"/>
            </w:tcBorders>
            <w:tcMar>
              <w:left w:w="28" w:type="dxa"/>
              <w:right w:w="28" w:type="dxa"/>
            </w:tcMar>
            <w:vAlign w:val="center"/>
          </w:tcPr>
          <w:p w14:paraId="516E965F">
            <w:pPr>
              <w:topLinePunct/>
              <w:snapToGrid w:val="0"/>
              <w:spacing w:line="240" w:lineRule="atLeast"/>
              <w:rPr>
                <w:rFonts w:ascii="宋体" w:hAnsi="宋体" w:cs="宋体"/>
                <w:sz w:val="18"/>
              </w:rPr>
            </w:pPr>
          </w:p>
        </w:tc>
        <w:tc>
          <w:tcPr>
            <w:tcW w:w="1020" w:type="dxa"/>
            <w:tcBorders>
              <w:bottom w:val="single" w:color="000000" w:sz="6" w:space="0"/>
            </w:tcBorders>
            <w:tcMar>
              <w:left w:w="28" w:type="dxa"/>
              <w:right w:w="28" w:type="dxa"/>
            </w:tcMar>
            <w:vAlign w:val="center"/>
          </w:tcPr>
          <w:p w14:paraId="230AF77C">
            <w:pPr>
              <w:spacing w:line="260" w:lineRule="exact"/>
              <w:rPr>
                <w:rFonts w:ascii="宋体" w:hAnsi="宋体" w:cs="宋体"/>
                <w:sz w:val="18"/>
              </w:rPr>
            </w:pPr>
          </w:p>
        </w:tc>
      </w:tr>
      <w:tr w14:paraId="363005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013B7673">
            <w:pPr>
              <w:spacing w:line="260" w:lineRule="exact"/>
              <w:jc w:val="center"/>
              <w:rPr>
                <w:rFonts w:ascii="宋体" w:hAnsi="宋体" w:cs="宋体"/>
                <w:b/>
                <w:bCs/>
                <w:sz w:val="18"/>
              </w:rPr>
            </w:pPr>
            <w:r>
              <w:rPr>
                <w:rFonts w:hint="eastAsia" w:ascii="宋体" w:hAnsi="宋体" w:cs="宋体"/>
                <w:b/>
                <w:bCs/>
                <w:sz w:val="18"/>
              </w:rPr>
              <w:t>5.2</w:t>
            </w:r>
          </w:p>
        </w:tc>
        <w:tc>
          <w:tcPr>
            <w:tcW w:w="1976" w:type="dxa"/>
            <w:vMerge w:val="restart"/>
            <w:tcMar>
              <w:left w:w="28" w:type="dxa"/>
              <w:right w:w="28" w:type="dxa"/>
            </w:tcMar>
            <w:vAlign w:val="center"/>
          </w:tcPr>
          <w:p w14:paraId="17E00876">
            <w:pPr>
              <w:rPr>
                <w:rFonts w:ascii="宋体" w:hAnsi="宋体" w:cs="宋体"/>
                <w:b/>
                <w:bCs/>
                <w:sz w:val="18"/>
              </w:rPr>
            </w:pPr>
            <w:r>
              <w:rPr>
                <w:rFonts w:hint="eastAsia"/>
                <w:b/>
                <w:bCs/>
                <w:color w:val="000000"/>
                <w:sz w:val="18"/>
                <w:szCs w:val="18"/>
              </w:rPr>
              <w:t>过程管理</w:t>
            </w:r>
          </w:p>
        </w:tc>
        <w:tc>
          <w:tcPr>
            <w:tcW w:w="951" w:type="dxa"/>
            <w:vMerge w:val="restart"/>
            <w:tcMar>
              <w:left w:w="28" w:type="dxa"/>
              <w:right w:w="28" w:type="dxa"/>
            </w:tcMar>
            <w:vAlign w:val="center"/>
          </w:tcPr>
          <w:p w14:paraId="60B3F7C7">
            <w:pPr>
              <w:spacing w:line="260" w:lineRule="exact"/>
              <w:jc w:val="center"/>
              <w:rPr>
                <w:rFonts w:ascii="宋体" w:hAnsi="宋体" w:cs="宋体"/>
                <w:sz w:val="18"/>
              </w:rPr>
            </w:pPr>
            <w:r>
              <w:rPr>
                <w:rFonts w:hint="eastAsia" w:ascii="宋体" w:hAnsi="宋体" w:cs="宋体"/>
                <w:sz w:val="18"/>
              </w:rPr>
              <w:t>5</w:t>
            </w:r>
          </w:p>
        </w:tc>
        <w:tc>
          <w:tcPr>
            <w:tcW w:w="3348" w:type="dxa"/>
            <w:tcBorders>
              <w:bottom w:val="single" w:color="000000" w:sz="6" w:space="0"/>
            </w:tcBorders>
            <w:tcMar>
              <w:left w:w="28" w:type="dxa"/>
              <w:right w:w="28" w:type="dxa"/>
            </w:tcMar>
            <w:vAlign w:val="center"/>
          </w:tcPr>
          <w:p w14:paraId="4CCCFAD7">
            <w:pPr>
              <w:spacing w:line="260" w:lineRule="exact"/>
              <w:rPr>
                <w:rFonts w:ascii="宋体" w:hAnsi="宋体" w:cs="宋体"/>
                <w:sz w:val="18"/>
              </w:rPr>
            </w:pPr>
            <w:r>
              <w:rPr>
                <w:rFonts w:hint="eastAsia" w:ascii="宋体" w:hAnsi="宋体" w:cs="宋体"/>
                <w:sz w:val="18"/>
              </w:rPr>
              <w:t>编制、收集设备安装记录（施工记录）及试验报告、隐蔽工程检查记录、签证书等资料。（3分）</w:t>
            </w:r>
          </w:p>
        </w:tc>
        <w:tc>
          <w:tcPr>
            <w:tcW w:w="3890" w:type="dxa"/>
            <w:tcBorders>
              <w:bottom w:val="single" w:color="000000" w:sz="6" w:space="0"/>
            </w:tcBorders>
            <w:tcMar>
              <w:left w:w="28" w:type="dxa"/>
              <w:right w:w="28" w:type="dxa"/>
            </w:tcMar>
            <w:vAlign w:val="center"/>
          </w:tcPr>
          <w:p w14:paraId="39421B7F">
            <w:pPr>
              <w:spacing w:line="260" w:lineRule="exact"/>
              <w:rPr>
                <w:rFonts w:ascii="宋体" w:hAnsi="宋体" w:cs="宋体"/>
                <w:sz w:val="18"/>
              </w:rPr>
            </w:pPr>
            <w:r>
              <w:rPr>
                <w:rFonts w:hint="eastAsia" w:ascii="宋体" w:hAnsi="宋体" w:cs="宋体"/>
                <w:sz w:val="18"/>
              </w:rPr>
              <w:t>缺少一份扣1分；不规范每份扣0.5分。</w:t>
            </w:r>
          </w:p>
        </w:tc>
        <w:tc>
          <w:tcPr>
            <w:tcW w:w="1117" w:type="dxa"/>
            <w:tcBorders>
              <w:bottom w:val="single" w:color="000000" w:sz="6" w:space="0"/>
            </w:tcBorders>
            <w:tcMar>
              <w:left w:w="28" w:type="dxa"/>
              <w:right w:w="28" w:type="dxa"/>
            </w:tcMar>
            <w:vAlign w:val="center"/>
          </w:tcPr>
          <w:p w14:paraId="25923E72">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5B179655">
            <w:pPr>
              <w:spacing w:line="260" w:lineRule="exact"/>
              <w:rPr>
                <w:rFonts w:ascii="宋体" w:hAnsi="宋体" w:cs="宋体"/>
                <w:sz w:val="18"/>
              </w:rPr>
            </w:pPr>
          </w:p>
        </w:tc>
      </w:tr>
      <w:tr w14:paraId="4D4D4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3AB798DA">
            <w:pPr>
              <w:spacing w:line="260" w:lineRule="exact"/>
              <w:jc w:val="center"/>
              <w:rPr>
                <w:rFonts w:ascii="宋体" w:hAnsi="宋体" w:cs="宋体"/>
                <w:b/>
                <w:bCs/>
                <w:sz w:val="18"/>
              </w:rPr>
            </w:pPr>
          </w:p>
        </w:tc>
        <w:tc>
          <w:tcPr>
            <w:tcW w:w="1976" w:type="dxa"/>
            <w:vMerge w:val="continue"/>
            <w:tcBorders>
              <w:bottom w:val="single" w:color="000000" w:sz="6" w:space="0"/>
            </w:tcBorders>
            <w:tcMar>
              <w:left w:w="28" w:type="dxa"/>
              <w:right w:w="28" w:type="dxa"/>
            </w:tcMar>
            <w:vAlign w:val="center"/>
          </w:tcPr>
          <w:p w14:paraId="68A6A9B5">
            <w:pPr>
              <w:rPr>
                <w:b/>
                <w:bCs/>
                <w:color w:val="000000"/>
                <w:sz w:val="18"/>
                <w:szCs w:val="18"/>
              </w:rPr>
            </w:pPr>
          </w:p>
        </w:tc>
        <w:tc>
          <w:tcPr>
            <w:tcW w:w="951" w:type="dxa"/>
            <w:vMerge w:val="continue"/>
            <w:tcBorders>
              <w:bottom w:val="single" w:color="000000" w:sz="6" w:space="0"/>
            </w:tcBorders>
            <w:tcMar>
              <w:left w:w="28" w:type="dxa"/>
              <w:right w:w="28" w:type="dxa"/>
            </w:tcMar>
            <w:vAlign w:val="center"/>
          </w:tcPr>
          <w:p w14:paraId="6D5BF136">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28FD2247">
            <w:pPr>
              <w:spacing w:line="260" w:lineRule="exact"/>
              <w:ind w:right="53"/>
              <w:jc w:val="left"/>
              <w:rPr>
                <w:rFonts w:ascii="宋体" w:hAnsi="宋体" w:cs="宋体"/>
                <w:sz w:val="18"/>
              </w:rPr>
            </w:pPr>
            <w:r>
              <w:rPr>
                <w:rFonts w:hint="eastAsia" w:ascii="宋体" w:hAnsi="宋体" w:cs="宋体"/>
                <w:sz w:val="18"/>
              </w:rPr>
              <w:t>按规定开展质量检查并对质量检查发现的缺陷问题进行闭环管理。（2分）</w:t>
            </w:r>
          </w:p>
        </w:tc>
        <w:tc>
          <w:tcPr>
            <w:tcW w:w="3890" w:type="dxa"/>
            <w:tcBorders>
              <w:bottom w:val="single" w:color="000000" w:sz="6" w:space="0"/>
            </w:tcBorders>
            <w:tcMar>
              <w:left w:w="28" w:type="dxa"/>
              <w:right w:w="28" w:type="dxa"/>
            </w:tcMar>
            <w:vAlign w:val="center"/>
          </w:tcPr>
          <w:p w14:paraId="4BB229BE">
            <w:pPr>
              <w:spacing w:line="260" w:lineRule="exact"/>
              <w:rPr>
                <w:rFonts w:ascii="宋体" w:hAnsi="宋体" w:cs="宋体"/>
                <w:sz w:val="18"/>
              </w:rPr>
            </w:pPr>
            <w:r>
              <w:rPr>
                <w:rFonts w:hint="eastAsia" w:ascii="宋体" w:hAnsi="宋体" w:cs="宋体"/>
                <w:sz w:val="18"/>
              </w:rPr>
              <w:t>每缺一次扣1分，未进行闭环管理每次扣0.5分。</w:t>
            </w:r>
          </w:p>
        </w:tc>
        <w:tc>
          <w:tcPr>
            <w:tcW w:w="1117" w:type="dxa"/>
            <w:tcBorders>
              <w:bottom w:val="single" w:color="000000" w:sz="6" w:space="0"/>
            </w:tcBorders>
            <w:tcMar>
              <w:left w:w="28" w:type="dxa"/>
              <w:right w:w="28" w:type="dxa"/>
            </w:tcMar>
            <w:vAlign w:val="center"/>
          </w:tcPr>
          <w:p w14:paraId="78762823">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4DA34EEE">
            <w:pPr>
              <w:spacing w:line="260" w:lineRule="exact"/>
              <w:rPr>
                <w:rFonts w:ascii="宋体" w:hAnsi="宋体" w:cs="宋体"/>
                <w:sz w:val="18"/>
              </w:rPr>
            </w:pPr>
          </w:p>
        </w:tc>
      </w:tr>
      <w:tr w14:paraId="198243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00D088DC">
            <w:pPr>
              <w:spacing w:line="260" w:lineRule="exact"/>
              <w:jc w:val="center"/>
              <w:rPr>
                <w:rFonts w:ascii="宋体" w:hAnsi="宋体" w:cs="宋体"/>
                <w:b/>
                <w:bCs/>
                <w:sz w:val="18"/>
              </w:rPr>
            </w:pPr>
            <w:r>
              <w:rPr>
                <w:rFonts w:hint="eastAsia" w:ascii="宋体" w:hAnsi="宋体" w:cs="宋体"/>
                <w:b/>
                <w:bCs/>
                <w:sz w:val="18"/>
              </w:rPr>
              <w:t>5.3</w:t>
            </w:r>
          </w:p>
        </w:tc>
        <w:tc>
          <w:tcPr>
            <w:tcW w:w="1976" w:type="dxa"/>
            <w:tcBorders>
              <w:bottom w:val="single" w:color="000000" w:sz="6" w:space="0"/>
            </w:tcBorders>
            <w:tcMar>
              <w:left w:w="28" w:type="dxa"/>
              <w:right w:w="28" w:type="dxa"/>
            </w:tcMar>
            <w:vAlign w:val="center"/>
          </w:tcPr>
          <w:p w14:paraId="183CD41B">
            <w:pPr>
              <w:rPr>
                <w:b/>
                <w:bCs/>
                <w:color w:val="000000"/>
                <w:sz w:val="18"/>
                <w:szCs w:val="18"/>
              </w:rPr>
            </w:pPr>
            <w:r>
              <w:rPr>
                <w:rFonts w:hint="eastAsia"/>
                <w:b/>
                <w:bCs/>
                <w:color w:val="000000"/>
                <w:sz w:val="18"/>
                <w:szCs w:val="18"/>
              </w:rPr>
              <w:t>质量隐患管理</w:t>
            </w:r>
          </w:p>
        </w:tc>
        <w:tc>
          <w:tcPr>
            <w:tcW w:w="951" w:type="dxa"/>
            <w:tcBorders>
              <w:bottom w:val="single" w:color="000000" w:sz="6" w:space="0"/>
            </w:tcBorders>
            <w:tcMar>
              <w:left w:w="28" w:type="dxa"/>
              <w:right w:w="28" w:type="dxa"/>
            </w:tcMar>
            <w:vAlign w:val="center"/>
          </w:tcPr>
          <w:p w14:paraId="4C4F58C7">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tcPr>
          <w:p w14:paraId="7206304D">
            <w:pPr>
              <w:spacing w:line="260" w:lineRule="exact"/>
              <w:rPr>
                <w:rFonts w:ascii="宋体" w:hAnsi="宋体" w:cs="宋体"/>
                <w:sz w:val="18"/>
              </w:rPr>
            </w:pPr>
            <w:r>
              <w:rPr>
                <w:rFonts w:hint="eastAsia" w:ascii="宋体" w:hAnsi="宋体" w:cs="宋体"/>
                <w:sz w:val="18"/>
              </w:rPr>
              <w:t>按规定开展质量隐患排查工作，并按月提交质量隐患排查报告。（2分）</w:t>
            </w:r>
          </w:p>
        </w:tc>
        <w:tc>
          <w:tcPr>
            <w:tcW w:w="3890" w:type="dxa"/>
            <w:tcBorders>
              <w:bottom w:val="single" w:color="000000" w:sz="6" w:space="0"/>
            </w:tcBorders>
            <w:tcMar>
              <w:left w:w="28" w:type="dxa"/>
              <w:right w:w="28" w:type="dxa"/>
            </w:tcMar>
          </w:tcPr>
          <w:p w14:paraId="363267BF">
            <w:pPr>
              <w:numPr>
                <w:ilvl w:val="0"/>
                <w:numId w:val="15"/>
              </w:numPr>
              <w:spacing w:line="260" w:lineRule="exact"/>
              <w:jc w:val="left"/>
              <w:rPr>
                <w:rFonts w:ascii="宋体" w:hAnsi="宋体" w:cs="宋体"/>
                <w:sz w:val="18"/>
              </w:rPr>
            </w:pPr>
            <w:r>
              <w:rPr>
                <w:rFonts w:hint="eastAsia" w:ascii="宋体" w:hAnsi="宋体" w:cs="宋体"/>
                <w:sz w:val="18"/>
              </w:rPr>
              <w:t>每月未开展质量隐患排查，扣1分。</w:t>
            </w:r>
          </w:p>
          <w:p w14:paraId="61458217">
            <w:pPr>
              <w:numPr>
                <w:ilvl w:val="0"/>
                <w:numId w:val="15"/>
              </w:numPr>
              <w:spacing w:line="260" w:lineRule="exact"/>
              <w:jc w:val="left"/>
              <w:rPr>
                <w:rFonts w:ascii="宋体" w:hAnsi="宋体" w:cs="宋体"/>
                <w:sz w:val="18"/>
              </w:rPr>
            </w:pPr>
            <w:r>
              <w:rPr>
                <w:rFonts w:hint="eastAsia" w:ascii="宋体" w:hAnsi="宋体" w:cs="宋体"/>
                <w:sz w:val="18"/>
              </w:rPr>
              <w:t>每月未提交质量隐患排查报告，扣1分。</w:t>
            </w:r>
          </w:p>
        </w:tc>
        <w:tc>
          <w:tcPr>
            <w:tcW w:w="1117" w:type="dxa"/>
            <w:tcBorders>
              <w:bottom w:val="single" w:color="000000" w:sz="6" w:space="0"/>
            </w:tcBorders>
            <w:tcMar>
              <w:left w:w="28" w:type="dxa"/>
              <w:right w:w="28" w:type="dxa"/>
            </w:tcMar>
            <w:vAlign w:val="center"/>
          </w:tcPr>
          <w:p w14:paraId="385758C7">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0ED954F2">
            <w:pPr>
              <w:spacing w:line="260" w:lineRule="exact"/>
              <w:rPr>
                <w:rFonts w:ascii="宋体" w:hAnsi="宋体" w:cs="宋体"/>
                <w:sz w:val="18"/>
              </w:rPr>
            </w:pPr>
          </w:p>
        </w:tc>
      </w:tr>
      <w:tr w14:paraId="04EB84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5B81E4F0">
            <w:pPr>
              <w:spacing w:line="260" w:lineRule="exact"/>
              <w:jc w:val="center"/>
              <w:rPr>
                <w:rFonts w:ascii="宋体" w:hAnsi="宋体" w:cs="宋体"/>
                <w:b/>
                <w:bCs/>
                <w:sz w:val="18"/>
              </w:rPr>
            </w:pPr>
            <w:r>
              <w:rPr>
                <w:rFonts w:hint="eastAsia" w:ascii="宋体" w:hAnsi="宋体" w:cs="宋体"/>
                <w:b/>
                <w:bCs/>
                <w:sz w:val="18"/>
              </w:rPr>
              <w:t>5.4</w:t>
            </w:r>
          </w:p>
        </w:tc>
        <w:tc>
          <w:tcPr>
            <w:tcW w:w="1976" w:type="dxa"/>
            <w:tcBorders>
              <w:bottom w:val="single" w:color="000000" w:sz="6" w:space="0"/>
            </w:tcBorders>
            <w:tcMar>
              <w:left w:w="28" w:type="dxa"/>
              <w:right w:w="28" w:type="dxa"/>
            </w:tcMar>
            <w:vAlign w:val="center"/>
          </w:tcPr>
          <w:p w14:paraId="16463E51">
            <w:pPr>
              <w:rPr>
                <w:rFonts w:ascii="宋体" w:hAnsi="宋体" w:cs="宋体"/>
                <w:sz w:val="18"/>
              </w:rPr>
            </w:pPr>
            <w:r>
              <w:rPr>
                <w:rFonts w:hint="eastAsia"/>
                <w:b/>
                <w:color w:val="000000"/>
                <w:sz w:val="18"/>
                <w:szCs w:val="18"/>
              </w:rPr>
              <w:t>质量通病管理</w:t>
            </w:r>
          </w:p>
        </w:tc>
        <w:tc>
          <w:tcPr>
            <w:tcW w:w="951" w:type="dxa"/>
            <w:tcBorders>
              <w:bottom w:val="single" w:color="000000" w:sz="6" w:space="0"/>
            </w:tcBorders>
            <w:tcMar>
              <w:left w:w="28" w:type="dxa"/>
              <w:right w:w="28" w:type="dxa"/>
            </w:tcMar>
            <w:vAlign w:val="center"/>
          </w:tcPr>
          <w:p w14:paraId="57DFEC4D">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vAlign w:val="center"/>
          </w:tcPr>
          <w:p w14:paraId="791D4596">
            <w:pPr>
              <w:spacing w:line="260" w:lineRule="exact"/>
              <w:rPr>
                <w:rFonts w:ascii="宋体" w:hAnsi="宋体" w:cs="宋体"/>
                <w:sz w:val="18"/>
              </w:rPr>
            </w:pPr>
            <w:r>
              <w:rPr>
                <w:rFonts w:hint="eastAsia" w:ascii="宋体" w:hAnsi="宋体" w:cs="宋体"/>
                <w:sz w:val="18"/>
              </w:rPr>
              <w:t>编写并上报质量通病防治计划和隐患排查计划。</w:t>
            </w:r>
            <w:r>
              <w:rPr>
                <w:rFonts w:hint="eastAsia" w:ascii="宋体" w:hAnsi="宋体" w:cs="宋体"/>
                <w:kern w:val="18"/>
                <w:sz w:val="18"/>
              </w:rPr>
              <w:t>落实质量通病防治措施，工程结束后进行总结。</w:t>
            </w:r>
            <w:r>
              <w:rPr>
                <w:rFonts w:hint="eastAsia" w:ascii="宋体" w:hAnsi="宋体" w:cs="宋体"/>
                <w:sz w:val="18"/>
              </w:rPr>
              <w:t>（2分）</w:t>
            </w:r>
          </w:p>
        </w:tc>
        <w:tc>
          <w:tcPr>
            <w:tcW w:w="3890" w:type="dxa"/>
            <w:tcBorders>
              <w:bottom w:val="single" w:color="000000" w:sz="6" w:space="0"/>
            </w:tcBorders>
            <w:tcMar>
              <w:left w:w="28" w:type="dxa"/>
              <w:right w:w="28" w:type="dxa"/>
            </w:tcMar>
            <w:vAlign w:val="center"/>
          </w:tcPr>
          <w:p w14:paraId="2F9E59D5">
            <w:pPr>
              <w:spacing w:line="260" w:lineRule="exact"/>
              <w:rPr>
                <w:rFonts w:ascii="宋体" w:hAnsi="宋体" w:cs="宋体"/>
                <w:sz w:val="18"/>
              </w:rPr>
            </w:pPr>
            <w:r>
              <w:rPr>
                <w:rFonts w:hint="eastAsia" w:ascii="宋体" w:hAnsi="宋体" w:cs="宋体"/>
                <w:sz w:val="18"/>
              </w:rPr>
              <w:t>（1）未编写并上报质量通病防治计划和隐患排查计划，扣1分；</w:t>
            </w:r>
          </w:p>
          <w:p w14:paraId="771CF785">
            <w:pPr>
              <w:spacing w:line="260" w:lineRule="exact"/>
              <w:rPr>
                <w:rFonts w:ascii="宋体" w:hAnsi="宋体" w:cs="宋体"/>
                <w:sz w:val="18"/>
              </w:rPr>
            </w:pPr>
            <w:r>
              <w:rPr>
                <w:rFonts w:hint="eastAsia" w:ascii="宋体" w:hAnsi="宋体" w:cs="宋体"/>
                <w:sz w:val="18"/>
              </w:rPr>
              <w:t>（2）工程实体发现质量通病，每处扣0.5分；未按月进行隐患排查，扣0.5分；</w:t>
            </w:r>
          </w:p>
          <w:p w14:paraId="3251499B">
            <w:pPr>
              <w:spacing w:line="260" w:lineRule="exact"/>
              <w:rPr>
                <w:rFonts w:ascii="宋体" w:hAnsi="宋体" w:cs="宋体"/>
                <w:sz w:val="18"/>
              </w:rPr>
            </w:pPr>
            <w:r>
              <w:rPr>
                <w:rFonts w:hint="eastAsia" w:ascii="宋体" w:hAnsi="宋体" w:cs="宋体"/>
                <w:sz w:val="18"/>
              </w:rPr>
              <w:t>（3）无质量通病防治过程检查资料，扣0.5分；无通病防治工作总结，扣0.5分。</w:t>
            </w:r>
          </w:p>
        </w:tc>
        <w:tc>
          <w:tcPr>
            <w:tcW w:w="1117" w:type="dxa"/>
            <w:tcBorders>
              <w:bottom w:val="single" w:color="000000" w:sz="6" w:space="0"/>
            </w:tcBorders>
            <w:tcMar>
              <w:left w:w="28" w:type="dxa"/>
              <w:right w:w="28" w:type="dxa"/>
            </w:tcMar>
            <w:vAlign w:val="center"/>
          </w:tcPr>
          <w:p w14:paraId="6349FDFE">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274C32FC">
            <w:pPr>
              <w:spacing w:line="260" w:lineRule="exact"/>
              <w:rPr>
                <w:rFonts w:ascii="宋体" w:hAnsi="宋体" w:cs="宋体"/>
                <w:sz w:val="18"/>
              </w:rPr>
            </w:pPr>
          </w:p>
        </w:tc>
      </w:tr>
      <w:tr w14:paraId="4CFE21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6DA6E669">
            <w:pPr>
              <w:spacing w:line="260" w:lineRule="exact"/>
              <w:jc w:val="center"/>
              <w:rPr>
                <w:rFonts w:ascii="宋体" w:hAnsi="宋体" w:cs="宋体"/>
                <w:b/>
                <w:bCs/>
                <w:sz w:val="18"/>
              </w:rPr>
            </w:pPr>
            <w:r>
              <w:rPr>
                <w:rFonts w:hint="eastAsia" w:ascii="宋体" w:hAnsi="宋体" w:cs="宋体"/>
                <w:b/>
                <w:bCs/>
                <w:sz w:val="18"/>
              </w:rPr>
              <w:t>5.5</w:t>
            </w:r>
          </w:p>
        </w:tc>
        <w:tc>
          <w:tcPr>
            <w:tcW w:w="1976" w:type="dxa"/>
            <w:tcBorders>
              <w:bottom w:val="single" w:color="000000" w:sz="6" w:space="0"/>
            </w:tcBorders>
            <w:tcMar>
              <w:left w:w="28" w:type="dxa"/>
              <w:right w:w="28" w:type="dxa"/>
            </w:tcMar>
            <w:vAlign w:val="center"/>
          </w:tcPr>
          <w:p w14:paraId="2E9CB8A7">
            <w:pPr>
              <w:rPr>
                <w:rFonts w:ascii="宋体" w:hAnsi="宋体" w:cs="宋体"/>
                <w:sz w:val="18"/>
              </w:rPr>
            </w:pPr>
            <w:r>
              <w:rPr>
                <w:rFonts w:hint="eastAsia"/>
                <w:b/>
                <w:color w:val="000000"/>
                <w:sz w:val="18"/>
                <w:szCs w:val="18"/>
              </w:rPr>
              <w:t>强制条文管理</w:t>
            </w:r>
          </w:p>
        </w:tc>
        <w:tc>
          <w:tcPr>
            <w:tcW w:w="951" w:type="dxa"/>
            <w:tcBorders>
              <w:bottom w:val="single" w:color="000000" w:sz="6" w:space="0"/>
            </w:tcBorders>
            <w:tcMar>
              <w:left w:w="28" w:type="dxa"/>
              <w:right w:w="28" w:type="dxa"/>
            </w:tcMar>
            <w:vAlign w:val="center"/>
          </w:tcPr>
          <w:p w14:paraId="237C18A5">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vAlign w:val="center"/>
          </w:tcPr>
          <w:p w14:paraId="68B3CD45">
            <w:pPr>
              <w:spacing w:line="260" w:lineRule="exact"/>
              <w:rPr>
                <w:rFonts w:ascii="宋体" w:hAnsi="宋体" w:cs="宋体"/>
                <w:sz w:val="18"/>
              </w:rPr>
            </w:pPr>
            <w:r>
              <w:rPr>
                <w:rFonts w:hint="eastAsia" w:ascii="宋体" w:hAnsi="宋体" w:cs="宋体"/>
                <w:sz w:val="18"/>
              </w:rPr>
              <w:t>编写并上报强条执行计划，据实记录、填写施工强制性条文执行记录。（2分）</w:t>
            </w:r>
          </w:p>
        </w:tc>
        <w:tc>
          <w:tcPr>
            <w:tcW w:w="3890" w:type="dxa"/>
            <w:tcBorders>
              <w:bottom w:val="single" w:color="000000" w:sz="6" w:space="0"/>
            </w:tcBorders>
            <w:tcMar>
              <w:left w:w="28" w:type="dxa"/>
              <w:right w:w="28" w:type="dxa"/>
            </w:tcMar>
            <w:vAlign w:val="center"/>
          </w:tcPr>
          <w:p w14:paraId="7DC5E35C">
            <w:pPr>
              <w:spacing w:line="260" w:lineRule="exact"/>
              <w:rPr>
                <w:rFonts w:ascii="宋体" w:hAnsi="宋体" w:cs="宋体"/>
                <w:sz w:val="18"/>
              </w:rPr>
            </w:pPr>
            <w:r>
              <w:rPr>
                <w:rFonts w:hint="eastAsia" w:ascii="宋体" w:hAnsi="宋体" w:cs="宋体"/>
                <w:sz w:val="18"/>
              </w:rPr>
              <w:t>（1）未编制强条执行计划，扣1分；无记录，每少一份扣0.5分；</w:t>
            </w:r>
          </w:p>
          <w:p w14:paraId="1C0637E6">
            <w:pPr>
              <w:spacing w:line="260" w:lineRule="exact"/>
              <w:rPr>
                <w:rFonts w:ascii="宋体" w:hAnsi="宋体" w:cs="宋体"/>
                <w:sz w:val="18"/>
              </w:rPr>
            </w:pPr>
            <w:r>
              <w:rPr>
                <w:rFonts w:hint="eastAsia" w:ascii="宋体" w:hAnsi="宋体" w:cs="宋体"/>
                <w:sz w:val="18"/>
              </w:rPr>
              <w:t>（2）工程实物违反强制性条文规定，每处扣1分</w:t>
            </w:r>
          </w:p>
        </w:tc>
        <w:tc>
          <w:tcPr>
            <w:tcW w:w="1117" w:type="dxa"/>
            <w:tcBorders>
              <w:bottom w:val="single" w:color="000000" w:sz="6" w:space="0"/>
            </w:tcBorders>
            <w:tcMar>
              <w:left w:w="28" w:type="dxa"/>
              <w:right w:w="28" w:type="dxa"/>
            </w:tcMar>
            <w:vAlign w:val="center"/>
          </w:tcPr>
          <w:p w14:paraId="6875AE7C">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62CF61A2">
            <w:pPr>
              <w:spacing w:line="260" w:lineRule="exact"/>
              <w:rPr>
                <w:rFonts w:ascii="宋体" w:hAnsi="宋体" w:cs="宋体"/>
                <w:sz w:val="18"/>
              </w:rPr>
            </w:pPr>
          </w:p>
        </w:tc>
      </w:tr>
      <w:tr w14:paraId="246758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4BE981B6">
            <w:pPr>
              <w:spacing w:line="260" w:lineRule="exact"/>
              <w:jc w:val="center"/>
              <w:rPr>
                <w:rFonts w:ascii="宋体" w:hAnsi="宋体" w:cs="宋体"/>
                <w:b/>
                <w:bCs/>
                <w:sz w:val="18"/>
              </w:rPr>
            </w:pPr>
            <w:r>
              <w:rPr>
                <w:rFonts w:hint="eastAsia" w:ascii="宋体" w:hAnsi="宋体" w:cs="宋体"/>
                <w:b/>
                <w:bCs/>
                <w:sz w:val="18"/>
              </w:rPr>
              <w:t>5.6</w:t>
            </w:r>
          </w:p>
        </w:tc>
        <w:tc>
          <w:tcPr>
            <w:tcW w:w="1976" w:type="dxa"/>
            <w:tcBorders>
              <w:bottom w:val="single" w:color="000000" w:sz="6" w:space="0"/>
            </w:tcBorders>
            <w:tcMar>
              <w:left w:w="28" w:type="dxa"/>
              <w:right w:w="28" w:type="dxa"/>
            </w:tcMar>
            <w:vAlign w:val="center"/>
          </w:tcPr>
          <w:p w14:paraId="47EA829D">
            <w:pPr>
              <w:rPr>
                <w:rFonts w:ascii="宋体" w:hAnsi="宋体" w:cs="宋体"/>
                <w:sz w:val="18"/>
              </w:rPr>
            </w:pPr>
            <w:r>
              <w:rPr>
                <w:rFonts w:hint="eastAsia"/>
                <w:b/>
                <w:color w:val="000000"/>
                <w:sz w:val="18"/>
                <w:szCs w:val="18"/>
              </w:rPr>
              <w:t>标准工艺应用</w:t>
            </w:r>
          </w:p>
        </w:tc>
        <w:tc>
          <w:tcPr>
            <w:tcW w:w="951" w:type="dxa"/>
            <w:tcBorders>
              <w:bottom w:val="single" w:color="000000" w:sz="6" w:space="0"/>
            </w:tcBorders>
            <w:tcMar>
              <w:left w:w="28" w:type="dxa"/>
              <w:right w:w="28" w:type="dxa"/>
            </w:tcMar>
            <w:vAlign w:val="center"/>
          </w:tcPr>
          <w:p w14:paraId="0AFC39A9">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vAlign w:val="center"/>
          </w:tcPr>
          <w:p w14:paraId="5CEA8887">
            <w:pPr>
              <w:spacing w:line="260" w:lineRule="exact"/>
              <w:rPr>
                <w:rFonts w:ascii="宋体" w:hAnsi="宋体" w:cs="宋体"/>
                <w:sz w:val="18"/>
              </w:rPr>
            </w:pPr>
            <w:r>
              <w:rPr>
                <w:rFonts w:hint="eastAsia" w:ascii="宋体" w:hAnsi="宋体" w:cs="宋体"/>
                <w:sz w:val="18"/>
              </w:rPr>
              <w:t>编写并上报标准工艺应用计划，</w:t>
            </w:r>
            <w:r>
              <w:rPr>
                <w:rFonts w:hint="eastAsia" w:ascii="宋体" w:hAnsi="宋体" w:cs="宋体"/>
                <w:kern w:val="18"/>
                <w:sz w:val="18"/>
              </w:rPr>
              <w:t>全面实施标准工艺，对过程标准工艺的实施情况进行检查，对质量缺陷进行闭环整改。</w:t>
            </w:r>
            <w:r>
              <w:rPr>
                <w:rFonts w:hint="eastAsia" w:ascii="宋体" w:hAnsi="宋体" w:cs="宋体"/>
                <w:sz w:val="18"/>
              </w:rPr>
              <w:t>（2分）</w:t>
            </w:r>
          </w:p>
        </w:tc>
        <w:tc>
          <w:tcPr>
            <w:tcW w:w="3890" w:type="dxa"/>
            <w:tcBorders>
              <w:bottom w:val="single" w:color="000000" w:sz="6" w:space="0"/>
            </w:tcBorders>
            <w:tcMar>
              <w:left w:w="28" w:type="dxa"/>
              <w:right w:w="28" w:type="dxa"/>
            </w:tcMar>
            <w:vAlign w:val="center"/>
          </w:tcPr>
          <w:p w14:paraId="77A3DFA5">
            <w:pPr>
              <w:spacing w:line="260" w:lineRule="exact"/>
              <w:rPr>
                <w:rFonts w:ascii="宋体" w:hAnsi="宋体" w:cs="宋体"/>
                <w:sz w:val="18"/>
              </w:rPr>
            </w:pPr>
            <w:r>
              <w:rPr>
                <w:rFonts w:hint="eastAsia" w:ascii="宋体" w:hAnsi="宋体" w:cs="宋体"/>
                <w:sz w:val="18"/>
              </w:rPr>
              <w:t>（1）未编制标准工艺应用计划，扣1分；缺少标准工艺宣贯和培训记录、检查记录，每次扣0.5分；</w:t>
            </w:r>
          </w:p>
          <w:p w14:paraId="580C2236">
            <w:pPr>
              <w:spacing w:line="260" w:lineRule="exact"/>
              <w:rPr>
                <w:rFonts w:ascii="宋体" w:hAnsi="宋体" w:cs="宋体"/>
                <w:sz w:val="18"/>
              </w:rPr>
            </w:pPr>
            <w:r>
              <w:rPr>
                <w:rFonts w:hint="eastAsia" w:ascii="宋体" w:hAnsi="宋体" w:cs="宋体"/>
                <w:sz w:val="18"/>
              </w:rPr>
              <w:t>（2）应采用而未采用标准工艺，每项扣1分；</w:t>
            </w:r>
          </w:p>
          <w:p w14:paraId="4C3F693F">
            <w:pPr>
              <w:spacing w:line="260" w:lineRule="exact"/>
              <w:rPr>
                <w:rFonts w:ascii="宋体" w:hAnsi="宋体" w:cs="宋体"/>
                <w:sz w:val="18"/>
              </w:rPr>
            </w:pPr>
            <w:r>
              <w:rPr>
                <w:rFonts w:hint="eastAsia" w:ascii="宋体" w:hAnsi="宋体" w:cs="宋体"/>
                <w:sz w:val="18"/>
              </w:rPr>
              <w:t>（3）未按要求应用“国家电网公司输变电工程工艺标准库”，每项扣0.5分。</w:t>
            </w:r>
          </w:p>
        </w:tc>
        <w:tc>
          <w:tcPr>
            <w:tcW w:w="1117" w:type="dxa"/>
            <w:tcBorders>
              <w:bottom w:val="single" w:color="000000" w:sz="6" w:space="0"/>
            </w:tcBorders>
            <w:tcMar>
              <w:left w:w="28" w:type="dxa"/>
              <w:right w:w="28" w:type="dxa"/>
            </w:tcMar>
            <w:vAlign w:val="center"/>
          </w:tcPr>
          <w:p w14:paraId="7E6FB967">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7DACE0EC">
            <w:pPr>
              <w:spacing w:line="260" w:lineRule="exact"/>
              <w:rPr>
                <w:rFonts w:ascii="宋体" w:hAnsi="宋体" w:cs="宋体"/>
                <w:sz w:val="18"/>
              </w:rPr>
            </w:pPr>
          </w:p>
        </w:tc>
      </w:tr>
      <w:tr w14:paraId="5485C6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6CE69AFD">
            <w:pPr>
              <w:spacing w:line="260" w:lineRule="exact"/>
              <w:jc w:val="center"/>
              <w:rPr>
                <w:rFonts w:ascii="宋体" w:hAnsi="宋体" w:cs="宋体"/>
                <w:b/>
                <w:bCs/>
                <w:sz w:val="18"/>
              </w:rPr>
            </w:pPr>
            <w:r>
              <w:rPr>
                <w:rFonts w:hint="eastAsia" w:ascii="宋体" w:hAnsi="宋体" w:cs="宋体"/>
                <w:b/>
                <w:bCs/>
                <w:sz w:val="18"/>
              </w:rPr>
              <w:t>5.7</w:t>
            </w:r>
          </w:p>
        </w:tc>
        <w:tc>
          <w:tcPr>
            <w:tcW w:w="1976" w:type="dxa"/>
            <w:tcBorders>
              <w:bottom w:val="single" w:color="000000" w:sz="6" w:space="0"/>
            </w:tcBorders>
            <w:tcMar>
              <w:left w:w="28" w:type="dxa"/>
              <w:right w:w="28" w:type="dxa"/>
            </w:tcMar>
            <w:vAlign w:val="center"/>
          </w:tcPr>
          <w:p w14:paraId="0A044502">
            <w:pPr>
              <w:rPr>
                <w:rFonts w:ascii="宋体" w:hAnsi="宋体" w:cs="宋体"/>
                <w:sz w:val="18"/>
              </w:rPr>
            </w:pPr>
            <w:r>
              <w:rPr>
                <w:rFonts w:hint="eastAsia"/>
                <w:b/>
                <w:color w:val="000000"/>
                <w:sz w:val="18"/>
                <w:szCs w:val="18"/>
              </w:rPr>
              <w:t>实物样板管理</w:t>
            </w:r>
          </w:p>
        </w:tc>
        <w:tc>
          <w:tcPr>
            <w:tcW w:w="951" w:type="dxa"/>
            <w:tcBorders>
              <w:bottom w:val="single" w:color="000000" w:sz="6" w:space="0"/>
            </w:tcBorders>
            <w:tcMar>
              <w:left w:w="28" w:type="dxa"/>
              <w:right w:w="28" w:type="dxa"/>
            </w:tcMar>
            <w:vAlign w:val="center"/>
          </w:tcPr>
          <w:p w14:paraId="681A8726">
            <w:pPr>
              <w:spacing w:line="260" w:lineRule="exact"/>
              <w:jc w:val="center"/>
              <w:rPr>
                <w:rFonts w:ascii="宋体" w:hAnsi="宋体" w:cs="宋体"/>
                <w:sz w:val="18"/>
              </w:rPr>
            </w:pPr>
            <w:r>
              <w:rPr>
                <w:rFonts w:hint="eastAsia" w:ascii="宋体" w:hAnsi="宋体" w:cs="宋体"/>
                <w:sz w:val="18"/>
              </w:rPr>
              <w:t>3</w:t>
            </w:r>
          </w:p>
        </w:tc>
        <w:tc>
          <w:tcPr>
            <w:tcW w:w="3348" w:type="dxa"/>
            <w:tcBorders>
              <w:bottom w:val="single" w:color="000000" w:sz="6" w:space="0"/>
            </w:tcBorders>
            <w:tcMar>
              <w:left w:w="28" w:type="dxa"/>
              <w:right w:w="28" w:type="dxa"/>
            </w:tcMar>
            <w:vAlign w:val="center"/>
          </w:tcPr>
          <w:p w14:paraId="39F96287">
            <w:pPr>
              <w:spacing w:line="260" w:lineRule="exact"/>
              <w:rPr>
                <w:rFonts w:ascii="宋体" w:hAnsi="宋体" w:cs="宋体"/>
                <w:sz w:val="18"/>
              </w:rPr>
            </w:pPr>
            <w:r>
              <w:rPr>
                <w:rFonts w:hint="eastAsia" w:ascii="宋体" w:hAnsi="宋体" w:cs="宋体"/>
                <w:sz w:val="18"/>
              </w:rPr>
              <w:t>负责制作实物样板，并上报监理项目部、业主项目部验收，并按照审定的实物样板作为标准进行大面积施工。（3分）</w:t>
            </w:r>
          </w:p>
        </w:tc>
        <w:tc>
          <w:tcPr>
            <w:tcW w:w="3890" w:type="dxa"/>
            <w:tcBorders>
              <w:bottom w:val="single" w:color="000000" w:sz="6" w:space="0"/>
            </w:tcBorders>
            <w:tcMar>
              <w:left w:w="28" w:type="dxa"/>
              <w:right w:w="28" w:type="dxa"/>
            </w:tcMar>
            <w:vAlign w:val="center"/>
          </w:tcPr>
          <w:p w14:paraId="20AFC9A0">
            <w:pPr>
              <w:numPr>
                <w:ilvl w:val="0"/>
                <w:numId w:val="16"/>
              </w:numPr>
              <w:spacing w:line="260" w:lineRule="exact"/>
              <w:rPr>
                <w:rFonts w:ascii="宋体" w:hAnsi="宋体" w:cs="宋体"/>
                <w:sz w:val="18"/>
              </w:rPr>
            </w:pPr>
            <w:r>
              <w:rPr>
                <w:rFonts w:hint="eastAsia" w:ascii="宋体" w:hAnsi="宋体" w:cs="宋体"/>
                <w:sz w:val="18"/>
              </w:rPr>
              <w:t>未编制样板报审表，每次扣0.5分；</w:t>
            </w:r>
          </w:p>
          <w:p w14:paraId="2A5B01F4">
            <w:pPr>
              <w:numPr>
                <w:ilvl w:val="0"/>
                <w:numId w:val="16"/>
              </w:numPr>
              <w:spacing w:line="260" w:lineRule="exact"/>
              <w:rPr>
                <w:rFonts w:ascii="宋体" w:hAnsi="宋体" w:cs="宋体"/>
                <w:sz w:val="18"/>
              </w:rPr>
            </w:pPr>
            <w:r>
              <w:rPr>
                <w:rFonts w:hint="eastAsia" w:ascii="宋体" w:hAnsi="宋体" w:cs="宋体"/>
                <w:sz w:val="18"/>
              </w:rPr>
              <w:t>未及时制作实物样板，每次扣0.5分；</w:t>
            </w:r>
          </w:p>
          <w:p w14:paraId="2DD4C3C6">
            <w:pPr>
              <w:spacing w:line="260" w:lineRule="exact"/>
              <w:rPr>
                <w:rFonts w:ascii="宋体" w:hAnsi="宋体" w:cs="宋体"/>
                <w:sz w:val="18"/>
              </w:rPr>
            </w:pPr>
            <w:r>
              <w:rPr>
                <w:rFonts w:hint="eastAsia" w:ascii="宋体" w:hAnsi="宋体" w:cs="宋体"/>
                <w:sz w:val="18"/>
              </w:rPr>
              <w:t>（2）实物样板未及时申报验收，每次扣0.5分；</w:t>
            </w:r>
          </w:p>
          <w:p w14:paraId="104A9FF4">
            <w:pPr>
              <w:spacing w:line="260" w:lineRule="exact"/>
              <w:rPr>
                <w:rFonts w:ascii="宋体" w:hAnsi="宋体" w:cs="宋体"/>
                <w:sz w:val="18"/>
              </w:rPr>
            </w:pPr>
            <w:r>
              <w:rPr>
                <w:rFonts w:hint="eastAsia" w:ascii="宋体" w:hAnsi="宋体" w:cs="宋体"/>
                <w:sz w:val="18"/>
              </w:rPr>
              <w:t>（3）施工单位未按实物样板标准进行大面积施工，每次扣1分。</w:t>
            </w:r>
          </w:p>
        </w:tc>
        <w:tc>
          <w:tcPr>
            <w:tcW w:w="1117" w:type="dxa"/>
            <w:tcBorders>
              <w:bottom w:val="single" w:color="000000" w:sz="6" w:space="0"/>
            </w:tcBorders>
            <w:tcMar>
              <w:left w:w="28" w:type="dxa"/>
              <w:right w:w="28" w:type="dxa"/>
            </w:tcMar>
            <w:vAlign w:val="center"/>
          </w:tcPr>
          <w:p w14:paraId="70245D0F">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72809A4A">
            <w:pPr>
              <w:spacing w:line="260" w:lineRule="exact"/>
              <w:rPr>
                <w:rFonts w:ascii="宋体" w:hAnsi="宋体" w:cs="宋体"/>
                <w:sz w:val="18"/>
              </w:rPr>
            </w:pPr>
          </w:p>
        </w:tc>
      </w:tr>
      <w:tr w14:paraId="69990D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138221C1">
            <w:pPr>
              <w:spacing w:line="260" w:lineRule="exact"/>
              <w:jc w:val="center"/>
              <w:rPr>
                <w:rFonts w:ascii="宋体" w:hAnsi="宋体" w:cs="宋体"/>
                <w:b/>
                <w:bCs/>
                <w:sz w:val="18"/>
              </w:rPr>
            </w:pPr>
            <w:r>
              <w:rPr>
                <w:rFonts w:hint="eastAsia" w:ascii="宋体" w:hAnsi="宋体" w:cs="宋体"/>
                <w:b/>
                <w:bCs/>
                <w:sz w:val="18"/>
              </w:rPr>
              <w:t>5.8</w:t>
            </w:r>
          </w:p>
        </w:tc>
        <w:tc>
          <w:tcPr>
            <w:tcW w:w="1976" w:type="dxa"/>
            <w:vMerge w:val="restart"/>
            <w:tcMar>
              <w:left w:w="28" w:type="dxa"/>
              <w:right w:w="28" w:type="dxa"/>
            </w:tcMar>
            <w:vAlign w:val="center"/>
          </w:tcPr>
          <w:p w14:paraId="49497140">
            <w:pPr>
              <w:rPr>
                <w:rFonts w:ascii="宋体" w:hAnsi="宋体" w:cs="宋体"/>
                <w:sz w:val="18"/>
              </w:rPr>
            </w:pPr>
            <w:r>
              <w:rPr>
                <w:rFonts w:hint="eastAsia"/>
                <w:b/>
                <w:color w:val="000000"/>
                <w:sz w:val="18"/>
                <w:szCs w:val="18"/>
              </w:rPr>
              <w:t>验收管理</w:t>
            </w:r>
          </w:p>
        </w:tc>
        <w:tc>
          <w:tcPr>
            <w:tcW w:w="951" w:type="dxa"/>
            <w:vMerge w:val="restart"/>
            <w:tcMar>
              <w:left w:w="28" w:type="dxa"/>
              <w:right w:w="28" w:type="dxa"/>
            </w:tcMar>
            <w:vAlign w:val="center"/>
          </w:tcPr>
          <w:p w14:paraId="02B4ACDB">
            <w:pPr>
              <w:spacing w:line="260" w:lineRule="exact"/>
              <w:jc w:val="center"/>
              <w:rPr>
                <w:rFonts w:ascii="宋体" w:hAnsi="宋体" w:cs="宋体"/>
                <w:sz w:val="18"/>
              </w:rPr>
            </w:pPr>
            <w:r>
              <w:rPr>
                <w:rFonts w:hint="eastAsia" w:ascii="宋体" w:hAnsi="宋体" w:cs="宋体"/>
                <w:sz w:val="18"/>
              </w:rPr>
              <w:t>6</w:t>
            </w:r>
          </w:p>
        </w:tc>
        <w:tc>
          <w:tcPr>
            <w:tcW w:w="3348" w:type="dxa"/>
            <w:tcBorders>
              <w:bottom w:val="single" w:color="000000" w:sz="6" w:space="0"/>
            </w:tcBorders>
            <w:tcMar>
              <w:left w:w="28" w:type="dxa"/>
              <w:right w:w="28" w:type="dxa"/>
            </w:tcMar>
          </w:tcPr>
          <w:p w14:paraId="3D54854F">
            <w:pPr>
              <w:spacing w:line="260" w:lineRule="exact"/>
              <w:rPr>
                <w:rFonts w:ascii="宋体" w:hAnsi="宋体" w:cs="宋体"/>
                <w:sz w:val="18"/>
              </w:rPr>
            </w:pPr>
            <w:r>
              <w:rPr>
                <w:rFonts w:hint="eastAsia" w:ascii="宋体" w:hAnsi="宋体" w:cs="宋体"/>
                <w:sz w:val="18"/>
              </w:rPr>
              <w:t>编写施工单位编制质量验评划分表，并及时填写验评记录。（2分）</w:t>
            </w:r>
          </w:p>
        </w:tc>
        <w:tc>
          <w:tcPr>
            <w:tcW w:w="3890" w:type="dxa"/>
            <w:tcBorders>
              <w:bottom w:val="single" w:color="000000" w:sz="6" w:space="0"/>
            </w:tcBorders>
            <w:tcMar>
              <w:left w:w="28" w:type="dxa"/>
              <w:right w:w="28" w:type="dxa"/>
            </w:tcMar>
          </w:tcPr>
          <w:p w14:paraId="2018A1FF">
            <w:pPr>
              <w:spacing w:line="260" w:lineRule="exact"/>
              <w:jc w:val="left"/>
              <w:rPr>
                <w:rFonts w:ascii="宋体" w:hAnsi="宋体" w:cs="宋体"/>
                <w:kern w:val="18"/>
                <w:sz w:val="18"/>
              </w:rPr>
            </w:pPr>
            <w:r>
              <w:rPr>
                <w:rFonts w:hint="eastAsia" w:ascii="宋体" w:hAnsi="宋体" w:cs="宋体"/>
                <w:kern w:val="18"/>
                <w:sz w:val="18"/>
              </w:rPr>
              <w:t>（1）未及时编写施工单位编制质量验评划分表，扣1分；</w:t>
            </w:r>
          </w:p>
          <w:p w14:paraId="614BDF39">
            <w:pPr>
              <w:spacing w:line="260" w:lineRule="exact"/>
              <w:jc w:val="left"/>
              <w:rPr>
                <w:rFonts w:ascii="宋体" w:hAnsi="宋体" w:cs="宋体"/>
                <w:sz w:val="18"/>
              </w:rPr>
            </w:pPr>
            <w:r>
              <w:rPr>
                <w:rFonts w:hint="eastAsia" w:ascii="宋体" w:hAnsi="宋体" w:cs="宋体"/>
                <w:kern w:val="18"/>
                <w:sz w:val="18"/>
              </w:rPr>
              <w:t>（2）未及时填写验评记录，每次扣0.5分。</w:t>
            </w:r>
          </w:p>
        </w:tc>
        <w:tc>
          <w:tcPr>
            <w:tcW w:w="1117" w:type="dxa"/>
            <w:tcBorders>
              <w:bottom w:val="single" w:color="000000" w:sz="6" w:space="0"/>
            </w:tcBorders>
            <w:tcMar>
              <w:left w:w="28" w:type="dxa"/>
              <w:right w:w="28" w:type="dxa"/>
            </w:tcMar>
            <w:vAlign w:val="center"/>
          </w:tcPr>
          <w:p w14:paraId="1E26C227">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7268C683">
            <w:pPr>
              <w:spacing w:line="260" w:lineRule="exact"/>
              <w:rPr>
                <w:rFonts w:ascii="宋体" w:hAnsi="宋体" w:cs="宋体"/>
                <w:sz w:val="18"/>
              </w:rPr>
            </w:pPr>
          </w:p>
        </w:tc>
      </w:tr>
      <w:tr w14:paraId="73B2A3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90" w:hRule="atLeast"/>
          <w:jc w:val="center"/>
        </w:trPr>
        <w:tc>
          <w:tcPr>
            <w:tcW w:w="547" w:type="dxa"/>
            <w:vMerge w:val="continue"/>
            <w:tcMar>
              <w:left w:w="28" w:type="dxa"/>
              <w:right w:w="28" w:type="dxa"/>
            </w:tcMar>
            <w:vAlign w:val="center"/>
          </w:tcPr>
          <w:p w14:paraId="4277D5CD">
            <w:pPr>
              <w:spacing w:line="260" w:lineRule="exact"/>
              <w:jc w:val="center"/>
              <w:rPr>
                <w:rFonts w:ascii="宋体" w:hAnsi="宋体" w:cs="宋体"/>
                <w:sz w:val="18"/>
              </w:rPr>
            </w:pPr>
          </w:p>
        </w:tc>
        <w:tc>
          <w:tcPr>
            <w:tcW w:w="1976" w:type="dxa"/>
            <w:vMerge w:val="continue"/>
            <w:tcMar>
              <w:left w:w="28" w:type="dxa"/>
              <w:right w:w="28" w:type="dxa"/>
            </w:tcMar>
            <w:vAlign w:val="center"/>
          </w:tcPr>
          <w:p w14:paraId="2BB374A2">
            <w:pPr>
              <w:spacing w:line="260" w:lineRule="exact"/>
              <w:ind w:right="53"/>
              <w:jc w:val="left"/>
              <w:rPr>
                <w:rFonts w:ascii="宋体" w:hAnsi="宋体" w:cs="宋体"/>
                <w:sz w:val="18"/>
              </w:rPr>
            </w:pPr>
          </w:p>
        </w:tc>
        <w:tc>
          <w:tcPr>
            <w:tcW w:w="951" w:type="dxa"/>
            <w:vMerge w:val="continue"/>
            <w:tcMar>
              <w:left w:w="28" w:type="dxa"/>
              <w:right w:w="28" w:type="dxa"/>
            </w:tcMar>
            <w:vAlign w:val="center"/>
          </w:tcPr>
          <w:p w14:paraId="7D67785D">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78DB931E">
            <w:pPr>
              <w:spacing w:line="260" w:lineRule="exact"/>
              <w:ind w:right="53"/>
              <w:jc w:val="left"/>
              <w:rPr>
                <w:rFonts w:ascii="宋体" w:hAnsi="宋体" w:cs="宋体"/>
                <w:sz w:val="18"/>
              </w:rPr>
            </w:pPr>
            <w:r>
              <w:rPr>
                <w:rFonts w:hint="eastAsia" w:ascii="宋体" w:hAnsi="宋体" w:cs="宋体"/>
                <w:sz w:val="18"/>
              </w:rPr>
              <w:t>执行三级自检，做好三级检验记录、工程验评记录及质量问题管理台账；配合做好监理初检、中间验收、竣工预验收、启动验收和启动试运行以及质量监督检查工作。（2分）</w:t>
            </w:r>
          </w:p>
        </w:tc>
        <w:tc>
          <w:tcPr>
            <w:tcW w:w="3890" w:type="dxa"/>
            <w:tcBorders>
              <w:bottom w:val="single" w:color="000000" w:sz="6" w:space="0"/>
            </w:tcBorders>
            <w:tcMar>
              <w:left w:w="28" w:type="dxa"/>
              <w:right w:w="28" w:type="dxa"/>
            </w:tcMar>
          </w:tcPr>
          <w:p w14:paraId="54A99BFA">
            <w:pPr>
              <w:spacing w:line="260" w:lineRule="exact"/>
              <w:jc w:val="left"/>
              <w:rPr>
                <w:rFonts w:ascii="宋体" w:hAnsi="宋体" w:cs="宋体"/>
                <w:sz w:val="18"/>
              </w:rPr>
            </w:pPr>
            <w:r>
              <w:rPr>
                <w:rFonts w:hint="eastAsia" w:ascii="宋体" w:hAnsi="宋体" w:cs="宋体"/>
                <w:sz w:val="18"/>
              </w:rPr>
              <w:t>（1）三级自检记录、工程验评记录及质量问题管理台账，每缺一份扣1分；</w:t>
            </w:r>
          </w:p>
          <w:p w14:paraId="70D2F8A2">
            <w:pPr>
              <w:spacing w:line="260" w:lineRule="exact"/>
              <w:jc w:val="left"/>
              <w:rPr>
                <w:rFonts w:ascii="宋体" w:hAnsi="宋体" w:cs="宋体"/>
                <w:sz w:val="18"/>
              </w:rPr>
            </w:pPr>
            <w:r>
              <w:rPr>
                <w:rFonts w:hint="eastAsia" w:ascii="宋体" w:hAnsi="宋体" w:cs="宋体"/>
                <w:sz w:val="18"/>
              </w:rPr>
              <w:t>（2）验收走过场，每类扣0.5分</w:t>
            </w:r>
          </w:p>
          <w:p w14:paraId="4A610258">
            <w:pPr>
              <w:spacing w:line="260" w:lineRule="exact"/>
              <w:jc w:val="left"/>
              <w:rPr>
                <w:rFonts w:ascii="宋体" w:hAnsi="宋体" w:cs="宋体"/>
                <w:sz w:val="18"/>
              </w:rPr>
            </w:pPr>
            <w:r>
              <w:rPr>
                <w:rFonts w:hint="eastAsia" w:ascii="宋体" w:hAnsi="宋体" w:cs="宋体"/>
                <w:sz w:val="18"/>
              </w:rPr>
              <w:t>（3）三级自检记录、工程验评记录及质量问题管理台账不真实、代签字等质量问题，每缺一份扣1分；</w:t>
            </w:r>
          </w:p>
        </w:tc>
        <w:tc>
          <w:tcPr>
            <w:tcW w:w="1117" w:type="dxa"/>
            <w:tcBorders>
              <w:bottom w:val="single" w:color="000000" w:sz="6" w:space="0"/>
            </w:tcBorders>
            <w:tcMar>
              <w:left w:w="28" w:type="dxa"/>
              <w:right w:w="28" w:type="dxa"/>
            </w:tcMar>
            <w:vAlign w:val="center"/>
          </w:tcPr>
          <w:p w14:paraId="2E7659E4">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3278FB01">
            <w:pPr>
              <w:spacing w:line="260" w:lineRule="exact"/>
              <w:rPr>
                <w:rFonts w:ascii="宋体" w:hAnsi="宋体" w:cs="宋体"/>
                <w:sz w:val="18"/>
              </w:rPr>
            </w:pPr>
          </w:p>
        </w:tc>
      </w:tr>
      <w:tr w14:paraId="6DEC79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Borders>
              <w:bottom w:val="single" w:color="000000" w:sz="6" w:space="0"/>
            </w:tcBorders>
            <w:tcMar>
              <w:left w:w="28" w:type="dxa"/>
              <w:right w:w="28" w:type="dxa"/>
            </w:tcMar>
            <w:vAlign w:val="center"/>
          </w:tcPr>
          <w:p w14:paraId="31347DCF">
            <w:pPr>
              <w:spacing w:line="260" w:lineRule="exact"/>
              <w:jc w:val="center"/>
              <w:rPr>
                <w:rFonts w:ascii="宋体" w:hAnsi="宋体" w:cs="宋体"/>
                <w:sz w:val="18"/>
              </w:rPr>
            </w:pPr>
          </w:p>
        </w:tc>
        <w:tc>
          <w:tcPr>
            <w:tcW w:w="1976" w:type="dxa"/>
            <w:vMerge w:val="continue"/>
            <w:tcBorders>
              <w:bottom w:val="single" w:color="000000" w:sz="6" w:space="0"/>
            </w:tcBorders>
            <w:tcMar>
              <w:left w:w="28" w:type="dxa"/>
              <w:right w:w="28" w:type="dxa"/>
            </w:tcMar>
            <w:vAlign w:val="center"/>
          </w:tcPr>
          <w:p w14:paraId="62C4AF40">
            <w:pPr>
              <w:spacing w:line="260" w:lineRule="exact"/>
              <w:ind w:right="53"/>
              <w:jc w:val="left"/>
              <w:rPr>
                <w:rFonts w:ascii="宋体" w:hAnsi="宋体" w:cs="宋体"/>
                <w:sz w:val="18"/>
              </w:rPr>
            </w:pPr>
          </w:p>
        </w:tc>
        <w:tc>
          <w:tcPr>
            <w:tcW w:w="951" w:type="dxa"/>
            <w:vMerge w:val="continue"/>
            <w:tcBorders>
              <w:bottom w:val="single" w:color="000000" w:sz="6" w:space="0"/>
            </w:tcBorders>
            <w:tcMar>
              <w:left w:w="28" w:type="dxa"/>
              <w:right w:w="28" w:type="dxa"/>
            </w:tcMar>
            <w:vAlign w:val="center"/>
          </w:tcPr>
          <w:p w14:paraId="6747893C">
            <w:pPr>
              <w:spacing w:line="260" w:lineRule="exact"/>
              <w:jc w:val="center"/>
              <w:rPr>
                <w:rFonts w:ascii="宋体" w:hAnsi="宋体" w:cs="宋体"/>
                <w:sz w:val="18"/>
              </w:rPr>
            </w:pPr>
          </w:p>
        </w:tc>
        <w:tc>
          <w:tcPr>
            <w:tcW w:w="3348" w:type="dxa"/>
            <w:tcBorders>
              <w:bottom w:val="single" w:color="000000" w:sz="6" w:space="0"/>
            </w:tcBorders>
            <w:tcMar>
              <w:left w:w="28" w:type="dxa"/>
              <w:right w:w="28" w:type="dxa"/>
            </w:tcMar>
            <w:vAlign w:val="center"/>
          </w:tcPr>
          <w:p w14:paraId="5A902AF6">
            <w:pPr>
              <w:spacing w:line="260" w:lineRule="exact"/>
              <w:ind w:right="53"/>
              <w:jc w:val="left"/>
              <w:rPr>
                <w:rFonts w:ascii="宋体" w:hAnsi="宋体" w:cs="宋体"/>
                <w:sz w:val="18"/>
              </w:rPr>
            </w:pPr>
            <w:r>
              <w:rPr>
                <w:rFonts w:hint="eastAsia" w:ascii="宋体" w:hAnsi="宋体" w:cs="宋体"/>
                <w:sz w:val="18"/>
              </w:rPr>
              <w:t>及时对质监、验收过程发现的缺陷按时整改闭环。（2分）</w:t>
            </w:r>
          </w:p>
        </w:tc>
        <w:tc>
          <w:tcPr>
            <w:tcW w:w="3890" w:type="dxa"/>
            <w:tcBorders>
              <w:bottom w:val="single" w:color="000000" w:sz="6" w:space="0"/>
            </w:tcBorders>
            <w:tcMar>
              <w:left w:w="28" w:type="dxa"/>
              <w:right w:w="28" w:type="dxa"/>
            </w:tcMar>
          </w:tcPr>
          <w:p w14:paraId="058E4414">
            <w:pPr>
              <w:spacing w:line="260" w:lineRule="exact"/>
              <w:jc w:val="left"/>
              <w:rPr>
                <w:rFonts w:ascii="宋体" w:hAnsi="宋体" w:cs="宋体"/>
                <w:sz w:val="18"/>
              </w:rPr>
            </w:pPr>
            <w:r>
              <w:rPr>
                <w:rFonts w:hint="eastAsia" w:ascii="宋体" w:hAnsi="宋体" w:cs="宋体"/>
                <w:sz w:val="18"/>
              </w:rPr>
              <w:t>未及时整改，每项扣1分。</w:t>
            </w:r>
          </w:p>
        </w:tc>
        <w:tc>
          <w:tcPr>
            <w:tcW w:w="1117" w:type="dxa"/>
            <w:tcBorders>
              <w:bottom w:val="single" w:color="000000" w:sz="6" w:space="0"/>
            </w:tcBorders>
            <w:tcMar>
              <w:left w:w="28" w:type="dxa"/>
              <w:right w:w="28" w:type="dxa"/>
            </w:tcMar>
            <w:vAlign w:val="center"/>
          </w:tcPr>
          <w:p w14:paraId="54262794">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4CFCA6E2">
            <w:pPr>
              <w:spacing w:line="260" w:lineRule="exact"/>
              <w:rPr>
                <w:rFonts w:ascii="宋体" w:hAnsi="宋体" w:cs="宋体"/>
                <w:sz w:val="18"/>
              </w:rPr>
            </w:pPr>
          </w:p>
        </w:tc>
      </w:tr>
      <w:tr w14:paraId="02D2E1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Borders>
              <w:bottom w:val="single" w:color="000000" w:sz="6" w:space="0"/>
            </w:tcBorders>
            <w:tcMar>
              <w:left w:w="28" w:type="dxa"/>
              <w:right w:w="28" w:type="dxa"/>
            </w:tcMar>
            <w:vAlign w:val="center"/>
          </w:tcPr>
          <w:p w14:paraId="420AAD4A">
            <w:pPr>
              <w:spacing w:line="260" w:lineRule="exact"/>
              <w:jc w:val="center"/>
              <w:rPr>
                <w:rFonts w:ascii="宋体" w:hAnsi="宋体" w:cs="宋体"/>
                <w:b/>
                <w:bCs/>
                <w:sz w:val="18"/>
              </w:rPr>
            </w:pPr>
            <w:r>
              <w:rPr>
                <w:rFonts w:hint="eastAsia" w:ascii="宋体" w:hAnsi="宋体" w:cs="宋体"/>
                <w:b/>
                <w:bCs/>
                <w:sz w:val="18"/>
              </w:rPr>
              <w:t>5.9</w:t>
            </w:r>
          </w:p>
        </w:tc>
        <w:tc>
          <w:tcPr>
            <w:tcW w:w="1976" w:type="dxa"/>
            <w:tcBorders>
              <w:bottom w:val="single" w:color="000000" w:sz="6" w:space="0"/>
            </w:tcBorders>
            <w:tcMar>
              <w:left w:w="28" w:type="dxa"/>
              <w:right w:w="28" w:type="dxa"/>
            </w:tcMar>
            <w:vAlign w:val="center"/>
          </w:tcPr>
          <w:p w14:paraId="1CB3B601">
            <w:pPr>
              <w:spacing w:line="260" w:lineRule="exact"/>
              <w:jc w:val="center"/>
              <w:rPr>
                <w:rFonts w:ascii="宋体" w:hAnsi="宋体" w:cs="宋体"/>
                <w:b/>
                <w:bCs/>
                <w:sz w:val="18"/>
              </w:rPr>
            </w:pPr>
            <w:r>
              <w:rPr>
                <w:rFonts w:hint="eastAsia" w:ascii="宋体" w:hAnsi="宋体" w:cs="宋体"/>
                <w:b/>
                <w:bCs/>
                <w:sz w:val="18"/>
              </w:rPr>
              <w:t>典型案例及典型经验</w:t>
            </w:r>
          </w:p>
        </w:tc>
        <w:tc>
          <w:tcPr>
            <w:tcW w:w="951" w:type="dxa"/>
            <w:tcBorders>
              <w:bottom w:val="single" w:color="000000" w:sz="6" w:space="0"/>
            </w:tcBorders>
            <w:tcMar>
              <w:left w:w="28" w:type="dxa"/>
              <w:right w:w="28" w:type="dxa"/>
            </w:tcMar>
            <w:vAlign w:val="center"/>
          </w:tcPr>
          <w:p w14:paraId="6C0D7CC9">
            <w:pPr>
              <w:spacing w:line="260" w:lineRule="exact"/>
              <w:jc w:val="center"/>
              <w:rPr>
                <w:rFonts w:ascii="宋体" w:hAnsi="宋体" w:cs="宋体"/>
                <w:sz w:val="18"/>
              </w:rPr>
            </w:pPr>
            <w:r>
              <w:rPr>
                <w:rFonts w:hint="eastAsia" w:ascii="宋体" w:hAnsi="宋体" w:cs="宋体"/>
                <w:sz w:val="18"/>
              </w:rPr>
              <w:t>2</w:t>
            </w:r>
          </w:p>
        </w:tc>
        <w:tc>
          <w:tcPr>
            <w:tcW w:w="3348" w:type="dxa"/>
            <w:tcBorders>
              <w:bottom w:val="single" w:color="000000" w:sz="6" w:space="0"/>
            </w:tcBorders>
            <w:tcMar>
              <w:left w:w="28" w:type="dxa"/>
              <w:right w:w="28" w:type="dxa"/>
            </w:tcMar>
            <w:vAlign w:val="center"/>
          </w:tcPr>
          <w:p w14:paraId="2D05D1D5">
            <w:pPr>
              <w:spacing w:line="260" w:lineRule="exact"/>
              <w:ind w:right="53"/>
              <w:jc w:val="left"/>
              <w:rPr>
                <w:rFonts w:ascii="宋体" w:hAnsi="宋体" w:cs="宋体"/>
                <w:sz w:val="18"/>
              </w:rPr>
            </w:pPr>
            <w:r>
              <w:rPr>
                <w:rFonts w:hint="eastAsia" w:ascii="宋体" w:hAnsi="宋体" w:cs="宋体"/>
                <w:sz w:val="18"/>
              </w:rPr>
              <w:t>按规定格式及时开展典型案例及典型经验的总结工作，按月提交典型案例及典型经验报告。（2分）</w:t>
            </w:r>
          </w:p>
        </w:tc>
        <w:tc>
          <w:tcPr>
            <w:tcW w:w="3890" w:type="dxa"/>
            <w:tcBorders>
              <w:bottom w:val="single" w:color="000000" w:sz="6" w:space="0"/>
            </w:tcBorders>
            <w:tcMar>
              <w:left w:w="28" w:type="dxa"/>
              <w:right w:w="28" w:type="dxa"/>
            </w:tcMar>
          </w:tcPr>
          <w:p w14:paraId="2552D87E">
            <w:pPr>
              <w:spacing w:line="260" w:lineRule="exact"/>
              <w:jc w:val="left"/>
              <w:rPr>
                <w:rFonts w:ascii="宋体" w:hAnsi="宋体" w:cs="宋体"/>
                <w:sz w:val="18"/>
              </w:rPr>
            </w:pPr>
            <w:r>
              <w:rPr>
                <w:rFonts w:hint="eastAsia" w:ascii="宋体" w:hAnsi="宋体" w:cs="宋体"/>
                <w:sz w:val="18"/>
              </w:rPr>
              <w:t>（1）每月未开展典型案例及典型经验总结扣0.5分，每月未提交总结报告扣1分。</w:t>
            </w:r>
          </w:p>
        </w:tc>
        <w:tc>
          <w:tcPr>
            <w:tcW w:w="1117" w:type="dxa"/>
            <w:tcBorders>
              <w:bottom w:val="single" w:color="000000" w:sz="6" w:space="0"/>
            </w:tcBorders>
            <w:tcMar>
              <w:left w:w="28" w:type="dxa"/>
              <w:right w:w="28" w:type="dxa"/>
            </w:tcMar>
            <w:vAlign w:val="center"/>
          </w:tcPr>
          <w:p w14:paraId="7FA89084">
            <w:pPr>
              <w:spacing w:line="260" w:lineRule="exact"/>
              <w:rPr>
                <w:rFonts w:ascii="宋体" w:hAnsi="宋体" w:cs="宋体"/>
                <w:sz w:val="18"/>
              </w:rPr>
            </w:pPr>
          </w:p>
        </w:tc>
        <w:tc>
          <w:tcPr>
            <w:tcW w:w="1020" w:type="dxa"/>
            <w:tcBorders>
              <w:bottom w:val="single" w:color="000000" w:sz="6" w:space="0"/>
            </w:tcBorders>
            <w:tcMar>
              <w:left w:w="28" w:type="dxa"/>
              <w:right w:w="28" w:type="dxa"/>
            </w:tcMar>
            <w:vAlign w:val="center"/>
          </w:tcPr>
          <w:p w14:paraId="7166CF8F">
            <w:pPr>
              <w:spacing w:line="260" w:lineRule="exact"/>
              <w:rPr>
                <w:rFonts w:ascii="宋体" w:hAnsi="宋体" w:cs="宋体"/>
                <w:sz w:val="18"/>
              </w:rPr>
            </w:pPr>
          </w:p>
        </w:tc>
      </w:tr>
      <w:tr w14:paraId="6D6B6A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75" w:hRule="atLeast"/>
          <w:jc w:val="center"/>
        </w:trPr>
        <w:tc>
          <w:tcPr>
            <w:tcW w:w="547" w:type="dxa"/>
            <w:shd w:val="clear" w:color="auto" w:fill="BEBEBE"/>
            <w:tcMar>
              <w:left w:w="28" w:type="dxa"/>
              <w:right w:w="28" w:type="dxa"/>
            </w:tcMar>
            <w:vAlign w:val="center"/>
          </w:tcPr>
          <w:p w14:paraId="35C1A6AF">
            <w:pPr>
              <w:spacing w:line="260" w:lineRule="exact"/>
              <w:jc w:val="center"/>
              <w:rPr>
                <w:rFonts w:ascii="宋体" w:hAnsi="宋体" w:cs="宋体"/>
                <w:sz w:val="18"/>
                <w:szCs w:val="18"/>
              </w:rPr>
            </w:pPr>
            <w:r>
              <w:rPr>
                <w:rFonts w:hint="eastAsia" w:ascii="宋体" w:hAnsi="宋体" w:cs="宋体"/>
                <w:b/>
                <w:sz w:val="18"/>
              </w:rPr>
              <w:t>6</w:t>
            </w:r>
          </w:p>
        </w:tc>
        <w:tc>
          <w:tcPr>
            <w:tcW w:w="12302" w:type="dxa"/>
            <w:gridSpan w:val="6"/>
            <w:shd w:val="clear" w:color="auto" w:fill="BEBEBE"/>
            <w:tcMar>
              <w:left w:w="28" w:type="dxa"/>
              <w:right w:w="28" w:type="dxa"/>
            </w:tcMar>
            <w:vAlign w:val="center"/>
          </w:tcPr>
          <w:p w14:paraId="1C05CE48">
            <w:pPr>
              <w:spacing w:line="260" w:lineRule="exact"/>
              <w:rPr>
                <w:rFonts w:ascii="宋体" w:hAnsi="宋体" w:cs="宋体"/>
                <w:sz w:val="18"/>
              </w:rPr>
            </w:pPr>
            <w:r>
              <w:rPr>
                <w:rFonts w:hint="eastAsia" w:ascii="宋体" w:hAnsi="宋体" w:cs="宋体"/>
                <w:b/>
                <w:sz w:val="18"/>
              </w:rPr>
              <w:t>技术管理（8分）</w:t>
            </w:r>
          </w:p>
        </w:tc>
      </w:tr>
      <w:tr w14:paraId="290516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2081B806">
            <w:pPr>
              <w:spacing w:line="260" w:lineRule="exact"/>
              <w:jc w:val="center"/>
              <w:rPr>
                <w:rFonts w:ascii="宋体" w:hAnsi="宋体" w:cs="宋体"/>
                <w:sz w:val="18"/>
                <w:szCs w:val="18"/>
              </w:rPr>
            </w:pPr>
            <w:r>
              <w:rPr>
                <w:rFonts w:hint="eastAsia" w:ascii="宋体" w:hAnsi="宋体" w:cs="宋体"/>
                <w:b/>
                <w:bCs/>
                <w:sz w:val="18"/>
              </w:rPr>
              <w:t>6.1</w:t>
            </w:r>
          </w:p>
        </w:tc>
        <w:tc>
          <w:tcPr>
            <w:tcW w:w="1976" w:type="dxa"/>
            <w:tcMar>
              <w:left w:w="28" w:type="dxa"/>
              <w:right w:w="28" w:type="dxa"/>
            </w:tcMar>
            <w:vAlign w:val="center"/>
          </w:tcPr>
          <w:p w14:paraId="328EA9AE">
            <w:pPr>
              <w:spacing w:line="260" w:lineRule="exact"/>
              <w:rPr>
                <w:rFonts w:ascii="宋体" w:hAnsi="宋体" w:cs="宋体"/>
                <w:sz w:val="18"/>
                <w:szCs w:val="18"/>
              </w:rPr>
            </w:pPr>
            <w:r>
              <w:rPr>
                <w:rFonts w:hint="eastAsia" w:ascii="宋体" w:hAnsi="宋体" w:cs="宋体"/>
                <w:b/>
                <w:sz w:val="18"/>
              </w:rPr>
              <w:t>技术清单管理</w:t>
            </w:r>
          </w:p>
        </w:tc>
        <w:tc>
          <w:tcPr>
            <w:tcW w:w="951" w:type="dxa"/>
            <w:tcMar>
              <w:left w:w="28" w:type="dxa"/>
              <w:right w:w="28" w:type="dxa"/>
            </w:tcMar>
            <w:vAlign w:val="center"/>
          </w:tcPr>
          <w:p w14:paraId="0781449F">
            <w:pPr>
              <w:spacing w:line="260" w:lineRule="exact"/>
              <w:jc w:val="center"/>
              <w:rPr>
                <w:rFonts w:ascii="宋体" w:hAnsi="宋体" w:cs="宋体"/>
                <w:sz w:val="18"/>
                <w:szCs w:val="18"/>
              </w:rPr>
            </w:pPr>
            <w:r>
              <w:rPr>
                <w:rFonts w:hint="eastAsia" w:ascii="宋体" w:hAnsi="宋体" w:cs="宋体"/>
                <w:sz w:val="18"/>
              </w:rPr>
              <w:t>1</w:t>
            </w:r>
          </w:p>
        </w:tc>
        <w:tc>
          <w:tcPr>
            <w:tcW w:w="3348" w:type="dxa"/>
            <w:tcMar>
              <w:left w:w="28" w:type="dxa"/>
              <w:right w:w="28" w:type="dxa"/>
            </w:tcMar>
          </w:tcPr>
          <w:p w14:paraId="260AEA15">
            <w:pPr>
              <w:spacing w:line="260" w:lineRule="exact"/>
              <w:rPr>
                <w:rFonts w:ascii="宋体" w:hAnsi="宋体" w:cs="宋体"/>
                <w:sz w:val="18"/>
              </w:rPr>
            </w:pPr>
            <w:r>
              <w:rPr>
                <w:rFonts w:hint="eastAsia" w:ascii="宋体" w:hAnsi="宋体" w:cs="宋体"/>
                <w:sz w:val="18"/>
              </w:rPr>
              <w:t>建立施工方案清单并滚动更新编审批及执行情况。建立技术标准执行清单并及时进行更新。（1分）</w:t>
            </w:r>
          </w:p>
        </w:tc>
        <w:tc>
          <w:tcPr>
            <w:tcW w:w="3890" w:type="dxa"/>
            <w:tcMar>
              <w:left w:w="28" w:type="dxa"/>
              <w:right w:w="28" w:type="dxa"/>
            </w:tcMar>
          </w:tcPr>
          <w:p w14:paraId="7DFB68F8">
            <w:pPr>
              <w:spacing w:line="260" w:lineRule="exact"/>
              <w:rPr>
                <w:rFonts w:ascii="宋体" w:hAnsi="宋体" w:cs="宋体"/>
                <w:sz w:val="18"/>
              </w:rPr>
            </w:pPr>
            <w:r>
              <w:rPr>
                <w:rFonts w:hint="eastAsia" w:ascii="宋体" w:hAnsi="宋体" w:cs="宋体"/>
                <w:sz w:val="18"/>
              </w:rPr>
              <w:t>（1）未建立清单扣1分；</w:t>
            </w:r>
          </w:p>
          <w:p w14:paraId="58F35AF8">
            <w:pPr>
              <w:spacing w:line="260" w:lineRule="exact"/>
              <w:rPr>
                <w:rFonts w:ascii="宋体" w:hAnsi="宋体" w:cs="宋体"/>
                <w:sz w:val="18"/>
                <w:szCs w:val="18"/>
              </w:rPr>
            </w:pPr>
            <w:r>
              <w:rPr>
                <w:rFonts w:hint="eastAsia" w:ascii="宋体" w:hAnsi="宋体" w:cs="宋体"/>
                <w:sz w:val="18"/>
              </w:rPr>
              <w:t>（2）有未更新项，每项扣0.5分。</w:t>
            </w:r>
          </w:p>
        </w:tc>
        <w:tc>
          <w:tcPr>
            <w:tcW w:w="1117" w:type="dxa"/>
            <w:tcMar>
              <w:left w:w="28" w:type="dxa"/>
              <w:right w:w="28" w:type="dxa"/>
            </w:tcMar>
            <w:vAlign w:val="center"/>
          </w:tcPr>
          <w:p w14:paraId="61BA9B59">
            <w:pPr>
              <w:spacing w:line="260" w:lineRule="exact"/>
              <w:rPr>
                <w:rFonts w:ascii="宋体" w:hAnsi="宋体" w:cs="宋体"/>
                <w:sz w:val="18"/>
              </w:rPr>
            </w:pPr>
          </w:p>
        </w:tc>
        <w:tc>
          <w:tcPr>
            <w:tcW w:w="1020" w:type="dxa"/>
            <w:tcMar>
              <w:left w:w="28" w:type="dxa"/>
              <w:right w:w="28" w:type="dxa"/>
            </w:tcMar>
            <w:vAlign w:val="center"/>
          </w:tcPr>
          <w:p w14:paraId="28B7B3F8">
            <w:pPr>
              <w:spacing w:line="260" w:lineRule="exact"/>
              <w:rPr>
                <w:rFonts w:ascii="宋体" w:hAnsi="宋体" w:cs="宋体"/>
                <w:sz w:val="18"/>
              </w:rPr>
            </w:pPr>
          </w:p>
        </w:tc>
      </w:tr>
      <w:tr w14:paraId="1AFFEA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27E2ABAC">
            <w:pPr>
              <w:spacing w:line="260" w:lineRule="exact"/>
              <w:jc w:val="center"/>
              <w:rPr>
                <w:rFonts w:ascii="宋体" w:hAnsi="宋体" w:cs="宋体"/>
                <w:b/>
                <w:bCs/>
                <w:sz w:val="18"/>
                <w:szCs w:val="18"/>
              </w:rPr>
            </w:pPr>
            <w:r>
              <w:rPr>
                <w:rFonts w:hint="eastAsia" w:ascii="宋体" w:hAnsi="宋体" w:cs="宋体"/>
                <w:b/>
                <w:bCs/>
                <w:sz w:val="18"/>
              </w:rPr>
              <w:t>6.2</w:t>
            </w:r>
          </w:p>
        </w:tc>
        <w:tc>
          <w:tcPr>
            <w:tcW w:w="1976" w:type="dxa"/>
            <w:vMerge w:val="restart"/>
            <w:tcMar>
              <w:left w:w="28" w:type="dxa"/>
              <w:right w:w="28" w:type="dxa"/>
            </w:tcMar>
            <w:vAlign w:val="center"/>
          </w:tcPr>
          <w:p w14:paraId="03673F7C">
            <w:pPr>
              <w:spacing w:line="260" w:lineRule="exact"/>
              <w:rPr>
                <w:rFonts w:ascii="宋体" w:hAnsi="宋体" w:cs="宋体"/>
                <w:b/>
                <w:bCs/>
                <w:sz w:val="18"/>
                <w:szCs w:val="18"/>
              </w:rPr>
            </w:pPr>
            <w:r>
              <w:rPr>
                <w:rFonts w:hint="eastAsia" w:ascii="宋体" w:hAnsi="宋体" w:cs="宋体"/>
                <w:b/>
                <w:bCs/>
                <w:sz w:val="18"/>
              </w:rPr>
              <w:t>施工技术管理</w:t>
            </w:r>
          </w:p>
        </w:tc>
        <w:tc>
          <w:tcPr>
            <w:tcW w:w="951" w:type="dxa"/>
            <w:vMerge w:val="restart"/>
            <w:tcMar>
              <w:left w:w="28" w:type="dxa"/>
              <w:right w:w="28" w:type="dxa"/>
            </w:tcMar>
            <w:vAlign w:val="center"/>
          </w:tcPr>
          <w:p w14:paraId="1F043F22">
            <w:pPr>
              <w:spacing w:line="260" w:lineRule="exact"/>
              <w:jc w:val="center"/>
              <w:rPr>
                <w:rFonts w:ascii="宋体" w:hAnsi="宋体" w:cs="宋体"/>
                <w:sz w:val="18"/>
                <w:szCs w:val="18"/>
              </w:rPr>
            </w:pPr>
            <w:r>
              <w:rPr>
                <w:rFonts w:hint="eastAsia" w:ascii="宋体" w:hAnsi="宋体" w:cs="宋体"/>
                <w:sz w:val="18"/>
              </w:rPr>
              <w:t>4</w:t>
            </w:r>
          </w:p>
        </w:tc>
        <w:tc>
          <w:tcPr>
            <w:tcW w:w="3348" w:type="dxa"/>
            <w:tcMar>
              <w:left w:w="28" w:type="dxa"/>
              <w:right w:w="28" w:type="dxa"/>
            </w:tcMar>
            <w:vAlign w:val="center"/>
          </w:tcPr>
          <w:p w14:paraId="30122B5E">
            <w:pPr>
              <w:spacing w:line="260" w:lineRule="exact"/>
              <w:rPr>
                <w:rFonts w:ascii="宋体" w:hAnsi="宋体" w:cs="宋体"/>
                <w:sz w:val="18"/>
              </w:rPr>
            </w:pPr>
            <w:r>
              <w:rPr>
                <w:rFonts w:hint="eastAsia" w:ascii="宋体" w:hAnsi="宋体" w:cs="宋体"/>
                <w:sz w:val="18"/>
              </w:rPr>
              <w:t>对施工图进行预检，形成预检意见。编制施工方案（措施）、作业指导书并履行审批程序，审批后进行技术交底，监督技术方案在现场的实际执行。（4分）</w:t>
            </w:r>
          </w:p>
        </w:tc>
        <w:tc>
          <w:tcPr>
            <w:tcW w:w="3890" w:type="dxa"/>
            <w:tcMar>
              <w:left w:w="28" w:type="dxa"/>
              <w:right w:w="28" w:type="dxa"/>
            </w:tcMar>
          </w:tcPr>
          <w:p w14:paraId="2B343CAC">
            <w:pPr>
              <w:pStyle w:val="2"/>
              <w:numPr>
                <w:ilvl w:val="0"/>
                <w:numId w:val="17"/>
              </w:numPr>
              <w:rPr>
                <w:lang w:val="en-US"/>
              </w:rPr>
            </w:pPr>
            <w:r>
              <w:rPr>
                <w:rFonts w:hint="eastAsia"/>
                <w:lang w:val="en-US"/>
              </w:rPr>
              <w:t>未按施工图施工的，每次扣4分。</w:t>
            </w:r>
          </w:p>
          <w:p w14:paraId="6D8039EC">
            <w:pPr>
              <w:pStyle w:val="2"/>
              <w:numPr>
                <w:ilvl w:val="0"/>
                <w:numId w:val="17"/>
              </w:numPr>
              <w:rPr>
                <w:lang w:val="en-US"/>
              </w:rPr>
            </w:pPr>
            <w:r>
              <w:rPr>
                <w:rFonts w:hint="eastAsia"/>
                <w:lang w:val="en-US"/>
              </w:rPr>
              <w:t>无施工方案施工或未按施工方案施工的，每次扣4分。</w:t>
            </w:r>
          </w:p>
          <w:p w14:paraId="4500A2C6">
            <w:pPr>
              <w:pStyle w:val="2"/>
              <w:numPr>
                <w:ilvl w:val="0"/>
                <w:numId w:val="17"/>
              </w:numPr>
            </w:pPr>
            <w:r>
              <w:rPr>
                <w:rFonts w:ascii="宋体" w:hAnsi="宋体" w:cs="宋体"/>
              </w:rPr>
              <w:t>未按规定开展施工图预检</w:t>
            </w:r>
            <w:r>
              <w:rPr>
                <w:rFonts w:hint="eastAsia" w:ascii="宋体" w:hAnsi="宋体" w:cs="宋体"/>
                <w:lang w:val="en-US"/>
              </w:rPr>
              <w:t>或施工图预检未发现问题的，</w:t>
            </w:r>
            <w:r>
              <w:rPr>
                <w:rFonts w:ascii="宋体" w:hAnsi="宋体" w:cs="宋体"/>
              </w:rPr>
              <w:t>每次扣</w:t>
            </w:r>
            <w:r>
              <w:rPr>
                <w:rFonts w:hint="eastAsia" w:ascii="宋体" w:hAnsi="宋体" w:cs="宋体"/>
                <w:lang w:val="en-US"/>
              </w:rPr>
              <w:t>1</w:t>
            </w:r>
            <w:r>
              <w:rPr>
                <w:rFonts w:ascii="宋体" w:hAnsi="宋体" w:cs="宋体"/>
              </w:rPr>
              <w:t>分</w:t>
            </w:r>
            <w:r>
              <w:rPr>
                <w:rFonts w:hint="eastAsia" w:ascii="宋体" w:hAnsi="宋体" w:cs="宋体"/>
              </w:rPr>
              <w:t>；</w:t>
            </w:r>
          </w:p>
          <w:p w14:paraId="4D43FAAA">
            <w:pPr>
              <w:pStyle w:val="2"/>
              <w:numPr>
                <w:ilvl w:val="0"/>
                <w:numId w:val="17"/>
              </w:numPr>
              <w:rPr>
                <w:lang w:val="en-US"/>
              </w:rPr>
            </w:pPr>
            <w:r>
              <w:rPr>
                <w:rFonts w:hint="eastAsia"/>
                <w:lang w:val="en-US"/>
              </w:rPr>
              <w:t>施工方案未按规定流程报审和审核的，或未按审核意见修改的，每份扣1分；</w:t>
            </w:r>
          </w:p>
          <w:p w14:paraId="4C03E9A4">
            <w:pPr>
              <w:pStyle w:val="2"/>
              <w:numPr>
                <w:ilvl w:val="0"/>
                <w:numId w:val="17"/>
              </w:numPr>
              <w:rPr>
                <w:lang w:val="en-US"/>
              </w:rPr>
            </w:pPr>
            <w:r>
              <w:rPr>
                <w:rFonts w:hint="eastAsia"/>
                <w:lang w:val="en-US"/>
              </w:rPr>
              <w:t>施工方案编审批未签字或签字手续不规范，每份扣0.5分；</w:t>
            </w:r>
          </w:p>
          <w:p w14:paraId="5D2B5FDD">
            <w:pPr>
              <w:pStyle w:val="2"/>
              <w:numPr>
                <w:ilvl w:val="0"/>
                <w:numId w:val="17"/>
              </w:numPr>
              <w:rPr>
                <w:rFonts w:ascii="Times New Roman" w:hAnsi="Times New Roman"/>
                <w:szCs w:val="24"/>
              </w:rPr>
            </w:pPr>
            <w:r>
              <w:rPr>
                <w:rFonts w:hint="eastAsia"/>
                <w:lang w:val="en-US"/>
              </w:rPr>
              <w:t>未按规定在施工前进行技术交底、交底时未履行签字手续或签字手续不规范，每份扣1分；</w:t>
            </w:r>
          </w:p>
        </w:tc>
        <w:tc>
          <w:tcPr>
            <w:tcW w:w="1117" w:type="dxa"/>
            <w:tcMar>
              <w:left w:w="28" w:type="dxa"/>
              <w:right w:w="28" w:type="dxa"/>
            </w:tcMar>
            <w:vAlign w:val="center"/>
          </w:tcPr>
          <w:p w14:paraId="4ABA748E">
            <w:pPr>
              <w:spacing w:line="260" w:lineRule="exact"/>
              <w:rPr>
                <w:rFonts w:ascii="宋体" w:hAnsi="宋体" w:cs="宋体"/>
                <w:sz w:val="18"/>
              </w:rPr>
            </w:pPr>
          </w:p>
        </w:tc>
        <w:tc>
          <w:tcPr>
            <w:tcW w:w="1020" w:type="dxa"/>
            <w:tcMar>
              <w:left w:w="28" w:type="dxa"/>
              <w:right w:w="28" w:type="dxa"/>
            </w:tcMar>
            <w:vAlign w:val="center"/>
          </w:tcPr>
          <w:p w14:paraId="020AC21A">
            <w:pPr>
              <w:spacing w:line="260" w:lineRule="exact"/>
              <w:rPr>
                <w:rFonts w:ascii="宋体" w:hAnsi="宋体" w:cs="宋体"/>
                <w:sz w:val="18"/>
              </w:rPr>
            </w:pPr>
          </w:p>
        </w:tc>
      </w:tr>
      <w:tr w14:paraId="0C7049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57A270F8">
            <w:pPr>
              <w:spacing w:line="260" w:lineRule="exact"/>
              <w:jc w:val="center"/>
              <w:rPr>
                <w:rFonts w:ascii="宋体" w:hAnsi="宋体" w:cs="宋体"/>
                <w:b/>
                <w:bCs/>
                <w:sz w:val="18"/>
                <w:szCs w:val="18"/>
              </w:rPr>
            </w:pPr>
            <w:r>
              <w:rPr>
                <w:rFonts w:hint="eastAsia" w:ascii="宋体" w:hAnsi="宋体" w:cs="宋体"/>
                <w:b/>
                <w:bCs/>
                <w:sz w:val="18"/>
                <w:szCs w:val="18"/>
              </w:rPr>
              <w:t>6.3</w:t>
            </w:r>
          </w:p>
        </w:tc>
        <w:tc>
          <w:tcPr>
            <w:tcW w:w="1976" w:type="dxa"/>
            <w:vMerge w:val="restart"/>
            <w:tcMar>
              <w:left w:w="28" w:type="dxa"/>
              <w:right w:w="28" w:type="dxa"/>
            </w:tcMar>
            <w:vAlign w:val="center"/>
          </w:tcPr>
          <w:p w14:paraId="5F81BEC3">
            <w:pPr>
              <w:spacing w:line="260" w:lineRule="exact"/>
              <w:rPr>
                <w:rFonts w:ascii="宋体" w:hAnsi="宋体" w:cs="宋体"/>
                <w:b/>
                <w:bCs/>
                <w:sz w:val="18"/>
                <w:szCs w:val="18"/>
              </w:rPr>
            </w:pPr>
            <w:r>
              <w:rPr>
                <w:rFonts w:hint="eastAsia" w:ascii="宋体" w:hAnsi="宋体" w:cs="宋体"/>
                <w:b/>
                <w:bCs/>
                <w:sz w:val="18"/>
                <w:szCs w:val="18"/>
              </w:rPr>
              <w:t>技术应用管理</w:t>
            </w:r>
          </w:p>
        </w:tc>
        <w:tc>
          <w:tcPr>
            <w:tcW w:w="951" w:type="dxa"/>
            <w:vMerge w:val="restart"/>
            <w:tcMar>
              <w:left w:w="28" w:type="dxa"/>
              <w:right w:w="28" w:type="dxa"/>
            </w:tcMar>
            <w:vAlign w:val="center"/>
          </w:tcPr>
          <w:p w14:paraId="5B5BB384">
            <w:pPr>
              <w:spacing w:line="260" w:lineRule="exact"/>
              <w:jc w:val="center"/>
              <w:rPr>
                <w:rFonts w:ascii="宋体" w:hAnsi="宋体" w:cs="宋体"/>
                <w:sz w:val="18"/>
                <w:szCs w:val="18"/>
              </w:rPr>
            </w:pPr>
            <w:r>
              <w:rPr>
                <w:rFonts w:hint="eastAsia" w:ascii="宋体" w:hAnsi="宋体" w:cs="宋体"/>
                <w:sz w:val="18"/>
                <w:szCs w:val="18"/>
              </w:rPr>
              <w:t>3</w:t>
            </w:r>
          </w:p>
        </w:tc>
        <w:tc>
          <w:tcPr>
            <w:tcW w:w="3348" w:type="dxa"/>
            <w:tcMar>
              <w:left w:w="28" w:type="dxa"/>
              <w:right w:w="28" w:type="dxa"/>
            </w:tcMar>
            <w:vAlign w:val="center"/>
          </w:tcPr>
          <w:p w14:paraId="36E52C18">
            <w:pPr>
              <w:spacing w:line="260" w:lineRule="exact"/>
              <w:rPr>
                <w:rFonts w:ascii="宋体" w:hAnsi="宋体" w:cs="宋体"/>
                <w:sz w:val="18"/>
                <w:szCs w:val="18"/>
              </w:rPr>
            </w:pPr>
            <w:r>
              <w:rPr>
                <w:rFonts w:hint="eastAsia" w:ascii="宋体" w:hAnsi="宋体" w:cs="宋体"/>
                <w:sz w:val="18"/>
              </w:rPr>
              <w:t>编制新技术应用方案，在施工过程中严格执行，并编写新技术应用总结，配合业主项目部申报新技术应用示范工程。（1分）</w:t>
            </w:r>
          </w:p>
        </w:tc>
        <w:tc>
          <w:tcPr>
            <w:tcW w:w="3890" w:type="dxa"/>
            <w:tcMar>
              <w:left w:w="28" w:type="dxa"/>
              <w:right w:w="28" w:type="dxa"/>
            </w:tcMar>
            <w:vAlign w:val="center"/>
          </w:tcPr>
          <w:p w14:paraId="60D6B488">
            <w:pPr>
              <w:spacing w:line="260" w:lineRule="exact"/>
              <w:rPr>
                <w:rFonts w:ascii="宋体" w:hAnsi="宋体" w:cs="宋体"/>
                <w:sz w:val="18"/>
                <w:szCs w:val="18"/>
              </w:rPr>
            </w:pPr>
            <w:r>
              <w:rPr>
                <w:rFonts w:hint="eastAsia" w:ascii="宋体" w:hAnsi="宋体" w:cs="宋体"/>
                <w:sz w:val="18"/>
              </w:rPr>
              <w:t>少实施一项扣0.5分。</w:t>
            </w:r>
          </w:p>
        </w:tc>
        <w:tc>
          <w:tcPr>
            <w:tcW w:w="1117" w:type="dxa"/>
            <w:tcMar>
              <w:left w:w="28" w:type="dxa"/>
              <w:right w:w="28" w:type="dxa"/>
            </w:tcMar>
            <w:vAlign w:val="center"/>
          </w:tcPr>
          <w:p w14:paraId="1B201FF4">
            <w:pPr>
              <w:spacing w:line="260" w:lineRule="exact"/>
              <w:rPr>
                <w:rFonts w:ascii="宋体" w:hAnsi="宋体" w:cs="宋体"/>
                <w:sz w:val="18"/>
              </w:rPr>
            </w:pPr>
          </w:p>
        </w:tc>
        <w:tc>
          <w:tcPr>
            <w:tcW w:w="1020" w:type="dxa"/>
            <w:tcMar>
              <w:left w:w="28" w:type="dxa"/>
              <w:right w:w="28" w:type="dxa"/>
            </w:tcMar>
            <w:vAlign w:val="center"/>
          </w:tcPr>
          <w:p w14:paraId="355AF268">
            <w:pPr>
              <w:spacing w:line="260" w:lineRule="exact"/>
              <w:rPr>
                <w:rFonts w:ascii="宋体" w:hAnsi="宋体" w:cs="宋体"/>
                <w:sz w:val="18"/>
              </w:rPr>
            </w:pPr>
          </w:p>
        </w:tc>
      </w:tr>
      <w:tr w14:paraId="658344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6E749074">
            <w:pPr>
              <w:spacing w:line="260" w:lineRule="exact"/>
              <w:jc w:val="center"/>
              <w:rPr>
                <w:rFonts w:ascii="宋体" w:hAnsi="宋体" w:cs="宋体"/>
                <w:sz w:val="18"/>
                <w:szCs w:val="18"/>
              </w:rPr>
            </w:pPr>
          </w:p>
        </w:tc>
        <w:tc>
          <w:tcPr>
            <w:tcW w:w="1976" w:type="dxa"/>
            <w:vMerge w:val="continue"/>
            <w:tcMar>
              <w:left w:w="28" w:type="dxa"/>
              <w:right w:w="28" w:type="dxa"/>
            </w:tcMar>
            <w:vAlign w:val="center"/>
          </w:tcPr>
          <w:p w14:paraId="65A44F74">
            <w:pPr>
              <w:spacing w:line="260" w:lineRule="exact"/>
              <w:rPr>
                <w:rFonts w:ascii="宋体" w:hAnsi="宋体" w:cs="宋体"/>
                <w:sz w:val="18"/>
                <w:szCs w:val="18"/>
              </w:rPr>
            </w:pPr>
          </w:p>
        </w:tc>
        <w:tc>
          <w:tcPr>
            <w:tcW w:w="951" w:type="dxa"/>
            <w:vMerge w:val="continue"/>
            <w:tcMar>
              <w:left w:w="28" w:type="dxa"/>
              <w:right w:w="28" w:type="dxa"/>
            </w:tcMar>
            <w:vAlign w:val="center"/>
          </w:tcPr>
          <w:p w14:paraId="23CBB469">
            <w:pPr>
              <w:spacing w:line="260" w:lineRule="exact"/>
              <w:jc w:val="center"/>
              <w:rPr>
                <w:rFonts w:ascii="宋体" w:hAnsi="宋体" w:cs="宋体"/>
                <w:sz w:val="18"/>
                <w:szCs w:val="18"/>
              </w:rPr>
            </w:pPr>
          </w:p>
        </w:tc>
        <w:tc>
          <w:tcPr>
            <w:tcW w:w="3348" w:type="dxa"/>
            <w:tcMar>
              <w:left w:w="28" w:type="dxa"/>
              <w:right w:w="28" w:type="dxa"/>
            </w:tcMar>
            <w:vAlign w:val="center"/>
          </w:tcPr>
          <w:p w14:paraId="411D9E46">
            <w:pPr>
              <w:spacing w:line="260" w:lineRule="exact"/>
              <w:rPr>
                <w:rFonts w:ascii="宋体" w:hAnsi="宋体" w:cs="宋体"/>
                <w:sz w:val="18"/>
              </w:rPr>
            </w:pPr>
            <w:r>
              <w:rPr>
                <w:rFonts w:hint="eastAsia" w:ascii="宋体" w:hAnsi="宋体" w:cs="宋体"/>
                <w:sz w:val="18"/>
                <w:szCs w:val="18"/>
              </w:rPr>
              <w:t>开展科技项目、科技进步奖、工法、QC成果奖等的申报工作。</w:t>
            </w:r>
            <w:r>
              <w:rPr>
                <w:rFonts w:hint="eastAsia" w:ascii="宋体" w:hAnsi="宋体" w:cs="宋体"/>
                <w:sz w:val="18"/>
              </w:rPr>
              <w:t>（2分）</w:t>
            </w:r>
          </w:p>
        </w:tc>
        <w:tc>
          <w:tcPr>
            <w:tcW w:w="3890" w:type="dxa"/>
            <w:tcMar>
              <w:left w:w="28" w:type="dxa"/>
              <w:right w:w="28" w:type="dxa"/>
            </w:tcMar>
            <w:vAlign w:val="center"/>
          </w:tcPr>
          <w:p w14:paraId="02A57293">
            <w:pPr>
              <w:spacing w:line="260" w:lineRule="exact"/>
              <w:rPr>
                <w:rFonts w:ascii="宋体" w:hAnsi="宋体" w:cs="宋体"/>
                <w:sz w:val="18"/>
                <w:szCs w:val="18"/>
              </w:rPr>
            </w:pPr>
            <w:r>
              <w:rPr>
                <w:rFonts w:hint="eastAsia" w:ascii="宋体" w:hAnsi="宋体" w:cs="宋体"/>
                <w:sz w:val="18"/>
                <w:szCs w:val="18"/>
              </w:rPr>
              <w:t>（1）未在工程开工前报送科技项目、科技进步奖、工法、专利及QC成果奖申报计划的，扣1分；</w:t>
            </w:r>
          </w:p>
          <w:p w14:paraId="72DF98E3">
            <w:pPr>
              <w:spacing w:line="260" w:lineRule="exact"/>
              <w:rPr>
                <w:rFonts w:ascii="宋体" w:hAnsi="宋体" w:cs="宋体"/>
                <w:sz w:val="18"/>
                <w:szCs w:val="18"/>
              </w:rPr>
            </w:pPr>
            <w:r>
              <w:rPr>
                <w:rFonts w:hint="eastAsia" w:ascii="宋体" w:hAnsi="宋体" w:cs="宋体"/>
                <w:sz w:val="18"/>
                <w:szCs w:val="18"/>
              </w:rPr>
              <w:t>（2）未每半年形成科技项目、科技进步奖、工法、专利及QC成果奖报告报业主审查的，扣1分；</w:t>
            </w:r>
          </w:p>
          <w:p w14:paraId="7F707B7D">
            <w:pPr>
              <w:spacing w:line="260" w:lineRule="exact"/>
              <w:rPr>
                <w:rFonts w:ascii="宋体" w:hAnsi="宋体" w:cs="宋体"/>
                <w:sz w:val="18"/>
                <w:szCs w:val="18"/>
              </w:rPr>
            </w:pPr>
            <w:r>
              <w:rPr>
                <w:rFonts w:hint="eastAsia" w:ascii="宋体" w:hAnsi="宋体" w:cs="宋体"/>
                <w:sz w:val="18"/>
                <w:szCs w:val="18"/>
              </w:rPr>
              <w:t>（3）科技奖项申报前未向业主项目部报备，扣1分。</w:t>
            </w:r>
          </w:p>
          <w:p w14:paraId="4353114B">
            <w:pPr>
              <w:spacing w:line="260" w:lineRule="exact"/>
              <w:rPr>
                <w:rFonts w:ascii="宋体" w:hAnsi="宋体" w:cs="宋体"/>
                <w:sz w:val="18"/>
                <w:szCs w:val="18"/>
              </w:rPr>
            </w:pPr>
            <w:r>
              <w:rPr>
                <w:rFonts w:hint="eastAsia" w:ascii="宋体" w:hAnsi="宋体" w:cs="宋体"/>
                <w:sz w:val="18"/>
                <w:szCs w:val="18"/>
              </w:rPr>
              <w:t>（4）未及时报送科技月报，扣0.5分。</w:t>
            </w:r>
          </w:p>
          <w:p w14:paraId="50CCFB9A">
            <w:pPr>
              <w:spacing w:line="260" w:lineRule="exact"/>
            </w:pPr>
            <w:r>
              <w:rPr>
                <w:rFonts w:hint="eastAsia" w:ascii="宋体" w:hAnsi="宋体" w:cs="宋体"/>
                <w:sz w:val="18"/>
                <w:szCs w:val="18"/>
              </w:rPr>
              <w:t>（5）未按合同约定，开展建设管理单位安排开展的课题研究的（1~2项课题），每次扣1分。</w:t>
            </w:r>
          </w:p>
        </w:tc>
        <w:tc>
          <w:tcPr>
            <w:tcW w:w="1117" w:type="dxa"/>
            <w:tcMar>
              <w:left w:w="28" w:type="dxa"/>
              <w:right w:w="28" w:type="dxa"/>
            </w:tcMar>
            <w:vAlign w:val="center"/>
          </w:tcPr>
          <w:p w14:paraId="47D53C35">
            <w:pPr>
              <w:spacing w:line="260" w:lineRule="exact"/>
              <w:rPr>
                <w:rFonts w:ascii="宋体" w:hAnsi="宋体" w:cs="宋体"/>
                <w:sz w:val="18"/>
              </w:rPr>
            </w:pPr>
          </w:p>
        </w:tc>
        <w:tc>
          <w:tcPr>
            <w:tcW w:w="1020" w:type="dxa"/>
            <w:tcMar>
              <w:left w:w="28" w:type="dxa"/>
              <w:right w:w="28" w:type="dxa"/>
            </w:tcMar>
            <w:vAlign w:val="center"/>
          </w:tcPr>
          <w:p w14:paraId="576A14AD">
            <w:pPr>
              <w:spacing w:line="260" w:lineRule="exact"/>
              <w:rPr>
                <w:rFonts w:ascii="宋体" w:hAnsi="宋体" w:cs="宋体"/>
                <w:sz w:val="18"/>
              </w:rPr>
            </w:pPr>
          </w:p>
        </w:tc>
      </w:tr>
      <w:tr w14:paraId="7CD9B305">
        <w:tblPrEx>
          <w:tblCellMar>
            <w:top w:w="0" w:type="dxa"/>
            <w:left w:w="57" w:type="dxa"/>
            <w:bottom w:w="0" w:type="dxa"/>
            <w:right w:w="57" w:type="dxa"/>
          </w:tblCellMar>
        </w:tblPrEx>
        <w:trPr>
          <w:trHeight w:val="575" w:hRule="atLeast"/>
          <w:jc w:val="center"/>
        </w:trPr>
        <w:tc>
          <w:tcPr>
            <w:tcW w:w="547" w:type="dxa"/>
            <w:shd w:val="clear" w:color="auto" w:fill="BEBEBE"/>
            <w:tcMar>
              <w:left w:w="28" w:type="dxa"/>
              <w:right w:w="28" w:type="dxa"/>
            </w:tcMar>
            <w:vAlign w:val="center"/>
          </w:tcPr>
          <w:p w14:paraId="722E4E83">
            <w:pPr>
              <w:spacing w:line="260" w:lineRule="exact"/>
              <w:jc w:val="center"/>
              <w:rPr>
                <w:rFonts w:ascii="宋体" w:hAnsi="宋体" w:cs="宋体"/>
                <w:sz w:val="18"/>
                <w:szCs w:val="18"/>
              </w:rPr>
            </w:pPr>
            <w:r>
              <w:rPr>
                <w:rFonts w:hint="eastAsia" w:ascii="宋体" w:hAnsi="宋体" w:cs="宋体"/>
                <w:b/>
                <w:sz w:val="18"/>
              </w:rPr>
              <w:t>7</w:t>
            </w:r>
          </w:p>
        </w:tc>
        <w:tc>
          <w:tcPr>
            <w:tcW w:w="12302" w:type="dxa"/>
            <w:gridSpan w:val="6"/>
            <w:shd w:val="clear" w:color="auto" w:fill="BEBEBE"/>
            <w:tcMar>
              <w:left w:w="28" w:type="dxa"/>
              <w:right w:w="28" w:type="dxa"/>
            </w:tcMar>
            <w:vAlign w:val="center"/>
          </w:tcPr>
          <w:p w14:paraId="498FE556">
            <w:pPr>
              <w:spacing w:line="260" w:lineRule="exact"/>
              <w:rPr>
                <w:rFonts w:ascii="宋体" w:hAnsi="宋体" w:cs="宋体"/>
                <w:sz w:val="18"/>
              </w:rPr>
            </w:pPr>
            <w:r>
              <w:rPr>
                <w:rFonts w:hint="eastAsia" w:ascii="宋体" w:hAnsi="宋体" w:cs="宋体"/>
                <w:b/>
                <w:sz w:val="18"/>
              </w:rPr>
              <w:t>环水保管理（4分）</w:t>
            </w:r>
          </w:p>
        </w:tc>
      </w:tr>
      <w:tr w14:paraId="01A0A4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restart"/>
            <w:tcMar>
              <w:left w:w="28" w:type="dxa"/>
              <w:right w:w="28" w:type="dxa"/>
            </w:tcMar>
            <w:vAlign w:val="center"/>
          </w:tcPr>
          <w:p w14:paraId="0F09AD9D">
            <w:pPr>
              <w:spacing w:line="260" w:lineRule="exact"/>
              <w:jc w:val="center"/>
              <w:rPr>
                <w:rFonts w:ascii="宋体" w:hAnsi="宋体" w:cs="宋体"/>
                <w:b/>
                <w:bCs/>
                <w:sz w:val="18"/>
                <w:szCs w:val="18"/>
              </w:rPr>
            </w:pPr>
            <w:r>
              <w:rPr>
                <w:rFonts w:hint="eastAsia" w:ascii="宋体" w:hAnsi="宋体" w:cs="宋体"/>
                <w:b/>
                <w:bCs/>
                <w:sz w:val="18"/>
                <w:szCs w:val="18"/>
              </w:rPr>
              <w:t>7.1</w:t>
            </w:r>
          </w:p>
        </w:tc>
        <w:tc>
          <w:tcPr>
            <w:tcW w:w="1976" w:type="dxa"/>
            <w:vMerge w:val="restart"/>
            <w:tcMar>
              <w:left w:w="28" w:type="dxa"/>
              <w:right w:w="28" w:type="dxa"/>
            </w:tcMar>
            <w:vAlign w:val="center"/>
          </w:tcPr>
          <w:p w14:paraId="5E89C41B">
            <w:pPr>
              <w:spacing w:line="260" w:lineRule="exact"/>
              <w:rPr>
                <w:rFonts w:ascii="宋体" w:hAnsi="宋体" w:cs="宋体"/>
                <w:b/>
                <w:bCs/>
                <w:sz w:val="18"/>
                <w:szCs w:val="18"/>
              </w:rPr>
            </w:pPr>
            <w:r>
              <w:rPr>
                <w:rFonts w:hint="eastAsia" w:ascii="宋体" w:hAnsi="宋体" w:cs="宋体"/>
                <w:b/>
                <w:bCs/>
                <w:sz w:val="18"/>
              </w:rPr>
              <w:t>环水保管理</w:t>
            </w:r>
          </w:p>
        </w:tc>
        <w:tc>
          <w:tcPr>
            <w:tcW w:w="951" w:type="dxa"/>
            <w:vMerge w:val="restart"/>
            <w:tcMar>
              <w:left w:w="28" w:type="dxa"/>
              <w:right w:w="28" w:type="dxa"/>
            </w:tcMar>
            <w:vAlign w:val="center"/>
          </w:tcPr>
          <w:p w14:paraId="3C7C0CC9">
            <w:pPr>
              <w:spacing w:line="260" w:lineRule="exact"/>
              <w:jc w:val="center"/>
              <w:rPr>
                <w:rFonts w:ascii="宋体" w:hAnsi="宋体" w:cs="宋体"/>
                <w:sz w:val="18"/>
                <w:szCs w:val="18"/>
              </w:rPr>
            </w:pPr>
            <w:r>
              <w:rPr>
                <w:rFonts w:hint="eastAsia" w:ascii="宋体" w:hAnsi="宋体" w:cs="宋体"/>
                <w:sz w:val="18"/>
                <w:szCs w:val="18"/>
              </w:rPr>
              <w:t>4</w:t>
            </w:r>
          </w:p>
        </w:tc>
        <w:tc>
          <w:tcPr>
            <w:tcW w:w="3348" w:type="dxa"/>
            <w:tcMar>
              <w:left w:w="28" w:type="dxa"/>
              <w:right w:w="28" w:type="dxa"/>
            </w:tcMar>
            <w:vAlign w:val="center"/>
          </w:tcPr>
          <w:p w14:paraId="2189B1D1">
            <w:pPr>
              <w:spacing w:line="260" w:lineRule="exact"/>
              <w:rPr>
                <w:rFonts w:ascii="宋体" w:hAnsi="宋体" w:cs="宋体"/>
                <w:sz w:val="18"/>
                <w:szCs w:val="18"/>
              </w:rPr>
            </w:pPr>
            <w:r>
              <w:rPr>
                <w:rFonts w:hint="eastAsia" w:ascii="宋体" w:hAnsi="宋体" w:cs="宋体"/>
                <w:sz w:val="18"/>
              </w:rPr>
              <w:t>按照规范开展工程环保工作。（2分）</w:t>
            </w:r>
          </w:p>
        </w:tc>
        <w:tc>
          <w:tcPr>
            <w:tcW w:w="3890" w:type="dxa"/>
            <w:tcMar>
              <w:left w:w="28" w:type="dxa"/>
              <w:right w:w="28" w:type="dxa"/>
            </w:tcMar>
            <w:vAlign w:val="center"/>
          </w:tcPr>
          <w:p w14:paraId="7BEDBDC3">
            <w:pPr>
              <w:tabs>
                <w:tab w:val="center" w:pos="4153"/>
                <w:tab w:val="right" w:pos="8306"/>
              </w:tabs>
              <w:spacing w:line="260" w:lineRule="exact"/>
              <w:rPr>
                <w:rFonts w:ascii="宋体" w:hAnsi="宋体" w:cs="宋体"/>
                <w:sz w:val="18"/>
              </w:rPr>
            </w:pPr>
            <w:r>
              <w:rPr>
                <w:rFonts w:hint="eastAsia" w:ascii="宋体" w:hAnsi="宋体" w:cs="宋体"/>
                <w:sz w:val="18"/>
              </w:rPr>
              <w:t>（1）</w:t>
            </w:r>
            <w:r>
              <w:rPr>
                <w:rFonts w:ascii="宋体" w:hAnsi="宋体" w:cs="宋体"/>
                <w:sz w:val="18"/>
              </w:rPr>
              <w:t>未采取抑尘措施或扬尘超标，每次扣0.5分</w:t>
            </w:r>
            <w:r>
              <w:rPr>
                <w:rFonts w:hint="eastAsia" w:ascii="宋体" w:hAnsi="宋体" w:cs="宋体"/>
                <w:sz w:val="18"/>
              </w:rPr>
              <w:t>；</w:t>
            </w:r>
          </w:p>
          <w:p w14:paraId="75A83DCE">
            <w:pPr>
              <w:tabs>
                <w:tab w:val="center" w:pos="4153"/>
                <w:tab w:val="right" w:pos="8306"/>
              </w:tabs>
              <w:spacing w:line="260" w:lineRule="exact"/>
              <w:rPr>
                <w:rFonts w:ascii="宋体" w:hAnsi="宋体" w:cs="宋体"/>
                <w:sz w:val="18"/>
              </w:rPr>
            </w:pPr>
            <w:r>
              <w:rPr>
                <w:rFonts w:hint="eastAsia" w:ascii="宋体" w:hAnsi="宋体" w:cs="宋体"/>
                <w:sz w:val="18"/>
              </w:rPr>
              <w:t>（2）</w:t>
            </w:r>
            <w:r>
              <w:rPr>
                <w:rFonts w:ascii="宋体" w:hAnsi="宋体" w:cs="宋体"/>
                <w:sz w:val="18"/>
              </w:rPr>
              <w:t>未采取废水处理措施直接排放，每次扣0.5分</w:t>
            </w:r>
            <w:r>
              <w:rPr>
                <w:rFonts w:hint="eastAsia" w:ascii="宋体" w:hAnsi="宋体" w:cs="宋体"/>
                <w:sz w:val="18"/>
              </w:rPr>
              <w:t>；</w:t>
            </w:r>
          </w:p>
          <w:p w14:paraId="6AE86109">
            <w:pPr>
              <w:tabs>
                <w:tab w:val="center" w:pos="4153"/>
                <w:tab w:val="right" w:pos="8306"/>
              </w:tabs>
              <w:spacing w:line="260" w:lineRule="exact"/>
              <w:rPr>
                <w:rFonts w:ascii="宋体" w:hAnsi="宋体" w:cs="宋体"/>
                <w:sz w:val="18"/>
              </w:rPr>
            </w:pPr>
            <w:r>
              <w:rPr>
                <w:rFonts w:ascii="宋体" w:hAnsi="宋体" w:cs="宋体"/>
                <w:sz w:val="18"/>
              </w:rPr>
              <w:t>机械设备采取吸油、隔离措施。未采取措施产生油污染，每次扣0.5分</w:t>
            </w:r>
            <w:r>
              <w:rPr>
                <w:rFonts w:hint="eastAsia" w:ascii="宋体" w:hAnsi="宋体" w:cs="宋体"/>
                <w:sz w:val="18"/>
              </w:rPr>
              <w:t>；</w:t>
            </w:r>
          </w:p>
          <w:p w14:paraId="09EFD92E">
            <w:pPr>
              <w:tabs>
                <w:tab w:val="center" w:pos="4153"/>
                <w:tab w:val="right" w:pos="8306"/>
              </w:tabs>
              <w:spacing w:line="260" w:lineRule="exact"/>
              <w:rPr>
                <w:rFonts w:ascii="宋体" w:hAnsi="宋体" w:cs="宋体"/>
                <w:sz w:val="18"/>
              </w:rPr>
            </w:pPr>
            <w:r>
              <w:rPr>
                <w:rFonts w:hint="eastAsia" w:ascii="宋体" w:hAnsi="宋体" w:cs="宋体"/>
                <w:sz w:val="18"/>
              </w:rPr>
              <w:t>（3）</w:t>
            </w:r>
            <w:r>
              <w:rPr>
                <w:rFonts w:ascii="宋体" w:hAnsi="宋体" w:cs="宋体"/>
                <w:sz w:val="18"/>
              </w:rPr>
              <w:t>噪声超标时未采取降噪措施，每次扣0.5分</w:t>
            </w:r>
            <w:r>
              <w:rPr>
                <w:rFonts w:hint="eastAsia" w:ascii="宋体" w:hAnsi="宋体" w:cs="宋体"/>
                <w:sz w:val="18"/>
              </w:rPr>
              <w:t>；</w:t>
            </w:r>
          </w:p>
          <w:p w14:paraId="7C2AEA0B">
            <w:pPr>
              <w:tabs>
                <w:tab w:val="center" w:pos="4153"/>
                <w:tab w:val="right" w:pos="8306"/>
              </w:tabs>
              <w:spacing w:line="260" w:lineRule="exact"/>
              <w:rPr>
                <w:rFonts w:ascii="宋体" w:hAnsi="宋体" w:cs="宋体"/>
                <w:sz w:val="18"/>
              </w:rPr>
            </w:pPr>
            <w:r>
              <w:rPr>
                <w:rFonts w:hint="eastAsia" w:ascii="宋体" w:hAnsi="宋体" w:cs="宋体"/>
                <w:sz w:val="18"/>
              </w:rPr>
              <w:t>（4）</w:t>
            </w:r>
            <w:r>
              <w:rPr>
                <w:rFonts w:ascii="宋体" w:hAnsi="宋体" w:cs="宋体"/>
                <w:sz w:val="18"/>
              </w:rPr>
              <w:t>未按规定堆放、处置或清运不及时，每次扣0.5分</w:t>
            </w:r>
            <w:r>
              <w:rPr>
                <w:rFonts w:hint="eastAsia" w:ascii="宋体" w:hAnsi="宋体" w:cs="宋体"/>
                <w:sz w:val="18"/>
              </w:rPr>
              <w:t>；</w:t>
            </w:r>
          </w:p>
          <w:p w14:paraId="10C710FA">
            <w:pPr>
              <w:tabs>
                <w:tab w:val="center" w:pos="4153"/>
                <w:tab w:val="right" w:pos="8306"/>
              </w:tabs>
              <w:spacing w:line="260" w:lineRule="exact"/>
              <w:rPr>
                <w:rFonts w:ascii="宋体" w:hAnsi="宋体" w:cs="宋体"/>
                <w:sz w:val="18"/>
                <w:szCs w:val="18"/>
              </w:rPr>
            </w:pPr>
            <w:r>
              <w:rPr>
                <w:rFonts w:hint="eastAsia" w:ascii="宋体" w:hAnsi="宋体" w:cs="宋体"/>
                <w:sz w:val="18"/>
              </w:rPr>
              <w:t>（5）</w:t>
            </w:r>
            <w:r>
              <w:rPr>
                <w:rFonts w:ascii="宋体" w:hAnsi="宋体" w:cs="宋体"/>
                <w:sz w:val="18"/>
              </w:rPr>
              <w:t>对于环保检查发现的问题及时整改</w:t>
            </w:r>
            <w:r>
              <w:rPr>
                <w:rFonts w:hint="eastAsia" w:ascii="宋体" w:hAnsi="宋体" w:cs="宋体"/>
                <w:sz w:val="18"/>
              </w:rPr>
              <w:t>，</w:t>
            </w:r>
            <w:r>
              <w:rPr>
                <w:rFonts w:ascii="宋体" w:hAnsi="宋体" w:cs="宋体"/>
                <w:sz w:val="18"/>
              </w:rPr>
              <w:t>未及时整改的，每次扣</w:t>
            </w:r>
            <w:r>
              <w:rPr>
                <w:rFonts w:hint="eastAsia" w:ascii="宋体" w:hAnsi="宋体" w:cs="宋体"/>
                <w:sz w:val="18"/>
              </w:rPr>
              <w:t>1</w:t>
            </w:r>
            <w:r>
              <w:rPr>
                <w:rFonts w:ascii="宋体" w:hAnsi="宋体" w:cs="宋体"/>
                <w:sz w:val="18"/>
              </w:rPr>
              <w:t>分；整改不到位的，每次扣0.</w:t>
            </w:r>
            <w:r>
              <w:rPr>
                <w:rFonts w:hint="eastAsia" w:ascii="宋体" w:hAnsi="宋体" w:cs="宋体"/>
                <w:sz w:val="18"/>
              </w:rPr>
              <w:t>5</w:t>
            </w:r>
            <w:r>
              <w:rPr>
                <w:rFonts w:ascii="宋体" w:hAnsi="宋体" w:cs="宋体"/>
                <w:sz w:val="18"/>
              </w:rPr>
              <w:t>分。</w:t>
            </w:r>
          </w:p>
        </w:tc>
        <w:tc>
          <w:tcPr>
            <w:tcW w:w="1117" w:type="dxa"/>
            <w:tcMar>
              <w:left w:w="28" w:type="dxa"/>
              <w:right w:w="28" w:type="dxa"/>
            </w:tcMar>
            <w:vAlign w:val="center"/>
          </w:tcPr>
          <w:p w14:paraId="01B89A71">
            <w:pPr>
              <w:spacing w:line="260" w:lineRule="exact"/>
              <w:rPr>
                <w:rFonts w:ascii="宋体" w:hAnsi="宋体" w:cs="宋体"/>
                <w:sz w:val="18"/>
              </w:rPr>
            </w:pPr>
          </w:p>
        </w:tc>
        <w:tc>
          <w:tcPr>
            <w:tcW w:w="1020" w:type="dxa"/>
            <w:tcMar>
              <w:left w:w="28" w:type="dxa"/>
              <w:right w:w="28" w:type="dxa"/>
            </w:tcMar>
            <w:vAlign w:val="center"/>
          </w:tcPr>
          <w:p w14:paraId="6B27B115">
            <w:pPr>
              <w:spacing w:line="260" w:lineRule="exact"/>
              <w:rPr>
                <w:rFonts w:ascii="宋体" w:hAnsi="宋体" w:cs="宋体"/>
                <w:sz w:val="18"/>
              </w:rPr>
            </w:pPr>
          </w:p>
        </w:tc>
      </w:tr>
      <w:tr w14:paraId="68AD8E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vMerge w:val="continue"/>
            <w:tcMar>
              <w:left w:w="28" w:type="dxa"/>
              <w:right w:w="28" w:type="dxa"/>
            </w:tcMar>
            <w:vAlign w:val="center"/>
          </w:tcPr>
          <w:p w14:paraId="0EC2765B">
            <w:pPr>
              <w:spacing w:line="260" w:lineRule="exact"/>
              <w:jc w:val="center"/>
              <w:rPr>
                <w:rFonts w:ascii="宋体" w:hAnsi="宋体" w:cs="宋体"/>
                <w:sz w:val="18"/>
                <w:szCs w:val="18"/>
              </w:rPr>
            </w:pPr>
          </w:p>
        </w:tc>
        <w:tc>
          <w:tcPr>
            <w:tcW w:w="1976" w:type="dxa"/>
            <w:vMerge w:val="continue"/>
            <w:tcMar>
              <w:left w:w="28" w:type="dxa"/>
              <w:right w:w="28" w:type="dxa"/>
            </w:tcMar>
            <w:vAlign w:val="center"/>
          </w:tcPr>
          <w:p w14:paraId="0562A790">
            <w:pPr>
              <w:spacing w:line="260" w:lineRule="exact"/>
              <w:rPr>
                <w:rFonts w:ascii="宋体" w:hAnsi="宋体" w:cs="宋体"/>
                <w:sz w:val="18"/>
                <w:szCs w:val="18"/>
              </w:rPr>
            </w:pPr>
          </w:p>
        </w:tc>
        <w:tc>
          <w:tcPr>
            <w:tcW w:w="951" w:type="dxa"/>
            <w:vMerge w:val="continue"/>
            <w:tcMar>
              <w:left w:w="28" w:type="dxa"/>
              <w:right w:w="28" w:type="dxa"/>
            </w:tcMar>
            <w:vAlign w:val="center"/>
          </w:tcPr>
          <w:p w14:paraId="5E5B9DD9">
            <w:pPr>
              <w:spacing w:line="260" w:lineRule="exact"/>
              <w:jc w:val="center"/>
              <w:rPr>
                <w:rFonts w:ascii="宋体" w:hAnsi="宋体" w:cs="宋体"/>
                <w:sz w:val="18"/>
                <w:szCs w:val="18"/>
              </w:rPr>
            </w:pPr>
          </w:p>
        </w:tc>
        <w:tc>
          <w:tcPr>
            <w:tcW w:w="3348" w:type="dxa"/>
            <w:tcMar>
              <w:left w:w="28" w:type="dxa"/>
              <w:right w:w="28" w:type="dxa"/>
            </w:tcMar>
            <w:vAlign w:val="center"/>
          </w:tcPr>
          <w:p w14:paraId="71B45B63">
            <w:pPr>
              <w:spacing w:line="260" w:lineRule="exact"/>
              <w:rPr>
                <w:rFonts w:ascii="宋体" w:hAnsi="宋体" w:cs="宋体"/>
                <w:sz w:val="18"/>
                <w:szCs w:val="18"/>
              </w:rPr>
            </w:pPr>
            <w:r>
              <w:rPr>
                <w:rFonts w:hint="eastAsia" w:ascii="宋体" w:hAnsi="宋体" w:cs="宋体"/>
                <w:sz w:val="18"/>
              </w:rPr>
              <w:t>按照规范开展工程水保工作。（2分）</w:t>
            </w:r>
          </w:p>
        </w:tc>
        <w:tc>
          <w:tcPr>
            <w:tcW w:w="3890" w:type="dxa"/>
            <w:tcMar>
              <w:left w:w="28" w:type="dxa"/>
              <w:right w:w="28" w:type="dxa"/>
            </w:tcMar>
            <w:vAlign w:val="center"/>
          </w:tcPr>
          <w:p w14:paraId="128BCEF9">
            <w:pPr>
              <w:spacing w:line="260" w:lineRule="exact"/>
              <w:rPr>
                <w:rFonts w:ascii="宋体" w:hAnsi="宋体" w:cs="宋体"/>
                <w:sz w:val="18"/>
              </w:rPr>
            </w:pPr>
            <w:r>
              <w:rPr>
                <w:rFonts w:hint="eastAsia" w:ascii="宋体" w:hAnsi="宋体" w:cs="宋体"/>
                <w:sz w:val="18"/>
              </w:rPr>
              <w:t>（1）未落实表土剥离措施的，每次扣1分；剥离措施落实不到位，每次扣0.5分；</w:t>
            </w:r>
          </w:p>
          <w:p w14:paraId="72BAA162">
            <w:pPr>
              <w:spacing w:line="260" w:lineRule="exact"/>
              <w:rPr>
                <w:rFonts w:ascii="宋体" w:hAnsi="宋体" w:cs="宋体"/>
                <w:sz w:val="18"/>
              </w:rPr>
            </w:pPr>
            <w:r>
              <w:rPr>
                <w:rFonts w:hint="eastAsia" w:ascii="宋体" w:hAnsi="宋体" w:cs="宋体"/>
                <w:sz w:val="18"/>
              </w:rPr>
              <w:t>（2）未落实堆土临时拦挡措施的，每次扣1分；措施落实不及时、不到位，每次扣0.5分；</w:t>
            </w:r>
          </w:p>
          <w:p w14:paraId="5EFC60BA">
            <w:pPr>
              <w:spacing w:line="260" w:lineRule="exact"/>
              <w:rPr>
                <w:rFonts w:ascii="宋体" w:hAnsi="宋体" w:cs="宋体"/>
                <w:sz w:val="18"/>
              </w:rPr>
            </w:pPr>
            <w:r>
              <w:rPr>
                <w:rFonts w:hint="eastAsia" w:ascii="宋体" w:hAnsi="宋体" w:cs="宋体"/>
                <w:sz w:val="18"/>
              </w:rPr>
              <w:t>（3）未落实临时截、排水沟措施的，每次扣1分；措施不到位的，每次扣0.5分；</w:t>
            </w:r>
          </w:p>
          <w:p w14:paraId="50965C4C">
            <w:pPr>
              <w:spacing w:line="260" w:lineRule="exact"/>
              <w:rPr>
                <w:rFonts w:ascii="宋体" w:hAnsi="宋体" w:cs="宋体"/>
                <w:sz w:val="18"/>
              </w:rPr>
            </w:pPr>
            <w:r>
              <w:rPr>
                <w:rFonts w:hint="eastAsia" w:ascii="宋体" w:hAnsi="宋体" w:cs="宋体"/>
                <w:sz w:val="18"/>
              </w:rPr>
              <w:t>（4）未落实植被恢复措施的，每次扣1分；植被恢复措施不到位，每次扣0.5分；</w:t>
            </w:r>
          </w:p>
          <w:p w14:paraId="5CE93776">
            <w:pPr>
              <w:spacing w:line="260" w:lineRule="exact"/>
              <w:rPr>
                <w:rFonts w:ascii="宋体" w:hAnsi="宋体" w:cs="宋体"/>
                <w:sz w:val="18"/>
              </w:rPr>
            </w:pPr>
            <w:r>
              <w:rPr>
                <w:rFonts w:hint="eastAsia" w:ascii="宋体" w:hAnsi="宋体" w:cs="宋体"/>
                <w:sz w:val="18"/>
              </w:rPr>
              <w:t>（5）未进行土地整治的，扣1分；土地整治不到位，扣0.5分；</w:t>
            </w:r>
          </w:p>
          <w:p w14:paraId="54060236">
            <w:pPr>
              <w:spacing w:line="260" w:lineRule="exact"/>
              <w:rPr>
                <w:rFonts w:ascii="宋体" w:hAnsi="宋体" w:cs="宋体"/>
                <w:sz w:val="18"/>
                <w:szCs w:val="18"/>
              </w:rPr>
            </w:pPr>
            <w:r>
              <w:rPr>
                <w:rFonts w:hint="eastAsia" w:ascii="宋体" w:hAnsi="宋体" w:cs="宋体"/>
                <w:sz w:val="18"/>
              </w:rPr>
              <w:t>（6）对于水保检查发现的问题及时整改。未及时整改的，每次扣1分；整改不到位的，每次扣0.5分。</w:t>
            </w:r>
          </w:p>
        </w:tc>
        <w:tc>
          <w:tcPr>
            <w:tcW w:w="1117" w:type="dxa"/>
            <w:tcMar>
              <w:left w:w="28" w:type="dxa"/>
              <w:right w:w="28" w:type="dxa"/>
            </w:tcMar>
            <w:vAlign w:val="center"/>
          </w:tcPr>
          <w:p w14:paraId="601C4118">
            <w:pPr>
              <w:spacing w:line="260" w:lineRule="exact"/>
              <w:rPr>
                <w:rFonts w:ascii="宋体" w:hAnsi="宋体" w:cs="宋体"/>
                <w:sz w:val="18"/>
              </w:rPr>
            </w:pPr>
          </w:p>
        </w:tc>
        <w:tc>
          <w:tcPr>
            <w:tcW w:w="1020" w:type="dxa"/>
            <w:tcMar>
              <w:left w:w="28" w:type="dxa"/>
              <w:right w:w="28" w:type="dxa"/>
            </w:tcMar>
            <w:vAlign w:val="center"/>
          </w:tcPr>
          <w:p w14:paraId="04AF4A9D">
            <w:pPr>
              <w:spacing w:line="260" w:lineRule="exact"/>
              <w:rPr>
                <w:rFonts w:ascii="宋体" w:hAnsi="宋体" w:cs="宋体"/>
                <w:sz w:val="18"/>
              </w:rPr>
            </w:pPr>
          </w:p>
        </w:tc>
      </w:tr>
      <w:tr w14:paraId="61CD6A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64" w:hRule="atLeast"/>
          <w:jc w:val="center"/>
        </w:trPr>
        <w:tc>
          <w:tcPr>
            <w:tcW w:w="547" w:type="dxa"/>
            <w:shd w:val="clear" w:color="auto" w:fill="BFBFBF"/>
            <w:tcMar>
              <w:left w:w="28" w:type="dxa"/>
              <w:right w:w="28" w:type="dxa"/>
            </w:tcMar>
            <w:vAlign w:val="center"/>
          </w:tcPr>
          <w:p w14:paraId="2F8AFFF1">
            <w:pPr>
              <w:spacing w:line="260" w:lineRule="exact"/>
              <w:jc w:val="center"/>
              <w:rPr>
                <w:rFonts w:ascii="宋体" w:hAnsi="宋体" w:cs="宋体"/>
                <w:b/>
                <w:sz w:val="18"/>
              </w:rPr>
            </w:pPr>
            <w:r>
              <w:rPr>
                <w:rFonts w:hint="eastAsia" w:ascii="宋体" w:hAnsi="宋体" w:cs="宋体"/>
                <w:b/>
                <w:sz w:val="18"/>
              </w:rPr>
              <w:t>8</w:t>
            </w:r>
          </w:p>
        </w:tc>
        <w:tc>
          <w:tcPr>
            <w:tcW w:w="12302" w:type="dxa"/>
            <w:gridSpan w:val="6"/>
            <w:shd w:val="clear" w:color="auto" w:fill="BFBFBF"/>
            <w:tcMar>
              <w:left w:w="28" w:type="dxa"/>
              <w:right w:w="28" w:type="dxa"/>
            </w:tcMar>
            <w:vAlign w:val="center"/>
          </w:tcPr>
          <w:p w14:paraId="73C30CC5">
            <w:pPr>
              <w:spacing w:line="260" w:lineRule="exact"/>
              <w:rPr>
                <w:rFonts w:ascii="宋体" w:hAnsi="宋体" w:cs="宋体"/>
                <w:sz w:val="18"/>
              </w:rPr>
            </w:pPr>
            <w:r>
              <w:rPr>
                <w:rFonts w:hint="eastAsia" w:ascii="宋体" w:hAnsi="宋体" w:cs="宋体"/>
                <w:b/>
                <w:sz w:val="18"/>
              </w:rPr>
              <w:t>造价管理（6分）</w:t>
            </w:r>
          </w:p>
        </w:tc>
      </w:tr>
      <w:tr w14:paraId="5AD6A2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4E66AE88">
            <w:pPr>
              <w:spacing w:line="260" w:lineRule="exact"/>
              <w:jc w:val="center"/>
              <w:rPr>
                <w:rFonts w:ascii="宋体" w:hAnsi="宋体" w:cs="宋体"/>
                <w:b/>
                <w:bCs/>
                <w:sz w:val="18"/>
              </w:rPr>
            </w:pPr>
            <w:r>
              <w:rPr>
                <w:rFonts w:hint="eastAsia" w:ascii="宋体" w:hAnsi="宋体" w:cs="宋体"/>
                <w:b/>
                <w:bCs/>
                <w:sz w:val="18"/>
              </w:rPr>
              <w:t>8.1</w:t>
            </w:r>
          </w:p>
        </w:tc>
        <w:tc>
          <w:tcPr>
            <w:tcW w:w="1976" w:type="dxa"/>
            <w:tcMar>
              <w:left w:w="28" w:type="dxa"/>
              <w:right w:w="28" w:type="dxa"/>
            </w:tcMar>
            <w:vAlign w:val="center"/>
          </w:tcPr>
          <w:p w14:paraId="1CB4892F">
            <w:pPr>
              <w:spacing w:line="260" w:lineRule="exact"/>
              <w:rPr>
                <w:rFonts w:ascii="宋体" w:hAnsi="宋体" w:cs="宋体"/>
                <w:sz w:val="18"/>
              </w:rPr>
            </w:pPr>
            <w:r>
              <w:rPr>
                <w:rFonts w:hint="eastAsia" w:ascii="宋体" w:hAnsi="宋体" w:cs="宋体"/>
                <w:b/>
                <w:sz w:val="18"/>
              </w:rPr>
              <w:t>工程预付款与进度款管理</w:t>
            </w:r>
          </w:p>
        </w:tc>
        <w:tc>
          <w:tcPr>
            <w:tcW w:w="951" w:type="dxa"/>
            <w:tcMar>
              <w:left w:w="28" w:type="dxa"/>
              <w:right w:w="28" w:type="dxa"/>
            </w:tcMar>
            <w:vAlign w:val="center"/>
          </w:tcPr>
          <w:p w14:paraId="5BF92AE3">
            <w:pPr>
              <w:spacing w:line="260" w:lineRule="exact"/>
              <w:jc w:val="center"/>
              <w:rPr>
                <w:rFonts w:ascii="宋体" w:hAnsi="宋体" w:cs="宋体"/>
                <w:sz w:val="18"/>
              </w:rPr>
            </w:pPr>
            <w:r>
              <w:rPr>
                <w:rFonts w:hint="eastAsia" w:ascii="宋体" w:hAnsi="宋体" w:cs="宋体"/>
                <w:sz w:val="18"/>
              </w:rPr>
              <w:t>1</w:t>
            </w:r>
          </w:p>
        </w:tc>
        <w:tc>
          <w:tcPr>
            <w:tcW w:w="3348" w:type="dxa"/>
            <w:tcMar>
              <w:left w:w="28" w:type="dxa"/>
              <w:right w:w="28" w:type="dxa"/>
            </w:tcMar>
            <w:vAlign w:val="center"/>
          </w:tcPr>
          <w:p w14:paraId="12A9ED56">
            <w:pPr>
              <w:spacing w:line="260" w:lineRule="exact"/>
              <w:rPr>
                <w:rFonts w:ascii="宋体" w:hAnsi="宋体" w:cs="宋体"/>
                <w:sz w:val="18"/>
              </w:rPr>
            </w:pPr>
            <w:r>
              <w:rPr>
                <w:rFonts w:hint="eastAsia" w:ascii="宋体" w:hAnsi="宋体" w:cs="宋体"/>
                <w:sz w:val="18"/>
              </w:rPr>
              <w:t>编制工程预付款及进度款报审表并报审。（1分）</w:t>
            </w:r>
          </w:p>
        </w:tc>
        <w:tc>
          <w:tcPr>
            <w:tcW w:w="3890" w:type="dxa"/>
            <w:tcMar>
              <w:left w:w="28" w:type="dxa"/>
              <w:right w:w="28" w:type="dxa"/>
            </w:tcMar>
          </w:tcPr>
          <w:p w14:paraId="14B961EE">
            <w:pPr>
              <w:spacing w:line="260" w:lineRule="exact"/>
              <w:jc w:val="left"/>
              <w:rPr>
                <w:rFonts w:ascii="宋体" w:hAnsi="宋体" w:cs="宋体"/>
                <w:sz w:val="18"/>
              </w:rPr>
            </w:pPr>
            <w:r>
              <w:rPr>
                <w:rFonts w:hint="eastAsia" w:ascii="宋体" w:hAnsi="宋体" w:cs="宋体"/>
                <w:sz w:val="18"/>
              </w:rPr>
              <w:t>预付款或进度款支付申请工程量不准确，提供的付款支撑性资料不完善，每缺少一项资料扣0.5分。</w:t>
            </w:r>
          </w:p>
        </w:tc>
        <w:tc>
          <w:tcPr>
            <w:tcW w:w="1117" w:type="dxa"/>
            <w:tcMar>
              <w:left w:w="28" w:type="dxa"/>
              <w:right w:w="28" w:type="dxa"/>
            </w:tcMar>
            <w:vAlign w:val="center"/>
          </w:tcPr>
          <w:p w14:paraId="6573282E">
            <w:pPr>
              <w:spacing w:line="260" w:lineRule="exact"/>
              <w:rPr>
                <w:rFonts w:ascii="宋体" w:hAnsi="宋体" w:cs="宋体"/>
                <w:sz w:val="18"/>
              </w:rPr>
            </w:pPr>
          </w:p>
        </w:tc>
        <w:tc>
          <w:tcPr>
            <w:tcW w:w="1020" w:type="dxa"/>
            <w:tcMar>
              <w:left w:w="28" w:type="dxa"/>
              <w:right w:w="28" w:type="dxa"/>
            </w:tcMar>
            <w:vAlign w:val="center"/>
          </w:tcPr>
          <w:p w14:paraId="4ED6F523">
            <w:pPr>
              <w:spacing w:line="260" w:lineRule="exact"/>
              <w:rPr>
                <w:rFonts w:ascii="宋体" w:hAnsi="宋体" w:cs="宋体"/>
                <w:sz w:val="18"/>
              </w:rPr>
            </w:pPr>
          </w:p>
        </w:tc>
      </w:tr>
      <w:tr w14:paraId="3E878240">
        <w:tblPrEx>
          <w:tblCellMar>
            <w:top w:w="0" w:type="dxa"/>
            <w:left w:w="57" w:type="dxa"/>
            <w:bottom w:w="0" w:type="dxa"/>
            <w:right w:w="57" w:type="dxa"/>
          </w:tblCellMar>
        </w:tblPrEx>
        <w:trPr>
          <w:jc w:val="center"/>
        </w:trPr>
        <w:tc>
          <w:tcPr>
            <w:tcW w:w="547" w:type="dxa"/>
            <w:tcMar>
              <w:left w:w="28" w:type="dxa"/>
              <w:right w:w="28" w:type="dxa"/>
            </w:tcMar>
            <w:vAlign w:val="center"/>
          </w:tcPr>
          <w:p w14:paraId="50969B61">
            <w:pPr>
              <w:spacing w:line="260" w:lineRule="exact"/>
              <w:jc w:val="center"/>
              <w:rPr>
                <w:rFonts w:ascii="宋体" w:hAnsi="宋体" w:cs="宋体"/>
                <w:b/>
                <w:bCs/>
                <w:sz w:val="18"/>
              </w:rPr>
            </w:pPr>
            <w:r>
              <w:rPr>
                <w:rFonts w:hint="eastAsia" w:ascii="宋体" w:hAnsi="宋体" w:cs="宋体"/>
                <w:b/>
                <w:bCs/>
                <w:sz w:val="18"/>
              </w:rPr>
              <w:t>8.2</w:t>
            </w:r>
          </w:p>
        </w:tc>
        <w:tc>
          <w:tcPr>
            <w:tcW w:w="1976" w:type="dxa"/>
            <w:tcMar>
              <w:left w:w="28" w:type="dxa"/>
              <w:right w:w="28" w:type="dxa"/>
            </w:tcMar>
            <w:vAlign w:val="center"/>
          </w:tcPr>
          <w:p w14:paraId="34F22422">
            <w:pPr>
              <w:pStyle w:val="52"/>
              <w:spacing w:line="260" w:lineRule="exact"/>
              <w:rPr>
                <w:rFonts w:ascii="宋体" w:hAnsi="宋体" w:cs="宋体"/>
                <w:sz w:val="18"/>
              </w:rPr>
            </w:pPr>
            <w:r>
              <w:rPr>
                <w:rFonts w:ascii="宋体" w:hAnsi="宋体" w:cs="宋体"/>
                <w:b/>
                <w:sz w:val="18"/>
              </w:rPr>
              <w:t>工程结算管理</w:t>
            </w:r>
          </w:p>
        </w:tc>
        <w:tc>
          <w:tcPr>
            <w:tcW w:w="951" w:type="dxa"/>
            <w:tcMar>
              <w:left w:w="28" w:type="dxa"/>
              <w:right w:w="28" w:type="dxa"/>
            </w:tcMar>
            <w:vAlign w:val="center"/>
          </w:tcPr>
          <w:p w14:paraId="68EC9BBF">
            <w:pPr>
              <w:spacing w:line="260" w:lineRule="exact"/>
              <w:jc w:val="center"/>
              <w:rPr>
                <w:rFonts w:ascii="宋体" w:hAnsi="宋体" w:cs="宋体"/>
                <w:sz w:val="18"/>
              </w:rPr>
            </w:pPr>
            <w:r>
              <w:rPr>
                <w:rFonts w:hint="eastAsia" w:ascii="宋体" w:hAnsi="宋体" w:cs="宋体"/>
                <w:sz w:val="18"/>
              </w:rPr>
              <w:t>4</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432C8B2E">
            <w:pPr>
              <w:spacing w:line="260" w:lineRule="exact"/>
              <w:rPr>
                <w:rFonts w:ascii="宋体" w:hAnsi="宋体" w:cs="宋体"/>
                <w:sz w:val="18"/>
              </w:rPr>
            </w:pPr>
            <w:r>
              <w:rPr>
                <w:rFonts w:hint="eastAsia" w:ascii="宋体" w:hAnsi="宋体" w:cs="宋体"/>
                <w:sz w:val="18"/>
              </w:rPr>
              <w:t>按要求提交结算报审文件及支撑材料。（4分）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10DD19C1">
            <w:pPr>
              <w:topLinePunct/>
              <w:snapToGrid w:val="0"/>
              <w:spacing w:line="240" w:lineRule="atLeast"/>
              <w:rPr>
                <w:color w:val="000000"/>
                <w:sz w:val="18"/>
              </w:rPr>
            </w:pPr>
            <w:r>
              <w:rPr>
                <w:rFonts w:hint="eastAsia"/>
                <w:color w:val="000000"/>
                <w:sz w:val="18"/>
              </w:rPr>
              <w:t>（1）未按要求安排专职人员负责结算工作，扣3分；</w:t>
            </w:r>
          </w:p>
          <w:p w14:paraId="320979CE">
            <w:pPr>
              <w:topLinePunct/>
              <w:snapToGrid w:val="0"/>
              <w:spacing w:line="240" w:lineRule="atLeast"/>
              <w:rPr>
                <w:color w:val="000000"/>
                <w:sz w:val="18"/>
              </w:rPr>
            </w:pPr>
            <w:r>
              <w:rPr>
                <w:rFonts w:hint="eastAsia"/>
                <w:color w:val="000000"/>
                <w:sz w:val="18"/>
              </w:rPr>
              <w:t>（2）未按要求组织有关人员参加结算工作，每次扣0.5分；</w:t>
            </w:r>
          </w:p>
          <w:p w14:paraId="0F62CFA6">
            <w:pPr>
              <w:topLinePunct/>
              <w:snapToGrid w:val="0"/>
              <w:spacing w:line="240" w:lineRule="atLeast"/>
              <w:rPr>
                <w:color w:val="000000"/>
                <w:sz w:val="18"/>
              </w:rPr>
            </w:pPr>
            <w:r>
              <w:rPr>
                <w:rFonts w:hint="eastAsia"/>
                <w:color w:val="000000"/>
                <w:sz w:val="18"/>
              </w:rPr>
              <w:t>（3）未按时提交分部结算或竣工结算报审文件及支撑资料，每次扣0.5分；</w:t>
            </w:r>
          </w:p>
          <w:p w14:paraId="76798E69">
            <w:pPr>
              <w:spacing w:line="260" w:lineRule="exact"/>
              <w:jc w:val="left"/>
              <w:rPr>
                <w:rFonts w:ascii="宋体" w:hAnsi="宋体" w:cs="宋体"/>
                <w:sz w:val="18"/>
              </w:rPr>
            </w:pPr>
            <w:r>
              <w:rPr>
                <w:rFonts w:hint="eastAsia"/>
                <w:color w:val="000000"/>
                <w:sz w:val="18"/>
              </w:rPr>
              <w:t>（4）未按要求落实审查意见，整改结算资料，每项扣0.5分。</w:t>
            </w:r>
          </w:p>
        </w:tc>
        <w:tc>
          <w:tcPr>
            <w:tcW w:w="1117" w:type="dxa"/>
            <w:tcMar>
              <w:left w:w="28" w:type="dxa"/>
              <w:right w:w="28" w:type="dxa"/>
            </w:tcMar>
            <w:vAlign w:val="center"/>
          </w:tcPr>
          <w:p w14:paraId="5A267E2C">
            <w:pPr>
              <w:spacing w:line="260" w:lineRule="exact"/>
              <w:rPr>
                <w:rFonts w:ascii="宋体" w:hAnsi="宋体" w:cs="宋体"/>
                <w:sz w:val="18"/>
              </w:rPr>
            </w:pPr>
          </w:p>
        </w:tc>
        <w:tc>
          <w:tcPr>
            <w:tcW w:w="1020" w:type="dxa"/>
            <w:tcMar>
              <w:left w:w="28" w:type="dxa"/>
              <w:right w:w="28" w:type="dxa"/>
            </w:tcMar>
            <w:vAlign w:val="center"/>
          </w:tcPr>
          <w:p w14:paraId="499EAA1D">
            <w:pPr>
              <w:spacing w:line="260" w:lineRule="exact"/>
              <w:rPr>
                <w:rFonts w:ascii="宋体" w:hAnsi="宋体" w:cs="宋体"/>
                <w:sz w:val="18"/>
              </w:rPr>
            </w:pPr>
          </w:p>
        </w:tc>
      </w:tr>
      <w:tr w14:paraId="68A17D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138BC704">
            <w:pPr>
              <w:spacing w:line="260" w:lineRule="exact"/>
              <w:jc w:val="center"/>
              <w:rPr>
                <w:rFonts w:ascii="宋体" w:hAnsi="宋体" w:cs="宋体"/>
                <w:b/>
                <w:bCs/>
                <w:sz w:val="18"/>
              </w:rPr>
            </w:pPr>
            <w:r>
              <w:rPr>
                <w:rFonts w:hint="eastAsia" w:ascii="宋体" w:hAnsi="宋体" w:cs="宋体"/>
                <w:b/>
                <w:bCs/>
                <w:sz w:val="18"/>
              </w:rPr>
              <w:t>8.3</w:t>
            </w:r>
          </w:p>
        </w:tc>
        <w:tc>
          <w:tcPr>
            <w:tcW w:w="1976" w:type="dxa"/>
            <w:tcMar>
              <w:left w:w="28" w:type="dxa"/>
              <w:right w:w="28" w:type="dxa"/>
            </w:tcMar>
            <w:vAlign w:val="center"/>
          </w:tcPr>
          <w:p w14:paraId="0AAFA2C0">
            <w:pPr>
              <w:pStyle w:val="52"/>
              <w:spacing w:line="260" w:lineRule="exact"/>
              <w:rPr>
                <w:rFonts w:ascii="宋体" w:hAnsi="宋体" w:cs="宋体"/>
                <w:b/>
                <w:sz w:val="18"/>
              </w:rPr>
            </w:pPr>
            <w:r>
              <w:rPr>
                <w:rFonts w:hint="eastAsia" w:ascii="宋体" w:hAnsi="宋体" w:cs="宋体"/>
                <w:b/>
                <w:sz w:val="18"/>
              </w:rPr>
              <w:t>农民工工资管理</w:t>
            </w:r>
          </w:p>
        </w:tc>
        <w:tc>
          <w:tcPr>
            <w:tcW w:w="951" w:type="dxa"/>
            <w:tcMar>
              <w:left w:w="28" w:type="dxa"/>
              <w:right w:w="28" w:type="dxa"/>
            </w:tcMar>
            <w:vAlign w:val="center"/>
          </w:tcPr>
          <w:p w14:paraId="44FCEC50">
            <w:pPr>
              <w:spacing w:line="260" w:lineRule="exact"/>
              <w:jc w:val="center"/>
              <w:rPr>
                <w:rFonts w:ascii="宋体" w:hAnsi="宋体" w:cs="宋体"/>
                <w:sz w:val="18"/>
              </w:rPr>
            </w:pPr>
            <w:r>
              <w:rPr>
                <w:rFonts w:hint="eastAsia" w:ascii="宋体" w:hAnsi="宋体" w:cs="宋体"/>
                <w:sz w:val="18"/>
              </w:rPr>
              <w:t>1</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24B737F0">
            <w:pPr>
              <w:spacing w:line="260" w:lineRule="exact"/>
              <w:rPr>
                <w:rFonts w:ascii="宋体" w:hAnsi="宋体" w:cs="宋体"/>
                <w:sz w:val="18"/>
              </w:rPr>
            </w:pPr>
            <w:r>
              <w:rPr>
                <w:rFonts w:hint="eastAsia" w:ascii="宋体" w:hAnsi="宋体" w:cs="宋体"/>
                <w:sz w:val="18"/>
              </w:rPr>
              <w:t>按合同要求管理现场农民工工资。（1分）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1877C431">
            <w:pPr>
              <w:spacing w:line="260" w:lineRule="exact"/>
              <w:jc w:val="left"/>
              <w:rPr>
                <w:color w:val="000000"/>
                <w:sz w:val="18"/>
              </w:rPr>
            </w:pPr>
            <w:r>
              <w:rPr>
                <w:rFonts w:hint="eastAsia"/>
                <w:color w:val="000000"/>
                <w:sz w:val="18"/>
              </w:rPr>
              <w:t>（1）未设立农民工资专用账户，扣1分；</w:t>
            </w:r>
          </w:p>
          <w:p w14:paraId="2983EFD7">
            <w:pPr>
              <w:spacing w:line="260" w:lineRule="exact"/>
              <w:jc w:val="left"/>
              <w:rPr>
                <w:color w:val="000000"/>
                <w:sz w:val="18"/>
              </w:rPr>
            </w:pPr>
            <w:r>
              <w:rPr>
                <w:rFonts w:hint="eastAsia"/>
                <w:color w:val="000000"/>
                <w:sz w:val="18"/>
              </w:rPr>
              <w:t>（2）未按合同要求，建立农民工用工台账、支付台账，未提供代发农民工工资支付手续复印件，每少一份材料扣0.5分。</w:t>
            </w:r>
          </w:p>
        </w:tc>
        <w:tc>
          <w:tcPr>
            <w:tcW w:w="1117" w:type="dxa"/>
            <w:tcMar>
              <w:left w:w="28" w:type="dxa"/>
              <w:right w:w="28" w:type="dxa"/>
            </w:tcMar>
            <w:vAlign w:val="center"/>
          </w:tcPr>
          <w:p w14:paraId="63FD8022">
            <w:pPr>
              <w:spacing w:line="260" w:lineRule="exact"/>
              <w:rPr>
                <w:rFonts w:ascii="宋体" w:hAnsi="宋体" w:cs="宋体"/>
                <w:sz w:val="18"/>
              </w:rPr>
            </w:pPr>
          </w:p>
        </w:tc>
        <w:tc>
          <w:tcPr>
            <w:tcW w:w="1020" w:type="dxa"/>
            <w:tcMar>
              <w:left w:w="28" w:type="dxa"/>
              <w:right w:w="28" w:type="dxa"/>
            </w:tcMar>
            <w:vAlign w:val="center"/>
          </w:tcPr>
          <w:p w14:paraId="313C1A75">
            <w:pPr>
              <w:spacing w:line="260" w:lineRule="exact"/>
              <w:rPr>
                <w:rFonts w:ascii="宋体" w:hAnsi="宋体" w:cs="宋体"/>
                <w:sz w:val="18"/>
              </w:rPr>
            </w:pPr>
          </w:p>
        </w:tc>
      </w:tr>
      <w:tr w14:paraId="67824D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82" w:hRule="atLeast"/>
          <w:jc w:val="center"/>
        </w:trPr>
        <w:tc>
          <w:tcPr>
            <w:tcW w:w="547" w:type="dxa"/>
            <w:shd w:val="clear" w:color="auto" w:fill="BEBEBE" w:themeFill="background1" w:themeFillShade="BF"/>
            <w:tcMar>
              <w:left w:w="28" w:type="dxa"/>
              <w:right w:w="28" w:type="dxa"/>
            </w:tcMar>
            <w:vAlign w:val="center"/>
          </w:tcPr>
          <w:p w14:paraId="65866CE6">
            <w:pPr>
              <w:jc w:val="center"/>
              <w:rPr>
                <w:rFonts w:ascii="宋体" w:hAnsi="宋体" w:cs="宋体"/>
                <w:b/>
                <w:bCs/>
                <w:sz w:val="18"/>
              </w:rPr>
            </w:pPr>
            <w:r>
              <w:rPr>
                <w:rFonts w:hint="eastAsia" w:ascii="宋体" w:hAnsi="宋体" w:cs="宋体"/>
                <w:b/>
                <w:bCs/>
                <w:sz w:val="18"/>
              </w:rPr>
              <w:t>9</w:t>
            </w:r>
          </w:p>
        </w:tc>
        <w:tc>
          <w:tcPr>
            <w:tcW w:w="12302" w:type="dxa"/>
            <w:gridSpan w:val="6"/>
            <w:shd w:val="clear" w:color="auto" w:fill="BEBEBE" w:themeFill="background1" w:themeFillShade="BF"/>
            <w:tcMar>
              <w:left w:w="28" w:type="dxa"/>
              <w:right w:w="28" w:type="dxa"/>
            </w:tcMar>
            <w:vAlign w:val="center"/>
          </w:tcPr>
          <w:p w14:paraId="0E36A471">
            <w:pPr>
              <w:jc w:val="left"/>
              <w:rPr>
                <w:rFonts w:ascii="宋体" w:hAnsi="宋体" w:cs="宋体"/>
                <w:b/>
                <w:bCs/>
                <w:sz w:val="18"/>
              </w:rPr>
            </w:pPr>
            <w:r>
              <w:rPr>
                <w:rFonts w:hint="eastAsia" w:ascii="宋体" w:hAnsi="宋体" w:cs="宋体"/>
                <w:b/>
                <w:bCs/>
                <w:sz w:val="18"/>
              </w:rPr>
              <w:t>绿色建造管理（2分）</w:t>
            </w:r>
          </w:p>
        </w:tc>
      </w:tr>
      <w:tr w14:paraId="218463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jc w:val="center"/>
        </w:trPr>
        <w:tc>
          <w:tcPr>
            <w:tcW w:w="547" w:type="dxa"/>
            <w:tcMar>
              <w:left w:w="28" w:type="dxa"/>
              <w:right w:w="28" w:type="dxa"/>
            </w:tcMar>
            <w:vAlign w:val="center"/>
          </w:tcPr>
          <w:p w14:paraId="494A4D85">
            <w:pPr>
              <w:spacing w:line="260" w:lineRule="exact"/>
              <w:jc w:val="center"/>
              <w:rPr>
                <w:rFonts w:ascii="宋体" w:hAnsi="宋体" w:cs="宋体"/>
                <w:b/>
                <w:bCs/>
                <w:sz w:val="18"/>
              </w:rPr>
            </w:pPr>
            <w:r>
              <w:rPr>
                <w:rFonts w:hint="eastAsia" w:ascii="宋体" w:hAnsi="宋体" w:cs="宋体"/>
                <w:b/>
                <w:bCs/>
                <w:sz w:val="18"/>
              </w:rPr>
              <w:t>9.1</w:t>
            </w:r>
          </w:p>
        </w:tc>
        <w:tc>
          <w:tcPr>
            <w:tcW w:w="1976" w:type="dxa"/>
            <w:tcMar>
              <w:left w:w="28" w:type="dxa"/>
              <w:right w:w="28" w:type="dxa"/>
            </w:tcMar>
            <w:vAlign w:val="center"/>
          </w:tcPr>
          <w:p w14:paraId="519C92F1">
            <w:pPr>
              <w:rPr>
                <w:rFonts w:ascii="宋体" w:hAnsi="宋体" w:cs="宋体"/>
                <w:b/>
                <w:sz w:val="18"/>
              </w:rPr>
            </w:pPr>
            <w:r>
              <w:rPr>
                <w:rFonts w:hint="eastAsia"/>
                <w:b/>
                <w:bCs/>
                <w:color w:val="000000"/>
                <w:sz w:val="18"/>
                <w:szCs w:val="18"/>
              </w:rPr>
              <w:t>绿色施工管理</w:t>
            </w:r>
          </w:p>
        </w:tc>
        <w:tc>
          <w:tcPr>
            <w:tcW w:w="951" w:type="dxa"/>
            <w:tcMar>
              <w:left w:w="28" w:type="dxa"/>
              <w:right w:w="28" w:type="dxa"/>
            </w:tcMar>
            <w:vAlign w:val="center"/>
          </w:tcPr>
          <w:p w14:paraId="58444F88">
            <w:pPr>
              <w:spacing w:line="260" w:lineRule="exact"/>
              <w:jc w:val="center"/>
              <w:rPr>
                <w:rFonts w:ascii="宋体" w:hAnsi="宋体" w:cs="宋体"/>
                <w:sz w:val="18"/>
              </w:rPr>
            </w:pPr>
            <w:r>
              <w:rPr>
                <w:rFonts w:hint="eastAsia" w:ascii="宋体" w:hAnsi="宋体" w:cs="宋体"/>
                <w:sz w:val="18"/>
              </w:rPr>
              <w:t>2</w:t>
            </w:r>
          </w:p>
        </w:tc>
        <w:tc>
          <w:tcPr>
            <w:tcW w:w="3348" w:type="dxa"/>
            <w:tcBorders>
              <w:top w:val="nil"/>
              <w:left w:val="single" w:color="000000" w:sz="4" w:space="0"/>
              <w:bottom w:val="single" w:color="000000" w:sz="4" w:space="0"/>
              <w:right w:val="single" w:color="000000" w:sz="4" w:space="0"/>
            </w:tcBorders>
            <w:tcMar>
              <w:left w:w="28" w:type="dxa"/>
              <w:right w:w="28" w:type="dxa"/>
            </w:tcMar>
          </w:tcPr>
          <w:p w14:paraId="0D27D4C4">
            <w:pPr>
              <w:spacing w:line="260" w:lineRule="exact"/>
              <w:rPr>
                <w:rFonts w:ascii="宋体" w:hAnsi="宋体" w:cs="宋体"/>
                <w:sz w:val="18"/>
              </w:rPr>
            </w:pPr>
            <w:r>
              <w:rPr>
                <w:rFonts w:hint="eastAsia" w:ascii="宋体" w:hAnsi="宋体" w:cs="宋体"/>
                <w:sz w:val="18"/>
                <w:szCs w:val="18"/>
              </w:rPr>
              <w:t>编写并上报绿色施工方案，编制绿色施工总结，配合业主项目部申报绿色示范工程。（2分）</w:t>
            </w:r>
          </w:p>
        </w:tc>
        <w:tc>
          <w:tcPr>
            <w:tcW w:w="3890" w:type="dxa"/>
            <w:tcBorders>
              <w:top w:val="nil"/>
              <w:left w:val="single" w:color="000000" w:sz="4" w:space="0"/>
              <w:bottom w:val="single" w:color="000000" w:sz="4" w:space="0"/>
              <w:right w:val="single" w:color="000000" w:sz="4" w:space="0"/>
            </w:tcBorders>
            <w:tcMar>
              <w:left w:w="28" w:type="dxa"/>
              <w:right w:w="28" w:type="dxa"/>
            </w:tcMar>
          </w:tcPr>
          <w:p w14:paraId="04AD15D2">
            <w:pPr>
              <w:spacing w:line="260" w:lineRule="exact"/>
              <w:jc w:val="left"/>
              <w:rPr>
                <w:rFonts w:ascii="宋体" w:hAnsi="宋体" w:cs="宋体"/>
                <w:sz w:val="18"/>
              </w:rPr>
            </w:pPr>
            <w:r>
              <w:rPr>
                <w:rFonts w:hint="eastAsia" w:ascii="宋体" w:hAnsi="宋体" w:cs="宋体"/>
                <w:sz w:val="18"/>
              </w:rPr>
              <w:t>（1）未及时编写并上报绿色施工方案，开展“四节一环保”活动，扣1分；</w:t>
            </w:r>
          </w:p>
          <w:p w14:paraId="035DBECC">
            <w:pPr>
              <w:spacing w:line="260" w:lineRule="exact"/>
              <w:jc w:val="left"/>
              <w:rPr>
                <w:rFonts w:ascii="宋体" w:hAnsi="宋体" w:cs="宋体"/>
                <w:sz w:val="18"/>
              </w:rPr>
            </w:pPr>
            <w:r>
              <w:rPr>
                <w:rFonts w:hint="eastAsia" w:ascii="宋体" w:hAnsi="宋体" w:cs="宋体"/>
                <w:sz w:val="18"/>
              </w:rPr>
              <w:t>（2）未及时编制绿色施工总结，扣1分；</w:t>
            </w:r>
          </w:p>
          <w:p w14:paraId="6FD45FA7">
            <w:pPr>
              <w:spacing w:line="260" w:lineRule="exact"/>
              <w:jc w:val="left"/>
              <w:rPr>
                <w:color w:val="000000"/>
                <w:sz w:val="18"/>
              </w:rPr>
            </w:pPr>
            <w:r>
              <w:rPr>
                <w:rFonts w:hint="eastAsia" w:ascii="宋体" w:hAnsi="宋体" w:cs="宋体"/>
                <w:sz w:val="18"/>
              </w:rPr>
              <w:t>（3）未配合业主项目部申报绿色示范工程，扣1分。</w:t>
            </w:r>
          </w:p>
        </w:tc>
        <w:tc>
          <w:tcPr>
            <w:tcW w:w="1117" w:type="dxa"/>
            <w:tcMar>
              <w:left w:w="28" w:type="dxa"/>
              <w:right w:w="28" w:type="dxa"/>
            </w:tcMar>
            <w:vAlign w:val="center"/>
          </w:tcPr>
          <w:p w14:paraId="3F46D71B">
            <w:pPr>
              <w:spacing w:line="260" w:lineRule="exact"/>
              <w:rPr>
                <w:rFonts w:ascii="宋体" w:hAnsi="宋体" w:cs="宋体"/>
                <w:sz w:val="18"/>
              </w:rPr>
            </w:pPr>
          </w:p>
        </w:tc>
        <w:tc>
          <w:tcPr>
            <w:tcW w:w="1020" w:type="dxa"/>
            <w:tcMar>
              <w:left w:w="28" w:type="dxa"/>
              <w:right w:w="28" w:type="dxa"/>
            </w:tcMar>
            <w:vAlign w:val="center"/>
          </w:tcPr>
          <w:p w14:paraId="3F08CC7A">
            <w:pPr>
              <w:spacing w:line="260" w:lineRule="exact"/>
              <w:jc w:val="center"/>
              <w:rPr>
                <w:rFonts w:ascii="宋体" w:hAnsi="宋体" w:cs="宋体"/>
                <w:sz w:val="18"/>
              </w:rPr>
            </w:pPr>
          </w:p>
        </w:tc>
      </w:tr>
      <w:tr w14:paraId="3C134F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4" w:hRule="atLeast"/>
          <w:jc w:val="center"/>
        </w:trPr>
        <w:tc>
          <w:tcPr>
            <w:tcW w:w="547" w:type="dxa"/>
            <w:shd w:val="clear" w:color="auto" w:fill="BEBEBE"/>
            <w:tcMar>
              <w:left w:w="28" w:type="dxa"/>
              <w:right w:w="28" w:type="dxa"/>
            </w:tcMar>
            <w:vAlign w:val="center"/>
          </w:tcPr>
          <w:p w14:paraId="2AE957FB">
            <w:pPr>
              <w:jc w:val="center"/>
              <w:rPr>
                <w:rFonts w:ascii="宋体" w:hAnsi="宋体" w:cs="宋体"/>
                <w:sz w:val="18"/>
              </w:rPr>
            </w:pPr>
            <w:r>
              <w:rPr>
                <w:rFonts w:hint="eastAsia" w:ascii="宋体" w:hAnsi="宋体" w:cs="宋体"/>
                <w:sz w:val="18"/>
              </w:rPr>
              <w:t>10</w:t>
            </w:r>
          </w:p>
        </w:tc>
        <w:tc>
          <w:tcPr>
            <w:tcW w:w="12302" w:type="dxa"/>
            <w:gridSpan w:val="6"/>
            <w:shd w:val="clear" w:color="auto" w:fill="BEBEBE"/>
            <w:tcMar>
              <w:left w:w="28" w:type="dxa"/>
              <w:right w:w="28" w:type="dxa"/>
            </w:tcMar>
            <w:vAlign w:val="center"/>
          </w:tcPr>
          <w:p w14:paraId="7FFC10FE">
            <w:pPr>
              <w:rPr>
                <w:rFonts w:ascii="宋体" w:hAnsi="宋体" w:cs="宋体"/>
                <w:sz w:val="18"/>
              </w:rPr>
            </w:pPr>
            <w:r>
              <w:rPr>
                <w:rFonts w:hint="eastAsia"/>
                <w:b/>
                <w:color w:val="000000"/>
                <w:sz w:val="18"/>
                <w:szCs w:val="18"/>
              </w:rPr>
              <w:t>工作成效（10分）</w:t>
            </w:r>
          </w:p>
        </w:tc>
      </w:tr>
      <w:tr w14:paraId="2B925B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1325" w:hRule="atLeast"/>
          <w:jc w:val="center"/>
        </w:trPr>
        <w:tc>
          <w:tcPr>
            <w:tcW w:w="547" w:type="dxa"/>
            <w:tcMar>
              <w:left w:w="28" w:type="dxa"/>
              <w:right w:w="28" w:type="dxa"/>
            </w:tcMar>
            <w:vAlign w:val="center"/>
          </w:tcPr>
          <w:p w14:paraId="2ED883E6">
            <w:pPr>
              <w:jc w:val="center"/>
              <w:rPr>
                <w:b/>
                <w:bCs/>
                <w:color w:val="000000"/>
                <w:sz w:val="18"/>
                <w:szCs w:val="18"/>
              </w:rPr>
            </w:pPr>
            <w:r>
              <w:rPr>
                <w:rFonts w:hint="eastAsia"/>
                <w:b/>
                <w:bCs/>
                <w:color w:val="000000"/>
                <w:sz w:val="18"/>
                <w:szCs w:val="18"/>
              </w:rPr>
              <w:t>10.1</w:t>
            </w:r>
          </w:p>
        </w:tc>
        <w:tc>
          <w:tcPr>
            <w:tcW w:w="1976" w:type="dxa"/>
            <w:tcMar>
              <w:left w:w="28" w:type="dxa"/>
              <w:right w:w="28" w:type="dxa"/>
            </w:tcMar>
            <w:vAlign w:val="center"/>
          </w:tcPr>
          <w:p w14:paraId="386F88D3">
            <w:pPr>
              <w:pStyle w:val="55"/>
              <w:adjustRightInd w:val="0"/>
              <w:snapToGrid w:val="0"/>
              <w:rPr>
                <w:b/>
                <w:bCs/>
                <w:color w:val="000000"/>
                <w:sz w:val="18"/>
                <w:szCs w:val="18"/>
                <w:lang w:val="en-US"/>
              </w:rPr>
            </w:pPr>
            <w:r>
              <w:rPr>
                <w:rFonts w:hint="eastAsia" w:ascii="Times New Roman" w:hAnsi="Times New Roman" w:cs="Times New Roman"/>
                <w:b/>
                <w:bCs/>
                <w:color w:val="000000"/>
                <w:sz w:val="18"/>
                <w:szCs w:val="18"/>
                <w:lang w:val="en-US" w:bidi="ar-SA"/>
              </w:rPr>
              <w:t>工作成效</w:t>
            </w:r>
          </w:p>
        </w:tc>
        <w:tc>
          <w:tcPr>
            <w:tcW w:w="951" w:type="dxa"/>
            <w:tcMar>
              <w:left w:w="28" w:type="dxa"/>
              <w:right w:w="28" w:type="dxa"/>
            </w:tcMar>
            <w:vAlign w:val="center"/>
          </w:tcPr>
          <w:p w14:paraId="1733AE6C">
            <w:pPr>
              <w:pStyle w:val="55"/>
              <w:adjustRightInd w:val="0"/>
              <w:snapToGrid w:val="0"/>
              <w:jc w:val="center"/>
              <w:rPr>
                <w:b/>
                <w:color w:val="000000"/>
                <w:sz w:val="18"/>
                <w:szCs w:val="18"/>
                <w:lang w:val="en-US"/>
              </w:rPr>
            </w:pPr>
            <w:r>
              <w:rPr>
                <w:rFonts w:hint="eastAsia" w:ascii="Times New Roman" w:hAnsi="Times New Roman" w:cs="Times New Roman"/>
                <w:color w:val="000000"/>
                <w:sz w:val="18"/>
                <w:szCs w:val="18"/>
                <w:lang w:val="en-US" w:bidi="ar-SA"/>
              </w:rPr>
              <w:t>10</w:t>
            </w:r>
          </w:p>
        </w:tc>
        <w:tc>
          <w:tcPr>
            <w:tcW w:w="3348" w:type="dxa"/>
            <w:tcBorders>
              <w:top w:val="nil"/>
              <w:left w:val="single" w:color="000000" w:sz="4" w:space="0"/>
              <w:bottom w:val="single" w:color="000000" w:sz="4" w:space="0"/>
              <w:right w:val="single" w:color="000000" w:sz="4" w:space="0"/>
            </w:tcBorders>
            <w:tcMar>
              <w:left w:w="28" w:type="dxa"/>
              <w:right w:w="28" w:type="dxa"/>
            </w:tcMar>
            <w:vAlign w:val="center"/>
          </w:tcPr>
          <w:p w14:paraId="01178E75">
            <w:pPr>
              <w:pStyle w:val="55"/>
              <w:adjustRightInd w:val="0"/>
              <w:snapToGrid w:val="0"/>
              <w:rPr>
                <w:rFonts w:ascii="Times New Roman" w:hAnsi="Times New Roman" w:cs="Times New Roman"/>
                <w:color w:val="000000"/>
                <w:sz w:val="18"/>
                <w:szCs w:val="18"/>
                <w:lang w:val="en-US" w:bidi="ar-SA"/>
              </w:rPr>
            </w:pPr>
            <w:r>
              <w:rPr>
                <w:rFonts w:hint="eastAsia" w:ascii="Times New Roman" w:hAnsi="Times New Roman" w:cs="Times New Roman"/>
                <w:color w:val="000000"/>
                <w:sz w:val="18"/>
                <w:szCs w:val="18"/>
                <w:lang w:val="en-US" w:bidi="ar-SA"/>
              </w:rPr>
              <w:t>按照业主项目部职责开展相关工作；</w:t>
            </w:r>
          </w:p>
          <w:p w14:paraId="7A608A60">
            <w:pPr>
              <w:pStyle w:val="55"/>
              <w:adjustRightInd w:val="0"/>
              <w:snapToGrid w:val="0"/>
              <w:rPr>
                <w:rFonts w:ascii="Times New Roman" w:hAnsi="Times New Roman" w:cs="Times New Roman"/>
                <w:color w:val="000000"/>
                <w:sz w:val="18"/>
                <w:szCs w:val="18"/>
                <w:lang w:val="en-US" w:bidi="ar-SA"/>
              </w:rPr>
            </w:pPr>
            <w:r>
              <w:rPr>
                <w:rFonts w:hint="eastAsia" w:ascii="Times New Roman" w:hAnsi="Times New Roman" w:cs="Times New Roman"/>
                <w:color w:val="000000"/>
                <w:sz w:val="18"/>
                <w:szCs w:val="18"/>
                <w:lang w:val="en-US" w:bidi="ar-SA"/>
              </w:rPr>
              <w:t>落实公司安排的工作任务及公司管理要求；严格现场管控避免出现施工项目部工作原因导致各类舆情事件、安全事件、质量事件、上访事件等影响公司事件发生。（10分）</w:t>
            </w:r>
          </w:p>
        </w:tc>
        <w:tc>
          <w:tcPr>
            <w:tcW w:w="3890" w:type="dxa"/>
            <w:tcBorders>
              <w:top w:val="nil"/>
              <w:left w:val="single" w:color="000000" w:sz="4" w:space="0"/>
              <w:bottom w:val="single" w:color="000000" w:sz="4" w:space="0"/>
              <w:right w:val="single" w:color="000000" w:sz="4" w:space="0"/>
            </w:tcBorders>
            <w:tcMar>
              <w:left w:w="28" w:type="dxa"/>
              <w:right w:w="28" w:type="dxa"/>
            </w:tcMar>
            <w:vAlign w:val="center"/>
          </w:tcPr>
          <w:p w14:paraId="56E59C1C">
            <w:pPr>
              <w:pStyle w:val="55"/>
              <w:adjustRightInd w:val="0"/>
              <w:snapToGrid w:val="0"/>
              <w:jc w:val="left"/>
              <w:rPr>
                <w:rFonts w:ascii="Times New Roman" w:hAnsi="Times New Roman" w:cs="Times New Roman"/>
                <w:color w:val="000000"/>
                <w:sz w:val="18"/>
                <w:szCs w:val="18"/>
                <w:lang w:val="en-US" w:bidi="ar-SA"/>
              </w:rPr>
            </w:pPr>
            <w:r>
              <w:rPr>
                <w:rFonts w:hint="eastAsia" w:ascii="Times New Roman" w:hAnsi="Times New Roman" w:cs="Times New Roman"/>
                <w:color w:val="000000"/>
                <w:sz w:val="18"/>
                <w:szCs w:val="18"/>
                <w:lang w:val="en-US" w:bidi="ar-SA"/>
              </w:rPr>
              <w:t>（1）业主项目部安排工作任务未落实每项扣2分；落实质量不符合要求每项扣1分；</w:t>
            </w:r>
          </w:p>
          <w:p w14:paraId="298A98E7">
            <w:pPr>
              <w:pStyle w:val="55"/>
              <w:adjustRightInd w:val="0"/>
              <w:snapToGrid w:val="0"/>
              <w:jc w:val="left"/>
              <w:rPr>
                <w:sz w:val="18"/>
                <w:lang w:val="en-US"/>
              </w:rPr>
            </w:pPr>
            <w:r>
              <w:rPr>
                <w:rFonts w:hint="eastAsia" w:ascii="Times New Roman" w:hAnsi="Times New Roman" w:cs="Times New Roman"/>
                <w:color w:val="000000"/>
                <w:sz w:val="18"/>
                <w:szCs w:val="18"/>
                <w:lang w:val="en-US" w:bidi="ar-SA"/>
              </w:rPr>
              <w:t>（2）发生因施工项目部工作原因导致各类舆情事件、安全事件、质量事件、上访事件等影响公司事件每次扣5分。</w:t>
            </w:r>
          </w:p>
        </w:tc>
        <w:tc>
          <w:tcPr>
            <w:tcW w:w="1117" w:type="dxa"/>
            <w:tcMar>
              <w:left w:w="28" w:type="dxa"/>
              <w:right w:w="28" w:type="dxa"/>
            </w:tcMar>
            <w:vAlign w:val="center"/>
          </w:tcPr>
          <w:p w14:paraId="5532CDE6">
            <w:pPr>
              <w:spacing w:line="260" w:lineRule="exact"/>
              <w:rPr>
                <w:rFonts w:ascii="宋体" w:hAnsi="宋体" w:cs="宋体"/>
                <w:sz w:val="18"/>
              </w:rPr>
            </w:pPr>
          </w:p>
        </w:tc>
        <w:tc>
          <w:tcPr>
            <w:tcW w:w="1020" w:type="dxa"/>
            <w:tcMar>
              <w:left w:w="28" w:type="dxa"/>
              <w:right w:w="28" w:type="dxa"/>
            </w:tcMar>
            <w:vAlign w:val="center"/>
          </w:tcPr>
          <w:p w14:paraId="289AE8E2">
            <w:pPr>
              <w:spacing w:line="260" w:lineRule="exact"/>
              <w:rPr>
                <w:rFonts w:ascii="宋体" w:hAnsi="宋体" w:cs="宋体"/>
                <w:sz w:val="18"/>
              </w:rPr>
            </w:pPr>
          </w:p>
        </w:tc>
      </w:tr>
      <w:tr w14:paraId="5435FA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454" w:hRule="atLeast"/>
          <w:jc w:val="center"/>
        </w:trPr>
        <w:tc>
          <w:tcPr>
            <w:tcW w:w="10712" w:type="dxa"/>
            <w:gridSpan w:val="5"/>
            <w:tcBorders>
              <w:right w:val="single" w:color="000000" w:sz="4" w:space="0"/>
            </w:tcBorders>
            <w:tcMar>
              <w:left w:w="28" w:type="dxa"/>
              <w:right w:w="28" w:type="dxa"/>
            </w:tcMar>
            <w:vAlign w:val="center"/>
          </w:tcPr>
          <w:p w14:paraId="7CC87A55">
            <w:pPr>
              <w:pStyle w:val="55"/>
              <w:adjustRightInd w:val="0"/>
              <w:snapToGrid w:val="0"/>
              <w:jc w:val="center"/>
              <w:rPr>
                <w:rFonts w:ascii="Times New Roman" w:hAnsi="Times New Roman" w:cs="Times New Roman"/>
                <w:color w:val="000000"/>
                <w:sz w:val="18"/>
                <w:szCs w:val="18"/>
                <w:lang w:val="en-US" w:bidi="ar-SA"/>
              </w:rPr>
            </w:pPr>
            <w:r>
              <w:rPr>
                <w:rFonts w:hint="eastAsia" w:ascii="Times New Roman" w:hAnsi="Times New Roman" w:cs="Times New Roman"/>
                <w:color w:val="000000"/>
                <w:sz w:val="18"/>
                <w:szCs w:val="18"/>
                <w:lang w:val="en-US" w:bidi="ar-SA"/>
              </w:rPr>
              <w:t>合计得分</w:t>
            </w:r>
          </w:p>
        </w:tc>
        <w:tc>
          <w:tcPr>
            <w:tcW w:w="1117" w:type="dxa"/>
            <w:tcMar>
              <w:left w:w="28" w:type="dxa"/>
              <w:right w:w="28" w:type="dxa"/>
            </w:tcMar>
            <w:vAlign w:val="center"/>
          </w:tcPr>
          <w:p w14:paraId="686501AD">
            <w:pPr>
              <w:rPr>
                <w:rFonts w:ascii="宋体" w:hAnsi="宋体" w:cs="宋体"/>
                <w:sz w:val="18"/>
              </w:rPr>
            </w:pPr>
          </w:p>
        </w:tc>
        <w:tc>
          <w:tcPr>
            <w:tcW w:w="1020" w:type="dxa"/>
            <w:tcMar>
              <w:left w:w="28" w:type="dxa"/>
              <w:right w:w="28" w:type="dxa"/>
            </w:tcMar>
            <w:vAlign w:val="center"/>
          </w:tcPr>
          <w:p w14:paraId="605D6571">
            <w:pPr>
              <w:rPr>
                <w:rFonts w:ascii="宋体" w:hAnsi="宋体" w:cs="宋体"/>
                <w:sz w:val="18"/>
              </w:rPr>
            </w:pPr>
          </w:p>
        </w:tc>
      </w:tr>
    </w:tbl>
    <w:p w14:paraId="27194370">
      <w:pPr>
        <w:ind w:firstLine="420" w:firstLineChars="200"/>
      </w:pPr>
      <w:r>
        <w:rPr>
          <w:rFonts w:hint="eastAsia"/>
        </w:rPr>
        <w:t>备注：1. 每分项扣分最多不超过本分项标准分值。</w:t>
      </w:r>
    </w:p>
    <w:p w14:paraId="60958377">
      <w:pPr>
        <w:numPr>
          <w:ilvl w:val="0"/>
          <w:numId w:val="18"/>
        </w:numPr>
        <w:ind w:firstLine="1050" w:firstLineChars="500"/>
      </w:pPr>
      <w:r>
        <w:rPr>
          <w:rFonts w:hint="eastAsia"/>
        </w:rPr>
        <w:t>每月由业主项目部按《施工承包商现场过程评价细则》进行评分。</w:t>
      </w:r>
    </w:p>
    <w:p w14:paraId="49A71872"/>
    <w:p w14:paraId="3F9BE98C">
      <w:pPr>
        <w:rPr>
          <w:b/>
          <w:bCs/>
        </w:rPr>
      </w:pPr>
      <w:r>
        <w:rPr>
          <w:rFonts w:hint="eastAsia"/>
        </w:rPr>
        <w:t xml:space="preserve">施工项目经理（签名、盖章）                 年   月   日                   业主项目经理（签名）：           年   月   日         </w:t>
      </w:r>
    </w:p>
    <w:p w14:paraId="2B4400F5">
      <w:pPr>
        <w:jc w:val="center"/>
        <w:rPr>
          <w:b/>
          <w:bCs/>
        </w:rPr>
      </w:pPr>
    </w:p>
    <w:p w14:paraId="1D675CD5">
      <w:pPr>
        <w:spacing w:line="360" w:lineRule="auto"/>
        <w:jc w:val="center"/>
        <w:rPr>
          <w:b/>
          <w:sz w:val="32"/>
          <w:szCs w:val="32"/>
        </w:rPr>
        <w:sectPr>
          <w:pgSz w:w="16838" w:h="11906" w:orient="landscape"/>
          <w:pgMar w:top="1247" w:right="1701" w:bottom="1247" w:left="1560" w:header="851" w:footer="992" w:gutter="0"/>
          <w:cols w:space="0" w:num="1"/>
          <w:rtlGutter w:val="0"/>
          <w:docGrid w:type="lines" w:linePitch="313" w:charSpace="0"/>
        </w:sectPr>
      </w:pPr>
    </w:p>
    <w:p w14:paraId="5F0ED2EF">
      <w:pPr>
        <w:spacing w:line="360" w:lineRule="auto"/>
        <w:jc w:val="center"/>
        <w:outlineLvl w:val="0"/>
        <w:rPr>
          <w:b/>
          <w:sz w:val="32"/>
          <w:szCs w:val="32"/>
        </w:rPr>
      </w:pPr>
      <w:r>
        <w:rPr>
          <w:rFonts w:hint="eastAsia"/>
          <w:b/>
          <w:sz w:val="32"/>
          <w:szCs w:val="32"/>
        </w:rPr>
        <w:t>施工项目部现场履约总体评价加分表</w:t>
      </w:r>
    </w:p>
    <w:tbl>
      <w:tblPr>
        <w:tblStyle w:val="14"/>
        <w:tblW w:w="1406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57" w:type="dxa"/>
          <w:bottom w:w="0" w:type="dxa"/>
          <w:right w:w="57" w:type="dxa"/>
        </w:tblCellMar>
      </w:tblPr>
      <w:tblGrid>
        <w:gridCol w:w="631"/>
        <w:gridCol w:w="3396"/>
        <w:gridCol w:w="740"/>
        <w:gridCol w:w="6364"/>
        <w:gridCol w:w="1108"/>
        <w:gridCol w:w="1026"/>
        <w:gridCol w:w="799"/>
      </w:tblGrid>
      <w:tr w14:paraId="606797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517" w:hRule="atLeast"/>
          <w:tblHeader/>
        </w:trPr>
        <w:tc>
          <w:tcPr>
            <w:tcW w:w="631" w:type="dxa"/>
            <w:tcMar>
              <w:left w:w="28" w:type="dxa"/>
              <w:right w:w="28" w:type="dxa"/>
            </w:tcMar>
            <w:vAlign w:val="center"/>
          </w:tcPr>
          <w:p w14:paraId="2666DF0B">
            <w:pPr>
              <w:jc w:val="center"/>
              <w:rPr>
                <w:b/>
                <w:color w:val="000000"/>
                <w:szCs w:val="21"/>
              </w:rPr>
            </w:pPr>
            <w:r>
              <w:rPr>
                <w:rFonts w:hint="eastAsia"/>
                <w:b/>
                <w:color w:val="000000"/>
                <w:szCs w:val="21"/>
              </w:rPr>
              <w:t>序号</w:t>
            </w:r>
          </w:p>
        </w:tc>
        <w:tc>
          <w:tcPr>
            <w:tcW w:w="3396" w:type="dxa"/>
            <w:vAlign w:val="center"/>
          </w:tcPr>
          <w:p w14:paraId="636F39B5">
            <w:pPr>
              <w:jc w:val="center"/>
              <w:rPr>
                <w:b/>
                <w:color w:val="000000"/>
                <w:szCs w:val="21"/>
              </w:rPr>
            </w:pPr>
            <w:r>
              <w:rPr>
                <w:rFonts w:hint="eastAsia"/>
                <w:b/>
                <w:color w:val="000000"/>
                <w:szCs w:val="21"/>
              </w:rPr>
              <w:t>评价内容</w:t>
            </w:r>
          </w:p>
        </w:tc>
        <w:tc>
          <w:tcPr>
            <w:tcW w:w="740" w:type="dxa"/>
            <w:tcMar>
              <w:left w:w="28" w:type="dxa"/>
              <w:right w:w="28" w:type="dxa"/>
            </w:tcMar>
            <w:vAlign w:val="center"/>
          </w:tcPr>
          <w:p w14:paraId="20523C13">
            <w:pPr>
              <w:jc w:val="center"/>
              <w:rPr>
                <w:b/>
                <w:color w:val="000000"/>
                <w:szCs w:val="21"/>
              </w:rPr>
            </w:pPr>
            <w:r>
              <w:rPr>
                <w:rFonts w:hint="eastAsia"/>
                <w:b/>
                <w:color w:val="000000"/>
                <w:szCs w:val="21"/>
              </w:rPr>
              <w:t>标准分</w:t>
            </w:r>
          </w:p>
        </w:tc>
        <w:tc>
          <w:tcPr>
            <w:tcW w:w="6364" w:type="dxa"/>
            <w:vAlign w:val="center"/>
          </w:tcPr>
          <w:p w14:paraId="04C31D96">
            <w:pPr>
              <w:jc w:val="center"/>
              <w:rPr>
                <w:b/>
                <w:color w:val="000000"/>
                <w:szCs w:val="21"/>
              </w:rPr>
            </w:pPr>
            <w:r>
              <w:rPr>
                <w:rFonts w:hint="eastAsia"/>
                <w:b/>
                <w:color w:val="000000"/>
                <w:szCs w:val="21"/>
              </w:rPr>
              <w:t>扣分标准</w:t>
            </w:r>
          </w:p>
        </w:tc>
        <w:tc>
          <w:tcPr>
            <w:tcW w:w="1108" w:type="dxa"/>
            <w:tcMar>
              <w:left w:w="28" w:type="dxa"/>
              <w:right w:w="28" w:type="dxa"/>
            </w:tcMar>
            <w:vAlign w:val="center"/>
          </w:tcPr>
          <w:p w14:paraId="08BB30AB">
            <w:pPr>
              <w:jc w:val="center"/>
              <w:rPr>
                <w:b/>
                <w:color w:val="000000"/>
                <w:szCs w:val="21"/>
              </w:rPr>
            </w:pPr>
            <w:r>
              <w:rPr>
                <w:rFonts w:hint="eastAsia"/>
                <w:b/>
                <w:color w:val="000000"/>
                <w:szCs w:val="21"/>
              </w:rPr>
              <w:t>检查方法</w:t>
            </w:r>
          </w:p>
        </w:tc>
        <w:tc>
          <w:tcPr>
            <w:tcW w:w="1026" w:type="dxa"/>
            <w:vAlign w:val="center"/>
          </w:tcPr>
          <w:p w14:paraId="4F6FE66F">
            <w:pPr>
              <w:jc w:val="center"/>
              <w:rPr>
                <w:b/>
                <w:color w:val="000000"/>
                <w:szCs w:val="21"/>
              </w:rPr>
            </w:pPr>
            <w:r>
              <w:rPr>
                <w:rFonts w:hint="eastAsia"/>
                <w:b/>
                <w:color w:val="000000"/>
                <w:szCs w:val="21"/>
              </w:rPr>
              <w:t>责任部门</w:t>
            </w:r>
          </w:p>
        </w:tc>
        <w:tc>
          <w:tcPr>
            <w:tcW w:w="799" w:type="dxa"/>
            <w:vAlign w:val="center"/>
          </w:tcPr>
          <w:p w14:paraId="0FE12607">
            <w:pPr>
              <w:jc w:val="center"/>
              <w:rPr>
                <w:b/>
                <w:color w:val="000000"/>
                <w:szCs w:val="21"/>
              </w:rPr>
            </w:pPr>
            <w:r>
              <w:rPr>
                <w:rFonts w:hint="eastAsia"/>
                <w:b/>
                <w:color w:val="000000"/>
                <w:szCs w:val="21"/>
              </w:rPr>
              <w:t>得分</w:t>
            </w:r>
          </w:p>
        </w:tc>
      </w:tr>
      <w:tr w14:paraId="3BA177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155" w:hRule="atLeast"/>
          <w:tblHeader/>
        </w:trPr>
        <w:tc>
          <w:tcPr>
            <w:tcW w:w="631" w:type="dxa"/>
            <w:tcMar>
              <w:left w:w="28" w:type="dxa"/>
              <w:right w:w="28" w:type="dxa"/>
            </w:tcMar>
            <w:vAlign w:val="center"/>
          </w:tcPr>
          <w:p w14:paraId="39DE545B">
            <w:pPr>
              <w:jc w:val="center"/>
              <w:rPr>
                <w:color w:val="000000"/>
                <w:sz w:val="18"/>
                <w:szCs w:val="18"/>
              </w:rPr>
            </w:pPr>
            <w:r>
              <w:rPr>
                <w:rFonts w:hint="eastAsia"/>
                <w:color w:val="000000"/>
                <w:sz w:val="18"/>
                <w:szCs w:val="18"/>
              </w:rPr>
              <w:t>1</w:t>
            </w:r>
          </w:p>
        </w:tc>
        <w:tc>
          <w:tcPr>
            <w:tcW w:w="3396" w:type="dxa"/>
            <w:vAlign w:val="center"/>
          </w:tcPr>
          <w:p w14:paraId="2121ED81">
            <w:pPr>
              <w:rPr>
                <w:color w:val="000000"/>
                <w:sz w:val="18"/>
                <w:szCs w:val="18"/>
              </w:rPr>
            </w:pPr>
            <w:r>
              <w:rPr>
                <w:rFonts w:hint="eastAsia"/>
                <w:color w:val="000000"/>
                <w:sz w:val="18"/>
                <w:szCs w:val="18"/>
              </w:rPr>
              <w:t>获得建管单位或国家电网公司及以上通报表扬。</w:t>
            </w:r>
          </w:p>
        </w:tc>
        <w:tc>
          <w:tcPr>
            <w:tcW w:w="740" w:type="dxa"/>
            <w:tcMar>
              <w:left w:w="28" w:type="dxa"/>
              <w:right w:w="28" w:type="dxa"/>
            </w:tcMar>
            <w:vAlign w:val="center"/>
          </w:tcPr>
          <w:p w14:paraId="1E7CAFCF">
            <w:pPr>
              <w:jc w:val="center"/>
              <w:rPr>
                <w:color w:val="000000"/>
                <w:sz w:val="18"/>
                <w:szCs w:val="18"/>
              </w:rPr>
            </w:pPr>
            <w:r>
              <w:rPr>
                <w:rFonts w:hint="eastAsia"/>
                <w:color w:val="000000"/>
                <w:sz w:val="18"/>
                <w:szCs w:val="18"/>
              </w:rPr>
              <w:t>2</w:t>
            </w:r>
          </w:p>
        </w:tc>
        <w:tc>
          <w:tcPr>
            <w:tcW w:w="6364" w:type="dxa"/>
            <w:vAlign w:val="center"/>
          </w:tcPr>
          <w:p w14:paraId="2770C4BF">
            <w:pPr>
              <w:rPr>
                <w:color w:val="000000"/>
                <w:sz w:val="18"/>
                <w:szCs w:val="18"/>
              </w:rPr>
            </w:pPr>
            <w:r>
              <w:rPr>
                <w:rFonts w:hint="eastAsia"/>
                <w:color w:val="000000"/>
                <w:sz w:val="18"/>
                <w:szCs w:val="18"/>
              </w:rPr>
              <w:t>国网公司及以上发文表扬一次加1分；建设管理单位发文表扬一次加0.5分</w:t>
            </w:r>
          </w:p>
        </w:tc>
        <w:tc>
          <w:tcPr>
            <w:tcW w:w="1108" w:type="dxa"/>
            <w:tcMar>
              <w:left w:w="28" w:type="dxa"/>
              <w:right w:w="28" w:type="dxa"/>
            </w:tcMar>
            <w:vAlign w:val="center"/>
          </w:tcPr>
          <w:p w14:paraId="3DC62CF8">
            <w:pPr>
              <w:rPr>
                <w:color w:val="000000"/>
                <w:sz w:val="18"/>
                <w:szCs w:val="18"/>
              </w:rPr>
            </w:pPr>
            <w:r>
              <w:rPr>
                <w:rFonts w:hint="eastAsia"/>
                <w:color w:val="000000"/>
                <w:sz w:val="18"/>
                <w:szCs w:val="18"/>
              </w:rPr>
              <w:t>查记录</w:t>
            </w:r>
          </w:p>
        </w:tc>
        <w:tc>
          <w:tcPr>
            <w:tcW w:w="1026" w:type="dxa"/>
            <w:vAlign w:val="center"/>
          </w:tcPr>
          <w:p w14:paraId="71F23487">
            <w:pPr>
              <w:jc w:val="center"/>
              <w:rPr>
                <w:color w:val="000000"/>
                <w:sz w:val="18"/>
                <w:szCs w:val="18"/>
              </w:rPr>
            </w:pPr>
          </w:p>
        </w:tc>
        <w:tc>
          <w:tcPr>
            <w:tcW w:w="799" w:type="dxa"/>
            <w:vAlign w:val="center"/>
          </w:tcPr>
          <w:p w14:paraId="2078E6EA">
            <w:pPr>
              <w:jc w:val="center"/>
              <w:rPr>
                <w:color w:val="000000"/>
                <w:szCs w:val="21"/>
              </w:rPr>
            </w:pPr>
          </w:p>
        </w:tc>
      </w:tr>
      <w:tr w14:paraId="307EE1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899" w:hRule="atLeast"/>
          <w:tblHeader/>
        </w:trPr>
        <w:tc>
          <w:tcPr>
            <w:tcW w:w="631" w:type="dxa"/>
            <w:tcMar>
              <w:left w:w="28" w:type="dxa"/>
              <w:right w:w="28" w:type="dxa"/>
            </w:tcMar>
            <w:vAlign w:val="center"/>
          </w:tcPr>
          <w:p w14:paraId="3E86B008">
            <w:pPr>
              <w:jc w:val="center"/>
              <w:rPr>
                <w:color w:val="000000"/>
                <w:sz w:val="18"/>
                <w:szCs w:val="18"/>
              </w:rPr>
            </w:pPr>
            <w:r>
              <w:rPr>
                <w:rFonts w:hint="eastAsia"/>
                <w:color w:val="000000"/>
                <w:sz w:val="18"/>
                <w:szCs w:val="18"/>
              </w:rPr>
              <w:t>2</w:t>
            </w:r>
          </w:p>
        </w:tc>
        <w:tc>
          <w:tcPr>
            <w:tcW w:w="3396" w:type="dxa"/>
            <w:vAlign w:val="center"/>
          </w:tcPr>
          <w:p w14:paraId="225E6563">
            <w:pPr>
              <w:rPr>
                <w:color w:val="000000"/>
                <w:sz w:val="18"/>
                <w:szCs w:val="18"/>
              </w:rPr>
            </w:pPr>
            <w:r>
              <w:rPr>
                <w:rFonts w:hint="eastAsia"/>
                <w:color w:val="000000"/>
                <w:sz w:val="18"/>
                <w:szCs w:val="18"/>
              </w:rPr>
              <w:t>国家电网公司及以上级别科技进步奖</w:t>
            </w:r>
          </w:p>
        </w:tc>
        <w:tc>
          <w:tcPr>
            <w:tcW w:w="740" w:type="dxa"/>
            <w:tcMar>
              <w:left w:w="28" w:type="dxa"/>
              <w:right w:w="28" w:type="dxa"/>
            </w:tcMar>
            <w:vAlign w:val="center"/>
          </w:tcPr>
          <w:p w14:paraId="00FE01AB">
            <w:pPr>
              <w:jc w:val="center"/>
              <w:rPr>
                <w:color w:val="000000"/>
                <w:sz w:val="18"/>
                <w:szCs w:val="18"/>
              </w:rPr>
            </w:pPr>
            <w:r>
              <w:rPr>
                <w:rFonts w:hint="eastAsia"/>
                <w:color w:val="000000"/>
                <w:sz w:val="18"/>
                <w:szCs w:val="18"/>
              </w:rPr>
              <w:t>3</w:t>
            </w:r>
          </w:p>
        </w:tc>
        <w:tc>
          <w:tcPr>
            <w:tcW w:w="6364" w:type="dxa"/>
            <w:vAlign w:val="center"/>
          </w:tcPr>
          <w:p w14:paraId="60995415">
            <w:r>
              <w:rPr>
                <w:rFonts w:hint="eastAsia"/>
                <w:b/>
                <w:bCs/>
                <w:color w:val="000000"/>
                <w:sz w:val="18"/>
                <w:szCs w:val="18"/>
              </w:rPr>
              <w:t>一等奖及以上：</w:t>
            </w:r>
            <w:r>
              <w:rPr>
                <w:rFonts w:hint="eastAsia"/>
                <w:color w:val="000000"/>
                <w:sz w:val="18"/>
                <w:szCs w:val="18"/>
              </w:rPr>
              <w:t>建管单位为第一获奖单位的，每项加1分；建管单位为第二获奖单位的，每项加0.5分；</w:t>
            </w:r>
          </w:p>
          <w:p w14:paraId="2BA54374">
            <w:pPr>
              <w:rPr>
                <w:color w:val="000000"/>
                <w:sz w:val="18"/>
                <w:szCs w:val="18"/>
              </w:rPr>
            </w:pPr>
            <w:r>
              <w:rPr>
                <w:rFonts w:hint="eastAsia"/>
                <w:b/>
                <w:bCs/>
                <w:color w:val="000000"/>
                <w:sz w:val="18"/>
                <w:szCs w:val="18"/>
              </w:rPr>
              <w:t>二等奖及三等奖：</w:t>
            </w:r>
            <w:r>
              <w:rPr>
                <w:rFonts w:hint="eastAsia"/>
                <w:color w:val="000000"/>
                <w:sz w:val="18"/>
                <w:szCs w:val="18"/>
              </w:rPr>
              <w:t>建管单位为第一获奖单位的，每项加0.5分；建管单位为第二获奖单位的，每项加0.2分；</w:t>
            </w:r>
          </w:p>
        </w:tc>
        <w:tc>
          <w:tcPr>
            <w:tcW w:w="1108" w:type="dxa"/>
            <w:tcMar>
              <w:left w:w="28" w:type="dxa"/>
              <w:right w:w="28" w:type="dxa"/>
            </w:tcMar>
            <w:vAlign w:val="center"/>
          </w:tcPr>
          <w:p w14:paraId="54CE959D">
            <w:pPr>
              <w:rPr>
                <w:color w:val="000000"/>
                <w:sz w:val="18"/>
                <w:szCs w:val="18"/>
              </w:rPr>
            </w:pPr>
            <w:r>
              <w:rPr>
                <w:rFonts w:hint="eastAsia"/>
                <w:color w:val="000000"/>
                <w:sz w:val="18"/>
                <w:szCs w:val="18"/>
              </w:rPr>
              <w:t>查获奖证明</w:t>
            </w:r>
          </w:p>
        </w:tc>
        <w:tc>
          <w:tcPr>
            <w:tcW w:w="1026" w:type="dxa"/>
            <w:vAlign w:val="center"/>
          </w:tcPr>
          <w:p w14:paraId="155FBE48">
            <w:pPr>
              <w:jc w:val="center"/>
              <w:rPr>
                <w:color w:val="000000"/>
                <w:sz w:val="18"/>
                <w:szCs w:val="18"/>
              </w:rPr>
            </w:pPr>
          </w:p>
        </w:tc>
        <w:tc>
          <w:tcPr>
            <w:tcW w:w="799" w:type="dxa"/>
            <w:vAlign w:val="center"/>
          </w:tcPr>
          <w:p w14:paraId="145D558D">
            <w:pPr>
              <w:jc w:val="center"/>
              <w:rPr>
                <w:color w:val="000000"/>
                <w:szCs w:val="21"/>
              </w:rPr>
            </w:pPr>
          </w:p>
        </w:tc>
      </w:tr>
      <w:tr w14:paraId="2AD048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3" w:hRule="atLeast"/>
          <w:tblHeader/>
        </w:trPr>
        <w:tc>
          <w:tcPr>
            <w:tcW w:w="631" w:type="dxa"/>
            <w:tcMar>
              <w:left w:w="28" w:type="dxa"/>
              <w:right w:w="28" w:type="dxa"/>
            </w:tcMar>
            <w:vAlign w:val="center"/>
          </w:tcPr>
          <w:p w14:paraId="4B1BE511">
            <w:pPr>
              <w:jc w:val="center"/>
              <w:rPr>
                <w:color w:val="000000"/>
                <w:sz w:val="18"/>
                <w:szCs w:val="18"/>
              </w:rPr>
            </w:pPr>
            <w:r>
              <w:rPr>
                <w:rFonts w:hint="eastAsia"/>
                <w:color w:val="000000"/>
                <w:sz w:val="18"/>
                <w:szCs w:val="18"/>
              </w:rPr>
              <w:t>3</w:t>
            </w:r>
          </w:p>
        </w:tc>
        <w:tc>
          <w:tcPr>
            <w:tcW w:w="3396" w:type="dxa"/>
            <w:vAlign w:val="center"/>
          </w:tcPr>
          <w:p w14:paraId="6E549782">
            <w:pPr>
              <w:rPr>
                <w:color w:val="000000"/>
                <w:sz w:val="18"/>
                <w:szCs w:val="18"/>
              </w:rPr>
            </w:pPr>
            <w:r>
              <w:rPr>
                <w:rFonts w:hint="eastAsia"/>
                <w:color w:val="000000"/>
                <w:sz w:val="18"/>
                <w:szCs w:val="18"/>
              </w:rPr>
              <w:t>专利</w:t>
            </w:r>
          </w:p>
        </w:tc>
        <w:tc>
          <w:tcPr>
            <w:tcW w:w="740" w:type="dxa"/>
            <w:tcMar>
              <w:left w:w="28" w:type="dxa"/>
              <w:right w:w="28" w:type="dxa"/>
            </w:tcMar>
            <w:vAlign w:val="center"/>
          </w:tcPr>
          <w:p w14:paraId="014529A6">
            <w:pPr>
              <w:jc w:val="center"/>
              <w:rPr>
                <w:color w:val="000000"/>
                <w:sz w:val="18"/>
                <w:szCs w:val="18"/>
              </w:rPr>
            </w:pPr>
            <w:r>
              <w:rPr>
                <w:rFonts w:hint="eastAsia"/>
                <w:color w:val="000000"/>
                <w:sz w:val="18"/>
                <w:szCs w:val="18"/>
              </w:rPr>
              <w:t>2</w:t>
            </w:r>
          </w:p>
        </w:tc>
        <w:tc>
          <w:tcPr>
            <w:tcW w:w="6364" w:type="dxa"/>
            <w:vAlign w:val="center"/>
          </w:tcPr>
          <w:p w14:paraId="3B47CA8E">
            <w:pPr>
              <w:rPr>
                <w:color w:val="000000"/>
                <w:sz w:val="18"/>
                <w:szCs w:val="18"/>
              </w:rPr>
            </w:pPr>
            <w:r>
              <w:rPr>
                <w:rFonts w:hint="eastAsia"/>
                <w:color w:val="000000"/>
                <w:sz w:val="18"/>
                <w:szCs w:val="18"/>
              </w:rPr>
              <w:t>建管单位为第一单位或第二单位的，发明专利每项加1分，满分2分；实用新型等专利每项加0.2分，满分1分。发明及实用新型等专利满分共2分，累计加满2分为止。</w:t>
            </w:r>
          </w:p>
        </w:tc>
        <w:tc>
          <w:tcPr>
            <w:tcW w:w="1108" w:type="dxa"/>
            <w:tcMar>
              <w:left w:w="28" w:type="dxa"/>
              <w:right w:w="28" w:type="dxa"/>
            </w:tcMar>
            <w:vAlign w:val="center"/>
          </w:tcPr>
          <w:p w14:paraId="4669AC38">
            <w:pPr>
              <w:rPr>
                <w:color w:val="000000"/>
                <w:sz w:val="18"/>
                <w:szCs w:val="18"/>
              </w:rPr>
            </w:pPr>
            <w:r>
              <w:rPr>
                <w:rFonts w:hint="eastAsia"/>
                <w:color w:val="000000"/>
                <w:sz w:val="18"/>
                <w:szCs w:val="18"/>
              </w:rPr>
              <w:t>查专利证书</w:t>
            </w:r>
          </w:p>
        </w:tc>
        <w:tc>
          <w:tcPr>
            <w:tcW w:w="1026" w:type="dxa"/>
            <w:vAlign w:val="center"/>
          </w:tcPr>
          <w:p w14:paraId="50082C3D">
            <w:pPr>
              <w:jc w:val="center"/>
              <w:rPr>
                <w:color w:val="000000"/>
                <w:sz w:val="18"/>
                <w:szCs w:val="18"/>
              </w:rPr>
            </w:pPr>
          </w:p>
        </w:tc>
        <w:tc>
          <w:tcPr>
            <w:tcW w:w="799" w:type="dxa"/>
            <w:vAlign w:val="center"/>
          </w:tcPr>
          <w:p w14:paraId="2AF9EA57">
            <w:pPr>
              <w:jc w:val="center"/>
              <w:rPr>
                <w:color w:val="000000"/>
                <w:szCs w:val="21"/>
              </w:rPr>
            </w:pPr>
          </w:p>
        </w:tc>
      </w:tr>
      <w:tr w14:paraId="4086E9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623" w:hRule="atLeast"/>
          <w:tblHeader/>
        </w:trPr>
        <w:tc>
          <w:tcPr>
            <w:tcW w:w="631" w:type="dxa"/>
            <w:tcMar>
              <w:left w:w="28" w:type="dxa"/>
              <w:right w:w="28" w:type="dxa"/>
            </w:tcMar>
            <w:vAlign w:val="center"/>
          </w:tcPr>
          <w:p w14:paraId="206F4451">
            <w:pPr>
              <w:jc w:val="center"/>
              <w:rPr>
                <w:color w:val="000000"/>
                <w:sz w:val="18"/>
                <w:szCs w:val="18"/>
              </w:rPr>
            </w:pPr>
            <w:r>
              <w:rPr>
                <w:rFonts w:hint="eastAsia"/>
                <w:color w:val="000000"/>
                <w:sz w:val="18"/>
                <w:szCs w:val="18"/>
              </w:rPr>
              <w:t>4</w:t>
            </w:r>
          </w:p>
        </w:tc>
        <w:tc>
          <w:tcPr>
            <w:tcW w:w="3396" w:type="dxa"/>
            <w:vAlign w:val="center"/>
          </w:tcPr>
          <w:p w14:paraId="63FC1FDF">
            <w:pPr>
              <w:rPr>
                <w:color w:val="000000"/>
                <w:sz w:val="18"/>
                <w:szCs w:val="18"/>
              </w:rPr>
            </w:pPr>
            <w:r>
              <w:rPr>
                <w:rFonts w:hint="eastAsia"/>
                <w:color w:val="000000"/>
                <w:sz w:val="18"/>
                <w:szCs w:val="18"/>
              </w:rPr>
              <w:t>电力建设工法</w:t>
            </w:r>
          </w:p>
        </w:tc>
        <w:tc>
          <w:tcPr>
            <w:tcW w:w="740" w:type="dxa"/>
            <w:tcMar>
              <w:left w:w="28" w:type="dxa"/>
              <w:right w:w="28" w:type="dxa"/>
            </w:tcMar>
            <w:vAlign w:val="center"/>
          </w:tcPr>
          <w:p w14:paraId="56510F6C">
            <w:pPr>
              <w:jc w:val="center"/>
              <w:rPr>
                <w:color w:val="000000"/>
                <w:sz w:val="18"/>
                <w:szCs w:val="18"/>
              </w:rPr>
            </w:pPr>
            <w:r>
              <w:rPr>
                <w:rFonts w:hint="eastAsia"/>
                <w:color w:val="000000"/>
                <w:sz w:val="18"/>
                <w:szCs w:val="18"/>
              </w:rPr>
              <w:t>2</w:t>
            </w:r>
          </w:p>
        </w:tc>
        <w:tc>
          <w:tcPr>
            <w:tcW w:w="6364" w:type="dxa"/>
            <w:vAlign w:val="center"/>
          </w:tcPr>
          <w:p w14:paraId="14E53D4B">
            <w:pPr>
              <w:rPr>
                <w:color w:val="000000"/>
                <w:sz w:val="18"/>
                <w:szCs w:val="18"/>
              </w:rPr>
            </w:pPr>
            <w:r>
              <w:rPr>
                <w:rFonts w:hint="eastAsia"/>
                <w:b/>
                <w:bCs/>
                <w:color w:val="000000"/>
                <w:sz w:val="18"/>
                <w:szCs w:val="18"/>
              </w:rPr>
              <w:t>省部级及以上：</w:t>
            </w:r>
            <w:r>
              <w:rPr>
                <w:rFonts w:hint="eastAsia"/>
                <w:color w:val="000000"/>
                <w:sz w:val="18"/>
                <w:szCs w:val="18"/>
              </w:rPr>
              <w:t>建管单位为第一单位的，每项加1分；建管单位为第二单位的，每项加0.5分。</w:t>
            </w:r>
          </w:p>
        </w:tc>
        <w:tc>
          <w:tcPr>
            <w:tcW w:w="1108" w:type="dxa"/>
            <w:tcMar>
              <w:left w:w="28" w:type="dxa"/>
              <w:right w:w="28" w:type="dxa"/>
            </w:tcMar>
            <w:vAlign w:val="center"/>
          </w:tcPr>
          <w:p w14:paraId="4F14A9DE">
            <w:pPr>
              <w:rPr>
                <w:color w:val="000000"/>
                <w:sz w:val="18"/>
                <w:szCs w:val="18"/>
              </w:rPr>
            </w:pPr>
            <w:r>
              <w:rPr>
                <w:rFonts w:hint="eastAsia"/>
                <w:color w:val="000000"/>
                <w:sz w:val="18"/>
                <w:szCs w:val="18"/>
              </w:rPr>
              <w:t>查相关证明</w:t>
            </w:r>
          </w:p>
        </w:tc>
        <w:tc>
          <w:tcPr>
            <w:tcW w:w="1026" w:type="dxa"/>
            <w:vAlign w:val="center"/>
          </w:tcPr>
          <w:p w14:paraId="1E98B617">
            <w:pPr>
              <w:jc w:val="center"/>
              <w:rPr>
                <w:color w:val="000000"/>
                <w:sz w:val="18"/>
                <w:szCs w:val="18"/>
              </w:rPr>
            </w:pPr>
          </w:p>
        </w:tc>
        <w:tc>
          <w:tcPr>
            <w:tcW w:w="799" w:type="dxa"/>
            <w:vAlign w:val="center"/>
          </w:tcPr>
          <w:p w14:paraId="387B4123">
            <w:pPr>
              <w:jc w:val="center"/>
              <w:rPr>
                <w:color w:val="000000"/>
                <w:szCs w:val="21"/>
              </w:rPr>
            </w:pPr>
          </w:p>
        </w:tc>
      </w:tr>
      <w:tr w14:paraId="605B10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90" w:hRule="atLeast"/>
          <w:tblHeader/>
        </w:trPr>
        <w:tc>
          <w:tcPr>
            <w:tcW w:w="631" w:type="dxa"/>
            <w:tcMar>
              <w:left w:w="28" w:type="dxa"/>
              <w:right w:w="28" w:type="dxa"/>
            </w:tcMar>
            <w:vAlign w:val="center"/>
          </w:tcPr>
          <w:p w14:paraId="163F013E">
            <w:pPr>
              <w:jc w:val="center"/>
              <w:rPr>
                <w:color w:val="000000"/>
                <w:sz w:val="18"/>
                <w:szCs w:val="18"/>
              </w:rPr>
            </w:pPr>
            <w:r>
              <w:rPr>
                <w:rFonts w:hint="eastAsia"/>
                <w:color w:val="000000"/>
                <w:sz w:val="18"/>
                <w:szCs w:val="18"/>
              </w:rPr>
              <w:t>5</w:t>
            </w:r>
          </w:p>
        </w:tc>
        <w:tc>
          <w:tcPr>
            <w:tcW w:w="3396" w:type="dxa"/>
            <w:vAlign w:val="center"/>
          </w:tcPr>
          <w:p w14:paraId="719DA2CD">
            <w:pPr>
              <w:rPr>
                <w:color w:val="000000"/>
                <w:sz w:val="18"/>
                <w:szCs w:val="18"/>
              </w:rPr>
            </w:pPr>
            <w:r>
              <w:rPr>
                <w:rFonts w:hint="eastAsia"/>
                <w:color w:val="000000"/>
                <w:sz w:val="18"/>
                <w:szCs w:val="18"/>
              </w:rPr>
              <w:t>电力建设优秀质量管理（QC）小组成果奖</w:t>
            </w:r>
          </w:p>
        </w:tc>
        <w:tc>
          <w:tcPr>
            <w:tcW w:w="740" w:type="dxa"/>
            <w:tcMar>
              <w:left w:w="28" w:type="dxa"/>
              <w:right w:w="28" w:type="dxa"/>
            </w:tcMar>
            <w:vAlign w:val="center"/>
          </w:tcPr>
          <w:p w14:paraId="31187DF0">
            <w:pPr>
              <w:jc w:val="center"/>
              <w:rPr>
                <w:color w:val="000000"/>
                <w:sz w:val="18"/>
                <w:szCs w:val="18"/>
              </w:rPr>
            </w:pPr>
            <w:r>
              <w:rPr>
                <w:rFonts w:hint="eastAsia"/>
                <w:color w:val="000000"/>
                <w:sz w:val="18"/>
                <w:szCs w:val="18"/>
              </w:rPr>
              <w:t>1</w:t>
            </w:r>
          </w:p>
        </w:tc>
        <w:tc>
          <w:tcPr>
            <w:tcW w:w="6364" w:type="dxa"/>
            <w:vAlign w:val="center"/>
          </w:tcPr>
          <w:p w14:paraId="4BE383F5">
            <w:r>
              <w:rPr>
                <w:rFonts w:hint="eastAsia"/>
                <w:b/>
                <w:bCs/>
                <w:color w:val="000000"/>
                <w:sz w:val="18"/>
                <w:szCs w:val="18"/>
              </w:rPr>
              <w:t>一等成果及以上：</w:t>
            </w:r>
            <w:r>
              <w:rPr>
                <w:rFonts w:hint="eastAsia"/>
                <w:color w:val="000000"/>
                <w:sz w:val="18"/>
                <w:szCs w:val="18"/>
              </w:rPr>
              <w:t>建管单位为第一单位的，每项加0.5分；建管单位为第二单位的，每项加0.2分；</w:t>
            </w:r>
            <w:r>
              <w:rPr>
                <w:rFonts w:hint="eastAsia"/>
                <w:b/>
                <w:bCs/>
                <w:color w:val="000000"/>
                <w:sz w:val="18"/>
                <w:szCs w:val="18"/>
              </w:rPr>
              <w:t>二等及三等成果：建管单位为</w:t>
            </w:r>
            <w:r>
              <w:rPr>
                <w:rFonts w:hint="eastAsia"/>
                <w:color w:val="000000"/>
                <w:sz w:val="18"/>
                <w:szCs w:val="18"/>
              </w:rPr>
              <w:t>第一单位的，每项加0.2分；建管单位为第二单位的，每项加0.1分；</w:t>
            </w:r>
          </w:p>
        </w:tc>
        <w:tc>
          <w:tcPr>
            <w:tcW w:w="1108" w:type="dxa"/>
            <w:tcMar>
              <w:left w:w="28" w:type="dxa"/>
              <w:right w:w="28" w:type="dxa"/>
            </w:tcMar>
            <w:vAlign w:val="center"/>
          </w:tcPr>
          <w:p w14:paraId="28035E71">
            <w:pPr>
              <w:rPr>
                <w:color w:val="000000"/>
                <w:sz w:val="18"/>
                <w:szCs w:val="18"/>
              </w:rPr>
            </w:pPr>
            <w:r>
              <w:rPr>
                <w:rFonts w:hint="eastAsia"/>
                <w:color w:val="000000"/>
                <w:sz w:val="18"/>
                <w:szCs w:val="18"/>
              </w:rPr>
              <w:t>查获奖证明</w:t>
            </w:r>
          </w:p>
        </w:tc>
        <w:tc>
          <w:tcPr>
            <w:tcW w:w="1026" w:type="dxa"/>
            <w:vAlign w:val="center"/>
          </w:tcPr>
          <w:p w14:paraId="19EA93D5">
            <w:pPr>
              <w:jc w:val="center"/>
              <w:rPr>
                <w:color w:val="000000"/>
                <w:sz w:val="18"/>
                <w:szCs w:val="18"/>
              </w:rPr>
            </w:pPr>
          </w:p>
        </w:tc>
        <w:tc>
          <w:tcPr>
            <w:tcW w:w="799" w:type="dxa"/>
            <w:vAlign w:val="center"/>
          </w:tcPr>
          <w:p w14:paraId="09EEFFF2">
            <w:pPr>
              <w:jc w:val="center"/>
              <w:rPr>
                <w:color w:val="000000"/>
                <w:szCs w:val="21"/>
              </w:rPr>
            </w:pPr>
          </w:p>
        </w:tc>
      </w:tr>
      <w:tr w14:paraId="2A6DB5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57" w:type="dxa"/>
            <w:bottom w:w="0" w:type="dxa"/>
            <w:right w:w="57" w:type="dxa"/>
          </w:tblCellMar>
        </w:tblPrEx>
        <w:trPr>
          <w:trHeight w:val="398" w:hRule="atLeast"/>
          <w:tblHeader/>
        </w:trPr>
        <w:tc>
          <w:tcPr>
            <w:tcW w:w="12239" w:type="dxa"/>
            <w:gridSpan w:val="5"/>
            <w:tcMar>
              <w:left w:w="28" w:type="dxa"/>
              <w:right w:w="28" w:type="dxa"/>
            </w:tcMar>
            <w:vAlign w:val="center"/>
          </w:tcPr>
          <w:p w14:paraId="553F36CA">
            <w:pPr>
              <w:jc w:val="center"/>
              <w:rPr>
                <w:color w:val="000000"/>
                <w:szCs w:val="21"/>
              </w:rPr>
            </w:pPr>
            <w:r>
              <w:rPr>
                <w:rFonts w:hint="eastAsia"/>
                <w:b/>
                <w:color w:val="000000"/>
                <w:szCs w:val="21"/>
              </w:rPr>
              <w:t>总体评价加分</w:t>
            </w:r>
          </w:p>
        </w:tc>
        <w:tc>
          <w:tcPr>
            <w:tcW w:w="1026" w:type="dxa"/>
            <w:vAlign w:val="center"/>
          </w:tcPr>
          <w:p w14:paraId="76F6468B">
            <w:pPr>
              <w:jc w:val="center"/>
              <w:rPr>
                <w:color w:val="000000"/>
                <w:szCs w:val="21"/>
              </w:rPr>
            </w:pPr>
          </w:p>
        </w:tc>
        <w:tc>
          <w:tcPr>
            <w:tcW w:w="799" w:type="dxa"/>
            <w:vAlign w:val="center"/>
          </w:tcPr>
          <w:p w14:paraId="227BECC7">
            <w:pPr>
              <w:jc w:val="center"/>
              <w:rPr>
                <w:color w:val="000000"/>
                <w:szCs w:val="21"/>
              </w:rPr>
            </w:pPr>
          </w:p>
        </w:tc>
      </w:tr>
    </w:tbl>
    <w:p w14:paraId="69F72CD9">
      <w:pPr>
        <w:pStyle w:val="2"/>
        <w:ind w:left="540" w:hanging="540" w:hangingChars="300"/>
        <w:rPr>
          <w:rFonts w:ascii="仿宋" w:hAnsi="仿宋" w:eastAsia="仿宋" w:cs="仿宋"/>
        </w:rPr>
      </w:pPr>
      <w:r>
        <w:rPr>
          <w:rFonts w:hint="eastAsia" w:ascii="仿宋" w:hAnsi="仿宋" w:eastAsia="仿宋" w:cs="仿宋"/>
        </w:rPr>
        <w:t>备注：1.以上各加分项的加分期限为工程开工至整体工程试运行结束后一个月内。凡是在该时段内取得的上述加分项最终证明文件（如表扬信、专利证书、科技进步奖、工法、QC成果证书/文件）才给予计分，超出时段取得的加分项证明文件不予计分。</w:t>
      </w:r>
    </w:p>
    <w:p w14:paraId="02F96245">
      <w:pPr>
        <w:pStyle w:val="2"/>
        <w:ind w:left="535" w:leftChars="255"/>
        <w:rPr>
          <w:rFonts w:ascii="仿宋" w:hAnsi="仿宋" w:eastAsia="仿宋" w:cs="仿宋"/>
        </w:rPr>
      </w:pPr>
      <w:r>
        <w:rPr>
          <w:rFonts w:hint="eastAsia" w:ascii="仿宋" w:hAnsi="仿宋" w:eastAsia="仿宋" w:cs="仿宋"/>
        </w:rPr>
        <w:t>2.表扬信中的表扬对象</w:t>
      </w:r>
      <w:r>
        <w:rPr>
          <w:rFonts w:hint="eastAsia" w:ascii="仿宋" w:hAnsi="仿宋" w:eastAsia="仿宋" w:cs="仿宋"/>
          <w:lang w:val="en-US"/>
        </w:rPr>
        <w:t>及表扬</w:t>
      </w:r>
      <w:r>
        <w:rPr>
          <w:rFonts w:hint="eastAsia" w:ascii="仿宋" w:hAnsi="仿宋" w:eastAsia="仿宋" w:cs="仿宋"/>
        </w:rPr>
        <w:t>内容，未涉及本工程施工项目部</w:t>
      </w:r>
      <w:r>
        <w:rPr>
          <w:rFonts w:hint="eastAsia" w:ascii="仿宋" w:hAnsi="仿宋" w:eastAsia="仿宋" w:cs="仿宋"/>
          <w:lang w:val="en-US"/>
        </w:rPr>
        <w:t>及其</w:t>
      </w:r>
      <w:r>
        <w:rPr>
          <w:rFonts w:hint="eastAsia" w:ascii="仿宋" w:hAnsi="仿宋" w:eastAsia="仿宋" w:cs="仿宋"/>
        </w:rPr>
        <w:t>施工内容的不予计分。</w:t>
      </w:r>
    </w:p>
    <w:p w14:paraId="22431170">
      <w:pPr>
        <w:pStyle w:val="2"/>
        <w:ind w:firstLine="540" w:firstLineChars="300"/>
        <w:rPr>
          <w:rFonts w:ascii="仿宋" w:hAnsi="仿宋" w:eastAsia="仿宋" w:cs="仿宋"/>
        </w:rPr>
      </w:pPr>
      <w:r>
        <w:rPr>
          <w:rFonts w:hint="eastAsia" w:ascii="仿宋" w:hAnsi="仿宋" w:eastAsia="仿宋" w:cs="仿宋"/>
        </w:rPr>
        <w:t>3.科技进步奖、专利、工法、QC成果的参与单位中，无</w:t>
      </w:r>
      <w:r>
        <w:rPr>
          <w:rFonts w:hint="eastAsia" w:ascii="仿宋" w:hAnsi="仿宋" w:eastAsia="仿宋" w:cs="仿宋"/>
          <w:lang w:val="en-US"/>
        </w:rPr>
        <w:t>建设管理单位</w:t>
      </w:r>
      <w:r>
        <w:rPr>
          <w:rFonts w:hint="eastAsia" w:ascii="仿宋" w:hAnsi="仿宋" w:eastAsia="仿宋" w:cs="仿宋"/>
        </w:rPr>
        <w:t>的不予计分，无申请加分的施工单位的不予计分。</w:t>
      </w:r>
    </w:p>
    <w:p w14:paraId="6CA53327">
      <w:pPr>
        <w:pStyle w:val="2"/>
        <w:ind w:left="535" w:leftChars="255"/>
        <w:rPr>
          <w:rFonts w:ascii="仿宋" w:hAnsi="仿宋" w:eastAsia="仿宋" w:cs="仿宋"/>
        </w:rPr>
      </w:pPr>
      <w:r>
        <w:rPr>
          <w:rFonts w:hint="eastAsia" w:ascii="仿宋" w:hAnsi="仿宋" w:eastAsia="仿宋" w:cs="仿宋"/>
        </w:rPr>
        <w:t>4.科技进步奖、专利、工法、QC成果的参与人员名单中，</w:t>
      </w:r>
      <w:bookmarkStart w:id="2" w:name="OLE_LINK1"/>
      <w:r>
        <w:rPr>
          <w:rFonts w:hint="eastAsia" w:ascii="仿宋" w:hAnsi="仿宋" w:eastAsia="仿宋" w:cs="仿宋"/>
        </w:rPr>
        <w:t>无</w:t>
      </w:r>
      <w:r>
        <w:rPr>
          <w:rFonts w:hint="eastAsia" w:ascii="仿宋" w:hAnsi="仿宋" w:eastAsia="仿宋" w:cs="仿宋"/>
          <w:lang w:val="en-US"/>
        </w:rPr>
        <w:t>建设管理单位</w:t>
      </w:r>
      <w:r>
        <w:rPr>
          <w:rFonts w:hint="eastAsia" w:ascii="仿宋" w:hAnsi="仿宋" w:eastAsia="仿宋" w:cs="仿宋"/>
        </w:rPr>
        <w:t>相关人员的不予计分，</w:t>
      </w:r>
      <w:bookmarkEnd w:id="2"/>
      <w:r>
        <w:rPr>
          <w:rFonts w:hint="eastAsia" w:ascii="仿宋" w:hAnsi="仿宋" w:eastAsia="仿宋" w:cs="仿宋"/>
        </w:rPr>
        <w:t>无本工程施工项目部人员(以施工项目部成立的红头文件为准)的不予计分。</w:t>
      </w:r>
    </w:p>
    <w:p w14:paraId="65288DFD">
      <w:pPr>
        <w:pStyle w:val="2"/>
        <w:ind w:left="535" w:leftChars="255"/>
        <w:rPr>
          <w:rFonts w:ascii="仿宋" w:hAnsi="仿宋" w:eastAsia="仿宋" w:cs="仿宋"/>
          <w:lang w:val="en-US"/>
        </w:rPr>
      </w:pPr>
      <w:r>
        <w:rPr>
          <w:rFonts w:hint="eastAsia" w:ascii="仿宋" w:hAnsi="仿宋" w:eastAsia="仿宋" w:cs="仿宋"/>
        </w:rPr>
        <w:t>5.科技进步奖、工法、QC成果</w:t>
      </w:r>
      <w:r>
        <w:rPr>
          <w:rFonts w:hint="eastAsia" w:ascii="仿宋" w:hAnsi="仿宋" w:eastAsia="仿宋" w:cs="仿宋"/>
          <w:lang w:val="en-US"/>
        </w:rPr>
        <w:t>单位排名</w:t>
      </w:r>
      <w:r>
        <w:rPr>
          <w:rFonts w:hint="eastAsia" w:ascii="仿宋" w:hAnsi="仿宋" w:eastAsia="仿宋" w:cs="仿宋"/>
        </w:rPr>
        <w:t>中，</w:t>
      </w:r>
      <w:r>
        <w:rPr>
          <w:rFonts w:hint="eastAsia" w:ascii="仿宋" w:hAnsi="仿宋" w:eastAsia="仿宋" w:cs="仿宋"/>
          <w:lang w:val="en-US"/>
        </w:rPr>
        <w:t>将建设管理单位作为</w:t>
      </w:r>
      <w:r>
        <w:rPr>
          <w:rFonts w:hint="eastAsia" w:ascii="仿宋" w:hAnsi="仿宋" w:eastAsia="仿宋" w:cs="仿宋"/>
        </w:rPr>
        <w:t>第一或第二单位</w:t>
      </w:r>
      <w:r>
        <w:rPr>
          <w:rFonts w:hint="eastAsia" w:ascii="仿宋" w:hAnsi="仿宋" w:eastAsia="仿宋" w:cs="仿宋"/>
          <w:lang w:val="en-US"/>
        </w:rPr>
        <w:t>的</w:t>
      </w:r>
      <w:r>
        <w:rPr>
          <w:rFonts w:hint="eastAsia" w:ascii="仿宋" w:hAnsi="仿宋" w:eastAsia="仿宋" w:cs="仿宋"/>
        </w:rPr>
        <w:t>给予对应计分，</w:t>
      </w:r>
      <w:r>
        <w:rPr>
          <w:rFonts w:hint="eastAsia" w:ascii="仿宋" w:hAnsi="仿宋" w:eastAsia="仿宋" w:cs="仿宋"/>
          <w:lang w:val="en-US"/>
        </w:rPr>
        <w:t>将建设管理单位作为</w:t>
      </w:r>
      <w:r>
        <w:rPr>
          <w:rFonts w:hint="eastAsia" w:ascii="仿宋" w:hAnsi="仿宋" w:eastAsia="仿宋" w:cs="仿宋"/>
        </w:rPr>
        <w:t>第三及以下</w:t>
      </w:r>
      <w:r>
        <w:rPr>
          <w:rFonts w:hint="eastAsia" w:ascii="仿宋" w:hAnsi="仿宋" w:eastAsia="仿宋" w:cs="仿宋"/>
          <w:lang w:val="en-US"/>
        </w:rPr>
        <w:t>单位的</w:t>
      </w:r>
      <w:r>
        <w:rPr>
          <w:rFonts w:hint="eastAsia" w:ascii="仿宋" w:hAnsi="仿宋" w:eastAsia="仿宋" w:cs="仿宋"/>
        </w:rPr>
        <w:t>不予计分。</w:t>
      </w:r>
    </w:p>
    <w:p w14:paraId="1208E66F">
      <w:pPr>
        <w:rPr>
          <w:rFonts w:ascii="方正仿宋_GBK" w:hAnsi="方正仿宋_GBK" w:eastAsia="方正仿宋_GBK" w:cs="方正仿宋_GBK"/>
          <w:sz w:val="18"/>
          <w:szCs w:val="18"/>
        </w:rPr>
      </w:pPr>
    </w:p>
    <w:p w14:paraId="615C6AEE">
      <w:pPr>
        <w:pStyle w:val="2"/>
        <w:rPr>
          <w:rFonts w:ascii="方正仿宋_GBK" w:hAnsi="方正仿宋_GBK" w:eastAsia="方正仿宋_GBK" w:cs="方正仿宋_GBK"/>
        </w:rPr>
      </w:pPr>
    </w:p>
    <w:p w14:paraId="54E20017">
      <w:pPr>
        <w:widowControl/>
        <w:jc w:val="left"/>
        <w:rPr>
          <w:rFonts w:ascii="方正仿宋_GBK" w:hAnsi="方正仿宋_GBK" w:eastAsia="方正仿宋_GBK" w:cs="方正仿宋_GBK"/>
          <w:sz w:val="18"/>
          <w:szCs w:val="18"/>
        </w:rPr>
      </w:pPr>
    </w:p>
    <w:p w14:paraId="15BF8E9E">
      <w:pPr>
        <w:rPr>
          <w:rFonts w:ascii="方正仿宋_GBK" w:hAnsi="方正仿宋_GBK" w:eastAsia="方正仿宋_GBK" w:cs="方正仿宋_GBK"/>
          <w:sz w:val="18"/>
          <w:szCs w:val="18"/>
        </w:rPr>
      </w:pPr>
    </w:p>
    <w:p w14:paraId="2D5FF846">
      <w:pPr>
        <w:pStyle w:val="19"/>
        <w:jc w:val="both"/>
        <w:rPr>
          <w:rFonts w:hint="default" w:eastAsia="宋体"/>
          <w:lang w:val="en-US" w:eastAsia="zh-CN"/>
        </w:rPr>
      </w:pPr>
    </w:p>
    <w:sectPr>
      <w:pgSz w:w="16838" w:h="11906" w:orient="landscape"/>
      <w:pgMar w:top="1247" w:right="1701" w:bottom="1247" w:left="1560" w:header="851" w:footer="992" w:gutter="0"/>
      <w:cols w:space="0" w:num="1"/>
      <w:rtlGutter w:val="0"/>
      <w:docGrid w:type="lines" w:linePitch="31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DCCEF84-08B6-4A8B-81B4-5A7F32F574E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2" w:fontKey="{F70317E1-048B-4618-A8D2-B61D0E7BA3D6}"/>
  </w:font>
  <w:font w:name="方正黑体_GBK">
    <w:panose1 w:val="03000509000000000000"/>
    <w:charset w:val="86"/>
    <w:family w:val="auto"/>
    <w:pitch w:val="default"/>
    <w:sig w:usb0="00000001" w:usb1="080E0000" w:usb2="00000000" w:usb3="00000000" w:csb0="00040000" w:csb1="00000000"/>
    <w:embedRegular r:id="rId3" w:fontKey="{685EE0D8-9E58-4030-8C59-2EDCA8F4D5F5}"/>
  </w:font>
  <w:font w:name="方正楷体_GBK">
    <w:panose1 w:val="03000509000000000000"/>
    <w:charset w:val="86"/>
    <w:family w:val="script"/>
    <w:pitch w:val="default"/>
    <w:sig w:usb0="00000001" w:usb1="080E0000" w:usb2="00000000" w:usb3="00000000" w:csb0="00040000" w:csb1="00000000"/>
    <w:embedRegular r:id="rId4" w:fontKey="{CE2FD510-8D32-4382-87DB-3C8B8CE2F4B8}"/>
  </w:font>
  <w:font w:name="方正仿宋_GBK">
    <w:panose1 w:val="03000509000000000000"/>
    <w:charset w:val="86"/>
    <w:family w:val="auto"/>
    <w:pitch w:val="default"/>
    <w:sig w:usb0="00000001" w:usb1="080E0000" w:usb2="00000000" w:usb3="00000000" w:csb0="00040000" w:csb1="00000000"/>
    <w:embedRegular r:id="rId5" w:fontKey="{A4533025-B534-4C1E-B804-F128A784360F}"/>
  </w:font>
  <w:font w:name="仿宋_GB2312">
    <w:panose1 w:val="02010609030101010101"/>
    <w:charset w:val="86"/>
    <w:family w:val="modern"/>
    <w:pitch w:val="default"/>
    <w:sig w:usb0="00000001" w:usb1="080E0000" w:usb2="00000000" w:usb3="00000000" w:csb0="00040000" w:csb1="00000000"/>
    <w:embedRegular r:id="rId6" w:fontKey="{1DEB115F-DE32-46E2-A365-9623A5DD0E1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731CB">
    <w:pPr>
      <w:pStyle w:val="51"/>
      <w:jc w:val="center"/>
      <w:rPr>
        <w:rStyle w:val="37"/>
        <w:sz w:val="22"/>
      </w:rPr>
    </w:pPr>
  </w:p>
  <w:p w14:paraId="3ABE900A">
    <w:pPr>
      <w:pStyle w:val="51"/>
      <w:rPr>
        <w:rStyle w:val="37"/>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04D44"/>
    <w:multiLevelType w:val="singleLevel"/>
    <w:tmpl w:val="8B704D44"/>
    <w:lvl w:ilvl="0" w:tentative="0">
      <w:start w:val="2"/>
      <w:numFmt w:val="decimal"/>
      <w:suff w:val="nothing"/>
      <w:lvlText w:val="（%1）"/>
      <w:lvlJc w:val="left"/>
    </w:lvl>
  </w:abstractNum>
  <w:abstractNum w:abstractNumId="1">
    <w:nsid w:val="E5B0188D"/>
    <w:multiLevelType w:val="singleLevel"/>
    <w:tmpl w:val="E5B0188D"/>
    <w:lvl w:ilvl="0" w:tentative="0">
      <w:start w:val="1"/>
      <w:numFmt w:val="decimal"/>
      <w:suff w:val="nothing"/>
      <w:lvlText w:val="（%1）"/>
      <w:lvlJc w:val="left"/>
    </w:lvl>
  </w:abstractNum>
  <w:abstractNum w:abstractNumId="2">
    <w:nsid w:val="F3087880"/>
    <w:multiLevelType w:val="singleLevel"/>
    <w:tmpl w:val="F3087880"/>
    <w:lvl w:ilvl="0" w:tentative="0">
      <w:start w:val="1"/>
      <w:numFmt w:val="decimal"/>
      <w:suff w:val="nothing"/>
      <w:lvlText w:val="（%1）"/>
      <w:lvlJc w:val="left"/>
    </w:lvl>
  </w:abstractNum>
  <w:abstractNum w:abstractNumId="3">
    <w:nsid w:val="00000005"/>
    <w:multiLevelType w:val="singleLevel"/>
    <w:tmpl w:val="00000005"/>
    <w:lvl w:ilvl="0" w:tentative="0">
      <w:start w:val="1"/>
      <w:numFmt w:val="decimal"/>
      <w:suff w:val="nothing"/>
      <w:lvlText w:val="（%1）"/>
      <w:lvlJc w:val="left"/>
    </w:lvl>
  </w:abstractNum>
  <w:abstractNum w:abstractNumId="4">
    <w:nsid w:val="0000000A"/>
    <w:multiLevelType w:val="singleLevel"/>
    <w:tmpl w:val="0000000A"/>
    <w:lvl w:ilvl="0" w:tentative="0">
      <w:start w:val="1"/>
      <w:numFmt w:val="decimal"/>
      <w:suff w:val="nothing"/>
      <w:lvlText w:val="（%1）"/>
      <w:lvlJc w:val="left"/>
      <w:rPr>
        <w:sz w:val="18"/>
      </w:rPr>
    </w:lvl>
  </w:abstractNum>
  <w:abstractNum w:abstractNumId="5">
    <w:nsid w:val="00000010"/>
    <w:multiLevelType w:val="singleLevel"/>
    <w:tmpl w:val="00000010"/>
    <w:lvl w:ilvl="0" w:tentative="0">
      <w:start w:val="11"/>
      <w:numFmt w:val="decimal"/>
      <w:suff w:val="nothing"/>
      <w:lvlText w:val="%1）"/>
      <w:lvlJc w:val="left"/>
    </w:lvl>
  </w:abstractNum>
  <w:abstractNum w:abstractNumId="6">
    <w:nsid w:val="00000012"/>
    <w:multiLevelType w:val="singleLevel"/>
    <w:tmpl w:val="00000012"/>
    <w:lvl w:ilvl="0" w:tentative="0">
      <w:start w:val="1"/>
      <w:numFmt w:val="decimal"/>
      <w:suff w:val="nothing"/>
      <w:lvlText w:val="（%1）"/>
      <w:lvlJc w:val="left"/>
    </w:lvl>
  </w:abstractNum>
  <w:abstractNum w:abstractNumId="7">
    <w:nsid w:val="00000013"/>
    <w:multiLevelType w:val="singleLevel"/>
    <w:tmpl w:val="00000013"/>
    <w:lvl w:ilvl="0" w:tentative="0">
      <w:start w:val="1"/>
      <w:numFmt w:val="decimal"/>
      <w:suff w:val="space"/>
      <w:lvlText w:val="%1."/>
      <w:lvlJc w:val="left"/>
    </w:lvl>
  </w:abstractNum>
  <w:abstractNum w:abstractNumId="8">
    <w:nsid w:val="00000016"/>
    <w:multiLevelType w:val="singleLevel"/>
    <w:tmpl w:val="00000016"/>
    <w:lvl w:ilvl="0" w:tentative="0">
      <w:start w:val="1"/>
      <w:numFmt w:val="decimal"/>
      <w:lvlText w:val="%1."/>
      <w:lvlJc w:val="left"/>
      <w:pPr>
        <w:tabs>
          <w:tab w:val="left" w:pos="312"/>
        </w:tabs>
      </w:pPr>
    </w:lvl>
  </w:abstractNum>
  <w:abstractNum w:abstractNumId="9">
    <w:nsid w:val="00000017"/>
    <w:multiLevelType w:val="singleLevel"/>
    <w:tmpl w:val="00000017"/>
    <w:lvl w:ilvl="0" w:tentative="0">
      <w:start w:val="1"/>
      <w:numFmt w:val="chineseCounting"/>
      <w:suff w:val="nothing"/>
      <w:lvlText w:val="%1、"/>
      <w:lvlJc w:val="left"/>
      <w:rPr>
        <w:rFonts w:hint="eastAsia"/>
      </w:rPr>
    </w:lvl>
  </w:abstractNum>
  <w:abstractNum w:abstractNumId="10">
    <w:nsid w:val="0000001A"/>
    <w:multiLevelType w:val="singleLevel"/>
    <w:tmpl w:val="0000001A"/>
    <w:lvl w:ilvl="0" w:tentative="0">
      <w:start w:val="8"/>
      <w:numFmt w:val="decimal"/>
      <w:suff w:val="nothing"/>
      <w:lvlText w:val="%1）"/>
      <w:lvlJc w:val="left"/>
    </w:lvl>
  </w:abstractNum>
  <w:abstractNum w:abstractNumId="11">
    <w:nsid w:val="0000001B"/>
    <w:multiLevelType w:val="singleLevel"/>
    <w:tmpl w:val="0000001B"/>
    <w:lvl w:ilvl="0" w:tentative="0">
      <w:start w:val="1"/>
      <w:numFmt w:val="decimal"/>
      <w:suff w:val="nothing"/>
      <w:lvlText w:val="%1）"/>
      <w:lvlJc w:val="left"/>
    </w:lvl>
  </w:abstractNum>
  <w:abstractNum w:abstractNumId="12">
    <w:nsid w:val="0000001F"/>
    <w:multiLevelType w:val="singleLevel"/>
    <w:tmpl w:val="0000001F"/>
    <w:lvl w:ilvl="0" w:tentative="0">
      <w:start w:val="1"/>
      <w:numFmt w:val="decimal"/>
      <w:suff w:val="space"/>
      <w:lvlText w:val="（%1）"/>
      <w:lvlJc w:val="left"/>
    </w:lvl>
  </w:abstractNum>
  <w:abstractNum w:abstractNumId="13">
    <w:nsid w:val="00000024"/>
    <w:multiLevelType w:val="singleLevel"/>
    <w:tmpl w:val="00000024"/>
    <w:lvl w:ilvl="0" w:tentative="0">
      <w:start w:val="1"/>
      <w:numFmt w:val="decimal"/>
      <w:suff w:val="space"/>
      <w:lvlText w:val="（%1）"/>
      <w:lvlJc w:val="left"/>
    </w:lvl>
  </w:abstractNum>
  <w:abstractNum w:abstractNumId="14">
    <w:nsid w:val="00000026"/>
    <w:multiLevelType w:val="singleLevel"/>
    <w:tmpl w:val="00000026"/>
    <w:lvl w:ilvl="0" w:tentative="0">
      <w:start w:val="2"/>
      <w:numFmt w:val="decimal"/>
      <w:suff w:val="space"/>
      <w:lvlText w:val="%1."/>
      <w:lvlJc w:val="left"/>
    </w:lvl>
  </w:abstractNum>
  <w:abstractNum w:abstractNumId="15">
    <w:nsid w:val="0DF91FA0"/>
    <w:multiLevelType w:val="singleLevel"/>
    <w:tmpl w:val="0DF91FA0"/>
    <w:lvl w:ilvl="0" w:tentative="0">
      <w:start w:val="1"/>
      <w:numFmt w:val="decimal"/>
      <w:suff w:val="nothing"/>
      <w:lvlText w:val="（%1）"/>
      <w:lvlJc w:val="left"/>
    </w:lvl>
  </w:abstractNum>
  <w:abstractNum w:abstractNumId="16">
    <w:nsid w:val="492DB1BF"/>
    <w:multiLevelType w:val="singleLevel"/>
    <w:tmpl w:val="492DB1BF"/>
    <w:lvl w:ilvl="0" w:tentative="0">
      <w:start w:val="1"/>
      <w:numFmt w:val="decimal"/>
      <w:lvlText w:val="%1"/>
      <w:lvlJc w:val="left"/>
      <w:pPr>
        <w:tabs>
          <w:tab w:val="left" w:pos="1101"/>
        </w:tabs>
        <w:ind w:left="1106" w:hanging="255"/>
      </w:pPr>
      <w:rPr>
        <w:rFonts w:hint="default"/>
      </w:rPr>
    </w:lvl>
  </w:abstractNum>
  <w:abstractNum w:abstractNumId="17">
    <w:nsid w:val="7D4E6B81"/>
    <w:multiLevelType w:val="singleLevel"/>
    <w:tmpl w:val="7D4E6B81"/>
    <w:lvl w:ilvl="0" w:tentative="0">
      <w:start w:val="4"/>
      <w:numFmt w:val="decimal"/>
      <w:suff w:val="nothing"/>
      <w:lvlText w:val="（%1）"/>
      <w:lvlJc w:val="left"/>
    </w:lvl>
  </w:abstractNum>
  <w:num w:numId="1">
    <w:abstractNumId w:val="16"/>
  </w:num>
  <w:num w:numId="2">
    <w:abstractNumId w:val="3"/>
  </w:num>
  <w:num w:numId="3">
    <w:abstractNumId w:val="17"/>
  </w:num>
  <w:num w:numId="4">
    <w:abstractNumId w:val="11"/>
  </w:num>
  <w:num w:numId="5">
    <w:abstractNumId w:val="10"/>
  </w:num>
  <w:num w:numId="6">
    <w:abstractNumId w:val="5"/>
  </w:num>
  <w:num w:numId="7">
    <w:abstractNumId w:val="12"/>
  </w:num>
  <w:num w:numId="8">
    <w:abstractNumId w:val="4"/>
  </w:num>
  <w:num w:numId="9">
    <w:abstractNumId w:val="13"/>
  </w:num>
  <w:num w:numId="10">
    <w:abstractNumId w:val="6"/>
  </w:num>
  <w:num w:numId="11">
    <w:abstractNumId w:val="0"/>
  </w:num>
  <w:num w:numId="12">
    <w:abstractNumId w:val="9"/>
  </w:num>
  <w:num w:numId="13">
    <w:abstractNumId w:val="7"/>
  </w:num>
  <w:num w:numId="14">
    <w:abstractNumId w:val="8"/>
  </w:num>
  <w:num w:numId="15">
    <w:abstractNumId w:val="1"/>
  </w:num>
  <w:num w:numId="16">
    <w:abstractNumId w:val="15"/>
  </w:num>
  <w:num w:numId="17">
    <w:abstractNumId w:val="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isplayVerticalDrawingGridEvery w:val="2"/>
  <w:doNotUseMarginsForDrawingGridOrigin w:val="1"/>
  <w:drawingGridHorizontalOrigin w:val="1800"/>
  <w:drawingGridVerticalOrigin w:val="1440"/>
  <w:doNotShadeFormData w:val="1"/>
  <w:noPunctuationKerning w:val="1"/>
  <w:characterSpacingControl w:val="doNotCompress"/>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ZmODkzNGNmZmQ3OTE5OWY3ZWQyMzRkNzBkYWUyYjkifQ=="/>
  </w:docVars>
  <w:rsids>
    <w:rsidRoot w:val="00172A27"/>
    <w:rsid w:val="00060C0B"/>
    <w:rsid w:val="000757A9"/>
    <w:rsid w:val="00096F55"/>
    <w:rsid w:val="000A66E5"/>
    <w:rsid w:val="000C1EA7"/>
    <w:rsid w:val="000D0DD9"/>
    <w:rsid w:val="000E5495"/>
    <w:rsid w:val="00102E54"/>
    <w:rsid w:val="0011284D"/>
    <w:rsid w:val="001272DD"/>
    <w:rsid w:val="00172A27"/>
    <w:rsid w:val="00173FC4"/>
    <w:rsid w:val="001A1439"/>
    <w:rsid w:val="001F4204"/>
    <w:rsid w:val="00201593"/>
    <w:rsid w:val="002020C3"/>
    <w:rsid w:val="00247B7C"/>
    <w:rsid w:val="002504D3"/>
    <w:rsid w:val="0025653B"/>
    <w:rsid w:val="0026154C"/>
    <w:rsid w:val="00264727"/>
    <w:rsid w:val="002841D3"/>
    <w:rsid w:val="002D3F9C"/>
    <w:rsid w:val="002E0335"/>
    <w:rsid w:val="00305BB7"/>
    <w:rsid w:val="00312BED"/>
    <w:rsid w:val="003153F7"/>
    <w:rsid w:val="00320F19"/>
    <w:rsid w:val="00333BEF"/>
    <w:rsid w:val="00340EC3"/>
    <w:rsid w:val="003427B2"/>
    <w:rsid w:val="00343F11"/>
    <w:rsid w:val="00353A40"/>
    <w:rsid w:val="003611B8"/>
    <w:rsid w:val="0036520C"/>
    <w:rsid w:val="00367C5E"/>
    <w:rsid w:val="00384243"/>
    <w:rsid w:val="003C6C0F"/>
    <w:rsid w:val="003D2C02"/>
    <w:rsid w:val="003E721D"/>
    <w:rsid w:val="0041058B"/>
    <w:rsid w:val="00433638"/>
    <w:rsid w:val="004361F9"/>
    <w:rsid w:val="004372D7"/>
    <w:rsid w:val="00451481"/>
    <w:rsid w:val="00473D0E"/>
    <w:rsid w:val="004A667F"/>
    <w:rsid w:val="004E7C80"/>
    <w:rsid w:val="004F490E"/>
    <w:rsid w:val="00507A3A"/>
    <w:rsid w:val="00555445"/>
    <w:rsid w:val="005D63D4"/>
    <w:rsid w:val="005D67C7"/>
    <w:rsid w:val="00621427"/>
    <w:rsid w:val="00645BDD"/>
    <w:rsid w:val="00686F30"/>
    <w:rsid w:val="006871E6"/>
    <w:rsid w:val="006954DC"/>
    <w:rsid w:val="006D0B59"/>
    <w:rsid w:val="006F44CD"/>
    <w:rsid w:val="00743B24"/>
    <w:rsid w:val="0074440F"/>
    <w:rsid w:val="00766654"/>
    <w:rsid w:val="00781112"/>
    <w:rsid w:val="00787301"/>
    <w:rsid w:val="007B26B2"/>
    <w:rsid w:val="007C26FD"/>
    <w:rsid w:val="007C38AE"/>
    <w:rsid w:val="007D782C"/>
    <w:rsid w:val="0081173E"/>
    <w:rsid w:val="008157BB"/>
    <w:rsid w:val="00815814"/>
    <w:rsid w:val="00880EED"/>
    <w:rsid w:val="008A3031"/>
    <w:rsid w:val="008A55E8"/>
    <w:rsid w:val="008D0324"/>
    <w:rsid w:val="008D26EA"/>
    <w:rsid w:val="00933EC3"/>
    <w:rsid w:val="009358F0"/>
    <w:rsid w:val="00A14093"/>
    <w:rsid w:val="00A547B5"/>
    <w:rsid w:val="00A55302"/>
    <w:rsid w:val="00A66434"/>
    <w:rsid w:val="00A87229"/>
    <w:rsid w:val="00A93816"/>
    <w:rsid w:val="00B02E40"/>
    <w:rsid w:val="00B22BE4"/>
    <w:rsid w:val="00B35AC1"/>
    <w:rsid w:val="00B51935"/>
    <w:rsid w:val="00B73313"/>
    <w:rsid w:val="00B76CD2"/>
    <w:rsid w:val="00B95FC5"/>
    <w:rsid w:val="00BE76E7"/>
    <w:rsid w:val="00C23758"/>
    <w:rsid w:val="00C57A13"/>
    <w:rsid w:val="00C60F09"/>
    <w:rsid w:val="00C7500E"/>
    <w:rsid w:val="00CC6C3D"/>
    <w:rsid w:val="00D25127"/>
    <w:rsid w:val="00D25A21"/>
    <w:rsid w:val="00D34A36"/>
    <w:rsid w:val="00D44AD9"/>
    <w:rsid w:val="00D77B54"/>
    <w:rsid w:val="00D84A57"/>
    <w:rsid w:val="00DA2260"/>
    <w:rsid w:val="00DB5278"/>
    <w:rsid w:val="00DC7285"/>
    <w:rsid w:val="00E1200A"/>
    <w:rsid w:val="00E351EF"/>
    <w:rsid w:val="00E445BD"/>
    <w:rsid w:val="00E51261"/>
    <w:rsid w:val="00E5334F"/>
    <w:rsid w:val="00E55795"/>
    <w:rsid w:val="00E7313F"/>
    <w:rsid w:val="00E75082"/>
    <w:rsid w:val="00E779C5"/>
    <w:rsid w:val="00EA3323"/>
    <w:rsid w:val="00EA3525"/>
    <w:rsid w:val="00EA3C0A"/>
    <w:rsid w:val="00EA73EB"/>
    <w:rsid w:val="00F23350"/>
    <w:rsid w:val="00F2555B"/>
    <w:rsid w:val="00F401C3"/>
    <w:rsid w:val="00F46721"/>
    <w:rsid w:val="00F47E67"/>
    <w:rsid w:val="00F52755"/>
    <w:rsid w:val="00FA0961"/>
    <w:rsid w:val="00FA1F02"/>
    <w:rsid w:val="00FB4656"/>
    <w:rsid w:val="00FF191B"/>
    <w:rsid w:val="010F05A6"/>
    <w:rsid w:val="0123085D"/>
    <w:rsid w:val="013538F9"/>
    <w:rsid w:val="01542869"/>
    <w:rsid w:val="01A21D3D"/>
    <w:rsid w:val="01AB4BCB"/>
    <w:rsid w:val="01B01053"/>
    <w:rsid w:val="01DC065F"/>
    <w:rsid w:val="01FA47FF"/>
    <w:rsid w:val="021C21FD"/>
    <w:rsid w:val="02207478"/>
    <w:rsid w:val="02235A44"/>
    <w:rsid w:val="023470AD"/>
    <w:rsid w:val="023C6F94"/>
    <w:rsid w:val="02672D80"/>
    <w:rsid w:val="02D00614"/>
    <w:rsid w:val="02D955E5"/>
    <w:rsid w:val="02E071C6"/>
    <w:rsid w:val="02E610CF"/>
    <w:rsid w:val="02FE0CDB"/>
    <w:rsid w:val="03031EC0"/>
    <w:rsid w:val="032F32B5"/>
    <w:rsid w:val="03784F4C"/>
    <w:rsid w:val="037A4A2D"/>
    <w:rsid w:val="03B739A6"/>
    <w:rsid w:val="03CC53F9"/>
    <w:rsid w:val="03CF3A69"/>
    <w:rsid w:val="03DE5DE4"/>
    <w:rsid w:val="03EB50FA"/>
    <w:rsid w:val="040D3CD2"/>
    <w:rsid w:val="041617C1"/>
    <w:rsid w:val="041F172C"/>
    <w:rsid w:val="0442423B"/>
    <w:rsid w:val="04720B40"/>
    <w:rsid w:val="04BB1F4F"/>
    <w:rsid w:val="04FC0131"/>
    <w:rsid w:val="04FF173F"/>
    <w:rsid w:val="05467D5B"/>
    <w:rsid w:val="05485D6C"/>
    <w:rsid w:val="05740ABC"/>
    <w:rsid w:val="05A012C8"/>
    <w:rsid w:val="05B01562"/>
    <w:rsid w:val="05EE6B28"/>
    <w:rsid w:val="05F8452D"/>
    <w:rsid w:val="06223E20"/>
    <w:rsid w:val="06297E5C"/>
    <w:rsid w:val="063473BF"/>
    <w:rsid w:val="06357E1A"/>
    <w:rsid w:val="06373B43"/>
    <w:rsid w:val="064F5BE9"/>
    <w:rsid w:val="065024AC"/>
    <w:rsid w:val="06513878"/>
    <w:rsid w:val="068D56CD"/>
    <w:rsid w:val="06CE1DB6"/>
    <w:rsid w:val="06DA7610"/>
    <w:rsid w:val="06E15158"/>
    <w:rsid w:val="070957CD"/>
    <w:rsid w:val="070E24F2"/>
    <w:rsid w:val="07140E2A"/>
    <w:rsid w:val="07196D65"/>
    <w:rsid w:val="072858CC"/>
    <w:rsid w:val="077C18B0"/>
    <w:rsid w:val="079600FE"/>
    <w:rsid w:val="0797061A"/>
    <w:rsid w:val="07A85119"/>
    <w:rsid w:val="07DC6674"/>
    <w:rsid w:val="083B1F11"/>
    <w:rsid w:val="08444D9F"/>
    <w:rsid w:val="086130DE"/>
    <w:rsid w:val="086A71DD"/>
    <w:rsid w:val="086F5C43"/>
    <w:rsid w:val="087070AE"/>
    <w:rsid w:val="0873206B"/>
    <w:rsid w:val="088977C3"/>
    <w:rsid w:val="08A5758D"/>
    <w:rsid w:val="08C2566D"/>
    <w:rsid w:val="08DC337D"/>
    <w:rsid w:val="093D4745"/>
    <w:rsid w:val="094A684B"/>
    <w:rsid w:val="098F5CBA"/>
    <w:rsid w:val="09AE5913"/>
    <w:rsid w:val="09BA4826"/>
    <w:rsid w:val="09BE460B"/>
    <w:rsid w:val="09C9041E"/>
    <w:rsid w:val="09F27F5D"/>
    <w:rsid w:val="0A2C4C3F"/>
    <w:rsid w:val="0A3C3434"/>
    <w:rsid w:val="0A640028"/>
    <w:rsid w:val="0A7F0E46"/>
    <w:rsid w:val="0A9D5131"/>
    <w:rsid w:val="0AB40AE7"/>
    <w:rsid w:val="0AC22BB4"/>
    <w:rsid w:val="0AC7123A"/>
    <w:rsid w:val="0B1957C1"/>
    <w:rsid w:val="0B1B4548"/>
    <w:rsid w:val="0B860374"/>
    <w:rsid w:val="0B8C7A23"/>
    <w:rsid w:val="0BC85F86"/>
    <w:rsid w:val="0C1D520E"/>
    <w:rsid w:val="0C1F2AF1"/>
    <w:rsid w:val="0C4A71B8"/>
    <w:rsid w:val="0C4C6B1C"/>
    <w:rsid w:val="0C533D4D"/>
    <w:rsid w:val="0C785F06"/>
    <w:rsid w:val="0CA42D4A"/>
    <w:rsid w:val="0CBE38F4"/>
    <w:rsid w:val="0CD21ED4"/>
    <w:rsid w:val="0CD61D06"/>
    <w:rsid w:val="0CE45EC0"/>
    <w:rsid w:val="0D142104"/>
    <w:rsid w:val="0D1F51CD"/>
    <w:rsid w:val="0D200115"/>
    <w:rsid w:val="0D2658A3"/>
    <w:rsid w:val="0D3B1FC4"/>
    <w:rsid w:val="0D524167"/>
    <w:rsid w:val="0D655386"/>
    <w:rsid w:val="0D883E57"/>
    <w:rsid w:val="0D980DCA"/>
    <w:rsid w:val="0DBB5D95"/>
    <w:rsid w:val="0DE201D3"/>
    <w:rsid w:val="0DEE1A67"/>
    <w:rsid w:val="0DF16FA4"/>
    <w:rsid w:val="0E0F4834"/>
    <w:rsid w:val="0E5636E4"/>
    <w:rsid w:val="0E6E1DDF"/>
    <w:rsid w:val="0EAE6622"/>
    <w:rsid w:val="0EB24576"/>
    <w:rsid w:val="0EE02B8A"/>
    <w:rsid w:val="0EE213FB"/>
    <w:rsid w:val="0EE67E01"/>
    <w:rsid w:val="0F2E74DA"/>
    <w:rsid w:val="0F891808"/>
    <w:rsid w:val="0FAC0AC3"/>
    <w:rsid w:val="0FCF47E3"/>
    <w:rsid w:val="0FF60006"/>
    <w:rsid w:val="10454371"/>
    <w:rsid w:val="10A100D7"/>
    <w:rsid w:val="10AE3B69"/>
    <w:rsid w:val="10C84DFB"/>
    <w:rsid w:val="11237D3F"/>
    <w:rsid w:val="113066C1"/>
    <w:rsid w:val="11725A06"/>
    <w:rsid w:val="11B83122"/>
    <w:rsid w:val="1255519F"/>
    <w:rsid w:val="12D312F0"/>
    <w:rsid w:val="12DB0055"/>
    <w:rsid w:val="12E9348E"/>
    <w:rsid w:val="13147B5B"/>
    <w:rsid w:val="131F00EB"/>
    <w:rsid w:val="133B50BF"/>
    <w:rsid w:val="1344125A"/>
    <w:rsid w:val="1381719B"/>
    <w:rsid w:val="1389559C"/>
    <w:rsid w:val="13BF5DA3"/>
    <w:rsid w:val="13DE7224"/>
    <w:rsid w:val="14103F37"/>
    <w:rsid w:val="141F6875"/>
    <w:rsid w:val="143D6A59"/>
    <w:rsid w:val="146F6174"/>
    <w:rsid w:val="147860A8"/>
    <w:rsid w:val="14795ED7"/>
    <w:rsid w:val="1480482F"/>
    <w:rsid w:val="14846AB8"/>
    <w:rsid w:val="14AD65F8"/>
    <w:rsid w:val="14C804A6"/>
    <w:rsid w:val="14D00C3D"/>
    <w:rsid w:val="14D26ACE"/>
    <w:rsid w:val="15002AA6"/>
    <w:rsid w:val="151C4634"/>
    <w:rsid w:val="151D05E1"/>
    <w:rsid w:val="155E4C0D"/>
    <w:rsid w:val="15962189"/>
    <w:rsid w:val="15A470CF"/>
    <w:rsid w:val="15F00180"/>
    <w:rsid w:val="160D2D3C"/>
    <w:rsid w:val="162C7D6D"/>
    <w:rsid w:val="16412291"/>
    <w:rsid w:val="169B6B8F"/>
    <w:rsid w:val="16DA4A0E"/>
    <w:rsid w:val="16DD5993"/>
    <w:rsid w:val="16E762A2"/>
    <w:rsid w:val="170F1FE9"/>
    <w:rsid w:val="171E0250"/>
    <w:rsid w:val="174A3F72"/>
    <w:rsid w:val="177D0B4F"/>
    <w:rsid w:val="177D5D41"/>
    <w:rsid w:val="17845DA0"/>
    <w:rsid w:val="17B63C3C"/>
    <w:rsid w:val="180E295A"/>
    <w:rsid w:val="1841525A"/>
    <w:rsid w:val="187B08B7"/>
    <w:rsid w:val="188624CB"/>
    <w:rsid w:val="18914CF1"/>
    <w:rsid w:val="18A03075"/>
    <w:rsid w:val="18D94D16"/>
    <w:rsid w:val="18DA1E9A"/>
    <w:rsid w:val="18E930D7"/>
    <w:rsid w:val="18E9476E"/>
    <w:rsid w:val="18ED50B1"/>
    <w:rsid w:val="190D36A9"/>
    <w:rsid w:val="193A79F0"/>
    <w:rsid w:val="193E0707"/>
    <w:rsid w:val="196F2449"/>
    <w:rsid w:val="19751DD4"/>
    <w:rsid w:val="198A7F20"/>
    <w:rsid w:val="199926F8"/>
    <w:rsid w:val="19A10699"/>
    <w:rsid w:val="19B570A1"/>
    <w:rsid w:val="19E8300C"/>
    <w:rsid w:val="1A2E2742"/>
    <w:rsid w:val="1A326A7F"/>
    <w:rsid w:val="1A5D684E"/>
    <w:rsid w:val="1A6C639B"/>
    <w:rsid w:val="1AE94F25"/>
    <w:rsid w:val="1AF277DF"/>
    <w:rsid w:val="1B4667CC"/>
    <w:rsid w:val="1B5857EC"/>
    <w:rsid w:val="1B7F1E29"/>
    <w:rsid w:val="1B987AF5"/>
    <w:rsid w:val="1BB81089"/>
    <w:rsid w:val="1BF966D0"/>
    <w:rsid w:val="1C0E7972"/>
    <w:rsid w:val="1C190887"/>
    <w:rsid w:val="1C220CE0"/>
    <w:rsid w:val="1C353ED6"/>
    <w:rsid w:val="1C8B48E5"/>
    <w:rsid w:val="1CA2460E"/>
    <w:rsid w:val="1CBA06D2"/>
    <w:rsid w:val="1CD96BE2"/>
    <w:rsid w:val="1D0D0336"/>
    <w:rsid w:val="1D2E75B6"/>
    <w:rsid w:val="1D3F1E0A"/>
    <w:rsid w:val="1D436612"/>
    <w:rsid w:val="1D4720F4"/>
    <w:rsid w:val="1D852E29"/>
    <w:rsid w:val="1D9F61C2"/>
    <w:rsid w:val="1DB04940"/>
    <w:rsid w:val="1DDC789C"/>
    <w:rsid w:val="1DFA253D"/>
    <w:rsid w:val="1E117F64"/>
    <w:rsid w:val="1E190817"/>
    <w:rsid w:val="1E28301E"/>
    <w:rsid w:val="1E7D21AE"/>
    <w:rsid w:val="1E834A1F"/>
    <w:rsid w:val="1E9601BD"/>
    <w:rsid w:val="1ED25180"/>
    <w:rsid w:val="1EDE3E34"/>
    <w:rsid w:val="1F1C3919"/>
    <w:rsid w:val="1F565E40"/>
    <w:rsid w:val="1F610B8A"/>
    <w:rsid w:val="1FAF57C9"/>
    <w:rsid w:val="1FCD0B0A"/>
    <w:rsid w:val="20695B39"/>
    <w:rsid w:val="207D1719"/>
    <w:rsid w:val="209115E3"/>
    <w:rsid w:val="2097166A"/>
    <w:rsid w:val="20A81A6F"/>
    <w:rsid w:val="20D33193"/>
    <w:rsid w:val="20DE083B"/>
    <w:rsid w:val="21102359"/>
    <w:rsid w:val="21345612"/>
    <w:rsid w:val="21583244"/>
    <w:rsid w:val="216E53E7"/>
    <w:rsid w:val="219B091A"/>
    <w:rsid w:val="219C4C32"/>
    <w:rsid w:val="21A06EBB"/>
    <w:rsid w:val="21A12837"/>
    <w:rsid w:val="21CF4187"/>
    <w:rsid w:val="21D35B7D"/>
    <w:rsid w:val="22165AAF"/>
    <w:rsid w:val="22380333"/>
    <w:rsid w:val="223A3836"/>
    <w:rsid w:val="22462CF1"/>
    <w:rsid w:val="224C4A4E"/>
    <w:rsid w:val="22500699"/>
    <w:rsid w:val="22582764"/>
    <w:rsid w:val="2264467A"/>
    <w:rsid w:val="228D79BC"/>
    <w:rsid w:val="22A144DF"/>
    <w:rsid w:val="22C32496"/>
    <w:rsid w:val="22E03FC4"/>
    <w:rsid w:val="23073E84"/>
    <w:rsid w:val="23077592"/>
    <w:rsid w:val="235203CB"/>
    <w:rsid w:val="236C4EAD"/>
    <w:rsid w:val="237315CD"/>
    <w:rsid w:val="23913DE8"/>
    <w:rsid w:val="23B97A36"/>
    <w:rsid w:val="23D63257"/>
    <w:rsid w:val="24190849"/>
    <w:rsid w:val="2472475B"/>
    <w:rsid w:val="2474501E"/>
    <w:rsid w:val="24833578"/>
    <w:rsid w:val="24897BC8"/>
    <w:rsid w:val="248F2C81"/>
    <w:rsid w:val="2491720E"/>
    <w:rsid w:val="24C47147"/>
    <w:rsid w:val="24DD621C"/>
    <w:rsid w:val="24ED40A4"/>
    <w:rsid w:val="24F649B4"/>
    <w:rsid w:val="24F72435"/>
    <w:rsid w:val="25102460"/>
    <w:rsid w:val="25285C89"/>
    <w:rsid w:val="25330F95"/>
    <w:rsid w:val="258C47BA"/>
    <w:rsid w:val="25A70F54"/>
    <w:rsid w:val="25B305EA"/>
    <w:rsid w:val="25B4483B"/>
    <w:rsid w:val="25C27580"/>
    <w:rsid w:val="25C61809"/>
    <w:rsid w:val="264B331D"/>
    <w:rsid w:val="265E727A"/>
    <w:rsid w:val="26922B9B"/>
    <w:rsid w:val="269F14EC"/>
    <w:rsid w:val="26A3466F"/>
    <w:rsid w:val="26CA7DB2"/>
    <w:rsid w:val="26CF203B"/>
    <w:rsid w:val="26F07FF2"/>
    <w:rsid w:val="2701028C"/>
    <w:rsid w:val="27331D60"/>
    <w:rsid w:val="27347276"/>
    <w:rsid w:val="275F3C1A"/>
    <w:rsid w:val="2794527C"/>
    <w:rsid w:val="279D398E"/>
    <w:rsid w:val="27A52F98"/>
    <w:rsid w:val="27A73550"/>
    <w:rsid w:val="27C869D0"/>
    <w:rsid w:val="27CA1ED3"/>
    <w:rsid w:val="27CB31D8"/>
    <w:rsid w:val="282D5AAE"/>
    <w:rsid w:val="282E547B"/>
    <w:rsid w:val="283B6D0F"/>
    <w:rsid w:val="28776B74"/>
    <w:rsid w:val="287B557A"/>
    <w:rsid w:val="288B1CB0"/>
    <w:rsid w:val="28A87DEC"/>
    <w:rsid w:val="28C30C98"/>
    <w:rsid w:val="28CF1781"/>
    <w:rsid w:val="28E95BAE"/>
    <w:rsid w:val="28EE70D7"/>
    <w:rsid w:val="29053E59"/>
    <w:rsid w:val="29545BF1"/>
    <w:rsid w:val="2962797F"/>
    <w:rsid w:val="296609FB"/>
    <w:rsid w:val="296759A9"/>
    <w:rsid w:val="296960FC"/>
    <w:rsid w:val="29B42CF8"/>
    <w:rsid w:val="29B74B26"/>
    <w:rsid w:val="29CD16A4"/>
    <w:rsid w:val="29DF4E41"/>
    <w:rsid w:val="2A0475FF"/>
    <w:rsid w:val="2A207C56"/>
    <w:rsid w:val="2A467FA8"/>
    <w:rsid w:val="2A64753C"/>
    <w:rsid w:val="2A8C07DD"/>
    <w:rsid w:val="2A9226E6"/>
    <w:rsid w:val="2A9B123A"/>
    <w:rsid w:val="2ACA0963"/>
    <w:rsid w:val="2ACE357B"/>
    <w:rsid w:val="2AE85674"/>
    <w:rsid w:val="2AFA0146"/>
    <w:rsid w:val="2B221E36"/>
    <w:rsid w:val="2B5F6E58"/>
    <w:rsid w:val="2B7A2F97"/>
    <w:rsid w:val="2B931EE0"/>
    <w:rsid w:val="2BF87CD5"/>
    <w:rsid w:val="2C042AEA"/>
    <w:rsid w:val="2C283A81"/>
    <w:rsid w:val="2C2C6C04"/>
    <w:rsid w:val="2C413326"/>
    <w:rsid w:val="2C483185"/>
    <w:rsid w:val="2C6A4163"/>
    <w:rsid w:val="2CE747A3"/>
    <w:rsid w:val="2CF369CD"/>
    <w:rsid w:val="2D0F4C79"/>
    <w:rsid w:val="2D2A04AD"/>
    <w:rsid w:val="2D323F34"/>
    <w:rsid w:val="2D3F3249"/>
    <w:rsid w:val="2D726F1C"/>
    <w:rsid w:val="2D73499D"/>
    <w:rsid w:val="2D940CF3"/>
    <w:rsid w:val="2DC03128"/>
    <w:rsid w:val="2DCA53AC"/>
    <w:rsid w:val="2DCE3DB2"/>
    <w:rsid w:val="2DD072B5"/>
    <w:rsid w:val="2DFC4E75"/>
    <w:rsid w:val="2E0A64B2"/>
    <w:rsid w:val="2E273547"/>
    <w:rsid w:val="2E8D2EEB"/>
    <w:rsid w:val="2E9076F3"/>
    <w:rsid w:val="2EC44D22"/>
    <w:rsid w:val="2EF43B94"/>
    <w:rsid w:val="2F067332"/>
    <w:rsid w:val="2F1C4D59"/>
    <w:rsid w:val="2F2E5D65"/>
    <w:rsid w:val="2F7D7C66"/>
    <w:rsid w:val="2F9D7CA7"/>
    <w:rsid w:val="2FA417BA"/>
    <w:rsid w:val="2FA6143A"/>
    <w:rsid w:val="2FB36551"/>
    <w:rsid w:val="2FCD12F9"/>
    <w:rsid w:val="2FCF47FC"/>
    <w:rsid w:val="3001084F"/>
    <w:rsid w:val="300D346D"/>
    <w:rsid w:val="30275F10"/>
    <w:rsid w:val="307D143B"/>
    <w:rsid w:val="30A12956"/>
    <w:rsid w:val="30B23E5C"/>
    <w:rsid w:val="30BD6BAC"/>
    <w:rsid w:val="30C3638E"/>
    <w:rsid w:val="30E049F8"/>
    <w:rsid w:val="30F36EDD"/>
    <w:rsid w:val="30FB1D6B"/>
    <w:rsid w:val="311E57A3"/>
    <w:rsid w:val="314C0871"/>
    <w:rsid w:val="315A0BC8"/>
    <w:rsid w:val="315D3EF5"/>
    <w:rsid w:val="31645F17"/>
    <w:rsid w:val="31A93189"/>
    <w:rsid w:val="31BB4B41"/>
    <w:rsid w:val="31EF4885"/>
    <w:rsid w:val="326A6D10"/>
    <w:rsid w:val="327D0BE3"/>
    <w:rsid w:val="328827F7"/>
    <w:rsid w:val="328F2182"/>
    <w:rsid w:val="32D54DB9"/>
    <w:rsid w:val="32FE508D"/>
    <w:rsid w:val="330A4A5E"/>
    <w:rsid w:val="330E3199"/>
    <w:rsid w:val="332B5883"/>
    <w:rsid w:val="33313F09"/>
    <w:rsid w:val="33356B95"/>
    <w:rsid w:val="333B5B1E"/>
    <w:rsid w:val="33606A2C"/>
    <w:rsid w:val="33BC3AED"/>
    <w:rsid w:val="33C51686"/>
    <w:rsid w:val="33F629CD"/>
    <w:rsid w:val="34052FE8"/>
    <w:rsid w:val="340D5E76"/>
    <w:rsid w:val="343113C5"/>
    <w:rsid w:val="34443AB5"/>
    <w:rsid w:val="348F514A"/>
    <w:rsid w:val="34961252"/>
    <w:rsid w:val="34BE6D0B"/>
    <w:rsid w:val="34CB3CAA"/>
    <w:rsid w:val="34E94E98"/>
    <w:rsid w:val="34F60372"/>
    <w:rsid w:val="35310DA1"/>
    <w:rsid w:val="35353422"/>
    <w:rsid w:val="356B252F"/>
    <w:rsid w:val="358F2AEF"/>
    <w:rsid w:val="359F2D89"/>
    <w:rsid w:val="35F32813"/>
    <w:rsid w:val="36262C62"/>
    <w:rsid w:val="364321ED"/>
    <w:rsid w:val="365C0897"/>
    <w:rsid w:val="36625046"/>
    <w:rsid w:val="367130E2"/>
    <w:rsid w:val="368C16F6"/>
    <w:rsid w:val="36C02E61"/>
    <w:rsid w:val="36CA739C"/>
    <w:rsid w:val="36D9180C"/>
    <w:rsid w:val="36F8683E"/>
    <w:rsid w:val="37403062"/>
    <w:rsid w:val="375F76AC"/>
    <w:rsid w:val="3794520D"/>
    <w:rsid w:val="3799511E"/>
    <w:rsid w:val="37A7315E"/>
    <w:rsid w:val="37AA5665"/>
    <w:rsid w:val="37B81A7F"/>
    <w:rsid w:val="37C13D08"/>
    <w:rsid w:val="37E87404"/>
    <w:rsid w:val="37F31F59"/>
    <w:rsid w:val="380F5C07"/>
    <w:rsid w:val="38934061"/>
    <w:rsid w:val="38C500B3"/>
    <w:rsid w:val="38EB56DC"/>
    <w:rsid w:val="39040012"/>
    <w:rsid w:val="3934383A"/>
    <w:rsid w:val="393A5AF3"/>
    <w:rsid w:val="393C0D74"/>
    <w:rsid w:val="394D4E1A"/>
    <w:rsid w:val="395F496C"/>
    <w:rsid w:val="39681ABA"/>
    <w:rsid w:val="3A021CD5"/>
    <w:rsid w:val="3A0A2948"/>
    <w:rsid w:val="3A185DD4"/>
    <w:rsid w:val="3A6A61E5"/>
    <w:rsid w:val="3A6E7C8A"/>
    <w:rsid w:val="3A8378B8"/>
    <w:rsid w:val="3A925662"/>
    <w:rsid w:val="3AC8077D"/>
    <w:rsid w:val="3AE3795A"/>
    <w:rsid w:val="3B574D03"/>
    <w:rsid w:val="3B5E66F2"/>
    <w:rsid w:val="3B624921"/>
    <w:rsid w:val="3B8E0546"/>
    <w:rsid w:val="3BCB12A4"/>
    <w:rsid w:val="3BDF37C8"/>
    <w:rsid w:val="3C11529C"/>
    <w:rsid w:val="3C16609A"/>
    <w:rsid w:val="3C2E6DCB"/>
    <w:rsid w:val="3C5175B5"/>
    <w:rsid w:val="3C6B4E81"/>
    <w:rsid w:val="3C9258E2"/>
    <w:rsid w:val="3CC9691C"/>
    <w:rsid w:val="3CCA6C49"/>
    <w:rsid w:val="3D2D6CED"/>
    <w:rsid w:val="3D302DE1"/>
    <w:rsid w:val="3D3717FB"/>
    <w:rsid w:val="3D3C68FE"/>
    <w:rsid w:val="3D4A2C9A"/>
    <w:rsid w:val="3DA47956"/>
    <w:rsid w:val="3DB44B83"/>
    <w:rsid w:val="3DD81385"/>
    <w:rsid w:val="3DD95AEF"/>
    <w:rsid w:val="3DE73B9D"/>
    <w:rsid w:val="3DEB25A4"/>
    <w:rsid w:val="3DFE2641"/>
    <w:rsid w:val="3E2439B9"/>
    <w:rsid w:val="3E2F3F92"/>
    <w:rsid w:val="3E322D18"/>
    <w:rsid w:val="3E4F654F"/>
    <w:rsid w:val="3E823D9C"/>
    <w:rsid w:val="3E963C13"/>
    <w:rsid w:val="3EB709F3"/>
    <w:rsid w:val="3F027C8F"/>
    <w:rsid w:val="3F135889"/>
    <w:rsid w:val="3F605988"/>
    <w:rsid w:val="3F744629"/>
    <w:rsid w:val="3F8548C3"/>
    <w:rsid w:val="3FC83408"/>
    <w:rsid w:val="3FE0175A"/>
    <w:rsid w:val="3FEC556C"/>
    <w:rsid w:val="3FF34C2B"/>
    <w:rsid w:val="3FFF200F"/>
    <w:rsid w:val="401C02BA"/>
    <w:rsid w:val="40227C45"/>
    <w:rsid w:val="402F6ABF"/>
    <w:rsid w:val="40622A05"/>
    <w:rsid w:val="408810DD"/>
    <w:rsid w:val="40BB01C3"/>
    <w:rsid w:val="40C52CD1"/>
    <w:rsid w:val="40CF65EC"/>
    <w:rsid w:val="40DC5FD2"/>
    <w:rsid w:val="40E624D7"/>
    <w:rsid w:val="40E70C87"/>
    <w:rsid w:val="40EB12A4"/>
    <w:rsid w:val="40EB6F3B"/>
    <w:rsid w:val="41125DF8"/>
    <w:rsid w:val="412D792B"/>
    <w:rsid w:val="41313685"/>
    <w:rsid w:val="4153163B"/>
    <w:rsid w:val="415B60FC"/>
    <w:rsid w:val="416050CE"/>
    <w:rsid w:val="41905C1D"/>
    <w:rsid w:val="41B40469"/>
    <w:rsid w:val="41BA22E4"/>
    <w:rsid w:val="41DA45E3"/>
    <w:rsid w:val="41E3617B"/>
    <w:rsid w:val="42201C89"/>
    <w:rsid w:val="423C038E"/>
    <w:rsid w:val="427B2E51"/>
    <w:rsid w:val="428916B8"/>
    <w:rsid w:val="429441C6"/>
    <w:rsid w:val="42B424FC"/>
    <w:rsid w:val="42BF630F"/>
    <w:rsid w:val="42C676E6"/>
    <w:rsid w:val="42EF105C"/>
    <w:rsid w:val="431052CD"/>
    <w:rsid w:val="43221D1E"/>
    <w:rsid w:val="433F591D"/>
    <w:rsid w:val="43862855"/>
    <w:rsid w:val="439102B9"/>
    <w:rsid w:val="43B533A4"/>
    <w:rsid w:val="43CE06CA"/>
    <w:rsid w:val="44B9194D"/>
    <w:rsid w:val="44EF65A4"/>
    <w:rsid w:val="45155103"/>
    <w:rsid w:val="451851EA"/>
    <w:rsid w:val="451A0215"/>
    <w:rsid w:val="452461D7"/>
    <w:rsid w:val="454959B9"/>
    <w:rsid w:val="458329F8"/>
    <w:rsid w:val="45C21DFF"/>
    <w:rsid w:val="45E35BB7"/>
    <w:rsid w:val="45EF19CA"/>
    <w:rsid w:val="45F45E51"/>
    <w:rsid w:val="46060831"/>
    <w:rsid w:val="46282E28"/>
    <w:rsid w:val="46456BEB"/>
    <w:rsid w:val="464D55E6"/>
    <w:rsid w:val="468012B9"/>
    <w:rsid w:val="46B86E94"/>
    <w:rsid w:val="46E531DB"/>
    <w:rsid w:val="47075641"/>
    <w:rsid w:val="471937DB"/>
    <w:rsid w:val="472707CD"/>
    <w:rsid w:val="4750030C"/>
    <w:rsid w:val="475673F6"/>
    <w:rsid w:val="4797291F"/>
    <w:rsid w:val="47A065F3"/>
    <w:rsid w:val="47AE5196"/>
    <w:rsid w:val="47B23BF8"/>
    <w:rsid w:val="47F10F32"/>
    <w:rsid w:val="48037322"/>
    <w:rsid w:val="4809553C"/>
    <w:rsid w:val="48347915"/>
    <w:rsid w:val="48B459D5"/>
    <w:rsid w:val="48C749F6"/>
    <w:rsid w:val="49081AF0"/>
    <w:rsid w:val="49132D38"/>
    <w:rsid w:val="495864E3"/>
    <w:rsid w:val="49AC5E58"/>
    <w:rsid w:val="49DB4EAD"/>
    <w:rsid w:val="49EC0F55"/>
    <w:rsid w:val="49EC799C"/>
    <w:rsid w:val="4A7B556A"/>
    <w:rsid w:val="4AA25200"/>
    <w:rsid w:val="4ABE33F6"/>
    <w:rsid w:val="4ADF33C3"/>
    <w:rsid w:val="4B5C462F"/>
    <w:rsid w:val="4B7F52BE"/>
    <w:rsid w:val="4BAB34B4"/>
    <w:rsid w:val="4BB153BE"/>
    <w:rsid w:val="4BB3503D"/>
    <w:rsid w:val="4BC11DD5"/>
    <w:rsid w:val="4BE64992"/>
    <w:rsid w:val="4C457E30"/>
    <w:rsid w:val="4C513C42"/>
    <w:rsid w:val="4C683867"/>
    <w:rsid w:val="4C766400"/>
    <w:rsid w:val="4CB848EB"/>
    <w:rsid w:val="4CBF7AF9"/>
    <w:rsid w:val="4CDE17F2"/>
    <w:rsid w:val="4D1C4610"/>
    <w:rsid w:val="4D5F057C"/>
    <w:rsid w:val="4D9819DB"/>
    <w:rsid w:val="4DE74FDD"/>
    <w:rsid w:val="4E1E76B5"/>
    <w:rsid w:val="4E2E20D8"/>
    <w:rsid w:val="4E386806"/>
    <w:rsid w:val="4E606D65"/>
    <w:rsid w:val="4E79234E"/>
    <w:rsid w:val="4EE02FF7"/>
    <w:rsid w:val="4EE22C77"/>
    <w:rsid w:val="4EF41C97"/>
    <w:rsid w:val="4F0C5A3D"/>
    <w:rsid w:val="4F121247"/>
    <w:rsid w:val="4F737FE7"/>
    <w:rsid w:val="4F7E6378"/>
    <w:rsid w:val="4FBF3F5F"/>
    <w:rsid w:val="4FD31D2A"/>
    <w:rsid w:val="4FD33884"/>
    <w:rsid w:val="5006327B"/>
    <w:rsid w:val="50111B9C"/>
    <w:rsid w:val="50334BA2"/>
    <w:rsid w:val="5074560B"/>
    <w:rsid w:val="5076204A"/>
    <w:rsid w:val="507B157E"/>
    <w:rsid w:val="50B72BFD"/>
    <w:rsid w:val="50CC18F4"/>
    <w:rsid w:val="50E214C3"/>
    <w:rsid w:val="50EE011C"/>
    <w:rsid w:val="50F16FC9"/>
    <w:rsid w:val="51114590"/>
    <w:rsid w:val="51455CE4"/>
    <w:rsid w:val="51463765"/>
    <w:rsid w:val="514E2017"/>
    <w:rsid w:val="51663C9A"/>
    <w:rsid w:val="51AC54C0"/>
    <w:rsid w:val="51F95F64"/>
    <w:rsid w:val="51FB1F8F"/>
    <w:rsid w:val="52165CCA"/>
    <w:rsid w:val="521B6C41"/>
    <w:rsid w:val="524126B6"/>
    <w:rsid w:val="5248208F"/>
    <w:rsid w:val="525C006C"/>
    <w:rsid w:val="529E2615"/>
    <w:rsid w:val="52D715BF"/>
    <w:rsid w:val="52DF5A85"/>
    <w:rsid w:val="530E4DA1"/>
    <w:rsid w:val="5327046A"/>
    <w:rsid w:val="534538F0"/>
    <w:rsid w:val="53940A2C"/>
    <w:rsid w:val="53982CB5"/>
    <w:rsid w:val="539D713D"/>
    <w:rsid w:val="54070D6B"/>
    <w:rsid w:val="54475432"/>
    <w:rsid w:val="544877E8"/>
    <w:rsid w:val="54492AD9"/>
    <w:rsid w:val="54566830"/>
    <w:rsid w:val="545F4406"/>
    <w:rsid w:val="546C6511"/>
    <w:rsid w:val="54A72E72"/>
    <w:rsid w:val="550C10F3"/>
    <w:rsid w:val="551A1B2C"/>
    <w:rsid w:val="551F637A"/>
    <w:rsid w:val="55416F2E"/>
    <w:rsid w:val="55694326"/>
    <w:rsid w:val="55786DF3"/>
    <w:rsid w:val="558C43EA"/>
    <w:rsid w:val="55A57512"/>
    <w:rsid w:val="55D24340"/>
    <w:rsid w:val="55D944E9"/>
    <w:rsid w:val="56334422"/>
    <w:rsid w:val="564D31A3"/>
    <w:rsid w:val="5708068E"/>
    <w:rsid w:val="570C5B60"/>
    <w:rsid w:val="571A28F7"/>
    <w:rsid w:val="574673E6"/>
    <w:rsid w:val="57470E3C"/>
    <w:rsid w:val="575171CD"/>
    <w:rsid w:val="57595384"/>
    <w:rsid w:val="57692976"/>
    <w:rsid w:val="57A23AD5"/>
    <w:rsid w:val="57AB43E4"/>
    <w:rsid w:val="580409C8"/>
    <w:rsid w:val="58160210"/>
    <w:rsid w:val="58657096"/>
    <w:rsid w:val="58B34C17"/>
    <w:rsid w:val="58DA495B"/>
    <w:rsid w:val="58E340E1"/>
    <w:rsid w:val="58E65065"/>
    <w:rsid w:val="592E45E7"/>
    <w:rsid w:val="593E6D79"/>
    <w:rsid w:val="594D0A60"/>
    <w:rsid w:val="598516EC"/>
    <w:rsid w:val="598D14EA"/>
    <w:rsid w:val="59AF2478"/>
    <w:rsid w:val="59D3726C"/>
    <w:rsid w:val="59FF35B4"/>
    <w:rsid w:val="5A0A04CC"/>
    <w:rsid w:val="5A0B73C6"/>
    <w:rsid w:val="5A587B93"/>
    <w:rsid w:val="5A85128E"/>
    <w:rsid w:val="5AD511E6"/>
    <w:rsid w:val="5AD9459C"/>
    <w:rsid w:val="5AF52939"/>
    <w:rsid w:val="5B077197"/>
    <w:rsid w:val="5B0950EB"/>
    <w:rsid w:val="5B193781"/>
    <w:rsid w:val="5B280DC3"/>
    <w:rsid w:val="5B7E4486"/>
    <w:rsid w:val="5B7F4C05"/>
    <w:rsid w:val="5B9F0419"/>
    <w:rsid w:val="5BDC5266"/>
    <w:rsid w:val="5C040806"/>
    <w:rsid w:val="5C0E5EFD"/>
    <w:rsid w:val="5C6A3A2D"/>
    <w:rsid w:val="5C6C535E"/>
    <w:rsid w:val="5CA609EE"/>
    <w:rsid w:val="5CD4565B"/>
    <w:rsid w:val="5CE94F34"/>
    <w:rsid w:val="5CEC747F"/>
    <w:rsid w:val="5CF026B1"/>
    <w:rsid w:val="5D0D0C37"/>
    <w:rsid w:val="5D163BAD"/>
    <w:rsid w:val="5D192506"/>
    <w:rsid w:val="5D4B736F"/>
    <w:rsid w:val="5D6D4555"/>
    <w:rsid w:val="5D7424CA"/>
    <w:rsid w:val="5DB93117"/>
    <w:rsid w:val="5E496F58"/>
    <w:rsid w:val="5E5A35CD"/>
    <w:rsid w:val="5E9D76EC"/>
    <w:rsid w:val="5ED00919"/>
    <w:rsid w:val="5EE45AC2"/>
    <w:rsid w:val="5F237244"/>
    <w:rsid w:val="5F9252E7"/>
    <w:rsid w:val="5FA0576E"/>
    <w:rsid w:val="5FCFCC4F"/>
    <w:rsid w:val="5FD65C48"/>
    <w:rsid w:val="5FE252DE"/>
    <w:rsid w:val="5FF25578"/>
    <w:rsid w:val="601E603C"/>
    <w:rsid w:val="605032E1"/>
    <w:rsid w:val="606C7440"/>
    <w:rsid w:val="609F0F18"/>
    <w:rsid w:val="60BC613E"/>
    <w:rsid w:val="60C77C73"/>
    <w:rsid w:val="610309E8"/>
    <w:rsid w:val="613715D3"/>
    <w:rsid w:val="61966174"/>
    <w:rsid w:val="61A274BD"/>
    <w:rsid w:val="61A73945"/>
    <w:rsid w:val="61C03497"/>
    <w:rsid w:val="61D9446A"/>
    <w:rsid w:val="621619FB"/>
    <w:rsid w:val="623A0521"/>
    <w:rsid w:val="626457E5"/>
    <w:rsid w:val="626D2409"/>
    <w:rsid w:val="62700E0F"/>
    <w:rsid w:val="62994435"/>
    <w:rsid w:val="62B21879"/>
    <w:rsid w:val="62EE743B"/>
    <w:rsid w:val="633D1045"/>
    <w:rsid w:val="63627C1B"/>
    <w:rsid w:val="636F6665"/>
    <w:rsid w:val="63835A24"/>
    <w:rsid w:val="63957775"/>
    <w:rsid w:val="63A16F83"/>
    <w:rsid w:val="63E92BFA"/>
    <w:rsid w:val="640D0EB3"/>
    <w:rsid w:val="64156F42"/>
    <w:rsid w:val="64524C1C"/>
    <w:rsid w:val="6459249E"/>
    <w:rsid w:val="649C04A0"/>
    <w:rsid w:val="64A04927"/>
    <w:rsid w:val="64B8660E"/>
    <w:rsid w:val="64BA54D1"/>
    <w:rsid w:val="64D3590E"/>
    <w:rsid w:val="64DF440C"/>
    <w:rsid w:val="650B40BC"/>
    <w:rsid w:val="651470DE"/>
    <w:rsid w:val="65162368"/>
    <w:rsid w:val="651F4152"/>
    <w:rsid w:val="656D07F8"/>
    <w:rsid w:val="659A1C68"/>
    <w:rsid w:val="65CF7598"/>
    <w:rsid w:val="66004BC8"/>
    <w:rsid w:val="6620171C"/>
    <w:rsid w:val="66345DC3"/>
    <w:rsid w:val="663933C4"/>
    <w:rsid w:val="666D2919"/>
    <w:rsid w:val="66E11F2B"/>
    <w:rsid w:val="66F71F91"/>
    <w:rsid w:val="66FF1E88"/>
    <w:rsid w:val="67171CE9"/>
    <w:rsid w:val="672B1A53"/>
    <w:rsid w:val="67390D68"/>
    <w:rsid w:val="676D6DBC"/>
    <w:rsid w:val="67B32BA9"/>
    <w:rsid w:val="67BC0805"/>
    <w:rsid w:val="67D66668"/>
    <w:rsid w:val="67E85689"/>
    <w:rsid w:val="68754EED"/>
    <w:rsid w:val="689D1DFC"/>
    <w:rsid w:val="68C659C4"/>
    <w:rsid w:val="68CE0DFE"/>
    <w:rsid w:val="690A0622"/>
    <w:rsid w:val="690E4E43"/>
    <w:rsid w:val="6937082E"/>
    <w:rsid w:val="693A17B3"/>
    <w:rsid w:val="694542C0"/>
    <w:rsid w:val="69475245"/>
    <w:rsid w:val="696E700D"/>
    <w:rsid w:val="69832FBF"/>
    <w:rsid w:val="69AD626E"/>
    <w:rsid w:val="69CC32A0"/>
    <w:rsid w:val="69E84DAC"/>
    <w:rsid w:val="6A0311FB"/>
    <w:rsid w:val="6A174619"/>
    <w:rsid w:val="6A3F35DF"/>
    <w:rsid w:val="6A66349E"/>
    <w:rsid w:val="6A8A71EB"/>
    <w:rsid w:val="6AAF352E"/>
    <w:rsid w:val="6ACF3DC7"/>
    <w:rsid w:val="6B260059"/>
    <w:rsid w:val="6B275ADB"/>
    <w:rsid w:val="6B3D3064"/>
    <w:rsid w:val="6B3F5380"/>
    <w:rsid w:val="6B401A8B"/>
    <w:rsid w:val="6B6320BC"/>
    <w:rsid w:val="6BC12456"/>
    <w:rsid w:val="6BEB1045"/>
    <w:rsid w:val="6BFF57BE"/>
    <w:rsid w:val="6C0A02CC"/>
    <w:rsid w:val="6C2270AD"/>
    <w:rsid w:val="6C784DAE"/>
    <w:rsid w:val="6CB46566"/>
    <w:rsid w:val="6CC46801"/>
    <w:rsid w:val="6D315A65"/>
    <w:rsid w:val="6D696248"/>
    <w:rsid w:val="6D9745DB"/>
    <w:rsid w:val="6DA4006D"/>
    <w:rsid w:val="6DEE3754"/>
    <w:rsid w:val="6DFA687D"/>
    <w:rsid w:val="6E0A5F70"/>
    <w:rsid w:val="6E0D4219"/>
    <w:rsid w:val="6E303CB4"/>
    <w:rsid w:val="6E306D57"/>
    <w:rsid w:val="6E8D31A1"/>
    <w:rsid w:val="6E8F033A"/>
    <w:rsid w:val="6E962CCA"/>
    <w:rsid w:val="6EA44FA8"/>
    <w:rsid w:val="6EAA6A3D"/>
    <w:rsid w:val="6EB8009F"/>
    <w:rsid w:val="6EC46D7B"/>
    <w:rsid w:val="6EC7274E"/>
    <w:rsid w:val="6EE01159"/>
    <w:rsid w:val="6F2A116E"/>
    <w:rsid w:val="6F3D5A3F"/>
    <w:rsid w:val="6FCE54FF"/>
    <w:rsid w:val="7029182C"/>
    <w:rsid w:val="703E1036"/>
    <w:rsid w:val="70531CDF"/>
    <w:rsid w:val="705E5CE7"/>
    <w:rsid w:val="70995A9F"/>
    <w:rsid w:val="70BC1904"/>
    <w:rsid w:val="70CD3D9D"/>
    <w:rsid w:val="70D20225"/>
    <w:rsid w:val="70E92612"/>
    <w:rsid w:val="70F0732E"/>
    <w:rsid w:val="7118417F"/>
    <w:rsid w:val="712C43EB"/>
    <w:rsid w:val="716F25AF"/>
    <w:rsid w:val="71A401A9"/>
    <w:rsid w:val="71A4057D"/>
    <w:rsid w:val="71EF0FDD"/>
    <w:rsid w:val="71F95A89"/>
    <w:rsid w:val="72232150"/>
    <w:rsid w:val="72283A40"/>
    <w:rsid w:val="72381F8B"/>
    <w:rsid w:val="723B58B8"/>
    <w:rsid w:val="72A801AB"/>
    <w:rsid w:val="72BE1E90"/>
    <w:rsid w:val="72F96CB0"/>
    <w:rsid w:val="73023D3C"/>
    <w:rsid w:val="73206A31"/>
    <w:rsid w:val="732C7DC4"/>
    <w:rsid w:val="732F3E57"/>
    <w:rsid w:val="73476A2F"/>
    <w:rsid w:val="7349230D"/>
    <w:rsid w:val="736F2172"/>
    <w:rsid w:val="7377386A"/>
    <w:rsid w:val="738B299C"/>
    <w:rsid w:val="738D0614"/>
    <w:rsid w:val="73B522EC"/>
    <w:rsid w:val="743739F0"/>
    <w:rsid w:val="743E2295"/>
    <w:rsid w:val="74400A0E"/>
    <w:rsid w:val="7458686C"/>
    <w:rsid w:val="74703F13"/>
    <w:rsid w:val="74786AE1"/>
    <w:rsid w:val="749E2864"/>
    <w:rsid w:val="74A05D67"/>
    <w:rsid w:val="74C3179F"/>
    <w:rsid w:val="74F579F0"/>
    <w:rsid w:val="753D1469"/>
    <w:rsid w:val="757165D4"/>
    <w:rsid w:val="757D7878"/>
    <w:rsid w:val="758672DF"/>
    <w:rsid w:val="75891634"/>
    <w:rsid w:val="758C6C69"/>
    <w:rsid w:val="75942563"/>
    <w:rsid w:val="7597751A"/>
    <w:rsid w:val="75A731DB"/>
    <w:rsid w:val="75AC0215"/>
    <w:rsid w:val="75C003BD"/>
    <w:rsid w:val="75DE6480"/>
    <w:rsid w:val="75E108F2"/>
    <w:rsid w:val="76072D30"/>
    <w:rsid w:val="761F1962"/>
    <w:rsid w:val="76415493"/>
    <w:rsid w:val="769900A0"/>
    <w:rsid w:val="76C61E69"/>
    <w:rsid w:val="76D85607"/>
    <w:rsid w:val="76E528CD"/>
    <w:rsid w:val="76FB7CFE"/>
    <w:rsid w:val="775756E2"/>
    <w:rsid w:val="778C41B1"/>
    <w:rsid w:val="77A63295"/>
    <w:rsid w:val="77ED76CD"/>
    <w:rsid w:val="78175E36"/>
    <w:rsid w:val="78306EBD"/>
    <w:rsid w:val="78487D65"/>
    <w:rsid w:val="78582600"/>
    <w:rsid w:val="78586D7C"/>
    <w:rsid w:val="78687017"/>
    <w:rsid w:val="786C12A0"/>
    <w:rsid w:val="78792B34"/>
    <w:rsid w:val="78902219"/>
    <w:rsid w:val="78942963"/>
    <w:rsid w:val="78D31D5D"/>
    <w:rsid w:val="78DA3CC5"/>
    <w:rsid w:val="78FE503E"/>
    <w:rsid w:val="791C5BC1"/>
    <w:rsid w:val="799E7CA5"/>
    <w:rsid w:val="7A000BA4"/>
    <w:rsid w:val="7A1613EE"/>
    <w:rsid w:val="7A3E3B4E"/>
    <w:rsid w:val="7A795AFD"/>
    <w:rsid w:val="7A926C39"/>
    <w:rsid w:val="7ACA4603"/>
    <w:rsid w:val="7AFA7350"/>
    <w:rsid w:val="7B4C3AD3"/>
    <w:rsid w:val="7B694BFB"/>
    <w:rsid w:val="7B941ACD"/>
    <w:rsid w:val="7B9E45DB"/>
    <w:rsid w:val="7BFC23F6"/>
    <w:rsid w:val="7C4C127B"/>
    <w:rsid w:val="7C4F43FE"/>
    <w:rsid w:val="7CB37FF6"/>
    <w:rsid w:val="7D0506AA"/>
    <w:rsid w:val="7D0B6DC3"/>
    <w:rsid w:val="7D292894"/>
    <w:rsid w:val="7D2A6D01"/>
    <w:rsid w:val="7D5939B7"/>
    <w:rsid w:val="7D614348"/>
    <w:rsid w:val="7D941212"/>
    <w:rsid w:val="7DB97B45"/>
    <w:rsid w:val="7DEC2F26"/>
    <w:rsid w:val="7DFC793D"/>
    <w:rsid w:val="7E18726D"/>
    <w:rsid w:val="7E2A628E"/>
    <w:rsid w:val="7E3855A4"/>
    <w:rsid w:val="7E6305E6"/>
    <w:rsid w:val="7E8934D9"/>
    <w:rsid w:val="7E8F5FB2"/>
    <w:rsid w:val="7EAA4E4F"/>
    <w:rsid w:val="7F2C5AB1"/>
    <w:rsid w:val="7F3E42C1"/>
    <w:rsid w:val="7F81683F"/>
    <w:rsid w:val="7F862CC7"/>
    <w:rsid w:val="7FDE760D"/>
    <w:rsid w:val="7FF12376"/>
    <w:rsid w:val="FFBF8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99"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jc w:val="both"/>
      <w:textAlignment w:val="baseline"/>
    </w:pPr>
    <w:rPr>
      <w:rFonts w:ascii="Calibri" w:hAnsi="Calibri" w:eastAsia="宋体" w:cs="Times New Roman"/>
      <w:kern w:val="2"/>
      <w:sz w:val="21"/>
      <w:szCs w:val="22"/>
      <w:lang w:val="en-US" w:eastAsia="zh-CN" w:bidi="ar-SA"/>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40"/>
    <w:qFormat/>
    <w:uiPriority w:val="0"/>
    <w:pPr>
      <w:tabs>
        <w:tab w:val="center" w:pos="4153"/>
        <w:tab w:val="right" w:pos="8306"/>
      </w:tabs>
      <w:snapToGrid w:val="0"/>
      <w:jc w:val="left"/>
    </w:pPr>
    <w:rPr>
      <w:sz w:val="18"/>
      <w:szCs w:val="18"/>
    </w:rPr>
  </w:style>
  <w:style w:type="paragraph" w:styleId="3">
    <w:name w:val="Normal Indent"/>
    <w:basedOn w:val="1"/>
    <w:qFormat/>
    <w:uiPriority w:val="0"/>
    <w:pPr>
      <w:ind w:firstLine="420"/>
    </w:pPr>
    <w:rPr>
      <w:sz w:val="24"/>
      <w:szCs w:val="20"/>
    </w:rPr>
  </w:style>
  <w:style w:type="paragraph" w:styleId="4">
    <w:name w:val="annotation text"/>
    <w:basedOn w:val="1"/>
    <w:link w:val="38"/>
    <w:qFormat/>
    <w:uiPriority w:val="0"/>
    <w:pPr>
      <w:jc w:val="left"/>
    </w:pPr>
  </w:style>
  <w:style w:type="paragraph" w:styleId="5">
    <w:name w:val="Body Text"/>
    <w:basedOn w:val="1"/>
    <w:unhideWhenUsed/>
    <w:qFormat/>
    <w:uiPriority w:val="99"/>
    <w:pPr>
      <w:spacing w:after="120"/>
      <w:jc w:val="left"/>
    </w:pPr>
    <w:rPr>
      <w:rFonts w:ascii="Times New Roman" w:hAnsi="Times New Roman"/>
      <w:kern w:val="0"/>
      <w:sz w:val="20"/>
    </w:rPr>
  </w:style>
  <w:style w:type="paragraph" w:styleId="6">
    <w:name w:val="Body Text Indent"/>
    <w:basedOn w:val="1"/>
    <w:qFormat/>
    <w:uiPriority w:val="99"/>
    <w:pPr>
      <w:spacing w:line="360" w:lineRule="auto"/>
      <w:ind w:firstLine="482"/>
      <w:textAlignment w:val="auto"/>
    </w:pPr>
    <w:rPr>
      <w:sz w:val="24"/>
    </w:rPr>
  </w:style>
  <w:style w:type="paragraph" w:styleId="7">
    <w:name w:val="Balloon Text"/>
    <w:basedOn w:val="1"/>
    <w:link w:val="31"/>
    <w:qFormat/>
    <w:uiPriority w:val="0"/>
    <w:rPr>
      <w:sz w:val="18"/>
      <w:szCs w:val="18"/>
    </w:rPr>
  </w:style>
  <w:style w:type="paragraph" w:styleId="8">
    <w:name w:val="header"/>
    <w:basedOn w:val="1"/>
    <w:link w:val="39"/>
    <w:qFormat/>
    <w:uiPriority w:val="0"/>
    <w:pPr>
      <w:pBdr>
        <w:bottom w:val="single" w:color="auto" w:sz="6" w:space="1"/>
      </w:pBdr>
      <w:tabs>
        <w:tab w:val="center" w:pos="4153"/>
        <w:tab w:val="right" w:pos="8306"/>
      </w:tabs>
      <w:snapToGrid w:val="0"/>
      <w:jc w:val="center"/>
    </w:pPr>
    <w:rPr>
      <w:sz w:val="18"/>
      <w:szCs w:val="18"/>
    </w:rPr>
  </w:style>
  <w:style w:type="paragraph" w:styleId="9">
    <w:name w:val="List"/>
    <w:basedOn w:val="1"/>
    <w:qFormat/>
    <w:uiPriority w:val="99"/>
    <w:pPr>
      <w:spacing w:beforeLines="20" w:afterLines="20"/>
      <w:jc w:val="center"/>
    </w:pPr>
    <w:rPr>
      <w:b/>
    </w:rPr>
  </w:style>
  <w:style w:type="paragraph" w:styleId="10">
    <w:name w:val="footnote text"/>
    <w:basedOn w:val="1"/>
    <w:qFormat/>
    <w:uiPriority w:val="0"/>
    <w:pPr>
      <w:snapToGrid w:val="0"/>
      <w:jc w:val="left"/>
    </w:pPr>
    <w:rPr>
      <w:sz w:val="18"/>
    </w:rPr>
  </w:style>
  <w:style w:type="paragraph" w:styleId="11">
    <w:name w:val="annotation subject"/>
    <w:basedOn w:val="4"/>
    <w:next w:val="4"/>
    <w:link w:val="33"/>
    <w:qFormat/>
    <w:uiPriority w:val="0"/>
    <w:rPr>
      <w:b/>
      <w:bCs/>
    </w:rPr>
  </w:style>
  <w:style w:type="paragraph" w:styleId="12">
    <w:name w:val="Body Text First Indent 2"/>
    <w:basedOn w:val="6"/>
    <w:next w:val="13"/>
    <w:qFormat/>
    <w:uiPriority w:val="99"/>
    <w:pPr>
      <w:adjustRightInd/>
      <w:spacing w:after="120" w:line="240" w:lineRule="auto"/>
      <w:ind w:leftChars="200" w:firstLine="420" w:firstLineChars="200"/>
    </w:pPr>
    <w:rPr>
      <w:kern w:val="2"/>
      <w:sz w:val="21"/>
      <w:szCs w:val="24"/>
    </w:rPr>
  </w:style>
  <w:style w:type="paragraph" w:customStyle="1" w:styleId="13">
    <w:name w:val="表格文字"/>
    <w:basedOn w:val="9"/>
    <w:next w:val="1"/>
    <w:qFormat/>
    <w:uiPriority w:val="0"/>
    <w:pPr>
      <w:adjustRightInd w:val="0"/>
      <w:spacing w:line="420" w:lineRule="atLeast"/>
      <w:jc w:val="left"/>
      <w:textAlignment w:val="baseline"/>
    </w:pPr>
    <w:rPr>
      <w:kern w:val="0"/>
      <w:szCs w:val="20"/>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annotation reference"/>
    <w:qFormat/>
    <w:uiPriority w:val="0"/>
    <w:rPr>
      <w:sz w:val="21"/>
      <w:szCs w:val="21"/>
    </w:rPr>
  </w:style>
  <w:style w:type="character" w:styleId="18">
    <w:name w:val="footnote reference"/>
    <w:qFormat/>
    <w:uiPriority w:val="0"/>
    <w:rPr>
      <w:rFonts w:hint="eastAsia" w:ascii="宋体" w:hAnsi="宋体" w:eastAsia="宋体"/>
      <w:kern w:val="2"/>
      <w:sz w:val="21"/>
      <w:vertAlign w:val="superscript"/>
      <w:lang w:val="en-US" w:eastAsia="zh-CN"/>
    </w:rPr>
  </w:style>
  <w:style w:type="paragraph" w:customStyle="1" w:styleId="19">
    <w:name w:val="BodyText"/>
    <w:basedOn w:val="1"/>
    <w:next w:val="1"/>
    <w:qFormat/>
    <w:uiPriority w:val="0"/>
    <w:pPr>
      <w:jc w:val="center"/>
      <w:textAlignment w:val="baseline"/>
    </w:pPr>
    <w:rPr>
      <w:shd w:val="clear" w:color="auto" w:fill="00FFFF"/>
    </w:rPr>
  </w:style>
  <w:style w:type="character" w:customStyle="1" w:styleId="20">
    <w:name w:val="UserStyle_4"/>
    <w:link w:val="21"/>
    <w:qFormat/>
    <w:uiPriority w:val="0"/>
    <w:rPr>
      <w:rFonts w:ascii="Calibri" w:hAnsi="Calibri"/>
      <w:kern w:val="2"/>
      <w:sz w:val="18"/>
      <w:szCs w:val="18"/>
    </w:rPr>
  </w:style>
  <w:style w:type="paragraph" w:customStyle="1" w:styleId="21">
    <w:name w:val="Acetate"/>
    <w:basedOn w:val="1"/>
    <w:link w:val="20"/>
    <w:qFormat/>
    <w:uiPriority w:val="0"/>
    <w:rPr>
      <w:sz w:val="18"/>
      <w:szCs w:val="18"/>
    </w:rPr>
  </w:style>
  <w:style w:type="character" w:customStyle="1" w:styleId="22">
    <w:name w:val="UserStyle_1"/>
    <w:link w:val="23"/>
    <w:qFormat/>
    <w:uiPriority w:val="0"/>
    <w:rPr>
      <w:rFonts w:ascii="Calibri" w:hAnsi="Calibri" w:cs="Times New Roman"/>
      <w:b/>
      <w:bCs/>
      <w:kern w:val="2"/>
      <w:sz w:val="21"/>
      <w:szCs w:val="22"/>
    </w:rPr>
  </w:style>
  <w:style w:type="paragraph" w:customStyle="1" w:styleId="23">
    <w:name w:val="AnnotationSubject"/>
    <w:basedOn w:val="24"/>
    <w:next w:val="24"/>
    <w:link w:val="22"/>
    <w:qFormat/>
    <w:uiPriority w:val="0"/>
    <w:rPr>
      <w:b/>
      <w:bCs/>
    </w:rPr>
  </w:style>
  <w:style w:type="paragraph" w:customStyle="1" w:styleId="24">
    <w:name w:val="AnnotationText"/>
    <w:basedOn w:val="1"/>
    <w:link w:val="32"/>
    <w:qFormat/>
    <w:uiPriority w:val="0"/>
    <w:pPr>
      <w:jc w:val="left"/>
    </w:pPr>
  </w:style>
  <w:style w:type="character" w:customStyle="1" w:styleId="25">
    <w:name w:val="AnnotationReference"/>
    <w:qFormat/>
    <w:uiPriority w:val="0"/>
    <w:rPr>
      <w:sz w:val="21"/>
      <w:szCs w:val="21"/>
    </w:rPr>
  </w:style>
  <w:style w:type="character" w:customStyle="1" w:styleId="26">
    <w:name w:val="UserStyle_0"/>
    <w:link w:val="27"/>
    <w:qFormat/>
    <w:uiPriority w:val="0"/>
    <w:rPr>
      <w:rFonts w:ascii="宋体" w:hAnsi="Calibri"/>
      <w:kern w:val="2"/>
      <w:sz w:val="18"/>
      <w:szCs w:val="18"/>
    </w:rPr>
  </w:style>
  <w:style w:type="paragraph" w:customStyle="1" w:styleId="27">
    <w:name w:val="NavPane"/>
    <w:basedOn w:val="1"/>
    <w:link w:val="26"/>
    <w:qFormat/>
    <w:uiPriority w:val="0"/>
    <w:rPr>
      <w:rFonts w:ascii="宋体"/>
      <w:sz w:val="18"/>
      <w:szCs w:val="18"/>
    </w:rPr>
  </w:style>
  <w:style w:type="character" w:customStyle="1" w:styleId="28">
    <w:name w:val="脚注引用1"/>
    <w:qFormat/>
    <w:uiPriority w:val="0"/>
    <w:rPr>
      <w:rFonts w:hint="eastAsia" w:ascii="宋体" w:hAnsi="宋体" w:eastAsia="宋体"/>
      <w:kern w:val="2"/>
      <w:sz w:val="21"/>
      <w:vertAlign w:val="superscript"/>
      <w:lang w:val="en-US" w:eastAsia="zh-CN"/>
    </w:rPr>
  </w:style>
  <w:style w:type="character" w:customStyle="1" w:styleId="29">
    <w:name w:val="批注框文本 字符"/>
    <w:link w:val="30"/>
    <w:qFormat/>
    <w:uiPriority w:val="0"/>
    <w:rPr>
      <w:rFonts w:ascii="Calibri" w:hAnsi="Calibri"/>
      <w:kern w:val="2"/>
      <w:sz w:val="18"/>
      <w:szCs w:val="18"/>
    </w:rPr>
  </w:style>
  <w:style w:type="paragraph" w:customStyle="1" w:styleId="30">
    <w:name w:val="批注框文本1"/>
    <w:basedOn w:val="1"/>
    <w:link w:val="29"/>
    <w:qFormat/>
    <w:uiPriority w:val="0"/>
    <w:rPr>
      <w:sz w:val="18"/>
      <w:szCs w:val="18"/>
    </w:rPr>
  </w:style>
  <w:style w:type="character" w:customStyle="1" w:styleId="31">
    <w:name w:val="批注框文本 Char"/>
    <w:link w:val="7"/>
    <w:qFormat/>
    <w:uiPriority w:val="0"/>
    <w:rPr>
      <w:rFonts w:ascii="Calibri" w:hAnsi="Calibri"/>
      <w:kern w:val="2"/>
      <w:sz w:val="18"/>
      <w:szCs w:val="18"/>
    </w:rPr>
  </w:style>
  <w:style w:type="character" w:customStyle="1" w:styleId="32">
    <w:name w:val="UserStyle_2"/>
    <w:link w:val="24"/>
    <w:qFormat/>
    <w:uiPriority w:val="0"/>
    <w:rPr>
      <w:rFonts w:ascii="Calibri" w:hAnsi="Calibri"/>
      <w:kern w:val="2"/>
      <w:sz w:val="21"/>
      <w:szCs w:val="22"/>
    </w:rPr>
  </w:style>
  <w:style w:type="character" w:customStyle="1" w:styleId="33">
    <w:name w:val="批注主题 Char"/>
    <w:link w:val="11"/>
    <w:qFormat/>
    <w:uiPriority w:val="0"/>
    <w:rPr>
      <w:rFonts w:ascii="Calibri" w:hAnsi="Calibri"/>
      <w:b/>
      <w:bCs/>
      <w:kern w:val="2"/>
      <w:sz w:val="21"/>
      <w:szCs w:val="22"/>
    </w:rPr>
  </w:style>
  <w:style w:type="character" w:customStyle="1" w:styleId="34">
    <w:name w:val="页眉 字符"/>
    <w:link w:val="35"/>
    <w:qFormat/>
    <w:uiPriority w:val="0"/>
    <w:rPr>
      <w:rFonts w:ascii="Calibri" w:hAnsi="Calibri"/>
      <w:kern w:val="2"/>
      <w:sz w:val="18"/>
      <w:szCs w:val="18"/>
    </w:rPr>
  </w:style>
  <w:style w:type="paragraph" w:customStyle="1" w:styleId="35">
    <w:name w:val="页眉1"/>
    <w:basedOn w:val="1"/>
    <w:link w:val="34"/>
    <w:qFormat/>
    <w:uiPriority w:val="0"/>
    <w:pPr>
      <w:pBdr>
        <w:bottom w:val="single" w:color="000000" w:sz="6" w:space="1"/>
      </w:pBdr>
      <w:tabs>
        <w:tab w:val="center" w:pos="4153"/>
        <w:tab w:val="right" w:pos="8306"/>
      </w:tabs>
      <w:snapToGrid w:val="0"/>
      <w:jc w:val="center"/>
    </w:pPr>
    <w:rPr>
      <w:sz w:val="18"/>
      <w:szCs w:val="18"/>
    </w:rPr>
  </w:style>
  <w:style w:type="character" w:customStyle="1" w:styleId="36">
    <w:name w:val="批注引用1"/>
    <w:qFormat/>
    <w:uiPriority w:val="0"/>
    <w:rPr>
      <w:sz w:val="21"/>
      <w:szCs w:val="21"/>
    </w:rPr>
  </w:style>
  <w:style w:type="character" w:customStyle="1" w:styleId="37">
    <w:name w:val="NormalCharacter"/>
    <w:qFormat/>
    <w:uiPriority w:val="0"/>
  </w:style>
  <w:style w:type="character" w:customStyle="1" w:styleId="38">
    <w:name w:val="批注文字 Char"/>
    <w:link w:val="4"/>
    <w:qFormat/>
    <w:uiPriority w:val="0"/>
    <w:rPr>
      <w:rFonts w:ascii="Calibri" w:hAnsi="Calibri"/>
      <w:kern w:val="2"/>
      <w:sz w:val="21"/>
      <w:szCs w:val="22"/>
    </w:rPr>
  </w:style>
  <w:style w:type="character" w:customStyle="1" w:styleId="39">
    <w:name w:val="页眉 Char"/>
    <w:link w:val="8"/>
    <w:qFormat/>
    <w:uiPriority w:val="0"/>
    <w:rPr>
      <w:rFonts w:ascii="Calibri" w:hAnsi="Calibri"/>
      <w:kern w:val="2"/>
      <w:sz w:val="18"/>
      <w:szCs w:val="18"/>
    </w:rPr>
  </w:style>
  <w:style w:type="character" w:customStyle="1" w:styleId="40">
    <w:name w:val="页脚 Char"/>
    <w:link w:val="2"/>
    <w:qFormat/>
    <w:uiPriority w:val="0"/>
    <w:rPr>
      <w:rFonts w:ascii="Calibri" w:hAnsi="Calibri"/>
      <w:kern w:val="2"/>
      <w:sz w:val="18"/>
      <w:szCs w:val="18"/>
    </w:rPr>
  </w:style>
  <w:style w:type="paragraph" w:customStyle="1" w:styleId="41">
    <w:name w:val="修订1"/>
    <w:unhideWhenUsed/>
    <w:qFormat/>
    <w:uiPriority w:val="99"/>
    <w:rPr>
      <w:rFonts w:ascii="Calibri" w:hAnsi="Calibri" w:eastAsia="宋体" w:cs="Times New Roman"/>
      <w:kern w:val="2"/>
      <w:sz w:val="21"/>
      <w:szCs w:val="22"/>
      <w:lang w:val="en-US" w:eastAsia="zh-CN" w:bidi="ar-SA"/>
    </w:rPr>
  </w:style>
  <w:style w:type="paragraph" w:customStyle="1" w:styleId="42">
    <w:name w:val="普通(网站)1"/>
    <w:basedOn w:val="1"/>
    <w:qFormat/>
    <w:uiPriority w:val="0"/>
    <w:pPr>
      <w:jc w:val="left"/>
    </w:pPr>
    <w:rPr>
      <w:kern w:val="0"/>
      <w:sz w:val="24"/>
    </w:rPr>
  </w:style>
  <w:style w:type="paragraph" w:customStyle="1" w:styleId="43">
    <w:name w:val="引言二级条标题"/>
    <w:basedOn w:val="1"/>
    <w:next w:val="44"/>
    <w:unhideWhenUsed/>
    <w:qFormat/>
    <w:uiPriority w:val="99"/>
    <w:pPr>
      <w:tabs>
        <w:tab w:val="left" w:pos="360"/>
        <w:tab w:val="left" w:pos="1200"/>
        <w:tab w:val="left" w:pos="1320"/>
      </w:tabs>
      <w:ind w:left="840"/>
      <w:textAlignment w:val="auto"/>
    </w:pPr>
    <w:rPr>
      <w:rFonts w:hint="eastAsia" w:eastAsia="黑体"/>
      <w:szCs w:val="20"/>
    </w:rPr>
  </w:style>
  <w:style w:type="paragraph" w:customStyle="1" w:styleId="44">
    <w:name w:val="段"/>
    <w:qFormat/>
    <w:uiPriority w:val="0"/>
    <w:pPr>
      <w:autoSpaceDE w:val="0"/>
      <w:autoSpaceDN w:val="0"/>
      <w:ind w:firstLine="200"/>
      <w:jc w:val="both"/>
    </w:pPr>
    <w:rPr>
      <w:rFonts w:ascii="宋体" w:hAnsi="Calibri" w:eastAsia="宋体" w:cs="Times New Roman"/>
      <w:sz w:val="21"/>
      <w:szCs w:val="22"/>
      <w:lang w:val="en-US" w:eastAsia="zh-CN" w:bidi="ar-SA"/>
    </w:rPr>
  </w:style>
  <w:style w:type="paragraph" w:customStyle="1" w:styleId="45">
    <w:name w:val="正文文本1"/>
    <w:basedOn w:val="1"/>
    <w:next w:val="1"/>
    <w:qFormat/>
    <w:uiPriority w:val="0"/>
    <w:pPr>
      <w:spacing w:after="120"/>
    </w:pPr>
    <w:rPr>
      <w:sz w:val="24"/>
    </w:rPr>
  </w:style>
  <w:style w:type="paragraph" w:customStyle="1" w:styleId="46">
    <w:name w:val="bn"/>
    <w:basedOn w:val="1"/>
    <w:qFormat/>
    <w:uiPriority w:val="0"/>
    <w:pPr>
      <w:snapToGrid w:val="0"/>
      <w:ind w:left="25" w:leftChars="25" w:right="25" w:rightChars="25"/>
      <w:jc w:val="center"/>
    </w:pPr>
    <w:rPr>
      <w:color w:val="000000"/>
      <w:kern w:val="18"/>
      <w:sz w:val="18"/>
    </w:rPr>
  </w:style>
  <w:style w:type="paragraph" w:customStyle="1" w:styleId="47">
    <w:name w:val="UserStyle_5"/>
    <w:basedOn w:val="1"/>
    <w:qFormat/>
    <w:uiPriority w:val="0"/>
    <w:pPr>
      <w:ind w:firstLine="420" w:firstLineChars="200"/>
    </w:pPr>
  </w:style>
  <w:style w:type="paragraph" w:customStyle="1" w:styleId="48">
    <w:name w:val="脚注文本1"/>
    <w:basedOn w:val="1"/>
    <w:qFormat/>
    <w:uiPriority w:val="0"/>
    <w:pPr>
      <w:snapToGrid w:val="0"/>
      <w:jc w:val="left"/>
    </w:pPr>
    <w:rPr>
      <w:sz w:val="18"/>
    </w:rPr>
  </w:style>
  <w:style w:type="paragraph" w:customStyle="1" w:styleId="49">
    <w:name w:val="p15"/>
    <w:basedOn w:val="1"/>
    <w:qFormat/>
    <w:uiPriority w:val="0"/>
    <w:pPr>
      <w:spacing w:before="100" w:beforeAutospacing="1" w:after="100" w:afterAutospacing="1"/>
      <w:jc w:val="left"/>
    </w:pPr>
    <w:rPr>
      <w:rFonts w:ascii="宋体" w:hAnsi="宋体"/>
      <w:kern w:val="0"/>
      <w:sz w:val="24"/>
    </w:rPr>
  </w:style>
  <w:style w:type="paragraph" w:customStyle="1" w:styleId="50">
    <w:name w:val="批注文字1"/>
    <w:basedOn w:val="1"/>
    <w:qFormat/>
    <w:uiPriority w:val="0"/>
    <w:pPr>
      <w:jc w:val="left"/>
    </w:pPr>
  </w:style>
  <w:style w:type="paragraph" w:customStyle="1" w:styleId="51">
    <w:name w:val="页脚1"/>
    <w:basedOn w:val="1"/>
    <w:qFormat/>
    <w:uiPriority w:val="0"/>
    <w:pPr>
      <w:tabs>
        <w:tab w:val="center" w:pos="4153"/>
        <w:tab w:val="right" w:pos="8306"/>
      </w:tabs>
      <w:snapToGrid w:val="0"/>
      <w:jc w:val="left"/>
    </w:pPr>
    <w:rPr>
      <w:sz w:val="18"/>
      <w:szCs w:val="18"/>
    </w:rPr>
  </w:style>
  <w:style w:type="paragraph" w:customStyle="1" w:styleId="52">
    <w:name w:val="p0"/>
    <w:basedOn w:val="1"/>
    <w:qFormat/>
    <w:uiPriority w:val="0"/>
    <w:pPr>
      <w:spacing w:before="100" w:beforeAutospacing="1" w:after="100" w:afterAutospacing="1"/>
      <w:jc w:val="left"/>
    </w:pPr>
    <w:rPr>
      <w:rFonts w:ascii="宋体" w:hAnsi="宋体"/>
      <w:kern w:val="0"/>
      <w:sz w:val="24"/>
    </w:rPr>
  </w:style>
  <w:style w:type="paragraph" w:customStyle="1" w:styleId="53">
    <w:name w:val="正文文本2"/>
    <w:basedOn w:val="1"/>
    <w:next w:val="1"/>
    <w:qFormat/>
    <w:uiPriority w:val="0"/>
    <w:pPr>
      <w:spacing w:after="120"/>
    </w:pPr>
    <w:rPr>
      <w:sz w:val="24"/>
    </w:rPr>
  </w:style>
  <w:style w:type="paragraph" w:customStyle="1" w:styleId="54">
    <w:name w:val="修订2"/>
    <w:hidden/>
    <w:unhideWhenUsed/>
    <w:qFormat/>
    <w:uiPriority w:val="99"/>
    <w:rPr>
      <w:rFonts w:ascii="Calibri" w:hAnsi="Calibri" w:eastAsia="宋体" w:cs="Times New Roman"/>
      <w:kern w:val="2"/>
      <w:sz w:val="21"/>
      <w:szCs w:val="22"/>
      <w:lang w:val="en-US" w:eastAsia="zh-CN" w:bidi="ar-SA"/>
    </w:rPr>
  </w:style>
  <w:style w:type="paragraph" w:customStyle="1" w:styleId="55">
    <w:name w:val="Table Paragraph"/>
    <w:basedOn w:val="1"/>
    <w:qFormat/>
    <w:uiPriority w:val="1"/>
    <w:rPr>
      <w:rFonts w:ascii="宋体" w:hAnsi="宋体" w:eastAsia="宋体" w:cs="宋体"/>
      <w:lang w:val="zh-CN" w:eastAsia="zh-CN" w:bidi="zh-CN"/>
    </w:rPr>
  </w:style>
  <w:style w:type="paragraph" w:customStyle="1" w:styleId="56">
    <w:name w:val="Title"/>
    <w:basedOn w:val="1"/>
    <w:qFormat/>
    <w:uiPriority w:val="0"/>
    <w:pPr>
      <w:spacing w:before="240" w:beforeLines="0" w:beforeAutospacing="0" w:after="60" w:afterLines="0" w:afterAutospacing="0"/>
      <w:jc w:val="center"/>
      <w:outlineLvl w:val="0"/>
    </w:pPr>
    <w:rPr>
      <w:rFonts w:ascii="Arial" w:hAnsi="Arial"/>
      <w:b/>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神州网信技术有限公司</Company>
  <Pages>53</Pages>
  <Words>28696</Words>
  <Characters>29724</Characters>
  <Lines>341</Lines>
  <Paragraphs>96</Paragraphs>
  <TotalTime>9</TotalTime>
  <ScaleCrop>false</ScaleCrop>
  <LinksUpToDate>false</LinksUpToDate>
  <CharactersWithSpaces>30279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2022-10-25T18:46:00Z</dcterms:created>
  <dc:creator>sgm</dc:creator>
  <cp:lastModifiedBy>陈卫</cp:lastModifiedBy>
  <dcterms:modified xsi:type="dcterms:W3CDTF">2026-08-18T01:22:27Z</dcterms:modified>
  <dc:title>合同条款差异对比表</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44C863685DDC470C95F31D003AF767E1_13</vt:lpwstr>
  </property>
  <property fmtid="{D5CDD505-2E9C-101B-9397-08002B2CF9AE}" pid="4" name="KSOTemplateDocerSaveRecord">
    <vt:lpwstr>eyJoZGlkIjoiYWY0NjZkYTY2M2U3NGQ1ZGI3ZThhY2U1OTRmNTcxN2YiLCJ1c2VySWQiOiIzMjM4NjI1NjYifQ==</vt:lpwstr>
  </property>
</Properties>
</file>