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rial" w:hAnsi="Arial"/>
          <w:b/>
          <w:sz w:val="46"/>
        </w:rPr>
        <w:t>Pčelarski eDnevnik</w:t>
      </w:r>
    </w:p>
    <w:p>
      <w:pPr>
        <w:jc w:val="center"/>
      </w:pPr>
      <w:r>
        <w:rPr>
          <w:rFonts w:ascii="Arial" w:hAnsi="Arial"/>
          <w:b/>
          <w:sz w:val="30"/>
        </w:rPr>
        <w:t>Current User Identification and Data Ownership</w:t>
      </w:r>
    </w:p>
    <w:p>
      <w:r>
        <w:t>This note explains how the backend knows which authenticated user is making a request, how user-owned data should be queried, and why the frontend normally should not send userId for ordinary user operations.</w:t>
      </w:r>
    </w:p>
    <w:p>
      <w:pPr>
        <w:pStyle w:val="Heading1"/>
      </w:pPr>
      <w:r>
        <w:t>1. Core rule</w:t>
      </w:r>
    </w:p>
    <w:p>
      <w:r>
        <w:rPr>
          <w:b/>
        </w:rPr>
        <w:t>For normal user-owned operations, do not trust a userId sent by the frontend.</w:t>
      </w:r>
    </w:p>
    <w:p>
      <w:r>
        <w:t>The backend derives the current user's identity from the validated access token. In this project OpenIddict places the user's stable Identity ID in the standard OpenID Connect subject claim (sub). After bearer-token validation, ASP.NET exposes those claims through ClaimsPrincipal.</w:t>
      </w:r>
    </w:p>
    <w:p>
      <w:pPr>
        <w:pStyle w:val="CodeBlock"/>
        <w:shd w:fill="F7F7F7"/>
      </w:pPr>
      <w:r>
        <w:t>Android/Web app</w:t>
        <w:br/>
        <w:t xml:space="preserve">    ↓</w:t>
        <w:br/>
        <w:t>Authorization: Bearer &lt;access_token&gt;</w:t>
        <w:br/>
        <w:t xml:space="preserve">    ↓</w:t>
        <w:br/>
        <w:t>ASP.NET Core + OpenIddict Validation</w:t>
        <w:br/>
        <w:t xml:space="preserve">    ↓</w:t>
        <w:br/>
        <w:t>ClaimsPrincipal</w:t>
        <w:br/>
        <w:t xml:space="preserve">    ↓</w:t>
        <w:br/>
        <w:t>sub = authenticated ApplicationUser.Id</w:t>
        <w:br/>
        <w:t xml:space="preserve">    ↓</w:t>
        <w:br/>
        <w:t>backend obtains current UserId</w:t>
        <w:br/>
        <w:t xml:space="preserve">    ↓</w:t>
        <w:br/>
        <w:t>query only data owned/accessible by that user</w:t>
      </w:r>
    </w:p>
    <w:p>
      <w:pPr>
        <w:pStyle w:val="Heading1"/>
      </w:pPr>
      <w:r>
        <w:t>2. Where the UserId comes from</w:t>
      </w:r>
    </w:p>
    <w:p>
      <w:r>
        <w:t>During /connect/authorize the backend creates the OpenIddict principal and sets Claims.Subject to ApplicationUser.Id. That value is carried into tokens. A protected API request therefore already contains the identity of the caller.</w:t>
      </w:r>
    </w:p>
    <w:p>
      <w:pPr>
        <w:pStyle w:val="CodeBlock"/>
        <w:shd w:fill="F7F7F7"/>
      </w:pPr>
      <w:r>
        <w:t>// Conceptually inside a protected endpoint/service:</w:t>
        <w:br/>
        <w:t>var userIdText = user.GetClaim(OpenIddictConstants.Claims.Subject);</w:t>
        <w:br/>
        <w:br/>
        <w:t>if (!Guid.TryParse(userIdText, out var userId))</w:t>
        <w:br/>
        <w:t>{</w:t>
        <w:br/>
        <w:t xml:space="preserve">    return Results.Unauthorized();</w:t>
        <w:br/>
        <w:t>}</w:t>
        <w:br/>
        <w:br/>
        <w:t>// userId is now the authenticated caller's Identity user ID.</w:t>
        <w:br/>
      </w:r>
    </w:p>
    <w:p>
      <w:r>
        <w:t>Your existing GET /api/me endpoint already demonstrates this pattern: it reads the subject claim from ClaimsPrincipal. The same mechanism should be used when loading pčelinjaci, košnice, društva, profiles, expenses and other user-owned data.</w:t>
      </w:r>
    </w:p>
    <w:p>
      <w:pPr>
        <w:pStyle w:val="Heading1"/>
      </w:pPr>
      <w:r>
        <w:t>3. Example: retrieving the current user's apiaries</w:t>
      </w:r>
    </w:p>
    <w:p>
      <w:r>
        <w:t>The frontend should normally request the resource without sending its own UserId:</w:t>
      </w:r>
    </w:p>
    <w:p>
      <w:pPr>
        <w:pStyle w:val="CodeBlock"/>
        <w:shd w:fill="F7F7F7"/>
      </w:pPr>
      <w:r>
        <w:t>GET /api/apiaries</w:t>
        <w:br/>
        <w:t>Authorization: Bearer &lt;access_token&gt;</w:t>
        <w:br/>
      </w:r>
    </w:p>
    <w:p>
      <w:r>
        <w:t>The backend then performs the ownership filter:</w:t>
      </w:r>
    </w:p>
    <w:p>
      <w:pPr>
        <w:pStyle w:val="CodeBlock"/>
        <w:shd w:fill="F7F7F7"/>
      </w:pPr>
      <w:r>
        <w:t>var userId = currentUser.UserId;</w:t>
        <w:br/>
        <w:br/>
        <w:t>var apiaries = await dbContext.Apiaries</w:t>
        <w:br/>
        <w:t xml:space="preserve">    .Where(apiary =&gt; apiary.OwnerUserId == userId)</w:t>
        <w:br/>
        <w:t xml:space="preserve">    .ToListAsync(cancellationToken);</w:t>
        <w:br/>
      </w:r>
    </w:p>
    <w:p>
      <w:r>
        <w:t>This prevents a malicious client from changing a request parameter from one user's ID to another user's ID.</w:t>
      </w:r>
    </w:p>
    <w:p>
      <w:pPr>
        <w:pStyle w:val="Heading1"/>
      </w:pPr>
      <w:r>
        <w:t>4. Example: creating user-owned data</w:t>
      </w:r>
    </w:p>
    <w:p>
      <w:r>
        <w:t>The create request should not contain OwnerUserId/UserId when ownership is implied by the logged-in user.</w:t>
      </w:r>
    </w:p>
    <w:p>
      <w:pPr>
        <w:pStyle w:val="CodeBlock"/>
        <w:shd w:fill="F7F7F7"/>
      </w:pPr>
      <w:r>
        <w:t>// Frontend request</w:t>
        <w:br/>
        <w:t>POST /api/apiaries</w:t>
        <w:br/>
        <w:br/>
        <w:t>{</w:t>
        <w:br/>
        <w:t xml:space="preserve">    "name": "Glavni pčelinjak"</w:t>
        <w:br/>
        <w:t>}</w:t>
        <w:br/>
        <w:br/>
        <w:t>// Backend</w:t>
        <w:br/>
        <w:t>var apiary = new Apiary(</w:t>
        <w:br/>
        <w:t xml:space="preserve">    id: Guid.NewGuid(),</w:t>
        <w:br/>
        <w:t xml:space="preserve">    ownerUserId: currentUser.UserId,</w:t>
        <w:br/>
        <w:t xml:space="preserve">    name: request.Name);</w:t>
        <w:br/>
      </w:r>
    </w:p>
    <w:p>
      <w:r>
        <w:t>The backend assigns ownership from the authenticated principal, so the caller cannot create an apiary for an arbitrary user.</w:t>
      </w:r>
    </w:p>
    <w:p>
      <w:pPr>
        <w:pStyle w:val="Heading1"/>
      </w:pPr>
      <w:r>
        <w:t>5. Example: retrieving one resource by ID</w:t>
      </w:r>
    </w:p>
    <w:p>
      <w:r>
        <w:t>An entity ID such as apiaryId can be sent by the frontend because it identifies the requested resource. However, the backend must still verify that the current user can access that entity.</w:t>
      </w:r>
    </w:p>
    <w:p>
      <w:pPr>
        <w:pStyle w:val="CodeBlock"/>
        <w:shd w:fill="F7F7F7"/>
      </w:pPr>
      <w:r>
        <w:t>GET /api/apiaries/{apiaryId}</w:t>
        <w:br/>
        <w:br/>
        <w:t>var apiary = await dbContext.Apiaries</w:t>
        <w:br/>
        <w:t xml:space="preserve">    .SingleOrDefaultAsync(</w:t>
        <w:br/>
        <w:t xml:space="preserve">        x =&gt; x.Id == apiaryId &amp;&amp;</w:t>
        <w:br/>
        <w:t xml:space="preserve">             x.OwnerUserId == currentUser.UserId,</w:t>
        <w:br/>
        <w:t xml:space="preserve">        cancellationToken);</w:t>
        <w:br/>
        <w:br/>
        <w:t>if (apiary is null)</w:t>
        <w:br/>
        <w:t>{</w:t>
        <w:br/>
        <w:t xml:space="preserve">    return Results.NotFound();</w:t>
        <w:br/>
        <w:t>}</w:t>
        <w:br/>
      </w:r>
    </w:p>
    <w:p>
      <w:r>
        <w:t>Filtering by both resource ID and authenticated owner is a simple and effective protection against insecure direct object reference (IDOR) problems.</w:t>
      </w:r>
    </w:p>
    <w:p>
      <w:pPr>
        <w:pStyle w:val="Heading1"/>
      </w:pPr>
      <w:r>
        <w:t>6. BeekeeperProfile relationship</w:t>
      </w:r>
    </w:p>
    <w:p>
      <w:r>
        <w:t>ApplicationUser and BeekeeperProfile have different responsibilities. ApplicationUser is the security identity; BeekeeperProfile stores beekeeper-domain information. BeekeeperProfile therefore keeps a UserId that points to the Identity user.</w:t>
      </w:r>
    </w:p>
    <w:p>
      <w:pPr>
        <w:pStyle w:val="CodeBlock"/>
        <w:shd w:fill="F7F7F7"/>
      </w:pPr>
      <w:r>
        <w:t>Access token:</w:t>
        <w:br/>
        <w:t>sub = ApplicationUser.Id</w:t>
        <w:br/>
        <w:t xml:space="preserve">        ↓</w:t>
        <w:br/>
        <w:t>currentUser.UserId</w:t>
        <w:br/>
        <w:t xml:space="preserve">        ↓</w:t>
        <w:br/>
        <w:t>BeekeeperProfile.UserId</w:t>
        <w:br/>
        <w:t xml:space="preserve">        ↓</w:t>
        <w:br/>
        <w:t>BeekeeperProfile.Id and beekeeper-specific data</w:t>
        <w:br/>
      </w:r>
    </w:p>
    <w:p>
      <w:r>
        <w:t>For example, GET /api/profile/me can derive UserId from the token and query BeekeeperProfile where profile.UserId == currentUser.UserId. The frontend does not need to know or send the Identity UserId.</w:t>
      </w:r>
    </w:p>
    <w:p>
      <w:pPr>
        <w:pStyle w:val="Heading1"/>
      </w:pPr>
      <w:r>
        <w:t>7. Recommended reusable abstraction</w:t>
      </w:r>
    </w:p>
    <w:p>
      <w:r>
        <w:t>As more modules are added, avoid parsing ClaimsPrincipal independently in every endpoint. Introduce a small scoped abstraction such as ICurrentUserContext.</w:t>
      </w:r>
    </w:p>
    <w:p>
      <w:pPr>
        <w:pStyle w:val="CodeBlock"/>
        <w:shd w:fill="F7F7F7"/>
      </w:pPr>
      <w:r>
        <w:t>public interface ICurrentUserContext</w:t>
        <w:br/>
        <w:t>{</w:t>
        <w:br/>
        <w:t xml:space="preserve">    Guid UserId { get; }</w:t>
        <w:br/>
        <w:t xml:space="preserve">    bool IsAuthenticated { get; }</w:t>
        <w:br/>
        <w:t>}</w:t>
        <w:br/>
      </w:r>
    </w:p>
    <w:p>
      <w:r>
        <w:t>The HTTP implementation can read Claims.Subject from HttpContext.User. Application commands/services receive the resolved UserId, while domain entities remain independent of HTTP/OpenIddict details.</w:t>
      </w:r>
    </w:p>
    <w:p>
      <w:pPr>
        <w:pStyle w:val="CodeBlock"/>
        <w:shd w:fill="F7F7F7"/>
      </w:pPr>
      <w:r>
        <w:t>Endpoint</w:t>
        <w:br/>
        <w:t xml:space="preserve">   ↓</w:t>
        <w:br/>
        <w:t>ICurrentUserContext.UserId</w:t>
        <w:br/>
        <w:t xml:space="preserve">   ↓</w:t>
        <w:br/>
        <w:t>Application command/query</w:t>
        <w:br/>
        <w:t xml:space="preserve">   ↓</w:t>
        <w:br/>
        <w:t>Repository/DbContext</w:t>
        <w:br/>
        <w:t xml:space="preserve">   ↓</w:t>
        <w:br/>
        <w:t>WHERE OwnerUserId = currentUser.UserId</w:t>
        <w:br/>
      </w:r>
    </w:p>
    <w:p>
      <w:pPr>
        <w:pStyle w:val="Heading1"/>
        <w:pageBreakBefore/>
      </w:pPr>
      <w:r>
        <w:t>8. When UserId may be explicitly supplied</w:t>
      </w:r>
    </w:p>
    <w:p>
      <w:r>
        <w:t>Explicit target user IDs can be legitimate for privileged workflows, but only after authorization checks.</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EAEAEA"/>
          </w:tcPr>
          <w:p>
            <w:r>
              <w:rPr>
                <w:rFonts w:ascii="Arial" w:hAnsi="Arial"/>
                <w:b/>
                <w:sz w:val="18"/>
              </w:rPr>
              <w:t>Scenario</w:t>
            </w:r>
          </w:p>
        </w:tc>
        <w:tc>
          <w:tcPr>
            <w:tcW w:type="dxa" w:w="3456"/>
            <w:shd w:fill="EAEAEA"/>
          </w:tcPr>
          <w:p>
            <w:r>
              <w:rPr>
                <w:rFonts w:ascii="Arial" w:hAnsi="Arial"/>
                <w:b/>
                <w:sz w:val="18"/>
              </w:rPr>
              <w:t>Should frontend send target userId?</w:t>
            </w:r>
          </w:p>
        </w:tc>
        <w:tc>
          <w:tcPr>
            <w:tcW w:type="dxa" w:w="5328"/>
            <w:shd w:fill="EAEAEA"/>
          </w:tcPr>
          <w:p>
            <w:r>
              <w:rPr>
                <w:rFonts w:ascii="Arial" w:hAnsi="Arial"/>
                <w:b/>
                <w:sz w:val="18"/>
              </w:rPr>
              <w:t>Backend requirement</w:t>
            </w:r>
          </w:p>
        </w:tc>
      </w:tr>
      <w:tr>
        <w:tc>
          <w:tcPr>
            <w:tcW w:type="dxa" w:w="2880"/>
          </w:tcPr>
          <w:p>
            <w:r>
              <w:rPr>
                <w:rFonts w:ascii="Arial" w:hAnsi="Arial"/>
                <w:sz w:val="17"/>
              </w:rPr>
              <w:t>Normal beekeeper loading own data</w:t>
            </w:r>
          </w:p>
        </w:tc>
        <w:tc>
          <w:tcPr>
            <w:tcW w:type="dxa" w:w="3456"/>
          </w:tcPr>
          <w:p>
            <w:r>
              <w:rPr>
                <w:rFonts w:ascii="Arial" w:hAnsi="Arial"/>
                <w:sz w:val="17"/>
              </w:rPr>
              <w:t>No</w:t>
            </w:r>
          </w:p>
        </w:tc>
        <w:tc>
          <w:tcPr>
            <w:tcW w:type="dxa" w:w="5328"/>
          </w:tcPr>
          <w:p>
            <w:r>
              <w:rPr>
                <w:rFonts w:ascii="Arial" w:hAnsi="Arial"/>
                <w:sz w:val="17"/>
              </w:rPr>
              <w:t>Derive current user from access token.</w:t>
            </w:r>
          </w:p>
        </w:tc>
      </w:tr>
      <w:tr>
        <w:tc>
          <w:tcPr>
            <w:tcW w:type="dxa" w:w="2880"/>
          </w:tcPr>
          <w:p>
            <w:r>
              <w:rPr>
                <w:rFonts w:ascii="Arial" w:hAnsi="Arial"/>
                <w:sz w:val="17"/>
              </w:rPr>
              <w:t>Normal beekeeper creating own data</w:t>
            </w:r>
          </w:p>
        </w:tc>
        <w:tc>
          <w:tcPr>
            <w:tcW w:type="dxa" w:w="3456"/>
          </w:tcPr>
          <w:p>
            <w:r>
              <w:rPr>
                <w:rFonts w:ascii="Arial" w:hAnsi="Arial"/>
                <w:sz w:val="17"/>
              </w:rPr>
              <w:t>No</w:t>
            </w:r>
          </w:p>
        </w:tc>
        <w:tc>
          <w:tcPr>
            <w:tcW w:type="dxa" w:w="5328"/>
          </w:tcPr>
          <w:p>
            <w:r>
              <w:rPr>
                <w:rFonts w:ascii="Arial" w:hAnsi="Arial"/>
                <w:sz w:val="17"/>
              </w:rPr>
              <w:t>Set owner from current user context.</w:t>
            </w:r>
          </w:p>
        </w:tc>
      </w:tr>
      <w:tr>
        <w:tc>
          <w:tcPr>
            <w:tcW w:type="dxa" w:w="2880"/>
          </w:tcPr>
          <w:p>
            <w:r>
              <w:rPr>
                <w:rFonts w:ascii="Arial" w:hAnsi="Arial"/>
                <w:sz w:val="17"/>
              </w:rPr>
              <w:t>Opening a specific apiary/hive</w:t>
            </w:r>
          </w:p>
        </w:tc>
        <w:tc>
          <w:tcPr>
            <w:tcW w:type="dxa" w:w="3456"/>
          </w:tcPr>
          <w:p>
            <w:r>
              <w:rPr>
                <w:rFonts w:ascii="Arial" w:hAnsi="Arial"/>
                <w:sz w:val="17"/>
              </w:rPr>
              <w:t>Send resource ID, not owner UserId</w:t>
            </w:r>
          </w:p>
        </w:tc>
        <w:tc>
          <w:tcPr>
            <w:tcW w:type="dxa" w:w="5328"/>
          </w:tcPr>
          <w:p>
            <w:r>
              <w:rPr>
                <w:rFonts w:ascii="Arial" w:hAnsi="Arial"/>
                <w:sz w:val="17"/>
              </w:rPr>
              <w:t>Verify resource belongs to/ is accessible by current user.</w:t>
            </w:r>
          </w:p>
        </w:tc>
      </w:tr>
      <w:tr>
        <w:tc>
          <w:tcPr>
            <w:tcW w:type="dxa" w:w="2880"/>
          </w:tcPr>
          <w:p>
            <w:r>
              <w:rPr>
                <w:rFonts w:ascii="Arial" w:hAnsi="Arial"/>
                <w:sz w:val="17"/>
              </w:rPr>
              <w:t>Future manager viewing worker/owner data</w:t>
            </w:r>
          </w:p>
        </w:tc>
        <w:tc>
          <w:tcPr>
            <w:tcW w:type="dxa" w:w="3456"/>
          </w:tcPr>
          <w:p>
            <w:r>
              <w:rPr>
                <w:rFonts w:ascii="Arial" w:hAnsi="Arial"/>
                <w:sz w:val="17"/>
              </w:rPr>
              <w:t>Possibly</w:t>
            </w:r>
          </w:p>
        </w:tc>
        <w:tc>
          <w:tcPr>
            <w:tcW w:type="dxa" w:w="5328"/>
          </w:tcPr>
          <w:p>
            <w:r>
              <w:rPr>
                <w:rFonts w:ascii="Arial" w:hAnsi="Arial"/>
                <w:sz w:val="17"/>
              </w:rPr>
              <w:t>Verify role + membership + permission before using target ID.</w:t>
            </w:r>
          </w:p>
        </w:tc>
      </w:tr>
      <w:tr>
        <w:tc>
          <w:tcPr>
            <w:tcW w:type="dxa" w:w="2880"/>
          </w:tcPr>
          <w:p>
            <w:r>
              <w:rPr>
                <w:rFonts w:ascii="Arial" w:hAnsi="Arial"/>
                <w:sz w:val="17"/>
              </w:rPr>
              <w:t>Administrator support operation</w:t>
            </w:r>
          </w:p>
        </w:tc>
        <w:tc>
          <w:tcPr>
            <w:tcW w:type="dxa" w:w="3456"/>
          </w:tcPr>
          <w:p>
            <w:r>
              <w:rPr>
                <w:rFonts w:ascii="Arial" w:hAnsi="Arial"/>
                <w:sz w:val="17"/>
              </w:rPr>
              <w:t>Possibly</w:t>
            </w:r>
          </w:p>
        </w:tc>
        <w:tc>
          <w:tcPr>
            <w:tcW w:type="dxa" w:w="5328"/>
          </w:tcPr>
          <w:p>
            <w:r>
              <w:rPr>
                <w:rFonts w:ascii="Arial" w:hAnsi="Arial"/>
                <w:sz w:val="17"/>
              </w:rPr>
              <w:t>Explicit privileged authorization policy and audit trail.</w:t>
            </w:r>
          </w:p>
        </w:tc>
      </w:tr>
    </w:tbl>
    <w:p/>
    <w:p>
      <w:pPr>
        <w:pStyle w:val="Heading1"/>
      </w:pPr>
      <w:r>
        <w:t>9. Recommended ownership model for future modules</w:t>
      </w:r>
    </w:p>
    <w:p>
      <w:pPr>
        <w:pStyle w:val="ListBullet"/>
        <w:spacing w:after="40"/>
      </w:pPr>
      <w:r>
        <w:t>Security identity: ApplicationUser.Id is the stable authenticated user identifier.</w:t>
      </w:r>
    </w:p>
    <w:p>
      <w:pPr>
        <w:pStyle w:val="ListBullet"/>
        <w:spacing w:after="40"/>
      </w:pPr>
      <w:r>
        <w:t>Domain profile: BeekeeperProfile.UserId links the beekeeper profile to ApplicationUser.</w:t>
      </w:r>
    </w:p>
    <w:p>
      <w:pPr>
        <w:pStyle w:val="ListBullet"/>
        <w:spacing w:after="40"/>
      </w:pPr>
      <w:r>
        <w:t>Top-level user-owned aggregates should carry an owner/membership relationship that the backend can authorize.</w:t>
      </w:r>
    </w:p>
    <w:p>
      <w:pPr>
        <w:pStyle w:val="ListBullet"/>
        <w:spacing w:after="40"/>
      </w:pPr>
      <w:r>
        <w:t>Child entities do not always need a direct UserId if ownership can be proven through their parent aggregate.</w:t>
      </w:r>
    </w:p>
    <w:p>
      <w:pPr>
        <w:pStyle w:val="ListBullet"/>
        <w:spacing w:after="40"/>
      </w:pPr>
      <w:r>
        <w:t>Never use a frontend-supplied UserId as proof of identity.</w:t>
      </w:r>
    </w:p>
    <w:p>
      <w:pPr>
        <w:pStyle w:val="ListBullet"/>
        <w:spacing w:after="40"/>
      </w:pPr>
      <w:r>
        <w:t>Always authorize on the backend, even if the frontend hides inaccessible UI.</w:t>
      </w:r>
    </w:p>
    <w:p>
      <w:pPr>
        <w:pStyle w:val="Heading1"/>
      </w:pPr>
      <w:r>
        <w:t>10. Practical rule for Pčelarski eDnevnik</w:t>
      </w:r>
    </w:p>
    <w:p>
      <w:pPr>
        <w:pStyle w:val="CodeBlock"/>
        <w:shd w:fill="F7F7F7"/>
      </w:pPr>
      <w:r>
        <w:t>Frontend sends:</w:t>
        <w:br/>
        <w:t xml:space="preserve">    resource data</w:t>
        <w:br/>
        <w:t xml:space="preserve">    resource IDs when needed</w:t>
        <w:br/>
        <w:t xml:space="preserve">    access token automatically</w:t>
        <w:br/>
        <w:br/>
        <w:t>Frontend normally does NOT send:</w:t>
        <w:br/>
        <w:t xml:space="preserve">    "this is my userId"</w:t>
        <w:br/>
        <w:br/>
        <w:t>Backend does:</w:t>
        <w:br/>
        <w:t xml:space="preserve">    validate access token</w:t>
        <w:br/>
        <w:t xml:space="preserve">    read sub claim</w:t>
        <w:br/>
        <w:t xml:space="preserve">    convert sub → current UserId</w:t>
        <w:br/>
        <w:t xml:space="preserve">    enforce ownership/membership</w:t>
        <w:br/>
        <w:t xml:space="preserve">    query/update only authorized data</w:t>
        <w:br/>
      </w:r>
    </w:p>
    <w:p>
      <w:r>
        <w:t>This design scales naturally from one user owning everything to future owner/manager/worker memberships. The authentication identity stays the same; only the authorization rule that determines which resources the current user may access becomes richer.</w:t>
      </w:r>
    </w:p>
    <w:sectPr w:rsidR="00FC693F" w:rsidRPr="0006063C" w:rsidSect="00034616">
      <w:head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Pčelarski eDnevnik — Current User &amp; Data Ownership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