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7A1" w:rsidRDefault="005F37A1" w:rsidP="005F37A1">
      <w:pPr>
        <w:jc w:val="both"/>
        <w:rPr>
          <w:rFonts w:ascii="AcadNusx" w:hAnsi="AcadNusx"/>
          <w:lang w:val="de-DE"/>
        </w:rPr>
      </w:pPr>
    </w:p>
    <w:p w:rsidR="005F37A1" w:rsidRDefault="005F37A1" w:rsidP="005F37A1">
      <w:pPr>
        <w:jc w:val="center"/>
        <w:rPr>
          <w:rFonts w:ascii="AcadNusx" w:hAnsi="AcadNusx"/>
          <w:b/>
          <w:lang w:val="de-DE"/>
        </w:rPr>
      </w:pPr>
      <w:proofErr w:type="spellStart"/>
      <w:r>
        <w:rPr>
          <w:rFonts w:ascii="Sylfaen" w:hAnsi="Sylfaen" w:cs="Sylfaen"/>
          <w:b/>
          <w:lang w:val="de-DE"/>
        </w:rPr>
        <w:t>მიღება</w:t>
      </w:r>
      <w:r>
        <w:rPr>
          <w:rFonts w:ascii="AcadNusx" w:hAnsi="AcadNusx"/>
          <w:b/>
          <w:lang w:val="de-DE"/>
        </w:rPr>
        <w:t>-</w:t>
      </w:r>
      <w:r>
        <w:rPr>
          <w:rFonts w:ascii="Sylfaen" w:hAnsi="Sylfaen" w:cs="Sylfaen"/>
          <w:b/>
          <w:lang w:val="de-DE"/>
        </w:rPr>
        <w:t>ჩაბარების</w:t>
      </w:r>
      <w:proofErr w:type="spellEnd"/>
      <w:r>
        <w:rPr>
          <w:rFonts w:ascii="AcadNusx" w:hAnsi="AcadNusx"/>
          <w:b/>
          <w:lang w:val="de-DE"/>
        </w:rPr>
        <w:t xml:space="preserve"> </w:t>
      </w:r>
      <w:proofErr w:type="spellStart"/>
      <w:r>
        <w:rPr>
          <w:rFonts w:ascii="Sylfaen" w:hAnsi="Sylfaen" w:cs="Sylfaen"/>
          <w:b/>
          <w:lang w:val="de-DE"/>
        </w:rPr>
        <w:t>აქტი</w:t>
      </w:r>
      <w:proofErr w:type="spellEnd"/>
      <w:r>
        <w:rPr>
          <w:rFonts w:ascii="Sylfaen" w:hAnsi="Sylfaen" w:cs="Sylfaen"/>
          <w:b/>
          <w:lang w:val="de-DE"/>
        </w:rPr>
        <w:t xml:space="preserve"> </w:t>
      </w:r>
    </w:p>
    <w:p w:rsidR="005F37A1" w:rsidRDefault="005F37A1" w:rsidP="005F37A1">
      <w:pPr>
        <w:jc w:val="both"/>
        <w:rPr>
          <w:rFonts w:ascii="AcadNusx" w:hAnsi="AcadNusx"/>
          <w:lang w:val="de-DE"/>
        </w:rPr>
      </w:pPr>
    </w:p>
    <w:p w:rsidR="005F37A1" w:rsidRDefault="005F37A1" w:rsidP="005F37A1">
      <w:pPr>
        <w:jc w:val="both"/>
        <w:rPr>
          <w:rFonts w:ascii="AcadNusx" w:hAnsi="AcadNusx"/>
          <w:b/>
          <w:lang w:val="de-DE"/>
        </w:rPr>
      </w:pPr>
      <w:r>
        <w:rPr>
          <w:rFonts w:ascii="Sylfaen" w:hAnsi="Sylfaen" w:cs="Sylfaen"/>
          <w:b/>
          <w:lang w:val="de-DE"/>
        </w:rPr>
        <w:t>ქ</w:t>
      </w:r>
      <w:r>
        <w:rPr>
          <w:rFonts w:ascii="AcadNusx" w:hAnsi="AcadNusx"/>
          <w:b/>
          <w:lang w:val="de-DE"/>
        </w:rPr>
        <w:t xml:space="preserve">. </w:t>
      </w:r>
      <w:proofErr w:type="spellStart"/>
      <w:r>
        <w:rPr>
          <w:rFonts w:ascii="Sylfaen" w:hAnsi="Sylfaen" w:cs="Sylfaen"/>
          <w:b/>
          <w:lang w:val="de-DE"/>
        </w:rPr>
        <w:t>თბილისი</w:t>
      </w:r>
      <w:proofErr w:type="spellEnd"/>
      <w:r>
        <w:rPr>
          <w:rFonts w:ascii="AcadNusx" w:hAnsi="AcadNusx"/>
          <w:b/>
          <w:lang w:val="de-DE"/>
        </w:rPr>
        <w:t xml:space="preserve">                                                       </w:t>
      </w:r>
      <w:r>
        <w:rPr>
          <w:rFonts w:ascii="Sylfaen" w:hAnsi="Sylfaen"/>
          <w:b/>
          <w:lang w:val="ka-GE"/>
        </w:rPr>
        <w:tab/>
      </w:r>
      <w:r>
        <w:rPr>
          <w:rFonts w:ascii="Sylfaen" w:hAnsi="Sylfaen"/>
          <w:b/>
          <w:lang w:val="ka-GE"/>
        </w:rPr>
        <w:tab/>
      </w:r>
      <w:r>
        <w:rPr>
          <w:rFonts w:ascii="Sylfaen" w:hAnsi="Sylfaen"/>
          <w:b/>
          <w:lang w:val="ka-GE"/>
        </w:rPr>
        <w:tab/>
      </w:r>
      <w:r>
        <w:rPr>
          <w:rFonts w:ascii="Sylfaen" w:hAnsi="Sylfaen"/>
          <w:b/>
          <w:lang w:val="ka-GE"/>
        </w:rPr>
        <w:tab/>
      </w:r>
      <w:bookmarkStart w:id="0" w:name="DocumentDate"/>
      <w:bookmarkEnd w:id="0"/>
    </w:p>
    <w:p w:rsidR="005F37A1" w:rsidRDefault="005F37A1" w:rsidP="005F37A1">
      <w:pPr>
        <w:jc w:val="both"/>
        <w:rPr>
          <w:rFonts w:ascii="AcadNusx" w:hAnsi="AcadNusx"/>
          <w:lang w:val="de-DE"/>
        </w:rPr>
      </w:pPr>
      <w:proofErr w:type="spellStart"/>
      <w:r>
        <w:rPr>
          <w:rFonts w:ascii="Sylfaen" w:hAnsi="Sylfaen" w:cs="Sylfaen"/>
          <w:lang w:val="de-DE"/>
        </w:rPr>
        <w:t>წინამდებარე</w:t>
      </w:r>
      <w:proofErr w:type="spellEnd"/>
      <w:r>
        <w:rPr>
          <w:rFonts w:ascii="AcadNusx" w:hAnsi="AcadNusx"/>
          <w:lang w:val="de-DE"/>
        </w:rPr>
        <w:t xml:space="preserve"> </w:t>
      </w:r>
      <w:proofErr w:type="spellStart"/>
      <w:r>
        <w:rPr>
          <w:rFonts w:ascii="Sylfaen" w:hAnsi="Sylfaen" w:cs="Sylfaen"/>
          <w:lang w:val="de-DE"/>
        </w:rPr>
        <w:t>აქტით</w:t>
      </w:r>
      <w:proofErr w:type="spellEnd"/>
      <w:r>
        <w:rPr>
          <w:rFonts w:ascii="AcadNusx" w:hAnsi="AcadNusx"/>
          <w:lang w:val="de-DE"/>
        </w:rPr>
        <w:t xml:space="preserve"> </w:t>
      </w:r>
      <w:proofErr w:type="spellStart"/>
      <w:r>
        <w:rPr>
          <w:rFonts w:ascii="Sylfaen" w:hAnsi="Sylfaen" w:cs="Sylfaen"/>
          <w:lang w:val="de-DE"/>
        </w:rPr>
        <w:t>ერთის</w:t>
      </w:r>
      <w:proofErr w:type="spellEnd"/>
      <w:r>
        <w:rPr>
          <w:rFonts w:ascii="AcadNusx" w:hAnsi="AcadNusx"/>
          <w:lang w:val="de-DE"/>
        </w:rPr>
        <w:t xml:space="preserve"> </w:t>
      </w:r>
      <w:proofErr w:type="spellStart"/>
      <w:r>
        <w:rPr>
          <w:rFonts w:ascii="Sylfaen" w:hAnsi="Sylfaen" w:cs="Sylfaen"/>
          <w:lang w:val="de-DE"/>
        </w:rPr>
        <w:t>მხრივ</w:t>
      </w:r>
      <w:proofErr w:type="spellEnd"/>
      <w:r>
        <w:rPr>
          <w:rFonts w:ascii="AcadNusx" w:hAnsi="AcadNusx"/>
          <w:lang w:val="de-DE"/>
        </w:rPr>
        <w:t xml:space="preserve"> </w:t>
      </w:r>
      <w:bookmarkStart w:id="1" w:name="ClientName"/>
      <w:bookmarkEnd w:id="1"/>
      <w:r>
        <w:rPr>
          <w:rFonts w:ascii="AcadNusx" w:hAnsi="AcadNusx"/>
          <w:lang w:val="de-DE"/>
        </w:rPr>
        <w:t xml:space="preserve"> </w:t>
      </w:r>
      <w:proofErr w:type="spellStart"/>
      <w:r>
        <w:rPr>
          <w:rFonts w:ascii="Sylfaen" w:hAnsi="Sylfaen" w:cs="Sylfaen"/>
          <w:lang w:val="de-DE"/>
        </w:rPr>
        <w:t>წარმოდგენილი</w:t>
      </w:r>
      <w:proofErr w:type="spellEnd"/>
      <w:r>
        <w:rPr>
          <w:rFonts w:ascii="AcadNusx" w:hAnsi="AcadNusx"/>
          <w:lang w:val="de-DE"/>
        </w:rPr>
        <w:t xml:space="preserve"> </w:t>
      </w:r>
      <w:proofErr w:type="spellStart"/>
      <w:r>
        <w:rPr>
          <w:rFonts w:ascii="Sylfaen" w:hAnsi="Sylfaen" w:cs="Sylfaen"/>
          <w:lang w:val="de-DE"/>
        </w:rPr>
        <w:t>მისი</w:t>
      </w:r>
      <w:proofErr w:type="spellEnd"/>
      <w:r>
        <w:rPr>
          <w:rFonts w:ascii="AcadNusx" w:hAnsi="AcadNusx"/>
          <w:lang w:val="de-DE"/>
        </w:rPr>
        <w:t xml:space="preserve"> </w:t>
      </w:r>
      <w:proofErr w:type="spellStart"/>
      <w:r>
        <w:rPr>
          <w:rFonts w:ascii="Sylfaen" w:hAnsi="Sylfaen" w:cs="Sylfaen"/>
          <w:lang w:val="de-DE"/>
        </w:rPr>
        <w:t>დირექტორის</w:t>
      </w:r>
      <w:proofErr w:type="spellEnd"/>
      <w:r>
        <w:rPr>
          <w:rFonts w:ascii="AcadNusx" w:hAnsi="AcadNusx"/>
          <w:lang w:val="de-DE"/>
        </w:rPr>
        <w:t xml:space="preserve">, </w:t>
      </w:r>
      <w:bookmarkStart w:id="2" w:name="ClientDirector"/>
      <w:bookmarkEnd w:id="2"/>
      <w:r>
        <w:rPr>
          <w:rFonts w:ascii="AcadNusx" w:hAnsi="AcadNusx"/>
          <w:b/>
          <w:highlight w:val="yellow"/>
          <w:lang w:val="de-DE"/>
        </w:rPr>
        <w:t xml:space="preserve"> </w:t>
      </w:r>
      <w:proofErr w:type="spellStart"/>
      <w:r>
        <w:rPr>
          <w:rFonts w:ascii="Sylfaen" w:hAnsi="Sylfaen" w:cs="Sylfaen"/>
          <w:highlight w:val="yellow"/>
          <w:lang w:val="de-DE"/>
        </w:rPr>
        <w:t>სახით</w:t>
      </w:r>
      <w:proofErr w:type="spellEnd"/>
      <w:r>
        <w:rPr>
          <w:rFonts w:ascii="AcadNusx" w:hAnsi="AcadNusx"/>
          <w:lang w:val="de-DE"/>
        </w:rPr>
        <w:t xml:space="preserve"> (</w:t>
      </w:r>
      <w:proofErr w:type="spellStart"/>
      <w:r>
        <w:rPr>
          <w:rFonts w:ascii="Sylfaen" w:hAnsi="Sylfaen" w:cs="Sylfaen"/>
          <w:lang w:val="de-DE"/>
        </w:rPr>
        <w:t>შემდგომში</w:t>
      </w:r>
      <w:proofErr w:type="spellEnd"/>
      <w:r>
        <w:rPr>
          <w:rFonts w:ascii="AcadNusx" w:hAnsi="AcadNusx"/>
          <w:lang w:val="de-DE"/>
        </w:rPr>
        <w:t xml:space="preserve"> „</w:t>
      </w:r>
      <w:r>
        <w:rPr>
          <w:rFonts w:ascii="Sylfaen" w:hAnsi="Sylfaen" w:cs="Sylfaen"/>
          <w:lang w:val="ka-GE"/>
        </w:rPr>
        <w:t>და</w:t>
      </w:r>
      <w:proofErr w:type="spellStart"/>
      <w:r>
        <w:rPr>
          <w:rFonts w:ascii="Sylfaen" w:hAnsi="Sylfaen" w:cs="Sylfaen"/>
          <w:lang w:val="de-DE"/>
        </w:rPr>
        <w:t>მკვეთი</w:t>
      </w:r>
      <w:proofErr w:type="spellEnd"/>
      <w:r>
        <w:rPr>
          <w:rFonts w:ascii="AcadNusx" w:hAnsi="AcadNusx"/>
          <w:lang w:val="de-DE"/>
        </w:rPr>
        <w:t xml:space="preserve">”) </w:t>
      </w:r>
      <w:proofErr w:type="spellStart"/>
      <w:r>
        <w:rPr>
          <w:rFonts w:ascii="Sylfaen" w:hAnsi="Sylfaen" w:cs="Sylfaen"/>
          <w:lang w:val="de-DE"/>
        </w:rPr>
        <w:t>და</w:t>
      </w:r>
      <w:proofErr w:type="spellEnd"/>
      <w:r>
        <w:rPr>
          <w:rFonts w:ascii="AcadNusx" w:hAnsi="AcadNusx"/>
          <w:lang w:val="de-DE"/>
        </w:rPr>
        <w:t xml:space="preserve"> </w:t>
      </w:r>
      <w:proofErr w:type="spellStart"/>
      <w:r>
        <w:rPr>
          <w:rFonts w:ascii="Sylfaen" w:hAnsi="Sylfaen" w:cs="Sylfaen"/>
          <w:b/>
          <w:lang w:val="de-DE"/>
        </w:rPr>
        <w:t>შპს</w:t>
      </w:r>
      <w:proofErr w:type="spellEnd"/>
      <w:r>
        <w:rPr>
          <w:rFonts w:ascii="AcadNusx" w:hAnsi="AcadNusx"/>
          <w:b/>
          <w:lang w:val="de-DE"/>
        </w:rPr>
        <w:t xml:space="preserve"> „</w:t>
      </w:r>
      <w:proofErr w:type="spellStart"/>
      <w:r>
        <w:rPr>
          <w:rFonts w:ascii="Sylfaen" w:hAnsi="Sylfaen" w:cs="Sylfaen"/>
          <w:b/>
          <w:lang w:val="de-DE"/>
        </w:rPr>
        <w:t>თბილი</w:t>
      </w:r>
      <w:proofErr w:type="spellEnd"/>
      <w:r>
        <w:rPr>
          <w:rFonts w:ascii="AcadNusx" w:hAnsi="AcadNusx"/>
          <w:b/>
          <w:lang w:val="de-DE"/>
        </w:rPr>
        <w:t xml:space="preserve"> </w:t>
      </w:r>
      <w:proofErr w:type="spellStart"/>
      <w:r>
        <w:rPr>
          <w:rFonts w:ascii="Sylfaen" w:hAnsi="Sylfaen" w:cs="Sylfaen"/>
          <w:b/>
          <w:lang w:val="de-DE"/>
        </w:rPr>
        <w:t>სახლი</w:t>
      </w:r>
      <w:proofErr w:type="spellEnd"/>
      <w:r>
        <w:rPr>
          <w:rFonts w:ascii="AcadNusx" w:hAnsi="AcadNusx"/>
          <w:b/>
          <w:lang w:val="de-DE"/>
        </w:rPr>
        <w:t>" (</w:t>
      </w:r>
      <w:r>
        <w:rPr>
          <w:rFonts w:ascii="Sylfaen" w:hAnsi="Sylfaen" w:cs="Sylfaen"/>
          <w:b/>
          <w:lang w:val="de-DE"/>
        </w:rPr>
        <w:t>ს</w:t>
      </w:r>
      <w:r>
        <w:rPr>
          <w:rFonts w:ascii="AcadNusx" w:hAnsi="AcadNusx"/>
          <w:b/>
          <w:lang w:val="de-DE"/>
        </w:rPr>
        <w:t>/</w:t>
      </w:r>
      <w:r>
        <w:rPr>
          <w:rFonts w:ascii="Sylfaen" w:hAnsi="Sylfaen" w:cs="Sylfaen"/>
          <w:b/>
          <w:lang w:val="de-DE"/>
        </w:rPr>
        <w:t>კ</w:t>
      </w:r>
      <w:r>
        <w:rPr>
          <w:rFonts w:ascii="AcadNusx" w:hAnsi="AcadNusx"/>
          <w:b/>
          <w:lang w:val="de-DE"/>
        </w:rPr>
        <w:t xml:space="preserve"> 204976179),</w:t>
      </w:r>
      <w:r>
        <w:rPr>
          <w:rFonts w:ascii="AcadNusx" w:hAnsi="AcadNusx"/>
          <w:lang w:val="de-DE"/>
        </w:rPr>
        <w:t xml:space="preserve"> </w:t>
      </w:r>
      <w:proofErr w:type="spellStart"/>
      <w:r>
        <w:rPr>
          <w:rFonts w:ascii="Sylfaen" w:hAnsi="Sylfaen" w:cs="Sylfaen"/>
          <w:lang w:val="de-DE"/>
        </w:rPr>
        <w:t>წარმოდგენილი</w:t>
      </w:r>
      <w:proofErr w:type="spellEnd"/>
      <w:r>
        <w:rPr>
          <w:rFonts w:ascii="AcadNusx" w:hAnsi="AcadNusx"/>
          <w:lang w:val="de-DE"/>
        </w:rPr>
        <w:t xml:space="preserve"> </w:t>
      </w:r>
      <w:proofErr w:type="spellStart"/>
      <w:r>
        <w:rPr>
          <w:rFonts w:ascii="Sylfaen" w:hAnsi="Sylfaen" w:cs="Sylfaen"/>
          <w:lang w:val="de-DE"/>
        </w:rPr>
        <w:t>მისი</w:t>
      </w:r>
      <w:proofErr w:type="spellEnd"/>
      <w:r>
        <w:rPr>
          <w:rFonts w:ascii="AcadNusx" w:hAnsi="AcadNusx"/>
          <w:lang w:val="de-DE"/>
        </w:rPr>
        <w:t xml:space="preserve"> </w:t>
      </w:r>
      <w:proofErr w:type="spellStart"/>
      <w:r>
        <w:rPr>
          <w:rFonts w:ascii="Sylfaen" w:hAnsi="Sylfaen" w:cs="Sylfaen"/>
          <w:lang w:val="de-DE"/>
        </w:rPr>
        <w:t>დირექტორის</w:t>
      </w:r>
      <w:proofErr w:type="spellEnd"/>
      <w:r>
        <w:rPr>
          <w:rFonts w:ascii="AcadNusx" w:hAnsi="AcadNusx"/>
          <w:lang w:val="de-DE"/>
        </w:rPr>
        <w:t xml:space="preserve"> </w:t>
      </w:r>
      <w:proofErr w:type="spellStart"/>
      <w:r>
        <w:rPr>
          <w:rFonts w:ascii="Sylfaen" w:hAnsi="Sylfaen" w:cs="Sylfaen"/>
          <w:b/>
          <w:lang w:val="de-DE"/>
        </w:rPr>
        <w:t>მალხაზ</w:t>
      </w:r>
      <w:proofErr w:type="spellEnd"/>
      <w:r>
        <w:rPr>
          <w:rFonts w:ascii="AcadNusx" w:hAnsi="AcadNusx"/>
          <w:b/>
          <w:lang w:val="de-DE"/>
        </w:rPr>
        <w:t xml:space="preserve"> </w:t>
      </w:r>
      <w:proofErr w:type="spellStart"/>
      <w:r>
        <w:rPr>
          <w:rFonts w:ascii="Sylfaen" w:hAnsi="Sylfaen" w:cs="Sylfaen"/>
          <w:b/>
          <w:lang w:val="de-DE"/>
        </w:rPr>
        <w:t>კურტანიძის</w:t>
      </w:r>
      <w:proofErr w:type="spellEnd"/>
      <w:r>
        <w:rPr>
          <w:rFonts w:ascii="AcadNusx" w:hAnsi="AcadNusx"/>
          <w:b/>
          <w:lang w:val="de-DE"/>
        </w:rPr>
        <w:t xml:space="preserve"> </w:t>
      </w:r>
      <w:proofErr w:type="spellStart"/>
      <w:r>
        <w:rPr>
          <w:rFonts w:ascii="Sylfaen" w:hAnsi="Sylfaen" w:cs="Sylfaen"/>
          <w:b/>
          <w:lang w:val="de-DE"/>
        </w:rPr>
        <w:t>სახით</w:t>
      </w:r>
      <w:proofErr w:type="spellEnd"/>
      <w:r>
        <w:rPr>
          <w:rFonts w:ascii="AcadNusx" w:hAnsi="AcadNusx"/>
          <w:lang w:val="de-DE"/>
        </w:rPr>
        <w:t xml:space="preserve"> (</w:t>
      </w:r>
      <w:proofErr w:type="spellStart"/>
      <w:r>
        <w:rPr>
          <w:rFonts w:ascii="Sylfaen" w:hAnsi="Sylfaen" w:cs="Sylfaen"/>
          <w:lang w:val="de-DE"/>
        </w:rPr>
        <w:t>შემდომში</w:t>
      </w:r>
      <w:proofErr w:type="spellEnd"/>
      <w:r>
        <w:rPr>
          <w:rFonts w:ascii="AcadNusx" w:hAnsi="AcadNusx"/>
          <w:lang w:val="de-DE"/>
        </w:rPr>
        <w:t xml:space="preserve"> „</w:t>
      </w:r>
      <w:proofErr w:type="spellStart"/>
      <w:r>
        <w:rPr>
          <w:rFonts w:ascii="Sylfaen" w:hAnsi="Sylfaen" w:cs="Sylfaen"/>
          <w:lang w:val="de-DE"/>
        </w:rPr>
        <w:t>შემსრულებელი</w:t>
      </w:r>
      <w:proofErr w:type="spellEnd"/>
      <w:r>
        <w:rPr>
          <w:rFonts w:ascii="AcadNusx" w:hAnsi="AcadNusx"/>
          <w:lang w:val="de-DE"/>
        </w:rPr>
        <w:t xml:space="preserve">") </w:t>
      </w:r>
      <w:proofErr w:type="spellStart"/>
      <w:r>
        <w:rPr>
          <w:rFonts w:ascii="Sylfaen" w:hAnsi="Sylfaen" w:cs="Sylfaen"/>
          <w:lang w:val="de-DE"/>
        </w:rPr>
        <w:t>ადასტურებენ</w:t>
      </w:r>
      <w:proofErr w:type="spellEnd"/>
      <w:r>
        <w:rPr>
          <w:rFonts w:ascii="AcadNusx" w:hAnsi="AcadNusx"/>
          <w:lang w:val="de-DE"/>
        </w:rPr>
        <w:t xml:space="preserve">, </w:t>
      </w:r>
      <w:proofErr w:type="spellStart"/>
      <w:r>
        <w:rPr>
          <w:rFonts w:ascii="Sylfaen" w:hAnsi="Sylfaen" w:cs="Sylfaen"/>
          <w:lang w:val="de-DE"/>
        </w:rPr>
        <w:t>რომ</w:t>
      </w:r>
      <w:proofErr w:type="spellEnd"/>
      <w:r>
        <w:rPr>
          <w:rFonts w:ascii="AcadNusx" w:hAnsi="AcadNusx"/>
          <w:lang w:val="de-DE"/>
        </w:rPr>
        <w:t xml:space="preserve"> </w:t>
      </w:r>
      <w:proofErr w:type="spellStart"/>
      <w:r>
        <w:rPr>
          <w:rFonts w:ascii="Sylfaen" w:hAnsi="Sylfaen" w:cs="Sylfaen"/>
          <w:lang w:val="de-DE"/>
        </w:rPr>
        <w:t>შემსრულებელმა</w:t>
      </w:r>
      <w:proofErr w:type="spellEnd"/>
      <w:r>
        <w:rPr>
          <w:rFonts w:ascii="AcadNusx" w:hAnsi="AcadNusx"/>
          <w:lang w:val="de-DE"/>
        </w:rPr>
        <w:t xml:space="preserve"> </w:t>
      </w:r>
      <w:bookmarkStart w:id="3" w:name="ContractDate"/>
      <w:bookmarkStart w:id="4" w:name="_GoBack"/>
      <w:bookmarkEnd w:id="3"/>
      <w:bookmarkEnd w:id="4"/>
      <w:r>
        <w:rPr>
          <w:rFonts w:ascii="Sylfaen" w:hAnsi="Sylfaen" w:cs="Sylfaen"/>
          <w:highlight w:val="yellow"/>
          <w:lang w:val="de-DE"/>
        </w:rPr>
        <w:t>ს</w:t>
      </w:r>
      <w:r>
        <w:rPr>
          <w:rFonts w:ascii="AcadNusx" w:hAnsi="AcadNusx"/>
          <w:highlight w:val="yellow"/>
          <w:lang w:val="de-DE"/>
        </w:rPr>
        <w:t xml:space="preserve"> </w:t>
      </w:r>
      <w:proofErr w:type="spellStart"/>
      <w:r>
        <w:rPr>
          <w:rFonts w:ascii="Sylfaen" w:hAnsi="Sylfaen" w:cs="Sylfaen"/>
          <w:highlight w:val="yellow"/>
          <w:lang w:val="de-DE"/>
        </w:rPr>
        <w:t>ხელშეკრულებით</w:t>
      </w:r>
      <w:proofErr w:type="spellEnd"/>
      <w:r>
        <w:rPr>
          <w:rFonts w:ascii="AcadNusx" w:hAnsi="AcadNusx"/>
          <w:lang w:val="de-DE"/>
        </w:rPr>
        <w:t xml:space="preserve"> </w:t>
      </w:r>
      <w:proofErr w:type="spellStart"/>
      <w:r>
        <w:rPr>
          <w:rFonts w:ascii="Sylfaen" w:hAnsi="Sylfaen" w:cs="Sylfaen"/>
          <w:lang w:val="de-DE"/>
        </w:rPr>
        <w:t>გათვალისწინებული</w:t>
      </w:r>
      <w:proofErr w:type="spellEnd"/>
      <w:r>
        <w:rPr>
          <w:rFonts w:ascii="AcadNusx" w:hAnsi="AcadNusx"/>
          <w:lang w:val="de-DE"/>
        </w:rPr>
        <w:t xml:space="preserve"> </w:t>
      </w:r>
      <w:r>
        <w:rPr>
          <w:rFonts w:ascii="Sylfaen" w:hAnsi="Sylfaen"/>
          <w:lang w:val="ka-GE"/>
        </w:rPr>
        <w:t>სამუშაოები</w:t>
      </w:r>
      <w:r>
        <w:rPr>
          <w:rFonts w:ascii="AcadNusx" w:hAnsi="AcadNusx"/>
          <w:lang w:val="de-DE"/>
        </w:rPr>
        <w:t xml:space="preserve"> </w:t>
      </w:r>
      <w:r>
        <w:rPr>
          <w:rFonts w:ascii="Sylfaen" w:hAnsi="Sylfaen" w:cs="Sylfaen"/>
          <w:lang w:val="ka-GE"/>
        </w:rPr>
        <w:t xml:space="preserve">შეასრულა და </w:t>
      </w:r>
      <w:proofErr w:type="spellStart"/>
      <w:r>
        <w:rPr>
          <w:rFonts w:ascii="Sylfaen" w:hAnsi="Sylfaen" w:cs="Sylfaen"/>
          <w:lang w:val="de-DE"/>
        </w:rPr>
        <w:t>მიაწოდა</w:t>
      </w:r>
      <w:proofErr w:type="spellEnd"/>
      <w:r>
        <w:rPr>
          <w:rFonts w:ascii="AcadNusx" w:hAnsi="AcadNusx"/>
          <w:lang w:val="de-DE"/>
        </w:rPr>
        <w:t xml:space="preserve"> </w:t>
      </w:r>
      <w:r>
        <w:rPr>
          <w:rFonts w:ascii="Sylfaen" w:hAnsi="Sylfaen" w:cs="Sylfaen"/>
          <w:lang w:val="ka-GE"/>
        </w:rPr>
        <w:t>და</w:t>
      </w:r>
      <w:proofErr w:type="spellStart"/>
      <w:r>
        <w:rPr>
          <w:rFonts w:ascii="Sylfaen" w:hAnsi="Sylfaen" w:cs="Sylfaen"/>
          <w:lang w:val="de-DE"/>
        </w:rPr>
        <w:t>მკვეთს</w:t>
      </w:r>
      <w:proofErr w:type="spellEnd"/>
      <w:r>
        <w:rPr>
          <w:rFonts w:ascii="AcadNusx" w:hAnsi="AcadNusx"/>
          <w:lang w:val="de-DE"/>
        </w:rPr>
        <w:t xml:space="preserve">, </w:t>
      </w:r>
      <w:proofErr w:type="spellStart"/>
      <w:r>
        <w:rPr>
          <w:rFonts w:ascii="Sylfaen" w:hAnsi="Sylfaen" w:cs="Sylfaen"/>
          <w:lang w:val="de-DE"/>
        </w:rPr>
        <w:t>ხოლო</w:t>
      </w:r>
      <w:proofErr w:type="spellEnd"/>
      <w:r>
        <w:rPr>
          <w:rFonts w:ascii="AcadNusx" w:hAnsi="AcadNusx"/>
          <w:lang w:val="de-DE"/>
        </w:rPr>
        <w:t xml:space="preserve"> </w:t>
      </w:r>
      <w:r>
        <w:rPr>
          <w:rFonts w:ascii="Sylfaen" w:hAnsi="Sylfaen" w:cs="Sylfaen"/>
          <w:lang w:val="ka-GE"/>
        </w:rPr>
        <w:t>და</w:t>
      </w:r>
      <w:proofErr w:type="spellStart"/>
      <w:r>
        <w:rPr>
          <w:rFonts w:ascii="Sylfaen" w:hAnsi="Sylfaen" w:cs="Sylfaen"/>
          <w:lang w:val="de-DE"/>
        </w:rPr>
        <w:t>მკვეთმა</w:t>
      </w:r>
      <w:proofErr w:type="spellEnd"/>
      <w:r>
        <w:rPr>
          <w:rFonts w:ascii="AcadNusx" w:hAnsi="AcadNusx"/>
          <w:lang w:val="de-DE"/>
        </w:rPr>
        <w:t xml:space="preserve"> </w:t>
      </w:r>
      <w:proofErr w:type="spellStart"/>
      <w:r>
        <w:rPr>
          <w:rFonts w:ascii="Sylfaen" w:hAnsi="Sylfaen" w:cs="Sylfaen"/>
          <w:lang w:val="de-DE"/>
        </w:rPr>
        <w:t>მიიღო</w:t>
      </w:r>
      <w:proofErr w:type="spellEnd"/>
      <w:r>
        <w:rPr>
          <w:rFonts w:ascii="AcadNusx" w:hAnsi="AcadNusx"/>
          <w:lang w:val="de-DE"/>
        </w:rPr>
        <w:t xml:space="preserve"> </w:t>
      </w:r>
      <w:proofErr w:type="spellStart"/>
      <w:r>
        <w:rPr>
          <w:rFonts w:ascii="Sylfaen" w:hAnsi="Sylfaen" w:cs="Sylfaen"/>
          <w:lang w:val="de-DE"/>
        </w:rPr>
        <w:t>აღნიშნული</w:t>
      </w:r>
      <w:proofErr w:type="spellEnd"/>
      <w:r>
        <w:rPr>
          <w:rFonts w:ascii="AcadNusx" w:hAnsi="AcadNusx"/>
          <w:lang w:val="de-DE"/>
        </w:rPr>
        <w:t xml:space="preserve"> </w:t>
      </w:r>
      <w:proofErr w:type="spellStart"/>
      <w:r>
        <w:rPr>
          <w:rFonts w:ascii="Sylfaen" w:hAnsi="Sylfaen" w:cs="Sylfaen"/>
          <w:lang w:val="de-DE"/>
        </w:rPr>
        <w:t>სამუშაოები</w:t>
      </w:r>
      <w:proofErr w:type="spellEnd"/>
      <w:r>
        <w:rPr>
          <w:rFonts w:ascii="AcadNusx" w:hAnsi="AcadNusx"/>
          <w:lang w:val="de-DE"/>
        </w:rPr>
        <w:t>.</w:t>
      </w:r>
    </w:p>
    <w:p w:rsidR="005F37A1" w:rsidRDefault="005F37A1" w:rsidP="005F37A1">
      <w:pPr>
        <w:jc w:val="both"/>
        <w:rPr>
          <w:rFonts w:ascii="Sylfaen" w:hAnsi="Sylfaen"/>
          <w:lang w:val="ka-GE"/>
        </w:rPr>
      </w:pPr>
      <w:proofErr w:type="spellStart"/>
      <w:r>
        <w:rPr>
          <w:rFonts w:ascii="Sylfaen" w:hAnsi="Sylfaen" w:cs="Sylfaen"/>
          <w:lang w:val="de-DE"/>
        </w:rPr>
        <w:t>კერძოდ</w:t>
      </w:r>
      <w:proofErr w:type="spellEnd"/>
      <w:r>
        <w:rPr>
          <w:rFonts w:ascii="AcadNusx" w:hAnsi="AcadNusx"/>
          <w:lang w:val="de-DE"/>
        </w:rPr>
        <w:t xml:space="preserve">, </w:t>
      </w:r>
      <w:proofErr w:type="spellStart"/>
      <w:r>
        <w:rPr>
          <w:rFonts w:ascii="Sylfaen" w:hAnsi="Sylfaen" w:cs="Sylfaen"/>
          <w:lang w:val="de-DE"/>
        </w:rPr>
        <w:t>შემსრულებელმა</w:t>
      </w:r>
      <w:proofErr w:type="spellEnd"/>
      <w:r>
        <w:rPr>
          <w:rFonts w:ascii="AcadNusx" w:hAnsi="AcadNusx"/>
          <w:lang w:val="de-DE"/>
        </w:rPr>
        <w:t xml:space="preserve"> </w:t>
      </w:r>
      <w:proofErr w:type="spellStart"/>
      <w:r>
        <w:rPr>
          <w:rFonts w:ascii="Sylfaen" w:hAnsi="Sylfaen" w:cs="Sylfaen"/>
          <w:lang w:val="de-DE"/>
        </w:rPr>
        <w:t>აწარმოა</w:t>
      </w:r>
      <w:proofErr w:type="spellEnd"/>
      <w:r>
        <w:rPr>
          <w:rFonts w:ascii="AcadNusx" w:hAnsi="AcadNusx"/>
          <w:lang w:val="de-DE"/>
        </w:rPr>
        <w:t xml:space="preserve"> </w:t>
      </w:r>
      <w:bookmarkStart w:id="5" w:name="ClientAddress"/>
      <w:bookmarkEnd w:id="5"/>
      <w:r>
        <w:rPr>
          <w:rFonts w:ascii="Sylfaen" w:hAnsi="Sylfaen" w:cs="Sylfaen"/>
          <w:highlight w:val="yellow"/>
          <w:lang w:val="ka-GE"/>
        </w:rPr>
        <w:t xml:space="preserve">-ში მდებარე შენობაში </w:t>
      </w:r>
      <w:bookmarkStart w:id="6" w:name="ContractDescription"/>
      <w:bookmarkEnd w:id="6"/>
      <w:r>
        <w:rPr>
          <w:rFonts w:ascii="Sylfaen" w:hAnsi="Sylfaen" w:cs="Sylfaen"/>
          <w:highlight w:val="yellow"/>
          <w:lang w:val="ka-GE"/>
        </w:rPr>
        <w:t xml:space="preserve">, საერთო ღირებულებით </w:t>
      </w:r>
      <w:bookmarkStart w:id="7" w:name="ContractAmount"/>
      <w:bookmarkEnd w:id="7"/>
      <w:r>
        <w:rPr>
          <w:rFonts w:ascii="Sylfaen" w:hAnsi="Sylfaen" w:cs="Sylfaen"/>
          <w:highlight w:val="yellow"/>
          <w:lang w:val="ka-GE"/>
        </w:rPr>
        <w:t xml:space="preserve"> დღგ-ს ჩათვლით.</w:t>
      </w:r>
    </w:p>
    <w:p w:rsidR="005F37A1" w:rsidRDefault="005F37A1" w:rsidP="005F37A1">
      <w:pPr>
        <w:jc w:val="both"/>
        <w:rPr>
          <w:rFonts w:ascii="Sylfaen" w:hAnsi="Sylfaen"/>
          <w:lang w:val="ka-GE"/>
        </w:rPr>
      </w:pPr>
      <w:proofErr w:type="spellStart"/>
      <w:r>
        <w:rPr>
          <w:rFonts w:ascii="Sylfaen" w:hAnsi="Sylfaen" w:cs="Sylfaen"/>
          <w:lang w:val="de-DE"/>
        </w:rPr>
        <w:t>წინამდებარე</w:t>
      </w:r>
      <w:proofErr w:type="spellEnd"/>
      <w:r>
        <w:rPr>
          <w:rFonts w:ascii="AcadNusx" w:hAnsi="AcadNusx"/>
          <w:lang w:val="de-DE"/>
        </w:rPr>
        <w:t xml:space="preserve"> </w:t>
      </w:r>
      <w:proofErr w:type="spellStart"/>
      <w:r>
        <w:rPr>
          <w:rFonts w:ascii="Sylfaen" w:hAnsi="Sylfaen" w:cs="Sylfaen"/>
          <w:lang w:val="de-DE"/>
        </w:rPr>
        <w:t>აქტით</w:t>
      </w:r>
      <w:proofErr w:type="spellEnd"/>
      <w:r>
        <w:rPr>
          <w:rFonts w:ascii="AcadNusx" w:hAnsi="AcadNusx"/>
          <w:lang w:val="de-DE"/>
        </w:rPr>
        <w:t xml:space="preserve"> </w:t>
      </w:r>
      <w:proofErr w:type="spellStart"/>
      <w:r>
        <w:rPr>
          <w:rFonts w:ascii="Sylfaen" w:hAnsi="Sylfaen" w:cs="Sylfaen"/>
          <w:lang w:val="de-DE"/>
        </w:rPr>
        <w:t>მხარეები</w:t>
      </w:r>
      <w:proofErr w:type="spellEnd"/>
      <w:r>
        <w:rPr>
          <w:rFonts w:ascii="AcadNusx" w:hAnsi="AcadNusx"/>
          <w:lang w:val="de-DE"/>
        </w:rPr>
        <w:t xml:space="preserve"> </w:t>
      </w:r>
      <w:proofErr w:type="spellStart"/>
      <w:r>
        <w:rPr>
          <w:rFonts w:ascii="Sylfaen" w:hAnsi="Sylfaen" w:cs="Sylfaen"/>
          <w:lang w:val="de-DE"/>
        </w:rPr>
        <w:t>ადასტურებენ</w:t>
      </w:r>
      <w:proofErr w:type="spellEnd"/>
      <w:r>
        <w:rPr>
          <w:rFonts w:ascii="AcadNusx" w:hAnsi="AcadNusx"/>
          <w:lang w:val="de-DE"/>
        </w:rPr>
        <w:t xml:space="preserve"> </w:t>
      </w:r>
      <w:proofErr w:type="spellStart"/>
      <w:r>
        <w:rPr>
          <w:rFonts w:ascii="Sylfaen" w:hAnsi="Sylfaen" w:cs="Sylfaen"/>
          <w:lang w:val="de-DE"/>
        </w:rPr>
        <w:t>რომ</w:t>
      </w:r>
      <w:proofErr w:type="spellEnd"/>
      <w:r>
        <w:rPr>
          <w:rFonts w:ascii="AcadNusx" w:hAnsi="AcadNusx"/>
          <w:lang w:val="de-DE"/>
        </w:rPr>
        <w:t xml:space="preserve"> </w:t>
      </w:r>
      <w:proofErr w:type="spellStart"/>
      <w:r>
        <w:rPr>
          <w:rFonts w:ascii="Sylfaen" w:hAnsi="Sylfaen" w:cs="Sylfaen"/>
          <w:lang w:val="de-DE"/>
        </w:rPr>
        <w:t>ერთმანეთის</w:t>
      </w:r>
      <w:proofErr w:type="spellEnd"/>
      <w:r>
        <w:rPr>
          <w:rFonts w:ascii="AcadNusx" w:hAnsi="AcadNusx"/>
          <w:lang w:val="de-DE"/>
        </w:rPr>
        <w:t xml:space="preserve"> </w:t>
      </w:r>
      <w:proofErr w:type="spellStart"/>
      <w:r>
        <w:rPr>
          <w:rFonts w:ascii="Sylfaen" w:hAnsi="Sylfaen" w:cs="Sylfaen"/>
          <w:lang w:val="de-DE"/>
        </w:rPr>
        <w:t>წინაშე</w:t>
      </w:r>
      <w:proofErr w:type="spellEnd"/>
      <w:r>
        <w:rPr>
          <w:rFonts w:ascii="AcadNusx" w:hAnsi="AcadNusx"/>
          <w:lang w:val="de-DE"/>
        </w:rPr>
        <w:t xml:space="preserve"> </w:t>
      </w:r>
      <w:proofErr w:type="spellStart"/>
      <w:r>
        <w:rPr>
          <w:rFonts w:ascii="Sylfaen" w:hAnsi="Sylfaen" w:cs="Sylfaen"/>
          <w:lang w:val="de-DE"/>
        </w:rPr>
        <w:t>რაიმე</w:t>
      </w:r>
      <w:proofErr w:type="spellEnd"/>
      <w:r>
        <w:rPr>
          <w:rFonts w:ascii="AcadNusx" w:hAnsi="AcadNusx"/>
          <w:lang w:val="de-DE"/>
        </w:rPr>
        <w:t xml:space="preserve"> </w:t>
      </w:r>
      <w:proofErr w:type="spellStart"/>
      <w:r>
        <w:rPr>
          <w:rFonts w:ascii="Sylfaen" w:hAnsi="Sylfaen" w:cs="Sylfaen"/>
          <w:lang w:val="de-DE"/>
        </w:rPr>
        <w:t>სახის</w:t>
      </w:r>
      <w:proofErr w:type="spellEnd"/>
      <w:r>
        <w:rPr>
          <w:rFonts w:ascii="AcadNusx" w:hAnsi="AcadNusx"/>
          <w:lang w:val="de-DE"/>
        </w:rPr>
        <w:t xml:space="preserve"> </w:t>
      </w:r>
      <w:proofErr w:type="spellStart"/>
      <w:r>
        <w:rPr>
          <w:rFonts w:ascii="Sylfaen" w:hAnsi="Sylfaen" w:cs="Sylfaen"/>
          <w:lang w:val="de-DE"/>
        </w:rPr>
        <w:t>პრეტენზია</w:t>
      </w:r>
      <w:proofErr w:type="spellEnd"/>
      <w:r>
        <w:rPr>
          <w:rFonts w:ascii="AcadNusx" w:hAnsi="AcadNusx"/>
          <w:lang w:val="de-DE"/>
        </w:rPr>
        <w:t xml:space="preserve"> </w:t>
      </w:r>
      <w:proofErr w:type="spellStart"/>
      <w:r>
        <w:rPr>
          <w:rFonts w:ascii="Sylfaen" w:hAnsi="Sylfaen" w:cs="Sylfaen"/>
          <w:lang w:val="de-DE"/>
        </w:rPr>
        <w:t>არ</w:t>
      </w:r>
      <w:proofErr w:type="spellEnd"/>
      <w:r>
        <w:rPr>
          <w:rFonts w:ascii="AcadNusx" w:hAnsi="AcadNusx"/>
          <w:lang w:val="de-DE"/>
        </w:rPr>
        <w:t xml:space="preserve"> </w:t>
      </w:r>
      <w:proofErr w:type="spellStart"/>
      <w:r>
        <w:rPr>
          <w:rFonts w:ascii="Sylfaen" w:hAnsi="Sylfaen" w:cs="Sylfaen"/>
          <w:lang w:val="de-DE"/>
        </w:rPr>
        <w:t>გააჩნიათ</w:t>
      </w:r>
      <w:proofErr w:type="spellEnd"/>
      <w:r>
        <w:rPr>
          <w:rFonts w:ascii="AcadNusx" w:hAnsi="AcadNusx"/>
          <w:lang w:val="de-DE"/>
        </w:rPr>
        <w:t>.</w:t>
      </w:r>
    </w:p>
    <w:p w:rsidR="0033052B" w:rsidRDefault="0033052B" w:rsidP="0038728F">
      <w:pPr>
        <w:tabs>
          <w:tab w:val="left" w:pos="6735"/>
        </w:tabs>
        <w:spacing w:line="360" w:lineRule="auto"/>
        <w:ind w:hanging="180"/>
        <w:jc w:val="both"/>
        <w:rPr>
          <w:rFonts w:ascii="Sylfaen" w:hAnsi="Sylfaen" w:cs="Sylfaen"/>
          <w:sz w:val="20"/>
          <w:szCs w:val="20"/>
          <w:lang w:val="de-DE"/>
        </w:rPr>
      </w:pPr>
    </w:p>
    <w:tbl>
      <w:tblPr>
        <w:tblW w:w="108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7"/>
        <w:gridCol w:w="5025"/>
      </w:tblGrid>
      <w:tr w:rsidR="00153F21" w:rsidRPr="0033052B" w:rsidTr="00153F21">
        <w:trPr>
          <w:trHeight w:val="3371"/>
        </w:trPr>
        <w:tc>
          <w:tcPr>
            <w:tcW w:w="58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153F21" w:rsidRPr="0033052B" w:rsidRDefault="00153F21" w:rsidP="00EF48B7">
            <w:pPr>
              <w:spacing w:after="0" w:line="240" w:lineRule="auto"/>
              <w:rPr>
                <w:rFonts w:ascii="Sylfaen" w:eastAsia="Times New Roman" w:hAnsi="Sylfaen" w:cs="Times New Roman"/>
                <w:noProof/>
                <w:spacing w:val="40"/>
                <w:sz w:val="20"/>
                <w:szCs w:val="18"/>
                <w:lang w:val="ka-GE" w:eastAsia="ru-RU"/>
              </w:rPr>
            </w:pPr>
            <w:r w:rsidRPr="0033052B">
              <w:rPr>
                <w:rFonts w:ascii="Sylfaen" w:eastAsia="Times New Roman" w:hAnsi="Sylfaen" w:cs="Times New Roman"/>
                <w:noProof/>
                <w:spacing w:val="40"/>
                <w:sz w:val="20"/>
                <w:szCs w:val="18"/>
                <w:lang w:val="ka-GE" w:eastAsia="ru-RU"/>
              </w:rPr>
              <w:t xml:space="preserve">   შემკვეთი:</w:t>
            </w:r>
          </w:p>
          <w:p w:rsidR="00153F21" w:rsidRPr="0033052B" w:rsidRDefault="00153F21" w:rsidP="00EF48B7">
            <w:pPr>
              <w:spacing w:after="0" w:line="240" w:lineRule="auto"/>
              <w:rPr>
                <w:rFonts w:ascii="Sylfaen" w:eastAsia="Times New Roman" w:hAnsi="Sylfaen" w:cs="Times New Roman"/>
                <w:noProof/>
                <w:sz w:val="20"/>
                <w:szCs w:val="18"/>
                <w:lang w:val="ka-GE" w:eastAsia="ru-RU"/>
              </w:rPr>
            </w:pPr>
            <w:bookmarkStart w:id="8" w:name="Footer_ClientName"/>
            <w:bookmarkEnd w:id="8"/>
          </w:p>
          <w:p w:rsidR="00153F21" w:rsidRPr="0033052B" w:rsidRDefault="00153F21" w:rsidP="00EF48B7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18"/>
                <w:lang w:val="ka-GE"/>
              </w:rPr>
            </w:pPr>
          </w:p>
          <w:p w:rsidR="00153F21" w:rsidRPr="0033052B" w:rsidRDefault="00153F21" w:rsidP="00EF48B7">
            <w:pPr>
              <w:spacing w:after="0" w:line="240" w:lineRule="auto"/>
              <w:jc w:val="both"/>
              <w:rPr>
                <w:rFonts w:ascii="Sylfaen" w:hAnsi="Sylfaen"/>
                <w:sz w:val="20"/>
                <w:szCs w:val="18"/>
                <w:lang w:val="ka-GE"/>
              </w:rPr>
            </w:pPr>
          </w:p>
          <w:p w:rsidR="00153F21" w:rsidRPr="0033052B" w:rsidRDefault="00153F21" w:rsidP="00EF48B7">
            <w:pPr>
              <w:spacing w:after="0" w:line="240" w:lineRule="auto"/>
              <w:jc w:val="both"/>
              <w:rPr>
                <w:rFonts w:ascii="Sylfaen" w:eastAsia="Times New Roman" w:hAnsi="Sylfaen" w:cs="Times New Roman"/>
                <w:sz w:val="20"/>
                <w:szCs w:val="18"/>
                <w:lang w:val="ka-GE" w:eastAsia="ru-RU"/>
              </w:rPr>
            </w:pPr>
            <w:r w:rsidRPr="0033052B">
              <w:rPr>
                <w:rFonts w:ascii="Sylfaen" w:hAnsi="Sylfaen"/>
                <w:sz w:val="20"/>
                <w:szCs w:val="18"/>
                <w:lang w:val="ka-GE"/>
              </w:rPr>
              <w:t>-----------------------------------</w:t>
            </w:r>
          </w:p>
          <w:p w:rsidR="00153F21" w:rsidRPr="0033052B" w:rsidRDefault="00153F21" w:rsidP="00EF48B7">
            <w:pPr>
              <w:spacing w:after="0" w:line="240" w:lineRule="auto"/>
              <w:jc w:val="both"/>
              <w:rPr>
                <w:rFonts w:ascii="Sylfaen" w:eastAsia="Times New Roman" w:hAnsi="Sylfaen" w:cs="Arial"/>
                <w:noProof/>
                <w:sz w:val="20"/>
                <w:szCs w:val="18"/>
                <w:highlight w:val="yellow"/>
                <w:lang w:val="ka-GE" w:eastAsia="ru-RU"/>
              </w:rPr>
            </w:pPr>
          </w:p>
          <w:p w:rsidR="00153F21" w:rsidRPr="0033052B" w:rsidRDefault="00153F21" w:rsidP="00EF48B7">
            <w:pPr>
              <w:spacing w:after="0" w:line="240" w:lineRule="auto"/>
              <w:jc w:val="both"/>
              <w:rPr>
                <w:rFonts w:ascii="AcadNusx" w:eastAsia="Times New Roman" w:hAnsi="AcadNusx" w:cs="Arial"/>
                <w:noProof/>
                <w:sz w:val="20"/>
                <w:szCs w:val="18"/>
                <w:highlight w:val="yellow"/>
                <w:lang w:val="ka-GE" w:eastAsia="ru-RU"/>
              </w:rPr>
            </w:pPr>
          </w:p>
          <w:p w:rsidR="00153F21" w:rsidRPr="0033052B" w:rsidRDefault="00153F21" w:rsidP="00EF48B7">
            <w:pPr>
              <w:spacing w:after="0" w:line="240" w:lineRule="auto"/>
              <w:jc w:val="center"/>
              <w:rPr>
                <w:rFonts w:ascii="AcadNusx" w:eastAsia="Times New Roman" w:hAnsi="AcadNusx" w:cs="Times New Roman"/>
                <w:noProof/>
                <w:sz w:val="20"/>
                <w:szCs w:val="18"/>
                <w:highlight w:val="yellow"/>
                <w:lang w:val="ka-GE" w:eastAsia="ru-RU"/>
              </w:rPr>
            </w:pPr>
          </w:p>
        </w:tc>
        <w:tc>
          <w:tcPr>
            <w:tcW w:w="50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153F21" w:rsidRPr="0033052B" w:rsidRDefault="00153F21" w:rsidP="00153F21">
            <w:pPr>
              <w:spacing w:after="0" w:line="240" w:lineRule="auto"/>
              <w:rPr>
                <w:rFonts w:ascii="Sylfaen" w:eastAsia="Times New Roman" w:hAnsi="Sylfaen" w:cs="Times New Roman"/>
                <w:noProof/>
                <w:spacing w:val="40"/>
                <w:sz w:val="20"/>
                <w:szCs w:val="18"/>
                <w:lang w:val="ka-GE" w:eastAsia="ru-RU"/>
              </w:rPr>
            </w:pPr>
            <w:r w:rsidRPr="0033052B">
              <w:rPr>
                <w:rFonts w:ascii="AcadNusx" w:eastAsia="Times New Roman" w:hAnsi="AcadNusx" w:cs="Times New Roman"/>
                <w:noProof/>
                <w:spacing w:val="40"/>
                <w:sz w:val="20"/>
                <w:szCs w:val="18"/>
                <w:lang w:val="ka-GE" w:eastAsia="ru-RU"/>
              </w:rPr>
              <w:t>Semsrulebeli:</w:t>
            </w:r>
          </w:p>
          <w:p w:rsidR="00153F21" w:rsidRPr="0033052B" w:rsidRDefault="00153F21" w:rsidP="00153F21">
            <w:pPr>
              <w:spacing w:after="0" w:line="240" w:lineRule="auto"/>
              <w:rPr>
                <w:rFonts w:ascii="AcadNusx" w:eastAsia="Times New Roman" w:hAnsi="AcadNusx" w:cs="Arial"/>
                <w:noProof/>
                <w:sz w:val="20"/>
                <w:szCs w:val="18"/>
                <w:lang w:val="ka-GE" w:eastAsia="ru-RU"/>
              </w:rPr>
            </w:pPr>
            <w:r w:rsidRPr="0033052B">
              <w:rPr>
                <w:rFonts w:ascii="AcadNusx" w:eastAsia="Times New Roman" w:hAnsi="AcadNusx" w:cs="Times New Roman"/>
                <w:noProof/>
                <w:sz w:val="20"/>
                <w:szCs w:val="18"/>
                <w:lang w:val="ka-GE" w:eastAsia="ru-RU"/>
              </w:rPr>
              <w:t xml:space="preserve">Sps ,,Tbili saxli” s/k </w:t>
            </w:r>
            <w:r w:rsidRPr="0033052B">
              <w:rPr>
                <w:rFonts w:ascii="AcadNusx" w:eastAsia="Times New Roman" w:hAnsi="AcadNusx" w:cs="Arial"/>
                <w:noProof/>
                <w:sz w:val="20"/>
                <w:szCs w:val="18"/>
                <w:lang w:val="ka-GE" w:eastAsia="ru-RU"/>
              </w:rPr>
              <w:t>204976179</w:t>
            </w:r>
          </w:p>
          <w:p w:rsidR="00153F21" w:rsidRPr="0033052B" w:rsidRDefault="00153F21" w:rsidP="00EF48B7">
            <w:pPr>
              <w:spacing w:after="0" w:line="240" w:lineRule="auto"/>
              <w:rPr>
                <w:rFonts w:ascii="Sylfaen" w:eastAsia="Times New Roman" w:hAnsi="Sylfaen" w:cs="Arial"/>
                <w:noProof/>
                <w:sz w:val="20"/>
                <w:szCs w:val="18"/>
                <w:lang w:val="ka-GE" w:eastAsia="ru-RU"/>
              </w:rPr>
            </w:pPr>
          </w:p>
          <w:p w:rsidR="00153F21" w:rsidRPr="0033052B" w:rsidRDefault="00153F21" w:rsidP="00EF48B7">
            <w:pPr>
              <w:spacing w:after="0" w:line="240" w:lineRule="auto"/>
              <w:rPr>
                <w:rFonts w:ascii="Sylfaen" w:eastAsia="Times New Roman" w:hAnsi="Sylfaen" w:cs="Arial"/>
                <w:noProof/>
                <w:sz w:val="20"/>
                <w:szCs w:val="18"/>
                <w:lang w:val="ka-GE" w:eastAsia="ru-RU"/>
              </w:rPr>
            </w:pPr>
          </w:p>
          <w:p w:rsidR="00153F21" w:rsidRPr="0033052B" w:rsidRDefault="00153F21" w:rsidP="00EF48B7">
            <w:pPr>
              <w:spacing w:after="0" w:line="240" w:lineRule="auto"/>
              <w:rPr>
                <w:rFonts w:ascii="Sylfaen" w:eastAsia="Times New Roman" w:hAnsi="Sylfaen" w:cs="Times New Roman"/>
                <w:noProof/>
                <w:sz w:val="20"/>
                <w:szCs w:val="18"/>
                <w:lang w:val="ka-GE" w:eastAsia="ru-RU"/>
              </w:rPr>
            </w:pPr>
            <w:r w:rsidRPr="0033052B">
              <w:rPr>
                <w:rFonts w:ascii="Sylfaen" w:eastAsia="Times New Roman" w:hAnsi="Sylfaen" w:cs="Arial"/>
                <w:noProof/>
                <w:sz w:val="20"/>
                <w:szCs w:val="18"/>
                <w:lang w:val="ka-GE" w:eastAsia="ru-RU"/>
              </w:rPr>
              <w:t>-------------------------------------------</w:t>
            </w:r>
          </w:p>
        </w:tc>
      </w:tr>
    </w:tbl>
    <w:p w:rsidR="00153F21" w:rsidRPr="0038728F" w:rsidRDefault="00153F21" w:rsidP="0038728F">
      <w:pPr>
        <w:tabs>
          <w:tab w:val="left" w:pos="6735"/>
        </w:tabs>
        <w:spacing w:line="360" w:lineRule="auto"/>
        <w:ind w:hanging="180"/>
        <w:jc w:val="both"/>
        <w:rPr>
          <w:rFonts w:ascii="Sylfaen" w:hAnsi="Sylfaen" w:cs="Sylfaen"/>
          <w:sz w:val="20"/>
          <w:szCs w:val="20"/>
          <w:lang w:val="ka-GE"/>
        </w:rPr>
      </w:pPr>
    </w:p>
    <w:sectPr w:rsidR="00153F21" w:rsidRPr="0038728F" w:rsidSect="00872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cadNusx">
    <w:altName w:val="Calibri"/>
    <w:charset w:val="00"/>
    <w:family w:val="auto"/>
    <w:pitch w:val="variable"/>
    <w:sig w:usb0="00000087" w:usb1="00000000" w:usb2="00000000" w:usb3="00000000" w:csb0="0000001B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0028A3"/>
    <w:multiLevelType w:val="multilevel"/>
    <w:tmpl w:val="7980C9DA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HAnsi" w:hint="default"/>
        <w:color w:val="auto"/>
      </w:rPr>
    </w:lvl>
    <w:lvl w:ilvl="2">
      <w:start w:val="1"/>
      <w:numFmt w:val="decimal"/>
      <w:lvlText w:val="%1.%2.%3"/>
      <w:lvlJc w:val="left"/>
      <w:pPr>
        <w:ind w:left="706" w:hanging="720"/>
      </w:pPr>
      <w:rPr>
        <w:rFonts w:eastAsiaTheme="minorHAnsi" w:hint="default"/>
        <w:color w:val="auto"/>
      </w:rPr>
    </w:lvl>
    <w:lvl w:ilvl="3">
      <w:start w:val="1"/>
      <w:numFmt w:val="decimal"/>
      <w:lvlText w:val="%1.%2.%3.%4"/>
      <w:lvlJc w:val="left"/>
      <w:pPr>
        <w:ind w:left="699" w:hanging="720"/>
      </w:pPr>
      <w:rPr>
        <w:rFonts w:eastAsiaTheme="minorHAnsi" w:hint="default"/>
        <w:color w:val="auto"/>
      </w:rPr>
    </w:lvl>
    <w:lvl w:ilvl="4">
      <w:start w:val="1"/>
      <w:numFmt w:val="decimal"/>
      <w:lvlText w:val="%1.%2.%3.%4.%5"/>
      <w:lvlJc w:val="left"/>
      <w:pPr>
        <w:ind w:left="692" w:hanging="720"/>
      </w:pPr>
      <w:rPr>
        <w:rFonts w:eastAsiaTheme="minorHAnsi" w:hint="default"/>
        <w:color w:val="auto"/>
      </w:rPr>
    </w:lvl>
    <w:lvl w:ilvl="5">
      <w:start w:val="1"/>
      <w:numFmt w:val="decimal"/>
      <w:lvlText w:val="%1.%2.%3.%4.%5.%6"/>
      <w:lvlJc w:val="left"/>
      <w:pPr>
        <w:ind w:left="1045" w:hanging="1080"/>
      </w:pPr>
      <w:rPr>
        <w:rFonts w:eastAsiaTheme="minorHAns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038" w:hanging="1080"/>
      </w:pPr>
      <w:rPr>
        <w:rFonts w:eastAsiaTheme="minorHAns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391" w:hanging="1440"/>
      </w:pPr>
      <w:rPr>
        <w:rFonts w:eastAsiaTheme="minorHAns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384" w:hanging="1440"/>
      </w:pPr>
      <w:rPr>
        <w:rFonts w:eastAsiaTheme="minorHAnsi" w:hint="default"/>
        <w:color w:val="auto"/>
      </w:rPr>
    </w:lvl>
  </w:abstractNum>
  <w:abstractNum w:abstractNumId="1" w15:restartNumberingAfterBreak="0">
    <w:nsid w:val="75520E74"/>
    <w:multiLevelType w:val="hybridMultilevel"/>
    <w:tmpl w:val="450AE3E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E3F"/>
    <w:rsid w:val="0001406B"/>
    <w:rsid w:val="0002200D"/>
    <w:rsid w:val="00084EFF"/>
    <w:rsid w:val="000B56DF"/>
    <w:rsid w:val="000C0BD0"/>
    <w:rsid w:val="000C0EDB"/>
    <w:rsid w:val="000D517E"/>
    <w:rsid w:val="000D76FC"/>
    <w:rsid w:val="000F7D7A"/>
    <w:rsid w:val="00116B76"/>
    <w:rsid w:val="00153F21"/>
    <w:rsid w:val="0018586F"/>
    <w:rsid w:val="00197E39"/>
    <w:rsid w:val="001B6AC6"/>
    <w:rsid w:val="001C40C8"/>
    <w:rsid w:val="001F1D33"/>
    <w:rsid w:val="0024760E"/>
    <w:rsid w:val="00262547"/>
    <w:rsid w:val="00281965"/>
    <w:rsid w:val="0028207B"/>
    <w:rsid w:val="00292908"/>
    <w:rsid w:val="0033052B"/>
    <w:rsid w:val="00337976"/>
    <w:rsid w:val="003628E8"/>
    <w:rsid w:val="0037647A"/>
    <w:rsid w:val="0038728F"/>
    <w:rsid w:val="003901C9"/>
    <w:rsid w:val="003A54EB"/>
    <w:rsid w:val="003A6CBC"/>
    <w:rsid w:val="0040793D"/>
    <w:rsid w:val="00420113"/>
    <w:rsid w:val="00441D1E"/>
    <w:rsid w:val="004A57CC"/>
    <w:rsid w:val="004A7AD2"/>
    <w:rsid w:val="004C05BD"/>
    <w:rsid w:val="00523E3A"/>
    <w:rsid w:val="00547F17"/>
    <w:rsid w:val="005724F7"/>
    <w:rsid w:val="00581B7D"/>
    <w:rsid w:val="005C0EEA"/>
    <w:rsid w:val="005C7524"/>
    <w:rsid w:val="005F37A1"/>
    <w:rsid w:val="00673768"/>
    <w:rsid w:val="00687729"/>
    <w:rsid w:val="006A39D9"/>
    <w:rsid w:val="006C5B55"/>
    <w:rsid w:val="006E349C"/>
    <w:rsid w:val="0074210E"/>
    <w:rsid w:val="0074533F"/>
    <w:rsid w:val="008075F1"/>
    <w:rsid w:val="008173F2"/>
    <w:rsid w:val="008307D0"/>
    <w:rsid w:val="008700EC"/>
    <w:rsid w:val="008725F6"/>
    <w:rsid w:val="0088377A"/>
    <w:rsid w:val="0088432F"/>
    <w:rsid w:val="009434C6"/>
    <w:rsid w:val="0095089D"/>
    <w:rsid w:val="00952DBF"/>
    <w:rsid w:val="00952E3F"/>
    <w:rsid w:val="009A73DE"/>
    <w:rsid w:val="009E514E"/>
    <w:rsid w:val="00A15052"/>
    <w:rsid w:val="00A26373"/>
    <w:rsid w:val="00A322E0"/>
    <w:rsid w:val="00A627E9"/>
    <w:rsid w:val="00A7197A"/>
    <w:rsid w:val="00B27297"/>
    <w:rsid w:val="00B90366"/>
    <w:rsid w:val="00C764B5"/>
    <w:rsid w:val="00C869AF"/>
    <w:rsid w:val="00CC7A65"/>
    <w:rsid w:val="00CD3037"/>
    <w:rsid w:val="00D04D3D"/>
    <w:rsid w:val="00D121E1"/>
    <w:rsid w:val="00D5102E"/>
    <w:rsid w:val="00D57E1A"/>
    <w:rsid w:val="00D77949"/>
    <w:rsid w:val="00E77B41"/>
    <w:rsid w:val="00E9322C"/>
    <w:rsid w:val="00EA2FC6"/>
    <w:rsid w:val="00EB45A9"/>
    <w:rsid w:val="00EC0011"/>
    <w:rsid w:val="00EC2058"/>
    <w:rsid w:val="00F02A36"/>
    <w:rsid w:val="00F26456"/>
    <w:rsid w:val="00F63EC3"/>
    <w:rsid w:val="00F87CD9"/>
    <w:rsid w:val="00FD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96FEA8-6F6A-49B6-845F-A36A91D2A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E3F"/>
    <w:pPr>
      <w:ind w:left="720"/>
      <w:contextualSpacing/>
    </w:pPr>
  </w:style>
  <w:style w:type="character" w:customStyle="1" w:styleId="yiv9934819437">
    <w:name w:val="yiv9934819437"/>
    <w:basedOn w:val="DefaultParagraphFont"/>
    <w:rsid w:val="008725F6"/>
  </w:style>
  <w:style w:type="paragraph" w:styleId="NoSpacing">
    <w:name w:val="No Spacing"/>
    <w:uiPriority w:val="1"/>
    <w:qFormat/>
    <w:rsid w:val="0074210E"/>
    <w:pPr>
      <w:spacing w:after="0" w:line="240" w:lineRule="auto"/>
    </w:pPr>
  </w:style>
  <w:style w:type="paragraph" w:styleId="BodyText">
    <w:name w:val="Body Text"/>
    <w:basedOn w:val="Normal"/>
    <w:link w:val="BodyTextChar"/>
    <w:rsid w:val="0038728F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38728F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53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nato.gogniashvi00000</dc:creator>
  <cp:lastModifiedBy>Tamar Bochorishvili</cp:lastModifiedBy>
  <cp:revision>9</cp:revision>
  <cp:lastPrinted>2016-04-25T13:32:00Z</cp:lastPrinted>
  <dcterms:created xsi:type="dcterms:W3CDTF">2016-11-21T09:50:00Z</dcterms:created>
  <dcterms:modified xsi:type="dcterms:W3CDTF">2017-01-15T19:21:00Z</dcterms:modified>
</cp:coreProperties>
</file>