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BD6" w:rsidRPr="0063616E" w:rsidRDefault="006B7BD6" w:rsidP="006B7BD6">
      <w:pPr>
        <w:jc w:val="center"/>
        <w:rPr>
          <w:b/>
          <w:sz w:val="18"/>
          <w:lang w:val="ka-GE"/>
        </w:rPr>
      </w:pPr>
      <w:r w:rsidRPr="0063616E">
        <w:rPr>
          <w:rFonts w:ascii="Sylfaen" w:hAnsi="Sylfaen" w:cs="Sylfaen"/>
          <w:b/>
          <w:sz w:val="18"/>
          <w:lang w:val="ka-GE"/>
        </w:rPr>
        <w:t>ხელშეკრულება</w:t>
      </w:r>
      <w:r w:rsidRPr="0063616E">
        <w:rPr>
          <w:b/>
          <w:sz w:val="18"/>
          <w:lang w:val="ka-GE"/>
        </w:rPr>
        <w:t xml:space="preserve"> #</w:t>
      </w:r>
      <w:bookmarkStart w:id="0" w:name="ContractNumber"/>
      <w:bookmarkEnd w:id="0"/>
    </w:p>
    <w:p w:rsidR="006B7BD6" w:rsidRPr="0063616E" w:rsidRDefault="006B7BD6" w:rsidP="006B7BD6">
      <w:pPr>
        <w:rPr>
          <w:sz w:val="18"/>
          <w:lang w:val="ka-GE"/>
        </w:rPr>
      </w:pPr>
      <w:r w:rsidRPr="0063616E">
        <w:rPr>
          <w:rFonts w:ascii="Sylfaen" w:hAnsi="Sylfaen" w:cs="Sylfaen"/>
          <w:sz w:val="18"/>
          <w:lang w:val="ka-GE"/>
        </w:rPr>
        <w:t>ქ</w:t>
      </w:r>
      <w:r w:rsidRPr="0063616E">
        <w:rPr>
          <w:sz w:val="18"/>
          <w:lang w:val="ka-GE"/>
        </w:rPr>
        <w:t xml:space="preserve">. </w:t>
      </w:r>
      <w:r w:rsidRPr="0063616E">
        <w:rPr>
          <w:rFonts w:ascii="Sylfaen" w:hAnsi="Sylfaen" w:cs="Sylfaen"/>
          <w:sz w:val="18"/>
          <w:lang w:val="ka-GE"/>
        </w:rPr>
        <w:t>თბილისი</w:t>
      </w:r>
      <w:r w:rsidRPr="0063616E">
        <w:rPr>
          <w:sz w:val="18"/>
          <w:lang w:val="ka-GE"/>
        </w:rPr>
        <w:t xml:space="preserve">                                                                                                  </w:t>
      </w:r>
      <w:r w:rsidRPr="0063616E">
        <w:rPr>
          <w:rFonts w:ascii="Sylfaen" w:hAnsi="Sylfaen"/>
          <w:sz w:val="18"/>
          <w:lang w:val="ka-GE"/>
        </w:rPr>
        <w:tab/>
      </w:r>
      <w:r w:rsidRPr="0063616E">
        <w:rPr>
          <w:rFonts w:ascii="Sylfaen" w:hAnsi="Sylfaen"/>
          <w:sz w:val="18"/>
          <w:lang w:val="ka-GE"/>
        </w:rPr>
        <w:tab/>
      </w:r>
      <w:r w:rsidRPr="0063616E">
        <w:rPr>
          <w:rFonts w:ascii="Sylfaen" w:hAnsi="Sylfaen"/>
          <w:sz w:val="18"/>
          <w:lang w:val="ka-GE"/>
        </w:rPr>
        <w:tab/>
      </w:r>
      <w:bookmarkStart w:id="1" w:name="ContractDate"/>
      <w:bookmarkEnd w:id="1"/>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b/>
          <w:sz w:val="18"/>
          <w:lang w:val="ka-GE"/>
        </w:rPr>
      </w:pPr>
      <w:r w:rsidRPr="0063616E">
        <w:rPr>
          <w:rFonts w:ascii="Sylfaen" w:hAnsi="Sylfaen" w:cs="Sylfaen"/>
          <w:b/>
          <w:sz w:val="18"/>
          <w:lang w:val="ka-GE"/>
        </w:rPr>
        <w:t>ხელშეკრულების</w:t>
      </w:r>
      <w:r w:rsidRPr="0063616E">
        <w:rPr>
          <w:b/>
          <w:sz w:val="18"/>
          <w:lang w:val="ka-GE"/>
        </w:rPr>
        <w:t xml:space="preserve"> </w:t>
      </w:r>
      <w:r w:rsidRPr="0063616E">
        <w:rPr>
          <w:rFonts w:ascii="Sylfaen" w:hAnsi="Sylfaen" w:cs="Sylfaen"/>
          <w:b/>
          <w:sz w:val="18"/>
          <w:lang w:val="ka-GE"/>
        </w:rPr>
        <w:t>მხარეები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ერთის მხრივ </w:t>
      </w:r>
      <w:bookmarkStart w:id="2" w:name="ClientName"/>
      <w:bookmarkEnd w:id="2"/>
      <w:r w:rsidRPr="0063616E">
        <w:rPr>
          <w:rFonts w:ascii="Sylfaen" w:hAnsi="Sylfaen" w:cs="Sylfaen"/>
          <w:sz w:val="18"/>
          <w:lang w:val="ka-GE"/>
        </w:rPr>
        <w:t xml:space="preserve"> წარმოდგენილი მისი დირექტორის, </w:t>
      </w:r>
      <w:bookmarkStart w:id="3" w:name="ClientDirector"/>
      <w:bookmarkEnd w:id="3"/>
      <w:r w:rsidRPr="0063616E">
        <w:rPr>
          <w:rFonts w:ascii="Sylfaen" w:hAnsi="Sylfaen" w:cs="Sylfaen"/>
          <w:sz w:val="18"/>
          <w:lang w:val="ka-GE"/>
        </w:rPr>
        <w:t xml:space="preserve"> სახით (შემდგომში `შემკვეთი”) და შპს `თბილი სახლი" (ს/კ 204976179), წარმოდგენილი მისი დირექტორის მალხაზ კურტანიძის სახით (შემდომში `შემსრულებელი") (ორივე ერთად წოდებული “მხარეებად”) ვხელმძღვანელობთ რა საქართველოს მოქმედი კანონმდებლობით, ვდებთ წინამდებარე ხელშეკრულებას (შემდგომში ”ხელშეკრულება”) შემდეგზე: </w:t>
      </w:r>
    </w:p>
    <w:p w:rsidR="006B7BD6" w:rsidRPr="0063616E" w:rsidRDefault="006B7BD6" w:rsidP="006B7BD6">
      <w:pPr>
        <w:rPr>
          <w:rFonts w:ascii="Sylfaen" w:hAnsi="Sylfaen"/>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ხელშეკრულების საგანი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“შემკვეთი” აფორმებს წინამდებარე ხელშეკრულებას შპს „თბილ სახლთან“ (`შემსრულებელი”), რათა მან </w:t>
      </w:r>
      <w:bookmarkStart w:id="4" w:name="ClientAddress"/>
      <w:bookmarkEnd w:id="4"/>
      <w:r w:rsidRPr="0063616E">
        <w:rPr>
          <w:rFonts w:ascii="Sylfaen" w:hAnsi="Sylfaen" w:cs="Sylfaen"/>
          <w:sz w:val="18"/>
          <w:lang w:val="ka-GE"/>
        </w:rPr>
        <w:t xml:space="preserve">-ში  მდებარე  შენობაში – (შემდგომში “ობიექტი”) აწარმოოს </w:t>
      </w:r>
      <w:bookmarkStart w:id="5" w:name="ContractDescription"/>
      <w:bookmarkEnd w:id="5"/>
      <w:r w:rsidRPr="0063616E">
        <w:rPr>
          <w:rFonts w:ascii="Sylfaen" w:hAnsi="Sylfaen" w:cs="Sylfaen"/>
          <w:sz w:val="18"/>
          <w:lang w:val="ka-GE"/>
        </w:rPr>
        <w:t xml:space="preserve"> (მითითებული სამუშაოები შემდგომში ერთად წოდებული “მომსახურება” და/ან “სამუშაო(ები)”) წინამდებარე ხელშეკრულების პირობების გათვალისწინებით, ხოლო შემკვეთი აუნაზღაურებს შემსრულებელს მომსახურების ღირებულებას წინამდებარე ხელშეკრულების პირობების შესაბამისად.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`შემსრულებლის” მიერ გასაწევი მომსახურების/სამუშაოების დაწვრილებითი ჩამონათვალი, და  ხარჯები მოცემული იქნება ხელშეკრულების დანართი #1-ში (ხარჯთაღრიცხვა), რომელიც წარმოადგენს წინამდებარე ხელშეკრულების განუყოფელ ნაწილს. ამასთან მხარეები ითვალისწინებენ, რომ შესასრულებელ სამუშაოთა ჩამონათვალი, პროექტი და გამოსაყენებელი მასალები ეფუძნება შემკვეთის “მითითებებს”, რომელთა სისწორესა და არსებულ კანონმდებლობასა თუ სტანდარტებთან შესაბამისობაზე პასუხს აგებს შემკვეთი.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შემსრულებლის მიერ, წინამდებარე ხელშეკრულებასა და მის დანართებში მითითებული სამუშაოების ხელშეკრულებითა თუ მისი დანართებით დადგენილ ვადებში, შესრულების ვალდებულება დამოკიდებულია შემკვეთის მიერ, წინამდებარე ხელშეკრულებით ნაკისრი, ვალდებულებების ჯეროვან შესრულებაზე.</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მხარეები ადასტურებენ, რომ შემსრულებლის მიერ შესასრულებელი სამუშაოები არ მოიცავს მიწის, სანგრევ-სახვრეტ, სამშენებლო და აღდგენით სამუშაოებს.</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შემსრულებელი ასრულებს სამუშაოს თავისი მასალით და გადასცემს შემკვეთს შესრუ ლებულ სამუშაოს.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შემკვეთი აცხადებს, რომ იგი ეთანხმება წინამდებარე ხელშეკრულების გაფორმებამდე შემსრულებლის მიერ წარმოდგენილ წინასწარ ხარჯთაღრიცხვას</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b/>
          <w:sz w:val="18"/>
          <w:lang w:val="ka-GE"/>
        </w:rPr>
      </w:pPr>
      <w:r w:rsidRPr="0063616E">
        <w:rPr>
          <w:rFonts w:ascii="Sylfaen" w:hAnsi="Sylfaen" w:cs="Sylfaen"/>
          <w:b/>
          <w:sz w:val="18"/>
          <w:lang w:val="ka-GE"/>
        </w:rPr>
        <w:t>ხელშეკრულების ღირებულება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ხელშეკრულების (მომსახურების) ღირებულება შეადგენს </w:t>
      </w:r>
      <w:bookmarkStart w:id="6" w:name="ContractAmount"/>
      <w:bookmarkEnd w:id="6"/>
      <w:r>
        <w:rPr>
          <w:rFonts w:ascii="Sylfaen" w:hAnsi="Sylfaen" w:cs="Sylfaen"/>
          <w:sz w:val="18"/>
        </w:rPr>
        <w:t xml:space="preserve"> </w:t>
      </w:r>
      <w:r w:rsidRPr="0063616E">
        <w:rPr>
          <w:rFonts w:ascii="Sylfaen" w:hAnsi="Sylfaen" w:cs="Sylfaen"/>
          <w:sz w:val="18"/>
          <w:lang w:val="ka-GE"/>
        </w:rPr>
        <w:t>ექვივალენტს ლარში, დღგ-ს ჩათვლით, რომელიც გადახდილ უნდა იქნას გადახდის დღეს არსებული ეროვნული ბანკის მიერ დადგენილი ოფიციალური გაცვლითი კურსის შესაბამისად.</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ღირებულება მოიცავს, როგორც შესასრულებელი სამუშაოს ღირებულებას, ისე ხელშეკრულების შესრულებასთან დაკავშირებით `შემსრულებლის” მიერ გამოსაყენებელი მასალების/დანადგარების ღირებულებას.</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ობიექტზე ელ.ენერგიის, წყლის, გაზის (მათ შორის პირველადი ჩართვის) და სხვა კომუნალური ხარჯების გაწევა ევალება შემკვეთს და გადახდილ უნდა იქნეს დროულად, რათა არ შეფერხდეს შემსრულებლის მიერ სამუშაოების შესრულება.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წინამდებარე ხელშეკრულების პირობების, მათ შორის ხელშეკრულების მე-2 და მე-3 მუხლში მითითებული პროექტისა და ფასის შეცვლა დაუშვებელია მხარეთა მიერ წერილობითი შეთანხმების გაფორმების გარეშე. ამასთან, ხელშეკრულების ფასის გაზრდა დაიშვება საბაზრო ფასების გაზრდის, ინფლაციისა და შემკვეთის მიერ დამატებითი სამუშაოების ან სამუშაოებში ცვლილებების შეტანის სურვილის შემთხვევაში. თუკი მხარეები ვერ შეთანხმდნენ ფასის გაზრდაზე, ხელშეკრულება შეწყდება და შემკვეთი დაუყოვნებლივ მოახდენს ანგარიშსწორებას შემსრულებელთან ასეთი შეწყვეტის დროისათვის გაწეული სამუშაოების პროპორციულად.  </w:t>
      </w:r>
    </w:p>
    <w:p w:rsidR="006B7BD6" w:rsidRPr="0063616E" w:rsidRDefault="006B7BD6" w:rsidP="006B7BD6">
      <w:pPr>
        <w:rPr>
          <w:rFonts w:ascii="Sylfaen" w:hAnsi="Sylfaen" w:cs="Sylfaen"/>
          <w:b/>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მხარეთა უფლება - მოვალეობები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lastRenderedPageBreak/>
        <w:t>`შემსრულებელი” ვალდებულია: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სამუშაოების შესრულება დაიწყოს სამუშაოების წარმოებისათვის ობიექტის (შემკვეთის მიერ) მომზადებიდან და ხელშეკრულებით გათვალისწინებული ავანსის ჩარიცხვიდან 1 (ერთი) კვირის ვადაში და დაასრულოს სამუშაოები  შემკვეთისა თუ მისი დაქირავებული პირების და/ან მუშახელის (მათ შორის ობიექტზე მიმდინარე მშენებლობის), ასევე სხვა მესამე პირთა მხრიდან  შეფერხებების არარსებობის პირობებში პროექტის შესაბამისად.</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განახორციელოს ამ ხელშეკრულებით მასზე დაკისრებული სხვა ვალდებულებები.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შემსრულებელი უფლებამოსილია: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მიიღოს წინამდებარე ხელშეკრულებით განსაზღვრული ყველა საჭირო დოკუმენტი ან ინფორმაცია,   რაც საჭიროა მის მიერ ამავე ხელშეკრულებით ნაკისრი ვალდებულებების შესრულებისათვის;</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მოითხოვოს შემკვეთისაგან ხელშეკრულებით ნაკისრი ვალდებულებების შესრულება; მათ შორის: მოსთხოვოს შემკვეთს შესრულებული სამუშაოების მიღება;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მოსთხოვოს შემკვეთს ხელშეკრულებით გათვალისწინებულ ვადებში ანგარიშსწორების განხორციელება და სხვ.</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`შემკვეთი” ვალდებულია: </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უზრუნველყოს ობიექტის მზადყოფნა სამუშაოების დასაწყებად (მათ შორის, საჭიროების შემთხვევაში, წინასწარ აიღოს ყველა სახის ნებართვა (კერძო პირებისა თუ სახელმწიფო ორგანოებისგან) სამუშაოების საწარმოებლად და  დანადგარების ობიექტზე დასამონტაჟებლად); ხელი შეუწყოს შემსრულებელს მის მიერ ხელშეკრულებით ნაკისრი ვალდებულებების შესრულებაში; შემსრულებელი თავისუფლდება პასუხისმგებლობისაგან სამუშაოს შესრულების ვადის დარღვევაზე, თუკი ასეთი დარღვევა გამოწვეულია ობიექტების მოუმზადებლობით/სამუშაოს საწარმებლად საჭირო პირობების არარსებობით და/ან ამ ხელშეკრულებითა თუ კანონით გათვალისწინებული სხვა პირობებით.</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ხელშეკრულებით დადგენილ ვადაში უზრუნველყოს შესრულებული სამუშაოს ინსპექტირება;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უზრუნველყოს `შემსრულებლისათვის“ გაწეული მომსახურების ღირებულების ანაზღაურება ამ ხელშეკრულებით გათვალისწინებული პირობების და ვადების შესაბამისად;</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ობიექტის ტერიტორიაზე გამოუყოს შემსრულებელს საცავი შემსრულებლის კუთვნილი მასალების შენახვის მიზნით  და პასუხი აგოს მათ დაზიანება/განადგურებაზე, თუკი აღნიშნული შემსრულებლისგან დამოუკიდებელი მიზეზით მოხდა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ხელშეკრულებით დადგენილ ვადაში მიიღოს სამუშაო/დანადგარები/მასალები.</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 xml:space="preserve">დაუყოვნებლივ და/ან ხელშეკრულებით დადგენილ ვადებში აუნაზღაუროს  შემსრულებელს მიყენებული ზიანი/ზარალი. </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განახორციელოს ამ ხელშეკრულებით მასზე დაკისრებული სხვა ვალდებულებები.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შემკვეთი უფლებამოსილია: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მოითხოვოს შემსრულებლის მიერ წინამდებარე ხელშეკრულებით განსაზღვრული ვალდებულებების შესრულება</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 xml:space="preserve">მოითხოვოს ინფორმაცია შესასრულებელი სამუშაოს მიმდინარეობის შესახებ; </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განხორციელებული სამუშაოების ხარისხი და გარანტია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შესრულებული სამუშაოების ხარისხის საგარანტიო ვადა უნდა მოქმედებდეს საბოლოო მიღება-ჩაბარების აქტის გაფორმებიდან 1 (ერთი) წლის განმავლობაში; ამასთან, ზემოაღნიშნული გარანტიით გათვალისწინებული მომსახურების განხორციელების ვალდებულება შემსრულებელს არ დაეკისრება, თუკი შემკვეთი სამუშაოების მიღებისთანავე არ გამოყოფს კვალიფიციურ პერსონალს სამუშაოს შედეგად დამონტაჟებული დანადგარების გამართული ექსპლუატაციის უზრუნველსაყოფად და არ დაიცავს საგარანტიო პირობებს.</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ამ მუხლის 5.1 პუნქტით განსაზღვრულ საგარანტიო ვადის განმავლობაში `შემკვეთის” მიერ გამოვლენილი და დამოუკიდებელი ექსპერტის მიერ დადასტურებული წუნის არსებობის შემთხვევაში, შემსრულებელი ვალდებულია გონივრულ ვადებში მოახდინოს წუნის გამოსწორება. </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სამუშაოს მიღება-ჩაბარების წესი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სამუშაოს  შესრულება/დასრულება დასტურდება როგორც მხარეთა (უფლებამოსილ წარმომადგენელთა) მიერ გაფორმებული მიღება-ჩაბარების აქტით და/ან ფორმა #2-ით, ასევე ფაქტობრივი შესრულებით.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lastRenderedPageBreak/>
        <w:t xml:space="preserve">სამუშაოების (მათ შორის სამუშაოების თითოეული ეტაპის) მიღების ვალდებულება (მიღება-ჩაბარების აქტის და/ან ფორმა #2-ის გაფორმება) “შემკვეთს” წარმოეშობა სამუშაოს დასრულებისთანავე, დასრულების შესახებ შემსრულებლის მიერ შეტყობინებიდან/მიღება-ჩაბარების აქტის/ფორმა #2-ის წარდგენიდან არაუგვიანეს ხუთი სამუშაო დღის ვადაში.  შემკვეთი, სურვილის შემთხვევაში და თავისი ხარჯით ვალდებულია უზრუნველყოს სამუშაოს ინსპექტირება (საჭიროების შემთხვევაში ექსპერტიზა) აღნიშნული ხუთი დღის ვადაში და ამ ვადის გასვლისთანავე მიიღოს სამუშაო.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საპატიო (კანონითა და ხელშეკრულებით დადგენილი) მიზეზის გარეშე, მიღება-ჩაბარების აქტის/ფორმა #2-ის ხელმოწერაზე უარის თქმა განიხილება ხელშეკრულების დარღვევად და “შემკვეთი” არ თავისუფლდება სამუშაოებს საზღაურის დროული გადახდის ვალდებულებისაგან, ხოლო “შემსრულებელს” ვალდებულების შესრულების ვადა გადაცილებულად არ ეთვლება იმ დროით, რა დროითაც შესრულების მიღება დააგვიანა   “შემკვეთმა”.  “შემკვეთი” ასევე ვალდებულია “შემსრულებელს” აუნაზღაუროს ვალდებულების შესრულების მიუღებლობით ან დაყოვნებით მიღებით მიყენებული ზიანი.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შესრულებული სამუშაოს მიღების ადგილია  ობიექტის ადგილსამყოფელი.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შემსრულებელი ერთი დღით ადრე შეატყობინებს (მათ შორის დაიშვება ელექტრონული წერილის ფორმით შეტყობინებაც) დამკვეთს სამუშაოს (სამუშაოს თითოეული ეტაპის/ნაწილის) დასრულების/ჩაბარების შესაძლებლობის თაობაზე.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დავის შემთხვევაში სამუშაოს მიღება შეიძლება დადასტურდეს როგორც ინვოისის, ანგარიშ-ფაქტურის, ფორმა #2-ისა თუ მიღება-ჩაბარების აქტის ხელმოწერით, ისე ფაქტობრივი მიღებით და/ან ფაქტობრივი შესრულებით.</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თუ შესრულებული სამუშაო ნაკლის მქონეა რაც დადასტურებული უნდა იყოს, ორივე მხარის მიერ არჩეული, დამოუკიდებელი ექსპერტის წერილობითი დასკვნით, რომელიც შემსრულებელთან წარმოდგენილ უნდა იქნეს სამუშაოების მიღებისათვის (ამ ხელშეკრულების 6.2 პუნქტით) დადგენილ ვადაში, შემკვეთი უფლებამოსილია არ მოაწეროს ხელი მიღება-ჩაბარების აქტს/ფორმა #2-ს და დაუყოვნებლივ, წერილობითი პრეტენზია გაუგზავნოს შემსრულებელს ხარვეზის/წუნის აღმოფხვრის მოთხოვნით და განუსაზღვროს მას დამატებითი შესრულებისთვის  გონივრული (არანაკლებ 10 სამუშაო დღე) ვადა.</w:t>
      </w:r>
    </w:p>
    <w:p w:rsidR="006B7BD6" w:rsidRPr="0063616E" w:rsidRDefault="006B7BD6" w:rsidP="006B7BD6">
      <w:pPr>
        <w:rPr>
          <w:rFonts w:ascii="Sylfaen" w:hAnsi="Sylfaen" w:cs="Sylfaen"/>
          <w:b/>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ანგარიშსწორების წესი და საბანკო გარანტიები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ანგარიშსწორების ვალუტა _ ლარი;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ანგარიშსწორების ფორმა _ უნაღდო, წინამდებარე ხელშეკრულებაში მითითებული, შემსრულებლის საბანკო რეკვიზიტების შესაბამისად.</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ხელშეკრულების/სამუშაოების ღირებულების 70%-ის გადახდა მოხდება წინამდებარე ხელშეკრულების ხელმოწერიდან არაუგვიანეს 5 (ხუთი) კალენდარული დღის ვადაში.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ხელშეკრულების/სამუშაოების ღირებულების საბოლოო 30%-ის გადახდა მოხდება წინამდებარე ხელშეკრულების მხარეებს შორის სამუშაოს მიღება-ჩაბარების აქტის/ფორმა #2-ის  გაფორმებიდან, ხოლო შემკვეთის მიერ მიღება-ჩაბარების აქტის/ფორმა #2-ის ხელმოწერაზე უსაფუძვლო უარის შემთხვევაში, ამ ხელშეკრულების 6.2 პუნქტში მითითებული ვადის (სამუშაოს დასრულების შესახებ შემსრულებლის მიერ შეტყობინებიდან/მიღება-ჩაბარების აქტის/ფორმა #2-ის წარდგენიდან არაუგვიანეს ხუთი სამუშაო დღე) დადგომიდან არაუგვიანეს 05 (ხუთი) სამუშაო დღის ვადაში;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ანაზღაურების (გადახდის) დღედ ითვლება სათანადო ანაზღაურების შემსრულებლის მიერ მიღების დღე.</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მე-7 მუხლით დადგენილი გადახდის პირობებისგან განსხვავებული წესი მოქმედებს იმ შემთხვევაში, თუკი შემსრულებელს, მათი ობიექტზე მიტანიდან ერთი კალენდარული კვირის განმავლობაში,  შემსრულებლისაგან დამოუკიდებელი მიზეზით, ხელი ეშლება სამუშაოს შესასრულებლად საჭირო მასალების/დანადგარების ობიექტზე მონტაჟში.; ასეთ შემთხვევაში შემკვეთი ვალდებულია შემსრულებლის მიერ შესაბამისი მირება-ჩაბარების აქტის და/ან ანგარიშ-ფაქტურის წარმოდგენიდან 5 (ხუთი) სამუშაო დღის ვადაში სრულად აუნაზღაუროს შემსრულებელს ასეთი დანადგარების/მასალების ღირებულება.</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ხელშეკრულების შესრულების შეფერხება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თუ ხელშეკრულების შესრულების პროცესში მხარეები წააწყდებიან რაიმე ხელშემშლელ გარემოებებს, რომელთა გამო ფერხდება ხელშეკრულების პირობების შესრულება, ამ მხარემ დაუყოვნებლივ უნდა გაუგზავნოს მეორე მხარეს წერილობითი შეტყობინება შეფერხების ფაქტის, მისი შესაძლო ხანგრძლივობის და გამომწვევი მიზეზის შესახებ. შეტყობინების მიმღებმა მხარემ რაც შეიძლება მოკლე დროში უნდა აცნობოს მეორე მხარეს მის მიერ </w:t>
      </w:r>
      <w:r w:rsidRPr="0063616E">
        <w:rPr>
          <w:rFonts w:ascii="Sylfaen" w:hAnsi="Sylfaen" w:cs="Sylfaen"/>
          <w:sz w:val="18"/>
          <w:lang w:val="ka-GE"/>
        </w:rPr>
        <w:lastRenderedPageBreak/>
        <w:t>მიღებული გადაწყვეტილება, აღნიშნულ გარემოებებთან დაკავშირებით. სამუშაოების შემკვეთის (ასევე შემკვეთის უფლებამოსილი წარმომადგენლების, დაქირავებული მუშახელისა თუ სხვა კონტრაქტორების) მიერ რაიმე მიზეზით შეჩერების შემთხვევაში დაუყოვნებლივ განისაზღვრება ფაქტობრივად შესრულებული სამუშაოების მოცულობა და ღირებულება, რომელსაც შემკვეთი აანაზღაურებს  ზემოაღნიშნულის შესახებ შემსრულებლის მიერ აქტის შედგენიდან 5 (ხუთი) სამუშაო დღის ვადაში.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იმ შემთხვევაში, თუ ხელშეკრულების პირობების შესრულების შეფერხების გამო მხარეები შეთანხმდებიან ხელშეკრულების პირობების შესრულების ვადის გაგრძელების თაობაზე, ეს გადაწყვეტილება უნდა გაფორმდეს ხელშეკრულებაში ცვლილების შეტანის გზით, ორივე მხარის მიერ ხელმოწერილი შეთანხმებით.</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sz w:val="18"/>
          <w:lang w:val="ka-GE"/>
        </w:rPr>
      </w:pPr>
      <w:r w:rsidRPr="0063616E">
        <w:rPr>
          <w:rFonts w:ascii="Sylfaen" w:hAnsi="Sylfaen" w:cs="Sylfaen"/>
          <w:b/>
          <w:sz w:val="18"/>
          <w:lang w:val="ka-GE"/>
        </w:rPr>
        <w:t>მხარეთა პასუხისმგებლობის პირობები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წინამდებარე ხელშეკრულებით განსაზღვრულ სამუშაოთა დასრულების ვადების, შემსრულებლის მიზეზით,  გადაცდენის შემთხვევაში, ყოველ ვადაგადაცილებულ დღეზე შემსრულებელს ეკისრება პირგასამტეხლო, შეუსრულებელი სამუშაოს ღირებულების 0.1%-ის ოდენობით.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`შემკვეთის” მიერ წინამდებარე ხელშეკრულებით გათვალისწინებული ანგარიშსწორების ვადების დარღვევის შემთხვევაში, ყოველ ვადაგადაცილებულ დღეზე `შემკვეთს” ეკისრება პირგასამტეხლო გადასახდელი თანხის 0.1%-ის ოდენობით. </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იმ შემთხვევაში, თუ `შემკვეთზე” დაკისრებული პირგასამტეხლოს ჯამური თანხა გადააჭარბებს ხელშეკრულების ღირებულების 2 (ორ) პროცენტს, `შემსრულებელი” იტოვებს უფლებას შეწყვიტოს ხელშეკრულება და მოსთხოვოს `დამკვეთს” გადასახდელი  პირგასამტეხლოს  ანაზღაურება.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პირგასამტეხლოს გადახდა არ ათავისუფლებს მხარეებს ძირითადი ვალდებულებების შესრულებისაგან.</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შემსრულებელს არ ეკისრება პასუხისმგებლობა ობიექტში არსებული  სხვადასხვა გაყვანილობის ხარისხსა თუ გამართულ ექსპლუატაციაზე (ასეთის არსებობის შემთხვევაში);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შემსრულებელი თავისუფლდება პასუხისმგებლობისაგან სამუშაოს შესრულების ვადის დარღვევაზე, თუკი ასეთი დარღვევა გამოწვეულია ობიექტების მოუმზადებლობით/სამუშაოს საწარმებლად საჭირო პირობების არარსებობით და/ან ამ ხელშეკრულებითა თუ კანონით გათვალისწინებული სხვა პირობებით.</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შემკვეთი პასუხისმგებელია შემსრულებლის კუთვნილი მასალა-მოწყობილობებისა და დანადგარის დაზიანებაზე ან/და განადგურებაზე მხოლოდ იმ შემთხვევაში, თუკი ასეთი დაზიანება/განადგურება შემსრულებლისგან დამოუკიდებელი მიზეზით მოხდა.</w:t>
      </w:r>
    </w:p>
    <w:p w:rsidR="006B7BD6" w:rsidRPr="0063616E" w:rsidRDefault="006B7BD6" w:rsidP="006B7BD6">
      <w:pPr>
        <w:rPr>
          <w:rFonts w:ascii="Sylfaen" w:hAnsi="Sylfaen"/>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ხელშეკრულების შეწყვეტა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თითოეული მხარე უფლებამოსილია შეწყვიტოს წინამდებარე ხელშეკრულების მოქმედება, თუ მეორე მხარე ვერ უზრუნველყოფს თავისი ვალდებულებების ჯეროვან შესრულებას, ან მოქმედი კანონმდებლობით დადგენილ სხვა შემთხვევებში. აღნიშნულის თაობაზე მეორე მხარეს უნდა ეცნობოს წერილობით 5 (ხუთი) დღით ადრე. ხელშეკრულების ცალმხრივად შეწყვეტის შემთხვევაში “შემსრულებელს” აუნაზღაურდება მხოლოდ მის მიერ ფაქტობრივად და ჯეროვნად შესრულებული სამუშაოსა და სამუშაოს შესასრულებლად შეძენილი მასალების ღირებულება.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ცალკეული პირობების მოქმედების შეწვეტა არ ათავისუფლებს `მხარეებს”  დანარჩენი ვალდებულებების შესრულებისაგან.</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ხელშეკრულება აგრეთვე შეიძლება შეწყდეს მხარეთა წერილობითი შეთანხმების საფუძველზე,  რა დროსაც შემკვეთი გონივრულ ვადაში, არაუგვიანეს შემსრულებლის მოთხოვნიდან 10 (ათი) დღის ვადაში უნაზღაურებს შემსრულებელს ამ დროისათვის შემსრულებლის მიერ ფაქტობრივად შესრულებული სამუშაოსა და სამუშაოს შესასრულებლად შეძენილი მასალების ღირებულებას.</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ვადამდე შეწყვეტისას, ჯეროვნად შესრულებული სამუშაოსა და სამუშაოს შესასრულებლად შეძენილი მასალების  ღირებულება ყველა შემთხვევაში ანაზღაურდება ასეთი შეწყვეტიდან არაუგვიანეს 10 (ათი) დღის ვადაში.</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ხელშეკრულებაში ცვლილებების შეტანა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lastRenderedPageBreak/>
        <w:t>ნებისმიერი ცვლილება წინამდებარე ხელშეკრულებაში განხორციელდება წერილობით ორივე მხარის უფლებამოსილი წარმომადგენლების ხელმოწერით.</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თუ რაიმე წინასწარ გაუთვალისწინებელი მიზეზის გამო წარმოიშობა ხელშეკრულების პირობების შეცვლის აუცილებლობა, ცვლილებების შეტანის ინიციატორი ვალდებულია წერილობით შეატყობინოს მეორე მხარეს შესაბამისი ინფორმაცია. </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დავების გადაწყვეტა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შესრულების პროცესში მხარეთა შორის წარმოქმნილი უთანხმოება წყდება მოლაპარაკების გზით.</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თუ ასეთი მოლაპარაკების დაწყებიდან ერთი თვის განმავლობაში `დამკვეთი” და `შემსრულებელი” ვერ შეძლებენ სადაო საკითხის შეთანხმებით მოგვარებას, ნებისმიერ მხარეს დავის გადაწყვეტის მიზნით შეუძლია დადგენილი წესის შესაბამისად მიმართოს სასამართლოს საქართველოს მოქმედი კანონმდებლობის შესაბამისად.</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ხელშეკრულების მოქმედების ვადა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წინამდებარე ხელშეკრულება ძალაში შედის მისი ხელმოწერის დღიდან, და მოქმედებს მხარეთა მიერ ხელშეკრულებით ნაკისრი ვალდებულებების სრულ შესრულებამდე.</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ფორს-მაჟორი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წინამდებარე ხელშეკრულების დამდები რომელიმე მხარის მიერ ხელშეკრულების პირობების შეუსრულებლობა არ გამოიწვევს მის პასუხისმგებლობასა და  საჯარიმო სანქციების გამოყენებას და ხელშეკრულების შესრულების გარანტიის დაუბრუნებლობას, თუ ხელშეკრულების შესრულების შეფერხება ან მისი ვალდებულებების შეუსრულებლობა გამოწვეულია ფორს-მაჟორული გარემოებებით.</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ამ მუხლის მიზნებისათვის `ფორს-მაჟორი” ნიშნავს მხარეებისათვის გადაულახავ და მათი კონტროლისაგან დამოუკიდებელ გარემოებებს, რომლებიც არ არიან დაკავშირებულნი  მხარეთა შეცდომებსა და დაუდევრობასთან, და რომლებსაც გააჩნიათ წინასწარ გაუთვალისწინებელი ხასიათი. ასეთი გარემოება შეიძლება გამოწვეული იქნეს ომით ან სტიქიური მოვლენებით, ეპიდემიით, კარანტინით და საქონლის მიწოდებაზე ემბარგოს დაწესებით და სხვა.</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მხარემ, რომელსაც შეექმნა ფორს-მაჟორული გარემოება, დაუყოვნებლივ წერილობით უნდა აცნობოს მეორე მხარეს შექმნილი გარემოების და მისი სავარაუდო აღმოფხვრის ვადის შესახებ, წინააღმდეგ შემთხვევაში იგი არ თავისუფლდება ხელშეკრულების პირობების სრული ან ნაწილობრივი შეუსრულებლობით გამოწვეული პასუხისმგებლობისგან.</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 xml:space="preserve">თუ ფორს-მაჟორი გრძელდება 1 (ერთი) თვეზე მეტ ხანს, მხარეებს შეუძლიათ გადაწყვიტონ ხელშეკრულების შემდგომი გაგრძელების ან/და შეწყვეტის საკითხი შეთანხმების გზით. </w:t>
      </w:r>
    </w:p>
    <w:p w:rsidR="006B7BD6" w:rsidRPr="0063616E" w:rsidRDefault="006B7BD6" w:rsidP="006B7BD6">
      <w:pPr>
        <w:rPr>
          <w:sz w:val="18"/>
          <w:lang w:val="ka-GE"/>
        </w:rPr>
      </w:pP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სხვა პირობები</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წინამდებარე ხელშეკრულება შედგენილია ორი თანაბარი იურიდიული ძალის მქონე ეგზემპლარად მხარეებისათვის.</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ნებისმიერი ცვლილება ხელშეკრულებაში ძალაშია მხარეთა მიერ წერილობითი შეთანხმების ხელმოწერის შემდეგ.</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ხელშეკრულების რომელიმე მუხლის ან/და პუნქტის ბათილად ცნობა არ იწვევს მთლიანად ხელშეკრულების ან/და მისი სხვა მუხლების და პუნქტების ბათილობას, თუ ისინი პირდაპირ არ არიან დაკავშირებული, ან არ გამომდინარეობენ ბათილად ცნობილი მუხლებიდან და პუნქტებიდან.</w:t>
      </w:r>
    </w:p>
    <w:p w:rsidR="006B7BD6" w:rsidRPr="0063616E" w:rsidRDefault="006B7BD6" w:rsidP="006B7BD6">
      <w:pPr>
        <w:pStyle w:val="ListParagraph"/>
        <w:numPr>
          <w:ilvl w:val="1"/>
          <w:numId w:val="1"/>
        </w:numPr>
        <w:ind w:left="0" w:firstLine="360"/>
        <w:jc w:val="both"/>
        <w:rPr>
          <w:rFonts w:ascii="Sylfaen" w:hAnsi="Sylfaen" w:cs="Sylfaen"/>
          <w:sz w:val="18"/>
          <w:lang w:val="ka-GE"/>
        </w:rPr>
      </w:pPr>
      <w:r w:rsidRPr="0063616E">
        <w:rPr>
          <w:rFonts w:ascii="Sylfaen" w:hAnsi="Sylfaen" w:cs="Sylfaen"/>
          <w:sz w:val="18"/>
          <w:lang w:val="ka-GE"/>
        </w:rPr>
        <w:t>შემკვეთი ადასტურებს და იძლევა გარანტიას, რომ:</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იგი არ წარმოადგენს რაიმე სახის ადმინისტრაციული გადაცდომის, სასამართლო ან  არბიტრაჟის განხილვის ან პრეტენზიის ობიექტს, რომლებსაც შეუძლიათ უარყოფითი გავლენა იქონიონ შემკვეთის მიერ ამ ხელშეკრულების დებულებების ან მის მიერ ამ ხელშეკრულებით ნაკისრი ვალდებულებების შესრულებაზე.</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lastRenderedPageBreak/>
        <w:t>შემკვეთის მიერ ამ ხელშეკრულების ხელმოწერა არ არღვევს და არ ეწინააღმდეგება მის მიერ დადებულ ნებისმიერ ხელშეკრულებას ან მის ქონებასთან დაკავშირებულ ვალდებულებას.</w:t>
      </w:r>
    </w:p>
    <w:p w:rsidR="006B7BD6" w:rsidRPr="0063616E" w:rsidRDefault="006B7BD6" w:rsidP="006B7BD6">
      <w:pPr>
        <w:pStyle w:val="ListParagraph"/>
        <w:numPr>
          <w:ilvl w:val="2"/>
          <w:numId w:val="1"/>
        </w:numPr>
        <w:ind w:left="360" w:firstLine="360"/>
        <w:jc w:val="both"/>
        <w:rPr>
          <w:rFonts w:ascii="Sylfaen" w:hAnsi="Sylfaen" w:cs="Sylfaen"/>
          <w:sz w:val="18"/>
          <w:lang w:val="ka-GE"/>
        </w:rPr>
      </w:pPr>
      <w:r w:rsidRPr="0063616E">
        <w:rPr>
          <w:rFonts w:ascii="Sylfaen" w:hAnsi="Sylfaen" w:cs="Sylfaen"/>
          <w:sz w:val="18"/>
          <w:lang w:val="ka-GE"/>
        </w:rPr>
        <w:t>ხელშეკრულებასა და სამუშაოსთან დაკავშირებული, ელექტრონული ფოსტის მეშვეობით, უფლებამოსილი პირების (მხარეთა) მიერ  გაგზავნილი, წერილები განიხილება იურიდიული ძალის მქონე დოკუმენტებად.</w:t>
      </w:r>
    </w:p>
    <w:p w:rsidR="006B7BD6" w:rsidRPr="0063616E" w:rsidRDefault="006B7BD6" w:rsidP="006B7BD6">
      <w:pPr>
        <w:rPr>
          <w:sz w:val="18"/>
          <w:lang w:val="ka-GE"/>
        </w:rPr>
      </w:pPr>
      <w:r w:rsidRPr="0063616E">
        <w:rPr>
          <w:sz w:val="18"/>
          <w:lang w:val="ka-GE"/>
        </w:rPr>
        <w:t xml:space="preserve">  </w:t>
      </w:r>
    </w:p>
    <w:p w:rsidR="006B7BD6" w:rsidRPr="0063616E" w:rsidRDefault="006B7BD6" w:rsidP="006B7BD6">
      <w:pPr>
        <w:pStyle w:val="ListParagraph"/>
        <w:numPr>
          <w:ilvl w:val="0"/>
          <w:numId w:val="1"/>
        </w:numPr>
        <w:jc w:val="center"/>
        <w:rPr>
          <w:rFonts w:ascii="Sylfaen" w:hAnsi="Sylfaen" w:cs="Sylfaen"/>
          <w:b/>
          <w:sz w:val="18"/>
          <w:lang w:val="ka-GE"/>
        </w:rPr>
      </w:pPr>
      <w:r w:rsidRPr="0063616E">
        <w:rPr>
          <w:rFonts w:ascii="Sylfaen" w:hAnsi="Sylfaen" w:cs="Sylfaen"/>
          <w:b/>
          <w:sz w:val="18"/>
          <w:lang w:val="ka-GE"/>
        </w:rPr>
        <w:t>მხარეთა რეკვიზიტები და ხელმოწერები</w:t>
      </w:r>
    </w:p>
    <w:p w:rsidR="00E2422B" w:rsidRPr="00CA5746" w:rsidRDefault="004B637F" w:rsidP="00CA5746">
      <w:pPr>
        <w:spacing w:line="240" w:lineRule="auto"/>
        <w:jc w:val="both"/>
        <w:rPr>
          <w:sz w:val="18"/>
          <w:szCs w:val="18"/>
        </w:rPr>
      </w:pPr>
      <w:bookmarkStart w:id="7" w:name="_GoBack"/>
      <w:bookmarkEnd w:id="7"/>
      <w:r w:rsidRPr="00CA5746">
        <w:rPr>
          <w:sz w:val="18"/>
          <w:szCs w:val="18"/>
        </w:rPr>
        <w:tab/>
        <w:t xml:space="preserve"> </w:t>
      </w:r>
    </w:p>
    <w:tbl>
      <w:tblPr>
        <w:tblW w:w="10832"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07"/>
        <w:gridCol w:w="5025"/>
      </w:tblGrid>
      <w:tr w:rsidR="00E2422B" w:rsidRPr="00E2422B" w:rsidTr="003461BE">
        <w:trPr>
          <w:trHeight w:val="3371"/>
        </w:trPr>
        <w:tc>
          <w:tcPr>
            <w:tcW w:w="5807" w:type="dxa"/>
            <w:tcBorders>
              <w:top w:val="single" w:sz="4" w:space="0" w:color="FFFFFF"/>
              <w:left w:val="single" w:sz="4" w:space="0" w:color="FFFFFF"/>
              <w:bottom w:val="single" w:sz="4" w:space="0" w:color="FFFFFF"/>
              <w:right w:val="single" w:sz="4" w:space="0" w:color="FFFFFF"/>
            </w:tcBorders>
            <w:shd w:val="clear" w:color="auto" w:fill="auto"/>
          </w:tcPr>
          <w:p w:rsidR="00E2422B" w:rsidRDefault="00E2422B" w:rsidP="00CA5746">
            <w:pPr>
              <w:spacing w:after="0" w:line="240" w:lineRule="auto"/>
              <w:rPr>
                <w:rFonts w:ascii="Sylfaen" w:eastAsia="Times New Roman" w:hAnsi="Sylfaen" w:cs="Times New Roman"/>
                <w:noProof/>
                <w:spacing w:val="40"/>
                <w:sz w:val="18"/>
                <w:szCs w:val="18"/>
                <w:lang w:val="ka-GE" w:eastAsia="ru-RU"/>
              </w:rPr>
            </w:pPr>
            <w:r w:rsidRPr="00E2422B">
              <w:rPr>
                <w:rFonts w:ascii="Sylfaen" w:eastAsia="Times New Roman" w:hAnsi="Sylfaen" w:cs="Times New Roman"/>
                <w:noProof/>
                <w:spacing w:val="40"/>
                <w:sz w:val="18"/>
                <w:szCs w:val="18"/>
                <w:lang w:val="ka-GE" w:eastAsia="ru-RU"/>
              </w:rPr>
              <w:t xml:space="preserve">   </w:t>
            </w:r>
            <w:r w:rsidRPr="00CA5746">
              <w:rPr>
                <w:rFonts w:ascii="Sylfaen" w:eastAsia="Times New Roman" w:hAnsi="Sylfaen" w:cs="Times New Roman"/>
                <w:noProof/>
                <w:spacing w:val="40"/>
                <w:sz w:val="18"/>
                <w:szCs w:val="18"/>
                <w:lang w:val="ka-GE" w:eastAsia="ru-RU"/>
              </w:rPr>
              <w:t>შემკვეთი:</w:t>
            </w:r>
          </w:p>
          <w:p w:rsidR="00402C59" w:rsidRPr="00E2422B" w:rsidRDefault="00402C59" w:rsidP="00CA5746">
            <w:pPr>
              <w:spacing w:after="0" w:line="240" w:lineRule="auto"/>
              <w:rPr>
                <w:rFonts w:ascii="Sylfaen" w:eastAsia="Times New Roman" w:hAnsi="Sylfaen" w:cs="Times New Roman"/>
                <w:noProof/>
                <w:sz w:val="18"/>
                <w:szCs w:val="18"/>
                <w:lang w:val="ka-GE" w:eastAsia="ru-RU"/>
              </w:rPr>
            </w:pPr>
            <w:bookmarkStart w:id="8" w:name="Footer_ClientName"/>
            <w:bookmarkEnd w:id="8"/>
          </w:p>
          <w:p w:rsidR="00E52976" w:rsidRPr="00CA5746" w:rsidRDefault="00913220" w:rsidP="00CA5746">
            <w:pPr>
              <w:spacing w:after="0" w:line="240" w:lineRule="auto"/>
              <w:jc w:val="both"/>
              <w:rPr>
                <w:rFonts w:ascii="Sylfaen" w:hAnsi="Sylfaen"/>
                <w:sz w:val="18"/>
                <w:szCs w:val="18"/>
                <w:lang w:val="ka-GE"/>
              </w:rPr>
            </w:pPr>
            <w:r>
              <w:rPr>
                <w:rFonts w:ascii="Sylfaen" w:hAnsi="Sylfaen"/>
                <w:sz w:val="18"/>
                <w:szCs w:val="18"/>
                <w:lang w:val="ka-GE"/>
              </w:rPr>
              <w:t xml:space="preserve">იურიდიული მისამართი: </w:t>
            </w:r>
            <w:bookmarkStart w:id="9" w:name="Footer_ClientBillToAddress"/>
            <w:bookmarkEnd w:id="9"/>
          </w:p>
          <w:p w:rsidR="00885FD7" w:rsidRPr="00913220" w:rsidRDefault="00913220" w:rsidP="00CA5746">
            <w:pPr>
              <w:spacing w:after="0" w:line="240" w:lineRule="auto"/>
              <w:jc w:val="both"/>
              <w:rPr>
                <w:rFonts w:ascii="Sylfaen" w:hAnsi="Sylfaen"/>
                <w:sz w:val="18"/>
                <w:szCs w:val="18"/>
                <w:lang w:val="ka-GE"/>
              </w:rPr>
            </w:pPr>
            <w:r>
              <w:rPr>
                <w:rFonts w:ascii="Sylfaen" w:hAnsi="Sylfaen"/>
                <w:sz w:val="18"/>
                <w:szCs w:val="18"/>
                <w:lang w:val="ka-GE"/>
              </w:rPr>
              <w:t xml:space="preserve">ფაქტიური მისამართი: </w:t>
            </w:r>
            <w:bookmarkStart w:id="10" w:name="Footer_ClientShipToAddress"/>
            <w:bookmarkEnd w:id="10"/>
          </w:p>
          <w:p w:rsidR="00E52976" w:rsidRDefault="00913220" w:rsidP="00CA5746">
            <w:pPr>
              <w:spacing w:after="0" w:line="240" w:lineRule="auto"/>
              <w:jc w:val="both"/>
              <w:rPr>
                <w:rFonts w:ascii="Sylfaen" w:hAnsi="Sylfaen"/>
                <w:sz w:val="18"/>
                <w:szCs w:val="18"/>
                <w:lang w:val="ka-GE"/>
              </w:rPr>
            </w:pPr>
            <w:r>
              <w:rPr>
                <w:rFonts w:ascii="Sylfaen" w:hAnsi="Sylfaen"/>
                <w:sz w:val="18"/>
                <w:szCs w:val="18"/>
                <w:lang w:val="ka-GE"/>
              </w:rPr>
              <w:t xml:space="preserve">ბანკი: </w:t>
            </w:r>
            <w:bookmarkStart w:id="11" w:name="Footer_Bank"/>
            <w:bookmarkEnd w:id="11"/>
          </w:p>
          <w:p w:rsidR="00824958" w:rsidRDefault="00913220" w:rsidP="00CA5746">
            <w:pPr>
              <w:spacing w:after="0" w:line="240" w:lineRule="auto"/>
              <w:jc w:val="both"/>
              <w:rPr>
                <w:rFonts w:ascii="Sylfaen" w:hAnsi="Sylfaen"/>
                <w:sz w:val="18"/>
                <w:szCs w:val="18"/>
                <w:lang w:val="ka-GE"/>
              </w:rPr>
            </w:pPr>
            <w:r>
              <w:rPr>
                <w:rFonts w:ascii="Sylfaen" w:hAnsi="Sylfaen"/>
                <w:sz w:val="18"/>
                <w:szCs w:val="18"/>
                <w:lang w:val="ka-GE"/>
              </w:rPr>
              <w:t xml:space="preserve">ბანკის კოდი: </w:t>
            </w:r>
            <w:bookmarkStart w:id="12" w:name="Footer_BankCode"/>
            <w:bookmarkEnd w:id="12"/>
          </w:p>
          <w:p w:rsidR="00DD741D" w:rsidRDefault="00913220" w:rsidP="00CA5746">
            <w:pPr>
              <w:spacing w:after="0" w:line="240" w:lineRule="auto"/>
              <w:jc w:val="both"/>
              <w:rPr>
                <w:rFonts w:ascii="Sylfaen" w:hAnsi="Sylfaen"/>
                <w:sz w:val="18"/>
                <w:szCs w:val="18"/>
                <w:lang w:val="ka-GE"/>
              </w:rPr>
            </w:pPr>
            <w:r>
              <w:rPr>
                <w:rFonts w:ascii="Sylfaen" w:hAnsi="Sylfaen"/>
                <w:sz w:val="18"/>
                <w:szCs w:val="18"/>
                <w:lang w:val="ka-GE"/>
              </w:rPr>
              <w:t xml:space="preserve">ა/ა: </w:t>
            </w:r>
            <w:bookmarkStart w:id="13" w:name="Footer_BankAccount"/>
            <w:bookmarkEnd w:id="13"/>
          </w:p>
          <w:p w:rsidR="00824958" w:rsidRPr="00CA5746" w:rsidRDefault="00824958" w:rsidP="00CA5746">
            <w:pPr>
              <w:spacing w:after="0" w:line="240" w:lineRule="auto"/>
              <w:jc w:val="both"/>
              <w:rPr>
                <w:rFonts w:ascii="Sylfaen" w:hAnsi="Sylfaen"/>
                <w:sz w:val="18"/>
                <w:szCs w:val="18"/>
                <w:lang w:val="ka-GE"/>
              </w:rPr>
            </w:pPr>
            <w:bookmarkStart w:id="14" w:name="Footer_ContactPerson"/>
            <w:bookmarkEnd w:id="14"/>
          </w:p>
          <w:p w:rsidR="00885FD7" w:rsidRDefault="00885FD7" w:rsidP="00CA5746">
            <w:pPr>
              <w:spacing w:after="0" w:line="240" w:lineRule="auto"/>
              <w:jc w:val="both"/>
              <w:rPr>
                <w:rFonts w:ascii="Sylfaen" w:hAnsi="Sylfaen"/>
                <w:sz w:val="18"/>
                <w:szCs w:val="18"/>
                <w:lang w:val="ka-GE"/>
              </w:rPr>
            </w:pPr>
            <w:bookmarkStart w:id="15" w:name="Footer_ContactPersonRole"/>
            <w:bookmarkEnd w:id="15"/>
          </w:p>
          <w:p w:rsidR="00824958" w:rsidRDefault="00824958" w:rsidP="00CA5746">
            <w:pPr>
              <w:spacing w:after="0" w:line="240" w:lineRule="auto"/>
              <w:jc w:val="both"/>
              <w:rPr>
                <w:rFonts w:ascii="Sylfaen" w:hAnsi="Sylfaen"/>
                <w:sz w:val="18"/>
                <w:szCs w:val="18"/>
                <w:lang w:val="ka-GE"/>
              </w:rPr>
            </w:pPr>
          </w:p>
          <w:p w:rsidR="00824958" w:rsidRPr="00CA5746" w:rsidRDefault="00824958" w:rsidP="00CA5746">
            <w:pPr>
              <w:spacing w:after="0" w:line="240" w:lineRule="auto"/>
              <w:jc w:val="both"/>
              <w:rPr>
                <w:rFonts w:ascii="Sylfaen" w:hAnsi="Sylfaen"/>
                <w:sz w:val="18"/>
                <w:szCs w:val="18"/>
                <w:lang w:val="ka-GE"/>
              </w:rPr>
            </w:pPr>
          </w:p>
          <w:p w:rsidR="00E52976" w:rsidRPr="00E2422B" w:rsidRDefault="00E52976" w:rsidP="00CA5746">
            <w:pPr>
              <w:spacing w:after="0" w:line="240" w:lineRule="auto"/>
              <w:jc w:val="both"/>
              <w:rPr>
                <w:rFonts w:ascii="Sylfaen" w:eastAsia="Times New Roman" w:hAnsi="Sylfaen" w:cs="Times New Roman"/>
                <w:sz w:val="18"/>
                <w:szCs w:val="18"/>
                <w:lang w:val="ka-GE" w:eastAsia="ru-RU"/>
              </w:rPr>
            </w:pPr>
            <w:r w:rsidRPr="00CA5746">
              <w:rPr>
                <w:rFonts w:ascii="Sylfaen" w:hAnsi="Sylfaen"/>
                <w:sz w:val="18"/>
                <w:szCs w:val="18"/>
                <w:lang w:val="ka-GE"/>
              </w:rPr>
              <w:t>-----------------------------------</w:t>
            </w:r>
          </w:p>
          <w:p w:rsidR="00E2422B" w:rsidRPr="00E2422B" w:rsidRDefault="00E2422B" w:rsidP="00CA5746">
            <w:pPr>
              <w:spacing w:after="0" w:line="240" w:lineRule="auto"/>
              <w:jc w:val="both"/>
              <w:rPr>
                <w:rFonts w:ascii="Sylfaen" w:eastAsia="Times New Roman" w:hAnsi="Sylfaen" w:cs="Arial"/>
                <w:noProof/>
                <w:sz w:val="18"/>
                <w:szCs w:val="18"/>
                <w:highlight w:val="yellow"/>
                <w:lang w:val="ka-GE" w:eastAsia="ru-RU"/>
              </w:rPr>
            </w:pPr>
          </w:p>
          <w:p w:rsidR="00E2422B" w:rsidRPr="00E2422B" w:rsidRDefault="00E2422B" w:rsidP="00CA5746">
            <w:pPr>
              <w:spacing w:after="0" w:line="240" w:lineRule="auto"/>
              <w:jc w:val="both"/>
              <w:rPr>
                <w:rFonts w:ascii="AcadNusx" w:eastAsia="Times New Roman" w:hAnsi="AcadNusx" w:cs="Arial"/>
                <w:noProof/>
                <w:sz w:val="18"/>
                <w:szCs w:val="18"/>
                <w:highlight w:val="yellow"/>
                <w:lang w:val="ka-GE" w:eastAsia="ru-RU"/>
              </w:rPr>
            </w:pPr>
          </w:p>
          <w:p w:rsidR="00E2422B" w:rsidRPr="00E2422B" w:rsidRDefault="00E2422B" w:rsidP="00CA5746">
            <w:pPr>
              <w:spacing w:after="0" w:line="240" w:lineRule="auto"/>
              <w:jc w:val="center"/>
              <w:rPr>
                <w:rFonts w:ascii="AcadNusx" w:eastAsia="Times New Roman" w:hAnsi="AcadNusx" w:cs="Times New Roman"/>
                <w:noProof/>
                <w:sz w:val="18"/>
                <w:szCs w:val="18"/>
                <w:highlight w:val="yellow"/>
                <w:lang w:val="ka-GE" w:eastAsia="ru-RU"/>
              </w:rPr>
            </w:pPr>
          </w:p>
        </w:tc>
        <w:tc>
          <w:tcPr>
            <w:tcW w:w="5025" w:type="dxa"/>
            <w:tcBorders>
              <w:top w:val="single" w:sz="4" w:space="0" w:color="FFFFFF"/>
              <w:left w:val="single" w:sz="4" w:space="0" w:color="FFFFFF"/>
              <w:bottom w:val="single" w:sz="4" w:space="0" w:color="FFFFFF"/>
              <w:right w:val="single" w:sz="4" w:space="0" w:color="FFFFFF"/>
            </w:tcBorders>
            <w:shd w:val="clear" w:color="auto" w:fill="auto"/>
          </w:tcPr>
          <w:p w:rsidR="00E2422B" w:rsidRPr="00E2422B" w:rsidRDefault="00E2422B" w:rsidP="00CA5746">
            <w:pPr>
              <w:spacing w:after="0" w:line="240" w:lineRule="auto"/>
              <w:rPr>
                <w:rFonts w:ascii="AcadNusx" w:eastAsia="Times New Roman" w:hAnsi="AcadNusx" w:cs="Times New Roman"/>
                <w:noProof/>
                <w:spacing w:val="40"/>
                <w:sz w:val="18"/>
                <w:szCs w:val="18"/>
                <w:lang w:val="ka-GE" w:eastAsia="ru-RU"/>
              </w:rPr>
            </w:pPr>
            <w:r w:rsidRPr="00E2422B">
              <w:rPr>
                <w:rFonts w:ascii="AcadNusx" w:eastAsia="Times New Roman" w:hAnsi="AcadNusx" w:cs="Times New Roman"/>
                <w:noProof/>
                <w:spacing w:val="40"/>
                <w:sz w:val="18"/>
                <w:szCs w:val="18"/>
                <w:lang w:val="ka-GE" w:eastAsia="ru-RU"/>
              </w:rPr>
              <w:t>Semsrulebeli:</w:t>
            </w:r>
          </w:p>
          <w:p w:rsidR="00E2422B" w:rsidRPr="00E2422B" w:rsidRDefault="00E2422B" w:rsidP="00CA5746">
            <w:pPr>
              <w:spacing w:before="120" w:after="0" w:line="240" w:lineRule="auto"/>
              <w:jc w:val="both"/>
              <w:rPr>
                <w:rFonts w:ascii="AcadNusx" w:eastAsia="Times New Roman" w:hAnsi="AcadNusx" w:cs="Arial"/>
                <w:noProof/>
                <w:sz w:val="18"/>
                <w:szCs w:val="18"/>
                <w:lang w:val="ka-GE" w:eastAsia="ru-RU"/>
              </w:rPr>
            </w:pPr>
            <w:r w:rsidRPr="00E2422B">
              <w:rPr>
                <w:rFonts w:ascii="AcadNusx" w:eastAsia="Times New Roman" w:hAnsi="AcadNusx" w:cs="Times New Roman"/>
                <w:noProof/>
                <w:sz w:val="18"/>
                <w:szCs w:val="18"/>
                <w:lang w:val="ka-GE" w:eastAsia="ru-RU"/>
              </w:rPr>
              <w:t xml:space="preserve">Sps ,,Tbili saxli” s/k </w:t>
            </w:r>
            <w:r w:rsidRPr="00E2422B">
              <w:rPr>
                <w:rFonts w:ascii="AcadNusx" w:eastAsia="Times New Roman" w:hAnsi="AcadNusx" w:cs="Arial"/>
                <w:noProof/>
                <w:sz w:val="18"/>
                <w:szCs w:val="18"/>
                <w:lang w:val="ka-GE" w:eastAsia="ru-RU"/>
              </w:rPr>
              <w:t>204976179</w:t>
            </w:r>
          </w:p>
          <w:p w:rsidR="00E2422B" w:rsidRPr="00E2422B" w:rsidRDefault="00E2422B" w:rsidP="00CA5746">
            <w:pPr>
              <w:spacing w:after="0" w:line="240" w:lineRule="auto"/>
              <w:jc w:val="both"/>
              <w:rPr>
                <w:rFonts w:ascii="AcadNusx" w:eastAsia="Times New Roman" w:hAnsi="AcadNusx" w:cs="Arial"/>
                <w:noProof/>
                <w:sz w:val="18"/>
                <w:szCs w:val="18"/>
                <w:lang w:val="ka-GE" w:eastAsia="ru-RU"/>
              </w:rPr>
            </w:pPr>
            <w:r w:rsidRPr="00E2422B">
              <w:rPr>
                <w:rFonts w:ascii="AcadNusx" w:eastAsia="Times New Roman" w:hAnsi="AcadNusx" w:cs="Arial"/>
                <w:noProof/>
                <w:sz w:val="18"/>
                <w:szCs w:val="18"/>
                <w:lang w:val="ka-GE" w:eastAsia="ru-RU"/>
              </w:rPr>
              <w:t>iuridiuli misamarTi: kostavas #76</w:t>
            </w:r>
          </w:p>
          <w:p w:rsidR="00E2422B" w:rsidRPr="00E2422B" w:rsidRDefault="00E2422B" w:rsidP="00CA5746">
            <w:pPr>
              <w:spacing w:after="0" w:line="240" w:lineRule="auto"/>
              <w:jc w:val="both"/>
              <w:rPr>
                <w:rFonts w:ascii="Sylfaen" w:eastAsia="Times New Roman" w:hAnsi="Sylfaen" w:cs="Arial"/>
                <w:noProof/>
                <w:sz w:val="18"/>
                <w:szCs w:val="18"/>
                <w:lang w:val="ka-GE" w:eastAsia="ru-RU"/>
              </w:rPr>
            </w:pPr>
            <w:r w:rsidRPr="00E2422B">
              <w:rPr>
                <w:rFonts w:ascii="AcadNusx" w:eastAsia="Times New Roman" w:hAnsi="AcadNusx" w:cs="Arial"/>
                <w:noProof/>
                <w:sz w:val="18"/>
                <w:szCs w:val="18"/>
                <w:lang w:val="ka-GE" w:eastAsia="ru-RU"/>
              </w:rPr>
              <w:t xml:space="preserve">faqtiuri misamarTi: </w:t>
            </w:r>
            <w:r w:rsidRPr="00E2422B">
              <w:rPr>
                <w:rFonts w:ascii="Sylfaen" w:eastAsia="Times New Roman" w:hAnsi="Sylfaen" w:cs="Arial"/>
                <w:noProof/>
                <w:sz w:val="18"/>
                <w:szCs w:val="18"/>
                <w:lang w:val="ka-GE" w:eastAsia="ru-RU"/>
              </w:rPr>
              <w:t>ლუბლიანას ქ. #56</w:t>
            </w:r>
          </w:p>
          <w:p w:rsidR="00E2422B" w:rsidRPr="00E2422B" w:rsidRDefault="00E2422B" w:rsidP="00CA5746">
            <w:pPr>
              <w:spacing w:after="0" w:line="240" w:lineRule="auto"/>
              <w:jc w:val="both"/>
              <w:rPr>
                <w:rFonts w:ascii="AcadNusx" w:eastAsia="Times New Roman" w:hAnsi="AcadNusx" w:cs="Arial"/>
                <w:noProof/>
                <w:sz w:val="18"/>
                <w:szCs w:val="18"/>
                <w:lang w:val="fi-FI" w:eastAsia="ru-RU"/>
              </w:rPr>
            </w:pPr>
            <w:r w:rsidRPr="00E2422B">
              <w:rPr>
                <w:rFonts w:ascii="AcadNusx" w:eastAsia="Times New Roman" w:hAnsi="AcadNusx" w:cs="Arial"/>
                <w:noProof/>
                <w:sz w:val="18"/>
                <w:szCs w:val="18"/>
                <w:lang w:val="ka-GE" w:eastAsia="ru-RU"/>
              </w:rPr>
              <w:t xml:space="preserve">banki: </w:t>
            </w:r>
            <w:r w:rsidRPr="00E2422B">
              <w:rPr>
                <w:rFonts w:ascii="AcadNusx" w:eastAsia="Times New Roman" w:hAnsi="AcadNusx" w:cs="Arial"/>
                <w:noProof/>
                <w:sz w:val="18"/>
                <w:szCs w:val="18"/>
                <w:lang w:val="fi-FI" w:eastAsia="ru-RU"/>
              </w:rPr>
              <w:t>s.s ,,saqarTvelos banki”-s centraluri filiali</w:t>
            </w:r>
          </w:p>
          <w:p w:rsidR="00E2422B" w:rsidRPr="00E2422B" w:rsidRDefault="00E2422B" w:rsidP="00CA5746">
            <w:pPr>
              <w:spacing w:after="0" w:line="240" w:lineRule="auto"/>
              <w:jc w:val="both"/>
              <w:rPr>
                <w:rFonts w:ascii="AcadNusx" w:eastAsia="Times New Roman" w:hAnsi="AcadNusx" w:cs="Arial"/>
                <w:noProof/>
                <w:sz w:val="18"/>
                <w:szCs w:val="18"/>
                <w:lang w:eastAsia="ru-RU"/>
              </w:rPr>
            </w:pPr>
            <w:r w:rsidRPr="00E2422B">
              <w:rPr>
                <w:rFonts w:ascii="AcadNusx" w:eastAsia="Times New Roman" w:hAnsi="AcadNusx" w:cs="Arial"/>
                <w:noProof/>
                <w:sz w:val="18"/>
                <w:szCs w:val="18"/>
                <w:lang w:eastAsia="ru-RU"/>
              </w:rPr>
              <w:t xml:space="preserve">bankis kodi: </w:t>
            </w:r>
            <w:r w:rsidRPr="00E2422B">
              <w:rPr>
                <w:rFonts w:ascii="Times New Roman" w:eastAsia="Times New Roman" w:hAnsi="Times New Roman" w:cs="Arial"/>
                <w:noProof/>
                <w:sz w:val="18"/>
                <w:szCs w:val="18"/>
                <w:lang w:eastAsia="ru-RU"/>
              </w:rPr>
              <w:t>BAGAGE22</w:t>
            </w:r>
          </w:p>
          <w:p w:rsidR="00E2422B" w:rsidRPr="00E2422B" w:rsidRDefault="00E2422B" w:rsidP="00CA5746">
            <w:pPr>
              <w:spacing w:after="0" w:line="240" w:lineRule="auto"/>
              <w:jc w:val="both"/>
              <w:rPr>
                <w:rFonts w:ascii="Sylfaen" w:eastAsia="Times New Roman" w:hAnsi="Sylfaen" w:cs="Arial"/>
                <w:noProof/>
                <w:sz w:val="18"/>
                <w:szCs w:val="18"/>
                <w:lang w:val="ka-GE" w:eastAsia="ru-RU"/>
              </w:rPr>
            </w:pPr>
            <w:r w:rsidRPr="00E2422B">
              <w:rPr>
                <w:rFonts w:ascii="AcadNusx" w:eastAsia="Times New Roman" w:hAnsi="AcadNusx" w:cs="Arial"/>
                <w:noProof/>
                <w:sz w:val="18"/>
                <w:szCs w:val="18"/>
                <w:lang w:eastAsia="ru-RU"/>
              </w:rPr>
              <w:t xml:space="preserve">a/a: </w:t>
            </w:r>
            <w:r w:rsidRPr="00E2422B">
              <w:rPr>
                <w:rFonts w:ascii="Times New Roman" w:eastAsia="Times New Roman" w:hAnsi="Times New Roman" w:cs="Arial"/>
                <w:noProof/>
                <w:sz w:val="18"/>
                <w:szCs w:val="18"/>
                <w:lang w:eastAsia="ru-RU"/>
              </w:rPr>
              <w:t>GE19BG0000000175579101</w:t>
            </w:r>
          </w:p>
          <w:p w:rsidR="00E2422B" w:rsidRPr="00E2422B" w:rsidRDefault="00E2422B" w:rsidP="00CA5746">
            <w:pPr>
              <w:spacing w:after="0" w:line="240" w:lineRule="auto"/>
              <w:rPr>
                <w:rFonts w:ascii="AcadNusx" w:eastAsia="Times New Roman" w:hAnsi="AcadNusx" w:cs="Arial"/>
                <w:noProof/>
                <w:sz w:val="18"/>
                <w:szCs w:val="18"/>
                <w:lang w:eastAsia="ru-RU"/>
              </w:rPr>
            </w:pPr>
            <w:r w:rsidRPr="00E2422B">
              <w:rPr>
                <w:rFonts w:ascii="AcadNusx" w:eastAsia="Times New Roman" w:hAnsi="AcadNusx" w:cs="Arial"/>
                <w:noProof/>
                <w:sz w:val="18"/>
                <w:szCs w:val="18"/>
                <w:lang w:eastAsia="ru-RU"/>
              </w:rPr>
              <w:t>malxaz kurtaniZe</w:t>
            </w:r>
          </w:p>
          <w:p w:rsidR="00E2422B" w:rsidRPr="00CA5746" w:rsidRDefault="00E2422B" w:rsidP="00CA5746">
            <w:pPr>
              <w:spacing w:after="0" w:line="240" w:lineRule="auto"/>
              <w:rPr>
                <w:rFonts w:ascii="Sylfaen" w:eastAsia="Times New Roman" w:hAnsi="Sylfaen" w:cs="Arial"/>
                <w:noProof/>
                <w:sz w:val="18"/>
                <w:szCs w:val="18"/>
                <w:lang w:val="ka-GE" w:eastAsia="ru-RU"/>
              </w:rPr>
            </w:pPr>
            <w:r w:rsidRPr="00E2422B">
              <w:rPr>
                <w:rFonts w:ascii="AcadNusx" w:eastAsia="Times New Roman" w:hAnsi="AcadNusx" w:cs="Arial"/>
                <w:noProof/>
                <w:sz w:val="18"/>
                <w:szCs w:val="18"/>
                <w:lang w:eastAsia="ru-RU"/>
              </w:rPr>
              <w:t>direqtori</w:t>
            </w:r>
          </w:p>
          <w:p w:rsidR="00885FD7" w:rsidRPr="00CA5746" w:rsidRDefault="00885FD7" w:rsidP="00CA5746">
            <w:pPr>
              <w:spacing w:after="0" w:line="240" w:lineRule="auto"/>
              <w:rPr>
                <w:rFonts w:ascii="Sylfaen" w:eastAsia="Times New Roman" w:hAnsi="Sylfaen" w:cs="Arial"/>
                <w:noProof/>
                <w:sz w:val="18"/>
                <w:szCs w:val="18"/>
                <w:lang w:val="ka-GE" w:eastAsia="ru-RU"/>
              </w:rPr>
            </w:pPr>
          </w:p>
          <w:p w:rsidR="00E52976" w:rsidRPr="00CA5746" w:rsidRDefault="00E52976" w:rsidP="00CA5746">
            <w:pPr>
              <w:spacing w:after="0" w:line="240" w:lineRule="auto"/>
              <w:rPr>
                <w:rFonts w:ascii="Sylfaen" w:eastAsia="Times New Roman" w:hAnsi="Sylfaen" w:cs="Arial"/>
                <w:noProof/>
                <w:sz w:val="18"/>
                <w:szCs w:val="18"/>
                <w:lang w:val="ka-GE" w:eastAsia="ru-RU"/>
              </w:rPr>
            </w:pPr>
          </w:p>
          <w:p w:rsidR="00E52976" w:rsidRPr="00E2422B" w:rsidRDefault="00E52976" w:rsidP="00CA5746">
            <w:pPr>
              <w:spacing w:after="0" w:line="240" w:lineRule="auto"/>
              <w:rPr>
                <w:rFonts w:ascii="Sylfaen" w:eastAsia="Times New Roman" w:hAnsi="Sylfaen" w:cs="Times New Roman"/>
                <w:noProof/>
                <w:sz w:val="18"/>
                <w:szCs w:val="18"/>
                <w:lang w:val="ka-GE" w:eastAsia="ru-RU"/>
              </w:rPr>
            </w:pPr>
            <w:r w:rsidRPr="00CA5746">
              <w:rPr>
                <w:rFonts w:ascii="Sylfaen" w:eastAsia="Times New Roman" w:hAnsi="Sylfaen" w:cs="Arial"/>
                <w:noProof/>
                <w:sz w:val="18"/>
                <w:szCs w:val="18"/>
                <w:lang w:val="ka-GE" w:eastAsia="ru-RU"/>
              </w:rPr>
              <w:t>-------------------------------------------</w:t>
            </w:r>
          </w:p>
        </w:tc>
      </w:tr>
    </w:tbl>
    <w:p w:rsidR="00FE3BD7" w:rsidRPr="00CA5746" w:rsidRDefault="00FE3BD7" w:rsidP="00CA5746">
      <w:pPr>
        <w:spacing w:line="240" w:lineRule="auto"/>
        <w:jc w:val="both"/>
        <w:rPr>
          <w:sz w:val="18"/>
          <w:szCs w:val="18"/>
        </w:rPr>
      </w:pPr>
    </w:p>
    <w:sectPr w:rsidR="00FE3BD7" w:rsidRPr="00CA574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cadNusx">
    <w:altName w:val="Calibri"/>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21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8F"/>
    <w:rsid w:val="00041A83"/>
    <w:rsid w:val="00057E55"/>
    <w:rsid w:val="00093063"/>
    <w:rsid w:val="000C3558"/>
    <w:rsid w:val="00163C6A"/>
    <w:rsid w:val="00325136"/>
    <w:rsid w:val="003B5F79"/>
    <w:rsid w:val="00402C59"/>
    <w:rsid w:val="00462297"/>
    <w:rsid w:val="004B637F"/>
    <w:rsid w:val="0057118F"/>
    <w:rsid w:val="00673D6A"/>
    <w:rsid w:val="00686BC1"/>
    <w:rsid w:val="006B7BD6"/>
    <w:rsid w:val="007859F0"/>
    <w:rsid w:val="007C03AA"/>
    <w:rsid w:val="00824958"/>
    <w:rsid w:val="00885FD7"/>
    <w:rsid w:val="008C0DE8"/>
    <w:rsid w:val="00912920"/>
    <w:rsid w:val="00913220"/>
    <w:rsid w:val="00AD1EE8"/>
    <w:rsid w:val="00B42130"/>
    <w:rsid w:val="00B57907"/>
    <w:rsid w:val="00BE5D6F"/>
    <w:rsid w:val="00CA0818"/>
    <w:rsid w:val="00CA5746"/>
    <w:rsid w:val="00D67ECF"/>
    <w:rsid w:val="00D73164"/>
    <w:rsid w:val="00DD741D"/>
    <w:rsid w:val="00E036D8"/>
    <w:rsid w:val="00E07B18"/>
    <w:rsid w:val="00E211A5"/>
    <w:rsid w:val="00E2422B"/>
    <w:rsid w:val="00E52976"/>
    <w:rsid w:val="00E60DB7"/>
    <w:rsid w:val="00F24952"/>
    <w:rsid w:val="00FC06BF"/>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55661-457A-4E0C-818F-97297EA3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D6"/>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B2605-DD9E-4A49-88A8-AFF332F8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Tamar Bochorishvili</cp:lastModifiedBy>
  <cp:revision>15</cp:revision>
  <cp:lastPrinted>2016-11-21T08:49:00Z</cp:lastPrinted>
  <dcterms:created xsi:type="dcterms:W3CDTF">2016-11-27T21:50:00Z</dcterms:created>
  <dcterms:modified xsi:type="dcterms:W3CDTF">2017-01-15T18:52:00Z</dcterms:modified>
</cp:coreProperties>
</file>