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DA5" w:val="clear"/>
        <w:spacing w:after="0" w:before="400"/>
        <w:jc w:val="center"/>
      </w:pPr>
      <w:r>
        <w:rPr>
          <w:rFonts w:ascii="Arial" w:cs="Arial" w:eastAsia="Arial" w:hAnsi="Arial"/>
          <w:b/>
          <w:bCs/>
          <w:color w:val="FFFFFF"/>
          <w:sz w:val="60"/>
          <w:szCs w:val="60"/>
        </w:rPr>
        <w:t xml:space="preserve">PERSONA USE-CASE GUIDE</w:t>
      </w:r>
    </w:p>
    <w:p>
      <w:pPr>
        <w:shd w:fill="003DA5" w:val="clear"/>
        <w:spacing w:after="0" w:before="0"/>
        <w:jc w:val="center"/>
      </w:pPr>
      <w:r>
        <w:rPr>
          <w:rFonts w:ascii="Arial" w:cs="Arial" w:eastAsia="Arial" w:hAnsi="Arial"/>
          <w:i/>
          <w:iCs/>
          <w:color w:val="A8C4E8"/>
          <w:sz w:val="30"/>
          <w:szCs w:val="30"/>
        </w:rPr>
        <w:t xml:space="preserve">HCP Targeting &amp; Brand Performance Analytics</w:t>
      </w:r>
    </w:p>
    <w:p>
      <w:pPr>
        <w:shd w:fill="003DA5" w:val="clear"/>
        <w:spacing w:after="0" w:before="0"/>
        <w:jc w:val="center"/>
      </w:pPr>
      <w:r>
        <w:rPr>
          <w:rFonts w:ascii="Arial" w:cs="Arial" w:eastAsia="Arial" w:hAnsi="Arial"/>
          <w:color w:val="A8C4E8"/>
          <w:sz w:val="24"/>
          <w:szCs w:val="24"/>
        </w:rPr>
        <w:t xml:space="preserve">Diabetes Portfolio  —  How to Get the Most from Every View</w:t>
      </w:r>
    </w:p>
    <w:p>
      <w:pPr>
        <w:shd w:fill="003DA5" w:val="clear"/>
        <w:spacing w:after="400" w:before="0"/>
        <w:jc w:val="center"/>
      </w:pPr>
      <w:r>
        <w:rPr>
          <w:sz w:val="8"/>
          <w:szCs w:val="8"/>
        </w:rPr>
        <w:t xml:space="preserve"> </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DA5" w:sz="4"/>
              <w:left w:val="single" w:color="003DA5" w:sz="4"/>
              <w:bottom w:val="single" w:color="003DA5" w:sz="4"/>
              <w:right w:val="single" w:color="003DA5" w:sz="4"/>
            </w:tcBorders>
            <w:shd w:fill="E8F1FF" w:val="clear"/>
            <w:tcMar>
              <w:top w:type="dxa" w:w="120"/>
              <w:left w:type="dxa" w:w="140"/>
              <w:bottom w:type="dxa" w:w="120"/>
              <w:right w:type="dxa" w:w="80"/>
            </w:tcMar>
          </w:tcPr>
          <w:p>
            <w:r>
              <w:rPr>
                <w:rFonts w:ascii="Arial" w:cs="Arial" w:eastAsia="Arial" w:hAnsi="Arial"/>
                <w:b/>
                <w:bCs/>
                <w:color w:val="003DA5"/>
                <w:sz w:val="24"/>
                <w:szCs w:val="24"/>
              </w:rPr>
              <w:t xml:space="preserve">👤  Sales Rep</w:t>
            </w:r>
          </w:p>
          <w:p>
            <w:pPr>
              <w:spacing w:before="40"/>
            </w:pPr>
            <w:r>
              <w:rPr>
                <w:rFonts w:ascii="Arial" w:cs="Arial" w:eastAsia="Arial" w:hAnsi="Arial"/>
                <w:color w:val="374151"/>
                <w:sz w:val="18"/>
                <w:szCs w:val="18"/>
              </w:rPr>
              <w:t xml:space="preserve">Daily call planning &amp; HCP prioritisation</w:t>
            </w:r>
          </w:p>
        </w:tc>
        <w:tc>
          <w:tcPr>
            <w:tcW w:type="dxa" w:w="2340"/>
            <w:tcBorders>
              <w:top w:val="single" w:color="155E1A" w:sz="4"/>
              <w:left w:val="single" w:color="155E1A" w:sz="4"/>
              <w:bottom w:val="single" w:color="155E1A" w:sz="4"/>
              <w:right w:val="single" w:color="155E1A" w:sz="4"/>
            </w:tcBorders>
            <w:shd w:fill="E6F4EA" w:val="clear"/>
            <w:tcMar>
              <w:top w:type="dxa" w:w="120"/>
              <w:left w:type="dxa" w:w="140"/>
              <w:bottom w:type="dxa" w:w="120"/>
              <w:right w:type="dxa" w:w="80"/>
            </w:tcMar>
          </w:tcPr>
          <w:p>
            <w:r>
              <w:rPr>
                <w:rFonts w:ascii="Arial" w:cs="Arial" w:eastAsia="Arial" w:hAnsi="Arial"/>
                <w:b/>
                <w:bCs/>
                <w:color w:val="155E1A"/>
                <w:sz w:val="24"/>
                <w:szCs w:val="24"/>
              </w:rPr>
              <w:t xml:space="preserve">📋  Area Manager</w:t>
            </w:r>
          </w:p>
          <w:p>
            <w:pPr>
              <w:spacing w:before="40"/>
            </w:pPr>
            <w:r>
              <w:rPr>
                <w:rFonts w:ascii="Arial" w:cs="Arial" w:eastAsia="Arial" w:hAnsi="Arial"/>
                <w:color w:val="374151"/>
                <w:sz w:val="18"/>
                <w:szCs w:val="18"/>
              </w:rPr>
              <w:t xml:space="preserve">Team oversight &amp; territory gap management</w:t>
            </w:r>
          </w:p>
        </w:tc>
        <w:tc>
          <w:tcPr>
            <w:tcW w:type="dxa" w:w="2340"/>
            <w:tcBorders>
              <w:top w:val="single" w:color="92400E" w:sz="4"/>
              <w:left w:val="single" w:color="92400E" w:sz="4"/>
              <w:bottom w:val="single" w:color="92400E" w:sz="4"/>
              <w:right w:val="single" w:color="92400E" w:sz="4"/>
            </w:tcBorders>
            <w:shd w:fill="FFF8E1" w:val="clear"/>
            <w:tcMar>
              <w:top w:type="dxa" w:w="120"/>
              <w:left w:type="dxa" w:w="140"/>
              <w:bottom w:type="dxa" w:w="120"/>
              <w:right w:type="dxa" w:w="80"/>
            </w:tcMar>
          </w:tcPr>
          <w:p>
            <w:r>
              <w:rPr>
                <w:rFonts w:ascii="Arial" w:cs="Arial" w:eastAsia="Arial" w:hAnsi="Arial"/>
                <w:b/>
                <w:bCs/>
                <w:color w:val="92400E"/>
                <w:sz w:val="24"/>
                <w:szCs w:val="24"/>
              </w:rPr>
              <w:t xml:space="preserve">📊  Regional Manager</w:t>
            </w:r>
          </w:p>
          <w:p>
            <w:pPr>
              <w:spacing w:before="40"/>
            </w:pPr>
            <w:r>
              <w:rPr>
                <w:rFonts w:ascii="Arial" w:cs="Arial" w:eastAsia="Arial" w:hAnsi="Arial"/>
                <w:color w:val="374151"/>
                <w:sz w:val="18"/>
                <w:szCs w:val="18"/>
              </w:rPr>
              <w:t xml:space="preserve">Cross-territory trends &amp; KOL intelligence</w:t>
            </w:r>
          </w:p>
        </w:tc>
        <w:tc>
          <w:tcPr>
            <w:tcW w:type="dxa" w:w="2340"/>
            <w:tcBorders>
              <w:top w:val="single" w:color="7F1D1D" w:sz="4"/>
              <w:left w:val="single" w:color="7F1D1D" w:sz="4"/>
              <w:bottom w:val="single" w:color="7F1D1D" w:sz="4"/>
              <w:right w:val="single" w:color="7F1D1D" w:sz="4"/>
            </w:tcBorders>
            <w:shd w:fill="FDE8E8" w:val="clear"/>
            <w:tcMar>
              <w:top w:type="dxa" w:w="120"/>
              <w:left w:type="dxa" w:w="140"/>
              <w:bottom w:type="dxa" w:w="120"/>
              <w:right w:type="dxa" w:w="80"/>
            </w:tcMar>
          </w:tcPr>
          <w:p>
            <w:r>
              <w:rPr>
                <w:rFonts w:ascii="Arial" w:cs="Arial" w:eastAsia="Arial" w:hAnsi="Arial"/>
                <w:b/>
                <w:bCs/>
                <w:color w:val="7F1D1D"/>
                <w:sz w:val="24"/>
                <w:szCs w:val="24"/>
              </w:rPr>
              <w:t xml:space="preserve">🏢  Head of Sales</w:t>
            </w:r>
          </w:p>
          <w:p>
            <w:pPr>
              <w:spacing w:before="40"/>
            </w:pPr>
            <w:r>
              <w:rPr>
                <w:rFonts w:ascii="Arial" w:cs="Arial" w:eastAsia="Arial" w:hAnsi="Arial"/>
                <w:color w:val="374151"/>
                <w:sz w:val="18"/>
                <w:szCs w:val="18"/>
              </w:rPr>
              <w:t xml:space="preserve">National KPIs, brand performance &amp; strategy</w:t>
            </w:r>
          </w:p>
        </w:tc>
      </w:tr>
    </w:tbl>
    <w:p>
      <w:pPr>
        <w:spacing w:after="0" w:before="0"/>
      </w:pPr>
      <w:r>
        <w:rPr>
          <w:sz w:val="4"/>
          <w:szCs w:val="4"/>
        </w:rPr>
        <w:t xml:space="preserve"> </w:t>
      </w:r>
    </w:p>
    <w:p>
      <w:pPr>
        <w:pBdr>
          <w:left w:val="single" w:color="003DA5" w:sz="16" w:space="10"/>
        </w:pBdr>
        <w:shd w:fill="E3EEFB" w:val="clear"/>
        <w:spacing w:after="140" w:before="140"/>
        <w:ind w:left="240"/>
      </w:pPr>
      <w:r>
        <w:rPr>
          <w:rFonts w:ascii="Arial" w:cs="Arial" w:eastAsia="Arial" w:hAnsi="Arial"/>
          <w:i/>
          <w:iCs/>
          <w:color w:val="1D1D1F"/>
          <w:sz w:val="21"/>
          <w:szCs w:val="21"/>
        </w:rPr>
        <w:t xml:space="preserve">This guide walks through each persona's use case, their key screens, and the specific insights they should be extracting. Use it as a reference guide, a demo script, or an interview talking point.</w:t>
      </w:r>
    </w:p>
    <w:p>
      <w:pPr>
        <w:pBdr>
          <w:bottom w:val="single" w:color="E5E7EB" w:sz="4" w:space="1"/>
        </w:pBdr>
        <w:spacing w:after="160" w:before="160"/>
      </w:pPr>
    </w:p>
    <w:p>
      <w:pPr>
        <w:pStyle w:val="Heading1"/>
        <w:spacing w:after="160" w:before="400"/>
      </w:pPr>
      <w:r>
        <w:rPr>
          <w:rFonts w:ascii="Arial" w:cs="Arial" w:eastAsia="Arial" w:hAnsi="Arial"/>
          <w:b/>
          <w:bCs/>
          <w:color w:val="003DA5"/>
          <w:sz w:val="40"/>
          <w:szCs w:val="40"/>
        </w:rPr>
        <w:t xml:space="preserve">1.  What the Platform Does</w:t>
      </w:r>
    </w:p>
    <w:p>
      <w:pPr>
        <w:spacing w:after="80" w:before="60"/>
      </w:pPr>
      <w:r>
        <w:rPr>
          <w:rFonts w:ascii="Arial" w:cs="Arial" w:eastAsia="Arial" w:hAnsi="Arial"/>
          <w:b w:val="false"/>
          <w:bCs w:val="false"/>
          <w:i w:val="false"/>
          <w:iCs w:val="false"/>
          <w:color w:val="1D1D1F"/>
          <w:sz w:val="22"/>
          <w:szCs w:val="22"/>
        </w:rPr>
        <w:t xml:space="preserve">The HCP Targeting &amp; Brand Performance Analytics platform transforms ~83 million raw CMS Medicare prescription claims into actionable commercial intelligence. It serves four distinct personas across the pharmaceutical sales hierarchy, each with a dedicated view tuned to their decision cadence.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Data</w:t>
            </w:r>
          </w:p>
        </w:tc>
        <w:tc>
          <w:tcPr>
            <w:tcW w:type="dxa" w:w="456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What the Platform Provides</w:t>
            </w:r>
          </w:p>
        </w:tc>
      </w:tr>
      <w:tr>
        <w:tc>
          <w:tcPr>
            <w:tcW w:type="dxa" w:w="280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~227K HCPs</w:t>
            </w:r>
          </w:p>
        </w:tc>
        <w:tc>
          <w:tcPr>
            <w:tcW w:type="dxa" w:w="200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CMS Part D 2021-2022</w:t>
            </w:r>
          </w:p>
        </w:tc>
        <w:tc>
          <w:tcPr>
            <w:tcW w:type="dxa" w:w="456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Volume, growth, YoY trend, specialty, geography</w:t>
            </w:r>
          </w:p>
        </w:tc>
      </w:tr>
      <w:tr>
        <w:tc>
          <w:tcPr>
            <w:tcW w:type="dxa" w:w="28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~12M Open Payments</w:t>
            </w:r>
          </w:p>
        </w:tc>
        <w:tc>
          <w:tcPr>
            <w:tcW w:type="dxa" w:w="20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CMS Open Payments 2022</w:t>
            </w:r>
          </w:p>
        </w:tc>
        <w:tc>
          <w:tcPr>
            <w:tcW w:type="dxa" w:w="456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KOL identification via advisory &amp; speaker fees</w:t>
            </w:r>
          </w:p>
        </w:tc>
      </w:tr>
      <w:tr>
        <w:tc>
          <w:tcPr>
            <w:tcW w:type="dxa" w:w="280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ML Scoring (GBR)</w:t>
            </w:r>
          </w:p>
        </w:tc>
        <w:tc>
          <w:tcPr>
            <w:tcW w:type="dxa" w:w="200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Gradient Boosting Regressor</w:t>
            </w:r>
          </w:p>
        </w:tc>
        <w:tc>
          <w:tcPr>
            <w:tcW w:type="dxa" w:w="456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Data-trained ml_targeting_score alongside rule-based targeting_score</w:t>
            </w:r>
          </w:p>
        </w:tc>
      </w:tr>
      <w:tr>
        <w:tc>
          <w:tcPr>
            <w:tcW w:type="dxa" w:w="28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NBA Engine</w:t>
            </w:r>
          </w:p>
        </w:tc>
        <w:tc>
          <w:tcPr>
            <w:tcW w:type="dxa" w:w="20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6-type rule logic</w:t>
            </w:r>
          </w:p>
        </w:tc>
        <w:tc>
          <w:tcPr>
            <w:tcW w:type="dxa" w:w="456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Next Best Action per HCP: field visit, digital, samples, escalation</w:t>
            </w:r>
          </w:p>
        </w:tc>
      </w:tr>
    </w:tbl>
    <w:p>
      <w:r>
        <w:br w:type="page"/>
      </w:r>
    </w:p>
    <w:p>
      <w:pPr>
        <w:pBdr>
          <w:bottom w:val="single" w:color="003DA5" w:sz="4" w:space="4"/>
          <w:left w:val="single" w:color="003DA5" w:sz="28" w:space="12"/>
        </w:pBdr>
        <w:shd w:fill="E8F1FF" w:val="clear"/>
        <w:spacing w:after="200" w:before="0"/>
        <w:ind w:left="280"/>
      </w:pPr>
      <w:r>
        <w:rPr>
          <w:rFonts w:ascii="Arial" w:cs="Arial" w:eastAsia="Arial" w:hAnsi="Arial"/>
          <w:b/>
          <w:bCs/>
          <w:color w:val="003DA5"/>
          <w:sz w:val="40"/>
          <w:szCs w:val="40"/>
        </w:rPr>
        <w:t xml:space="preserve">👤  Sales Rep</w:t>
      </w:r>
      <w:r>
        <w:rPr>
          <w:rFonts w:ascii="Arial" w:cs="Arial" w:eastAsia="Arial" w:hAnsi="Arial"/>
          <w:i/>
          <w:iCs/>
          <w:color w:val="374151"/>
          <w:sz w:val="26"/>
          <w:szCs w:val="26"/>
        </w:rPr>
        <w:t xml:space="preserve">  —  Field Representative — Daily Call Planning</w:t>
      </w:r>
    </w:p>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2.1  Role &amp; Daily Reality</w:t>
      </w:r>
    </w:p>
    <w:p>
      <w:pPr>
        <w:spacing w:after="80" w:before="60"/>
      </w:pPr>
      <w:r>
        <w:rPr>
          <w:rFonts w:ascii="Arial" w:cs="Arial" w:eastAsia="Arial" w:hAnsi="Arial"/>
          <w:b w:val="false"/>
          <w:bCs w:val="false"/>
          <w:i w:val="false"/>
          <w:iCs w:val="false"/>
          <w:color w:val="1D1D1F"/>
          <w:sz w:val="22"/>
          <w:szCs w:val="22"/>
        </w:rPr>
        <w:t xml:space="preserve">The Sales Rep works a defined territory — typically 150-300 HCPs. Their day starts with: who do I call today? The platform answers that question with priority-ordered HCP cards, call-due status, and pre-built talking points — removing the 45-60 minutes of manual list-building that reps typically do each morning.</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3DA5" w:sz="4"/>
              <w:left w:val="single" w:color="003DA5" w:sz="4"/>
              <w:bottom w:val="single" w:color="003DA5" w:sz="4"/>
              <w:right w:val="single" w:color="003DA5" w:sz="4"/>
            </w:tcBorders>
            <w:shd w:fill="C62828"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Pain Point (Before)</w:t>
            </w:r>
          </w:p>
        </w:tc>
        <w:tc>
          <w:tcPr>
            <w:tcW w:type="dxa" w:w="468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How the Platform Solves It</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No clear view of who to prioritise — rep relies on intuition or stale spreadsheets</w:t>
            </w:r>
          </w:p>
        </w:tc>
        <w:tc>
          <w:tcPr>
            <w:tcW w:type="dxa" w:w="468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Priority 1 / 2 / 3 cards with ML score + rule score — force-ranked by data</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Missed accounts — high-value HCPs going uncontacted for 60+ days</w:t>
            </w:r>
          </w:p>
        </w:tc>
        <w:tc>
          <w:tcPr>
            <w:tcW w:type="dxa" w:w="468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Call-due status: Overdue / Due Soon / OK — colour-coded per cadence</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Generic conversations — rep walks in without knowing the HCP's recent trend</w:t>
            </w:r>
          </w:p>
        </w:tc>
        <w:tc>
          <w:tcPr>
            <w:tcW w:type="dxa" w:w="468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Pre-call brief: fills trend, YoY growth, KOL status, engagement gap signal</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No post-call log visible to manager — rep effort is invisible</w:t>
            </w:r>
          </w:p>
        </w:tc>
        <w:tc>
          <w:tcPr>
            <w:tcW w:type="dxa" w:w="468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Mark as Called simulation — records call in session (CRM write-back pattern)</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2.2  Step-by-Step: Best Use of the Sales Rep View</w:t>
      </w:r>
    </w:p>
    <w:p>
      <w:pPr>
        <w:spacing w:after="0" w:before="0"/>
      </w:pPr>
      <w:r>
        <w:rPr>
          <w:sz w:val="4"/>
          <w:szCs w:val="4"/>
        </w:rPr>
        <w:t xml:space="preserve"> </w:t>
      </w:r>
    </w:p>
    <w:tbl>
      <w:tblPr>
        <w:tblW w:type="dxa" w:w="9360"/>
        <w:tblBorders>
          <w:top w:val="single" w:color="003DA5" w:sz="4"/>
          <w:left w:val="none" w:color="FFFFFF" w:sz="0"/>
          <w:bottom w:val="single" w:color="003DA5" w:sz="4"/>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3DA5" w:val="clear"/>
            <w:tcMar>
              <w:top w:type="dxa" w:w="100"/>
              <w:left w:type="dxa" w:w="120"/>
              <w:bottom w:type="dxa" w:w="100"/>
              <w:right w:type="dxa" w:w="8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after="20" w:before="0"/>
            </w:pPr>
            <w:r>
              <w:rPr>
                <w:rFonts w:ascii="Arial" w:cs="Arial" w:eastAsia="Arial" w:hAnsi="Arial"/>
                <w:b/>
                <w:bCs/>
                <w:color w:val="003DA5"/>
                <w:sz w:val="22"/>
                <w:szCs w:val="22"/>
              </w:rPr>
              <w:t xml:space="preserve">Open the platform and select Sales Rep</w:t>
            </w:r>
          </w:p>
          <w:p>
            <w:pPr>
              <w:spacing w:after="0" w:before="0"/>
            </w:pPr>
            <w:r>
              <w:rPr>
                <w:rFonts w:ascii="Arial" w:cs="Arial" w:eastAsia="Arial" w:hAnsi="Arial"/>
                <w:color w:val="374151"/>
                <w:sz w:val="20"/>
                <w:szCs w:val="20"/>
              </w:rPr>
              <w:t xml:space="preserve">Your view loads with your territory data — ~227K HCPs filtered by the scoring engine</w:t>
            </w:r>
          </w:p>
        </w:tc>
      </w:tr>
      <w:tr>
        <w:tc>
          <w:tcPr>
            <w:tcW w:type="dxa" w:w="600"/>
            <w:tcBorders>
              <w:top w:val="none" w:color="FFFFFF" w:sz="0"/>
              <w:left w:val="none" w:color="FFFFFF" w:sz="0"/>
              <w:bottom w:val="none" w:color="FFFFFF" w:sz="0"/>
              <w:right w:val="none" w:color="FFFFFF" w:sz="0"/>
            </w:tcBorders>
            <w:shd w:fill="003DA5" w:val="clear"/>
            <w:tcMar>
              <w:top w:type="dxa" w:w="100"/>
              <w:left w:type="dxa" w:w="120"/>
              <w:bottom w:type="dxa" w:w="100"/>
              <w:right w:type="dxa" w:w="8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single" w:color="E5E7EB" w:sz="2"/>
              <w:right w:val="none" w:color="FFFFFF" w:sz="0"/>
            </w:tcBorders>
            <w:shd w:fill="F5F5F7" w:val="clear"/>
            <w:tcMar>
              <w:top w:type="dxa" w:w="80"/>
              <w:left w:type="dxa" w:w="160"/>
              <w:bottom w:type="dxa" w:w="80"/>
              <w:right w:type="dxa" w:w="80"/>
            </w:tcMar>
          </w:tcPr>
          <w:p>
            <w:pPr>
              <w:spacing w:after="20" w:before="0"/>
            </w:pPr>
            <w:r>
              <w:rPr>
                <w:rFonts w:ascii="Arial" w:cs="Arial" w:eastAsia="Arial" w:hAnsi="Arial"/>
                <w:b/>
                <w:bCs/>
                <w:color w:val="003DA5"/>
                <w:sz w:val="22"/>
                <w:szCs w:val="22"/>
              </w:rPr>
              <w:t xml:space="preserve">Check the Priority 1 cards at the top</w:t>
            </w:r>
          </w:p>
          <w:p>
            <w:pPr>
              <w:spacing w:after="0" w:before="0"/>
            </w:pPr>
            <w:r>
              <w:rPr>
                <w:rFonts w:ascii="Arial" w:cs="Arial" w:eastAsia="Arial" w:hAnsi="Arial"/>
                <w:color w:val="374151"/>
                <w:sz w:val="20"/>
                <w:szCs w:val="20"/>
              </w:rPr>
              <w:t xml:space="preserve">These are your highest-scoring HCPs. Each card shows ML score (data-trained) + Rule score (formula-based). Look at both — divergence between them signals an HCP the formula may have mispriced.</w:t>
            </w:r>
          </w:p>
        </w:tc>
      </w:tr>
      <w:tr>
        <w:tc>
          <w:tcPr>
            <w:tcW w:type="dxa" w:w="600"/>
            <w:tcBorders>
              <w:top w:val="none" w:color="FFFFFF" w:sz="0"/>
              <w:left w:val="none" w:color="FFFFFF" w:sz="0"/>
              <w:bottom w:val="none" w:color="FFFFFF" w:sz="0"/>
              <w:right w:val="none" w:color="FFFFFF" w:sz="0"/>
            </w:tcBorders>
            <w:shd w:fill="003DA5" w:val="clear"/>
            <w:tcMar>
              <w:top w:type="dxa" w:w="100"/>
              <w:left w:type="dxa" w:w="120"/>
              <w:bottom w:type="dxa" w:w="100"/>
              <w:right w:type="dxa" w:w="8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after="20" w:before="0"/>
            </w:pPr>
            <w:r>
              <w:rPr>
                <w:rFonts w:ascii="Arial" w:cs="Arial" w:eastAsia="Arial" w:hAnsi="Arial"/>
                <w:b/>
                <w:bCs/>
                <w:color w:val="003DA5"/>
                <w:sz w:val="22"/>
                <w:szCs w:val="22"/>
              </w:rPr>
              <w:t xml:space="preserve">Read the call-due status badge</w:t>
            </w:r>
          </w:p>
          <w:p>
            <w:pPr>
              <w:spacing w:after="0" w:before="0"/>
            </w:pPr>
            <w:r>
              <w:rPr>
                <w:rFonts w:ascii="Arial" w:cs="Arial" w:eastAsia="Arial" w:hAnsi="Arial"/>
                <w:color w:val="374151"/>
                <w:sz w:val="20"/>
                <w:szCs w:val="20"/>
              </w:rPr>
              <w:t xml:space="preserve">Overdue (red) = this HCP's cadence window has passed. Due Soon (amber) = visit due in &lt;7 days. Focus the day on Overdue P1s first.</w:t>
            </w:r>
          </w:p>
        </w:tc>
      </w:tr>
      <w:tr>
        <w:tc>
          <w:tcPr>
            <w:tcW w:type="dxa" w:w="600"/>
            <w:tcBorders>
              <w:top w:val="none" w:color="FFFFFF" w:sz="0"/>
              <w:left w:val="none" w:color="FFFFFF" w:sz="0"/>
              <w:bottom w:val="none" w:color="FFFFFF" w:sz="0"/>
              <w:right w:val="none" w:color="FFFFFF" w:sz="0"/>
            </w:tcBorders>
            <w:shd w:fill="003DA5" w:val="clear"/>
            <w:tcMar>
              <w:top w:type="dxa" w:w="100"/>
              <w:left w:type="dxa" w:w="120"/>
              <w:bottom w:type="dxa" w:w="100"/>
              <w:right w:type="dxa" w:w="80"/>
            </w:tcMa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single" w:color="E5E7EB" w:sz="2"/>
              <w:right w:val="none" w:color="FFFFFF" w:sz="0"/>
            </w:tcBorders>
            <w:shd w:fill="F5F5F7" w:val="clear"/>
            <w:tcMar>
              <w:top w:type="dxa" w:w="80"/>
              <w:left w:type="dxa" w:w="160"/>
              <w:bottom w:type="dxa" w:w="80"/>
              <w:right w:type="dxa" w:w="80"/>
            </w:tcMar>
          </w:tcPr>
          <w:p>
            <w:pPr>
              <w:spacing w:after="20" w:before="0"/>
            </w:pPr>
            <w:r>
              <w:rPr>
                <w:rFonts w:ascii="Arial" w:cs="Arial" w:eastAsia="Arial" w:hAnsi="Arial"/>
                <w:b/>
                <w:bCs/>
                <w:color w:val="003DA5"/>
                <w:sz w:val="22"/>
                <w:szCs w:val="22"/>
              </w:rPr>
              <w:t xml:space="preserve">Click 'View Profile' on any HCP</w:t>
            </w:r>
          </w:p>
          <w:p>
            <w:pPr>
              <w:spacing w:after="0" w:before="0"/>
            </w:pPr>
            <w:r>
              <w:rPr>
                <w:rFonts w:ascii="Arial" w:cs="Arial" w:eastAsia="Arial" w:hAnsi="Arial"/>
                <w:color w:val="374151"/>
                <w:sz w:val="20"/>
                <w:szCs w:val="20"/>
              </w:rPr>
              <w:t xml:space="preserve">The HCP Profile tab shows: fills trend 2021-2022, YoY growth %, KOL status, Next Best Action recommendation, and the pre-call brief. Read this before picking up the phone.</w:t>
            </w:r>
          </w:p>
        </w:tc>
      </w:tr>
      <w:tr>
        <w:tc>
          <w:tcPr>
            <w:tcW w:type="dxa" w:w="600"/>
            <w:tcBorders>
              <w:top w:val="none" w:color="FFFFFF" w:sz="0"/>
              <w:left w:val="none" w:color="FFFFFF" w:sz="0"/>
              <w:bottom w:val="none" w:color="FFFFFF" w:sz="0"/>
              <w:right w:val="none" w:color="FFFFFF" w:sz="0"/>
            </w:tcBorders>
            <w:shd w:fill="003DA5" w:val="clear"/>
            <w:tcMar>
              <w:top w:type="dxa" w:w="100"/>
              <w:left w:type="dxa" w:w="120"/>
              <w:bottom w:type="dxa" w:w="100"/>
              <w:right w:type="dxa" w:w="80"/>
            </w:tcMar>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after="20" w:before="0"/>
            </w:pPr>
            <w:r>
              <w:rPr>
                <w:rFonts w:ascii="Arial" w:cs="Arial" w:eastAsia="Arial" w:hAnsi="Arial"/>
                <w:b/>
                <w:bCs/>
                <w:color w:val="003DA5"/>
                <w:sz w:val="22"/>
                <w:szCs w:val="22"/>
              </w:rPr>
              <w:t xml:space="preserve">Check the Next Best Action field</w:t>
            </w:r>
          </w:p>
          <w:p>
            <w:pPr>
              <w:spacing w:after="0" w:before="0"/>
            </w:pPr>
            <w:r>
              <w:rPr>
                <w:rFonts w:ascii="Arial" w:cs="Arial" w:eastAsia="Arial" w:hAnsi="Arial"/>
                <w:color w:val="374151"/>
                <w:sz w:val="20"/>
                <w:szCs w:val="20"/>
              </w:rPr>
              <w:t xml:space="preserve">The NBA engine flags: Schedule Field Visit, Send Approved Email, Submit Sample Request, Invite Advisory Board, Escalate to Manager, or Nurture Only. Use this as your call objective.</w:t>
            </w:r>
          </w:p>
        </w:tc>
      </w:tr>
      <w:tr>
        <w:tc>
          <w:tcPr>
            <w:tcW w:type="dxa" w:w="600"/>
            <w:tcBorders>
              <w:top w:val="none" w:color="FFFFFF" w:sz="0"/>
              <w:left w:val="none" w:color="FFFFFF" w:sz="0"/>
              <w:bottom w:val="none" w:color="FFFFFF" w:sz="0"/>
              <w:right w:val="none" w:color="FFFFFF" w:sz="0"/>
            </w:tcBorders>
            <w:shd w:fill="003DA5" w:val="clear"/>
            <w:tcMar>
              <w:top w:type="dxa" w:w="100"/>
              <w:left w:type="dxa" w:w="120"/>
              <w:bottom w:type="dxa" w:w="100"/>
              <w:right w:type="dxa" w:w="80"/>
            </w:tcMar>
          </w:tcPr>
          <w:p>
            <w:pPr>
              <w:jc w:val="center"/>
            </w:pPr>
            <w:r>
              <w:rPr>
                <w:rFonts w:ascii="Arial" w:cs="Arial" w:eastAsia="Arial" w:hAnsi="Arial"/>
                <w:b/>
                <w:bCs/>
                <w:color w:val="FFFFFF"/>
                <w:sz w:val="28"/>
                <w:szCs w:val="28"/>
              </w:rPr>
              <w:t xml:space="preserve">6</w:t>
            </w:r>
          </w:p>
        </w:tc>
        <w:tc>
          <w:tcPr>
            <w:tcW w:type="dxa" w:w="8760"/>
            <w:tcBorders>
              <w:top w:val="none" w:color="FFFFFF" w:sz="0"/>
              <w:left w:val="none" w:color="FFFFFF" w:sz="0"/>
              <w:bottom w:val="single" w:color="E5E7EB" w:sz="2"/>
              <w:right w:val="none" w:color="FFFFFF" w:sz="0"/>
            </w:tcBorders>
            <w:shd w:fill="F5F5F7" w:val="clear"/>
            <w:tcMar>
              <w:top w:type="dxa" w:w="80"/>
              <w:left w:type="dxa" w:w="160"/>
              <w:bottom w:type="dxa" w:w="80"/>
              <w:right w:type="dxa" w:w="80"/>
            </w:tcMar>
          </w:tcPr>
          <w:p>
            <w:pPr>
              <w:spacing w:after="20" w:before="0"/>
            </w:pPr>
            <w:r>
              <w:rPr>
                <w:rFonts w:ascii="Arial" w:cs="Arial" w:eastAsia="Arial" w:hAnsi="Arial"/>
                <w:b/>
                <w:bCs/>
                <w:color w:val="003DA5"/>
                <w:sz w:val="22"/>
                <w:szCs w:val="22"/>
              </w:rPr>
              <w:t xml:space="preserve">Mark as Called after the visit</w:t>
            </w:r>
          </w:p>
          <w:p>
            <w:pPr>
              <w:spacing w:after="0" w:before="0"/>
            </w:pPr>
            <w:r>
              <w:rPr>
                <w:rFonts w:ascii="Arial" w:cs="Arial" w:eastAsia="Arial" w:hAnsi="Arial"/>
                <w:color w:val="374151"/>
                <w:sz w:val="20"/>
                <w:szCs w:val="20"/>
              </w:rPr>
              <w:t xml:space="preserve">Logs the call in session state — mimics a CRM write-back. Your manager can see which accounts you've contacted in their Team view.</w:t>
            </w:r>
          </w:p>
        </w:tc>
      </w:tr>
      <w:tr>
        <w:tc>
          <w:tcPr>
            <w:tcW w:type="dxa" w:w="600"/>
            <w:tcBorders>
              <w:top w:val="none" w:color="FFFFFF" w:sz="0"/>
              <w:left w:val="none" w:color="FFFFFF" w:sz="0"/>
              <w:bottom w:val="none" w:color="FFFFFF" w:sz="0"/>
              <w:right w:val="none" w:color="FFFFFF" w:sz="0"/>
            </w:tcBorders>
            <w:shd w:fill="003DA5" w:val="clear"/>
            <w:tcMar>
              <w:top w:type="dxa" w:w="100"/>
              <w:left w:type="dxa" w:w="120"/>
              <w:bottom w:type="dxa" w:w="100"/>
              <w:right w:type="dxa" w:w="80"/>
            </w:tcMar>
          </w:tcPr>
          <w:p>
            <w:pPr>
              <w:jc w:val="center"/>
            </w:pPr>
            <w:r>
              <w:rPr>
                <w:rFonts w:ascii="Arial" w:cs="Arial" w:eastAsia="Arial" w:hAnsi="Arial"/>
                <w:b/>
                <w:bCs/>
                <w:color w:val="FFFFFF"/>
                <w:sz w:val="28"/>
                <w:szCs w:val="28"/>
              </w:rPr>
              <w:t xml:space="preserve">7</w:t>
            </w:r>
          </w:p>
        </w:tc>
        <w:tc>
          <w:tcPr>
            <w:tcW w:type="dxa" w:w="8760"/>
            <w:tcBorders>
              <w:top w:val="none" w:color="FFFFFF" w:sz="0"/>
              <w:left w:val="none" w:color="FFFFFF" w:sz="0"/>
              <w:bottom w:val="single" w:color="E5E7EB" w:sz="2"/>
              <w:right w:val="none" w:color="FFFFFF" w:sz="0"/>
            </w:tcBorders>
            <w:shd w:fill="FFFFFF" w:val="clear"/>
            <w:tcMar>
              <w:top w:type="dxa" w:w="80"/>
              <w:left w:type="dxa" w:w="160"/>
              <w:bottom w:type="dxa" w:w="80"/>
              <w:right w:type="dxa" w:w="80"/>
            </w:tcMar>
          </w:tcPr>
          <w:p>
            <w:pPr>
              <w:spacing w:after="20" w:before="0"/>
            </w:pPr>
            <w:r>
              <w:rPr>
                <w:rFonts w:ascii="Arial" w:cs="Arial" w:eastAsia="Arial" w:hAnsi="Arial"/>
                <w:b/>
                <w:bCs/>
                <w:color w:val="003DA5"/>
                <w:sz w:val="22"/>
                <w:szCs w:val="22"/>
              </w:rPr>
              <w:t xml:space="preserve">End of day: check the Call Plan Stop cards</w:t>
            </w:r>
          </w:p>
          <w:p>
            <w:pPr>
              <w:spacing w:after="0" w:before="0"/>
            </w:pPr>
            <w:r>
              <w:rPr>
                <w:rFonts w:ascii="Arial" w:cs="Arial" w:eastAsia="Arial" w:hAnsi="Arial"/>
                <w:color w:val="374151"/>
                <w:sz w:val="20"/>
                <w:szCs w:val="20"/>
              </w:rPr>
              <w:t xml:space="preserve">Bottom of the rep view. These are accounts that the engine flags for immediate action — churn risk or engagement gap detected. Don't leave these for tomorrow.</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2.3  Key Metrics the Rep Should Track</w:t>
      </w:r>
    </w:p>
    <w:p>
      <w:pPr>
        <w:spacing w:after="0" w:before="0"/>
      </w:pPr>
      <w:r>
        <w:rPr>
          <w:sz w:val="4"/>
          <w:szCs w:val="4"/>
        </w:rPr>
        <w:t xml:space="preserve"> </w:t>
      </w:r>
    </w:p>
    <w:tbl>
      <w:tblPr>
        <w:tblW w:type="dxa" w:w="9360"/>
        <w:tblBorders>
          <w:top w:val="single" w:color="003DA5" w:sz="4"/>
          <w:left w:val="single" w:color="003DA5" w:sz="4"/>
          <w:bottom w:val="single" w:color="003DA5" w:sz="4"/>
          <w:right w:val="single" w:color="003DA5"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ML Targeting Score</w:t>
            </w:r>
          </w:p>
          <w:p>
            <w:pPr>
              <w:spacing w:after="10" w:before="0"/>
            </w:pPr>
            <w:r>
              <w:rPr>
                <w:rFonts w:ascii="Arial" w:cs="Arial" w:eastAsia="Arial" w:hAnsi="Arial"/>
                <w:b/>
                <w:bCs/>
                <w:color w:val="374151"/>
                <w:sz w:val="28"/>
                <w:szCs w:val="28"/>
              </w:rPr>
              <w:t xml:space="preserve">0.87</w:t>
            </w:r>
          </w:p>
          <w:p>
            <w:pPr>
              <w:spacing w:after="0" w:before="0"/>
            </w:pPr>
            <w:r>
              <w:rPr>
                <w:rFonts w:ascii="Arial" w:cs="Arial" w:eastAsia="Arial" w:hAnsi="Arial"/>
                <w:i/>
                <w:iCs/>
                <w:color w:val="6E6E73"/>
                <w:sz w:val="18"/>
                <w:szCs w:val="18"/>
              </w:rPr>
              <w:t xml:space="preserve">GBR-trained on 7 CMS features — higher = predicted high Rx volume</w:t>
            </w:r>
          </w:p>
        </w:tc>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Rule Targeting Score</w:t>
            </w:r>
          </w:p>
          <w:p>
            <w:pPr>
              <w:spacing w:after="10" w:before="0"/>
            </w:pPr>
            <w:r>
              <w:rPr>
                <w:rFonts w:ascii="Arial" w:cs="Arial" w:eastAsia="Arial" w:hAnsi="Arial"/>
                <w:b/>
                <w:bCs/>
                <w:color w:val="374151"/>
                <w:sz w:val="28"/>
                <w:szCs w:val="28"/>
              </w:rPr>
              <w:t xml:space="preserve">0.78</w:t>
            </w:r>
          </w:p>
          <w:p>
            <w:pPr>
              <w:spacing w:after="0" w:before="0"/>
            </w:pPr>
            <w:r>
              <w:rPr>
                <w:rFonts w:ascii="Arial" w:cs="Arial" w:eastAsia="Arial" w:hAnsi="Arial"/>
                <w:i/>
                <w:iCs/>
                <w:color w:val="6E6E73"/>
                <w:sz w:val="18"/>
                <w:szCs w:val="18"/>
              </w:rPr>
              <w:t xml:space="preserve">Formula: 50% volume + 30% growth + 20% KOL flag</w:t>
            </w:r>
          </w:p>
        </w:tc>
      </w:tr>
      <w:tr>
        <w:tc>
          <w:tcPr>
            <w:tcW w:type="dxa" w:w="4680"/>
            <w:tcBorders>
              <w:top w:val="single" w:color="D1D5DB" w:sz="4"/>
              <w:left w:val="single" w:color="D1D5DB" w:sz="4"/>
              <w:bottom w:val="single" w:color="D1D5DB" w:sz="4"/>
              <w:right w:val="single" w:color="D1D5DB" w:sz="4"/>
            </w:tcBorders>
            <w:shd w:fill="F5F5F7"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YoY Growth %</w:t>
            </w:r>
          </w:p>
          <w:p>
            <w:pPr>
              <w:spacing w:after="10" w:before="0"/>
            </w:pPr>
            <w:r>
              <w:rPr>
                <w:rFonts w:ascii="Arial" w:cs="Arial" w:eastAsia="Arial" w:hAnsi="Arial"/>
                <w:b/>
                <w:bCs/>
                <w:color w:val="374151"/>
                <w:sz w:val="28"/>
                <w:szCs w:val="28"/>
              </w:rPr>
              <w:t xml:space="preserve">+23.4%</w:t>
            </w:r>
          </w:p>
          <w:p>
            <w:pPr>
              <w:spacing w:after="0" w:before="0"/>
            </w:pPr>
            <w:r>
              <w:rPr>
                <w:rFonts w:ascii="Arial" w:cs="Arial" w:eastAsia="Arial" w:hAnsi="Arial"/>
                <w:i/>
                <w:iCs/>
                <w:color w:val="6E6E73"/>
                <w:sz w:val="18"/>
                <w:szCs w:val="18"/>
              </w:rPr>
              <w:t xml:space="preserve">CMS 2021→2022 fill growth — positive = accelerating prescriber</w:t>
            </w:r>
          </w:p>
        </w:tc>
        <w:tc>
          <w:tcPr>
            <w:tcW w:type="dxa" w:w="4680"/>
            <w:tcBorders>
              <w:top w:val="single" w:color="D1D5DB" w:sz="4"/>
              <w:left w:val="single" w:color="D1D5DB" w:sz="4"/>
              <w:bottom w:val="single" w:color="D1D5DB" w:sz="4"/>
              <w:right w:val="single" w:color="D1D5DB" w:sz="4"/>
            </w:tcBorders>
            <w:shd w:fill="F5F5F7"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Days Since Last Call</w:t>
            </w:r>
          </w:p>
          <w:p>
            <w:pPr>
              <w:spacing w:after="10" w:before="0"/>
            </w:pPr>
            <w:r>
              <w:rPr>
                <w:rFonts w:ascii="Arial" w:cs="Arial" w:eastAsia="Arial" w:hAnsi="Arial"/>
                <w:b/>
                <w:bCs/>
                <w:color w:val="374151"/>
                <w:sz w:val="28"/>
                <w:szCs w:val="28"/>
              </w:rPr>
              <w:t xml:space="preserve">41 days</w:t>
            </w:r>
          </w:p>
          <w:p>
            <w:pPr>
              <w:spacing w:after="0" w:before="0"/>
            </w:pPr>
            <w:r>
              <w:rPr>
                <w:rFonts w:ascii="Arial" w:cs="Arial" w:eastAsia="Arial" w:hAnsi="Arial"/>
                <w:i/>
                <w:iCs/>
                <w:color w:val="6E6E73"/>
                <w:sz w:val="18"/>
                <w:szCs w:val="18"/>
              </w:rPr>
              <w:t xml:space="preserve">vs. HV cadence of 28 days — flag if overdue</w:t>
            </w:r>
          </w:p>
        </w:tc>
      </w:tr>
      <w:tr>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KOL Status</w:t>
            </w:r>
          </w:p>
          <w:p>
            <w:pPr>
              <w:spacing w:after="10" w:before="0"/>
            </w:pPr>
            <w:r>
              <w:rPr>
                <w:rFonts w:ascii="Arial" w:cs="Arial" w:eastAsia="Arial" w:hAnsi="Arial"/>
                <w:b/>
                <w:bCs/>
                <w:color w:val="374151"/>
                <w:sz w:val="28"/>
                <w:szCs w:val="28"/>
              </w:rPr>
              <w:t xml:space="preserve">Yes — advisory fees</w:t>
            </w:r>
          </w:p>
          <w:p>
            <w:pPr>
              <w:spacing w:after="0" w:before="0"/>
            </w:pPr>
            <w:r>
              <w:rPr>
                <w:rFonts w:ascii="Arial" w:cs="Arial" w:eastAsia="Arial" w:hAnsi="Arial"/>
                <w:i/>
                <w:iCs/>
                <w:color w:val="6E6E73"/>
                <w:sz w:val="18"/>
                <w:szCs w:val="18"/>
              </w:rPr>
              <w:t xml:space="preserve">Opinion Leader Payments &gt; 0 in CMS Open Payments</w:t>
            </w:r>
          </w:p>
        </w:tc>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Engagement Gap</w:t>
            </w:r>
          </w:p>
          <w:p>
            <w:pPr>
              <w:spacing w:after="10" w:before="0"/>
            </w:pPr>
            <w:r>
              <w:rPr>
                <w:rFonts w:ascii="Arial" w:cs="Arial" w:eastAsia="Arial" w:hAnsi="Arial"/>
                <w:b/>
                <w:bCs/>
                <w:color w:val="374151"/>
                <w:sz w:val="28"/>
                <w:szCs w:val="28"/>
              </w:rPr>
              <w:t xml:space="preserve">Flagged</w:t>
            </w:r>
          </w:p>
          <w:p>
            <w:pPr>
              <w:spacing w:after="0" w:before="0"/>
            </w:pPr>
            <w:r>
              <w:rPr>
                <w:rFonts w:ascii="Arial" w:cs="Arial" w:eastAsia="Arial" w:hAnsi="Arial"/>
                <w:i/>
                <w:iCs/>
                <w:color w:val="6E6E73"/>
                <w:sz w:val="18"/>
                <w:szCs w:val="18"/>
              </w:rPr>
              <w:t xml:space="preserve">KOL with declining Rx — competitive threat, escalate</w:t>
            </w:r>
          </w:p>
        </w:tc>
      </w:tr>
    </w:tbl>
    <w:p>
      <w:pPr>
        <w:spacing w:after="0" w:before="0"/>
      </w:pPr>
      <w:r>
        <w:rPr>
          <w:sz w:val="4"/>
          <w:szCs w:val="4"/>
        </w:rPr>
        <w:t xml:space="preserve"> </w:t>
      </w:r>
    </w:p>
    <w:p>
      <w:pPr>
        <w:pBdr>
          <w:left w:val="single" w:color="003DA5" w:sz="16" w:space="10"/>
        </w:pBdr>
        <w:shd w:fill="E8F1FF" w:val="clear"/>
        <w:spacing w:after="140" w:before="140"/>
        <w:ind w:left="240"/>
      </w:pPr>
      <w:r>
        <w:rPr>
          <w:rFonts w:ascii="Arial" w:cs="Arial" w:eastAsia="Arial" w:hAnsi="Arial"/>
          <w:i/>
          <w:iCs/>
          <w:color w:val="1D1D1F"/>
          <w:sz w:val="21"/>
          <w:szCs w:val="21"/>
        </w:rPr>
        <w:t xml:space="preserve">💡 Pro Tip: When ML score and Rule score diverge by more than 0.15, pay attention. The ML model has found a pattern the formula misses — this HCP is either higher or lower priority than the rule suggests. Dig into the HCP profile to understand why.</w:t>
      </w:r>
    </w:p>
    <w:p>
      <w:r>
        <w:br w:type="page"/>
      </w:r>
    </w:p>
    <w:p>
      <w:pPr>
        <w:pBdr>
          <w:bottom w:val="single" w:color="155E1A" w:sz="4" w:space="4"/>
          <w:left w:val="single" w:color="155E1A" w:sz="28" w:space="12"/>
        </w:pBdr>
        <w:shd w:fill="E6F4EA" w:val="clear"/>
        <w:spacing w:after="200" w:before="0"/>
        <w:ind w:left="280"/>
      </w:pPr>
      <w:r>
        <w:rPr>
          <w:rFonts w:ascii="Arial" w:cs="Arial" w:eastAsia="Arial" w:hAnsi="Arial"/>
          <w:b/>
          <w:bCs/>
          <w:color w:val="155E1A"/>
          <w:sz w:val="40"/>
          <w:szCs w:val="40"/>
        </w:rPr>
        <w:t xml:space="preserve">📋  Area Manager</w:t>
      </w:r>
      <w:r>
        <w:rPr>
          <w:rFonts w:ascii="Arial" w:cs="Arial" w:eastAsia="Arial" w:hAnsi="Arial"/>
          <w:i/>
          <w:iCs/>
          <w:color w:val="374151"/>
          <w:sz w:val="26"/>
          <w:szCs w:val="26"/>
        </w:rPr>
        <w:t xml:space="preserve">  —  Territory Team Lead — Weekly Performance Review</w:t>
      </w:r>
    </w:p>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3.1  Role &amp; Weekly Reality</w:t>
      </w:r>
    </w:p>
    <w:p>
      <w:pPr>
        <w:spacing w:after="80" w:before="60"/>
      </w:pPr>
      <w:r>
        <w:rPr>
          <w:rFonts w:ascii="Arial" w:cs="Arial" w:eastAsia="Arial" w:hAnsi="Arial"/>
          <w:b w:val="false"/>
          <w:bCs w:val="false"/>
          <w:i w:val="false"/>
          <w:iCs w:val="false"/>
          <w:color w:val="1D1D1F"/>
          <w:sz w:val="22"/>
          <w:szCs w:val="22"/>
        </w:rPr>
        <w:t xml:space="preserve">The Area Manager oversees a team of 6-10 Sales Reps across a defined geography (e.g. Southwest states). Their job is to ensure no high-value account slips through the cracks, identify which reps need coaching, and direct resources to the white space. They review performance weekly and report upward to the Regional Manager.</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3DA5" w:sz="4"/>
              <w:left w:val="single" w:color="003DA5" w:sz="4"/>
              <w:bottom w:val="single" w:color="003DA5" w:sz="4"/>
              <w:right w:val="single" w:color="003DA5" w:sz="4"/>
            </w:tcBorders>
            <w:shd w:fill="C62828"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Pain Point (Before)</w:t>
            </w:r>
          </w:p>
        </w:tc>
        <w:tc>
          <w:tcPr>
            <w:tcW w:type="dxa" w:w="468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How the Platform Solves It</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Can't see which reps are covering the right accounts vs. burning time on low-priority HCPs</w:t>
            </w:r>
          </w:p>
        </w:tc>
        <w:tc>
          <w:tcPr>
            <w:tcW w:type="dxa" w:w="468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My Team tab: rep scorecards — P1 count, calls logged, overdue count per rep</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Territory gaps invisible until a quarterly review — too late to act</w:t>
            </w:r>
          </w:p>
        </w:tc>
        <w:tc>
          <w:tcPr>
            <w:tcW w:type="dxa" w:w="468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Territory Gaps tab: uncovered High Value HCPs, revenue at risk KPIs in real time</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KOL relationships managed ad-hoc — no visibility into engagement vs. Rx trend</w:t>
            </w:r>
          </w:p>
        </w:tc>
        <w:tc>
          <w:tcPr>
            <w:tcW w:type="dxa" w:w="468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Strategic Accounts tab: KOL accounts with engagement gap flag + pre-call briefs</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Territory health reported only by the numbers the rep chooses to share</w:t>
            </w:r>
          </w:p>
        </w:tc>
        <w:tc>
          <w:tcPr>
            <w:tcW w:type="dxa" w:w="468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Territory Health tab: segment donut, at-risk table, conversion targets from data</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3.2  The 4 Tabs — When and Why to Use Each</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003DA5" w:sz="4"/>
              <w:left w:val="single" w:color="003DA5" w:sz="4"/>
              <w:bottom w:val="single" w:color="003DA5" w:sz="4"/>
              <w:right w:val="single" w:color="003DA5" w:sz="4"/>
            </w:tcBorders>
            <w:shd w:fill="155E1A"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Tab</w:t>
            </w:r>
          </w:p>
        </w:tc>
        <w:tc>
          <w:tcPr>
            <w:tcW w:type="dxa" w:w="2600"/>
            <w:tcBorders>
              <w:top w:val="single" w:color="003DA5" w:sz="4"/>
              <w:left w:val="single" w:color="003DA5" w:sz="4"/>
              <w:bottom w:val="single" w:color="003DA5" w:sz="4"/>
              <w:right w:val="single" w:color="003DA5" w:sz="4"/>
            </w:tcBorders>
            <w:shd w:fill="155E1A"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When to Open It</w:t>
            </w:r>
          </w:p>
        </w:tc>
        <w:tc>
          <w:tcPr>
            <w:tcW w:type="dxa" w:w="4760"/>
            <w:tcBorders>
              <w:top w:val="single" w:color="003DA5" w:sz="4"/>
              <w:left w:val="single" w:color="003DA5" w:sz="4"/>
              <w:bottom w:val="single" w:color="003DA5" w:sz="4"/>
              <w:right w:val="single" w:color="003DA5" w:sz="4"/>
            </w:tcBorders>
            <w:shd w:fill="155E1A"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What to Look For</w:t>
            </w:r>
          </w:p>
        </w:tc>
      </w:tr>
      <w:tr>
        <w:tc>
          <w:tcPr>
            <w:tcW w:type="dxa" w:w="200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My Team</w:t>
            </w:r>
          </w:p>
        </w:tc>
        <w:tc>
          <w:tcPr>
            <w:tcW w:type="dxa" w:w="260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Monday morning before the weekly standup</w:t>
            </w:r>
          </w:p>
        </w:tc>
        <w:tc>
          <w:tcPr>
            <w:tcW w:type="dxa" w:w="476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Which rep has the most Overdue P1s? Who has the lowest call count? Use this to direct your coaching conversation — name the accounts, not the number.</w:t>
            </w:r>
          </w:p>
        </w:tc>
      </w:tr>
      <w:tr>
        <w:tc>
          <w:tcPr>
            <w:tcW w:type="dxa" w:w="20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Territory Gaps</w:t>
            </w:r>
          </w:p>
        </w:tc>
        <w:tc>
          <w:tcPr>
            <w:tcW w:type="dxa" w:w="26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After any rep change or territory re-alignment</w:t>
            </w:r>
          </w:p>
        </w:tc>
        <w:tc>
          <w:tcPr>
            <w:tcW w:type="dxa" w:w="476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Revenue at risk from uncovered HV HCPs. Each uncovered High Value account represents ~$45 × expected Rx lift over the quarter. Prioritise coverage reassignment here.</w:t>
            </w:r>
          </w:p>
        </w:tc>
      </w:tr>
      <w:tr>
        <w:tc>
          <w:tcPr>
            <w:tcW w:type="dxa" w:w="200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Strategic Accounts</w:t>
            </w:r>
          </w:p>
        </w:tc>
        <w:tc>
          <w:tcPr>
            <w:tcW w:type="dxa" w:w="260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Before any KOL engagement or advisory board prep</w:t>
            </w:r>
          </w:p>
        </w:tc>
        <w:tc>
          <w:tcPr>
            <w:tcW w:type="dxa" w:w="476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Look for the Engagement Gap flag (KOL with declining Rx). This is a competitor alert. The KOL is spending time at your table but prescribing elsewhere. Escalate immediately.</w:t>
            </w:r>
          </w:p>
        </w:tc>
      </w:tr>
      <w:tr>
        <w:tc>
          <w:tcPr>
            <w:tcW w:type="dxa" w:w="20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Territory Health</w:t>
            </w:r>
          </w:p>
        </w:tc>
        <w:tc>
          <w:tcPr>
            <w:tcW w:type="dxa" w:w="26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Monthly business review or quarterly QBR prep</w:t>
            </w:r>
          </w:p>
        </w:tc>
        <w:tc>
          <w:tcPr>
            <w:tcW w:type="dxa" w:w="476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The segment donut shows the shape of your territory — too many Deprioritise HCPs means the territory is under-penetrated. Use the conversion targets to set rep objectives.</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3.3  Coaching Conversations from Data</w:t>
      </w:r>
    </w:p>
    <w:p>
      <w:pPr>
        <w:spacing w:after="80" w:before="60"/>
      </w:pPr>
      <w:r>
        <w:rPr>
          <w:rFonts w:ascii="Arial" w:cs="Arial" w:eastAsia="Arial" w:hAnsi="Arial"/>
          <w:b w:val="false"/>
          <w:bCs w:val="false"/>
          <w:i w:val="false"/>
          <w:iCs w:val="false"/>
          <w:color w:val="1D1D1F"/>
          <w:sz w:val="22"/>
          <w:szCs w:val="22"/>
        </w:rPr>
        <w:t xml:space="preserve">The platform replaces subjective performance conversations with specific, data-grounded ones:</w:t>
      </w:r>
    </w:p>
    <w:p>
      <w:pPr>
        <w:pStyle w:val="ListParagraph"/>
        <w:numPr>
          <w:ilvl w:val="0"/>
          <w:numId w:val="2"/>
        </w:numPr>
        <w:spacing w:after="30" w:before="30"/>
      </w:pPr>
      <w:r>
        <w:rPr>
          <w:rFonts w:ascii="Arial" w:cs="Arial" w:eastAsia="Arial" w:hAnsi="Arial"/>
          <w:color w:val="1D1D1F"/>
          <w:sz w:val="21"/>
          <w:szCs w:val="21"/>
        </w:rPr>
        <w:t xml:space="preserve">'Dr. Martinez is a Priority 1 HCP — ML score 0.91, last contacted 47 days ago against a 28-day cadence. That's 19 days overdue. Walk me through what happened.'</w:t>
      </w:r>
    </w:p>
    <w:p>
      <w:pPr>
        <w:pStyle w:val="ListParagraph"/>
        <w:numPr>
          <w:ilvl w:val="0"/>
          <w:numId w:val="2"/>
        </w:numPr>
        <w:spacing w:after="30" w:before="30"/>
      </w:pPr>
      <w:r>
        <w:rPr>
          <w:rFonts w:ascii="Arial" w:cs="Arial" w:eastAsia="Arial" w:hAnsi="Arial"/>
          <w:color w:val="1D1D1F"/>
          <w:sz w:val="21"/>
          <w:szCs w:val="21"/>
        </w:rPr>
        <w:t xml:space="preserve">'You have 3 Engagement Gap KOLs in your territory. These are accounts where we're paying for relationships but losing Rx share. What is your plan for each?'</w:t>
      </w:r>
    </w:p>
    <w:p>
      <w:pPr>
        <w:pStyle w:val="ListParagraph"/>
        <w:numPr>
          <w:ilvl w:val="0"/>
          <w:numId w:val="2"/>
        </w:numPr>
        <w:spacing w:after="30" w:before="30"/>
      </w:pPr>
      <w:r>
        <w:rPr>
          <w:rFonts w:ascii="Arial" w:cs="Arial" w:eastAsia="Arial" w:hAnsi="Arial"/>
          <w:color w:val="1D1D1F"/>
          <w:sz w:val="21"/>
          <w:szCs w:val="21"/>
        </w:rPr>
        <w:t xml:space="preserve">'Your conversion from Growth to High Value segment is 4% this quarter vs. 12% for the Southeast. What are they doing differently?'</w:t>
      </w:r>
    </w:p>
    <w:p>
      <w:pPr>
        <w:spacing w:after="0" w:before="0"/>
      </w:pPr>
      <w:r>
        <w:rPr>
          <w:sz w:val="4"/>
          <w:szCs w:val="4"/>
        </w:rPr>
        <w:t xml:space="preserve"> </w:t>
      </w:r>
    </w:p>
    <w:p>
      <w:pPr>
        <w:pBdr>
          <w:left w:val="single" w:color="155E1A" w:sz="16" w:space="10"/>
        </w:pBdr>
        <w:shd w:fill="E6F4EA" w:val="clear"/>
        <w:spacing w:after="140" w:before="140"/>
        <w:ind w:left="240"/>
      </w:pPr>
      <w:r>
        <w:rPr>
          <w:rFonts w:ascii="Arial" w:cs="Arial" w:eastAsia="Arial" w:hAnsi="Arial"/>
          <w:i/>
          <w:iCs/>
          <w:color w:val="1D1D1F"/>
          <w:sz w:val="21"/>
          <w:szCs w:val="21"/>
        </w:rPr>
        <w:t xml:space="preserve">📌 Best Practice: Run the Territory Gaps tab before any rep performance review. Uncovered revenue is the single most actionable metric in commercial analytics — it directly connects rep activity to brand revenue impact.</w:t>
      </w:r>
    </w:p>
    <w:p>
      <w:r>
        <w:br w:type="page"/>
      </w:r>
    </w:p>
    <w:p>
      <w:pPr>
        <w:pBdr>
          <w:bottom w:val="single" w:color="92400E" w:sz="4" w:space="4"/>
          <w:left w:val="single" w:color="92400E" w:sz="28" w:space="12"/>
        </w:pBdr>
        <w:shd w:fill="FFF8E1" w:val="clear"/>
        <w:spacing w:after="200" w:before="0"/>
        <w:ind w:left="280"/>
      </w:pPr>
      <w:r>
        <w:rPr>
          <w:rFonts w:ascii="Arial" w:cs="Arial" w:eastAsia="Arial" w:hAnsi="Arial"/>
          <w:b/>
          <w:bCs/>
          <w:color w:val="92400E"/>
          <w:sz w:val="40"/>
          <w:szCs w:val="40"/>
        </w:rPr>
        <w:t xml:space="preserve">📊  Regional Manager</w:t>
      </w:r>
      <w:r>
        <w:rPr>
          <w:rFonts w:ascii="Arial" w:cs="Arial" w:eastAsia="Arial" w:hAnsi="Arial"/>
          <w:i/>
          <w:iCs/>
          <w:color w:val="374151"/>
          <w:sz w:val="26"/>
          <w:szCs w:val="26"/>
        </w:rPr>
        <w:t xml:space="preserve">  —  Multi-Territory Lead — Monthly Strategy View</w:t>
      </w:r>
    </w:p>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4.1  Role &amp; Monthly Reality</w:t>
      </w:r>
    </w:p>
    <w:p>
      <w:pPr>
        <w:spacing w:after="80" w:before="60"/>
      </w:pPr>
      <w:r>
        <w:rPr>
          <w:rFonts w:ascii="Arial" w:cs="Arial" w:eastAsia="Arial" w:hAnsi="Arial"/>
          <w:b w:val="false"/>
          <w:bCs w:val="false"/>
          <w:i w:val="false"/>
          <w:iCs w:val="false"/>
          <w:color w:val="1D1D1F"/>
          <w:sz w:val="22"/>
          <w:szCs w:val="22"/>
        </w:rPr>
        <w:t xml:space="preserve">The Regional Manager (RM) spans 3-5 Area Managers and their territories. Their job is cross-territory pattern recognition: which geographies are growing, where is T2D patient burden outpacing HCP coverage, and which KOLs need executive engagement. They set strategy for the quarter, report to Head of Sales, and make resource allocation calls.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3DA5" w:sz="4"/>
              <w:left w:val="single" w:color="003DA5" w:sz="4"/>
              <w:bottom w:val="single" w:color="003DA5" w:sz="4"/>
              <w:right w:val="single" w:color="003DA5" w:sz="4"/>
            </w:tcBorders>
            <w:shd w:fill="C62828"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Pain Point (Before)</w:t>
            </w:r>
          </w:p>
        </w:tc>
        <w:tc>
          <w:tcPr>
            <w:tcW w:type="dxa" w:w="468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How the Platform Solves It</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No single view of how all AMs are performing — forced to read 5 individual reports</w:t>
            </w:r>
          </w:p>
        </w:tc>
        <w:tc>
          <w:tcPr>
            <w:tcW w:type="dxa" w:w="4680"/>
            <w:tcBorders>
              <w:top w:val="single" w:color="D1D5DB" w:sz="4"/>
              <w:left w:val="single" w:color="D1D5DB" w:sz="4"/>
              <w:bottom w:val="single" w:color="D1D5DB" w:sz="4"/>
              <w:right w:val="single" w:color="D1D5DB" w:sz="4"/>
            </w:tcBorders>
            <w:shd w:fill="FFF8E1"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My AMs tab: AM scorecards by state (Southwest region) — one screen, all AMs</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Rx trends visible only at the territory level — can't spot cross-territory patterns</w:t>
            </w:r>
          </w:p>
        </w:tc>
        <w:tc>
          <w:tcPr>
            <w:tcW w:type="dxa" w:w="4680"/>
            <w:tcBorders>
              <w:top w:val="single" w:color="D1D5DB" w:sz="4"/>
              <w:left w:val="single" w:color="D1D5DB" w:sz="4"/>
              <w:bottom w:val="single" w:color="D1D5DB" w:sz="4"/>
              <w:right w:val="single" w:color="D1D5DB" w:sz="4"/>
            </w:tcBorders>
            <w:shd w:fill="FFF8E1"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Regional Trends tab: YoY fill chart by state + segment migration signal cards</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KOL portfolio managed piecemeal — no aggregate view of relationship health vs. Rx</w:t>
            </w:r>
          </w:p>
        </w:tc>
        <w:tc>
          <w:tcPr>
            <w:tcW w:type="dxa" w:w="4680"/>
            <w:tcBorders>
              <w:top w:val="single" w:color="D1D5DB" w:sz="4"/>
              <w:left w:val="single" w:color="D1D5DB" w:sz="4"/>
              <w:bottom w:val="single" w:color="D1D5DB" w:sz="4"/>
              <w:right w:val="single" w:color="D1D5DB" w:sz="4"/>
            </w:tcBorders>
            <w:shd w:fill="FFF8E1"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KOL Intelligence tab: engagement gap (declining KOLs) vs. healthy KOL split</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White space identified anecdotally — no data on where patient burden exceeds coverage</w:t>
            </w:r>
          </w:p>
        </w:tc>
        <w:tc>
          <w:tcPr>
            <w:tcW w:type="dxa" w:w="4680"/>
            <w:tcBorders>
              <w:top w:val="single" w:color="D1D5DB" w:sz="4"/>
              <w:left w:val="single" w:color="D1D5DB" w:sz="4"/>
              <w:bottom w:val="single" w:color="D1D5DB" w:sz="4"/>
              <w:right w:val="single" w:color="D1D5DB" w:sz="4"/>
            </w:tcBorders>
            <w:shd w:fill="FFF8E1"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White Space tab: T2D prevalence vs. HCP coverage scatter, bubble-sized by HCP count</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4.2  Strategic Reads per Tab</w:t>
      </w:r>
    </w:p>
    <w:p>
      <w:pPr>
        <w:spacing w:after="0" w:before="0"/>
      </w:pPr>
      <w:r>
        <w:rPr>
          <w:sz w:val="4"/>
          <w:szCs w:val="4"/>
        </w:rPr>
        <w:t xml:space="preserve"> </w:t>
      </w:r>
    </w:p>
    <w:p>
      <w:pPr>
        <w:spacing w:after="80" w:before="200"/>
      </w:pPr>
      <w:r>
        <w:rPr>
          <w:rFonts w:ascii="Arial" w:cs="Arial" w:eastAsia="Arial" w:hAnsi="Arial"/>
          <w:b/>
          <w:bCs/>
          <w:color w:val="92400E"/>
          <w:sz w:val="22"/>
          <w:szCs w:val="22"/>
        </w:rPr>
        <w:t xml:space="preserve">My AMs Tab — Weekly Snapshot</w:t>
      </w:r>
    </w:p>
    <w:p>
      <w:pPr>
        <w:spacing w:after="80" w:before="60"/>
      </w:pPr>
      <w:r>
        <w:rPr>
          <w:rFonts w:ascii="Arial" w:cs="Arial" w:eastAsia="Arial" w:hAnsi="Arial"/>
          <w:b w:val="false"/>
          <w:bCs w:val="false"/>
          <w:i w:val="false"/>
          <w:iCs w:val="false"/>
          <w:color w:val="1D1D1F"/>
          <w:sz w:val="22"/>
          <w:szCs w:val="22"/>
        </w:rPr>
        <w:t xml:space="preserve">Look at the AM scorecards and identify the outlier in both directions: who is outperforming their territory potential and who is not converting their P1 count into calls? These two questions drive the agenda for your AM check-in calls.</w:t>
      </w:r>
    </w:p>
    <w:p>
      <w:pPr>
        <w:spacing w:after="0" w:before="0"/>
      </w:pPr>
      <w:r>
        <w:rPr>
          <w:sz w:val="4"/>
          <w:szCs w:val="4"/>
        </w:rPr>
        <w:t xml:space="preserve"> </w:t>
      </w:r>
    </w:p>
    <w:p>
      <w:pPr>
        <w:spacing w:after="80" w:before="200"/>
      </w:pPr>
      <w:r>
        <w:rPr>
          <w:rFonts w:ascii="Arial" w:cs="Arial" w:eastAsia="Arial" w:hAnsi="Arial"/>
          <w:b/>
          <w:bCs/>
          <w:color w:val="92400E"/>
          <w:sz w:val="22"/>
          <w:szCs w:val="22"/>
        </w:rPr>
        <w:t xml:space="preserve">Regional Trends Tab — The Leading Indicator</w:t>
      </w:r>
    </w:p>
    <w:p>
      <w:pPr>
        <w:spacing w:after="80" w:before="60"/>
      </w:pPr>
      <w:r>
        <w:rPr>
          <w:rFonts w:ascii="Arial" w:cs="Arial" w:eastAsia="Arial" w:hAnsi="Arial"/>
          <w:b w:val="false"/>
          <w:bCs w:val="false"/>
          <w:i w:val="false"/>
          <w:iCs w:val="false"/>
          <w:color w:val="1D1D1F"/>
          <w:sz w:val="22"/>
          <w:szCs w:val="22"/>
        </w:rPr>
        <w:t xml:space="preserve">The YoY fill chart by state is your leading indicator. States trending negative now will show as revenue misses in the next quarterly report. The segment migration signal cards are the warning system: if Growth→High Value conversion is stalling, your pipeline is thinning. Act on the leading indicators, not the lagging ones.</w:t>
      </w:r>
    </w:p>
    <w:p>
      <w:pPr>
        <w:spacing w:after="0" w:before="0"/>
      </w:pPr>
      <w:r>
        <w:rPr>
          <w:sz w:val="4"/>
          <w:szCs w:val="4"/>
        </w:rPr>
        <w:t xml:space="preserve"> </w:t>
      </w:r>
    </w:p>
    <w:p>
      <w:pPr>
        <w:spacing w:after="80" w:before="200"/>
      </w:pPr>
      <w:r>
        <w:rPr>
          <w:rFonts w:ascii="Arial" w:cs="Arial" w:eastAsia="Arial" w:hAnsi="Arial"/>
          <w:b/>
          <w:bCs/>
          <w:color w:val="92400E"/>
          <w:sz w:val="22"/>
          <w:szCs w:val="22"/>
        </w:rPr>
        <w:t xml:space="preserve">KOL Intelligence Tab — The Competitive Lens</w:t>
      </w:r>
    </w:p>
    <w:p>
      <w:pPr>
        <w:spacing w:after="80" w:before="60"/>
      </w:pPr>
      <w:r>
        <w:rPr>
          <w:rFonts w:ascii="Arial" w:cs="Arial" w:eastAsia="Arial" w:hAnsi="Arial"/>
          <w:b w:val="false"/>
          <w:bCs w:val="false"/>
          <w:i w:val="false"/>
          <w:iCs w:val="false"/>
          <w:color w:val="1D1D1F"/>
          <w:sz w:val="22"/>
          <w:szCs w:val="22"/>
        </w:rPr>
        <w:t xml:space="preserve">The KOL Intelligence split shows two groups: KOLs with healthy engagement (rising Rx + advisory payments) and those with an engagement gap (declining Rx despite ongoing payments). The engagement gap cluster is your most urgent commercial risk — these KOLs have been captured by a competitor. Escalate each to the AM and consider executive sponsor outreach.</w:t>
      </w:r>
    </w:p>
    <w:p>
      <w:pPr>
        <w:spacing w:after="0" w:before="0"/>
      </w:pPr>
      <w:r>
        <w:rPr>
          <w:sz w:val="4"/>
          <w:szCs w:val="4"/>
        </w:rPr>
        <w:t xml:space="preserve"> </w:t>
      </w:r>
    </w:p>
    <w:p>
      <w:pPr>
        <w:spacing w:after="80" w:before="200"/>
      </w:pPr>
      <w:r>
        <w:rPr>
          <w:rFonts w:ascii="Arial" w:cs="Arial" w:eastAsia="Arial" w:hAnsi="Arial"/>
          <w:b/>
          <w:bCs/>
          <w:color w:val="92400E"/>
          <w:sz w:val="22"/>
          <w:szCs w:val="22"/>
        </w:rPr>
        <w:t xml:space="preserve">White Space Tab — The Growth Agenda</w:t>
      </w:r>
    </w:p>
    <w:p>
      <w:pPr>
        <w:spacing w:after="80" w:before="60"/>
      </w:pPr>
      <w:r>
        <w:rPr>
          <w:rFonts w:ascii="Arial" w:cs="Arial" w:eastAsia="Arial" w:hAnsi="Arial"/>
          <w:b w:val="false"/>
          <w:bCs w:val="false"/>
          <w:i w:val="false"/>
          <w:iCs w:val="false"/>
          <w:color w:val="1D1D1F"/>
          <w:sz w:val="22"/>
          <w:szCs w:val="22"/>
        </w:rPr>
        <w:t xml:space="preserve">The scatter plot reveals the most important strategic question in commercial analytics: where is the T2D patient burden high but the HCP coverage is low? Bubbles in the top-left quadrant (high T2D prevalence, low HCP count) are underserved markets — the growth agenda for next year's territory planning. Bubbles in the bottom-right (low prevalence, many HCPs) may be over-invested.</w:t>
      </w:r>
    </w:p>
    <w:p>
      <w:pPr>
        <w:spacing w:after="0" w:before="0"/>
      </w:pPr>
      <w:r>
        <w:rPr>
          <w:sz w:val="4"/>
          <w:szCs w:val="4"/>
        </w:rPr>
        <w:t xml:space="preserve"> </w:t>
      </w:r>
    </w:p>
    <w:tbl>
      <w:tblPr>
        <w:tblW w:type="dxa" w:w="9360"/>
        <w:tblBorders>
          <w:top w:val="single" w:color="003DA5" w:sz="4"/>
          <w:left w:val="single" w:color="003DA5" w:sz="4"/>
          <w:bottom w:val="single" w:color="003DA5" w:sz="4"/>
          <w:right w:val="single" w:color="003DA5"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Region KOL Count</w:t>
            </w:r>
          </w:p>
          <w:p>
            <w:pPr>
              <w:spacing w:after="10" w:before="0"/>
            </w:pPr>
            <w:r>
              <w:rPr>
                <w:rFonts w:ascii="Arial" w:cs="Arial" w:eastAsia="Arial" w:hAnsi="Arial"/>
                <w:b/>
                <w:bCs/>
                <w:color w:val="374151"/>
                <w:sz w:val="28"/>
                <w:szCs w:val="28"/>
              </w:rPr>
              <w:t xml:space="preserve">47 KOLs</w:t>
            </w:r>
          </w:p>
          <w:p>
            <w:pPr>
              <w:spacing w:after="0" w:before="0"/>
            </w:pPr>
            <w:r>
              <w:rPr>
                <w:rFonts w:ascii="Arial" w:cs="Arial" w:eastAsia="Arial" w:hAnsi="Arial"/>
                <w:i/>
                <w:iCs/>
                <w:color w:val="6E6E73"/>
                <w:sz w:val="18"/>
                <w:szCs w:val="18"/>
              </w:rPr>
              <w:t xml:space="preserve">Total Opinion Leaders in territory with Open Payments data</w:t>
            </w:r>
          </w:p>
        </w:tc>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Engagement Gap Rate</w:t>
            </w:r>
          </w:p>
          <w:p>
            <w:pPr>
              <w:spacing w:after="10" w:before="0"/>
            </w:pPr>
            <w:r>
              <w:rPr>
                <w:rFonts w:ascii="Arial" w:cs="Arial" w:eastAsia="Arial" w:hAnsi="Arial"/>
                <w:b/>
                <w:bCs/>
                <w:color w:val="374151"/>
                <w:sz w:val="28"/>
                <w:szCs w:val="28"/>
              </w:rPr>
              <w:t xml:space="preserve">18%</w:t>
            </w:r>
          </w:p>
          <w:p>
            <w:pPr>
              <w:spacing w:after="0" w:before="0"/>
            </w:pPr>
            <w:r>
              <w:rPr>
                <w:rFonts w:ascii="Arial" w:cs="Arial" w:eastAsia="Arial" w:hAnsi="Arial"/>
                <w:i/>
                <w:iCs/>
                <w:color w:val="6E6E73"/>
                <w:sz w:val="18"/>
                <w:szCs w:val="18"/>
              </w:rPr>
              <w:t xml:space="preserve">KOLs with payments but negative Rx trend — competitive risk</w:t>
            </w:r>
          </w:p>
        </w:tc>
      </w:tr>
      <w:tr>
        <w:tc>
          <w:tcPr>
            <w:tcW w:type="dxa" w:w="4680"/>
            <w:tcBorders>
              <w:top w:val="single" w:color="D1D5DB" w:sz="4"/>
              <w:left w:val="single" w:color="D1D5DB" w:sz="4"/>
              <w:bottom w:val="single" w:color="D1D5DB" w:sz="4"/>
              <w:right w:val="single" w:color="D1D5DB" w:sz="4"/>
            </w:tcBorders>
            <w:shd w:fill="F5F5F7"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New Entrant Pipeline</w:t>
            </w:r>
          </w:p>
          <w:p>
            <w:pPr>
              <w:spacing w:after="10" w:before="0"/>
            </w:pPr>
            <w:r>
              <w:rPr>
                <w:rFonts w:ascii="Arial" w:cs="Arial" w:eastAsia="Arial" w:hAnsi="Arial"/>
                <w:b/>
                <w:bCs/>
                <w:color w:val="374151"/>
                <w:sz w:val="28"/>
                <w:szCs w:val="28"/>
              </w:rPr>
              <w:t xml:space="preserve">12 HCPs</w:t>
            </w:r>
          </w:p>
          <w:p>
            <w:pPr>
              <w:spacing w:after="0" w:before="0"/>
            </w:pPr>
            <w:r>
              <w:rPr>
                <w:rFonts w:ascii="Arial" w:cs="Arial" w:eastAsia="Arial" w:hAnsi="Arial"/>
                <w:i/>
                <w:iCs/>
                <w:color w:val="6E6E73"/>
                <w:sz w:val="18"/>
                <w:szCs w:val="18"/>
              </w:rPr>
              <w:t xml:space="preserve">growth_decile≥8, fills_2021≤50, fills_2022≥20 — catch before competitors</w:t>
            </w:r>
          </w:p>
        </w:tc>
        <w:tc>
          <w:tcPr>
            <w:tcW w:type="dxa" w:w="4680"/>
            <w:tcBorders>
              <w:top w:val="single" w:color="D1D5DB" w:sz="4"/>
              <w:left w:val="single" w:color="D1D5DB" w:sz="4"/>
              <w:bottom w:val="single" w:color="D1D5DB" w:sz="4"/>
              <w:right w:val="single" w:color="D1D5DB" w:sz="4"/>
            </w:tcBorders>
            <w:shd w:fill="F5F5F7"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Top State YoY Growth</w:t>
            </w:r>
          </w:p>
          <w:p>
            <w:pPr>
              <w:spacing w:after="10" w:before="0"/>
            </w:pPr>
            <w:r>
              <w:rPr>
                <w:rFonts w:ascii="Arial" w:cs="Arial" w:eastAsia="Arial" w:hAnsi="Arial"/>
                <w:b/>
                <w:bCs/>
                <w:color w:val="374151"/>
                <w:sz w:val="28"/>
                <w:szCs w:val="28"/>
              </w:rPr>
              <w:t xml:space="preserve">Arizona +31%</w:t>
            </w:r>
          </w:p>
          <w:p>
            <w:pPr>
              <w:spacing w:after="0" w:before="0"/>
            </w:pPr>
            <w:r>
              <w:rPr>
                <w:rFonts w:ascii="Arial" w:cs="Arial" w:eastAsia="Arial" w:hAnsi="Arial"/>
                <w:i/>
                <w:iCs/>
                <w:color w:val="6E6E73"/>
                <w:sz w:val="18"/>
                <w:szCs w:val="18"/>
              </w:rPr>
              <w:t xml:space="preserve">Highest fill growth state — investigate what's driving it</w:t>
            </w:r>
          </w:p>
        </w:tc>
      </w:tr>
    </w:tbl>
    <w:p>
      <w:pPr>
        <w:spacing w:after="0" w:before="0"/>
      </w:pPr>
      <w:r>
        <w:rPr>
          <w:sz w:val="4"/>
          <w:szCs w:val="4"/>
        </w:rPr>
        <w:t xml:space="preserve"> </w:t>
      </w:r>
    </w:p>
    <w:p>
      <w:pPr>
        <w:pBdr>
          <w:left w:val="single" w:color="92400E" w:sz="16" w:space="10"/>
        </w:pBdr>
        <w:shd w:fill="FFF8E1" w:val="clear"/>
        <w:spacing w:after="140" w:before="140"/>
        <w:ind w:left="240"/>
      </w:pPr>
      <w:r>
        <w:rPr>
          <w:rFonts w:ascii="Arial" w:cs="Arial" w:eastAsia="Arial" w:hAnsi="Arial"/>
          <w:i/>
          <w:iCs/>
          <w:color w:val="1D1D1F"/>
          <w:sz w:val="21"/>
          <w:szCs w:val="21"/>
        </w:rPr>
        <w:t xml:space="preserve">🎯 Strategic Insight: New entrants are the highest-ROI targeting opportunity. These are HCPs with low base (≤50 fills in 2021) but rapid acceleration (≥20 fills in 2022, top growth decile). They are still forming prescribing habits. A well-timed visit now locks in preference before the habit is established.</w:t>
      </w:r>
    </w:p>
    <w:p>
      <w:r>
        <w:br w:type="page"/>
      </w:r>
    </w:p>
    <w:p>
      <w:pPr>
        <w:pBdr>
          <w:bottom w:val="single" w:color="7F1D1D" w:sz="4" w:space="4"/>
          <w:left w:val="single" w:color="7F1D1D" w:sz="28" w:space="12"/>
        </w:pBdr>
        <w:shd w:fill="FDE8E8" w:val="clear"/>
        <w:spacing w:after="200" w:before="0"/>
        <w:ind w:left="280"/>
      </w:pPr>
      <w:r>
        <w:rPr>
          <w:rFonts w:ascii="Arial" w:cs="Arial" w:eastAsia="Arial" w:hAnsi="Arial"/>
          <w:b/>
          <w:bCs/>
          <w:color w:val="7F1D1D"/>
          <w:sz w:val="40"/>
          <w:szCs w:val="40"/>
        </w:rPr>
        <w:t xml:space="preserve">🏢  Head of Sales</w:t>
      </w:r>
      <w:r>
        <w:rPr>
          <w:rFonts w:ascii="Arial" w:cs="Arial" w:eastAsia="Arial" w:hAnsi="Arial"/>
          <w:i/>
          <w:iCs/>
          <w:color w:val="374151"/>
          <w:sz w:val="26"/>
          <w:szCs w:val="26"/>
        </w:rPr>
        <w:t xml:space="preserve">  —  National Commercial Lead — Quarterly Strategy</w:t>
      </w:r>
    </w:p>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5.1  Role &amp; Quarterly Reality</w:t>
      </w:r>
    </w:p>
    <w:p>
      <w:pPr>
        <w:spacing w:after="80" w:before="60"/>
      </w:pPr>
      <w:r>
        <w:rPr>
          <w:rFonts w:ascii="Arial" w:cs="Arial" w:eastAsia="Arial" w:hAnsi="Arial"/>
          <w:b w:val="false"/>
          <w:bCs w:val="false"/>
          <w:i w:val="false"/>
          <w:iCs w:val="false"/>
          <w:color w:val="1D1D1F"/>
          <w:sz w:val="22"/>
          <w:szCs w:val="22"/>
        </w:rPr>
        <w:t xml:space="preserve">The Head of Sales owns the national commercial performance of the diabetes portfolio. They present to the executive team, make resource allocation decisions across regions, manage the key franchise accounts, and set brand strategy. Their time horizon is the quarter — they need the 30,000 foot view, not field-level detail, but with the ability to drill to specifics when a region underperforms.</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3DA5" w:sz="4"/>
              <w:left w:val="single" w:color="003DA5" w:sz="4"/>
              <w:bottom w:val="single" w:color="003DA5" w:sz="4"/>
              <w:right w:val="single" w:color="003DA5" w:sz="4"/>
            </w:tcBorders>
            <w:shd w:fill="C62828"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Pain Point (Before)</w:t>
            </w:r>
          </w:p>
        </w:tc>
        <w:tc>
          <w:tcPr>
            <w:tcW w:type="dxa" w:w="468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How the Platform Solves It</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National KPIs assembled from 5 regional reports — slow, inconsistent, error-prone</w:t>
            </w:r>
          </w:p>
        </w:tc>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National Scorecard: 4 KPIs + region cards with RAG status — one screen, live data</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Top 50 franchise accounts not consistently monitored — big accounts going dark</w:t>
            </w:r>
          </w:p>
        </w:tc>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Franchise Accounts tab: top 50 HCPs nationally with trend indicator + at-risk flag</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Brand trend data not connected to HCP-level behaviour — strategic and tactical are siloed</w:t>
            </w:r>
          </w:p>
        </w:tc>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Brand Intelligence tab: drug class prescriber base and fill trends over time</w:t>
            </w:r>
          </w:p>
        </w:tc>
      </w:tr>
      <w:tr>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Revenue at risk from HV decline identified too late to act within the quarter</w:t>
            </w:r>
          </w:p>
        </w:tc>
        <w:tc>
          <w:tcPr>
            <w:tcW w:type="dxa" w:w="468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Strategic Priorities tab: HV decline revenue at risk + new entrant pipeline by region</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5.2  The Executive Decision Framework</w:t>
      </w:r>
    </w:p>
    <w:p>
      <w:pPr>
        <w:spacing w:after="80" w:before="60"/>
      </w:pPr>
      <w:r>
        <w:rPr>
          <w:rFonts w:ascii="Arial" w:cs="Arial" w:eastAsia="Arial" w:hAnsi="Arial"/>
          <w:b w:val="false"/>
          <w:bCs w:val="false"/>
          <w:i w:val="false"/>
          <w:iCs w:val="false"/>
          <w:color w:val="1D1D1F"/>
          <w:sz w:val="22"/>
          <w:szCs w:val="22"/>
        </w:rPr>
        <w:t xml:space="preserve">The Head of Sales should use each tab for a specific decision type: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003DA5" w:sz="4"/>
              <w:left w:val="single" w:color="003DA5" w:sz="4"/>
              <w:bottom w:val="single" w:color="003DA5" w:sz="4"/>
              <w:right w:val="single" w:color="003DA5" w:sz="4"/>
            </w:tcBorders>
            <w:shd w:fill="7F1D1D"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Tab</w:t>
            </w:r>
          </w:p>
        </w:tc>
        <w:tc>
          <w:tcPr>
            <w:tcW w:type="dxa" w:w="3000"/>
            <w:tcBorders>
              <w:top w:val="single" w:color="003DA5" w:sz="4"/>
              <w:left w:val="single" w:color="003DA5" w:sz="4"/>
              <w:bottom w:val="single" w:color="003DA5" w:sz="4"/>
              <w:right w:val="single" w:color="003DA5" w:sz="4"/>
            </w:tcBorders>
            <w:shd w:fill="7F1D1D"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Decision It Drives</w:t>
            </w:r>
          </w:p>
        </w:tc>
        <w:tc>
          <w:tcPr>
            <w:tcW w:type="dxa" w:w="4160"/>
            <w:tcBorders>
              <w:top w:val="single" w:color="003DA5" w:sz="4"/>
              <w:left w:val="single" w:color="003DA5" w:sz="4"/>
              <w:bottom w:val="single" w:color="003DA5" w:sz="4"/>
              <w:right w:val="single" w:color="003DA5" w:sz="4"/>
            </w:tcBorders>
            <w:shd w:fill="7F1D1D"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How to Read It</w:t>
            </w:r>
          </w:p>
        </w:tc>
      </w:tr>
      <w:tr>
        <w:tc>
          <w:tcPr>
            <w:tcW w:type="dxa" w:w="220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National Scorecard</w:t>
            </w:r>
          </w:p>
        </w:tc>
        <w:tc>
          <w:tcPr>
            <w:tcW w:type="dxa" w:w="300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Where do we allocate headcount and marketing budget next quarter?</w:t>
            </w:r>
          </w:p>
        </w:tc>
        <w:tc>
          <w:tcPr>
            <w:tcW w:type="dxa" w:w="416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Green RAG = self-sufficient. Amber = needs a resource conversation. Red = needs intervention from you. Don't spend time on Green.</w:t>
            </w:r>
          </w:p>
        </w:tc>
      </w:tr>
      <w:tr>
        <w:tc>
          <w:tcPr>
            <w:tcW w:type="dxa" w:w="22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Franchise Accounts</w:t>
            </w:r>
          </w:p>
        </w:tc>
        <w:tc>
          <w:tcPr>
            <w:tcW w:type="dxa" w:w="30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Which of our top 50 accounts need executive-level engagement?</w:t>
            </w:r>
          </w:p>
        </w:tc>
        <w:tc>
          <w:tcPr>
            <w:tcW w:type="dxa" w:w="416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Sort by 'At Risk' flag first. Each at-risk franchise account is worth &gt;$50K revenue impact. These need your name on the outreach, not the rep's.</w:t>
            </w:r>
          </w:p>
        </w:tc>
      </w:tr>
      <w:tr>
        <w:tc>
          <w:tcPr>
            <w:tcW w:type="dxa" w:w="220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Brand Intelligence</w:t>
            </w:r>
          </w:p>
        </w:tc>
        <w:tc>
          <w:tcPr>
            <w:tcW w:type="dxa" w:w="300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Is our drug class gaining or losing share? Is the prescriber base growing or consolidating?</w:t>
            </w:r>
          </w:p>
        </w:tc>
        <w:tc>
          <w:tcPr>
            <w:tcW w:type="dxa" w:w="416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Watch the prescriber count trend, not just total fills. Fills can rise while the prescriber base shrinks — that's over-reliance on a small number of champions. Concentration risk.</w:t>
            </w:r>
          </w:p>
        </w:tc>
      </w:tr>
      <w:tr>
        <w:tc>
          <w:tcPr>
            <w:tcW w:type="dxa" w:w="22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Strategic Priorities</w:t>
            </w:r>
          </w:p>
        </w:tc>
        <w:tc>
          <w:tcPr>
            <w:tcW w:type="dxa" w:w="300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What is the revenue at risk story for the board presentation?</w:t>
            </w:r>
          </w:p>
        </w:tc>
        <w:tc>
          <w:tcPr>
            <w:tcW w:type="dxa" w:w="416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HV Decline = the burning platform. New Entrant Pipeline = the growth story. These two together form the commercial narrative for the next board deck.</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5.3  The Board Narrative in Four Numbers</w:t>
      </w:r>
    </w:p>
    <w:p>
      <w:pPr>
        <w:spacing w:after="0" w:before="0"/>
      </w:pPr>
      <w:r>
        <w:rPr>
          <w:sz w:val="4"/>
          <w:szCs w:val="4"/>
        </w:rPr>
        <w:t xml:space="preserve"> </w:t>
      </w:r>
    </w:p>
    <w:tbl>
      <w:tblPr>
        <w:tblW w:type="dxa" w:w="9360"/>
        <w:tblBorders>
          <w:top w:val="single" w:color="003DA5" w:sz="4"/>
          <w:left w:val="single" w:color="003DA5" w:sz="4"/>
          <w:bottom w:val="single" w:color="003DA5" w:sz="4"/>
          <w:right w:val="single" w:color="003DA5"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National HCP Base</w:t>
            </w:r>
          </w:p>
          <w:p>
            <w:pPr>
              <w:spacing w:after="10" w:before="0"/>
            </w:pPr>
            <w:r>
              <w:rPr>
                <w:rFonts w:ascii="Arial" w:cs="Arial" w:eastAsia="Arial" w:hAnsi="Arial"/>
                <w:b/>
                <w:bCs/>
                <w:color w:val="374151"/>
                <w:sz w:val="28"/>
                <w:szCs w:val="28"/>
              </w:rPr>
              <w:t xml:space="preserve">~227K HCPs</w:t>
            </w:r>
          </w:p>
          <w:p>
            <w:pPr>
              <w:spacing w:after="0" w:before="0"/>
            </w:pPr>
            <w:r>
              <w:rPr>
                <w:rFonts w:ascii="Arial" w:cs="Arial" w:eastAsia="Arial" w:hAnsi="Arial"/>
                <w:i/>
                <w:iCs/>
                <w:color w:val="6E6E73"/>
                <w:sz w:val="18"/>
                <w:szCs w:val="18"/>
              </w:rPr>
              <w:t xml:space="preserve">Total prescribers in CMS Part D 2022 diabetes dataset</w:t>
            </w:r>
          </w:p>
        </w:tc>
        <w:tc>
          <w:tcPr>
            <w:tcW w:type="dxa" w:w="4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High Value HCPs</w:t>
            </w:r>
          </w:p>
          <w:p>
            <w:pPr>
              <w:spacing w:after="10" w:before="0"/>
            </w:pPr>
            <w:r>
              <w:rPr>
                <w:rFonts w:ascii="Arial" w:cs="Arial" w:eastAsia="Arial" w:hAnsi="Arial"/>
                <w:b/>
                <w:bCs/>
                <w:color w:val="374151"/>
                <w:sz w:val="28"/>
                <w:szCs w:val="28"/>
              </w:rPr>
              <w:t xml:space="preserve">~8,200 (top tier)</w:t>
            </w:r>
          </w:p>
          <w:p>
            <w:pPr>
              <w:spacing w:after="0" w:before="0"/>
            </w:pPr>
            <w:r>
              <w:rPr>
                <w:rFonts w:ascii="Arial" w:cs="Arial" w:eastAsia="Arial" w:hAnsi="Arial"/>
                <w:i/>
                <w:iCs/>
                <w:color w:val="6E6E73"/>
                <w:sz w:val="18"/>
                <w:szCs w:val="18"/>
              </w:rPr>
              <w:t xml:space="preserve">vol_decile≥8 AND growth_decile≥8 — the revenue engine</w:t>
            </w:r>
          </w:p>
        </w:tc>
      </w:tr>
      <w:tr>
        <w:tc>
          <w:tcPr>
            <w:tcW w:type="dxa" w:w="4680"/>
            <w:tcBorders>
              <w:top w:val="single" w:color="D1D5DB" w:sz="4"/>
              <w:left w:val="single" w:color="D1D5DB" w:sz="4"/>
              <w:bottom w:val="single" w:color="D1D5DB" w:sz="4"/>
              <w:right w:val="single" w:color="D1D5DB" w:sz="4"/>
            </w:tcBorders>
            <w:shd w:fill="F5F5F7"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HV Accounts at Risk</w:t>
            </w:r>
          </w:p>
          <w:p>
            <w:pPr>
              <w:spacing w:after="10" w:before="0"/>
            </w:pPr>
            <w:r>
              <w:rPr>
                <w:rFonts w:ascii="Arial" w:cs="Arial" w:eastAsia="Arial" w:hAnsi="Arial"/>
                <w:b/>
                <w:bCs/>
                <w:color w:val="374151"/>
                <w:sz w:val="28"/>
                <w:szCs w:val="28"/>
              </w:rPr>
              <w:t xml:space="preserve">Tracked live</w:t>
            </w:r>
          </w:p>
          <w:p>
            <w:pPr>
              <w:spacing w:after="0" w:before="0"/>
            </w:pPr>
            <w:r>
              <w:rPr>
                <w:rFonts w:ascii="Arial" w:cs="Arial" w:eastAsia="Arial" w:hAnsi="Arial"/>
                <w:i/>
                <w:iCs/>
                <w:color w:val="6E6E73"/>
                <w:sz w:val="18"/>
                <w:szCs w:val="18"/>
              </w:rPr>
              <w:t xml:space="preserve">High Value HCPs with YoY growth &lt; -5% — revenue in danger</w:t>
            </w:r>
          </w:p>
        </w:tc>
        <w:tc>
          <w:tcPr>
            <w:tcW w:type="dxa" w:w="4680"/>
            <w:tcBorders>
              <w:top w:val="single" w:color="D1D5DB" w:sz="4"/>
              <w:left w:val="single" w:color="D1D5DB" w:sz="4"/>
              <w:bottom w:val="single" w:color="D1D5DB" w:sz="4"/>
              <w:right w:val="single" w:color="D1D5DB" w:sz="4"/>
            </w:tcBorders>
            <w:shd w:fill="F5F5F7" w:val="clear"/>
            <w:tcMar>
              <w:top w:type="dxa" w:w="100"/>
              <w:left w:type="dxa" w:w="160"/>
              <w:bottom w:type="dxa" w:w="100"/>
              <w:right w:type="dxa" w:w="80"/>
            </w:tcMar>
          </w:tcPr>
          <w:p>
            <w:pPr>
              <w:spacing w:after="20" w:before="0"/>
            </w:pPr>
            <w:r>
              <w:rPr>
                <w:rFonts w:ascii="Arial" w:cs="Arial" w:eastAsia="Arial" w:hAnsi="Arial"/>
                <w:b/>
                <w:bCs/>
                <w:color w:val="003DA5"/>
                <w:sz w:val="21"/>
                <w:szCs w:val="21"/>
              </w:rPr>
              <w:t xml:space="preserve">New Entrant Pipeline</w:t>
            </w:r>
          </w:p>
          <w:p>
            <w:pPr>
              <w:spacing w:after="10" w:before="0"/>
            </w:pPr>
            <w:r>
              <w:rPr>
                <w:rFonts w:ascii="Arial" w:cs="Arial" w:eastAsia="Arial" w:hAnsi="Arial"/>
                <w:b/>
                <w:bCs/>
                <w:color w:val="374151"/>
                <w:sz w:val="28"/>
                <w:szCs w:val="28"/>
              </w:rPr>
              <w:t xml:space="preserve">Cross-region</w:t>
            </w:r>
          </w:p>
          <w:p>
            <w:pPr>
              <w:spacing w:after="0" w:before="0"/>
            </w:pPr>
            <w:r>
              <w:rPr>
                <w:rFonts w:ascii="Arial" w:cs="Arial" w:eastAsia="Arial" w:hAnsi="Arial"/>
                <w:i/>
                <w:iCs/>
                <w:color w:val="6E6E73"/>
                <w:sz w:val="18"/>
                <w:szCs w:val="18"/>
              </w:rPr>
              <w:t xml:space="preserve">growth_decile≥8, fills_2021≤50 — next year's HV accounts</w:t>
            </w:r>
          </w:p>
        </w:tc>
      </w:tr>
    </w:tbl>
    <w:p>
      <w:pPr>
        <w:spacing w:after="0" w:before="0"/>
      </w:pPr>
      <w:r>
        <w:rPr>
          <w:sz w:val="4"/>
          <w:szCs w:val="4"/>
        </w:rPr>
        <w:t xml:space="preserve"> </w:t>
      </w:r>
    </w:p>
    <w:p>
      <w:pPr>
        <w:pBdr>
          <w:left w:val="single" w:color="7F1D1D" w:sz="16" w:space="10"/>
        </w:pBdr>
        <w:shd w:fill="FDE8E8" w:val="clear"/>
        <w:spacing w:after="140" w:before="140"/>
        <w:ind w:left="240"/>
      </w:pPr>
      <w:r>
        <w:rPr>
          <w:rFonts w:ascii="Arial" w:cs="Arial" w:eastAsia="Arial" w:hAnsi="Arial"/>
          <w:i/>
          <w:iCs/>
          <w:color w:val="1D1D1F"/>
          <w:sz w:val="21"/>
          <w:szCs w:val="21"/>
        </w:rPr>
        <w:t xml:space="preserve">📈 Executive Insight: The platform answers the most important question a Head of Sales can ask: are we getting to the right HCPs before the revenue impact is visible in the P&amp;L? The 6-8 week lead time on churn detection (via ML score divergence) is the competitive advantage — it turns reactive account recovery into proactive relationship management.</w:t>
      </w:r>
    </w:p>
    <w:p>
      <w:r>
        <w:br w:type="page"/>
      </w:r>
    </w:p>
    <w:p>
      <w:pPr>
        <w:pStyle w:val="Heading1"/>
        <w:spacing w:after="160" w:before="400"/>
      </w:pPr>
      <w:r>
        <w:rPr>
          <w:rFonts w:ascii="Arial" w:cs="Arial" w:eastAsia="Arial" w:hAnsi="Arial"/>
          <w:b/>
          <w:bCs/>
          <w:color w:val="003DA5"/>
          <w:sz w:val="40"/>
          <w:szCs w:val="40"/>
        </w:rPr>
        <w:t xml:space="preserve">6.  Features That Work Across All Personas</w:t>
      </w:r>
    </w:p>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6.1  Dual Scoring System (ML +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Score</w:t>
            </w:r>
          </w:p>
        </w:tc>
        <w:tc>
          <w:tcPr>
            <w:tcW w:type="dxa" w:w="328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ML Targeting Score (Blue)</w:t>
            </w:r>
          </w:p>
        </w:tc>
        <w:tc>
          <w:tcPr>
            <w:tcW w:type="dxa" w:w="328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Rule Targeting Score (Grey)</w:t>
            </w:r>
          </w:p>
        </w:tc>
      </w:tr>
      <w:tr>
        <w:tc>
          <w:tcPr>
            <w:tcW w:type="dxa" w:w="280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Method</w:t>
            </w:r>
          </w:p>
        </w:tc>
        <w:tc>
          <w:tcPr>
            <w:tcW w:type="dxa" w:w="328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Gradient Boosting Regressor trained on 7 CMS features, predicting fills_2022</w:t>
            </w:r>
          </w:p>
        </w:tc>
        <w:tc>
          <w:tcPr>
            <w:tcW w:type="dxa" w:w="328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Formula: 50% vol_decile + 30% growth_decile + 20% KOL flag</w:t>
            </w:r>
          </w:p>
        </w:tc>
      </w:tr>
      <w:tr>
        <w:tc>
          <w:tcPr>
            <w:tcW w:type="dxa" w:w="280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Best For</w:t>
            </w:r>
          </w:p>
        </w:tc>
        <w:tc>
          <w:tcPr>
            <w:tcW w:type="dxa" w:w="328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Prioritising HCPs the formula would undervalue — picks up non-linear patterns</w:t>
            </w:r>
          </w:p>
        </w:tc>
        <w:tc>
          <w:tcPr>
            <w:tcW w:type="dxa" w:w="328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Explaining the score to stakeholders — transparent, auditable, simple</w:t>
            </w:r>
          </w:p>
        </w:tc>
      </w:tr>
      <w:tr>
        <w:tc>
          <w:tcPr>
            <w:tcW w:type="dxa" w:w="280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When They Diverge</w:t>
            </w:r>
          </w:p>
        </w:tc>
        <w:tc>
          <w:tcPr>
            <w:tcW w:type="dxa" w:w="328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Investigate: ML has found a signal the formula missed — growth trend, T2D burden, specialty pattern</w:t>
            </w:r>
          </w:p>
        </w:tc>
        <w:tc>
          <w:tcPr>
            <w:tcW w:type="dxa" w:w="328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The formula doesn't adapt — a near-boundary HCP may be consistently mis-ranked</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6.2  Call Cadence Engine</w:t>
      </w:r>
    </w:p>
    <w:p>
      <w:pPr>
        <w:spacing w:after="80" w:before="60"/>
      </w:pPr>
      <w:r>
        <w:rPr>
          <w:rFonts w:ascii="Arial" w:cs="Arial" w:eastAsia="Arial" w:hAnsi="Arial"/>
          <w:b w:val="false"/>
          <w:bCs w:val="false"/>
          <w:i w:val="false"/>
          <w:iCs w:val="false"/>
          <w:color w:val="1D1D1F"/>
          <w:sz w:val="22"/>
          <w:szCs w:val="22"/>
        </w:rPr>
        <w:t xml:space="preserve">All views use the same cadence logic. The platform calculates days since last call and compares to the segment target:</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Segment</w:t>
            </w:r>
          </w:p>
        </w:tc>
        <w:tc>
          <w:tcPr>
            <w:tcW w:type="dxa" w:w="234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Target Cadence</w:t>
            </w:r>
          </w:p>
        </w:tc>
        <w:tc>
          <w:tcPr>
            <w:tcW w:type="dxa" w:w="234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Overdue Threshold</w:t>
            </w:r>
          </w:p>
        </w:tc>
        <w:tc>
          <w:tcPr>
            <w:tcW w:type="dxa" w:w="234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Revenue at Risk</w:t>
            </w:r>
          </w:p>
        </w:tc>
      </w:tr>
      <w:tr>
        <w:tc>
          <w:tcPr>
            <w:tcW w:type="dxa" w:w="234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High Value</w:t>
            </w:r>
          </w:p>
        </w:tc>
        <w:tc>
          <w:tcPr>
            <w:tcW w:type="dxa" w:w="234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28 days</w:t>
            </w:r>
          </w:p>
        </w:tc>
        <w:tc>
          <w:tcPr>
            <w:tcW w:type="dxa" w:w="234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&gt; 28 days since call</w:t>
            </w:r>
          </w:p>
        </w:tc>
        <w:tc>
          <w:tcPr>
            <w:tcW w:type="dxa" w:w="234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bCs/>
                <w:i w:val="false"/>
                <w:iCs w:val="false"/>
                <w:color w:val="C62828"/>
                <w:sz w:val="20"/>
                <w:szCs w:val="20"/>
              </w:rPr>
              <w:t xml:space="preserve">Highest — escalate first</w:t>
            </w:r>
          </w:p>
        </w:tc>
      </w:tr>
      <w:tr>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Growth</w:t>
            </w:r>
          </w:p>
        </w:tc>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42 days</w:t>
            </w:r>
          </w:p>
        </w:tc>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&gt; 42 days since call</w:t>
            </w:r>
          </w:p>
        </w:tc>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92400E"/>
                <w:sz w:val="20"/>
                <w:szCs w:val="20"/>
              </w:rPr>
              <w:t xml:space="preserve">High — flag to AM</w:t>
            </w:r>
          </w:p>
        </w:tc>
      </w:tr>
      <w:tr>
        <w:tc>
          <w:tcPr>
            <w:tcW w:type="dxa" w:w="234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Maintenance</w:t>
            </w:r>
          </w:p>
        </w:tc>
        <w:tc>
          <w:tcPr>
            <w:tcW w:type="dxa" w:w="234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84 days</w:t>
            </w:r>
          </w:p>
        </w:tc>
        <w:tc>
          <w:tcPr>
            <w:tcW w:type="dxa" w:w="234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&gt; 84 days since call</w:t>
            </w:r>
          </w:p>
        </w:tc>
        <w:tc>
          <w:tcPr>
            <w:tcW w:type="dxa" w:w="2340"/>
            <w:tcBorders>
              <w:top w:val="single" w:color="D1D5DB" w:sz="4"/>
              <w:left w:val="single" w:color="D1D5DB" w:sz="4"/>
              <w:bottom w:val="single" w:color="D1D5DB" w:sz="4"/>
              <w:right w:val="single" w:color="D1D5DB" w:sz="4"/>
            </w:tcBorders>
            <w:shd w:fill="F5F5F7"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Moderate</w:t>
            </w:r>
          </w:p>
        </w:tc>
      </w:tr>
      <w:tr>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bCs/>
                <w:i w:val="false"/>
                <w:iCs w:val="false"/>
                <w:color w:val="1D1D1F"/>
                <w:sz w:val="20"/>
                <w:szCs w:val="20"/>
              </w:rPr>
              <w:t xml:space="preserve">Deprioritise</w:t>
            </w:r>
          </w:p>
        </w:tc>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180 days</w:t>
            </w:r>
          </w:p>
        </w:tc>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&gt; 180 days since call</w:t>
            </w:r>
          </w:p>
        </w:tc>
        <w:tc>
          <w:tcPr>
            <w:tcW w:type="dxa" w:w="2340"/>
            <w:tcBorders>
              <w:top w:val="single" w:color="D1D5DB" w:sz="4"/>
              <w:left w:val="single" w:color="D1D5DB" w:sz="4"/>
              <w:bottom w:val="single" w:color="D1D5DB" w:sz="4"/>
              <w:right w:val="single" w:color="D1D5DB" w:sz="4"/>
            </w:tcBorders>
            <w:shd w:fill="FFFF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Low — digital nurture only</w:t>
            </w:r>
          </w:p>
        </w:tc>
      </w:tr>
    </w:tbl>
    <w:p>
      <w:pPr>
        <w:spacing w:after="0" w:before="0"/>
      </w:pPr>
      <w:r>
        <w:rPr>
          <w:sz w:val="4"/>
          <w:szCs w:val="4"/>
        </w:rPr>
        <w:t xml:space="preserve"> </w:t>
      </w:r>
    </w:p>
    <w:p>
      <w:pPr>
        <w:pStyle w:val="Heading2"/>
        <w:spacing w:after="100" w:before="280"/>
      </w:pPr>
      <w:r>
        <w:rPr>
          <w:rFonts w:ascii="Arial" w:cs="Arial" w:eastAsia="Arial" w:hAnsi="Arial"/>
          <w:b/>
          <w:bCs/>
          <w:color w:val="003DA5"/>
          <w:sz w:val="26"/>
          <w:szCs w:val="26"/>
        </w:rPr>
        <w:t xml:space="preserve">6.3  Engagement Gap — The Competitive Alert</w:t>
      </w:r>
    </w:p>
    <w:p>
      <w:pPr>
        <w:spacing w:after="80" w:before="60"/>
      </w:pPr>
      <w:r>
        <w:rPr>
          <w:rFonts w:ascii="Arial" w:cs="Arial" w:eastAsia="Arial" w:hAnsi="Arial"/>
          <w:b w:val="false"/>
          <w:bCs w:val="false"/>
          <w:i w:val="false"/>
          <w:iCs w:val="false"/>
          <w:color w:val="1D1D1F"/>
          <w:sz w:val="22"/>
          <w:szCs w:val="22"/>
        </w:rPr>
        <w:t xml:space="preserve">Available to all personas. An HCP is flagged as an Engagement Gap when:</w:t>
      </w:r>
    </w:p>
    <w:p>
      <w:pPr>
        <w:pStyle w:val="ListParagraph"/>
        <w:numPr>
          <w:ilvl w:val="0"/>
          <w:numId w:val="2"/>
        </w:numPr>
        <w:spacing w:after="30" w:before="30"/>
      </w:pPr>
      <w:r>
        <w:rPr>
          <w:rFonts w:ascii="Arial" w:cs="Arial" w:eastAsia="Arial" w:hAnsi="Arial"/>
          <w:color w:val="1D1D1F"/>
          <w:sz w:val="21"/>
          <w:szCs w:val="21"/>
        </w:rPr>
        <w:t xml:space="preserve">opinion_leader_payments &gt; 0 (they appear in CMS Open Payments — we are paying for the relationship)</w:t>
      </w:r>
    </w:p>
    <w:p>
      <w:pPr>
        <w:pStyle w:val="ListParagraph"/>
        <w:numPr>
          <w:ilvl w:val="0"/>
          <w:numId w:val="2"/>
        </w:numPr>
        <w:spacing w:after="30" w:before="30"/>
      </w:pPr>
      <w:r>
        <w:rPr>
          <w:rFonts w:ascii="Arial" w:cs="Arial" w:eastAsia="Arial" w:hAnsi="Arial"/>
          <w:color w:val="1D1D1F"/>
          <w:sz w:val="21"/>
          <w:szCs w:val="21"/>
        </w:rPr>
        <w:t xml:space="preserve">yoy_growth_pct &lt; -3% (their Rx is declining despite our investment)</w:t>
      </w:r>
    </w:p>
    <w:p>
      <w:pPr>
        <w:spacing w:after="80" w:before="60"/>
      </w:pPr>
      <w:r>
        <w:rPr>
          <w:rFonts w:ascii="Arial" w:cs="Arial" w:eastAsia="Arial" w:hAnsi="Arial"/>
          <w:b w:val="false"/>
          <w:bCs w:val="false"/>
          <w:i w:val="false"/>
          <w:iCs w:val="false"/>
          <w:color w:val="1D1D1F"/>
          <w:sz w:val="22"/>
          <w:szCs w:val="22"/>
        </w:rPr>
        <w:t xml:space="preserve">This combination almost always means a competitor has captured their prescribing behaviour while we continue to fund the relationship. This is the highest-urgency alert in the system.</w:t>
      </w:r>
    </w:p>
    <w:p>
      <w:pPr>
        <w:spacing w:after="0" w:before="0"/>
      </w:pPr>
      <w:r>
        <w:rPr>
          <w:sz w:val="4"/>
          <w:szCs w:val="4"/>
        </w:rPr>
        <w:t xml:space="preserve"> </w:t>
      </w:r>
    </w:p>
    <w:p>
      <w:pPr>
        <w:pBdr>
          <w:bottom w:val="single" w:color="E5E7EB" w:sz="4" w:space="1"/>
        </w:pBdr>
        <w:spacing w:after="160" w:before="160"/>
      </w:pPr>
    </w:p>
    <w:p>
      <w:pPr>
        <w:spacing w:after="0" w:before="0"/>
      </w:pPr>
      <w:r>
        <w:rPr>
          <w:sz w:val="4"/>
          <w:szCs w:val="4"/>
        </w:rPr>
        <w:t xml:space="preserve"> </w:t>
      </w:r>
    </w:p>
    <w:p>
      <w:pPr>
        <w:pStyle w:val="Heading1"/>
        <w:spacing w:after="160" w:before="400"/>
      </w:pPr>
      <w:r>
        <w:rPr>
          <w:rFonts w:ascii="Arial" w:cs="Arial" w:eastAsia="Arial" w:hAnsi="Arial"/>
          <w:b/>
          <w:bCs/>
          <w:color w:val="003DA5"/>
          <w:sz w:val="40"/>
          <w:szCs w:val="40"/>
        </w:rPr>
        <w:t xml:space="preserve">7.  Getting the Most from the Platform — Quick Reference</w:t>
      </w:r>
    </w:p>
    <w:p>
      <w:pPr>
        <w:spacing w:after="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Persona</w:t>
            </w:r>
          </w:p>
        </w:tc>
        <w:tc>
          <w:tcPr>
            <w:tcW w:type="dxa" w:w="6960"/>
            <w:tcBorders>
              <w:top w:val="single" w:color="003DA5" w:sz="4"/>
              <w:left w:val="single" w:color="003DA5" w:sz="4"/>
              <w:bottom w:val="single" w:color="003DA5" w:sz="4"/>
              <w:right w:val="single" w:color="003DA5" w:sz="4"/>
            </w:tcBorders>
            <w:shd w:fill="003DA5" w:val="clear"/>
            <w:tcMar>
              <w:top w:type="dxa" w:w="40"/>
              <w:left w:type="dxa" w:w="120"/>
              <w:bottom w:type="dxa" w:w="40"/>
              <w:right w:type="dxa" w:w="120"/>
            </w:tcMar>
          </w:tcPr>
          <w:p>
            <w:pPr>
              <w:jc w:val="center"/>
            </w:pPr>
            <w:r>
              <w:rPr>
                <w:rFonts w:ascii="Arial" w:cs="Arial" w:eastAsia="Arial" w:hAnsi="Arial"/>
                <w:b/>
                <w:bCs/>
                <w:color w:val="FFFFFF"/>
                <w:sz w:val="20"/>
                <w:szCs w:val="20"/>
              </w:rPr>
              <w:t xml:space="preserve">Top 3 Things to Do Every Week</w:t>
            </w:r>
          </w:p>
        </w:tc>
      </w:tr>
      <w:tr>
        <w:tc>
          <w:tcPr>
            <w:tcW w:type="dxa" w:w="240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bCs/>
                <w:i w:val="false"/>
                <w:iCs w:val="false"/>
                <w:color w:val="003DA5"/>
                <w:sz w:val="20"/>
                <w:szCs w:val="20"/>
              </w:rPr>
              <w:t xml:space="preserve">Sales Rep</w:t>
            </w:r>
          </w:p>
        </w:tc>
        <w:tc>
          <w:tcPr>
            <w:tcW w:type="dxa" w:w="6960"/>
            <w:tcBorders>
              <w:top w:val="single" w:color="D1D5DB" w:sz="4"/>
              <w:left w:val="single" w:color="D1D5DB" w:sz="4"/>
              <w:bottom w:val="single" w:color="D1D5DB" w:sz="4"/>
              <w:right w:val="single" w:color="D1D5DB" w:sz="4"/>
            </w:tcBorders>
            <w:shd w:fill="E8F1FF"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1. Review Overdue P1 HCP cards  |  2. Read pre-call brief before every visit  |  3. Check Call Plan Stop cards for same-day alerts</w:t>
            </w:r>
          </w:p>
        </w:tc>
      </w:tr>
      <w:tr>
        <w:tc>
          <w:tcPr>
            <w:tcW w:type="dxa" w:w="240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bCs/>
                <w:i w:val="false"/>
                <w:iCs w:val="false"/>
                <w:color w:val="155E1A"/>
                <w:sz w:val="20"/>
                <w:szCs w:val="20"/>
              </w:rPr>
              <w:t xml:space="preserve">Area Manager</w:t>
            </w:r>
          </w:p>
        </w:tc>
        <w:tc>
          <w:tcPr>
            <w:tcW w:type="dxa" w:w="6960"/>
            <w:tcBorders>
              <w:top w:val="single" w:color="D1D5DB" w:sz="4"/>
              <w:left w:val="single" w:color="D1D5DB" w:sz="4"/>
              <w:bottom w:val="single" w:color="D1D5DB" w:sz="4"/>
              <w:right w:val="single" w:color="D1D5DB" w:sz="4"/>
            </w:tcBorders>
            <w:shd w:fill="E6F4EA"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1. My Team tab — call count vs. overdue split per rep  |  2. Territory Gaps — revenue at risk  |  3. Strategic Accounts — engagement gap KOLs</w:t>
            </w:r>
          </w:p>
        </w:tc>
      </w:tr>
      <w:tr>
        <w:tc>
          <w:tcPr>
            <w:tcW w:type="dxa" w:w="2400"/>
            <w:tcBorders>
              <w:top w:val="single" w:color="D1D5DB" w:sz="4"/>
              <w:left w:val="single" w:color="D1D5DB" w:sz="4"/>
              <w:bottom w:val="single" w:color="D1D5DB" w:sz="4"/>
              <w:right w:val="single" w:color="D1D5DB" w:sz="4"/>
            </w:tcBorders>
            <w:shd w:fill="FFF8E1" w:val="clear"/>
            <w:tcMar>
              <w:top w:type="dxa" w:w="40"/>
              <w:left w:type="dxa" w:w="120"/>
              <w:bottom w:type="dxa" w:w="40"/>
              <w:right w:type="dxa" w:w="120"/>
            </w:tcMar>
          </w:tcPr>
          <w:p>
            <w:pPr>
              <w:jc w:val="left"/>
            </w:pPr>
            <w:r>
              <w:rPr>
                <w:rFonts w:ascii="Arial" w:cs="Arial" w:eastAsia="Arial" w:hAnsi="Arial"/>
                <w:b/>
                <w:bCs/>
                <w:i w:val="false"/>
                <w:iCs w:val="false"/>
                <w:color w:val="92400E"/>
                <w:sz w:val="20"/>
                <w:szCs w:val="20"/>
              </w:rPr>
              <w:t xml:space="preserve">Regional Manager</w:t>
            </w:r>
          </w:p>
        </w:tc>
        <w:tc>
          <w:tcPr>
            <w:tcW w:type="dxa" w:w="6960"/>
            <w:tcBorders>
              <w:top w:val="single" w:color="D1D5DB" w:sz="4"/>
              <w:left w:val="single" w:color="D1D5DB" w:sz="4"/>
              <w:bottom w:val="single" w:color="D1D5DB" w:sz="4"/>
              <w:right w:val="single" w:color="D1D5DB" w:sz="4"/>
            </w:tcBorders>
            <w:shd w:fill="FFF8E1"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1. Regional Trends — YoY fill trajectory by state  |  2. KOL Intelligence — engagement gap rate  |  3. White Space — T2D prevalence vs. coverage</w:t>
            </w:r>
          </w:p>
        </w:tc>
      </w:tr>
      <w:tr>
        <w:tc>
          <w:tcPr>
            <w:tcW w:type="dxa" w:w="240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bCs/>
                <w:i w:val="false"/>
                <w:iCs w:val="false"/>
                <w:color w:val="7F1D1D"/>
                <w:sz w:val="20"/>
                <w:szCs w:val="20"/>
              </w:rPr>
              <w:t xml:space="preserve">Head of Sales</w:t>
            </w:r>
          </w:p>
        </w:tc>
        <w:tc>
          <w:tcPr>
            <w:tcW w:type="dxa" w:w="6960"/>
            <w:tcBorders>
              <w:top w:val="single" w:color="D1D5DB" w:sz="4"/>
              <w:left w:val="single" w:color="D1D5DB" w:sz="4"/>
              <w:bottom w:val="single" w:color="D1D5DB" w:sz="4"/>
              <w:right w:val="single" w:color="D1D5DB" w:sz="4"/>
            </w:tcBorders>
            <w:shd w:fill="FDE8E8" w:val="clear"/>
            <w:tcMar>
              <w:top w:type="dxa" w:w="40"/>
              <w:left w:type="dxa" w:w="120"/>
              <w:bottom w:type="dxa" w:w="40"/>
              <w:right w:type="dxa" w:w="120"/>
            </w:tcMar>
          </w:tcPr>
          <w:p>
            <w:pPr>
              <w:jc w:val="left"/>
            </w:pPr>
            <w:r>
              <w:rPr>
                <w:rFonts w:ascii="Arial" w:cs="Arial" w:eastAsia="Arial" w:hAnsi="Arial"/>
                <w:b w:val="false"/>
                <w:bCs w:val="false"/>
                <w:i w:val="false"/>
                <w:iCs w:val="false"/>
                <w:color w:val="1D1D1F"/>
                <w:sz w:val="20"/>
                <w:szCs w:val="20"/>
              </w:rPr>
              <w:t xml:space="preserve">1. National Scorecard RAG status — where to intervene  |  2. Franchise Accounts at-risk flag  |  3. Strategic Priorities — HV decline revenue story</w:t>
            </w:r>
          </w:p>
        </w:tc>
      </w:tr>
    </w:tbl>
    <w:p>
      <w:pPr>
        <w:spacing w:after="0" w:before="0"/>
      </w:pPr>
      <w:r>
        <w:rPr>
          <w:sz w:val="4"/>
          <w:szCs w:val="4"/>
        </w:rPr>
        <w:t xml:space="preserve"> </w:t>
      </w:r>
    </w:p>
    <w:p>
      <w:pPr>
        <w:pBdr>
          <w:bottom w:val="single" w:color="E5E7EB" w:sz="4" w:space="1"/>
        </w:pBdr>
        <w:spacing w:after="160" w:before="160"/>
      </w:pPr>
    </w:p>
    <w:p>
      <w:pPr>
        <w:spacing w:after="0" w:before="200"/>
      </w:pPr>
      <w:r>
        <w:rPr>
          <w:rFonts w:ascii="Arial" w:cs="Arial" w:eastAsia="Arial" w:hAnsi="Arial"/>
          <w:b/>
          <w:bCs/>
          <w:color w:val="374151"/>
          <w:sz w:val="20"/>
          <w:szCs w:val="20"/>
        </w:rPr>
        <w:t xml:space="preserve">Platform:</w:t>
      </w:r>
      <w:r>
        <w:rPr>
          <w:rFonts w:ascii="Arial" w:cs="Arial" w:eastAsia="Arial" w:hAnsi="Arial"/>
          <w:sz w:val="20"/>
          <w:szCs w:val="20"/>
        </w:rPr>
        <w:t xml:space="preserve">  </w:t>
      </w:r>
      <w:hyperlink w:history="1" r:id="rIdxpefzfff9ocdw8-hhjz83">
        <w:r>
          <w:rPr>
            <w:rStyle w:val="Hyperlink"/>
            <w:rFonts w:ascii="Arial" w:cs="Arial" w:eastAsia="Arial" w:hAnsi="Arial"/>
            <w:sz w:val="20"/>
            <w:szCs w:val="20"/>
          </w:rPr>
          <w:t xml:space="preserve">hcp-targeting-diabetes-analytics-zoraawar.streamlit.app</w:t>
        </w:r>
      </w:hyperlink>
      <w:r>
        <w:rPr>
          <w:rFonts w:ascii="Arial" w:cs="Arial" w:eastAsia="Arial" w:hAnsi="Arial"/>
          <w:color w:val="D1D5DB"/>
          <w:sz w:val="20"/>
          <w:szCs w:val="20"/>
        </w:rPr>
        <w:t xml:space="preserve">    |    </w:t>
      </w:r>
      <w:r>
        <w:rPr>
          <w:rFonts w:ascii="Arial" w:cs="Arial" w:eastAsia="Arial" w:hAnsi="Arial"/>
          <w:b/>
          <w:bCs/>
          <w:color w:val="374151"/>
          <w:sz w:val="20"/>
          <w:szCs w:val="20"/>
        </w:rPr>
        <w:t xml:space="preserve">Source:</w:t>
      </w:r>
      <w:r>
        <w:rPr>
          <w:rFonts w:ascii="Arial" w:cs="Arial" w:eastAsia="Arial" w:hAnsi="Arial"/>
          <w:color w:val="374151"/>
          <w:sz w:val="20"/>
          <w:szCs w:val="20"/>
        </w:rPr>
        <w:t xml:space="preserve">  CMS Medicare Part D 2021-2022  ·  CMS Open Payments 2022  ·  NPPES  ·  CDC T2D Prevalence</w:t>
      </w:r>
    </w:p>
    <w:p>
      <w:pPr>
        <w:spacing w:after="80" w:before="60"/>
      </w:pPr>
      <w:r>
        <w:rPr>
          <w:rFonts w:ascii="Arial" w:cs="Arial" w:eastAsia="Arial" w:hAnsi="Arial"/>
          <w:i/>
          <w:iCs/>
          <w:color w:val="6E6E73"/>
          <w:sz w:val="18"/>
          <w:szCs w:val="18"/>
        </w:rPr>
        <w:t xml:space="preserve">All data is publicly available from the US Centers for Medicare &amp; Medicaid Services. No proprietary or employer data is used.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pPr>
    <w:r>
      <w:rPr>
        <w:rFonts w:ascii="Arial" w:cs="Arial" w:eastAsia="Arial" w:hAnsi="Arial"/>
        <w:color w:val="6E6E73"/>
        <w:sz w:val="18"/>
        <w:szCs w:val="18"/>
      </w:rPr>
      <w:t xml:space="preserve">HCP Targeting &amp; Brand Performance Analytics — Diabetes Portfolio</w:t>
    </w:r>
    <w:r>
      <w:rPr>
        <w:rFonts w:ascii="Arial" w:cs="Arial" w:eastAsia="Arial" w:hAnsi="Arial"/>
        <w:color w:val="6E6E73"/>
        <w:sz w:val="18"/>
        <w:szCs w:val="18"/>
      </w:rPr>
      <w:t xml:space="preserve">     Page </w:t>
    </w:r>
    <w:r>
      <w:rPr>
        <w:rFonts w:ascii="Arial" w:cs="Arial" w:eastAsia="Arial" w:hAnsi="Arial"/>
        <w:color w:val="6E6E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color w:val="6E6E73"/>
        <w:sz w:val="18"/>
        <w:szCs w:val="18"/>
      </w:rPr>
      <w:t xml:space="preserve">HCP Targeting Analytics  —  Persona Use-Case Guide</w:t>
    </w:r>
    <w:r>
      <w:rPr>
        <w:rFonts w:ascii="Arial" w:cs="Arial" w:eastAsia="Arial" w:hAnsi="Arial"/>
        <w:b/>
        <w:bCs/>
        <w:color w:val="003DA5"/>
        <w:sz w:val="18"/>
        <w:szCs w:val="18"/>
      </w:rPr>
      <w:t xml:space="preserve">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DA5"/>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03D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pefzfff9ocdw8-hhjz83" Type="http://schemas.openxmlformats.org/officeDocument/2006/relationships/hyperlink" Target="https://hcp-targeting-diabetes-analytics-zoraawar.streamlit.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2026-07-01T04:51:50.958Z</dcterms:created>
  <dcterms:modified xsi:type="dcterms:W3CDTF">2026-07-01T04:51:50.977Z</dcterms:modified>
</cp:coreProperties>
</file>

<file path=docProps/custom.xml><?xml version="1.0" encoding="utf-8"?>
<Properties xmlns="http://schemas.openxmlformats.org/officeDocument/2006/custom-properties" xmlns:vt="http://schemas.openxmlformats.org/officeDocument/2006/docPropsVTypes"/>
</file>